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AB4D67" w:rsidRDefault="0032512A" w:rsidP="00AB4D67">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D5D881F16D14BA8977F9F3E82D32C82" style="width:450.75pt;height:396pt">
            <v:imagedata r:id="rId9" o:title=""/>
          </v:shape>
        </w:pict>
      </w:r>
    </w:p>
    <w:p w:rsidR="00AD7ACA" w:rsidRPr="00AB4D67" w:rsidRDefault="00AD7ACA" w:rsidP="00AD7ACA">
      <w:pPr>
        <w:pStyle w:val="Pagedecouverture"/>
        <w:sectPr w:rsidR="00AD7ACA" w:rsidRPr="00AB4D67" w:rsidSect="00F93912">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AB4D67" w:rsidRDefault="00AB4D67" w:rsidP="00AB4D67">
      <w:pPr>
        <w:pStyle w:val="Typedudocument"/>
      </w:pPr>
      <w:r w:rsidRPr="00AB4D67">
        <w:lastRenderedPageBreak/>
        <w:t xml:space="preserve">PROVÁDĚCÍ NAŘÍZENÍ KOMISE (EU) </w:t>
      </w:r>
      <w:proofErr w:type="gramStart"/>
      <w:r w:rsidRPr="00AB4D67">
        <w:t>…/...</w:t>
      </w:r>
      <w:proofErr w:type="gramEnd"/>
    </w:p>
    <w:p w:rsidR="000826D9" w:rsidRPr="00AB4D67" w:rsidRDefault="00AB4D67" w:rsidP="00AB4D67">
      <w:pPr>
        <w:pStyle w:val="Datedadoption"/>
      </w:pPr>
      <w:r w:rsidRPr="00AB4D67">
        <w:t xml:space="preserve">ze dne </w:t>
      </w:r>
      <w:r w:rsidRPr="00AB4D67">
        <w:rPr>
          <w:rStyle w:val="Marker2"/>
        </w:rPr>
        <w:t>XXX</w:t>
      </w:r>
      <w:r w:rsidRPr="00AB4D67">
        <w:t>,</w:t>
      </w:r>
    </w:p>
    <w:p w:rsidR="000826D9" w:rsidRPr="00AB4D67" w:rsidRDefault="00AB4D67" w:rsidP="00AB4D67">
      <w:pPr>
        <w:pStyle w:val="Titreobjet"/>
      </w:pPr>
      <w:r w:rsidRPr="00AB4D67">
        <w:t>kterým se mění prováděcí nařízení (EU) č. 680/2014, kterým se stanoví prováděcí technické normy, pokud jde o podávání zpráv institucí pro účely dohledu podle nařízení Evropského parlamentu a Rady (EU) č. 575/2013</w:t>
      </w:r>
    </w:p>
    <w:p w:rsidR="000826D9" w:rsidRPr="00AB4D67" w:rsidRDefault="00AB4D67" w:rsidP="00AB4D67">
      <w:pPr>
        <w:pStyle w:val="IntrtEEE"/>
      </w:pPr>
      <w:r w:rsidRPr="00AB4D67">
        <w:t>(Text s významem pro EHP)</w:t>
      </w:r>
    </w:p>
    <w:p w:rsidR="000826D9" w:rsidRPr="00AB4D67" w:rsidRDefault="000826D9" w:rsidP="004E1EF9">
      <w:pPr>
        <w:pStyle w:val="Institutionquiagit"/>
      </w:pPr>
      <w:r w:rsidRPr="00AB4D67">
        <w:t>EVROPSKÁ KOMISE,</w:t>
      </w:r>
    </w:p>
    <w:p w:rsidR="000826D9" w:rsidRPr="00AB4D67" w:rsidRDefault="000826D9" w:rsidP="004E1EF9">
      <w:r w:rsidRPr="00AB4D67">
        <w:rPr>
          <w:color w:val="000000"/>
        </w:rPr>
        <w:t>s ohledem na Smlouvu o fungování Evropské unie</w:t>
      </w:r>
      <w:r w:rsidRPr="00AB4D67">
        <w:t>,</w:t>
      </w:r>
    </w:p>
    <w:p w:rsidR="000826D9" w:rsidRPr="00AB4D67" w:rsidRDefault="005E43C0" w:rsidP="00FC0A99">
      <w:r w:rsidRPr="00AB4D67">
        <w:t>s ohledem na nařízení Evropského parlamentu a Rady (EU) č. 575/2013 ze dne 26. června 2013 o obezřetnostních požadavcích na úvěrové instituce a investiční podniky a o změně nařízení (EU) č. 648/2012, a zejména na čl. 99 odst. 5 čtvrtý pododstavec, čl. 99 odst. 6 čtvrtý pododstavec, čl. 101 odst. 4 třetí pododstavec a čl. 394 odst. 4 třetí pododstavec uvedeného nařízení,</w:t>
      </w:r>
    </w:p>
    <w:p w:rsidR="000826D9" w:rsidRPr="00AB4D67" w:rsidRDefault="000826D9" w:rsidP="004E1EF9">
      <w:r w:rsidRPr="00AB4D67">
        <w:t>vzhledem k těmto důvodům:</w:t>
      </w:r>
    </w:p>
    <w:p w:rsidR="005E43C0" w:rsidRPr="00AB4D67" w:rsidRDefault="005E43C0" w:rsidP="00584220">
      <w:pPr>
        <w:pStyle w:val="Considrant"/>
        <w:numPr>
          <w:ilvl w:val="0"/>
          <w:numId w:val="5"/>
        </w:numPr>
      </w:pPr>
      <w:r w:rsidRPr="00AB4D67">
        <w:t>Prováděcím nařízením Komise (EU) č. 680/2014</w:t>
      </w:r>
      <w:r w:rsidRPr="00AB4D67">
        <w:rPr>
          <w:rStyle w:val="FootnoteReference"/>
        </w:rPr>
        <w:footnoteReference w:id="1"/>
      </w:r>
      <w:r w:rsidRPr="00AB4D67">
        <w:t xml:space="preserve"> se stanoví postupy, podle nichž musí instituce podávat zprávy týkající se jejich souladu s nařízením (EU) č. 575/2013. Ustanovení čl. 99 odst. 5 nařízení (EU) č. 575/2013 zmocňuje Evropský orgán pro bankovnictví (orgán EBA) vypracovat návrh prováděcích technických norem s cílem stanovit jednotné formáty pro vykazování finančních informací institucemi spadajícími do působnosti článku 4 nařízení Evropského parlamentu a Rady (ES) č. 1606/2002</w:t>
      </w:r>
      <w:r w:rsidRPr="00AB4D67">
        <w:rPr>
          <w:rStyle w:val="FootnoteReference"/>
        </w:rPr>
        <w:footnoteReference w:id="2"/>
      </w:r>
      <w:r w:rsidRPr="00AB4D67">
        <w:t xml:space="preserve"> a jinými úvěrovými institucemi, než které jsou uvedeny v uvedeném článku, které vypracovávají své konsolidované účetní závěrky v souladu s mezinárodními účetními standardy přijatými postupem stanoveným v čl. 6 odst. 2 nařízení (ES) č. 1606/2002. Ustanovení čl. 99 odst. 6 nařízení (EU) č. 575/2013 zmocňuje rovněž orgán EBA k vypracování návrhu prováděcích technických norem s cílem stanovit jednotné formáty pro vykazování finančních informací institucemi, které spadají do působnosti účetních rámců na základě směrnice Rady 86/635/EHS</w:t>
      </w:r>
      <w:r w:rsidRPr="00AB4D67">
        <w:rPr>
          <w:rStyle w:val="FootnoteReference"/>
        </w:rPr>
        <w:footnoteReference w:id="3"/>
      </w:r>
      <w:r w:rsidRPr="00AB4D67">
        <w:t xml:space="preserve"> a na které mohou příslušné orgány rozšířit požadavky na podávání zpráv. Každé z těchto ustanovení se týká aspektů rámce pro podávání zpráv pro účely dohledu v Unii, které je třeba uvést do souladu s nově platnými mezinárodními standardy. </w:t>
      </w:r>
    </w:p>
    <w:p w:rsidR="005E43C0" w:rsidRPr="00AB4D67" w:rsidRDefault="005E43C0" w:rsidP="001B668B">
      <w:pPr>
        <w:pStyle w:val="Considrant"/>
      </w:pPr>
      <w:r w:rsidRPr="00AB4D67">
        <w:t>Mezinárodní účetní standardy přijaté postupem podle čl. 6 odst. 2 nařízení (ES) č. 1606/2002 vycházejí z mezinárodních standardů účetního výkaznictví (IFRS) vypracovaných Radou pro mezinárodní účetní standardy (IASB).</w:t>
      </w:r>
    </w:p>
    <w:p w:rsidR="005E43C0" w:rsidRPr="00AB4D67" w:rsidRDefault="005E43C0" w:rsidP="005E43C0">
      <w:pPr>
        <w:pStyle w:val="Considrant"/>
      </w:pPr>
      <w:r w:rsidRPr="00AB4D67">
        <w:lastRenderedPageBreak/>
        <w:t>V červenci 2014 vydala IASB standard IFRS 9 Finanční nástroje („IFRS 9“) jako nový standard pro účtování o finančních nástrojích s cílem uplatňovat jej na mezinárodní úrovni od 1. ledna 2018. IFRS 9 byl přijat v Unii dne 22. listopadu 2016 nařízením Komise (EU) 2016/2067</w:t>
      </w:r>
      <w:r w:rsidRPr="00AB4D67">
        <w:rPr>
          <w:rStyle w:val="FootnoteReference"/>
        </w:rPr>
        <w:footnoteReference w:id="4"/>
      </w:r>
      <w:r w:rsidRPr="00AB4D67">
        <w:t>.</w:t>
      </w:r>
    </w:p>
    <w:p w:rsidR="008A3611" w:rsidRPr="00AB4D67" w:rsidRDefault="005E43C0" w:rsidP="002F4AD0">
      <w:pPr>
        <w:pStyle w:val="Considrant"/>
      </w:pPr>
      <w:r w:rsidRPr="00AB4D67">
        <w:t>IFRS 9 zásadně mění účtování o finančních nástrojích pro instituce, na něž se vztahuje čl. 99 odst. 2 nařízení (EU) č. 575/2013. IFRS 9 zahrnuje logický model pro klasifikaci a oceňování, jediný, prospektivní model znehodnocení na základě „očekávaných ztrát“ a výrazně zreformovaný přístup k zajišťovacímu účetnictví. Účtování ze strany institucí by proto mělo být odpovídajícím způsobem změněno.</w:t>
      </w:r>
    </w:p>
    <w:p w:rsidR="005E43C0" w:rsidRPr="00AB4D67" w:rsidRDefault="005E43C0" w:rsidP="002358B5">
      <w:pPr>
        <w:pStyle w:val="Considrant"/>
      </w:pPr>
      <w:r w:rsidRPr="00AB4D67">
        <w:t>Dále je nezbytné aktualizovat šablony a pokyny týkající se vykazování hrubé účetní hodnoty finančních aktiv oceněných reálnou hodnotou do zisku nebo ztráty. Důvodem této změny je potřeba vyjasnit definici pojmu „hrubá účetní hodnota“ pro sledování úvěrového rizika za účelem zvýšení kvality vykazovaných informací a ke snížení zátěže výkaznictví.</w:t>
      </w:r>
    </w:p>
    <w:p w:rsidR="005E43C0" w:rsidRPr="00AB4D67" w:rsidRDefault="008A3611" w:rsidP="005E43C0">
      <w:pPr>
        <w:pStyle w:val="Considrant"/>
      </w:pPr>
      <w:r w:rsidRPr="00AB4D67">
        <w:t>Je rovněž nezbytné aktualizovat šablony a pokyny pro instituce spadající pod účetní rámce na základě směrnice 86/635/EHS tak, aby se zajistilo, že vykazované finanční informace zůstanou relevantní a sladěné mezi všemi institucemi, a aby se vyřešily informační mezery týkající se konkrétních vnitrostátních účetních rámců, které předtím nebyly v šablonách plně zohledněny.</w:t>
      </w:r>
    </w:p>
    <w:p w:rsidR="005E43C0" w:rsidRPr="00AB4D67" w:rsidRDefault="005E43C0" w:rsidP="005E43C0">
      <w:pPr>
        <w:pStyle w:val="Considrant"/>
      </w:pPr>
      <w:r w:rsidRPr="00AB4D67">
        <w:t>Jelikož účetní výkaznictví úzce souvisí s platnými účetními standardy, je nutné, aby se datum použití tohoto nařízení shodovalo s datem použití IFRS 9. Z téhož důvodu je také nezbytné, aby se u institucí, jež ve svém účetnictví používají účetní období, které se liší od kalendářního roku, datum použití tohoto nařízení shodovalo s datem použití IFRS 9, což je den kalendářního roku, ve kterém u uvedených institucí začíná účetní období.</w:t>
      </w:r>
    </w:p>
    <w:p w:rsidR="005E43C0" w:rsidRPr="00AB4D67" w:rsidRDefault="005E43C0" w:rsidP="005E43C0">
      <w:pPr>
        <w:pStyle w:val="Considrant"/>
      </w:pPr>
      <w:r w:rsidRPr="00AB4D67">
        <w:t xml:space="preserve">Toto nařízení vychází z návrhů prováděcích technických norem, které Komisi předložil orgán EBA. </w:t>
      </w:r>
    </w:p>
    <w:p w:rsidR="005E43C0" w:rsidRPr="00AB4D67" w:rsidRDefault="005E43C0" w:rsidP="005E43C0">
      <w:pPr>
        <w:pStyle w:val="Considrant"/>
      </w:pPr>
      <w:r w:rsidRPr="00AB4D67">
        <w:t>O návrhu prováděcích technických norem, z něhož toto nařízení vychází, uskutečnil Evropský orgán pro bankovnictví otevřené veřejné konzultace, analyzoval potenciální související náklady a přínosy a požádal o stanovisko skupinu subjektů působících v bankovnictví zřízenou podle článku 37 nařízení Evropského parlamentu a Rady (EU) č. 1093/2010</w:t>
      </w:r>
      <w:r w:rsidRPr="00AB4D67">
        <w:rPr>
          <w:rStyle w:val="FootnoteReference"/>
        </w:rPr>
        <w:footnoteReference w:id="5"/>
      </w:r>
      <w:r w:rsidRPr="00AB4D67">
        <w:t xml:space="preserve">. </w:t>
      </w:r>
    </w:p>
    <w:p w:rsidR="000826D9" w:rsidRPr="00AB4D67" w:rsidRDefault="005E43C0" w:rsidP="005E43C0">
      <w:pPr>
        <w:pStyle w:val="Considrant"/>
      </w:pPr>
      <w:r w:rsidRPr="00AB4D67">
        <w:t xml:space="preserve">Prováděcí nařízení (EU) č. 680/2014 by mělo být odpovídajícím způsobem změněno, </w:t>
      </w:r>
    </w:p>
    <w:p w:rsidR="000826D9" w:rsidRPr="00AB4D67" w:rsidRDefault="000826D9" w:rsidP="004E1EF9">
      <w:pPr>
        <w:pStyle w:val="Formuledadoption"/>
      </w:pPr>
      <w:r w:rsidRPr="00AB4D67">
        <w:t>PŘIJALA TOTO NAŘÍZENÍ:</w:t>
      </w:r>
    </w:p>
    <w:p w:rsidR="000826D9" w:rsidRPr="00AB4D67" w:rsidRDefault="000826D9" w:rsidP="004E1EF9">
      <w:pPr>
        <w:pStyle w:val="Titrearticle"/>
      </w:pPr>
      <w:r w:rsidRPr="00AB4D67">
        <w:t>Článek 1</w:t>
      </w:r>
    </w:p>
    <w:p w:rsidR="005E43C0" w:rsidRPr="00AB4D67" w:rsidRDefault="005E43C0" w:rsidP="005E43C0">
      <w:r w:rsidRPr="00AB4D67">
        <w:t>Prováděcí nařízení (EU) č. 680/2014 se mění takto:</w:t>
      </w:r>
    </w:p>
    <w:p w:rsidR="005E43C0" w:rsidRPr="00AB4D67" w:rsidRDefault="00F93912" w:rsidP="00F93912">
      <w:pPr>
        <w:pStyle w:val="Point0"/>
      </w:pPr>
      <w:r>
        <w:t>1)</w:t>
      </w:r>
      <w:r w:rsidRPr="00F93912">
        <w:tab/>
      </w:r>
      <w:r w:rsidR="005E43C0" w:rsidRPr="00AB4D67">
        <w:t xml:space="preserve">Příloha III </w:t>
      </w:r>
      <w:proofErr w:type="gramStart"/>
      <w:r w:rsidR="005E43C0" w:rsidRPr="00AB4D67">
        <w:t>prováděcího</w:t>
      </w:r>
      <w:proofErr w:type="gramEnd"/>
      <w:r w:rsidR="005E43C0" w:rsidRPr="00AB4D67">
        <w:t xml:space="preserve"> nařízení (EU) č. 680/2014 se nahrazuje zněním uvedeným v příloze I tohoto nařízení.</w:t>
      </w:r>
    </w:p>
    <w:p w:rsidR="005E43C0" w:rsidRPr="00AB4D67" w:rsidRDefault="00F93912" w:rsidP="00F93912">
      <w:pPr>
        <w:pStyle w:val="Point0"/>
      </w:pPr>
      <w:r>
        <w:lastRenderedPageBreak/>
        <w:t>2)</w:t>
      </w:r>
      <w:r w:rsidRPr="00F93912">
        <w:tab/>
      </w:r>
      <w:r w:rsidR="005E43C0" w:rsidRPr="00AB4D67">
        <w:t xml:space="preserve">Příloha IV </w:t>
      </w:r>
      <w:proofErr w:type="gramStart"/>
      <w:r w:rsidR="005E43C0" w:rsidRPr="00AB4D67">
        <w:t>prováděcího</w:t>
      </w:r>
      <w:proofErr w:type="gramEnd"/>
      <w:r w:rsidR="005E43C0" w:rsidRPr="00AB4D67">
        <w:t xml:space="preserve"> nařízení (EU) č. 680/2014 se nahrazuje zněním uvedeným v příloze II tohoto nařízení.</w:t>
      </w:r>
    </w:p>
    <w:p w:rsidR="005E43C0" w:rsidRPr="00AB4D67" w:rsidRDefault="00F93912" w:rsidP="00F93912">
      <w:pPr>
        <w:pStyle w:val="Point0"/>
      </w:pPr>
      <w:r>
        <w:t>3)</w:t>
      </w:r>
      <w:r w:rsidRPr="00F93912">
        <w:tab/>
      </w:r>
      <w:r w:rsidR="005E43C0" w:rsidRPr="00AB4D67">
        <w:t>Příloha V prováděcího nařízení (EU) č. 680/2014 se nahrazuje zněním uvedeným v příloze III tohoto nařízení.</w:t>
      </w:r>
    </w:p>
    <w:p w:rsidR="000826D9" w:rsidRPr="00AB4D67" w:rsidRDefault="000826D9" w:rsidP="004E1EF9">
      <w:pPr>
        <w:pStyle w:val="Titrearticle"/>
      </w:pPr>
      <w:r w:rsidRPr="00AB4D67">
        <w:t>Článek 2</w:t>
      </w:r>
    </w:p>
    <w:p w:rsidR="005E43C0" w:rsidRPr="00AB4D67" w:rsidRDefault="005E43C0" w:rsidP="005E43C0">
      <w:pPr>
        <w:pStyle w:val="Applicationdirecte"/>
      </w:pPr>
      <w:r w:rsidRPr="00AB4D67">
        <w:t xml:space="preserve">Toto nařízení vstupuje v platnost dvacátým </w:t>
      </w:r>
      <w:r w:rsidRPr="00AB4D67">
        <w:rPr>
          <w:noProof/>
          <w:color w:val="000000"/>
        </w:rPr>
        <w:t xml:space="preserve">dnem </w:t>
      </w:r>
      <w:r w:rsidRPr="00AB4D67">
        <w:t xml:space="preserve">po vyhlášení v </w:t>
      </w:r>
      <w:r w:rsidRPr="00AB4D67">
        <w:rPr>
          <w:i/>
        </w:rPr>
        <w:t>Úředním věstníku Evropské unie</w:t>
      </w:r>
      <w:r w:rsidRPr="00AB4D67">
        <w:t>.</w:t>
      </w:r>
    </w:p>
    <w:p w:rsidR="005E43C0" w:rsidRPr="00AB4D67" w:rsidRDefault="005E43C0" w:rsidP="005E43C0">
      <w:r w:rsidRPr="00AB4D67">
        <w:t>Použije se od 1. ledna 2018.</w:t>
      </w:r>
    </w:p>
    <w:p w:rsidR="0065426A" w:rsidRPr="00AB4D67" w:rsidRDefault="00BE632F" w:rsidP="005E43C0">
      <w:r w:rsidRPr="00AB4D67">
        <w:t>Ve vztahu k následujícím institucím, pokud tyto instituce používají účetní období, které je odlišné od kalendářního roku, se přílohy I a III tohoto nařízení použijí od začátku účetního období, které začíná po 1. lednu 2018:</w:t>
      </w:r>
    </w:p>
    <w:p w:rsidR="0065426A" w:rsidRPr="00AB4D67" w:rsidRDefault="0065426A" w:rsidP="005E43C0">
      <w:r w:rsidRPr="00AB4D67">
        <w:t xml:space="preserve">a) institucím, které spadají do působnosti článku 4 nařízení (ES) č. 1606/2002; </w:t>
      </w:r>
    </w:p>
    <w:p w:rsidR="0065426A" w:rsidRPr="00AB4D67" w:rsidRDefault="0065426A" w:rsidP="005E43C0">
      <w:r w:rsidRPr="00AB4D67">
        <w:t>b) úvěrovým institucím, které nejsou uvedeny v článku 4 nařízení (ES) č. 1606/202 a které sestavují své konsolidované účetní závěrky v souladu s mezinárodními účetními standardy přijatými postupem stanoveným v čl. 6 odst. 2 uvedeného nařízení;</w:t>
      </w:r>
    </w:p>
    <w:p w:rsidR="00375E2B" w:rsidRPr="00AB4D67" w:rsidRDefault="00375E2B" w:rsidP="005E43C0">
      <w:r w:rsidRPr="00AB4D67">
        <w:t>c) úvěrovým institucím, které používají mezinárodní účetní standardy na základě nařízení (ES) č. 1606/2002 k podávání zpráv o kapitálu na konsolidovaném základě podle čl. 24 odst. 2 nařízení (EU) č. 575/2013.</w:t>
      </w:r>
    </w:p>
    <w:p w:rsidR="005E43C0" w:rsidRPr="00AB4D67" w:rsidRDefault="005E43C0" w:rsidP="005E43C0">
      <w:r w:rsidRPr="00AB4D67">
        <w:t>Toto nařízení je závazné v celém rozsahu a přímo použitelné ve všech členských státech.</w:t>
      </w:r>
    </w:p>
    <w:p w:rsidR="000826D9" w:rsidRPr="00AB4D67" w:rsidRDefault="00AB4D67" w:rsidP="00AB4D67">
      <w:pPr>
        <w:pStyle w:val="Fait"/>
      </w:pPr>
      <w:r w:rsidRPr="00AB4D67">
        <w:t>V Bruselu dne</w:t>
      </w:r>
    </w:p>
    <w:p w:rsidR="000826D9" w:rsidRPr="00AB4D67" w:rsidRDefault="000826D9" w:rsidP="000826D9">
      <w:pPr>
        <w:pStyle w:val="Institutionquisigne"/>
      </w:pPr>
      <w:r w:rsidRPr="00AB4D67">
        <w:tab/>
        <w:t>Za Komisi</w:t>
      </w:r>
    </w:p>
    <w:p w:rsidR="000826D9" w:rsidRPr="00AB4D67" w:rsidRDefault="000826D9" w:rsidP="000826D9">
      <w:pPr>
        <w:pStyle w:val="Personnequisigne"/>
      </w:pPr>
      <w:r w:rsidRPr="00AB4D67">
        <w:tab/>
        <w:t>předseda</w:t>
      </w:r>
      <w:r w:rsidRPr="00AB4D67">
        <w:br/>
      </w:r>
      <w:r w:rsidRPr="00AB4D67">
        <w:tab/>
        <w:t xml:space="preserve">Jean-Claude </w:t>
      </w:r>
      <w:proofErr w:type="spellStart"/>
      <w:r w:rsidRPr="00AB4D67">
        <w:t>Juncker</w:t>
      </w:r>
      <w:proofErr w:type="spellEnd"/>
    </w:p>
    <w:sectPr w:rsidR="000826D9" w:rsidRPr="00AB4D67" w:rsidSect="00F93912">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2A" w:rsidRDefault="003251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D9" w:rsidRPr="00F93912" w:rsidRDefault="00F93912" w:rsidP="00F93912">
    <w:pPr>
      <w:pStyle w:val="Footer"/>
      <w:rPr>
        <w:rFonts w:ascii="Arial" w:hAnsi="Arial" w:cs="Arial"/>
        <w:b/>
        <w:sz w:val="48"/>
      </w:rPr>
    </w:pPr>
    <w:r w:rsidRPr="00F93912">
      <w:rPr>
        <w:rFonts w:ascii="Arial" w:hAnsi="Arial" w:cs="Arial"/>
        <w:b/>
        <w:sz w:val="48"/>
      </w:rPr>
      <w:t>CS</w:t>
    </w:r>
    <w:r w:rsidRPr="00F93912">
      <w:rPr>
        <w:rFonts w:ascii="Arial" w:hAnsi="Arial" w:cs="Arial"/>
        <w:b/>
        <w:sz w:val="48"/>
      </w:rPr>
      <w:tab/>
    </w:r>
    <w:r w:rsidRPr="00F93912">
      <w:rPr>
        <w:rFonts w:ascii="Arial" w:hAnsi="Arial" w:cs="Arial"/>
        <w:b/>
        <w:sz w:val="48"/>
      </w:rPr>
      <w:tab/>
    </w:r>
    <w:fldSimple w:instr=" DOCVARIABLE &quot;LW_Confidence&quot; \* MERGEFORMAT ">
      <w:r>
        <w:t xml:space="preserve"> </w:t>
      </w:r>
    </w:fldSimple>
    <w:r w:rsidRPr="00F93912">
      <w:tab/>
    </w:r>
    <w:proofErr w:type="spellStart"/>
    <w:r w:rsidRPr="00F93912">
      <w:rPr>
        <w:rFonts w:ascii="Arial" w:hAnsi="Arial" w:cs="Arial"/>
        <w:b/>
        <w:sz w:val="48"/>
      </w:rPr>
      <w:t>CS</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2A" w:rsidRDefault="0032512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912" w:rsidRPr="00F93912" w:rsidRDefault="00F93912" w:rsidP="00F93912">
    <w:pPr>
      <w:pStyle w:val="Footer"/>
      <w:rPr>
        <w:rFonts w:ascii="Arial" w:hAnsi="Arial" w:cs="Arial"/>
        <w:b/>
        <w:sz w:val="48"/>
      </w:rPr>
    </w:pPr>
    <w:r w:rsidRPr="00F93912">
      <w:rPr>
        <w:rFonts w:ascii="Arial" w:hAnsi="Arial" w:cs="Arial"/>
        <w:b/>
        <w:sz w:val="48"/>
      </w:rPr>
      <w:t>CS</w:t>
    </w:r>
    <w:r w:rsidRPr="00F93912">
      <w:rPr>
        <w:rFonts w:ascii="Arial" w:hAnsi="Arial" w:cs="Arial"/>
        <w:b/>
        <w:sz w:val="48"/>
      </w:rPr>
      <w:tab/>
    </w:r>
    <w:r>
      <w:fldChar w:fldCharType="begin"/>
    </w:r>
    <w:r>
      <w:instrText xml:space="preserve"> PAGE  \* MERGEFORMAT </w:instrText>
    </w:r>
    <w:r>
      <w:fldChar w:fldCharType="separate"/>
    </w:r>
    <w:r w:rsidR="0032512A">
      <w:rPr>
        <w:noProof/>
      </w:rPr>
      <w:t>4</w:t>
    </w:r>
    <w:r>
      <w:fldChar w:fldCharType="end"/>
    </w:r>
    <w:r>
      <w:tab/>
    </w:r>
    <w:fldSimple w:instr=" DOCVARIABLE &quot;LW_Confidence&quot; \* MERGEFORMAT ">
      <w:r>
        <w:t xml:space="preserve"> </w:t>
      </w:r>
    </w:fldSimple>
    <w:r w:rsidRPr="00F93912">
      <w:tab/>
    </w:r>
    <w:r w:rsidRPr="00F93912">
      <w:rPr>
        <w:rFonts w:ascii="Arial" w:hAnsi="Arial" w:cs="Arial"/>
        <w:b/>
        <w:sz w:val="48"/>
      </w:rPr>
      <w:t>CS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912" w:rsidRPr="00F93912" w:rsidRDefault="00F93912" w:rsidP="00F939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Prováděcí nařízení Komise (EU) č. 680/2014, kterým se stanoví prováděcí technické normy, pokud jde o podávání zpráv institucí pro účely dohledu podle nařízení Evropského parlamentu a Rady (EU) č. 575/2013 (</w:t>
      </w:r>
      <w:proofErr w:type="spellStart"/>
      <w:r>
        <w:t>Úř</w:t>
      </w:r>
      <w:proofErr w:type="spellEnd"/>
      <w:r>
        <w:t xml:space="preserve">. </w:t>
      </w:r>
      <w:proofErr w:type="spellStart"/>
      <w:proofErr w:type="gramStart"/>
      <w:r>
        <w:t>věst</w:t>
      </w:r>
      <w:proofErr w:type="spellEnd"/>
      <w:proofErr w:type="gramEnd"/>
      <w:r>
        <w:t xml:space="preserve">. L 191, </w:t>
      </w:r>
      <w:proofErr w:type="gramStart"/>
      <w:r>
        <w:t>28.6.2014</w:t>
      </w:r>
      <w:proofErr w:type="gramEnd"/>
      <w:r>
        <w:t xml:space="preserve">, s. 1). </w:t>
      </w:r>
    </w:p>
  </w:footnote>
  <w:footnote w:id="2">
    <w:p w:rsidR="005E43C0" w:rsidRPr="00F86D15" w:rsidRDefault="005E43C0" w:rsidP="005E43C0">
      <w:pPr>
        <w:pStyle w:val="FootnoteText"/>
      </w:pPr>
      <w:r>
        <w:rPr>
          <w:rStyle w:val="FootnoteReference"/>
        </w:rPr>
        <w:footnoteRef/>
      </w:r>
      <w:r>
        <w:tab/>
        <w:t>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w:t>
      </w:r>
      <w:proofErr w:type="gramStart"/>
      <w:r>
        <w:t>11.9.2002</w:t>
      </w:r>
      <w:proofErr w:type="gramEnd"/>
      <w:r>
        <w:t>, s. 1).</w:t>
      </w:r>
    </w:p>
  </w:footnote>
  <w:footnote w:id="3">
    <w:p w:rsidR="002A64F4" w:rsidRDefault="002A64F4">
      <w:pPr>
        <w:pStyle w:val="FootnoteText"/>
      </w:pPr>
      <w:r>
        <w:rPr>
          <w:rStyle w:val="FootnoteReference"/>
        </w:rPr>
        <w:footnoteRef/>
      </w:r>
      <w:r>
        <w:tab/>
        <w:t>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4">
    <w:p w:rsidR="00775C98" w:rsidRDefault="00775C98">
      <w:pPr>
        <w:pStyle w:val="FootnoteText"/>
      </w:pPr>
      <w:r>
        <w:rPr>
          <w:rStyle w:val="FootnoteReference"/>
        </w:rPr>
        <w:footnoteRef/>
      </w:r>
      <w:r>
        <w:tab/>
        <w:t>Nařízení Komise (EU) 2016/2067 ze dne 22. listopadu 2016, kterým se mění nařízení (ES) č. 1126/2008, kterým se přijímají některé mezinárodní účetní standardy v souladu s nařízením Evropského parlamentu a Rady (ES) č. 1606/2002, pokud jde o Mezinárodní standard účetního výkaznictví 9 (</w:t>
      </w:r>
      <w:proofErr w:type="spellStart"/>
      <w:r>
        <w:t>Úř</w:t>
      </w:r>
      <w:proofErr w:type="spellEnd"/>
      <w:r>
        <w:t xml:space="preserve">. </w:t>
      </w:r>
      <w:proofErr w:type="spellStart"/>
      <w:proofErr w:type="gramStart"/>
      <w:r>
        <w:t>věst</w:t>
      </w:r>
      <w:proofErr w:type="spellEnd"/>
      <w:proofErr w:type="gramEnd"/>
      <w:r>
        <w:t xml:space="preserve">. L 323, </w:t>
      </w:r>
      <w:proofErr w:type="gramStart"/>
      <w:r>
        <w:t>29.11.2016</w:t>
      </w:r>
      <w:proofErr w:type="gramEnd"/>
      <w:r>
        <w:t>, s. 1).</w:t>
      </w:r>
    </w:p>
  </w:footnote>
  <w:footnote w:id="5">
    <w:p w:rsidR="005E43C0" w:rsidRPr="004500CE" w:rsidRDefault="005E43C0" w:rsidP="005E43C0">
      <w:pPr>
        <w:pStyle w:val="FootnoteText"/>
      </w:pPr>
      <w:r>
        <w:rPr>
          <w:rStyle w:val="FootnoteReference"/>
        </w:rPr>
        <w:footnoteRef/>
      </w:r>
      <w:r>
        <w:tab/>
        <w:t>Nařízení Evropského parlamentu a Rady (EU) č. 1093/2010 ze dne 24. listopadu 2010 o zřízení Evropského orgánu dohledu (Evropského orgánu pro bankovnictví), o změně rozhodnutí č. 716/2009/ES a o zrušení rozhodnutí Komise 2009/78/ES (</w:t>
      </w:r>
      <w:proofErr w:type="spellStart"/>
      <w:r>
        <w:t>Úř</w:t>
      </w:r>
      <w:proofErr w:type="spellEnd"/>
      <w:r>
        <w:t xml:space="preserve">. </w:t>
      </w:r>
      <w:proofErr w:type="spellStart"/>
      <w:proofErr w:type="gramStart"/>
      <w:r>
        <w:t>věst</w:t>
      </w:r>
      <w:proofErr w:type="spellEnd"/>
      <w:proofErr w:type="gramEnd"/>
      <w:r>
        <w:t xml:space="preserve">. L 331, </w:t>
      </w:r>
      <w:proofErr w:type="gramStart"/>
      <w:r>
        <w:t>15.12.2010</w:t>
      </w:r>
      <w:proofErr w:type="gramEnd"/>
      <w:r>
        <w:t xml:space="preserve">, s.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2A" w:rsidRDefault="003251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2A" w:rsidRDefault="003251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12A" w:rsidRDefault="003251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proofState w:spelling="clean" w:grammar="clean"/>
  <w:attachedTemplate r:id="rId1"/>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0 08:57:5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9D5D881F16D14BA8977F9F3E82D32C82"/>
    <w:docVar w:name="LW_CROSSREFERENCE" w:val="&lt;UNUSED&gt;"/>
    <w:docVar w:name="LW_DATE.ADOPT.CP" w:val="ze dne XXX,"/>
    <w:docVar w:name="LW_DATE.ADOPT.CP_DATEFORMAT" w:val="ze dne %DATE%,"/>
    <w:docVar w:name="LW_DATE.ADOPT.CP_ISODATE" w:val="&lt;EMPTY&gt;"/>
    <w:docVar w:name="LW_DocType" w:val="COM"/>
    <w:docVar w:name="LW_EMISSION" w:val="&lt;EMPTY&gt;"/>
    <w:docVar w:name="LW_EMISSION_ISODATE" w:val="&lt;EMPTY&gt;"/>
    <w:docVar w:name="LW_EMISSION_LOCATION" w:val="BRX"/>
    <w:docVar w:name="LW_EMISSION_PREFIX" w:val="V Bruselu dne "/>
    <w:docVar w:name="LW_EMISSION_SUFFIX" w:val=" "/>
    <w:docVar w:name="LW_ID_DOCMODEL" w:val="SJ-004"/>
    <w:docVar w:name="LW_ID_DOCSIGNATURE" w:val="SJ-004"/>
    <w:docVar w:name="LW_ID_DOCSTRUCTURE" w:val="COM/AA"/>
    <w:docVar w:name="LW_ID_DOCTYPE" w:val="SJ-004"/>
    <w:docVar w:name="LW_INTERETEEE.CP" w:val="(Text s významem pro EHP)"/>
    <w:docVar w:name="LW_LANGUE" w:val="CS"/>
    <w:docVar w:name="LW_LANGUESFAISANTFOI.CP" w:val="&lt;UNUSED&gt;"/>
    <w:docVar w:name="LW_MARKING" w:val="&lt;UNUSED&gt;"/>
    <w:docVar w:name="LW_NOM.INST" w:val="EVROPSKÁ KOMISE"/>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kterým se m\u283?ní provád\u283?cí na\u345?ízení (EU) \u269?. 680/2014, kterým se stanoví provád\u283?cí technické normy, pokud jde o podávání zpráv institucí pro ú\u269?ely dohledu podle na\u345?ízení Evropského parlamentu a Rady (EU) \u269?. 575/2013"/>
    <w:docVar w:name="LW_TYPE.DOC.CP" w:val="PROVÁD\u282?CÍ NA\u344?ÍZENÍ KOMISE (EU) \u8230?/..."/>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600C9"/>
    <w:rsid w:val="002A64F4"/>
    <w:rsid w:val="002D24B9"/>
    <w:rsid w:val="002F4AD0"/>
    <w:rsid w:val="003102EE"/>
    <w:rsid w:val="00317B11"/>
    <w:rsid w:val="00321090"/>
    <w:rsid w:val="0032512A"/>
    <w:rsid w:val="0033343F"/>
    <w:rsid w:val="0034445E"/>
    <w:rsid w:val="00351B46"/>
    <w:rsid w:val="00375E2B"/>
    <w:rsid w:val="003B3DC7"/>
    <w:rsid w:val="003B4C8E"/>
    <w:rsid w:val="003B7D15"/>
    <w:rsid w:val="003C09FC"/>
    <w:rsid w:val="003C33DE"/>
    <w:rsid w:val="004216FA"/>
    <w:rsid w:val="004279BC"/>
    <w:rsid w:val="004375FF"/>
    <w:rsid w:val="00437AE2"/>
    <w:rsid w:val="00451B60"/>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B4D67"/>
    <w:rsid w:val="00AD7ACA"/>
    <w:rsid w:val="00AE3A6D"/>
    <w:rsid w:val="00AF5826"/>
    <w:rsid w:val="00B04DCA"/>
    <w:rsid w:val="00B44CFD"/>
    <w:rsid w:val="00B6276F"/>
    <w:rsid w:val="00B71D16"/>
    <w:rsid w:val="00B76774"/>
    <w:rsid w:val="00B907CC"/>
    <w:rsid w:val="00BA0D2E"/>
    <w:rsid w:val="00BB4D39"/>
    <w:rsid w:val="00BC306E"/>
    <w:rsid w:val="00BD541C"/>
    <w:rsid w:val="00BE632F"/>
    <w:rsid w:val="00C120E1"/>
    <w:rsid w:val="00C12D28"/>
    <w:rsid w:val="00C40CC5"/>
    <w:rsid w:val="00C56B66"/>
    <w:rsid w:val="00C751B7"/>
    <w:rsid w:val="00C809B6"/>
    <w:rsid w:val="00C94153"/>
    <w:rsid w:val="00CB671C"/>
    <w:rsid w:val="00D06A94"/>
    <w:rsid w:val="00D5747C"/>
    <w:rsid w:val="00D604C4"/>
    <w:rsid w:val="00D60A2C"/>
    <w:rsid w:val="00D66031"/>
    <w:rsid w:val="00DC2257"/>
    <w:rsid w:val="00DE69F3"/>
    <w:rsid w:val="00DE7040"/>
    <w:rsid w:val="00E214E7"/>
    <w:rsid w:val="00E50FE8"/>
    <w:rsid w:val="00E625E8"/>
    <w:rsid w:val="00E6497D"/>
    <w:rsid w:val="00E84EAD"/>
    <w:rsid w:val="00EB4B56"/>
    <w:rsid w:val="00ED4073"/>
    <w:rsid w:val="00EE3FFC"/>
    <w:rsid w:val="00EE7E75"/>
    <w:rsid w:val="00F83467"/>
    <w:rsid w:val="00F87183"/>
    <w:rsid w:val="00F93912"/>
    <w:rsid w:val="00FB2481"/>
    <w:rsid w:val="00FC0A99"/>
    <w:rsid w:val="00FC236F"/>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cs-CZ"/>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cs-CZ"/>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cs-CZ"/>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5"/>
      </w:numPr>
    </w:pPr>
  </w:style>
  <w:style w:type="paragraph" w:customStyle="1" w:styleId="Tiret1">
    <w:name w:val="Tiret 1"/>
    <w:basedOn w:val="Point1"/>
    <w:rsid w:val="007D53B6"/>
    <w:pPr>
      <w:numPr>
        <w:numId w:val="26"/>
      </w:numPr>
    </w:pPr>
  </w:style>
  <w:style w:type="paragraph" w:customStyle="1" w:styleId="Tiret2">
    <w:name w:val="Tiret 2"/>
    <w:basedOn w:val="Point2"/>
    <w:rsid w:val="007D53B6"/>
    <w:pPr>
      <w:numPr>
        <w:numId w:val="27"/>
      </w:numPr>
    </w:pPr>
  </w:style>
  <w:style w:type="paragraph" w:customStyle="1" w:styleId="Tiret3">
    <w:name w:val="Tiret 3"/>
    <w:basedOn w:val="Point3"/>
    <w:rsid w:val="007D53B6"/>
    <w:pPr>
      <w:numPr>
        <w:numId w:val="28"/>
      </w:numPr>
    </w:pPr>
  </w:style>
  <w:style w:type="paragraph" w:customStyle="1" w:styleId="Tiret4">
    <w:name w:val="Tiret 4"/>
    <w:basedOn w:val="Point4"/>
    <w:rsid w:val="007D53B6"/>
    <w:pPr>
      <w:numPr>
        <w:numId w:val="29"/>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0"/>
      </w:numPr>
    </w:pPr>
  </w:style>
  <w:style w:type="paragraph" w:customStyle="1" w:styleId="NumPar2">
    <w:name w:val="NumPar 2"/>
    <w:basedOn w:val="Normal"/>
    <w:next w:val="Text1"/>
    <w:rsid w:val="007D53B6"/>
    <w:pPr>
      <w:numPr>
        <w:ilvl w:val="1"/>
        <w:numId w:val="30"/>
      </w:numPr>
    </w:pPr>
  </w:style>
  <w:style w:type="paragraph" w:customStyle="1" w:styleId="NumPar3">
    <w:name w:val="NumPar 3"/>
    <w:basedOn w:val="Normal"/>
    <w:next w:val="Text1"/>
    <w:rsid w:val="007D53B6"/>
    <w:pPr>
      <w:numPr>
        <w:ilvl w:val="2"/>
        <w:numId w:val="30"/>
      </w:numPr>
    </w:pPr>
  </w:style>
  <w:style w:type="paragraph" w:customStyle="1" w:styleId="NumPar4">
    <w:name w:val="NumPar 4"/>
    <w:basedOn w:val="Normal"/>
    <w:next w:val="Text1"/>
    <w:rsid w:val="007D53B6"/>
    <w:pPr>
      <w:numPr>
        <w:ilvl w:val="3"/>
        <w:numId w:val="30"/>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2"/>
      </w:numPr>
    </w:pPr>
  </w:style>
  <w:style w:type="paragraph" w:customStyle="1" w:styleId="Point1number">
    <w:name w:val="Point 1 (number)"/>
    <w:basedOn w:val="Normal"/>
    <w:rsid w:val="007D53B6"/>
    <w:pPr>
      <w:numPr>
        <w:ilvl w:val="2"/>
        <w:numId w:val="32"/>
      </w:numPr>
    </w:pPr>
  </w:style>
  <w:style w:type="paragraph" w:customStyle="1" w:styleId="Point2number">
    <w:name w:val="Point 2 (number)"/>
    <w:basedOn w:val="Normal"/>
    <w:rsid w:val="007D53B6"/>
    <w:pPr>
      <w:numPr>
        <w:ilvl w:val="4"/>
        <w:numId w:val="32"/>
      </w:numPr>
    </w:pPr>
  </w:style>
  <w:style w:type="paragraph" w:customStyle="1" w:styleId="Point3number">
    <w:name w:val="Point 3 (number)"/>
    <w:basedOn w:val="Normal"/>
    <w:rsid w:val="007D53B6"/>
    <w:pPr>
      <w:numPr>
        <w:ilvl w:val="6"/>
        <w:numId w:val="32"/>
      </w:numPr>
    </w:pPr>
  </w:style>
  <w:style w:type="paragraph" w:customStyle="1" w:styleId="Point0letter">
    <w:name w:val="Point 0 (letter)"/>
    <w:basedOn w:val="Normal"/>
    <w:rsid w:val="007D53B6"/>
    <w:pPr>
      <w:numPr>
        <w:ilvl w:val="1"/>
        <w:numId w:val="32"/>
      </w:numPr>
    </w:pPr>
  </w:style>
  <w:style w:type="paragraph" w:customStyle="1" w:styleId="Point1letter">
    <w:name w:val="Point 1 (letter)"/>
    <w:basedOn w:val="Normal"/>
    <w:rsid w:val="007D53B6"/>
    <w:pPr>
      <w:numPr>
        <w:ilvl w:val="3"/>
        <w:numId w:val="32"/>
      </w:numPr>
    </w:pPr>
  </w:style>
  <w:style w:type="paragraph" w:customStyle="1" w:styleId="Point2letter">
    <w:name w:val="Point 2 (letter)"/>
    <w:basedOn w:val="Normal"/>
    <w:rsid w:val="007D53B6"/>
    <w:pPr>
      <w:numPr>
        <w:ilvl w:val="5"/>
        <w:numId w:val="32"/>
      </w:numPr>
    </w:pPr>
  </w:style>
  <w:style w:type="paragraph" w:customStyle="1" w:styleId="Point3letter">
    <w:name w:val="Point 3 (letter)"/>
    <w:basedOn w:val="Normal"/>
    <w:rsid w:val="007D53B6"/>
    <w:pPr>
      <w:numPr>
        <w:ilvl w:val="7"/>
        <w:numId w:val="32"/>
      </w:numPr>
    </w:pPr>
  </w:style>
  <w:style w:type="paragraph" w:customStyle="1" w:styleId="Point4letter">
    <w:name w:val="Point 4 (letter)"/>
    <w:basedOn w:val="Normal"/>
    <w:rsid w:val="007D53B6"/>
    <w:pPr>
      <w:numPr>
        <w:ilvl w:val="8"/>
        <w:numId w:val="32"/>
      </w:numPr>
    </w:pPr>
  </w:style>
  <w:style w:type="paragraph" w:customStyle="1" w:styleId="Bullet0">
    <w:name w:val="Bullet 0"/>
    <w:basedOn w:val="Normal"/>
    <w:rsid w:val="007D53B6"/>
    <w:pPr>
      <w:numPr>
        <w:numId w:val="33"/>
      </w:numPr>
    </w:pPr>
  </w:style>
  <w:style w:type="paragraph" w:customStyle="1" w:styleId="Bullet1">
    <w:name w:val="Bullet 1"/>
    <w:basedOn w:val="Normal"/>
    <w:rsid w:val="007D53B6"/>
    <w:pPr>
      <w:numPr>
        <w:numId w:val="34"/>
      </w:numPr>
    </w:pPr>
  </w:style>
  <w:style w:type="paragraph" w:customStyle="1" w:styleId="Bullet2">
    <w:name w:val="Bullet 2"/>
    <w:basedOn w:val="Normal"/>
    <w:rsid w:val="007D53B6"/>
    <w:pPr>
      <w:numPr>
        <w:numId w:val="35"/>
      </w:numPr>
    </w:pPr>
  </w:style>
  <w:style w:type="paragraph" w:customStyle="1" w:styleId="Bullet3">
    <w:name w:val="Bullet 3"/>
    <w:basedOn w:val="Normal"/>
    <w:rsid w:val="007D53B6"/>
    <w:pPr>
      <w:numPr>
        <w:numId w:val="36"/>
      </w:numPr>
    </w:pPr>
  </w:style>
  <w:style w:type="paragraph" w:customStyle="1" w:styleId="Bullet4">
    <w:name w:val="Bullet 4"/>
    <w:basedOn w:val="Normal"/>
    <w:rsid w:val="007D53B6"/>
    <w:pPr>
      <w:numPr>
        <w:numId w:val="37"/>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8"/>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cs-CZ"/>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cs-CZ"/>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cs-CZ"/>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cs-CZ"/>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5"/>
      </w:numPr>
    </w:pPr>
  </w:style>
  <w:style w:type="paragraph" w:customStyle="1" w:styleId="Tiret1">
    <w:name w:val="Tiret 1"/>
    <w:basedOn w:val="Point1"/>
    <w:rsid w:val="007D53B6"/>
    <w:pPr>
      <w:numPr>
        <w:numId w:val="26"/>
      </w:numPr>
    </w:pPr>
  </w:style>
  <w:style w:type="paragraph" w:customStyle="1" w:styleId="Tiret2">
    <w:name w:val="Tiret 2"/>
    <w:basedOn w:val="Point2"/>
    <w:rsid w:val="007D53B6"/>
    <w:pPr>
      <w:numPr>
        <w:numId w:val="27"/>
      </w:numPr>
    </w:pPr>
  </w:style>
  <w:style w:type="paragraph" w:customStyle="1" w:styleId="Tiret3">
    <w:name w:val="Tiret 3"/>
    <w:basedOn w:val="Point3"/>
    <w:rsid w:val="007D53B6"/>
    <w:pPr>
      <w:numPr>
        <w:numId w:val="28"/>
      </w:numPr>
    </w:pPr>
  </w:style>
  <w:style w:type="paragraph" w:customStyle="1" w:styleId="Tiret4">
    <w:name w:val="Tiret 4"/>
    <w:basedOn w:val="Point4"/>
    <w:rsid w:val="007D53B6"/>
    <w:pPr>
      <w:numPr>
        <w:numId w:val="29"/>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0"/>
      </w:numPr>
    </w:pPr>
  </w:style>
  <w:style w:type="paragraph" w:customStyle="1" w:styleId="NumPar2">
    <w:name w:val="NumPar 2"/>
    <w:basedOn w:val="Normal"/>
    <w:next w:val="Text1"/>
    <w:rsid w:val="007D53B6"/>
    <w:pPr>
      <w:numPr>
        <w:ilvl w:val="1"/>
        <w:numId w:val="30"/>
      </w:numPr>
    </w:pPr>
  </w:style>
  <w:style w:type="paragraph" w:customStyle="1" w:styleId="NumPar3">
    <w:name w:val="NumPar 3"/>
    <w:basedOn w:val="Normal"/>
    <w:next w:val="Text1"/>
    <w:rsid w:val="007D53B6"/>
    <w:pPr>
      <w:numPr>
        <w:ilvl w:val="2"/>
        <w:numId w:val="30"/>
      </w:numPr>
    </w:pPr>
  </w:style>
  <w:style w:type="paragraph" w:customStyle="1" w:styleId="NumPar4">
    <w:name w:val="NumPar 4"/>
    <w:basedOn w:val="Normal"/>
    <w:next w:val="Text1"/>
    <w:rsid w:val="007D53B6"/>
    <w:pPr>
      <w:numPr>
        <w:ilvl w:val="3"/>
        <w:numId w:val="30"/>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2"/>
      </w:numPr>
    </w:pPr>
  </w:style>
  <w:style w:type="paragraph" w:customStyle="1" w:styleId="Point1number">
    <w:name w:val="Point 1 (number)"/>
    <w:basedOn w:val="Normal"/>
    <w:rsid w:val="007D53B6"/>
    <w:pPr>
      <w:numPr>
        <w:ilvl w:val="2"/>
        <w:numId w:val="32"/>
      </w:numPr>
    </w:pPr>
  </w:style>
  <w:style w:type="paragraph" w:customStyle="1" w:styleId="Point2number">
    <w:name w:val="Point 2 (number)"/>
    <w:basedOn w:val="Normal"/>
    <w:rsid w:val="007D53B6"/>
    <w:pPr>
      <w:numPr>
        <w:ilvl w:val="4"/>
        <w:numId w:val="32"/>
      </w:numPr>
    </w:pPr>
  </w:style>
  <w:style w:type="paragraph" w:customStyle="1" w:styleId="Point3number">
    <w:name w:val="Point 3 (number)"/>
    <w:basedOn w:val="Normal"/>
    <w:rsid w:val="007D53B6"/>
    <w:pPr>
      <w:numPr>
        <w:ilvl w:val="6"/>
        <w:numId w:val="32"/>
      </w:numPr>
    </w:pPr>
  </w:style>
  <w:style w:type="paragraph" w:customStyle="1" w:styleId="Point0letter">
    <w:name w:val="Point 0 (letter)"/>
    <w:basedOn w:val="Normal"/>
    <w:rsid w:val="007D53B6"/>
    <w:pPr>
      <w:numPr>
        <w:ilvl w:val="1"/>
        <w:numId w:val="32"/>
      </w:numPr>
    </w:pPr>
  </w:style>
  <w:style w:type="paragraph" w:customStyle="1" w:styleId="Point1letter">
    <w:name w:val="Point 1 (letter)"/>
    <w:basedOn w:val="Normal"/>
    <w:rsid w:val="007D53B6"/>
    <w:pPr>
      <w:numPr>
        <w:ilvl w:val="3"/>
        <w:numId w:val="32"/>
      </w:numPr>
    </w:pPr>
  </w:style>
  <w:style w:type="paragraph" w:customStyle="1" w:styleId="Point2letter">
    <w:name w:val="Point 2 (letter)"/>
    <w:basedOn w:val="Normal"/>
    <w:rsid w:val="007D53B6"/>
    <w:pPr>
      <w:numPr>
        <w:ilvl w:val="5"/>
        <w:numId w:val="32"/>
      </w:numPr>
    </w:pPr>
  </w:style>
  <w:style w:type="paragraph" w:customStyle="1" w:styleId="Point3letter">
    <w:name w:val="Point 3 (letter)"/>
    <w:basedOn w:val="Normal"/>
    <w:rsid w:val="007D53B6"/>
    <w:pPr>
      <w:numPr>
        <w:ilvl w:val="7"/>
        <w:numId w:val="32"/>
      </w:numPr>
    </w:pPr>
  </w:style>
  <w:style w:type="paragraph" w:customStyle="1" w:styleId="Point4letter">
    <w:name w:val="Point 4 (letter)"/>
    <w:basedOn w:val="Normal"/>
    <w:rsid w:val="007D53B6"/>
    <w:pPr>
      <w:numPr>
        <w:ilvl w:val="8"/>
        <w:numId w:val="32"/>
      </w:numPr>
    </w:pPr>
  </w:style>
  <w:style w:type="paragraph" w:customStyle="1" w:styleId="Bullet0">
    <w:name w:val="Bullet 0"/>
    <w:basedOn w:val="Normal"/>
    <w:rsid w:val="007D53B6"/>
    <w:pPr>
      <w:numPr>
        <w:numId w:val="33"/>
      </w:numPr>
    </w:pPr>
  </w:style>
  <w:style w:type="paragraph" w:customStyle="1" w:styleId="Bullet1">
    <w:name w:val="Bullet 1"/>
    <w:basedOn w:val="Normal"/>
    <w:rsid w:val="007D53B6"/>
    <w:pPr>
      <w:numPr>
        <w:numId w:val="34"/>
      </w:numPr>
    </w:pPr>
  </w:style>
  <w:style w:type="paragraph" w:customStyle="1" w:styleId="Bullet2">
    <w:name w:val="Bullet 2"/>
    <w:basedOn w:val="Normal"/>
    <w:rsid w:val="007D53B6"/>
    <w:pPr>
      <w:numPr>
        <w:numId w:val="35"/>
      </w:numPr>
    </w:pPr>
  </w:style>
  <w:style w:type="paragraph" w:customStyle="1" w:styleId="Bullet3">
    <w:name w:val="Bullet 3"/>
    <w:basedOn w:val="Normal"/>
    <w:rsid w:val="007D53B6"/>
    <w:pPr>
      <w:numPr>
        <w:numId w:val="36"/>
      </w:numPr>
    </w:pPr>
  </w:style>
  <w:style w:type="paragraph" w:customStyle="1" w:styleId="Bullet4">
    <w:name w:val="Bullet 4"/>
    <w:basedOn w:val="Normal"/>
    <w:rsid w:val="007D53B6"/>
    <w:pPr>
      <w:numPr>
        <w:numId w:val="37"/>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8"/>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6E8FE-C2A0-4464-9562-E4A43172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903</Words>
  <Characters>5172</Characters>
  <Application>Microsoft Office Word</Application>
  <DocSecurity>0</DocSecurity>
  <Lines>96</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2017-06-20T06:57:00Z</dcterms:created>
  <dcterms:modified xsi:type="dcterms:W3CDTF">2017-06-20T06:57:00Z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