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RO</w:t>
      </w:r>
      <w:r>
        <w:rPr>
          <w:rFonts w:ascii="Times New Roman" w:hAnsi="Times New Roman"/>
          <w:b/>
          <w:sz w:val="24"/>
          <w:szCs w:val="24"/>
        </w:rPr>
        <w:br/>
      </w:r>
      <w:r>
        <w:rPr>
          <w:rFonts w:ascii="Times New Roman" w:hAnsi="Times New Roman"/>
          <w:b/>
          <w:sz w:val="24"/>
        </w:rPr>
        <w:t>ANEXA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RAPORTARE PRIVIND INFORMA</w:t>
      </w:r>
      <w:r w:rsidR="000C213F">
        <w:rPr>
          <w:rFonts w:ascii="Times New Roman" w:hAnsi="Times New Roman"/>
          <w:b/>
          <w:sz w:val="24"/>
        </w:rPr>
        <w:t>Ț</w:t>
      </w:r>
      <w:r>
        <w:rPr>
          <w:rFonts w:ascii="Times New Roman" w:hAnsi="Times New Roman"/>
          <w:b/>
          <w:sz w:val="24"/>
        </w:rPr>
        <w:t>IILE FINANCIARE</w:t>
      </w:r>
    </w:p>
    <w:p w:rsidR="009569C7" w:rsidRPr="00EC4FA2" w:rsidRDefault="00A834F1">
      <w:pPr>
        <w:spacing w:after="0"/>
        <w:rPr>
          <w:rFonts w:ascii="Times New Roman" w:hAnsi="Times New Roman"/>
          <w:sz w:val="24"/>
          <w:szCs w:val="24"/>
        </w:rPr>
      </w:pPr>
      <w:r>
        <w:rPr>
          <w:rFonts w:ascii="Times New Roman" w:hAnsi="Times New Roman"/>
          <w:sz w:val="24"/>
        </w:rPr>
        <w:t>Cuprins</w:t>
      </w:r>
    </w:p>
    <w:p w:rsidR="00F548D9" w:rsidRPr="00F548D9" w:rsidRDefault="00EA53EB">
      <w:pPr>
        <w:pStyle w:val="TOC1"/>
        <w:tabs>
          <w:tab w:val="right" w:leader="dot" w:pos="8296"/>
        </w:tabs>
        <w:rPr>
          <w:rFonts w:asciiTheme="minorHAnsi" w:eastAsiaTheme="minorEastAsia" w:hAnsiTheme="minorHAnsi" w:cstheme="minorBidi"/>
          <w:b w:val="0"/>
          <w:noProof/>
          <w:sz w:val="22"/>
          <w:szCs w:val="22"/>
          <w:lang w:val="it-IT" w:eastAsia="en-GB" w:bidi="ar-SA"/>
        </w:rPr>
      </w:pPr>
      <w:r>
        <w:fldChar w:fldCharType="begin"/>
      </w:r>
      <w:r w:rsidR="00A834F1">
        <w:instrText xml:space="preserve"> TOC \o "1-3" \u </w:instrText>
      </w:r>
      <w:r>
        <w:fldChar w:fldCharType="separate"/>
      </w:r>
      <w:r w:rsidR="00F548D9">
        <w:rPr>
          <w:noProof/>
        </w:rPr>
        <w:t>Instruc</w:t>
      </w:r>
      <w:r w:rsidR="000C213F">
        <w:rPr>
          <w:noProof/>
        </w:rPr>
        <w:t>ț</w:t>
      </w:r>
      <w:r w:rsidR="00F548D9">
        <w:rPr>
          <w:noProof/>
        </w:rPr>
        <w:t>iuni generale</w:t>
      </w:r>
      <w:r w:rsidR="00F548D9">
        <w:rPr>
          <w:noProof/>
        </w:rPr>
        <w:tab/>
      </w:r>
      <w:r w:rsidR="00F548D9">
        <w:rPr>
          <w:noProof/>
        </w:rPr>
        <w:fldChar w:fldCharType="begin"/>
      </w:r>
      <w:r w:rsidR="00F548D9">
        <w:rPr>
          <w:noProof/>
        </w:rPr>
        <w:instrText xml:space="preserve"> PAGEREF _Toc485897525 \h </w:instrText>
      </w:r>
      <w:r w:rsidR="00F548D9">
        <w:rPr>
          <w:noProof/>
        </w:rPr>
      </w:r>
      <w:r w:rsidR="00F548D9">
        <w:rPr>
          <w:noProof/>
        </w:rPr>
        <w:fldChar w:fldCharType="separate"/>
      </w:r>
      <w:r w:rsidR="004237EC">
        <w:rPr>
          <w:noProof/>
        </w:rPr>
        <w:t>4</w:t>
      </w:r>
      <w:r w:rsidR="00F548D9">
        <w:rPr>
          <w:noProof/>
        </w:rP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w:t>
      </w:r>
      <w:r>
        <w:t>.</w:t>
      </w:r>
      <w:r w:rsidRPr="00F548D9">
        <w:rPr>
          <w:rFonts w:asciiTheme="minorHAnsi" w:eastAsiaTheme="minorEastAsia" w:hAnsiTheme="minorHAnsi" w:cstheme="minorBidi"/>
          <w:sz w:val="22"/>
          <w:szCs w:val="22"/>
          <w:lang w:val="it-IT" w:eastAsia="en-GB" w:bidi="ar-SA"/>
        </w:rPr>
        <w:tab/>
      </w:r>
      <w:r>
        <w:t>Referin</w:t>
      </w:r>
      <w:r w:rsidR="000C213F">
        <w:t>ț</w:t>
      </w:r>
      <w:r>
        <w:t>e</w:t>
      </w:r>
      <w:r>
        <w:tab/>
      </w:r>
      <w:r>
        <w:fldChar w:fldCharType="begin"/>
      </w:r>
      <w:r>
        <w:instrText xml:space="preserve"> PAGEREF _Toc485897526 \h </w:instrText>
      </w:r>
      <w:r>
        <w:fldChar w:fldCharType="separate"/>
      </w:r>
      <w:r w:rsidR="004237EC">
        <w:t>4</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w:t>
      </w:r>
      <w:r>
        <w:t>.</w:t>
      </w:r>
      <w:r w:rsidRPr="00F548D9">
        <w:rPr>
          <w:rFonts w:asciiTheme="minorHAnsi" w:eastAsiaTheme="minorEastAsia" w:hAnsiTheme="minorHAnsi" w:cstheme="minorBidi"/>
          <w:sz w:val="22"/>
          <w:szCs w:val="22"/>
          <w:lang w:val="it-IT" w:eastAsia="en-GB" w:bidi="ar-SA"/>
        </w:rPr>
        <w:tab/>
      </w:r>
      <w:r>
        <w:t>Conven</w:t>
      </w:r>
      <w:r w:rsidR="000C213F">
        <w:t>ț</w:t>
      </w:r>
      <w:r>
        <w:t>ii</w:t>
      </w:r>
      <w:r>
        <w:tab/>
      </w:r>
      <w:r>
        <w:fldChar w:fldCharType="begin"/>
      </w:r>
      <w:r>
        <w:instrText xml:space="preserve"> PAGEREF _Toc485897527 \h </w:instrText>
      </w:r>
      <w:r>
        <w:fldChar w:fldCharType="separate"/>
      </w:r>
      <w:r w:rsidR="004237EC">
        <w:t>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3</w:t>
      </w:r>
      <w:r>
        <w:t>.</w:t>
      </w:r>
      <w:r w:rsidRPr="00F548D9">
        <w:rPr>
          <w:rFonts w:asciiTheme="minorHAnsi" w:eastAsiaTheme="minorEastAsia" w:hAnsiTheme="minorHAnsi" w:cstheme="minorBidi"/>
          <w:sz w:val="22"/>
          <w:szCs w:val="22"/>
          <w:lang w:val="it-IT" w:eastAsia="en-GB" w:bidi="ar-SA"/>
        </w:rPr>
        <w:tab/>
      </w:r>
      <w:r>
        <w:t>Consolidare</w:t>
      </w:r>
      <w:r>
        <w:tab/>
      </w:r>
      <w:r>
        <w:fldChar w:fldCharType="begin"/>
      </w:r>
      <w:r>
        <w:instrText xml:space="preserve"> PAGEREF _Toc485897528 \h </w:instrText>
      </w:r>
      <w:r>
        <w:fldChar w:fldCharType="separate"/>
      </w:r>
      <w:r w:rsidR="004237EC">
        <w:t>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4</w:t>
      </w:r>
      <w:r>
        <w:t>.</w:t>
      </w:r>
      <w:r w:rsidRPr="00F548D9">
        <w:rPr>
          <w:rFonts w:asciiTheme="minorHAnsi" w:eastAsiaTheme="minorEastAsia" w:hAnsiTheme="minorHAnsi" w:cstheme="minorBidi"/>
          <w:sz w:val="22"/>
          <w:szCs w:val="22"/>
          <w:lang w:val="it-IT" w:eastAsia="en-GB" w:bidi="ar-SA"/>
        </w:rPr>
        <w:tab/>
      </w:r>
      <w:r>
        <w:t>Portofoliile contabile ale instrumentelor financiare</w:t>
      </w:r>
      <w:r>
        <w:tab/>
      </w:r>
      <w:r>
        <w:fldChar w:fldCharType="begin"/>
      </w:r>
      <w:r>
        <w:instrText xml:space="preserve"> PAGEREF _Toc485897529 \h </w:instrText>
      </w:r>
      <w:r>
        <w:fldChar w:fldCharType="separate"/>
      </w:r>
      <w:r w:rsidR="004237EC">
        <w:t>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4</w:t>
      </w:r>
      <w:r>
        <w:t>.</w:t>
      </w:r>
      <w:r w:rsidRPr="004237EC">
        <w:t>1</w:t>
      </w:r>
      <w:r>
        <w:t>.</w:t>
      </w:r>
      <w:r w:rsidRPr="00F548D9">
        <w:rPr>
          <w:rFonts w:asciiTheme="minorHAnsi" w:eastAsiaTheme="minorEastAsia" w:hAnsiTheme="minorHAnsi" w:cstheme="minorBidi"/>
          <w:sz w:val="22"/>
          <w:szCs w:val="22"/>
          <w:lang w:val="it-IT" w:eastAsia="en-GB" w:bidi="ar-SA"/>
        </w:rPr>
        <w:tab/>
      </w:r>
      <w:r>
        <w:t>Active financiare</w:t>
      </w:r>
      <w:r>
        <w:tab/>
      </w:r>
      <w:r>
        <w:fldChar w:fldCharType="begin"/>
      </w:r>
      <w:r>
        <w:instrText xml:space="preserve"> PAGEREF _Toc485897530 \h </w:instrText>
      </w:r>
      <w:r>
        <w:fldChar w:fldCharType="separate"/>
      </w:r>
      <w:r w:rsidR="004237EC">
        <w:t>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4</w:t>
      </w:r>
      <w:r>
        <w:t>.</w:t>
      </w:r>
      <w:r w:rsidRPr="004237EC">
        <w:t>2</w:t>
      </w:r>
      <w:r>
        <w:t>.</w:t>
      </w:r>
      <w:r w:rsidRPr="00F548D9">
        <w:rPr>
          <w:rFonts w:asciiTheme="minorHAnsi" w:eastAsiaTheme="minorEastAsia" w:hAnsiTheme="minorHAnsi" w:cstheme="minorBidi"/>
          <w:sz w:val="22"/>
          <w:szCs w:val="22"/>
          <w:lang w:val="it-IT" w:eastAsia="en-GB" w:bidi="ar-SA"/>
        </w:rPr>
        <w:tab/>
      </w:r>
      <w:r>
        <w:t>Datorii financiare</w:t>
      </w:r>
      <w:r>
        <w:tab/>
      </w:r>
      <w:r>
        <w:fldChar w:fldCharType="begin"/>
      </w:r>
      <w:r>
        <w:instrText xml:space="preserve"> PAGEREF _Toc485897531 \h </w:instrText>
      </w:r>
      <w:r>
        <w:fldChar w:fldCharType="separate"/>
      </w:r>
      <w:r w:rsidR="004237EC">
        <w:t>10</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5</w:t>
      </w:r>
      <w:r>
        <w:t>.</w:t>
      </w:r>
      <w:r w:rsidRPr="00F548D9">
        <w:rPr>
          <w:rFonts w:asciiTheme="minorHAnsi" w:eastAsiaTheme="minorEastAsia" w:hAnsiTheme="minorHAnsi" w:cstheme="minorBidi"/>
          <w:sz w:val="22"/>
          <w:szCs w:val="22"/>
          <w:lang w:val="it-IT" w:eastAsia="en-GB" w:bidi="ar-SA"/>
        </w:rPr>
        <w:tab/>
      </w:r>
      <w:r>
        <w:t>Instrumente financiare</w:t>
      </w:r>
      <w:r>
        <w:tab/>
      </w:r>
      <w:r>
        <w:fldChar w:fldCharType="begin"/>
      </w:r>
      <w:r>
        <w:instrText xml:space="preserve"> PAGEREF _Toc485897532 \h </w:instrText>
      </w:r>
      <w:r>
        <w:fldChar w:fldCharType="separate"/>
      </w:r>
      <w:r w:rsidR="004237EC">
        <w:t>11</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5</w:t>
      </w:r>
      <w:r>
        <w:t>.</w:t>
      </w:r>
      <w:r w:rsidRPr="004237EC">
        <w:t>1</w:t>
      </w:r>
      <w:r>
        <w:t>.</w:t>
      </w:r>
      <w:r w:rsidRPr="00F548D9">
        <w:rPr>
          <w:rFonts w:asciiTheme="minorHAnsi" w:eastAsiaTheme="minorEastAsia" w:hAnsiTheme="minorHAnsi" w:cstheme="minorBidi"/>
          <w:sz w:val="22"/>
          <w:szCs w:val="22"/>
          <w:lang w:val="it-IT" w:eastAsia="en-GB" w:bidi="ar-SA"/>
        </w:rPr>
        <w:tab/>
      </w:r>
      <w:r>
        <w:t>Active financiare</w:t>
      </w:r>
      <w:r>
        <w:tab/>
      </w:r>
      <w:r>
        <w:fldChar w:fldCharType="begin"/>
      </w:r>
      <w:r>
        <w:instrText xml:space="preserve"> PAGEREF _Toc485897533 \h </w:instrText>
      </w:r>
      <w:r>
        <w:fldChar w:fldCharType="separate"/>
      </w:r>
      <w:r w:rsidR="004237EC">
        <w:t>11</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5</w:t>
      </w:r>
      <w:r>
        <w:t>.</w:t>
      </w:r>
      <w:r w:rsidRPr="004237EC">
        <w:t>2</w:t>
      </w:r>
      <w:r>
        <w:t>.</w:t>
      </w:r>
      <w:r w:rsidRPr="00F548D9">
        <w:rPr>
          <w:rFonts w:asciiTheme="minorHAnsi" w:eastAsiaTheme="minorEastAsia" w:hAnsiTheme="minorHAnsi" w:cstheme="minorBidi"/>
          <w:sz w:val="22"/>
          <w:szCs w:val="22"/>
          <w:lang w:val="it-IT" w:eastAsia="en-GB" w:bidi="ar-SA"/>
        </w:rPr>
        <w:tab/>
      </w:r>
      <w:r>
        <w:t>Valoarea contabilă brută</w:t>
      </w:r>
      <w:r>
        <w:tab/>
      </w:r>
      <w:r>
        <w:fldChar w:fldCharType="begin"/>
      </w:r>
      <w:r>
        <w:instrText xml:space="preserve"> PAGEREF _Toc485897534 \h </w:instrText>
      </w:r>
      <w:r>
        <w:fldChar w:fldCharType="separate"/>
      </w:r>
      <w:r w:rsidR="004237EC">
        <w:t>11</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5</w:t>
      </w:r>
      <w:r>
        <w:t>.</w:t>
      </w:r>
      <w:r w:rsidRPr="004237EC">
        <w:t>3</w:t>
      </w:r>
      <w:r>
        <w:t>.</w:t>
      </w:r>
      <w:r w:rsidRPr="00F548D9">
        <w:rPr>
          <w:rFonts w:asciiTheme="minorHAnsi" w:eastAsiaTheme="minorEastAsia" w:hAnsiTheme="minorHAnsi" w:cstheme="minorBidi"/>
          <w:sz w:val="22"/>
          <w:szCs w:val="22"/>
          <w:lang w:val="it-IT" w:eastAsia="en-GB" w:bidi="ar-SA"/>
        </w:rPr>
        <w:tab/>
      </w:r>
      <w:r>
        <w:t>Datorii financiare</w:t>
      </w:r>
      <w:r>
        <w:tab/>
      </w:r>
      <w:r>
        <w:fldChar w:fldCharType="begin"/>
      </w:r>
      <w:r>
        <w:instrText xml:space="preserve"> PAGEREF _Toc485897535 \h </w:instrText>
      </w:r>
      <w:r>
        <w:fldChar w:fldCharType="separate"/>
      </w:r>
      <w:r w:rsidR="004237EC">
        <w:t>13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6</w:t>
      </w:r>
      <w:r>
        <w:t>.</w:t>
      </w:r>
      <w:r w:rsidRPr="00F548D9">
        <w:rPr>
          <w:rFonts w:asciiTheme="minorHAnsi" w:eastAsiaTheme="minorEastAsia" w:hAnsiTheme="minorHAnsi" w:cstheme="minorBidi"/>
          <w:sz w:val="22"/>
          <w:szCs w:val="22"/>
          <w:lang w:val="it-IT" w:eastAsia="en-GB" w:bidi="ar-SA"/>
        </w:rPr>
        <w:tab/>
      </w:r>
      <w:r>
        <w:t>Defalcare pe contrapăr</w:t>
      </w:r>
      <w:r w:rsidR="000C213F">
        <w:t>ț</w:t>
      </w:r>
      <w:r>
        <w:t>i</w:t>
      </w:r>
      <w:r>
        <w:tab/>
      </w:r>
      <w:r>
        <w:fldChar w:fldCharType="begin"/>
      </w:r>
      <w:r>
        <w:instrText xml:space="preserve"> PAGEREF _Toc485897536 \h </w:instrText>
      </w:r>
      <w:r>
        <w:fldChar w:fldCharType="separate"/>
      </w:r>
      <w:r w:rsidR="004237EC">
        <w:t>14</w:t>
      </w:r>
      <w:r>
        <w:fldChar w:fldCharType="end"/>
      </w:r>
    </w:p>
    <w:p w:rsidR="00F548D9" w:rsidRPr="00F548D9" w:rsidRDefault="00F548D9">
      <w:pPr>
        <w:pStyle w:val="TOC1"/>
        <w:tabs>
          <w:tab w:val="right" w:leader="dot" w:pos="8296"/>
        </w:tabs>
        <w:rPr>
          <w:rFonts w:asciiTheme="minorHAnsi" w:eastAsiaTheme="minorEastAsia" w:hAnsiTheme="minorHAnsi" w:cstheme="minorBidi"/>
          <w:b w:val="0"/>
          <w:noProof/>
          <w:sz w:val="22"/>
          <w:szCs w:val="22"/>
          <w:lang w:val="it-IT" w:eastAsia="en-GB" w:bidi="ar-SA"/>
        </w:rPr>
      </w:pPr>
      <w:r>
        <w:rPr>
          <w:noProof/>
        </w:rPr>
        <w:t>Instruc</w:t>
      </w:r>
      <w:r w:rsidR="000C213F">
        <w:rPr>
          <w:noProof/>
        </w:rPr>
        <w:t>ț</w:t>
      </w:r>
      <w:r>
        <w:rPr>
          <w:noProof/>
        </w:rPr>
        <w:t>iuni aferente formularelor</w:t>
      </w:r>
      <w:r>
        <w:rPr>
          <w:noProof/>
        </w:rPr>
        <w:tab/>
      </w:r>
      <w:r>
        <w:rPr>
          <w:noProof/>
        </w:rPr>
        <w:fldChar w:fldCharType="begin"/>
      </w:r>
      <w:r>
        <w:rPr>
          <w:noProof/>
        </w:rPr>
        <w:instrText xml:space="preserve"> PAGEREF _Toc485897537 \h </w:instrText>
      </w:r>
      <w:r>
        <w:rPr>
          <w:noProof/>
        </w:rPr>
      </w:r>
      <w:r>
        <w:rPr>
          <w:noProof/>
        </w:rPr>
        <w:fldChar w:fldCharType="separate"/>
      </w:r>
      <w:r w:rsidR="004237EC">
        <w:rPr>
          <w:noProof/>
        </w:rPr>
        <w:t>15</w:t>
      </w:r>
      <w:r>
        <w:rPr>
          <w:noProof/>
        </w:rP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w:t>
      </w:r>
      <w:r>
        <w:t>.</w:t>
      </w:r>
      <w:r w:rsidRPr="00F548D9">
        <w:rPr>
          <w:rFonts w:asciiTheme="minorHAnsi" w:eastAsiaTheme="minorEastAsia" w:hAnsiTheme="minorHAnsi" w:cstheme="minorBidi"/>
          <w:sz w:val="22"/>
          <w:szCs w:val="22"/>
          <w:lang w:val="it-IT" w:eastAsia="en-GB" w:bidi="ar-SA"/>
        </w:rPr>
        <w:tab/>
      </w:r>
      <w:r>
        <w:t>Bilan</w:t>
      </w:r>
      <w:r w:rsidR="000C213F">
        <w:t>ț</w:t>
      </w:r>
      <w:r>
        <w:tab/>
      </w:r>
      <w:r>
        <w:fldChar w:fldCharType="begin"/>
      </w:r>
      <w:r>
        <w:instrText xml:space="preserve"> PAGEREF _Toc485897538 \h </w:instrText>
      </w:r>
      <w:r>
        <w:fldChar w:fldCharType="separate"/>
      </w:r>
      <w:r w:rsidR="004237EC">
        <w:t>15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w:t>
      </w:r>
      <w:r>
        <w:t>.</w:t>
      </w:r>
      <w:r w:rsidRPr="004237EC">
        <w:t>1</w:t>
      </w:r>
      <w:r>
        <w:t>.</w:t>
      </w:r>
      <w:r w:rsidRPr="00F548D9">
        <w:rPr>
          <w:rFonts w:asciiTheme="minorHAnsi" w:eastAsiaTheme="minorEastAsia" w:hAnsiTheme="minorHAnsi" w:cstheme="minorBidi"/>
          <w:sz w:val="22"/>
          <w:szCs w:val="22"/>
          <w:lang w:val="it-IT" w:eastAsia="en-GB" w:bidi="ar-SA"/>
        </w:rPr>
        <w:tab/>
      </w:r>
      <w:r>
        <w:t>Active (</w:t>
      </w:r>
      <w:r w:rsidRPr="004237EC">
        <w:t>1</w:t>
      </w:r>
      <w:r>
        <w:t>.</w:t>
      </w:r>
      <w:r w:rsidRPr="004237EC">
        <w:t>1</w:t>
      </w:r>
      <w:r>
        <w:t>)</w:t>
      </w:r>
      <w:r>
        <w:tab/>
      </w:r>
      <w:r>
        <w:fldChar w:fldCharType="begin"/>
      </w:r>
      <w:r>
        <w:instrText xml:space="preserve"> PAGEREF _Toc485897539 \h </w:instrText>
      </w:r>
      <w:r>
        <w:fldChar w:fldCharType="separate"/>
      </w:r>
      <w:r w:rsidR="004237EC">
        <w:t>15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w:t>
      </w:r>
      <w:r>
        <w:t>.</w:t>
      </w:r>
      <w:r w:rsidRPr="004237EC">
        <w:t>2</w:t>
      </w:r>
      <w:r>
        <w:t>.</w:t>
      </w:r>
      <w:r w:rsidRPr="00F548D9">
        <w:rPr>
          <w:rFonts w:asciiTheme="minorHAnsi" w:eastAsiaTheme="minorEastAsia" w:hAnsiTheme="minorHAnsi" w:cstheme="minorBidi"/>
          <w:sz w:val="22"/>
          <w:szCs w:val="22"/>
          <w:lang w:val="it-IT" w:eastAsia="en-GB" w:bidi="ar-SA"/>
        </w:rPr>
        <w:tab/>
      </w:r>
      <w:r>
        <w:t>Datorii (</w:t>
      </w:r>
      <w:r w:rsidRPr="004237EC">
        <w:t>1</w:t>
      </w:r>
      <w:r>
        <w:t>.</w:t>
      </w:r>
      <w:r w:rsidRPr="004237EC">
        <w:t>2</w:t>
      </w:r>
      <w:r>
        <w:t>)</w:t>
      </w:r>
      <w:r>
        <w:tab/>
      </w:r>
      <w:r>
        <w:fldChar w:fldCharType="begin"/>
      </w:r>
      <w:r>
        <w:instrText xml:space="preserve"> PAGEREF _Toc485897540 \h </w:instrText>
      </w:r>
      <w:r>
        <w:fldChar w:fldCharType="separate"/>
      </w:r>
      <w:r w:rsidR="004237EC">
        <w:t>16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w:t>
      </w:r>
      <w:r>
        <w:t>.</w:t>
      </w:r>
      <w:r w:rsidRPr="004237EC">
        <w:t>3</w:t>
      </w:r>
      <w:r>
        <w:t>.</w:t>
      </w:r>
      <w:r w:rsidRPr="00F548D9">
        <w:rPr>
          <w:rFonts w:asciiTheme="minorHAnsi" w:eastAsiaTheme="minorEastAsia" w:hAnsiTheme="minorHAnsi" w:cstheme="minorBidi"/>
          <w:sz w:val="22"/>
          <w:szCs w:val="22"/>
          <w:lang w:val="it-IT" w:eastAsia="en-GB" w:bidi="ar-SA"/>
        </w:rPr>
        <w:tab/>
      </w:r>
      <w:r>
        <w:t>Capitaluri proprii (</w:t>
      </w:r>
      <w:r w:rsidRPr="004237EC">
        <w:t>1</w:t>
      </w:r>
      <w:r>
        <w:t>.</w:t>
      </w:r>
      <w:r w:rsidRPr="004237EC">
        <w:t>3</w:t>
      </w:r>
      <w:r>
        <w:t>)</w:t>
      </w:r>
      <w:r>
        <w:tab/>
      </w:r>
      <w:r>
        <w:fldChar w:fldCharType="begin"/>
      </w:r>
      <w:r>
        <w:instrText xml:space="preserve"> PAGEREF _Toc485897541 \h </w:instrText>
      </w:r>
      <w:r>
        <w:fldChar w:fldCharType="separate"/>
      </w:r>
      <w:r w:rsidR="004237EC">
        <w:t>17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w:t>
      </w:r>
      <w:r>
        <w:t>.</w:t>
      </w:r>
      <w:r w:rsidRPr="00F548D9">
        <w:rPr>
          <w:rFonts w:asciiTheme="minorHAnsi" w:eastAsiaTheme="minorEastAsia" w:hAnsiTheme="minorHAnsi" w:cstheme="minorBidi"/>
          <w:sz w:val="22"/>
          <w:szCs w:val="22"/>
          <w:lang w:val="it-IT" w:eastAsia="en-GB" w:bidi="ar-SA"/>
        </w:rPr>
        <w:tab/>
      </w:r>
      <w:r>
        <w:t>Situa</w:t>
      </w:r>
      <w:r w:rsidR="000C213F">
        <w:t>ț</w:t>
      </w:r>
      <w:r>
        <w:t>ia profitului sau pierderii (</w:t>
      </w:r>
      <w:r w:rsidRPr="004237EC">
        <w:t>2</w:t>
      </w:r>
      <w:r>
        <w:t>)</w:t>
      </w:r>
      <w:r>
        <w:tab/>
      </w:r>
      <w:r>
        <w:fldChar w:fldCharType="begin"/>
      </w:r>
      <w:r>
        <w:instrText xml:space="preserve"> PAGEREF _Toc485897542 \h </w:instrText>
      </w:r>
      <w:r>
        <w:fldChar w:fldCharType="separate"/>
      </w:r>
      <w:r w:rsidR="004237EC">
        <w:t>20</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3</w:t>
      </w:r>
      <w:r>
        <w:t>.</w:t>
      </w:r>
      <w:r w:rsidRPr="00F548D9">
        <w:rPr>
          <w:rFonts w:asciiTheme="minorHAnsi" w:eastAsiaTheme="minorEastAsia" w:hAnsiTheme="minorHAnsi" w:cstheme="minorBidi"/>
          <w:sz w:val="22"/>
          <w:szCs w:val="22"/>
          <w:lang w:val="it-IT" w:eastAsia="en-GB" w:bidi="ar-SA"/>
        </w:rPr>
        <w:tab/>
      </w:r>
      <w:r>
        <w:t>Situa</w:t>
      </w:r>
      <w:r w:rsidR="000C213F">
        <w:t>ț</w:t>
      </w:r>
      <w:r>
        <w:t>ia rezultatului global (</w:t>
      </w:r>
      <w:r w:rsidRPr="004237EC">
        <w:t>3</w:t>
      </w:r>
      <w:r>
        <w:t>)</w:t>
      </w:r>
      <w:r>
        <w:tab/>
      </w:r>
      <w:r>
        <w:fldChar w:fldCharType="begin"/>
      </w:r>
      <w:r>
        <w:instrText xml:space="preserve"> PAGEREF _Toc485897543 \h </w:instrText>
      </w:r>
      <w:r>
        <w:fldChar w:fldCharType="separate"/>
      </w:r>
      <w:r w:rsidR="004237EC">
        <w:t>25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4</w:t>
      </w:r>
      <w:r>
        <w:t>.</w:t>
      </w:r>
      <w:r w:rsidRPr="00F548D9">
        <w:rPr>
          <w:rFonts w:asciiTheme="minorHAnsi" w:eastAsiaTheme="minorEastAsia" w:hAnsiTheme="minorHAnsi" w:cstheme="minorBidi"/>
          <w:sz w:val="22"/>
          <w:szCs w:val="22"/>
          <w:lang w:val="it-IT" w:eastAsia="en-GB" w:bidi="ar-SA"/>
        </w:rPr>
        <w:tab/>
      </w:r>
      <w:r>
        <w:t xml:space="preserve">Defalcarea activelor financiare pe instrumente </w:t>
      </w:r>
      <w:r w:rsidR="000C213F">
        <w:t>ș</w:t>
      </w:r>
      <w:r>
        <w:t>i pe sectoare ale contrapăr</w:t>
      </w:r>
      <w:r w:rsidR="000C213F">
        <w:t>ț</w:t>
      </w:r>
      <w:r>
        <w:t>ilor (</w:t>
      </w:r>
      <w:r w:rsidRPr="004237EC">
        <w:t>4</w:t>
      </w:r>
      <w:r>
        <w:t>)</w:t>
      </w:r>
      <w:r>
        <w:tab/>
      </w:r>
      <w:r>
        <w:fldChar w:fldCharType="begin"/>
      </w:r>
      <w:r>
        <w:instrText xml:space="preserve"> PAGEREF _Toc485897544 \h </w:instrText>
      </w:r>
      <w:r>
        <w:fldChar w:fldCharType="separate"/>
      </w:r>
      <w:r w:rsidR="004237EC">
        <w:t>26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5</w:t>
      </w:r>
      <w:r>
        <w:t>.</w:t>
      </w:r>
      <w:r w:rsidRPr="00F548D9">
        <w:rPr>
          <w:rFonts w:asciiTheme="minorHAnsi" w:eastAsiaTheme="minorEastAsia" w:hAnsiTheme="minorHAnsi" w:cstheme="minorBidi"/>
          <w:sz w:val="22"/>
          <w:szCs w:val="22"/>
          <w:lang w:val="it-IT" w:eastAsia="en-GB" w:bidi="ar-SA"/>
        </w:rPr>
        <w:tab/>
      </w:r>
      <w:r>
        <w:t xml:space="preserve">Defalcarea pe tipuri de produse a creditelor </w:t>
      </w:r>
      <w:r w:rsidR="000C213F">
        <w:t>ș</w:t>
      </w:r>
      <w:r>
        <w:t>i a avansurilor nedestinate tranzac</w:t>
      </w:r>
      <w:r w:rsidR="000C213F">
        <w:t>ț</w:t>
      </w:r>
      <w:r>
        <w:t>ionării (</w:t>
      </w:r>
      <w:r w:rsidRPr="004237EC">
        <w:t>5</w:t>
      </w:r>
      <w:r>
        <w:t>)</w:t>
      </w:r>
      <w:r>
        <w:tab/>
      </w:r>
      <w:r>
        <w:fldChar w:fldCharType="begin"/>
      </w:r>
      <w:r>
        <w:instrText xml:space="preserve"> PAGEREF _Toc485897545 \h </w:instrText>
      </w:r>
      <w:r>
        <w:fldChar w:fldCharType="separate"/>
      </w:r>
      <w:r w:rsidR="004237EC">
        <w:t>30</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rPr>
          <w:kern w:val="32"/>
        </w:rPr>
        <w:t>6</w:t>
      </w:r>
      <w:r w:rsidRPr="007925C3">
        <w:rPr>
          <w:kern w:val="32"/>
        </w:rPr>
        <w:t>.</w:t>
      </w:r>
      <w:r w:rsidRPr="00F548D9">
        <w:rPr>
          <w:rFonts w:asciiTheme="minorHAnsi" w:eastAsiaTheme="minorEastAsia" w:hAnsiTheme="minorHAnsi" w:cstheme="minorBidi"/>
          <w:sz w:val="22"/>
          <w:szCs w:val="22"/>
          <w:lang w:val="it-IT" w:eastAsia="en-GB" w:bidi="ar-SA"/>
        </w:rPr>
        <w:tab/>
      </w:r>
      <w:r>
        <w:t xml:space="preserve">Defalcarea pe coduri NACE a creditelor </w:t>
      </w:r>
      <w:r w:rsidR="000C213F">
        <w:t>ș</w:t>
      </w:r>
      <w:r>
        <w:t>i a avansurilor nedestinate tranzac</w:t>
      </w:r>
      <w:r w:rsidR="000C213F">
        <w:t>ț</w:t>
      </w:r>
      <w:r>
        <w:t>ionării care sunt acordate societă</w:t>
      </w:r>
      <w:r w:rsidR="000C213F">
        <w:t>ț</w:t>
      </w:r>
      <w:r>
        <w:t>ilor nefinanciare (</w:t>
      </w:r>
      <w:r w:rsidRPr="004237EC">
        <w:t>6</w:t>
      </w:r>
      <w:r>
        <w:t>)</w:t>
      </w:r>
      <w:r>
        <w:tab/>
      </w:r>
      <w:r>
        <w:fldChar w:fldCharType="begin"/>
      </w:r>
      <w:r>
        <w:instrText xml:space="preserve"> PAGEREF _Toc485897546 \h </w:instrText>
      </w:r>
      <w:r>
        <w:fldChar w:fldCharType="separate"/>
      </w:r>
      <w:r w:rsidR="004237EC">
        <w:t>32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rPr>
          <w:kern w:val="32"/>
        </w:rPr>
        <w:t>7</w:t>
      </w:r>
      <w:r w:rsidRPr="007925C3">
        <w:rPr>
          <w:kern w:val="32"/>
        </w:rPr>
        <w:t>.</w:t>
      </w:r>
      <w:r w:rsidRPr="00F548D9">
        <w:rPr>
          <w:rFonts w:asciiTheme="minorHAnsi" w:eastAsiaTheme="minorEastAsia" w:hAnsiTheme="minorHAnsi" w:cstheme="minorBidi"/>
          <w:sz w:val="22"/>
          <w:szCs w:val="22"/>
          <w:lang w:val="it-IT" w:eastAsia="en-GB" w:bidi="ar-SA"/>
        </w:rPr>
        <w:tab/>
      </w:r>
      <w:r>
        <w:t xml:space="preserve">Active financiare care fac obiectul deprecierii </w:t>
      </w:r>
      <w:r w:rsidR="000C213F">
        <w:t>ș</w:t>
      </w:r>
      <w:r>
        <w:t>i care sunt restante (</w:t>
      </w:r>
      <w:r w:rsidRPr="004237EC">
        <w:t>7</w:t>
      </w:r>
      <w:r>
        <w:t>)</w:t>
      </w:r>
      <w:r>
        <w:tab/>
      </w:r>
      <w:r>
        <w:fldChar w:fldCharType="begin"/>
      </w:r>
      <w:r>
        <w:instrText xml:space="preserve"> PAGEREF _Toc485897547 \h </w:instrText>
      </w:r>
      <w:r>
        <w:fldChar w:fldCharType="separate"/>
      </w:r>
      <w:r w:rsidR="004237EC">
        <w:t>32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8</w:t>
      </w:r>
      <w:r>
        <w:t>.</w:t>
      </w:r>
      <w:r w:rsidRPr="00F548D9">
        <w:rPr>
          <w:rFonts w:asciiTheme="minorHAnsi" w:eastAsiaTheme="minorEastAsia" w:hAnsiTheme="minorHAnsi" w:cstheme="minorBidi"/>
          <w:sz w:val="22"/>
          <w:szCs w:val="22"/>
          <w:lang w:val="it-IT" w:eastAsia="en-GB" w:bidi="ar-SA"/>
        </w:rPr>
        <w:tab/>
      </w:r>
      <w:r>
        <w:t>Defalcarea datoriilor financiare (</w:t>
      </w:r>
      <w:r w:rsidRPr="004237EC">
        <w:t>8</w:t>
      </w:r>
      <w:r>
        <w:t>)</w:t>
      </w:r>
      <w:r>
        <w:tab/>
      </w:r>
      <w:r>
        <w:fldChar w:fldCharType="begin"/>
      </w:r>
      <w:r>
        <w:instrText xml:space="preserve"> PAGEREF _Toc485897548 \h </w:instrText>
      </w:r>
      <w:r>
        <w:fldChar w:fldCharType="separate"/>
      </w:r>
      <w:r w:rsidR="004237EC">
        <w:t>32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9</w:t>
      </w:r>
      <w:r>
        <w:t>.</w:t>
      </w:r>
      <w:r w:rsidRPr="00F548D9">
        <w:rPr>
          <w:rFonts w:asciiTheme="minorHAnsi" w:eastAsiaTheme="minorEastAsia" w:hAnsiTheme="minorHAnsi" w:cstheme="minorBidi"/>
          <w:sz w:val="22"/>
          <w:szCs w:val="22"/>
          <w:lang w:val="it-IT" w:eastAsia="en-GB" w:bidi="ar-SA"/>
        </w:rPr>
        <w:tab/>
      </w:r>
      <w:r>
        <w:t>Angajamente de creditare, garan</w:t>
      </w:r>
      <w:r w:rsidR="000C213F">
        <w:t>ț</w:t>
      </w:r>
      <w:r>
        <w:t xml:space="preserve">ii financiare </w:t>
      </w:r>
      <w:r w:rsidR="000C213F">
        <w:t>ș</w:t>
      </w:r>
      <w:r>
        <w:t>i alte angajamente (</w:t>
      </w:r>
      <w:r w:rsidRPr="004237EC">
        <w:t>9</w:t>
      </w:r>
      <w:r>
        <w:t>)</w:t>
      </w:r>
      <w:r>
        <w:tab/>
      </w:r>
      <w:r>
        <w:fldChar w:fldCharType="begin"/>
      </w:r>
      <w:r>
        <w:instrText xml:space="preserve"> PAGEREF _Toc485897549 \h </w:instrText>
      </w:r>
      <w:r>
        <w:fldChar w:fldCharType="separate"/>
      </w:r>
      <w:r w:rsidR="004237EC">
        <w:t>33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F548D9">
        <w:rPr>
          <w:rFonts w:asciiTheme="minorHAnsi" w:eastAsiaTheme="minorEastAsia" w:hAnsiTheme="minorHAnsi" w:cstheme="minorBidi"/>
          <w:sz w:val="22"/>
          <w:szCs w:val="22"/>
          <w:lang w:val="it-IT" w:eastAsia="en-GB" w:bidi="ar-SA"/>
        </w:rPr>
        <w:tab/>
      </w:r>
      <w:r>
        <w:t xml:space="preserve">Instrumente derivate </w:t>
      </w:r>
      <w:r w:rsidR="000C213F">
        <w:t>ș</w:t>
      </w:r>
      <w:r>
        <w:t>i contabilitatea de acoperire împotriva riscurilor (</w:t>
      </w:r>
      <w:r w:rsidRPr="004237EC">
        <w:t>10</w:t>
      </w:r>
      <w:r>
        <w:t xml:space="preserve"> </w:t>
      </w:r>
      <w:r w:rsidR="000C213F">
        <w:t>ș</w:t>
      </w:r>
      <w:r>
        <w:t xml:space="preserve">i </w:t>
      </w:r>
      <w:r w:rsidRPr="004237EC">
        <w:t>11</w:t>
      </w:r>
      <w:r>
        <w:t>)</w:t>
      </w:r>
      <w:r>
        <w:tab/>
      </w:r>
      <w:r>
        <w:fldChar w:fldCharType="begin"/>
      </w:r>
      <w:r>
        <w:instrText xml:space="preserve"> PAGEREF _Toc485897550 \h </w:instrText>
      </w:r>
      <w:r>
        <w:fldChar w:fldCharType="separate"/>
      </w:r>
      <w:r w:rsidR="004237EC">
        <w:t>37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4237EC">
        <w:t>1</w:t>
      </w:r>
      <w:r>
        <w:t>.</w:t>
      </w:r>
      <w:r w:rsidRPr="00F548D9">
        <w:rPr>
          <w:rFonts w:asciiTheme="minorHAnsi" w:eastAsiaTheme="minorEastAsia" w:hAnsiTheme="minorHAnsi" w:cstheme="minorBidi"/>
          <w:sz w:val="22"/>
          <w:szCs w:val="22"/>
          <w:lang w:val="it-IT" w:eastAsia="en-GB" w:bidi="ar-SA"/>
        </w:rPr>
        <w:tab/>
      </w:r>
      <w:r>
        <w:t>Clasificarea instrumentelor derivate pe tipuri de riscuri</w:t>
      </w:r>
      <w:r>
        <w:tab/>
      </w:r>
      <w:r>
        <w:fldChar w:fldCharType="begin"/>
      </w:r>
      <w:r>
        <w:instrText xml:space="preserve"> PAGEREF _Toc485897551 \h </w:instrText>
      </w:r>
      <w:r>
        <w:fldChar w:fldCharType="separate"/>
      </w:r>
      <w:r w:rsidR="004237EC">
        <w:t>38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4237EC">
        <w:t>2</w:t>
      </w:r>
      <w:r>
        <w:t>.</w:t>
      </w:r>
      <w:r w:rsidRPr="00F548D9">
        <w:rPr>
          <w:rFonts w:asciiTheme="minorHAnsi" w:eastAsiaTheme="minorEastAsia" w:hAnsiTheme="minorHAnsi" w:cstheme="minorBidi"/>
          <w:sz w:val="22"/>
          <w:szCs w:val="22"/>
          <w:lang w:val="it-IT" w:eastAsia="en-GB" w:bidi="ar-SA"/>
        </w:rPr>
        <w:tab/>
      </w:r>
      <w:r>
        <w:t>Cuantumurile de raportat pentru instrumentele derivate</w:t>
      </w:r>
      <w:r>
        <w:tab/>
      </w:r>
      <w:r>
        <w:fldChar w:fldCharType="begin"/>
      </w:r>
      <w:r>
        <w:instrText xml:space="preserve"> PAGEREF _Toc485897552 \h </w:instrText>
      </w:r>
      <w:r>
        <w:fldChar w:fldCharType="separate"/>
      </w:r>
      <w:r w:rsidR="004237EC">
        <w:t>40</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4237EC">
        <w:t>3</w:t>
      </w:r>
      <w:r>
        <w:t>.</w:t>
      </w:r>
      <w:r w:rsidRPr="00F548D9">
        <w:rPr>
          <w:rFonts w:asciiTheme="minorHAnsi" w:eastAsiaTheme="minorEastAsia" w:hAnsiTheme="minorHAnsi" w:cstheme="minorBidi"/>
          <w:sz w:val="22"/>
          <w:szCs w:val="22"/>
          <w:lang w:val="it-IT" w:eastAsia="en-GB" w:bidi="ar-SA"/>
        </w:rPr>
        <w:tab/>
      </w:r>
      <w:r>
        <w:t>Instrumente derivate clasificate ca „instrumente de acoperire economică împotriva riscurilor”</w:t>
      </w:r>
      <w:r>
        <w:tab/>
      </w:r>
      <w:r>
        <w:fldChar w:fldCharType="begin"/>
      </w:r>
      <w:r>
        <w:instrText xml:space="preserve"> PAGEREF _Toc485897553 \h </w:instrText>
      </w:r>
      <w:r>
        <w:fldChar w:fldCharType="separate"/>
      </w:r>
      <w:r w:rsidR="004237EC">
        <w:t>42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4237EC">
        <w:t>4</w:t>
      </w:r>
      <w:r>
        <w:t>.</w:t>
      </w:r>
      <w:r w:rsidRPr="00F548D9">
        <w:rPr>
          <w:rFonts w:asciiTheme="minorHAnsi" w:eastAsiaTheme="minorEastAsia" w:hAnsiTheme="minorHAnsi" w:cstheme="minorBidi"/>
          <w:sz w:val="22"/>
          <w:szCs w:val="22"/>
          <w:lang w:val="it-IT" w:eastAsia="en-GB" w:bidi="ar-SA"/>
        </w:rPr>
        <w:tab/>
      </w:r>
      <w:r>
        <w:t>Defalcarea instrumentelor derivate pe sectoare ale contrapăr</w:t>
      </w:r>
      <w:r w:rsidR="000C213F">
        <w:t>ț</w:t>
      </w:r>
      <w:r>
        <w:t>ilor</w:t>
      </w:r>
      <w:r>
        <w:tab/>
      </w:r>
      <w:r>
        <w:fldChar w:fldCharType="begin"/>
      </w:r>
      <w:r>
        <w:instrText xml:space="preserve"> PAGEREF _Toc485897554 \h </w:instrText>
      </w:r>
      <w:r>
        <w:fldChar w:fldCharType="separate"/>
      </w:r>
      <w:r w:rsidR="004237EC">
        <w:t>43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4237EC">
        <w:t>5</w:t>
      </w:r>
      <w:r>
        <w:t>.</w:t>
      </w:r>
      <w:r w:rsidRPr="00F548D9">
        <w:rPr>
          <w:rFonts w:asciiTheme="minorHAnsi" w:eastAsiaTheme="minorEastAsia" w:hAnsiTheme="minorHAnsi" w:cstheme="minorBidi"/>
          <w:sz w:val="22"/>
          <w:szCs w:val="22"/>
          <w:lang w:val="it-IT" w:eastAsia="en-GB" w:bidi="ar-SA"/>
        </w:rPr>
        <w:tab/>
      </w:r>
      <w:r>
        <w:t>Contabilitatea de acoperire împotriva riscurilor în temeiul GAAP na</w:t>
      </w:r>
      <w:r w:rsidR="000C213F">
        <w:t>ț</w:t>
      </w:r>
      <w:r>
        <w:t>ionale (</w:t>
      </w:r>
      <w:r w:rsidRPr="004237EC">
        <w:t>11</w:t>
      </w:r>
      <w:r>
        <w:t>.</w:t>
      </w:r>
      <w:r w:rsidRPr="004237EC">
        <w:t>2</w:t>
      </w:r>
      <w:r>
        <w:t>)</w:t>
      </w:r>
      <w:r>
        <w:tab/>
      </w:r>
      <w:r>
        <w:fldChar w:fldCharType="begin"/>
      </w:r>
      <w:r>
        <w:instrText xml:space="preserve"> PAGEREF _Toc485897555 \h </w:instrText>
      </w:r>
      <w:r>
        <w:fldChar w:fldCharType="separate"/>
      </w:r>
      <w:r w:rsidR="004237EC">
        <w:t>43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4237EC">
        <w:t>6</w:t>
      </w:r>
      <w:r>
        <w:t>.</w:t>
      </w:r>
      <w:r w:rsidRPr="00F548D9">
        <w:rPr>
          <w:rFonts w:asciiTheme="minorHAnsi" w:eastAsiaTheme="minorEastAsia" w:hAnsiTheme="minorHAnsi" w:cstheme="minorBidi"/>
          <w:sz w:val="22"/>
          <w:szCs w:val="22"/>
          <w:lang w:val="it-IT" w:eastAsia="en-GB" w:bidi="ar-SA"/>
        </w:rPr>
        <w:tab/>
      </w:r>
      <w:r>
        <w:t>Cuantumul care trebuie raportat pentru instrumentele nederivate de acoperire împotriva riscurilor (</w:t>
      </w:r>
      <w:r w:rsidRPr="004237EC">
        <w:t>11</w:t>
      </w:r>
      <w:r>
        <w:t>.</w:t>
      </w:r>
      <w:r w:rsidRPr="004237EC">
        <w:t>3</w:t>
      </w:r>
      <w:r>
        <w:t xml:space="preserve"> </w:t>
      </w:r>
      <w:r w:rsidR="000C213F">
        <w:t>ș</w:t>
      </w:r>
      <w:r>
        <w:t xml:space="preserve">i </w:t>
      </w:r>
      <w:r w:rsidRPr="004237EC">
        <w:t>11</w:t>
      </w:r>
      <w:r>
        <w:t>.</w:t>
      </w:r>
      <w:r w:rsidRPr="004237EC">
        <w:t>3</w:t>
      </w:r>
      <w:r>
        <w:t>.</w:t>
      </w:r>
      <w:r w:rsidRPr="004237EC">
        <w:t>1</w:t>
      </w:r>
      <w:r>
        <w:t>)</w:t>
      </w:r>
      <w:r>
        <w:tab/>
      </w:r>
      <w:r>
        <w:fldChar w:fldCharType="begin"/>
      </w:r>
      <w:r>
        <w:instrText xml:space="preserve"> PAGEREF _Toc485897556 \h </w:instrText>
      </w:r>
      <w:r>
        <w:fldChar w:fldCharType="separate"/>
      </w:r>
      <w:r w:rsidR="004237EC">
        <w:t>43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10</w:t>
      </w:r>
      <w:r>
        <w:t>.</w:t>
      </w:r>
      <w:r w:rsidRPr="004237EC">
        <w:t>7</w:t>
      </w:r>
      <w:r>
        <w:t>.</w:t>
      </w:r>
      <w:r w:rsidRPr="00F548D9">
        <w:rPr>
          <w:rFonts w:asciiTheme="minorHAnsi" w:eastAsiaTheme="minorEastAsia" w:hAnsiTheme="minorHAnsi" w:cstheme="minorBidi"/>
          <w:sz w:val="22"/>
          <w:szCs w:val="22"/>
          <w:lang w:val="it-IT" w:eastAsia="en-GB" w:bidi="ar-SA"/>
        </w:rPr>
        <w:tab/>
      </w:r>
      <w:r>
        <w:t>Elemente acoperite în acoperiri ale valorii juste împotriva riscurilor (</w:t>
      </w:r>
      <w:r w:rsidRPr="004237EC">
        <w:t>11</w:t>
      </w:r>
      <w:r>
        <w:t>.</w:t>
      </w:r>
      <w:r w:rsidRPr="004237EC">
        <w:t>4</w:t>
      </w:r>
      <w:r>
        <w:t>)</w:t>
      </w:r>
      <w:r>
        <w:tab/>
      </w:r>
      <w:r>
        <w:fldChar w:fldCharType="begin"/>
      </w:r>
      <w:r>
        <w:instrText xml:space="preserve"> PAGEREF _Toc485897557 \h </w:instrText>
      </w:r>
      <w:r>
        <w:fldChar w:fldCharType="separate"/>
      </w:r>
      <w:r w:rsidR="004237EC">
        <w:t>43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rPr>
          <w:kern w:val="32"/>
        </w:rPr>
        <w:lastRenderedPageBreak/>
        <w:t>11</w:t>
      </w:r>
      <w:r w:rsidRPr="007925C3">
        <w:rPr>
          <w:kern w:val="32"/>
        </w:rPr>
        <w:t>.</w:t>
      </w:r>
      <w:r w:rsidRPr="00F548D9">
        <w:rPr>
          <w:rFonts w:asciiTheme="minorHAnsi" w:eastAsiaTheme="minorEastAsia" w:hAnsiTheme="minorHAnsi" w:cstheme="minorBidi"/>
          <w:sz w:val="22"/>
          <w:szCs w:val="22"/>
          <w:lang w:val="it-IT" w:eastAsia="en-GB" w:bidi="ar-SA"/>
        </w:rPr>
        <w:tab/>
      </w:r>
      <w:r>
        <w:t>Varia</w:t>
      </w:r>
      <w:r w:rsidR="000C213F">
        <w:t>ț</w:t>
      </w:r>
      <w:r>
        <w:t xml:space="preserve">ia ajustărilor </w:t>
      </w:r>
      <w:r w:rsidR="000C213F">
        <w:t>ș</w:t>
      </w:r>
      <w:r>
        <w:t>i a provizioanelor pentru pierderile din credit (</w:t>
      </w:r>
      <w:r w:rsidRPr="004237EC">
        <w:t>12</w:t>
      </w:r>
      <w:r>
        <w:t>)</w:t>
      </w:r>
      <w:r>
        <w:tab/>
      </w:r>
      <w:r>
        <w:fldChar w:fldCharType="begin"/>
      </w:r>
      <w:r>
        <w:instrText xml:space="preserve"> PAGEREF _Toc485897558 \h </w:instrText>
      </w:r>
      <w:r>
        <w:fldChar w:fldCharType="separate"/>
      </w:r>
      <w:r w:rsidR="004237EC">
        <w:t>45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11</w:t>
      </w:r>
      <w:r>
        <w:t>.</w:t>
      </w:r>
      <w:r w:rsidRPr="004237EC">
        <w:t>1</w:t>
      </w:r>
      <w:r>
        <w:t>.</w:t>
      </w:r>
      <w:r w:rsidRPr="00F548D9">
        <w:rPr>
          <w:rFonts w:asciiTheme="minorHAnsi" w:eastAsiaTheme="minorEastAsia" w:hAnsiTheme="minorHAnsi" w:cstheme="minorBidi"/>
          <w:sz w:val="22"/>
          <w:szCs w:val="22"/>
          <w:lang w:val="it-IT" w:eastAsia="en-GB" w:bidi="ar-SA"/>
        </w:rPr>
        <w:tab/>
      </w:r>
      <w:r>
        <w:t>Varia</w:t>
      </w:r>
      <w:r w:rsidR="000C213F">
        <w:t>ț</w:t>
      </w:r>
      <w:r>
        <w:t xml:space="preserve">ia ajustărilor pentru pierderile din credit </w:t>
      </w:r>
      <w:r w:rsidR="000C213F">
        <w:t>ș</w:t>
      </w:r>
      <w:r>
        <w:t>i deprecierea instrumentelor de capitaluri proprii în temeiul GAAP na</w:t>
      </w:r>
      <w:r w:rsidR="000C213F">
        <w:t>ț</w:t>
      </w:r>
      <w:r>
        <w:t>ionale bazate pe BAD (</w:t>
      </w:r>
      <w:r w:rsidRPr="004237EC">
        <w:t>12</w:t>
      </w:r>
      <w:r>
        <w:t>.</w:t>
      </w:r>
      <w:r w:rsidRPr="004237EC">
        <w:t>0</w:t>
      </w:r>
      <w:r>
        <w:t>)</w:t>
      </w:r>
      <w:r>
        <w:tab/>
      </w:r>
      <w:r>
        <w:fldChar w:fldCharType="begin"/>
      </w:r>
      <w:r>
        <w:instrText xml:space="preserve"> PAGEREF _Toc485897559 \h </w:instrText>
      </w:r>
      <w:r>
        <w:fldChar w:fldCharType="separate"/>
      </w:r>
      <w:r w:rsidR="004237EC">
        <w:t>4</w:t>
      </w:r>
      <w:r w:rsidR="004237EC">
        <w:t>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11</w:t>
      </w:r>
      <w:r>
        <w:t>.</w:t>
      </w:r>
      <w:r w:rsidRPr="004237EC">
        <w:t>2</w:t>
      </w:r>
      <w:r>
        <w:t>.</w:t>
      </w:r>
      <w:r w:rsidRPr="00F548D9">
        <w:rPr>
          <w:rFonts w:asciiTheme="minorHAnsi" w:eastAsiaTheme="minorEastAsia" w:hAnsiTheme="minorHAnsi" w:cstheme="minorBidi"/>
          <w:sz w:val="22"/>
          <w:szCs w:val="22"/>
          <w:lang w:val="it-IT" w:eastAsia="en-GB" w:bidi="ar-SA"/>
        </w:rPr>
        <w:tab/>
      </w:r>
      <w:r>
        <w:t>Varia</w:t>
      </w:r>
      <w:r w:rsidR="000C213F">
        <w:t>ț</w:t>
      </w:r>
      <w:r>
        <w:t xml:space="preserve">ia ajustărilor </w:t>
      </w:r>
      <w:r w:rsidR="000C213F">
        <w:t>ș</w:t>
      </w:r>
      <w:r>
        <w:t>i a provizioanelor pentru pierderile din credit conform IFRS (</w:t>
      </w:r>
      <w:r w:rsidRPr="004237EC">
        <w:t>12</w:t>
      </w:r>
      <w:r>
        <w:t>.</w:t>
      </w:r>
      <w:r w:rsidRPr="004237EC">
        <w:t>1</w:t>
      </w:r>
      <w:r>
        <w:t>)</w:t>
      </w:r>
      <w:r>
        <w:tab/>
      </w:r>
      <w:r>
        <w:fldChar w:fldCharType="begin"/>
      </w:r>
      <w:r>
        <w:instrText xml:space="preserve"> PAGEREF _Toc485897560 \h </w:instrText>
      </w:r>
      <w:r>
        <w:fldChar w:fldCharType="separate"/>
      </w:r>
      <w:r w:rsidR="004237EC">
        <w:t>45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11</w:t>
      </w:r>
      <w:r>
        <w:t>.</w:t>
      </w:r>
      <w:r w:rsidRPr="004237EC">
        <w:t>3</w:t>
      </w:r>
      <w:r>
        <w:t>.</w:t>
      </w:r>
      <w:r w:rsidRPr="00F548D9">
        <w:rPr>
          <w:rFonts w:asciiTheme="minorHAnsi" w:eastAsiaTheme="minorEastAsia" w:hAnsiTheme="minorHAnsi" w:cstheme="minorBidi"/>
          <w:sz w:val="22"/>
          <w:szCs w:val="22"/>
          <w:lang w:val="it-IT" w:eastAsia="en-GB" w:bidi="ar-SA"/>
        </w:rPr>
        <w:tab/>
      </w:r>
      <w:r>
        <w:t>Transferuri între etapele deprecierii (prezentarea valorii brute) (</w:t>
      </w:r>
      <w:r w:rsidRPr="004237EC">
        <w:t>12</w:t>
      </w:r>
      <w:r>
        <w:t>.</w:t>
      </w:r>
      <w:r w:rsidRPr="004237EC">
        <w:t>2</w:t>
      </w:r>
      <w:r>
        <w:t>)</w:t>
      </w:r>
      <w:r>
        <w:tab/>
      </w:r>
      <w:r>
        <w:fldChar w:fldCharType="begin"/>
      </w:r>
      <w:r>
        <w:instrText xml:space="preserve"> PAGEREF _Toc485897561 \h </w:instrText>
      </w:r>
      <w:r>
        <w:fldChar w:fldCharType="separate"/>
      </w:r>
      <w:r w:rsidR="004237EC">
        <w:t>48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12</w:t>
      </w:r>
      <w:r>
        <w:t>.</w:t>
      </w:r>
      <w:r w:rsidRPr="00F548D9">
        <w:rPr>
          <w:rFonts w:asciiTheme="minorHAnsi" w:eastAsiaTheme="minorEastAsia" w:hAnsiTheme="minorHAnsi" w:cstheme="minorBidi"/>
          <w:sz w:val="22"/>
          <w:szCs w:val="22"/>
          <w:lang w:val="it-IT" w:eastAsia="en-GB" w:bidi="ar-SA"/>
        </w:rPr>
        <w:tab/>
      </w:r>
      <w:r>
        <w:t>Garan</w:t>
      </w:r>
      <w:r w:rsidR="000C213F">
        <w:t>ț</w:t>
      </w:r>
      <w:r>
        <w:t xml:space="preserve">ii reale </w:t>
      </w:r>
      <w:r w:rsidR="000C213F">
        <w:t>ș</w:t>
      </w:r>
      <w:r>
        <w:t>i garan</w:t>
      </w:r>
      <w:r w:rsidR="000C213F">
        <w:t>ț</w:t>
      </w:r>
      <w:r>
        <w:t>ii primite (</w:t>
      </w:r>
      <w:r w:rsidRPr="004237EC">
        <w:t>13</w:t>
      </w:r>
      <w:r>
        <w:t>)</w:t>
      </w:r>
      <w:r>
        <w:tab/>
      </w:r>
      <w:r>
        <w:fldChar w:fldCharType="begin"/>
      </w:r>
      <w:r>
        <w:instrText xml:space="preserve"> PAGEREF _Toc485897562 \h </w:instrText>
      </w:r>
      <w:r>
        <w:fldChar w:fldCharType="separate"/>
      </w:r>
      <w:r w:rsidR="004237EC">
        <w:t>48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12</w:t>
      </w:r>
      <w:r>
        <w:t>.</w:t>
      </w:r>
      <w:r w:rsidRPr="004237EC">
        <w:t>1</w:t>
      </w:r>
      <w:r>
        <w:t>.</w:t>
      </w:r>
      <w:r w:rsidRPr="00F548D9">
        <w:rPr>
          <w:rFonts w:asciiTheme="minorHAnsi" w:eastAsiaTheme="minorEastAsia" w:hAnsiTheme="minorHAnsi" w:cstheme="minorBidi"/>
          <w:sz w:val="22"/>
          <w:szCs w:val="22"/>
          <w:lang w:val="it-IT" w:eastAsia="en-GB" w:bidi="ar-SA"/>
        </w:rPr>
        <w:tab/>
      </w:r>
      <w:r>
        <w:t>Defalcarea garan</w:t>
      </w:r>
      <w:r w:rsidR="000C213F">
        <w:t>ț</w:t>
      </w:r>
      <w:r>
        <w:t xml:space="preserve">iilor reale </w:t>
      </w:r>
      <w:r w:rsidR="000C213F">
        <w:t>ș</w:t>
      </w:r>
      <w:r>
        <w:t>i a garan</w:t>
      </w:r>
      <w:r w:rsidR="000C213F">
        <w:t>ț</w:t>
      </w:r>
      <w:r>
        <w:t>iilor în func</w:t>
      </w:r>
      <w:r w:rsidR="000C213F">
        <w:t>ț</w:t>
      </w:r>
      <w:r>
        <w:t xml:space="preserve">ie de credite </w:t>
      </w:r>
      <w:r w:rsidR="000C213F">
        <w:t>ș</w:t>
      </w:r>
      <w:r>
        <w:t>i avansuri, altele decât cele de</w:t>
      </w:r>
      <w:r w:rsidR="000C213F">
        <w:t>ț</w:t>
      </w:r>
      <w:r>
        <w:t>inute în vederea tranzac</w:t>
      </w:r>
      <w:r w:rsidR="000C213F">
        <w:t>ț</w:t>
      </w:r>
      <w:r>
        <w:t>ionării (</w:t>
      </w:r>
      <w:r w:rsidRPr="004237EC">
        <w:t>13</w:t>
      </w:r>
      <w:r>
        <w:t>.</w:t>
      </w:r>
      <w:r w:rsidRPr="004237EC">
        <w:t>1</w:t>
      </w:r>
      <w:r>
        <w:t>)</w:t>
      </w:r>
      <w:r>
        <w:tab/>
      </w:r>
      <w:r>
        <w:fldChar w:fldCharType="begin"/>
      </w:r>
      <w:r>
        <w:instrText xml:space="preserve"> PAGEREF _Toc485897563 \h </w:instrText>
      </w:r>
      <w:r>
        <w:fldChar w:fldCharType="separate"/>
      </w:r>
      <w:r w:rsidR="004237EC">
        <w:t>48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12</w:t>
      </w:r>
      <w:r>
        <w:t>.</w:t>
      </w:r>
      <w:r w:rsidRPr="004237EC">
        <w:t>2</w:t>
      </w:r>
      <w:r>
        <w:t>.</w:t>
      </w:r>
      <w:r w:rsidRPr="00F548D9">
        <w:rPr>
          <w:rFonts w:asciiTheme="minorHAnsi" w:eastAsiaTheme="minorEastAsia" w:hAnsiTheme="minorHAnsi" w:cstheme="minorBidi"/>
          <w:sz w:val="22"/>
          <w:szCs w:val="22"/>
          <w:lang w:val="it-IT" w:eastAsia="en-GB" w:bidi="ar-SA"/>
        </w:rPr>
        <w:tab/>
      </w:r>
      <w:r>
        <w:t>Active ob</w:t>
      </w:r>
      <w:r w:rsidR="000C213F">
        <w:t>ț</w:t>
      </w:r>
      <w:r>
        <w:t>inute în cursul perioadei prin intrarea în posesia garan</w:t>
      </w:r>
      <w:r w:rsidR="000C213F">
        <w:t>ț</w:t>
      </w:r>
      <w:r>
        <w:t>iilor reale de</w:t>
      </w:r>
      <w:r w:rsidR="000C213F">
        <w:t>ț</w:t>
      </w:r>
      <w:r>
        <w:t>inute [de</w:t>
      </w:r>
      <w:r w:rsidR="000C213F">
        <w:t>ț</w:t>
      </w:r>
      <w:r>
        <w:t>inute la data raportării] (</w:t>
      </w:r>
      <w:r w:rsidRPr="004237EC">
        <w:t>13</w:t>
      </w:r>
      <w:r>
        <w:t>.</w:t>
      </w:r>
      <w:r w:rsidRPr="004237EC">
        <w:t>2</w:t>
      </w:r>
      <w:r>
        <w:t>)</w:t>
      </w:r>
      <w:r>
        <w:tab/>
      </w:r>
      <w:r>
        <w:fldChar w:fldCharType="begin"/>
      </w:r>
      <w:r>
        <w:instrText xml:space="preserve"> PAGEREF _Toc485897564 \h </w:instrText>
      </w:r>
      <w:r>
        <w:fldChar w:fldCharType="separate"/>
      </w:r>
      <w:r w:rsidR="004237EC">
        <w:t>50</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12</w:t>
      </w:r>
      <w:r>
        <w:t>.</w:t>
      </w:r>
      <w:r w:rsidRPr="004237EC">
        <w:t>3</w:t>
      </w:r>
      <w:r>
        <w:t>.</w:t>
      </w:r>
      <w:r w:rsidRPr="00F548D9">
        <w:rPr>
          <w:rFonts w:asciiTheme="minorHAnsi" w:eastAsiaTheme="minorEastAsia" w:hAnsiTheme="minorHAnsi" w:cstheme="minorBidi"/>
          <w:sz w:val="22"/>
          <w:szCs w:val="22"/>
          <w:lang w:val="it-IT" w:eastAsia="en-GB" w:bidi="ar-SA"/>
        </w:rPr>
        <w:tab/>
      </w:r>
      <w:r>
        <w:t>Active ob</w:t>
      </w:r>
      <w:r w:rsidR="000C213F">
        <w:t>ț</w:t>
      </w:r>
      <w:r>
        <w:t>inute prin intrarea în posesia garan</w:t>
      </w:r>
      <w:r w:rsidR="000C213F">
        <w:t>ț</w:t>
      </w:r>
      <w:r>
        <w:t>iilor reale de</w:t>
      </w:r>
      <w:r w:rsidR="000C213F">
        <w:t>ț</w:t>
      </w:r>
      <w:r>
        <w:t>inute [active corporale], valoarea cumulată (</w:t>
      </w:r>
      <w:r w:rsidRPr="004237EC">
        <w:t>13</w:t>
      </w:r>
      <w:r>
        <w:t>.</w:t>
      </w:r>
      <w:r w:rsidRPr="004237EC">
        <w:t>3</w:t>
      </w:r>
      <w:r>
        <w:t>)</w:t>
      </w:r>
      <w:r>
        <w:tab/>
      </w:r>
      <w:r>
        <w:fldChar w:fldCharType="begin"/>
      </w:r>
      <w:r>
        <w:instrText xml:space="preserve"> PAGEREF _Toc485897565 \h </w:instrText>
      </w:r>
      <w:r>
        <w:fldChar w:fldCharType="separate"/>
      </w:r>
      <w:r w:rsidR="004237EC">
        <w:t>50</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rPr>
          <w:kern w:val="32"/>
        </w:rPr>
        <w:t>13</w:t>
      </w:r>
      <w:r w:rsidRPr="007925C3">
        <w:rPr>
          <w:kern w:val="32"/>
        </w:rPr>
        <w:t>.</w:t>
      </w:r>
      <w:r w:rsidRPr="00F548D9">
        <w:rPr>
          <w:rFonts w:asciiTheme="minorHAnsi" w:eastAsiaTheme="minorEastAsia" w:hAnsiTheme="minorHAnsi" w:cstheme="minorBidi"/>
          <w:sz w:val="22"/>
          <w:szCs w:val="22"/>
          <w:lang w:val="es-ES" w:eastAsia="en-GB" w:bidi="ar-SA"/>
        </w:rPr>
        <w:tab/>
      </w:r>
      <w:r>
        <w:t>Ierarhia valorii juste: instrumente financiare evaluate la valoarea justă (</w:t>
      </w:r>
      <w:r w:rsidRPr="004237EC">
        <w:t>14</w:t>
      </w:r>
      <w:r>
        <w:t>)</w:t>
      </w:r>
      <w:r>
        <w:tab/>
      </w:r>
      <w:r>
        <w:fldChar w:fldCharType="begin"/>
      </w:r>
      <w:r>
        <w:instrText xml:space="preserve"> PAGEREF _Toc485897566 \h </w:instrText>
      </w:r>
      <w:r>
        <w:fldChar w:fldCharType="separate"/>
      </w:r>
      <w:r w:rsidR="004237EC">
        <w:t>50</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rPr>
          <w:kern w:val="32"/>
        </w:rPr>
        <w:t>14</w:t>
      </w:r>
      <w:r w:rsidRPr="007925C3">
        <w:rPr>
          <w:kern w:val="32"/>
        </w:rPr>
        <w:t>.</w:t>
      </w:r>
      <w:r w:rsidRPr="00F548D9">
        <w:rPr>
          <w:rFonts w:asciiTheme="minorHAnsi" w:eastAsiaTheme="minorEastAsia" w:hAnsiTheme="minorHAnsi" w:cstheme="minorBidi"/>
          <w:sz w:val="22"/>
          <w:szCs w:val="22"/>
          <w:lang w:val="es-ES" w:eastAsia="en-GB" w:bidi="ar-SA"/>
        </w:rPr>
        <w:tab/>
      </w:r>
      <w:r>
        <w:t>Derecunoa</w:t>
      </w:r>
      <w:r w:rsidR="000C213F">
        <w:t>ș</w:t>
      </w:r>
      <w:r>
        <w:t xml:space="preserve">tere </w:t>
      </w:r>
      <w:r w:rsidR="000C213F">
        <w:t>ș</w:t>
      </w:r>
      <w:r>
        <w:t>i datorii financiare asociate activelor financiare transferate (</w:t>
      </w:r>
      <w:r w:rsidRPr="004237EC">
        <w:t>15</w:t>
      </w:r>
      <w:r>
        <w:t>)</w:t>
      </w:r>
      <w:r>
        <w:tab/>
      </w:r>
      <w:r>
        <w:fldChar w:fldCharType="begin"/>
      </w:r>
      <w:r>
        <w:instrText xml:space="preserve"> PAGEREF _Toc485897567 \h </w:instrText>
      </w:r>
      <w:r>
        <w:fldChar w:fldCharType="separate"/>
      </w:r>
      <w:r w:rsidR="004237EC">
        <w:t>50</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t>15</w:t>
      </w:r>
      <w:r>
        <w:t>.</w:t>
      </w:r>
      <w:r w:rsidRPr="00F548D9">
        <w:rPr>
          <w:rFonts w:asciiTheme="minorHAnsi" w:eastAsiaTheme="minorEastAsia" w:hAnsiTheme="minorHAnsi" w:cstheme="minorBidi"/>
          <w:sz w:val="22"/>
          <w:szCs w:val="22"/>
          <w:lang w:val="es-ES" w:eastAsia="en-GB" w:bidi="ar-SA"/>
        </w:rPr>
        <w:tab/>
      </w:r>
      <w:r>
        <w:t>Defalcarea anumitor elemente din situa</w:t>
      </w:r>
      <w:r w:rsidR="000C213F">
        <w:t>ț</w:t>
      </w:r>
      <w:r>
        <w:t>ia profitului sau pierderii (</w:t>
      </w:r>
      <w:r w:rsidRPr="004237EC">
        <w:t>16</w:t>
      </w:r>
      <w:r>
        <w:t>)</w:t>
      </w:r>
      <w:r>
        <w:tab/>
      </w:r>
      <w:r>
        <w:fldChar w:fldCharType="begin"/>
      </w:r>
      <w:r>
        <w:instrText xml:space="preserve"> PAGEREF _Toc485897568 \h </w:instrText>
      </w:r>
      <w:r>
        <w:fldChar w:fldCharType="separate"/>
      </w:r>
      <w:r w:rsidR="004237EC">
        <w:t>51</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t>15</w:t>
      </w:r>
      <w:r>
        <w:t>.</w:t>
      </w:r>
      <w:r w:rsidRPr="004237EC">
        <w:t>1</w:t>
      </w:r>
      <w:r>
        <w:t>.</w:t>
      </w:r>
      <w:r w:rsidRPr="00F548D9">
        <w:rPr>
          <w:rFonts w:asciiTheme="minorHAnsi" w:eastAsiaTheme="minorEastAsia" w:hAnsiTheme="minorHAnsi" w:cstheme="minorBidi"/>
          <w:sz w:val="22"/>
          <w:szCs w:val="22"/>
          <w:lang w:val="es-ES" w:eastAsia="en-GB" w:bidi="ar-SA"/>
        </w:rPr>
        <w:tab/>
      </w:r>
      <w:r>
        <w:t xml:space="preserve">Venituri </w:t>
      </w:r>
      <w:r w:rsidR="000C213F">
        <w:t>ș</w:t>
      </w:r>
      <w:r>
        <w:t xml:space="preserve">i cheltuieli cu dobânzile, defalcate pe instrumente </w:t>
      </w:r>
      <w:r w:rsidR="000C213F">
        <w:t>ș</w:t>
      </w:r>
      <w:r>
        <w:t>i sectoare ale contrapăr</w:t>
      </w:r>
      <w:r w:rsidR="000C213F">
        <w:t>ț</w:t>
      </w:r>
      <w:r>
        <w:t>ilor (</w:t>
      </w:r>
      <w:r w:rsidRPr="004237EC">
        <w:t>16</w:t>
      </w:r>
      <w:r>
        <w:t>.</w:t>
      </w:r>
      <w:r w:rsidRPr="004237EC">
        <w:t>1</w:t>
      </w:r>
      <w:r>
        <w:t>)</w:t>
      </w:r>
      <w:r>
        <w:tab/>
      </w:r>
      <w:r>
        <w:fldChar w:fldCharType="begin"/>
      </w:r>
      <w:r>
        <w:instrText xml:space="preserve"> PAGEREF _Toc485897569 \h </w:instrText>
      </w:r>
      <w:r>
        <w:fldChar w:fldCharType="separate"/>
      </w:r>
      <w:r w:rsidR="004237EC">
        <w:t>51</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t>15</w:t>
      </w:r>
      <w:r>
        <w:t>.</w:t>
      </w:r>
      <w:r w:rsidRPr="004237EC">
        <w:t>2</w:t>
      </w:r>
      <w:r>
        <w:t>.</w:t>
      </w:r>
      <w:r w:rsidRPr="00F548D9">
        <w:rPr>
          <w:rFonts w:asciiTheme="minorHAnsi" w:eastAsiaTheme="minorEastAsia" w:hAnsiTheme="minorHAnsi" w:cstheme="minorBidi"/>
          <w:sz w:val="22"/>
          <w:szCs w:val="22"/>
          <w:lang w:val="es-ES" w:eastAsia="en-GB" w:bidi="ar-SA"/>
        </w:rPr>
        <w:tab/>
      </w:r>
      <w:r>
        <w:t>Câ</w:t>
      </w:r>
      <w:r w:rsidR="000C213F">
        <w:t>ș</w:t>
      </w:r>
      <w:r>
        <w:t>tiguri sau pierderi din derecunoa</w:t>
      </w:r>
      <w:r w:rsidR="000C213F">
        <w:t>ș</w:t>
      </w:r>
      <w:r>
        <w:t xml:space="preserve">terea activelor </w:t>
      </w:r>
      <w:r w:rsidR="000C213F">
        <w:t>ș</w:t>
      </w:r>
      <w:r>
        <w:t>i a datoriilor financiare, care nu sunt evaluate la valoarea justă prin profit sau pierdere, clasificate pe instrumente (</w:t>
      </w:r>
      <w:r w:rsidRPr="004237EC">
        <w:t>16</w:t>
      </w:r>
      <w:r>
        <w:t>.</w:t>
      </w:r>
      <w:r w:rsidRPr="004237EC">
        <w:t>2</w:t>
      </w:r>
      <w:r>
        <w:t>)</w:t>
      </w:r>
      <w:r>
        <w:tab/>
      </w:r>
      <w:r>
        <w:fldChar w:fldCharType="begin"/>
      </w:r>
      <w:r>
        <w:instrText xml:space="preserve"> PAGEREF _Toc485897570 \h </w:instrText>
      </w:r>
      <w:r>
        <w:fldChar w:fldCharType="separate"/>
      </w:r>
      <w:r w:rsidR="004237EC">
        <w:t>53</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t>15</w:t>
      </w:r>
      <w:r>
        <w:t>.</w:t>
      </w:r>
      <w:r w:rsidRPr="004237EC">
        <w:t>3</w:t>
      </w:r>
      <w:r>
        <w:t>.</w:t>
      </w:r>
      <w:r w:rsidRPr="00F548D9">
        <w:rPr>
          <w:rFonts w:asciiTheme="minorHAnsi" w:eastAsiaTheme="minorEastAsia" w:hAnsiTheme="minorHAnsi" w:cstheme="minorBidi"/>
          <w:sz w:val="22"/>
          <w:szCs w:val="22"/>
          <w:lang w:val="es-ES" w:eastAsia="en-GB" w:bidi="ar-SA"/>
        </w:rPr>
        <w:tab/>
      </w:r>
      <w:r>
        <w:t>Câ</w:t>
      </w:r>
      <w:r w:rsidR="000C213F">
        <w:t>ș</w:t>
      </w:r>
      <w:r>
        <w:t xml:space="preserve">tiguri sau pierderi aferente activelor </w:t>
      </w:r>
      <w:r w:rsidR="000C213F">
        <w:t>ș</w:t>
      </w:r>
      <w:r>
        <w:t>i datoriilor financiare de</w:t>
      </w:r>
      <w:r w:rsidR="000C213F">
        <w:t>ț</w:t>
      </w:r>
      <w:r>
        <w:t>inute în vederea tranzac</w:t>
      </w:r>
      <w:r w:rsidR="000C213F">
        <w:t>ț</w:t>
      </w:r>
      <w:r>
        <w:t>ionării, clasificate pe instrumente (</w:t>
      </w:r>
      <w:r w:rsidRPr="004237EC">
        <w:t>16</w:t>
      </w:r>
      <w:r>
        <w:t>.</w:t>
      </w:r>
      <w:r w:rsidRPr="004237EC">
        <w:t>3</w:t>
      </w:r>
      <w:r>
        <w:t>)</w:t>
      </w:r>
      <w:r>
        <w:tab/>
      </w:r>
      <w:r>
        <w:fldChar w:fldCharType="begin"/>
      </w:r>
      <w:r>
        <w:instrText xml:space="preserve"> PAGEREF _Toc485897571 \h </w:instrText>
      </w:r>
      <w:r>
        <w:fldChar w:fldCharType="separate"/>
      </w:r>
      <w:r w:rsidR="004237EC">
        <w:t>53</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t>15</w:t>
      </w:r>
      <w:r>
        <w:t>.</w:t>
      </w:r>
      <w:r w:rsidRPr="004237EC">
        <w:t>4</w:t>
      </w:r>
      <w:r>
        <w:t>.</w:t>
      </w:r>
      <w:r w:rsidRPr="00F548D9">
        <w:rPr>
          <w:rFonts w:asciiTheme="minorHAnsi" w:eastAsiaTheme="minorEastAsia" w:hAnsiTheme="minorHAnsi" w:cstheme="minorBidi"/>
          <w:sz w:val="22"/>
          <w:szCs w:val="22"/>
          <w:lang w:val="es-ES" w:eastAsia="en-GB" w:bidi="ar-SA"/>
        </w:rPr>
        <w:tab/>
      </w:r>
      <w:r>
        <w:t>Câ</w:t>
      </w:r>
      <w:r w:rsidR="000C213F">
        <w:t>ș</w:t>
      </w:r>
      <w:r>
        <w:t xml:space="preserve">tiguri sau pierderi aferente activelor </w:t>
      </w:r>
      <w:r w:rsidR="000C213F">
        <w:t>ș</w:t>
      </w:r>
      <w:r>
        <w:t>i datoriilor financiare de</w:t>
      </w:r>
      <w:r w:rsidR="000C213F">
        <w:t>ț</w:t>
      </w:r>
      <w:r>
        <w:t>inute în vederea tranzac</w:t>
      </w:r>
      <w:r w:rsidR="000C213F">
        <w:t>ț</w:t>
      </w:r>
      <w:r>
        <w:t>ionării, defalcate pe tipuri de riscuri (</w:t>
      </w:r>
      <w:r w:rsidRPr="004237EC">
        <w:t>16</w:t>
      </w:r>
      <w:r>
        <w:t>.</w:t>
      </w:r>
      <w:r w:rsidRPr="004237EC">
        <w:t>4</w:t>
      </w:r>
      <w:r>
        <w:t>)</w:t>
      </w:r>
      <w:r>
        <w:tab/>
      </w:r>
      <w:r>
        <w:fldChar w:fldCharType="begin"/>
      </w:r>
      <w:r>
        <w:instrText xml:space="preserve"> PAGEREF _Toc485897572 \h </w:instrText>
      </w:r>
      <w:r>
        <w:fldChar w:fldCharType="separate"/>
      </w:r>
      <w:r w:rsidR="004237EC">
        <w:t>54</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t>15</w:t>
      </w:r>
      <w:r>
        <w:t>.</w:t>
      </w:r>
      <w:r w:rsidRPr="004237EC">
        <w:t>5</w:t>
      </w:r>
      <w:r>
        <w:t>.</w:t>
      </w:r>
      <w:r w:rsidRPr="00F548D9">
        <w:rPr>
          <w:rFonts w:asciiTheme="minorHAnsi" w:eastAsiaTheme="minorEastAsia" w:hAnsiTheme="minorHAnsi" w:cstheme="minorBidi"/>
          <w:sz w:val="22"/>
          <w:szCs w:val="22"/>
          <w:lang w:val="es-ES" w:eastAsia="en-GB" w:bidi="ar-SA"/>
        </w:rPr>
        <w:tab/>
      </w:r>
      <w:r>
        <w:t>Câ</w:t>
      </w:r>
      <w:r w:rsidR="000C213F">
        <w:t>ș</w:t>
      </w:r>
      <w:r>
        <w:t>tiguri sau pierderi aferente activelor financiare nedestinate tranzac</w:t>
      </w:r>
      <w:r w:rsidR="000C213F">
        <w:t>ț</w:t>
      </w:r>
      <w:r>
        <w:t>ionării, evaluate obligatoriu la valoarea justă prin profit sau pierdere, defalcate pe instrumente (</w:t>
      </w:r>
      <w:r w:rsidRPr="004237EC">
        <w:t>16</w:t>
      </w:r>
      <w:r>
        <w:t>.</w:t>
      </w:r>
      <w:r w:rsidRPr="004237EC">
        <w:t>4</w:t>
      </w:r>
      <w:r>
        <w:t>.</w:t>
      </w:r>
      <w:r w:rsidRPr="004237EC">
        <w:t>1</w:t>
      </w:r>
      <w:r>
        <w:t>)</w:t>
      </w:r>
      <w:r>
        <w:tab/>
      </w:r>
      <w:r>
        <w:fldChar w:fldCharType="begin"/>
      </w:r>
      <w:r>
        <w:instrText xml:space="preserve"> PAGEREF _Toc485897573 \h </w:instrText>
      </w:r>
      <w:r>
        <w:fldChar w:fldCharType="separate"/>
      </w:r>
      <w:r w:rsidR="004237EC">
        <w:t>54</w:t>
      </w:r>
      <w:r>
        <w:fldChar w:fldCharType="end"/>
      </w:r>
    </w:p>
    <w:p w:rsidR="00F548D9" w:rsidRPr="00F548D9" w:rsidRDefault="00F548D9">
      <w:pPr>
        <w:pStyle w:val="TOC2"/>
        <w:rPr>
          <w:rFonts w:asciiTheme="minorHAnsi" w:eastAsiaTheme="minorEastAsia" w:hAnsiTheme="minorHAnsi" w:cstheme="minorBidi"/>
          <w:sz w:val="22"/>
          <w:szCs w:val="22"/>
          <w:lang w:val="es-ES" w:eastAsia="en-GB" w:bidi="ar-SA"/>
        </w:rPr>
      </w:pPr>
      <w:r w:rsidRPr="004237EC">
        <w:t>15</w:t>
      </w:r>
      <w:r>
        <w:t>.</w:t>
      </w:r>
      <w:r w:rsidRPr="004237EC">
        <w:t>6</w:t>
      </w:r>
      <w:r>
        <w:t>.</w:t>
      </w:r>
      <w:r w:rsidRPr="00F548D9">
        <w:rPr>
          <w:rFonts w:asciiTheme="minorHAnsi" w:eastAsiaTheme="minorEastAsia" w:hAnsiTheme="minorHAnsi" w:cstheme="minorBidi"/>
          <w:sz w:val="22"/>
          <w:szCs w:val="22"/>
          <w:lang w:val="es-ES" w:eastAsia="en-GB" w:bidi="ar-SA"/>
        </w:rPr>
        <w:tab/>
      </w:r>
      <w:r>
        <w:t>Câ</w:t>
      </w:r>
      <w:r w:rsidR="000C213F">
        <w:t>ș</w:t>
      </w:r>
      <w:r>
        <w:t xml:space="preserve">tiguri sau pierderi aferente activelor </w:t>
      </w:r>
      <w:r w:rsidR="000C213F">
        <w:t>ș</w:t>
      </w:r>
      <w:r>
        <w:t>i datoriilor financiare desemnate la valoarea justă prin profit sau pierdere, defalcate pe instrumente (</w:t>
      </w:r>
      <w:r w:rsidRPr="004237EC">
        <w:t>16</w:t>
      </w:r>
      <w:r>
        <w:t>.</w:t>
      </w:r>
      <w:r w:rsidRPr="004237EC">
        <w:t>5</w:t>
      </w:r>
      <w:r>
        <w:t>)</w:t>
      </w:r>
      <w:r>
        <w:tab/>
      </w:r>
      <w:r>
        <w:fldChar w:fldCharType="begin"/>
      </w:r>
      <w:r>
        <w:instrText xml:space="preserve"> PAGEREF _Toc485897574 \h </w:instrText>
      </w:r>
      <w:r>
        <w:fldChar w:fldCharType="separate"/>
      </w:r>
      <w:r w:rsidR="004237EC">
        <w:t>55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15</w:t>
      </w:r>
      <w:r>
        <w:t>.</w:t>
      </w:r>
      <w:r w:rsidRPr="004237EC">
        <w:t>7</w:t>
      </w:r>
      <w:r>
        <w:t>.</w:t>
      </w:r>
      <w:r w:rsidRPr="00F548D9">
        <w:rPr>
          <w:rFonts w:asciiTheme="minorHAnsi" w:eastAsiaTheme="minorEastAsia" w:hAnsiTheme="minorHAnsi" w:cstheme="minorBidi"/>
          <w:sz w:val="22"/>
          <w:szCs w:val="22"/>
          <w:lang w:val="it-IT" w:eastAsia="en-GB" w:bidi="ar-SA"/>
        </w:rPr>
        <w:tab/>
      </w:r>
      <w:r>
        <w:t>Câ</w:t>
      </w:r>
      <w:r w:rsidR="000C213F">
        <w:t>ș</w:t>
      </w:r>
      <w:r>
        <w:t>tiguri sau pierderi din contabilitatea de acoperire împotriva riscurilor (</w:t>
      </w:r>
      <w:r w:rsidRPr="004237EC">
        <w:t>16</w:t>
      </w:r>
      <w:r>
        <w:t>.</w:t>
      </w:r>
      <w:r w:rsidRPr="004237EC">
        <w:t>6</w:t>
      </w:r>
      <w:r>
        <w:t>)</w:t>
      </w:r>
      <w:r>
        <w:tab/>
      </w:r>
      <w:r>
        <w:fldChar w:fldCharType="begin"/>
      </w:r>
      <w:r>
        <w:instrText xml:space="preserve"> PAGEREF _Toc485897575 \h </w:instrText>
      </w:r>
      <w:r>
        <w:fldChar w:fldCharType="separate"/>
      </w:r>
      <w:r w:rsidR="004237EC">
        <w:t>55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15</w:t>
      </w:r>
      <w:r>
        <w:t>.</w:t>
      </w:r>
      <w:r w:rsidRPr="004237EC">
        <w:t>8</w:t>
      </w:r>
      <w:r>
        <w:t>.</w:t>
      </w:r>
      <w:r w:rsidRPr="00F548D9">
        <w:rPr>
          <w:rFonts w:asciiTheme="minorHAnsi" w:eastAsiaTheme="minorEastAsia" w:hAnsiTheme="minorHAnsi" w:cstheme="minorBidi"/>
          <w:sz w:val="22"/>
          <w:szCs w:val="22"/>
          <w:lang w:val="it-IT" w:eastAsia="en-GB" w:bidi="ar-SA"/>
        </w:rPr>
        <w:tab/>
      </w:r>
      <w:r w:rsidRPr="007925C3">
        <w:rPr>
          <w:caps/>
        </w:rPr>
        <w:t>D</w:t>
      </w:r>
      <w:r>
        <w:t>eprecierea activelor nefinanciare (</w:t>
      </w:r>
      <w:r w:rsidRPr="004237EC">
        <w:t>16</w:t>
      </w:r>
      <w:r>
        <w:t>.</w:t>
      </w:r>
      <w:r w:rsidRPr="004237EC">
        <w:t>7</w:t>
      </w:r>
      <w:r>
        <w:t>)</w:t>
      </w:r>
      <w:r>
        <w:tab/>
      </w:r>
      <w:r>
        <w:fldChar w:fldCharType="begin"/>
      </w:r>
      <w:r>
        <w:instrText xml:space="preserve"> PAGEREF _Toc485897576 \h </w:instrText>
      </w:r>
      <w:r>
        <w:fldChar w:fldCharType="separate"/>
      </w:r>
      <w:r w:rsidR="004237EC">
        <w:t>56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16</w:t>
      </w:r>
      <w:r>
        <w:t>.</w:t>
      </w:r>
      <w:r w:rsidRPr="00F548D9">
        <w:rPr>
          <w:rFonts w:asciiTheme="minorHAnsi" w:eastAsiaTheme="minorEastAsia" w:hAnsiTheme="minorHAnsi" w:cstheme="minorBidi"/>
          <w:sz w:val="22"/>
          <w:szCs w:val="22"/>
          <w:lang w:val="it-IT" w:eastAsia="en-GB" w:bidi="ar-SA"/>
        </w:rPr>
        <w:tab/>
      </w:r>
      <w:r>
        <w:t xml:space="preserve">Reconciliere între perimetrul de consolidare contabil </w:t>
      </w:r>
      <w:r w:rsidR="000C213F">
        <w:t>ș</w:t>
      </w:r>
      <w:r>
        <w:t>i perimetrul de consolidare CRR (</w:t>
      </w:r>
      <w:r w:rsidRPr="004237EC">
        <w:t>17</w:t>
      </w:r>
      <w:r>
        <w:t>)</w:t>
      </w:r>
      <w:r>
        <w:tab/>
      </w:r>
      <w:r>
        <w:fldChar w:fldCharType="begin"/>
      </w:r>
      <w:r>
        <w:instrText xml:space="preserve"> PAGEREF _Toc485897577 \h </w:instrText>
      </w:r>
      <w:r>
        <w:fldChar w:fldCharType="separate"/>
      </w:r>
      <w:r w:rsidR="004237EC">
        <w:t>56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17</w:t>
      </w:r>
      <w:r>
        <w:t>.</w:t>
      </w:r>
      <w:r w:rsidRPr="00F548D9">
        <w:rPr>
          <w:rFonts w:asciiTheme="minorHAnsi" w:eastAsiaTheme="minorEastAsia" w:hAnsiTheme="minorHAnsi" w:cstheme="minorBidi"/>
          <w:sz w:val="22"/>
          <w:szCs w:val="22"/>
          <w:lang w:val="it-IT" w:eastAsia="en-GB" w:bidi="ar-SA"/>
        </w:rPr>
        <w:tab/>
      </w:r>
      <w:r>
        <w:t>Expuneri neperformante (</w:t>
      </w:r>
      <w:r w:rsidRPr="004237EC">
        <w:t>18</w:t>
      </w:r>
      <w:r>
        <w:t>)</w:t>
      </w:r>
      <w:r>
        <w:tab/>
      </w:r>
      <w:r>
        <w:fldChar w:fldCharType="begin"/>
      </w:r>
      <w:r>
        <w:instrText xml:space="preserve"> PAGEREF _Toc485897578 \h </w:instrText>
      </w:r>
      <w:r>
        <w:fldChar w:fldCharType="separate"/>
      </w:r>
      <w:r w:rsidR="004237EC">
        <w:t>56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18</w:t>
      </w:r>
      <w:r>
        <w:t>.</w:t>
      </w:r>
      <w:r w:rsidRPr="00F548D9">
        <w:rPr>
          <w:rFonts w:asciiTheme="minorHAnsi" w:eastAsiaTheme="minorEastAsia" w:hAnsiTheme="minorHAnsi" w:cstheme="minorBidi"/>
          <w:sz w:val="22"/>
          <w:szCs w:val="22"/>
          <w:lang w:val="it-IT" w:eastAsia="en-GB" w:bidi="ar-SA"/>
        </w:rPr>
        <w:tab/>
      </w:r>
      <w:r>
        <w:t>Expuneri restructurate în urma dificultă</w:t>
      </w:r>
      <w:r w:rsidR="000C213F">
        <w:t>ț</w:t>
      </w:r>
      <w:r>
        <w:t>ilor financiare (</w:t>
      </w:r>
      <w:r w:rsidRPr="004237EC">
        <w:t>19</w:t>
      </w:r>
      <w:r>
        <w:t>)</w:t>
      </w:r>
      <w:r>
        <w:tab/>
      </w:r>
      <w:r>
        <w:fldChar w:fldCharType="begin"/>
      </w:r>
      <w:r>
        <w:instrText xml:space="preserve"> PAGEREF _Toc485897579 \h </w:instrText>
      </w:r>
      <w:r>
        <w:fldChar w:fldCharType="separate"/>
      </w:r>
      <w:r w:rsidR="004237EC">
        <w:t>62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19</w:t>
      </w:r>
      <w:r>
        <w:t>.</w:t>
      </w:r>
      <w:r w:rsidRPr="00F548D9">
        <w:rPr>
          <w:rFonts w:asciiTheme="minorHAnsi" w:eastAsiaTheme="minorEastAsia" w:hAnsiTheme="minorHAnsi" w:cstheme="minorBidi"/>
          <w:sz w:val="22"/>
          <w:szCs w:val="22"/>
          <w:lang w:val="it-IT" w:eastAsia="en-GB" w:bidi="ar-SA"/>
        </w:rPr>
        <w:tab/>
      </w:r>
      <w:r>
        <w:t>Repartizarea geografică (</w:t>
      </w:r>
      <w:r w:rsidRPr="004237EC">
        <w:t>20</w:t>
      </w:r>
      <w:r>
        <w:t>)</w:t>
      </w:r>
      <w:r>
        <w:tab/>
      </w:r>
      <w:r>
        <w:fldChar w:fldCharType="begin"/>
      </w:r>
      <w:r>
        <w:instrText xml:space="preserve"> PAGEREF _Toc485897580 \h </w:instrText>
      </w:r>
      <w:r>
        <w:fldChar w:fldCharType="separate"/>
      </w:r>
      <w:r w:rsidR="004237EC">
        <w:t>67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19</w:t>
      </w:r>
      <w:r>
        <w:t>.</w:t>
      </w:r>
      <w:r w:rsidRPr="004237EC">
        <w:t>1</w:t>
      </w:r>
      <w:r>
        <w:t>.</w:t>
      </w:r>
      <w:r w:rsidRPr="00F548D9">
        <w:rPr>
          <w:rFonts w:asciiTheme="minorHAnsi" w:eastAsiaTheme="minorEastAsia" w:hAnsiTheme="minorHAnsi" w:cstheme="minorBidi"/>
          <w:sz w:val="22"/>
          <w:szCs w:val="22"/>
          <w:lang w:val="it-IT" w:eastAsia="en-GB" w:bidi="ar-SA"/>
        </w:rPr>
        <w:tab/>
      </w:r>
      <w:r>
        <w:t>Repartizarea geografică în func</w:t>
      </w:r>
      <w:r w:rsidR="000C213F">
        <w:t>ț</w:t>
      </w:r>
      <w:r>
        <w:t>ie de localizarea activită</w:t>
      </w:r>
      <w:r w:rsidR="000C213F">
        <w:t>ț</w:t>
      </w:r>
      <w:r>
        <w:t>ilor (</w:t>
      </w:r>
      <w:r w:rsidRPr="004237EC">
        <w:t>20</w:t>
      </w:r>
      <w:r>
        <w:t>.</w:t>
      </w:r>
      <w:r w:rsidRPr="004237EC">
        <w:t>1</w:t>
      </w:r>
      <w:r>
        <w:t>-</w:t>
      </w:r>
      <w:r w:rsidRPr="004237EC">
        <w:t>20</w:t>
      </w:r>
      <w:r>
        <w:t>.</w:t>
      </w:r>
      <w:r w:rsidRPr="004237EC">
        <w:t>3</w:t>
      </w:r>
      <w:r>
        <w:t>)</w:t>
      </w:r>
      <w:r>
        <w:tab/>
      </w:r>
      <w:r>
        <w:fldChar w:fldCharType="begin"/>
      </w:r>
      <w:r>
        <w:instrText xml:space="preserve"> PAGEREF _Toc485897581 \h </w:instrText>
      </w:r>
      <w:r>
        <w:fldChar w:fldCharType="separate"/>
      </w:r>
      <w:r w:rsidR="004237EC">
        <w:t>67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19</w:t>
      </w:r>
      <w:r>
        <w:t>.</w:t>
      </w:r>
      <w:r w:rsidRPr="004237EC">
        <w:t>2</w:t>
      </w:r>
      <w:r>
        <w:t>.</w:t>
      </w:r>
      <w:r w:rsidRPr="00F548D9">
        <w:rPr>
          <w:rFonts w:asciiTheme="minorHAnsi" w:eastAsiaTheme="minorEastAsia" w:hAnsiTheme="minorHAnsi" w:cstheme="minorBidi"/>
          <w:sz w:val="22"/>
          <w:szCs w:val="22"/>
          <w:lang w:val="it-IT" w:eastAsia="en-GB" w:bidi="ar-SA"/>
        </w:rPr>
        <w:tab/>
      </w:r>
      <w:r>
        <w:t>Repartizarea geografică în func</w:t>
      </w:r>
      <w:r w:rsidR="000C213F">
        <w:t>ț</w:t>
      </w:r>
      <w:r>
        <w:t>ie de locul de re</w:t>
      </w:r>
      <w:r w:rsidR="000C213F">
        <w:t>ș</w:t>
      </w:r>
      <w:r>
        <w:t>edin</w:t>
      </w:r>
      <w:r w:rsidR="000C213F">
        <w:t>ț</w:t>
      </w:r>
      <w:r>
        <w:t>ă al contrapăr</w:t>
      </w:r>
      <w:r w:rsidR="000C213F">
        <w:t>ț</w:t>
      </w:r>
      <w:r>
        <w:t>ii (</w:t>
      </w:r>
      <w:r w:rsidRPr="004237EC">
        <w:t>20</w:t>
      </w:r>
      <w:r>
        <w:t>.</w:t>
      </w:r>
      <w:r w:rsidRPr="004237EC">
        <w:t>4</w:t>
      </w:r>
      <w:r>
        <w:t>-</w:t>
      </w:r>
      <w:r w:rsidRPr="004237EC">
        <w:t>20</w:t>
      </w:r>
      <w:r>
        <w:t>.</w:t>
      </w:r>
      <w:r w:rsidRPr="004237EC">
        <w:t>7</w:t>
      </w:r>
      <w:r>
        <w:t>)</w:t>
      </w:r>
      <w:r>
        <w:tab/>
      </w:r>
      <w:r>
        <w:fldChar w:fldCharType="begin"/>
      </w:r>
      <w:r>
        <w:instrText xml:space="preserve"> PAGEREF _Toc485897582 \h </w:instrText>
      </w:r>
      <w:r>
        <w:fldChar w:fldCharType="separate"/>
      </w:r>
      <w:r w:rsidR="004237EC">
        <w:t>68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20</w:t>
      </w:r>
      <w:r>
        <w:t>.</w:t>
      </w:r>
      <w:r w:rsidRPr="00F548D9">
        <w:rPr>
          <w:rFonts w:asciiTheme="minorHAnsi" w:eastAsiaTheme="minorEastAsia" w:hAnsiTheme="minorHAnsi" w:cstheme="minorBidi"/>
          <w:sz w:val="22"/>
          <w:szCs w:val="22"/>
          <w:lang w:val="it-IT" w:eastAsia="en-GB" w:bidi="ar-SA"/>
        </w:rPr>
        <w:tab/>
      </w:r>
      <w:r>
        <w:t xml:space="preserve">Active corporale </w:t>
      </w:r>
      <w:r w:rsidR="000C213F">
        <w:t>ș</w:t>
      </w:r>
      <w:r>
        <w:t>i necorporale: active care fac obiectul unui contract de leasing opera</w:t>
      </w:r>
      <w:r w:rsidR="000C213F">
        <w:t>ț</w:t>
      </w:r>
      <w:r>
        <w:t>ional (</w:t>
      </w:r>
      <w:r w:rsidRPr="004237EC">
        <w:t>21</w:t>
      </w:r>
      <w:r>
        <w:t>)</w:t>
      </w:r>
      <w:r>
        <w:tab/>
      </w:r>
      <w:r>
        <w:fldChar w:fldCharType="begin"/>
      </w:r>
      <w:r>
        <w:instrText xml:space="preserve"> PAGEREF _Toc485897583 \h </w:instrText>
      </w:r>
      <w:r>
        <w:fldChar w:fldCharType="separate"/>
      </w:r>
      <w:r w:rsidR="004237EC">
        <w:t>69</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21</w:t>
      </w:r>
      <w:r>
        <w:t>.</w:t>
      </w:r>
      <w:r w:rsidRPr="00F548D9">
        <w:rPr>
          <w:rFonts w:asciiTheme="minorHAnsi" w:eastAsiaTheme="minorEastAsia" w:hAnsiTheme="minorHAnsi" w:cstheme="minorBidi"/>
          <w:sz w:val="22"/>
          <w:szCs w:val="22"/>
          <w:lang w:val="it-IT" w:eastAsia="en-GB" w:bidi="ar-SA"/>
        </w:rPr>
        <w:tab/>
      </w:r>
      <w:r>
        <w:t>Func</w:t>
      </w:r>
      <w:r w:rsidR="000C213F">
        <w:t>ț</w:t>
      </w:r>
      <w:r>
        <w:t xml:space="preserve">ii aferente serviciilor de administrare a activelor, de custodie </w:t>
      </w:r>
      <w:r w:rsidR="000C213F">
        <w:t>ș</w:t>
      </w:r>
      <w:r>
        <w:t>i altor servicii (</w:t>
      </w:r>
      <w:r w:rsidRPr="004237EC">
        <w:t>22</w:t>
      </w:r>
      <w:r>
        <w:t>)</w:t>
      </w:r>
      <w:r>
        <w:tab/>
      </w:r>
      <w:r>
        <w:fldChar w:fldCharType="begin"/>
      </w:r>
      <w:r>
        <w:instrText xml:space="preserve"> PAGEREF _Toc485897584 \h </w:instrText>
      </w:r>
      <w:r>
        <w:fldChar w:fldCharType="separate"/>
      </w:r>
      <w:r w:rsidR="004237EC">
        <w:t>69</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21</w:t>
      </w:r>
      <w:r>
        <w:t>.</w:t>
      </w:r>
      <w:r w:rsidRPr="004237EC">
        <w:t>1</w:t>
      </w:r>
      <w:r>
        <w:t>.</w:t>
      </w:r>
      <w:r w:rsidRPr="00F548D9">
        <w:rPr>
          <w:rFonts w:asciiTheme="minorHAnsi" w:eastAsiaTheme="minorEastAsia" w:hAnsiTheme="minorHAnsi" w:cstheme="minorBidi"/>
          <w:sz w:val="22"/>
          <w:szCs w:val="22"/>
          <w:lang w:val="it-IT" w:eastAsia="en-GB" w:bidi="ar-SA"/>
        </w:rPr>
        <w:tab/>
      </w:r>
      <w:r>
        <w:t xml:space="preserve">Venituri </w:t>
      </w:r>
      <w:r w:rsidR="000C213F">
        <w:t>ș</w:t>
      </w:r>
      <w:r>
        <w:t xml:space="preserve">i cheltuieli cu onorarii </w:t>
      </w:r>
      <w:r w:rsidR="000C213F">
        <w:t>ș</w:t>
      </w:r>
      <w:r>
        <w:t>i comisioane, defalcate pe activită</w:t>
      </w:r>
      <w:r w:rsidR="000C213F">
        <w:t>ț</w:t>
      </w:r>
      <w:r>
        <w:t>i (</w:t>
      </w:r>
      <w:r w:rsidRPr="004237EC">
        <w:t>22</w:t>
      </w:r>
      <w:r>
        <w:t>.</w:t>
      </w:r>
      <w:r w:rsidRPr="004237EC">
        <w:t>1</w:t>
      </w:r>
      <w:r>
        <w:t>)</w:t>
      </w:r>
      <w:r>
        <w:tab/>
      </w:r>
      <w:r>
        <w:fldChar w:fldCharType="begin"/>
      </w:r>
      <w:r>
        <w:instrText xml:space="preserve"> PAGEREF _Toc485897585 \h </w:instrText>
      </w:r>
      <w:r>
        <w:fldChar w:fldCharType="separate"/>
      </w:r>
      <w:r w:rsidR="004237EC">
        <w:t>69</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21</w:t>
      </w:r>
      <w:r>
        <w:t>.</w:t>
      </w:r>
      <w:r w:rsidRPr="004237EC">
        <w:t>2</w:t>
      </w:r>
      <w:r>
        <w:t>.</w:t>
      </w:r>
      <w:r w:rsidRPr="00F548D9">
        <w:rPr>
          <w:rFonts w:asciiTheme="minorHAnsi" w:eastAsiaTheme="minorEastAsia" w:hAnsiTheme="minorHAnsi" w:cstheme="minorBidi"/>
          <w:sz w:val="22"/>
          <w:szCs w:val="22"/>
          <w:lang w:val="it-IT" w:eastAsia="en-GB" w:bidi="ar-SA"/>
        </w:rPr>
        <w:tab/>
      </w:r>
      <w:r>
        <w:t>Active implicate în serviciile furnizate (</w:t>
      </w:r>
      <w:r w:rsidRPr="004237EC">
        <w:t>22</w:t>
      </w:r>
      <w:r>
        <w:t>.</w:t>
      </w:r>
      <w:r w:rsidRPr="004237EC">
        <w:t>2</w:t>
      </w:r>
      <w:r>
        <w:t>)</w:t>
      </w:r>
      <w:r>
        <w:tab/>
      </w:r>
      <w:r>
        <w:fldChar w:fldCharType="begin"/>
      </w:r>
      <w:r>
        <w:instrText xml:space="preserve"> PAGEREF _Toc485897586 \h </w:instrText>
      </w:r>
      <w:r>
        <w:fldChar w:fldCharType="separate"/>
      </w:r>
      <w:r w:rsidR="004237EC">
        <w:t>71</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22</w:t>
      </w:r>
      <w:r>
        <w:t>.</w:t>
      </w:r>
      <w:r w:rsidRPr="00F548D9">
        <w:rPr>
          <w:rFonts w:asciiTheme="minorHAnsi" w:eastAsiaTheme="minorEastAsia" w:hAnsiTheme="minorHAnsi" w:cstheme="minorBidi"/>
          <w:sz w:val="22"/>
          <w:szCs w:val="22"/>
          <w:lang w:val="it-IT" w:eastAsia="en-GB" w:bidi="ar-SA"/>
        </w:rPr>
        <w:tab/>
      </w:r>
      <w:r>
        <w:t>Interese în entită</w:t>
      </w:r>
      <w:r w:rsidR="000C213F">
        <w:t>ț</w:t>
      </w:r>
      <w:r>
        <w:t>i structurate neconsolidate (</w:t>
      </w:r>
      <w:r w:rsidRPr="004237EC">
        <w:t>30</w:t>
      </w:r>
      <w:r>
        <w:t>)</w:t>
      </w:r>
      <w:r>
        <w:tab/>
      </w:r>
      <w:r>
        <w:fldChar w:fldCharType="begin"/>
      </w:r>
      <w:r>
        <w:instrText xml:space="preserve"> PAGEREF _Toc485897587 \h </w:instrText>
      </w:r>
      <w:r>
        <w:fldChar w:fldCharType="separate"/>
      </w:r>
      <w:r w:rsidR="004237EC">
        <w:t>72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23</w:t>
      </w:r>
      <w:r>
        <w:t>.</w:t>
      </w:r>
      <w:r w:rsidRPr="00F548D9">
        <w:rPr>
          <w:rFonts w:asciiTheme="minorHAnsi" w:eastAsiaTheme="minorEastAsia" w:hAnsiTheme="minorHAnsi" w:cstheme="minorBidi"/>
          <w:sz w:val="22"/>
          <w:szCs w:val="22"/>
          <w:lang w:val="it-IT" w:eastAsia="en-GB" w:bidi="ar-SA"/>
        </w:rPr>
        <w:tab/>
      </w:r>
      <w:r>
        <w:t>Păr</w:t>
      </w:r>
      <w:r w:rsidR="000C213F">
        <w:t>ț</w:t>
      </w:r>
      <w:r>
        <w:t>i afiliate (</w:t>
      </w:r>
      <w:r w:rsidRPr="004237EC">
        <w:t>31</w:t>
      </w:r>
      <w:r>
        <w:t>)</w:t>
      </w:r>
      <w:r>
        <w:tab/>
      </w:r>
      <w:r>
        <w:fldChar w:fldCharType="begin"/>
      </w:r>
      <w:r>
        <w:instrText xml:space="preserve"> PAGEREF _Toc485897588 \h </w:instrText>
      </w:r>
      <w:r>
        <w:fldChar w:fldCharType="separate"/>
      </w:r>
      <w:r w:rsidR="004237EC">
        <w:t>72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23</w:t>
      </w:r>
      <w:r>
        <w:t>.</w:t>
      </w:r>
      <w:r w:rsidRPr="004237EC">
        <w:t>1</w:t>
      </w:r>
      <w:r>
        <w:t>.</w:t>
      </w:r>
      <w:r w:rsidRPr="00F548D9">
        <w:rPr>
          <w:rFonts w:asciiTheme="minorHAnsi" w:eastAsiaTheme="minorEastAsia" w:hAnsiTheme="minorHAnsi" w:cstheme="minorBidi"/>
          <w:sz w:val="22"/>
          <w:szCs w:val="22"/>
          <w:lang w:val="it-IT" w:eastAsia="en-GB" w:bidi="ar-SA"/>
        </w:rPr>
        <w:tab/>
      </w:r>
      <w:r>
        <w:t>Păr</w:t>
      </w:r>
      <w:r w:rsidR="000C213F">
        <w:t>ț</w:t>
      </w:r>
      <w:r>
        <w:t xml:space="preserve">i afiliate: sume de plătit </w:t>
      </w:r>
      <w:r w:rsidR="000C213F">
        <w:t>ș</w:t>
      </w:r>
      <w:r>
        <w:t>i sume de încasat (</w:t>
      </w:r>
      <w:r w:rsidRPr="004237EC">
        <w:t>31</w:t>
      </w:r>
      <w:r>
        <w:t>.</w:t>
      </w:r>
      <w:r w:rsidRPr="004237EC">
        <w:t>1</w:t>
      </w:r>
      <w:r>
        <w:t>)</w:t>
      </w:r>
      <w:r>
        <w:tab/>
      </w:r>
      <w:r>
        <w:fldChar w:fldCharType="begin"/>
      </w:r>
      <w:r>
        <w:instrText xml:space="preserve"> PAGEREF _Toc485897589 \h </w:instrText>
      </w:r>
      <w:r>
        <w:fldChar w:fldCharType="separate"/>
      </w:r>
      <w:r w:rsidR="004237EC">
        <w:t>72</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lastRenderedPageBreak/>
        <w:t>23</w:t>
      </w:r>
      <w:r>
        <w:t>.</w:t>
      </w:r>
      <w:r w:rsidRPr="004237EC">
        <w:t>2</w:t>
      </w:r>
      <w:r>
        <w:t>.</w:t>
      </w:r>
      <w:r w:rsidRPr="00F548D9">
        <w:rPr>
          <w:rFonts w:asciiTheme="minorHAnsi" w:eastAsiaTheme="minorEastAsia" w:hAnsiTheme="minorHAnsi" w:cstheme="minorBidi"/>
          <w:sz w:val="22"/>
          <w:szCs w:val="22"/>
          <w:lang w:val="it-IT" w:eastAsia="en-GB" w:bidi="ar-SA"/>
        </w:rPr>
        <w:tab/>
      </w:r>
      <w:r>
        <w:t>Păr</w:t>
      </w:r>
      <w:r w:rsidR="000C213F">
        <w:t>ț</w:t>
      </w:r>
      <w:r>
        <w:t xml:space="preserve">i afiliate: cheltuieli </w:t>
      </w:r>
      <w:r w:rsidR="000C213F">
        <w:t>ș</w:t>
      </w:r>
      <w:r>
        <w:t>i venituri generate de tranzac</w:t>
      </w:r>
      <w:r w:rsidR="000C213F">
        <w:t>ț</w:t>
      </w:r>
      <w:r>
        <w:t>ii (</w:t>
      </w:r>
      <w:r w:rsidRPr="004237EC">
        <w:t>31</w:t>
      </w:r>
      <w:r>
        <w:t>.</w:t>
      </w:r>
      <w:r w:rsidRPr="004237EC">
        <w:t>2</w:t>
      </w:r>
      <w:r>
        <w:t>)</w:t>
      </w:r>
      <w:r>
        <w:tab/>
      </w:r>
      <w:r>
        <w:fldChar w:fldCharType="begin"/>
      </w:r>
      <w:r>
        <w:instrText xml:space="preserve"> PAGEREF _Toc485897590 \h </w:instrText>
      </w:r>
      <w:r>
        <w:fldChar w:fldCharType="separate"/>
      </w:r>
      <w:r w:rsidR="004237EC">
        <w:t>73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24</w:t>
      </w:r>
      <w:r>
        <w:t>.</w:t>
      </w:r>
      <w:r w:rsidRPr="00F548D9">
        <w:rPr>
          <w:rFonts w:asciiTheme="minorHAnsi" w:eastAsiaTheme="minorEastAsia" w:hAnsiTheme="minorHAnsi" w:cstheme="minorBidi"/>
          <w:sz w:val="22"/>
          <w:szCs w:val="22"/>
          <w:lang w:val="it-IT" w:eastAsia="en-GB" w:bidi="ar-SA"/>
        </w:rPr>
        <w:tab/>
      </w:r>
      <w:r>
        <w:t>Structura grupului (</w:t>
      </w:r>
      <w:r w:rsidRPr="004237EC">
        <w:t>40</w:t>
      </w:r>
      <w:r>
        <w:t>)</w:t>
      </w:r>
      <w:r>
        <w:tab/>
      </w:r>
      <w:r>
        <w:fldChar w:fldCharType="begin"/>
      </w:r>
      <w:r>
        <w:instrText xml:space="preserve"> PAGEREF _Toc485897591 \h </w:instrText>
      </w:r>
      <w:r>
        <w:fldChar w:fldCharType="separate"/>
      </w:r>
      <w:r w:rsidR="004237EC">
        <w:t>73</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24</w:t>
      </w:r>
      <w:r>
        <w:t>.</w:t>
      </w:r>
      <w:r w:rsidRPr="004237EC">
        <w:t>1</w:t>
      </w:r>
      <w:r>
        <w:t>.</w:t>
      </w:r>
      <w:r w:rsidRPr="00F548D9">
        <w:rPr>
          <w:rFonts w:asciiTheme="minorHAnsi" w:eastAsiaTheme="minorEastAsia" w:hAnsiTheme="minorHAnsi" w:cstheme="minorBidi"/>
          <w:sz w:val="22"/>
          <w:szCs w:val="22"/>
          <w:lang w:val="it-IT" w:eastAsia="en-GB" w:bidi="ar-SA"/>
        </w:rPr>
        <w:tab/>
      </w:r>
      <w:r>
        <w:t>Structura grupului: „entitate cu entitate” (</w:t>
      </w:r>
      <w:r w:rsidRPr="004237EC">
        <w:t>40</w:t>
      </w:r>
      <w:r>
        <w:t>.</w:t>
      </w:r>
      <w:r w:rsidRPr="004237EC">
        <w:t>1</w:t>
      </w:r>
      <w:r>
        <w:t>)</w:t>
      </w:r>
      <w:r>
        <w:tab/>
      </w:r>
      <w:r>
        <w:fldChar w:fldCharType="begin"/>
      </w:r>
      <w:r>
        <w:instrText xml:space="preserve"> PAGEREF _Toc485897592 \h </w:instrText>
      </w:r>
      <w:r>
        <w:fldChar w:fldCharType="separate"/>
      </w:r>
      <w:r w:rsidR="004237EC">
        <w:t>74</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24</w:t>
      </w:r>
      <w:r>
        <w:t>.</w:t>
      </w:r>
      <w:r w:rsidRPr="004237EC">
        <w:t>2</w:t>
      </w:r>
      <w:r>
        <w:t>.</w:t>
      </w:r>
      <w:r w:rsidRPr="00F548D9">
        <w:rPr>
          <w:rFonts w:asciiTheme="minorHAnsi" w:eastAsiaTheme="minorEastAsia" w:hAnsiTheme="minorHAnsi" w:cstheme="minorBidi"/>
          <w:sz w:val="22"/>
          <w:szCs w:val="22"/>
          <w:lang w:val="it-IT" w:eastAsia="en-GB" w:bidi="ar-SA"/>
        </w:rPr>
        <w:tab/>
      </w:r>
      <w:r>
        <w:t>Structura grupului: „instrument cu instrument” (</w:t>
      </w:r>
      <w:r w:rsidRPr="004237EC">
        <w:t>40</w:t>
      </w:r>
      <w:r>
        <w:t>.</w:t>
      </w:r>
      <w:r w:rsidRPr="004237EC">
        <w:t>2</w:t>
      </w:r>
      <w:r>
        <w:t>)</w:t>
      </w:r>
      <w:r>
        <w:tab/>
      </w:r>
      <w:r>
        <w:fldChar w:fldCharType="begin"/>
      </w:r>
      <w:r>
        <w:instrText xml:space="preserve"> PAGEREF _Toc485897593 \h </w:instrText>
      </w:r>
      <w:r>
        <w:fldChar w:fldCharType="separate"/>
      </w:r>
      <w:r w:rsidR="004237EC">
        <w:t>75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25</w:t>
      </w:r>
      <w:r>
        <w:t>.</w:t>
      </w:r>
      <w:r w:rsidRPr="00F548D9">
        <w:rPr>
          <w:rFonts w:asciiTheme="minorHAnsi" w:eastAsiaTheme="minorEastAsia" w:hAnsiTheme="minorHAnsi" w:cstheme="minorBidi"/>
          <w:sz w:val="22"/>
          <w:szCs w:val="22"/>
          <w:lang w:val="it-IT" w:eastAsia="en-GB" w:bidi="ar-SA"/>
        </w:rPr>
        <w:tab/>
      </w:r>
      <w:r>
        <w:t>Valoarea justă (</w:t>
      </w:r>
      <w:r w:rsidRPr="004237EC">
        <w:t>41</w:t>
      </w:r>
      <w:r>
        <w:t>)</w:t>
      </w:r>
      <w:r>
        <w:tab/>
      </w:r>
      <w:r>
        <w:fldChar w:fldCharType="begin"/>
      </w:r>
      <w:r>
        <w:instrText xml:space="preserve"> PAGEREF _Toc485897594 \h </w:instrText>
      </w:r>
      <w:r>
        <w:fldChar w:fldCharType="separate"/>
      </w:r>
      <w:r w:rsidR="004237EC">
        <w:t>75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25</w:t>
      </w:r>
      <w:r>
        <w:t>.</w:t>
      </w:r>
      <w:r w:rsidRPr="004237EC">
        <w:t>1</w:t>
      </w:r>
      <w:r>
        <w:t>.</w:t>
      </w:r>
      <w:r w:rsidRPr="00F548D9">
        <w:rPr>
          <w:rFonts w:asciiTheme="minorHAnsi" w:eastAsiaTheme="minorEastAsia" w:hAnsiTheme="minorHAnsi" w:cstheme="minorBidi"/>
          <w:sz w:val="22"/>
          <w:szCs w:val="22"/>
          <w:lang w:val="it-IT" w:eastAsia="en-GB" w:bidi="ar-SA"/>
        </w:rPr>
        <w:tab/>
      </w:r>
      <w:r>
        <w:t>Ierarhia valorii juste: instrumente financiare la costul amortizat (</w:t>
      </w:r>
      <w:r w:rsidRPr="004237EC">
        <w:t>41</w:t>
      </w:r>
      <w:r>
        <w:t>.</w:t>
      </w:r>
      <w:r w:rsidRPr="004237EC">
        <w:t>1</w:t>
      </w:r>
      <w:r>
        <w:t>)</w:t>
      </w:r>
      <w:r>
        <w:tab/>
      </w:r>
      <w:r>
        <w:fldChar w:fldCharType="begin"/>
      </w:r>
      <w:r>
        <w:instrText xml:space="preserve"> PAGEREF _Toc485897595 \h </w:instrText>
      </w:r>
      <w:r>
        <w:fldChar w:fldCharType="separate"/>
      </w:r>
      <w:r w:rsidR="004237EC">
        <w:t>75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25</w:t>
      </w:r>
      <w:r>
        <w:t>.</w:t>
      </w:r>
      <w:r w:rsidRPr="004237EC">
        <w:t>2</w:t>
      </w:r>
      <w:r>
        <w:t>.</w:t>
      </w:r>
      <w:r w:rsidRPr="00F548D9">
        <w:rPr>
          <w:rFonts w:asciiTheme="minorHAnsi" w:eastAsiaTheme="minorEastAsia" w:hAnsiTheme="minorHAnsi" w:cstheme="minorBidi"/>
          <w:sz w:val="22"/>
          <w:szCs w:val="22"/>
          <w:lang w:val="it-IT" w:eastAsia="en-GB" w:bidi="ar-SA"/>
        </w:rPr>
        <w:tab/>
      </w:r>
      <w:r>
        <w:t>Utilizarea op</w:t>
      </w:r>
      <w:r w:rsidR="000C213F">
        <w:t>ț</w:t>
      </w:r>
      <w:r>
        <w:t>iunii de evaluare la valoarea justă (</w:t>
      </w:r>
      <w:r w:rsidRPr="004237EC">
        <w:t>41</w:t>
      </w:r>
      <w:r>
        <w:t>.</w:t>
      </w:r>
      <w:r w:rsidRPr="004237EC">
        <w:t>2</w:t>
      </w:r>
      <w:r>
        <w:t>)</w:t>
      </w:r>
      <w:r>
        <w:tab/>
      </w:r>
      <w:r>
        <w:fldChar w:fldCharType="begin"/>
      </w:r>
      <w:r>
        <w:instrText xml:space="preserve"> PAGEREF _Toc485897596 \h </w:instrText>
      </w:r>
      <w:r>
        <w:fldChar w:fldCharType="separate"/>
      </w:r>
      <w:r w:rsidR="004237EC">
        <w:t>75</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26</w:t>
      </w:r>
      <w:r>
        <w:t>.</w:t>
      </w:r>
      <w:r w:rsidRPr="00F548D9">
        <w:rPr>
          <w:rFonts w:asciiTheme="minorHAnsi" w:eastAsiaTheme="minorEastAsia" w:hAnsiTheme="minorHAnsi" w:cstheme="minorBidi"/>
          <w:sz w:val="22"/>
          <w:szCs w:val="22"/>
          <w:lang w:val="it-IT" w:eastAsia="en-GB" w:bidi="ar-SA"/>
        </w:rPr>
        <w:tab/>
      </w:r>
      <w:r>
        <w:t xml:space="preserve">Active corporale </w:t>
      </w:r>
      <w:r w:rsidR="000C213F">
        <w:t>ș</w:t>
      </w:r>
      <w:r>
        <w:t>i necorporale: valoarea contabilă în func</w:t>
      </w:r>
      <w:r w:rsidR="000C213F">
        <w:t>ț</w:t>
      </w:r>
      <w:r>
        <w:t>ie de metoda de evaluare (</w:t>
      </w:r>
      <w:r w:rsidRPr="004237EC">
        <w:t>42</w:t>
      </w:r>
      <w:r>
        <w:t>)</w:t>
      </w:r>
      <w:r>
        <w:tab/>
      </w:r>
      <w:r>
        <w:fldChar w:fldCharType="begin"/>
      </w:r>
      <w:r>
        <w:instrText xml:space="preserve"> PAGEREF _Toc485897597 \h </w:instrText>
      </w:r>
      <w:r>
        <w:fldChar w:fldCharType="separate"/>
      </w:r>
      <w:r w:rsidR="004237EC">
        <w:t>76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27</w:t>
      </w:r>
      <w:r>
        <w:t>.</w:t>
      </w:r>
      <w:r w:rsidRPr="00F548D9">
        <w:rPr>
          <w:rFonts w:asciiTheme="minorHAnsi" w:eastAsiaTheme="minorEastAsia" w:hAnsiTheme="minorHAnsi" w:cstheme="minorBidi"/>
          <w:sz w:val="22"/>
          <w:szCs w:val="22"/>
          <w:lang w:val="it-IT" w:eastAsia="en-GB" w:bidi="ar-SA"/>
        </w:rPr>
        <w:tab/>
      </w:r>
      <w:r>
        <w:t>Provizioane (</w:t>
      </w:r>
      <w:r w:rsidRPr="004237EC">
        <w:t>43</w:t>
      </w:r>
      <w:r>
        <w:t>)</w:t>
      </w:r>
      <w:r>
        <w:tab/>
      </w:r>
      <w:r>
        <w:fldChar w:fldCharType="begin"/>
      </w:r>
      <w:r>
        <w:instrText xml:space="preserve"> PAGEREF _Toc485897598 \h </w:instrText>
      </w:r>
      <w:r>
        <w:fldChar w:fldCharType="separate"/>
      </w:r>
      <w:r w:rsidR="004237EC">
        <w:t>76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28</w:t>
      </w:r>
      <w:r>
        <w:t>.</w:t>
      </w:r>
      <w:r w:rsidRPr="00F548D9">
        <w:rPr>
          <w:rFonts w:asciiTheme="minorHAnsi" w:eastAsiaTheme="minorEastAsia" w:hAnsiTheme="minorHAnsi" w:cstheme="minorBidi"/>
          <w:sz w:val="22"/>
          <w:szCs w:val="22"/>
          <w:lang w:val="it-IT" w:eastAsia="en-GB" w:bidi="ar-SA"/>
        </w:rPr>
        <w:tab/>
      </w:r>
      <w:r>
        <w:t xml:space="preserve">Planuri de beneficii determinate </w:t>
      </w:r>
      <w:r w:rsidR="000C213F">
        <w:t>ș</w:t>
      </w:r>
      <w:r>
        <w:t>i beneficiile angaja</w:t>
      </w:r>
      <w:r w:rsidR="000C213F">
        <w:t>ț</w:t>
      </w:r>
      <w:r>
        <w:t>ilor (</w:t>
      </w:r>
      <w:r w:rsidRPr="004237EC">
        <w:t>44</w:t>
      </w:r>
      <w:r>
        <w:t>)</w:t>
      </w:r>
      <w:r>
        <w:tab/>
      </w:r>
      <w:r>
        <w:fldChar w:fldCharType="begin"/>
      </w:r>
      <w:r>
        <w:instrText xml:space="preserve"> PAGEREF _Toc485897599 \h </w:instrText>
      </w:r>
      <w:r>
        <w:fldChar w:fldCharType="separate"/>
      </w:r>
      <w:r w:rsidR="004237EC">
        <w:t>76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28</w:t>
      </w:r>
      <w:r>
        <w:t>.</w:t>
      </w:r>
      <w:r w:rsidRPr="004237EC">
        <w:t>1</w:t>
      </w:r>
      <w:r>
        <w:t>.</w:t>
      </w:r>
      <w:r w:rsidRPr="00F548D9">
        <w:rPr>
          <w:rFonts w:asciiTheme="minorHAnsi" w:eastAsiaTheme="minorEastAsia" w:hAnsiTheme="minorHAnsi" w:cstheme="minorBidi"/>
          <w:sz w:val="22"/>
          <w:szCs w:val="22"/>
          <w:lang w:val="it-IT" w:eastAsia="en-GB" w:bidi="ar-SA"/>
        </w:rPr>
        <w:tab/>
      </w:r>
      <w:r>
        <w:t xml:space="preserve">Componentele activelor </w:t>
      </w:r>
      <w:r w:rsidR="000C213F">
        <w:t>ș</w:t>
      </w:r>
      <w:r>
        <w:t>i datoriilor nete ale planului de beneficii determinate (</w:t>
      </w:r>
      <w:r w:rsidRPr="004237EC">
        <w:t>44</w:t>
      </w:r>
      <w:r>
        <w:t>.</w:t>
      </w:r>
      <w:r w:rsidRPr="004237EC">
        <w:t>1</w:t>
      </w:r>
      <w:r>
        <w:t>)</w:t>
      </w:r>
      <w:r>
        <w:tab/>
      </w:r>
      <w:r>
        <w:fldChar w:fldCharType="begin"/>
      </w:r>
      <w:r>
        <w:instrText xml:space="preserve"> PAGEREF _Toc485897600 \h </w:instrText>
      </w:r>
      <w:r>
        <w:fldChar w:fldCharType="separate"/>
      </w:r>
      <w:r w:rsidR="004237EC">
        <w:t>76</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28</w:t>
      </w:r>
      <w:r>
        <w:t>.</w:t>
      </w:r>
      <w:r w:rsidRPr="004237EC">
        <w:t>2</w:t>
      </w:r>
      <w:r>
        <w:t>.</w:t>
      </w:r>
      <w:r w:rsidRPr="00F548D9">
        <w:rPr>
          <w:rFonts w:asciiTheme="minorHAnsi" w:eastAsiaTheme="minorEastAsia" w:hAnsiTheme="minorHAnsi" w:cstheme="minorBidi"/>
          <w:sz w:val="22"/>
          <w:szCs w:val="22"/>
          <w:lang w:val="it-IT" w:eastAsia="en-GB" w:bidi="ar-SA"/>
        </w:rPr>
        <w:tab/>
      </w:r>
      <w:r>
        <w:t>Varia</w:t>
      </w:r>
      <w:r w:rsidR="000C213F">
        <w:t>ț</w:t>
      </w:r>
      <w:r>
        <w:t>ii ale obliga</w:t>
      </w:r>
      <w:r w:rsidR="000C213F">
        <w:t>ț</w:t>
      </w:r>
      <w:r>
        <w:t>iilor aferente beneficiilor determinate (</w:t>
      </w:r>
      <w:r w:rsidRPr="004237EC">
        <w:t>44</w:t>
      </w:r>
      <w:r>
        <w:t>.</w:t>
      </w:r>
      <w:r w:rsidRPr="004237EC">
        <w:t>2</w:t>
      </w:r>
      <w:r>
        <w:t>)</w:t>
      </w:r>
      <w:r>
        <w:tab/>
      </w:r>
      <w:r>
        <w:fldChar w:fldCharType="begin"/>
      </w:r>
      <w:r>
        <w:instrText xml:space="preserve"> PAGEREF _Toc485897601 \h </w:instrText>
      </w:r>
      <w:r>
        <w:fldChar w:fldCharType="separate"/>
      </w:r>
      <w:r w:rsidR="004237EC">
        <w:t>77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28</w:t>
      </w:r>
      <w:r>
        <w:t>.</w:t>
      </w:r>
      <w:r w:rsidRPr="004237EC">
        <w:t>3</w:t>
      </w:r>
      <w:r>
        <w:t>.</w:t>
      </w:r>
      <w:r w:rsidRPr="00F548D9">
        <w:rPr>
          <w:rFonts w:asciiTheme="minorHAnsi" w:eastAsiaTheme="minorEastAsia" w:hAnsiTheme="minorHAnsi" w:cstheme="minorBidi"/>
          <w:sz w:val="22"/>
          <w:szCs w:val="22"/>
          <w:lang w:val="it-IT" w:eastAsia="en-GB" w:bidi="ar-SA"/>
        </w:rPr>
        <w:tab/>
      </w:r>
      <w:r>
        <w:t>Elemente memorandum [aferente cheltuielilor cu personalul] (</w:t>
      </w:r>
      <w:r w:rsidRPr="004237EC">
        <w:t>44</w:t>
      </w:r>
      <w:r>
        <w:t>.</w:t>
      </w:r>
      <w:r w:rsidRPr="004237EC">
        <w:t>3</w:t>
      </w:r>
      <w:r>
        <w:t>)</w:t>
      </w:r>
      <w:r>
        <w:tab/>
      </w:r>
      <w:r>
        <w:fldChar w:fldCharType="begin"/>
      </w:r>
      <w:r>
        <w:instrText xml:space="preserve"> PAGEREF _Toc485897602 \h </w:instrText>
      </w:r>
      <w:r>
        <w:fldChar w:fldCharType="separate"/>
      </w:r>
      <w:r w:rsidR="004237EC">
        <w:t>77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29</w:t>
      </w:r>
      <w:r>
        <w:t>.</w:t>
      </w:r>
      <w:r w:rsidRPr="00F548D9">
        <w:rPr>
          <w:rFonts w:asciiTheme="minorHAnsi" w:eastAsiaTheme="minorEastAsia" w:hAnsiTheme="minorHAnsi" w:cstheme="minorBidi"/>
          <w:sz w:val="22"/>
          <w:szCs w:val="22"/>
          <w:lang w:val="it-IT" w:eastAsia="en-GB" w:bidi="ar-SA"/>
        </w:rPr>
        <w:tab/>
      </w:r>
      <w:r>
        <w:t>Defalcarea anumitor elemente din situa</w:t>
      </w:r>
      <w:r w:rsidR="000C213F">
        <w:t>ț</w:t>
      </w:r>
      <w:r>
        <w:t>ia profitului sau pierderii (</w:t>
      </w:r>
      <w:r w:rsidRPr="004237EC">
        <w:t>45</w:t>
      </w:r>
      <w:r>
        <w:t>)</w:t>
      </w:r>
      <w:r>
        <w:tab/>
      </w:r>
      <w:r>
        <w:fldChar w:fldCharType="begin"/>
      </w:r>
      <w:r>
        <w:instrText xml:space="preserve"> PAGEREF _Toc485897603 \h </w:instrText>
      </w:r>
      <w:r>
        <w:fldChar w:fldCharType="separate"/>
      </w:r>
      <w:r w:rsidR="004237EC">
        <w:t>77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29</w:t>
      </w:r>
      <w:r>
        <w:t>.</w:t>
      </w:r>
      <w:r w:rsidRPr="004237EC">
        <w:t>1</w:t>
      </w:r>
      <w:r>
        <w:t>.</w:t>
      </w:r>
      <w:r w:rsidRPr="00F548D9">
        <w:rPr>
          <w:rFonts w:asciiTheme="minorHAnsi" w:eastAsiaTheme="minorEastAsia" w:hAnsiTheme="minorHAnsi" w:cstheme="minorBidi"/>
          <w:sz w:val="22"/>
          <w:szCs w:val="22"/>
          <w:lang w:val="it-IT" w:eastAsia="en-GB" w:bidi="ar-SA"/>
        </w:rPr>
        <w:tab/>
      </w:r>
      <w:r>
        <w:t>Câ</w:t>
      </w:r>
      <w:r w:rsidR="000C213F">
        <w:t>ș</w:t>
      </w:r>
      <w:r>
        <w:t xml:space="preserve">tiguri sau pierderi aferente activelor </w:t>
      </w:r>
      <w:r w:rsidR="000C213F">
        <w:t>ș</w:t>
      </w:r>
      <w:r>
        <w:t>i datoriilor financiare desemnate la valoarea justă prin profit sau pierdere, defalcate pe portofolii contabile (</w:t>
      </w:r>
      <w:r w:rsidRPr="004237EC">
        <w:t>45</w:t>
      </w:r>
      <w:r>
        <w:t>.</w:t>
      </w:r>
      <w:r w:rsidRPr="004237EC">
        <w:t>1</w:t>
      </w:r>
      <w:r>
        <w:t>)</w:t>
      </w:r>
      <w:r>
        <w:tab/>
      </w:r>
      <w:r>
        <w:fldChar w:fldCharType="begin"/>
      </w:r>
      <w:r>
        <w:instrText xml:space="preserve"> PAGEREF _Toc485897604 \h </w:instrText>
      </w:r>
      <w:r>
        <w:fldChar w:fldCharType="separate"/>
      </w:r>
      <w:r w:rsidR="004237EC">
        <w:t>77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29</w:t>
      </w:r>
      <w:r>
        <w:t>.</w:t>
      </w:r>
      <w:r w:rsidRPr="004237EC">
        <w:t>2</w:t>
      </w:r>
      <w:r>
        <w:t>.</w:t>
      </w:r>
      <w:r w:rsidRPr="00F548D9">
        <w:rPr>
          <w:rFonts w:asciiTheme="minorHAnsi" w:eastAsiaTheme="minorEastAsia" w:hAnsiTheme="minorHAnsi" w:cstheme="minorBidi"/>
          <w:sz w:val="22"/>
          <w:szCs w:val="22"/>
          <w:lang w:val="it-IT" w:eastAsia="en-GB" w:bidi="ar-SA"/>
        </w:rPr>
        <w:tab/>
      </w:r>
      <w:r>
        <w:t>Câ</w:t>
      </w:r>
      <w:r w:rsidR="000C213F">
        <w:t>ș</w:t>
      </w:r>
      <w:r>
        <w:t>tiguri sau pierderi din derecunoa</w:t>
      </w:r>
      <w:r w:rsidR="000C213F">
        <w:t>ș</w:t>
      </w:r>
      <w:r>
        <w:t>terea activelor nefinanciare (</w:t>
      </w:r>
      <w:r w:rsidRPr="004237EC">
        <w:t>45</w:t>
      </w:r>
      <w:r>
        <w:t>.</w:t>
      </w:r>
      <w:r w:rsidRPr="004237EC">
        <w:t>2</w:t>
      </w:r>
      <w:r>
        <w:t>)</w:t>
      </w:r>
      <w:r>
        <w:tab/>
      </w:r>
      <w:r>
        <w:fldChar w:fldCharType="begin"/>
      </w:r>
      <w:r>
        <w:instrText xml:space="preserve"> PAGEREF _Toc485897605 \h </w:instrText>
      </w:r>
      <w:r>
        <w:fldChar w:fldCharType="separate"/>
      </w:r>
      <w:r w:rsidR="004237EC">
        <w:t>77</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29</w:t>
      </w:r>
      <w:r>
        <w:t>.</w:t>
      </w:r>
      <w:r w:rsidRPr="004237EC">
        <w:t>3</w:t>
      </w:r>
      <w:r>
        <w:t>.</w:t>
      </w:r>
      <w:r w:rsidRPr="00F548D9">
        <w:rPr>
          <w:rFonts w:asciiTheme="minorHAnsi" w:eastAsiaTheme="minorEastAsia" w:hAnsiTheme="minorHAnsi" w:cstheme="minorBidi"/>
          <w:sz w:val="22"/>
          <w:szCs w:val="22"/>
          <w:lang w:val="it-IT" w:eastAsia="en-GB" w:bidi="ar-SA"/>
        </w:rPr>
        <w:tab/>
      </w:r>
      <w:r>
        <w:t xml:space="preserve">Alte venituri </w:t>
      </w:r>
      <w:r w:rsidR="000C213F">
        <w:t>ș</w:t>
      </w:r>
      <w:r>
        <w:t>i cheltuieli de exploatare (</w:t>
      </w:r>
      <w:r w:rsidRPr="004237EC">
        <w:t>45</w:t>
      </w:r>
      <w:r>
        <w:t>.</w:t>
      </w:r>
      <w:r w:rsidRPr="004237EC">
        <w:t>3</w:t>
      </w:r>
      <w:r>
        <w:t>)</w:t>
      </w:r>
      <w:r>
        <w:tab/>
      </w:r>
      <w:r>
        <w:fldChar w:fldCharType="begin"/>
      </w:r>
      <w:r>
        <w:instrText xml:space="preserve"> PAGEREF _Toc485897606 \h </w:instrText>
      </w:r>
      <w:r>
        <w:fldChar w:fldCharType="separate"/>
      </w:r>
      <w:r w:rsidR="004237EC">
        <w:t>78</w:t>
      </w:r>
      <w:r>
        <w:fldChar w:fldCharType="end"/>
      </w:r>
    </w:p>
    <w:p w:rsidR="00F548D9" w:rsidRPr="00F548D9" w:rsidRDefault="00F548D9">
      <w:pPr>
        <w:pStyle w:val="TOC2"/>
        <w:rPr>
          <w:rFonts w:asciiTheme="minorHAnsi" w:eastAsiaTheme="minorEastAsia" w:hAnsiTheme="minorHAnsi" w:cstheme="minorBidi"/>
          <w:sz w:val="22"/>
          <w:szCs w:val="22"/>
          <w:lang w:val="it-IT" w:eastAsia="en-GB" w:bidi="ar-SA"/>
        </w:rPr>
      </w:pPr>
      <w:r w:rsidRPr="004237EC">
        <w:t>30</w:t>
      </w:r>
      <w:r>
        <w:t>.</w:t>
      </w:r>
      <w:r w:rsidRPr="00F548D9">
        <w:rPr>
          <w:rFonts w:asciiTheme="minorHAnsi" w:eastAsiaTheme="minorEastAsia" w:hAnsiTheme="minorHAnsi" w:cstheme="minorBidi"/>
          <w:sz w:val="22"/>
          <w:szCs w:val="22"/>
          <w:lang w:val="it-IT" w:eastAsia="en-GB" w:bidi="ar-SA"/>
        </w:rPr>
        <w:tab/>
      </w:r>
      <w:r>
        <w:t>Situa</w:t>
      </w:r>
      <w:r w:rsidR="000C213F">
        <w:t>ț</w:t>
      </w:r>
      <w:r>
        <w:t>ia modificărilor capitalurilor proprii (</w:t>
      </w:r>
      <w:r w:rsidRPr="004237EC">
        <w:t>46</w:t>
      </w:r>
      <w:r>
        <w:t>)</w:t>
      </w:r>
      <w:r>
        <w:tab/>
      </w:r>
      <w:r>
        <w:fldChar w:fldCharType="begin"/>
      </w:r>
      <w:r>
        <w:instrText xml:space="preserve"> PAGEREF _Toc485897607 \h </w:instrText>
      </w:r>
      <w:r>
        <w:fldChar w:fldCharType="separate"/>
      </w:r>
      <w:r w:rsidR="004237EC">
        <w:t>78</w:t>
      </w:r>
      <w:r>
        <w:fldChar w:fldCharType="end"/>
      </w:r>
    </w:p>
    <w:p w:rsidR="00F548D9" w:rsidRPr="00F548D9" w:rsidRDefault="00F548D9">
      <w:pPr>
        <w:pStyle w:val="TOC1"/>
        <w:tabs>
          <w:tab w:val="right" w:leader="dot" w:pos="8296"/>
        </w:tabs>
        <w:rPr>
          <w:rFonts w:asciiTheme="minorHAnsi" w:eastAsiaTheme="minorEastAsia" w:hAnsiTheme="minorHAnsi" w:cstheme="minorBidi"/>
          <w:b w:val="0"/>
          <w:noProof/>
          <w:sz w:val="22"/>
          <w:szCs w:val="22"/>
          <w:lang w:val="it-IT" w:eastAsia="en-GB" w:bidi="ar-SA"/>
        </w:rPr>
      </w:pPr>
      <w:r>
        <w:rPr>
          <w:noProof/>
        </w:rPr>
        <w:t>Coresponden</w:t>
      </w:r>
      <w:r w:rsidR="000C213F">
        <w:rPr>
          <w:noProof/>
        </w:rPr>
        <w:t>ț</w:t>
      </w:r>
      <w:r>
        <w:rPr>
          <w:noProof/>
        </w:rPr>
        <w:t xml:space="preserve">a dintre clasele de expuneri </w:t>
      </w:r>
      <w:r w:rsidR="000C213F">
        <w:rPr>
          <w:noProof/>
        </w:rPr>
        <w:t>ș</w:t>
      </w:r>
      <w:r>
        <w:rPr>
          <w:noProof/>
        </w:rPr>
        <w:t>i sectoarele contrapăr</w:t>
      </w:r>
      <w:r w:rsidR="000C213F">
        <w:rPr>
          <w:noProof/>
        </w:rPr>
        <w:t>ț</w:t>
      </w:r>
      <w:r>
        <w:rPr>
          <w:noProof/>
        </w:rPr>
        <w:t>ilor</w:t>
      </w:r>
      <w:r>
        <w:rPr>
          <w:noProof/>
        </w:rPr>
        <w:tab/>
      </w:r>
      <w:r>
        <w:rPr>
          <w:noProof/>
        </w:rPr>
        <w:fldChar w:fldCharType="begin"/>
      </w:r>
      <w:r>
        <w:rPr>
          <w:noProof/>
        </w:rPr>
        <w:instrText xml:space="preserve"> PAGEREF _Toc485897608 \h </w:instrText>
      </w:r>
      <w:r>
        <w:rPr>
          <w:noProof/>
        </w:rPr>
      </w:r>
      <w:r>
        <w:rPr>
          <w:noProof/>
        </w:rPr>
        <w:fldChar w:fldCharType="separate"/>
      </w:r>
      <w:r w:rsidR="004237EC">
        <w:rPr>
          <w:noProof/>
        </w:rPr>
        <w:t>78</w:t>
      </w:r>
      <w:r>
        <w:rPr>
          <w:noProof/>
        </w:rPr>
        <w:fldChar w:fldCharType="end"/>
      </w:r>
    </w:p>
    <w:p w:rsidR="00892B22" w:rsidRDefault="00EA53EB">
      <w:pPr>
        <w:spacing w:after="0"/>
        <w:rPr>
          <w:rFonts w:asciiTheme="minorHAnsi" w:eastAsiaTheme="minorEastAsia" w:hAnsiTheme="minorHAnsi" w:cstheme="minorBidi"/>
          <w:noProof/>
          <w:szCs w:val="22"/>
        </w:rPr>
        <w:sectPr w:rsidR="00892B22"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 xml:space="preserve">PARTEA </w:t>
      </w:r>
      <w:r w:rsidRPr="004237EC">
        <w:rPr>
          <w:rFonts w:ascii="Times New Roman" w:hAnsi="Times New Roman"/>
          <w:b/>
          <w:sz w:val="24"/>
        </w:rPr>
        <w:t>1</w:t>
      </w:r>
      <w:bookmarkEnd w:id="2"/>
    </w:p>
    <w:p w:rsidR="009569C7" w:rsidRPr="00EC4FA2" w:rsidRDefault="00A834F1" w:rsidP="009569C7">
      <w:pPr>
        <w:pStyle w:val="Heading1"/>
      </w:pPr>
      <w:bookmarkStart w:id="3" w:name="_Toc362359270"/>
      <w:bookmarkStart w:id="4" w:name="_Toc467855193"/>
      <w:bookmarkStart w:id="5" w:name="_Toc485897525"/>
      <w:r>
        <w:t>Instruc</w:t>
      </w:r>
      <w:r w:rsidR="000C213F">
        <w:t>ț</w:t>
      </w:r>
      <w:r>
        <w:t>iuni generale</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485897526"/>
      <w:bookmarkStart w:id="9" w:name="_Toc361844199"/>
      <w:r>
        <w:t>Referin</w:t>
      </w:r>
      <w:r w:rsidR="000C213F">
        <w:t>ț</w:t>
      </w:r>
      <w:r>
        <w:t>e</w:t>
      </w:r>
      <w:bookmarkEnd w:id="6"/>
      <w:bookmarkEnd w:id="7"/>
      <w:bookmarkEnd w:id="8"/>
    </w:p>
    <w:bookmarkEnd w:id="9"/>
    <w:p w:rsidR="009569C7" w:rsidRPr="00EC4FA2" w:rsidRDefault="00A834F1" w:rsidP="009569C7">
      <w:pPr>
        <w:pStyle w:val="Baseparagraphnumbered"/>
      </w:pPr>
      <w:r>
        <w:t>Prezenta anexă con</w:t>
      </w:r>
      <w:r w:rsidR="000C213F">
        <w:t>ț</w:t>
      </w:r>
      <w:r>
        <w:t>ine instruc</w:t>
      </w:r>
      <w:r w:rsidR="000C213F">
        <w:t>ț</w:t>
      </w:r>
      <w:r>
        <w:t>iuni suplimentare pentru formularele privind informa</w:t>
      </w:r>
      <w:r w:rsidR="000C213F">
        <w:t>ț</w:t>
      </w:r>
      <w:r>
        <w:t xml:space="preserve">iile financiare (denumite în continuare „FINREP”) din anexele III </w:t>
      </w:r>
      <w:r w:rsidR="000C213F">
        <w:t>ș</w:t>
      </w:r>
      <w:r>
        <w:t>i IV la prezentul regulament. Prezenta anexă completează instruc</w:t>
      </w:r>
      <w:r w:rsidR="000C213F">
        <w:t>ț</w:t>
      </w:r>
      <w:r>
        <w:t>iunile incluse sub formă de referin</w:t>
      </w:r>
      <w:r w:rsidR="000C213F">
        <w:t>ț</w:t>
      </w:r>
      <w:r>
        <w:t xml:space="preserve">e în formularele din anexele III </w:t>
      </w:r>
      <w:r w:rsidR="000C213F">
        <w:t>ș</w:t>
      </w:r>
      <w:r>
        <w:t xml:space="preserve">i IV. </w:t>
      </w:r>
    </w:p>
    <w:p w:rsidR="009569C7" w:rsidRPr="00EC4FA2" w:rsidRDefault="00A834F1" w:rsidP="009569C7">
      <w:pPr>
        <w:pStyle w:val="Baseparagraphnumbered"/>
      </w:pPr>
      <w:r>
        <w:t>Institu</w:t>
      </w:r>
      <w:r w:rsidR="000C213F">
        <w:t>ț</w:t>
      </w:r>
      <w:r>
        <w:t>iile care utilizează standardele de contabilitate na</w:t>
      </w:r>
      <w:r w:rsidR="000C213F">
        <w:t>ț</w:t>
      </w:r>
      <w:r>
        <w:t>ionale compatibile cu IFRS („GAAP na</w:t>
      </w:r>
      <w:r w:rsidR="000C213F">
        <w:t>ț</w:t>
      </w:r>
      <w:r>
        <w:t>ionale compatibile”) aplică instruc</w:t>
      </w:r>
      <w:r w:rsidR="000C213F">
        <w:t>ț</w:t>
      </w:r>
      <w:r>
        <w:t xml:space="preserve">iunile comune </w:t>
      </w:r>
      <w:r w:rsidR="000C213F">
        <w:t>ș</w:t>
      </w:r>
      <w:r>
        <w:t>i bazate pe IFRS prevăzute în prezenta anexă, cu excep</w:t>
      </w:r>
      <w:r w:rsidR="000C213F">
        <w:t>ț</w:t>
      </w:r>
      <w:r>
        <w:t>ia cazului în care există dispozi</w:t>
      </w:r>
      <w:r w:rsidR="000C213F">
        <w:t>ț</w:t>
      </w:r>
      <w:r>
        <w:t>ii contrare. Acest lucru nu aduce atingere conformită</w:t>
      </w:r>
      <w:r w:rsidR="000C213F">
        <w:t>ț</w:t>
      </w:r>
      <w:r>
        <w:t>ii cerin</w:t>
      </w:r>
      <w:r w:rsidR="000C213F">
        <w:t>ț</w:t>
      </w:r>
      <w:r>
        <w:t>elor din GAAP na</w:t>
      </w:r>
      <w:r w:rsidR="000C213F">
        <w:t>ț</w:t>
      </w:r>
      <w:r>
        <w:t>ionale compatibile cu cerin</w:t>
      </w:r>
      <w:r w:rsidR="000C213F">
        <w:t>ț</w:t>
      </w:r>
      <w:r>
        <w:t>ele din BAD. Institu</w:t>
      </w:r>
      <w:r w:rsidR="000C213F">
        <w:t>ț</w:t>
      </w:r>
      <w:r>
        <w:t>iile care utilizează GAAP na</w:t>
      </w:r>
      <w:r w:rsidR="000C213F">
        <w:t>ț</w:t>
      </w:r>
      <w:r>
        <w:t>ionale ce nu sunt compatibile cu IFRS sau nu au fost încă făcute compatibile cu dispozi</w:t>
      </w:r>
      <w:r w:rsidR="000C213F">
        <w:t>ț</w:t>
      </w:r>
      <w:r>
        <w:t xml:space="preserve">iile prevăzute în IFRS </w:t>
      </w:r>
      <w:r w:rsidRPr="004237EC">
        <w:t>9</w:t>
      </w:r>
      <w:r>
        <w:t xml:space="preserve"> aplică instruc</w:t>
      </w:r>
      <w:r w:rsidR="000C213F">
        <w:t>ț</w:t>
      </w:r>
      <w:r>
        <w:t xml:space="preserve">iunile comune </w:t>
      </w:r>
      <w:r w:rsidR="000C213F">
        <w:t>ș</w:t>
      </w:r>
      <w:r>
        <w:t>i bazate pe BAD prevăzute în prezenta anexă, cu excep</w:t>
      </w:r>
      <w:r w:rsidR="000C213F">
        <w:t>ț</w:t>
      </w:r>
      <w:r>
        <w:t>ia cazului în care există dispozi</w:t>
      </w:r>
      <w:r w:rsidR="000C213F">
        <w:t>ț</w:t>
      </w:r>
      <w:r>
        <w:t>ii contrare.</w:t>
      </w:r>
    </w:p>
    <w:p w:rsidR="009569C7" w:rsidRPr="00EC4FA2" w:rsidRDefault="00A834F1" w:rsidP="009569C7">
      <w:pPr>
        <w:pStyle w:val="Baseparagraphnumbered"/>
      </w:pPr>
      <w:r>
        <w:t>Punctele de date identificate în formulare se elaborează în conformitate cu regulile privind recunoa</w:t>
      </w:r>
      <w:r w:rsidR="000C213F">
        <w:t>ș</w:t>
      </w:r>
      <w:r>
        <w:t xml:space="preserve">terea, compensarea </w:t>
      </w:r>
      <w:r w:rsidR="000C213F">
        <w:t>ș</w:t>
      </w:r>
      <w:r>
        <w:t xml:space="preserve">i evaluarea din cadrul contabil relevant, astfel cum este definit la articolul </w:t>
      </w:r>
      <w:r w:rsidRPr="004237EC">
        <w:t>4</w:t>
      </w:r>
      <w:r>
        <w:t xml:space="preserve"> alineatul (</w:t>
      </w:r>
      <w:r w:rsidRPr="004237EC">
        <w:t>1</w:t>
      </w:r>
      <w:r>
        <w:t xml:space="preserve">) punctul </w:t>
      </w:r>
      <w:r w:rsidRPr="004237EC">
        <w:t>77</w:t>
      </w:r>
      <w:r>
        <w:t xml:space="preserve"> din Regulamentul (UE) nr. </w:t>
      </w:r>
      <w:r w:rsidRPr="004237EC">
        <w:t>575</w:t>
      </w:r>
      <w:r>
        <w:t>/</w:t>
      </w:r>
      <w:r w:rsidRPr="004237EC">
        <w:t>2013</w:t>
      </w:r>
      <w:r>
        <w:t>.</w:t>
      </w:r>
    </w:p>
    <w:p w:rsidR="009569C7" w:rsidRPr="00EC4FA2" w:rsidRDefault="00A834F1" w:rsidP="009569C7">
      <w:pPr>
        <w:pStyle w:val="Baseparagraphnumbered"/>
      </w:pPr>
      <w:r>
        <w:t>Institu</w:t>
      </w:r>
      <w:r w:rsidR="000C213F">
        <w:t>ț</w:t>
      </w:r>
      <w:r>
        <w:t>iile transmit numai păr</w:t>
      </w:r>
      <w:r w:rsidR="000C213F">
        <w:t>ț</w:t>
      </w:r>
      <w:r>
        <w:t>ile din formulare referitoare la:</w:t>
      </w:r>
    </w:p>
    <w:p w:rsidR="009569C7" w:rsidRPr="00EC4FA2" w:rsidRDefault="00A834F1" w:rsidP="009569C7">
      <w:pPr>
        <w:pStyle w:val="Baseparagraphnumbered"/>
        <w:numPr>
          <w:ilvl w:val="0"/>
          <w:numId w:val="29"/>
        </w:numPr>
        <w:ind w:left="1134" w:hanging="426"/>
      </w:pPr>
      <w:r>
        <w:t xml:space="preserve">activele, datoriile, capitalurile proprii, veniturile </w:t>
      </w:r>
      <w:r w:rsidR="000C213F">
        <w:t>ș</w:t>
      </w:r>
      <w:r>
        <w:t>i cheltuielile care sunt recunoscute de institu</w:t>
      </w:r>
      <w:r w:rsidR="000C213F">
        <w:t>ț</w:t>
      </w:r>
      <w:r>
        <w:t>ie;</w:t>
      </w:r>
    </w:p>
    <w:p w:rsidR="009569C7" w:rsidRPr="00EC4FA2" w:rsidRDefault="00A834F1" w:rsidP="009569C7">
      <w:pPr>
        <w:pStyle w:val="Baseparagraphnumbered"/>
        <w:numPr>
          <w:ilvl w:val="0"/>
          <w:numId w:val="29"/>
        </w:numPr>
        <w:ind w:left="1134" w:hanging="426"/>
      </w:pPr>
      <w:r>
        <w:t>expunerile extrabilan</w:t>
      </w:r>
      <w:r w:rsidR="000C213F">
        <w:t>ț</w:t>
      </w:r>
      <w:r>
        <w:t xml:space="preserve">iere </w:t>
      </w:r>
      <w:r w:rsidR="000C213F">
        <w:t>ș</w:t>
      </w:r>
      <w:r>
        <w:t>i activită</w:t>
      </w:r>
      <w:r w:rsidR="000C213F">
        <w:t>ț</w:t>
      </w:r>
      <w:r>
        <w:t>ile în care este implicată institu</w:t>
      </w:r>
      <w:r w:rsidR="000C213F">
        <w:t>ț</w:t>
      </w:r>
      <w:r>
        <w:t>ia;</w:t>
      </w:r>
    </w:p>
    <w:p w:rsidR="009569C7" w:rsidRPr="00EC4FA2" w:rsidRDefault="00A834F1" w:rsidP="009569C7">
      <w:pPr>
        <w:pStyle w:val="Baseparagraphnumbered"/>
        <w:numPr>
          <w:ilvl w:val="0"/>
          <w:numId w:val="29"/>
        </w:numPr>
        <w:ind w:left="1134" w:hanging="426"/>
      </w:pPr>
      <w:r>
        <w:t>tranzac</w:t>
      </w:r>
      <w:r w:rsidR="000C213F">
        <w:t>ț</w:t>
      </w:r>
      <w:r>
        <w:t>iile efectuate de către institu</w:t>
      </w:r>
      <w:r w:rsidR="000C213F">
        <w:t>ț</w:t>
      </w:r>
      <w:r>
        <w:t>ie;</w:t>
      </w:r>
    </w:p>
    <w:p w:rsidR="009569C7" w:rsidRPr="00EC4FA2" w:rsidRDefault="00A834F1" w:rsidP="009569C7">
      <w:pPr>
        <w:pStyle w:val="Baseparagraphnumbered"/>
        <w:numPr>
          <w:ilvl w:val="0"/>
          <w:numId w:val="29"/>
        </w:numPr>
        <w:ind w:left="1134" w:hanging="425"/>
      </w:pPr>
      <w:r>
        <w:t>regulile de evaluare, inclusiv metodele pentru estimarea ajustărilor pentru riscul de credit, aplicate de institu</w:t>
      </w:r>
      <w:r w:rsidR="000C213F">
        <w:t>ț</w:t>
      </w:r>
      <w:r>
        <w:t>ie.</w:t>
      </w:r>
    </w:p>
    <w:p w:rsidR="009569C7" w:rsidRPr="00EC4FA2" w:rsidRDefault="00A834F1" w:rsidP="009569C7">
      <w:pPr>
        <w:pStyle w:val="Baseparagraphnumbered"/>
        <w:ind w:left="1134"/>
      </w:pPr>
      <w:r>
        <w:t xml:space="preserve">În sensul anexelor III </w:t>
      </w:r>
      <w:r w:rsidR="000C213F">
        <w:t>ș</w:t>
      </w:r>
      <w:r>
        <w:t xml:space="preserve">i IV, precum </w:t>
      </w:r>
      <w:r w:rsidR="000C213F">
        <w:t>ș</w:t>
      </w:r>
      <w:r>
        <w:t>i în sensul prezentei anexe, se aplică următoarele abrevieri:</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 xml:space="preserve">„CRR”: Regulamentul (UE) nr. </w:t>
      </w:r>
      <w:r w:rsidRPr="004237EC">
        <w:rPr>
          <w:rFonts w:ascii="Times New Roman" w:hAnsi="Times New Roman"/>
          <w:sz w:val="24"/>
        </w:rPr>
        <w:t>575</w:t>
      </w:r>
      <w:r>
        <w:rPr>
          <w:rFonts w:ascii="Times New Roman" w:hAnsi="Times New Roman"/>
          <w:sz w:val="24"/>
        </w:rPr>
        <w:t>/</w:t>
      </w:r>
      <w:r w:rsidRPr="004237EC">
        <w:rPr>
          <w:rFonts w:ascii="Times New Roman" w:hAnsi="Times New Roman"/>
          <w:sz w:val="24"/>
        </w:rPr>
        <w:t>2013</w:t>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sau „IFRS”: „Standardele interna</w:t>
      </w:r>
      <w:r w:rsidR="000C213F">
        <w:rPr>
          <w:rFonts w:ascii="Times New Roman" w:hAnsi="Times New Roman"/>
          <w:sz w:val="24"/>
        </w:rPr>
        <w:t>ț</w:t>
      </w:r>
      <w:r>
        <w:rPr>
          <w:rFonts w:ascii="Times New Roman" w:hAnsi="Times New Roman"/>
          <w:sz w:val="24"/>
        </w:rPr>
        <w:t xml:space="preserve">ionale de contabilitate”, astfel cum sunt definite la articolul </w:t>
      </w:r>
      <w:r w:rsidRPr="004237EC">
        <w:rPr>
          <w:rFonts w:ascii="Times New Roman" w:hAnsi="Times New Roman"/>
          <w:sz w:val="24"/>
        </w:rPr>
        <w:t>2</w:t>
      </w:r>
      <w:r>
        <w:rPr>
          <w:rFonts w:ascii="Times New Roman" w:hAnsi="Times New Roman"/>
          <w:sz w:val="24"/>
        </w:rPr>
        <w:t xml:space="preserve"> din Regulamentul IAS nr. </w:t>
      </w:r>
      <w:r w:rsidRPr="004237EC">
        <w:rPr>
          <w:rFonts w:ascii="Times New Roman" w:hAnsi="Times New Roman"/>
          <w:sz w:val="24"/>
        </w:rPr>
        <w:t>1606</w:t>
      </w:r>
      <w:r>
        <w:rPr>
          <w:rFonts w:ascii="Times New Roman" w:hAnsi="Times New Roman"/>
          <w:sz w:val="24"/>
        </w:rPr>
        <w:t>/</w:t>
      </w:r>
      <w:r w:rsidRPr="004237EC">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care au fost adoptate de Comisie;</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„Regulamentul BCE BSI” sau „BCE/</w:t>
      </w:r>
      <w:r w:rsidRPr="004237EC">
        <w:rPr>
          <w:rFonts w:ascii="Times New Roman" w:hAnsi="Times New Roman"/>
          <w:sz w:val="24"/>
        </w:rPr>
        <w:t>2013</w:t>
      </w:r>
      <w:r>
        <w:rPr>
          <w:rFonts w:ascii="Times New Roman" w:hAnsi="Times New Roman"/>
          <w:sz w:val="24"/>
        </w:rPr>
        <w:t>/</w:t>
      </w:r>
      <w:r w:rsidRPr="004237EC">
        <w:rPr>
          <w:rFonts w:ascii="Times New Roman" w:hAnsi="Times New Roman"/>
          <w:sz w:val="24"/>
        </w:rPr>
        <w:t>33</w:t>
      </w:r>
      <w:r>
        <w:rPr>
          <w:rFonts w:ascii="Times New Roman" w:hAnsi="Times New Roman"/>
          <w:sz w:val="24"/>
        </w:rPr>
        <w:t xml:space="preserve">”: </w:t>
      </w:r>
      <w:bookmarkStart w:id="10" w:name="OLE_LINK2"/>
      <w:r>
        <w:rPr>
          <w:rFonts w:ascii="Times New Roman" w:hAnsi="Times New Roman"/>
          <w:sz w:val="24"/>
        </w:rPr>
        <w:t>Regulamentul (CE) nr. </w:t>
      </w:r>
      <w:r w:rsidRPr="004237EC">
        <w:rPr>
          <w:rFonts w:ascii="Times New Roman" w:hAnsi="Times New Roman"/>
          <w:sz w:val="24"/>
        </w:rPr>
        <w:t>1071</w:t>
      </w:r>
      <w:r>
        <w:rPr>
          <w:rFonts w:ascii="Times New Roman" w:hAnsi="Times New Roman"/>
          <w:sz w:val="24"/>
        </w:rPr>
        <w:t>/</w:t>
      </w:r>
      <w:r w:rsidRPr="004237EC">
        <w:rPr>
          <w:rFonts w:ascii="Times New Roman" w:hAnsi="Times New Roman"/>
          <w:sz w:val="24"/>
        </w:rPr>
        <w:t>2013</w:t>
      </w:r>
      <w:r>
        <w:rPr>
          <w:rFonts w:ascii="Times New Roman" w:hAnsi="Times New Roman"/>
          <w:sz w:val="24"/>
        </w:rPr>
        <w:t xml:space="preserve"> al Băncii Centrale Europene</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„Regulamentul NACE”: Regulamentul (CE) nr. </w:t>
      </w:r>
      <w:r w:rsidRPr="004237EC">
        <w:rPr>
          <w:rFonts w:ascii="Times New Roman" w:hAnsi="Times New Roman"/>
          <w:sz w:val="24"/>
        </w:rPr>
        <w:t>1893</w:t>
      </w:r>
      <w:r>
        <w:rPr>
          <w:rFonts w:ascii="Times New Roman" w:hAnsi="Times New Roman"/>
          <w:sz w:val="24"/>
        </w:rPr>
        <w:t>/</w:t>
      </w:r>
      <w:r w:rsidRPr="004237EC">
        <w:rPr>
          <w:rFonts w:ascii="Times New Roman" w:hAnsi="Times New Roman"/>
          <w:sz w:val="24"/>
        </w:rPr>
        <w:t>2006</w:t>
      </w:r>
      <w:r>
        <w:rPr>
          <w:rFonts w:ascii="Times New Roman" w:hAnsi="Times New Roman"/>
          <w:sz w:val="24"/>
        </w:rPr>
        <w:t xml:space="preserve"> al Parlamentului European </w:t>
      </w:r>
      <w:r w:rsidR="000C213F">
        <w:rPr>
          <w:rFonts w:ascii="Times New Roman" w:hAnsi="Times New Roman"/>
          <w:sz w:val="24"/>
        </w:rPr>
        <w:t>ș</w:t>
      </w:r>
      <w:r>
        <w:rPr>
          <w:rFonts w:ascii="Times New Roman" w:hAnsi="Times New Roman"/>
          <w:sz w:val="24"/>
        </w:rPr>
        <w:t>i al Consiliului</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„coduri NACE”: codurile prevăzute în Regulamentul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„BAD”: Directiva </w:t>
      </w:r>
      <w:r w:rsidRPr="004237EC">
        <w:rPr>
          <w:rFonts w:ascii="Times New Roman" w:hAnsi="Times New Roman"/>
          <w:sz w:val="24"/>
        </w:rPr>
        <w:t>86</w:t>
      </w:r>
      <w:r>
        <w:rPr>
          <w:rFonts w:ascii="Times New Roman" w:hAnsi="Times New Roman"/>
          <w:sz w:val="24"/>
        </w:rPr>
        <w:t>/</w:t>
      </w:r>
      <w:r w:rsidRPr="004237EC">
        <w:rPr>
          <w:rFonts w:ascii="Times New Roman" w:hAnsi="Times New Roman"/>
          <w:sz w:val="24"/>
        </w:rPr>
        <w:t>635</w:t>
      </w:r>
      <w:r>
        <w:rPr>
          <w:rFonts w:ascii="Times New Roman" w:hAnsi="Times New Roman"/>
          <w:sz w:val="24"/>
        </w:rPr>
        <w:t>/CEE a Consiliului</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„Directiva contabilă”: Directiva </w:t>
      </w:r>
      <w:r w:rsidRPr="004237EC">
        <w:rPr>
          <w:rFonts w:ascii="Times New Roman" w:hAnsi="Times New Roman"/>
          <w:sz w:val="24"/>
        </w:rPr>
        <w:t>2013</w:t>
      </w:r>
      <w:r>
        <w:rPr>
          <w:rFonts w:ascii="Times New Roman" w:hAnsi="Times New Roman"/>
          <w:sz w:val="24"/>
        </w:rPr>
        <w:t>/</w:t>
      </w:r>
      <w:r w:rsidRPr="004237EC">
        <w:rPr>
          <w:rFonts w:ascii="Times New Roman" w:hAnsi="Times New Roman"/>
          <w:sz w:val="24"/>
        </w:rPr>
        <w:t>34</w:t>
      </w:r>
      <w:r>
        <w:rPr>
          <w:rFonts w:ascii="Times New Roman" w:hAnsi="Times New Roman"/>
          <w:sz w:val="24"/>
        </w:rPr>
        <w:t>/UE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„GAAP na</w:t>
      </w:r>
      <w:r w:rsidR="000C213F">
        <w:rPr>
          <w:rFonts w:ascii="Times New Roman" w:hAnsi="Times New Roman"/>
          <w:sz w:val="24"/>
        </w:rPr>
        <w:t>ț</w:t>
      </w:r>
      <w:r>
        <w:rPr>
          <w:rFonts w:ascii="Times New Roman" w:hAnsi="Times New Roman"/>
          <w:sz w:val="24"/>
        </w:rPr>
        <w:t>ionale”: principii contabile general acceptate la nivel na</w:t>
      </w:r>
      <w:r w:rsidR="000C213F">
        <w:rPr>
          <w:rFonts w:ascii="Times New Roman" w:hAnsi="Times New Roman"/>
          <w:sz w:val="24"/>
        </w:rPr>
        <w:t>ț</w:t>
      </w:r>
      <w:r>
        <w:rPr>
          <w:rFonts w:ascii="Times New Roman" w:hAnsi="Times New Roman"/>
          <w:sz w:val="24"/>
        </w:rPr>
        <w:t>ional, elaborate în temeiul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„IMM-uri”: microîntreprinderi </w:t>
      </w:r>
      <w:r w:rsidR="000C213F">
        <w:rPr>
          <w:rFonts w:ascii="Times New Roman" w:hAnsi="Times New Roman"/>
          <w:sz w:val="24"/>
        </w:rPr>
        <w:t>ș</w:t>
      </w:r>
      <w:r>
        <w:rPr>
          <w:rFonts w:ascii="Times New Roman" w:hAnsi="Times New Roman"/>
          <w:sz w:val="24"/>
        </w:rPr>
        <w:t xml:space="preserve">i întreprinderi mici </w:t>
      </w:r>
      <w:r w:rsidR="000C213F">
        <w:rPr>
          <w:rFonts w:ascii="Times New Roman" w:hAnsi="Times New Roman"/>
          <w:sz w:val="24"/>
        </w:rPr>
        <w:t>ș</w:t>
      </w:r>
      <w:r>
        <w:rPr>
          <w:rFonts w:ascii="Times New Roman" w:hAnsi="Times New Roman"/>
          <w:sz w:val="24"/>
        </w:rPr>
        <w:t>i mijlocii, astfel cum sunt definite în Recomandarea C(</w:t>
      </w:r>
      <w:r w:rsidRPr="004237EC">
        <w:rPr>
          <w:rFonts w:ascii="Times New Roman" w:hAnsi="Times New Roman"/>
          <w:sz w:val="24"/>
        </w:rPr>
        <w:t>2003</w:t>
      </w:r>
      <w:r>
        <w:rPr>
          <w:rFonts w:ascii="Times New Roman" w:hAnsi="Times New Roman"/>
          <w:sz w:val="24"/>
        </w:rPr>
        <w:t>)</w:t>
      </w:r>
      <w:r w:rsidRPr="004237EC">
        <w:rPr>
          <w:rFonts w:ascii="Times New Roman" w:hAnsi="Times New Roman"/>
          <w:sz w:val="24"/>
        </w:rPr>
        <w:t>1422</w:t>
      </w:r>
      <w:r>
        <w:rPr>
          <w:rFonts w:ascii="Times New Roman" w:hAnsi="Times New Roman"/>
          <w:sz w:val="24"/>
        </w:rPr>
        <w:t xml:space="preserve"> a Comisiei</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„codul ISIN”: numărul interna</w:t>
      </w:r>
      <w:r w:rsidR="000C213F">
        <w:rPr>
          <w:rFonts w:ascii="Times New Roman" w:hAnsi="Times New Roman"/>
          <w:sz w:val="24"/>
        </w:rPr>
        <w:t>ț</w:t>
      </w:r>
      <w:r>
        <w:rPr>
          <w:rFonts w:ascii="Times New Roman" w:hAnsi="Times New Roman"/>
          <w:sz w:val="24"/>
        </w:rPr>
        <w:t xml:space="preserve">ional de identificare a valorilor mobiliare alocat titlurilor de valoare, compus din </w:t>
      </w:r>
      <w:r w:rsidRPr="004237EC">
        <w:rPr>
          <w:rFonts w:ascii="Times New Roman" w:hAnsi="Times New Roman"/>
          <w:sz w:val="24"/>
        </w:rPr>
        <w:t>12</w:t>
      </w:r>
      <w:r>
        <w:rPr>
          <w:rFonts w:ascii="Times New Roman" w:hAnsi="Times New Roman"/>
          <w:sz w:val="24"/>
        </w:rPr>
        <w:t xml:space="preserve"> caractere alfanumerice, care identifică în mod unic o emisiune de titluri de valoare;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„codul LEI”: identificatorul global al entită</w:t>
      </w:r>
      <w:r w:rsidR="000C213F">
        <w:rPr>
          <w:rFonts w:ascii="Times New Roman" w:hAnsi="Times New Roman"/>
          <w:sz w:val="24"/>
        </w:rPr>
        <w:t>ț</w:t>
      </w:r>
      <w:r>
        <w:rPr>
          <w:rFonts w:ascii="Times New Roman" w:hAnsi="Times New Roman"/>
          <w:sz w:val="24"/>
        </w:rPr>
        <w:t>ii juridice alocat entită</w:t>
      </w:r>
      <w:r w:rsidR="000C213F">
        <w:rPr>
          <w:rFonts w:ascii="Times New Roman" w:hAnsi="Times New Roman"/>
          <w:sz w:val="24"/>
        </w:rPr>
        <w:t>ț</w:t>
      </w:r>
      <w:r>
        <w:rPr>
          <w:rFonts w:ascii="Times New Roman" w:hAnsi="Times New Roman"/>
          <w:sz w:val="24"/>
        </w:rPr>
        <w:t>ilor, care identifică în mod unic o parte la o tranzac</w:t>
      </w:r>
      <w:r w:rsidR="000C213F">
        <w:rPr>
          <w:rFonts w:ascii="Times New Roman" w:hAnsi="Times New Roman"/>
          <w:sz w:val="24"/>
        </w:rPr>
        <w:t>ț</w:t>
      </w:r>
      <w:r>
        <w:rPr>
          <w:rFonts w:ascii="Times New Roman" w:hAnsi="Times New Roman"/>
          <w:sz w:val="24"/>
        </w:rPr>
        <w:t>ie financiară;</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lastRenderedPageBreak/>
        <w:t xml:space="preserve">„etape de depreciere”: categorii de depreciere, astfel cum este definită în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5</w:t>
      </w:r>
      <w:r>
        <w:rPr>
          <w:rFonts w:ascii="Times New Roman" w:hAnsi="Times New Roman"/>
          <w:sz w:val="24"/>
        </w:rPr>
        <w:t xml:space="preserve">. „Etapa </w:t>
      </w:r>
      <w:r w:rsidRPr="004237EC">
        <w:rPr>
          <w:rFonts w:ascii="Times New Roman" w:hAnsi="Times New Roman"/>
          <w:sz w:val="24"/>
        </w:rPr>
        <w:t>1</w:t>
      </w:r>
      <w:r>
        <w:rPr>
          <w:rFonts w:ascii="Times New Roman" w:hAnsi="Times New Roman"/>
          <w:sz w:val="24"/>
        </w:rPr>
        <w:t xml:space="preserve">” se referă la deprecierea evaluată în conformitate cu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5</w:t>
      </w:r>
      <w:r>
        <w:rPr>
          <w:rFonts w:ascii="Times New Roman" w:hAnsi="Times New Roman"/>
          <w:sz w:val="24"/>
        </w:rPr>
        <w:t xml:space="preserve">. „Etapa </w:t>
      </w:r>
      <w:r w:rsidRPr="004237EC">
        <w:rPr>
          <w:rFonts w:ascii="Times New Roman" w:hAnsi="Times New Roman"/>
          <w:sz w:val="24"/>
        </w:rPr>
        <w:t>2</w:t>
      </w:r>
      <w:r>
        <w:rPr>
          <w:rFonts w:ascii="Times New Roman" w:hAnsi="Times New Roman"/>
          <w:sz w:val="24"/>
        </w:rPr>
        <w:t xml:space="preserve">” se referă la deprecierea evaluată în conformitate cu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3</w:t>
      </w:r>
      <w:r>
        <w:rPr>
          <w:rFonts w:ascii="Times New Roman" w:hAnsi="Times New Roman"/>
          <w:sz w:val="24"/>
        </w:rPr>
        <w:t xml:space="preserve">. „Etapa </w:t>
      </w:r>
      <w:r w:rsidRPr="004237EC">
        <w:rPr>
          <w:rFonts w:ascii="Times New Roman" w:hAnsi="Times New Roman"/>
          <w:sz w:val="24"/>
        </w:rPr>
        <w:t>3</w:t>
      </w:r>
      <w:r>
        <w:rPr>
          <w:rFonts w:ascii="Times New Roman" w:hAnsi="Times New Roman"/>
          <w:sz w:val="24"/>
        </w:rPr>
        <w:t xml:space="preserve">” se referă la deprecierea activelor depreciate ca urmare a riscului de credit, astfel cum sunt definite în anexa A din IFRS </w:t>
      </w:r>
      <w:r w:rsidRPr="004237EC">
        <w:rPr>
          <w:rFonts w:ascii="Times New Roman" w:hAnsi="Times New Roman"/>
          <w:sz w:val="24"/>
        </w:rPr>
        <w:t>9</w:t>
      </w:r>
      <w:r>
        <w:rPr>
          <w:rFonts w:ascii="Times New Roman" w:hAnsi="Times New Roman"/>
          <w:sz w:val="24"/>
        </w:rPr>
        <w:t>.</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485897527"/>
      <w:r>
        <w:t>Conven</w:t>
      </w:r>
      <w:r w:rsidR="000C213F">
        <w:t>ț</w:t>
      </w:r>
      <w:r>
        <w:t>ii</w:t>
      </w:r>
      <w:bookmarkEnd w:id="12"/>
      <w:bookmarkEnd w:id="13"/>
      <w:bookmarkEnd w:id="14"/>
    </w:p>
    <w:bookmarkEnd w:id="11"/>
    <w:p w:rsidR="009569C7" w:rsidRPr="00EC4FA2" w:rsidRDefault="00A834F1" w:rsidP="009569C7">
      <w:pPr>
        <w:pStyle w:val="Baseparagraphnumbered"/>
      </w:pPr>
      <w:r>
        <w:t xml:space="preserve">În sensul anexelor III </w:t>
      </w:r>
      <w:r w:rsidR="000C213F">
        <w:t>ș</w:t>
      </w:r>
      <w:r>
        <w:t>i IV, un punct de date eviden</w:t>
      </w:r>
      <w:r w:rsidR="000C213F">
        <w:t>ț</w:t>
      </w:r>
      <w:r>
        <w:t>iat cu gri înseamnă că respectivul punct de date nu este solicitat sau că nu este posibilă raportarea acestuia. În anexa IV, un rând sau o coloană cu referin</w:t>
      </w:r>
      <w:r w:rsidR="000C213F">
        <w:t>ț</w:t>
      </w:r>
      <w:r>
        <w:t>e eviden</w:t>
      </w:r>
      <w:r w:rsidR="000C213F">
        <w:t>ț</w:t>
      </w:r>
      <w:r>
        <w:t>iate cu negru înseamnă că punctele de date asociate nu sunt prezentate de către institu</w:t>
      </w:r>
      <w:r w:rsidR="000C213F">
        <w:t>ț</w:t>
      </w:r>
      <w:r>
        <w:t>iile care utilizează referin</w:t>
      </w:r>
      <w:r w:rsidR="000C213F">
        <w:t>ț</w:t>
      </w:r>
      <w:r>
        <w:t>ele din rândul sau coloana respectivă.</w:t>
      </w:r>
    </w:p>
    <w:p w:rsidR="009569C7" w:rsidRPr="00EC4FA2" w:rsidRDefault="00A834F1" w:rsidP="009569C7">
      <w:pPr>
        <w:pStyle w:val="Baseparagraphnumbered"/>
      </w:pPr>
      <w:r>
        <w:t xml:space="preserve">Formularele din anexele III </w:t>
      </w:r>
      <w:r w:rsidR="000C213F">
        <w:t>ș</w:t>
      </w:r>
      <w:r>
        <w:t>i IV includ reguli de validare implicite, care sunt stabilite în cadrul formularelor respective prin utilizarea de conven</w:t>
      </w:r>
      <w:r w:rsidR="000C213F">
        <w:t>ț</w:t>
      </w:r>
      <w:r>
        <w:t>ii.</w:t>
      </w:r>
    </w:p>
    <w:p w:rsidR="009569C7" w:rsidRPr="00EC4FA2" w:rsidRDefault="00A834F1" w:rsidP="009569C7">
      <w:pPr>
        <w:pStyle w:val="Baseparagraphnumbered"/>
      </w:pPr>
      <w:r>
        <w:t>Utilizarea de paranteze în indicarea unui element în cadrul unui formular înseamnă că elementul respectiv trebuie scăzut pentru a ob</w:t>
      </w:r>
      <w:r w:rsidR="000C213F">
        <w:t>ț</w:t>
      </w:r>
      <w:r>
        <w:t>ine un rezultat total, dar nu înseamnă că acesta trebuie raportat ca fiind negativ.</w:t>
      </w:r>
    </w:p>
    <w:p w:rsidR="009569C7" w:rsidRPr="00EC4FA2" w:rsidRDefault="00A834F1" w:rsidP="009569C7">
      <w:pPr>
        <w:pStyle w:val="Baseparagraphnumbered"/>
      </w:pPr>
      <w:r>
        <w:t>Elementele care sunt raportate ca fiind negative sunt identificate în formularele de compilare prin includerea semnului „(–)” în fa</w:t>
      </w:r>
      <w:r w:rsidR="000C213F">
        <w:t>ț</w:t>
      </w:r>
      <w:r>
        <w:t>a denumirii acestora, precum în „(–) ac</w:t>
      </w:r>
      <w:r w:rsidR="000C213F">
        <w:t>ț</w:t>
      </w:r>
      <w:r>
        <w:t>iuni de trezorerie”.</w:t>
      </w:r>
    </w:p>
    <w:p w:rsidR="009569C7" w:rsidRPr="00EC4FA2" w:rsidRDefault="00A834F1" w:rsidP="009569C7">
      <w:pPr>
        <w:pStyle w:val="Baseparagraphnumbered"/>
      </w:pPr>
      <w:r>
        <w:t>În „Modelul privind punctele de date” („MPD”) pentru formularele de raportare a informa</w:t>
      </w:r>
      <w:r w:rsidR="000C213F">
        <w:t>ț</w:t>
      </w:r>
      <w:r>
        <w:t xml:space="preserve">iilor financiare din anexele III </w:t>
      </w:r>
      <w:r w:rsidR="000C213F">
        <w:t>ș</w:t>
      </w:r>
      <w:r>
        <w:t>i IV, fiecare punct (celulă) de date are un „element de bază” căruia i se alocă atributul „credit/debit”. Alocarea garantează că toate entită</w:t>
      </w:r>
      <w:r w:rsidR="000C213F">
        <w:t>ț</w:t>
      </w:r>
      <w:r>
        <w:t>ile care raportează puncte de date respectă „conven</w:t>
      </w:r>
      <w:r w:rsidR="000C213F">
        <w:t>ț</w:t>
      </w:r>
      <w:r>
        <w:t xml:space="preserve">ia privind semnele” </w:t>
      </w:r>
      <w:r w:rsidR="000C213F">
        <w:t>ș</w:t>
      </w:r>
      <w:r>
        <w:t>i permite cunoa</w:t>
      </w:r>
      <w:r w:rsidR="000C213F">
        <w:t>ș</w:t>
      </w:r>
      <w:r>
        <w:t xml:space="preserve">terea atributului „credit/debit” corespunzător fiecărui punct de date. </w:t>
      </w:r>
    </w:p>
    <w:p w:rsidR="009569C7" w:rsidRPr="00EC4FA2" w:rsidRDefault="00A834F1" w:rsidP="009569C7">
      <w:pPr>
        <w:pStyle w:val="Baseparagraphnumbered"/>
      </w:pPr>
      <w:r>
        <w:t>Schematic, această conven</w:t>
      </w:r>
      <w:r w:rsidR="000C213F">
        <w:t>ț</w:t>
      </w:r>
      <w:r>
        <w:t>ie func</w:t>
      </w:r>
      <w:r w:rsidR="000C213F">
        <w:t>ț</w:t>
      </w:r>
      <w:r>
        <w:t xml:space="preserve">ionează astfel cum se indică în tabelul </w:t>
      </w:r>
      <w:r w:rsidRPr="004237EC">
        <w:t>1</w:t>
      </w:r>
      <w:r>
        <w:t>.</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 xml:space="preserve">Tabelul </w:t>
      </w:r>
      <w:r w:rsidRPr="004237EC">
        <w:rPr>
          <w:rFonts w:ascii="Times New Roman" w:hAnsi="Times New Roman"/>
          <w:i/>
          <w:sz w:val="24"/>
        </w:rPr>
        <w:t>1</w:t>
      </w:r>
      <w:r>
        <w:rPr>
          <w:rFonts w:ascii="Times New Roman" w:hAnsi="Times New Roman"/>
          <w:i/>
          <w:sz w:val="24"/>
        </w:rPr>
        <w:t xml:space="preserve"> Conven</w:t>
      </w:r>
      <w:r w:rsidR="000C213F">
        <w:rPr>
          <w:rFonts w:ascii="Times New Roman" w:hAnsi="Times New Roman"/>
          <w:i/>
          <w:sz w:val="24"/>
        </w:rPr>
        <w:t>ț</w:t>
      </w:r>
      <w:r>
        <w:rPr>
          <w:rFonts w:ascii="Times New Roman" w:hAnsi="Times New Roman"/>
          <w:i/>
          <w:sz w:val="24"/>
        </w:rPr>
        <w:t xml:space="preserve">ia credit/debit, semne pozitive </w:t>
      </w:r>
      <w:r w:rsidR="000C213F">
        <w:rPr>
          <w:rFonts w:ascii="Times New Roman" w:hAnsi="Times New Roman"/>
          <w:i/>
          <w:sz w:val="24"/>
        </w:rPr>
        <w:t>ș</w:t>
      </w:r>
      <w:r>
        <w:rPr>
          <w:rFonts w:ascii="Times New Roman" w:hAnsi="Times New Roman"/>
          <w:i/>
          <w:sz w:val="24"/>
        </w:rPr>
        <w:t>i negative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586EAE">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Credit</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/Debit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Sold</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/Varia</w:t>
            </w:r>
            <w:r w:rsidR="000C213F">
              <w:rPr>
                <w:rFonts w:ascii="Times New Roman" w:hAnsi="Times New Roman"/>
                <w:b/>
              </w:rPr>
              <w:t>ț</w:t>
            </w:r>
            <w:r>
              <w:rPr>
                <w:rFonts w:ascii="Times New Roman" w:hAnsi="Times New Roman"/>
                <w:b/>
              </w:rPr>
              <w:t>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Cifra raportată</w:t>
            </w:r>
          </w:p>
        </w:tc>
      </w:tr>
      <w:tr w:rsidR="005F4BF4" w:rsidTr="00586EAE">
        <w:trPr>
          <w:trHeight w:val="557"/>
        </w:trPr>
        <w:tc>
          <w:tcPr>
            <w:tcW w:w="1134" w:type="dxa"/>
            <w:vMerge w:val="restart"/>
            <w:tcBorders>
              <w:top w:val="single" w:sz="12" w:space="0" w:color="auto"/>
              <w:left w:val="single" w:sz="12" w:space="0" w:color="auto"/>
              <w:bottom w:val="single" w:sz="4"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Active</w:t>
            </w:r>
          </w:p>
        </w:tc>
        <w:tc>
          <w:tcPr>
            <w:tcW w:w="992" w:type="dxa"/>
            <w:vMerge w:val="restart"/>
            <w:tcBorders>
              <w:top w:val="single" w:sz="12" w:space="0" w:color="auto"/>
              <w:left w:val="single" w:sz="6" w:space="0" w:color="auto"/>
              <w:bottom w:val="single" w:sz="4"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activelor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Pozitivă</w:t>
            </w:r>
            <w:r w:rsidR="004237EC">
              <w:rPr>
                <w:rFonts w:ascii="Times New Roman" w:hAnsi="Times New Roman"/>
              </w:rPr>
              <w:t xml:space="preserve">   </w:t>
            </w:r>
            <w:r>
              <w:rPr>
                <w:rFonts w:ascii="Times New Roman" w:hAnsi="Times New Roman"/>
              </w:rPr>
              <w:t xml:space="preserve">                                    („Normal”, fără semn)</w:t>
            </w:r>
          </w:p>
        </w:tc>
      </w:tr>
      <w:tr w:rsidR="005F4BF4" w:rsidTr="00586EAE">
        <w:trPr>
          <w:trHeight w:val="557"/>
        </w:trPr>
        <w:tc>
          <w:tcPr>
            <w:tcW w:w="1134" w:type="dxa"/>
            <w:vMerge/>
            <w:tcBorders>
              <w:top w:val="single" w:sz="4" w:space="0" w:color="auto"/>
              <w:left w:val="single" w:sz="12"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top w:val="single" w:sz="4" w:space="0" w:color="auto"/>
              <w:left w:val="single" w:sz="6"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0C213F">
              <w:rPr>
                <w:rFonts w:ascii="Times New Roman" w:hAnsi="Times New Roman"/>
              </w:rPr>
              <w:t>ș</w:t>
            </w:r>
            <w:r>
              <w:rPr>
                <w:rFonts w:ascii="Times New Roman" w:hAnsi="Times New Roman"/>
              </w:rPr>
              <w:t>tere a activelor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586EAE">
        <w:trPr>
          <w:trHeight w:val="557"/>
        </w:trPr>
        <w:tc>
          <w:tcPr>
            <w:tcW w:w="1134" w:type="dxa"/>
            <w:vMerge/>
            <w:tcBorders>
              <w:left w:val="single" w:sz="12"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al activelor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586EAE">
        <w:trPr>
          <w:trHeight w:val="557"/>
        </w:trPr>
        <w:tc>
          <w:tcPr>
            <w:tcW w:w="1134" w:type="dxa"/>
            <w:vMerge/>
            <w:tcBorders>
              <w:left w:val="single" w:sz="12" w:space="0" w:color="auto"/>
              <w:bottom w:val="single" w:sz="4"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activelor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586EAE">
        <w:trPr>
          <w:trHeight w:val="557"/>
        </w:trPr>
        <w:tc>
          <w:tcPr>
            <w:tcW w:w="1134" w:type="dxa"/>
            <w:vMerge w:val="restart"/>
            <w:tcBorders>
              <w:top w:val="single" w:sz="6" w:space="0" w:color="auto"/>
              <w:left w:val="single" w:sz="12" w:space="0" w:color="auto"/>
              <w:bottom w:val="single" w:sz="4"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Cheltuieli</w:t>
            </w:r>
          </w:p>
        </w:tc>
        <w:tc>
          <w:tcPr>
            <w:tcW w:w="992" w:type="dxa"/>
            <w:vMerge/>
            <w:tcBorders>
              <w:left w:val="single" w:sz="6"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cheltuielilor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586EAE">
        <w:trPr>
          <w:trHeight w:val="557"/>
        </w:trPr>
        <w:tc>
          <w:tcPr>
            <w:tcW w:w="1134" w:type="dxa"/>
            <w:vMerge/>
            <w:tcBorders>
              <w:left w:val="single" w:sz="12"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0C213F">
              <w:rPr>
                <w:rFonts w:ascii="Times New Roman" w:hAnsi="Times New Roman"/>
              </w:rPr>
              <w:t>ș</w:t>
            </w:r>
            <w:r>
              <w:rPr>
                <w:rFonts w:ascii="Times New Roman" w:hAnsi="Times New Roman"/>
              </w:rPr>
              <w:t>tere a cheltuielilor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586EAE">
        <w:trPr>
          <w:trHeight w:val="557"/>
        </w:trPr>
        <w:tc>
          <w:tcPr>
            <w:tcW w:w="1134" w:type="dxa"/>
            <w:vMerge/>
            <w:tcBorders>
              <w:left w:val="single" w:sz="12"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(inclusiv reluările) al cheltuielilor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586EAE">
        <w:trPr>
          <w:trHeight w:val="569"/>
        </w:trPr>
        <w:tc>
          <w:tcPr>
            <w:tcW w:w="1134" w:type="dxa"/>
            <w:vMerge/>
            <w:tcBorders>
              <w:left w:val="single" w:sz="12" w:space="0" w:color="auto"/>
              <w:bottom w:val="single" w:sz="4"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4"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cheltuielilor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586EAE">
        <w:trPr>
          <w:trHeight w:val="557"/>
        </w:trPr>
        <w:tc>
          <w:tcPr>
            <w:tcW w:w="1134" w:type="dxa"/>
            <w:vMerge w:val="restart"/>
            <w:tcBorders>
              <w:top w:val="single" w:sz="4"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Datorii</w:t>
            </w:r>
          </w:p>
        </w:tc>
        <w:tc>
          <w:tcPr>
            <w:tcW w:w="992" w:type="dxa"/>
            <w:vMerge w:val="restart"/>
            <w:tcBorders>
              <w:top w:val="single" w:sz="4"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datoriilor</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0C213F">
              <w:rPr>
                <w:rFonts w:ascii="Times New Roman" w:hAnsi="Times New Roman"/>
              </w:rPr>
              <w:t>ș</w:t>
            </w:r>
            <w:r>
              <w:rPr>
                <w:rFonts w:ascii="Times New Roman" w:hAnsi="Times New Roman"/>
              </w:rPr>
              <w:t>tere a datoriilor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Soldul negativ al datoriilor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datoriilor</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Capitaluri proprii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capitalurilor proprii</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0C213F">
              <w:rPr>
                <w:rFonts w:ascii="Times New Roman" w:hAnsi="Times New Roman"/>
              </w:rPr>
              <w:t>ș</w:t>
            </w:r>
            <w:r>
              <w:rPr>
                <w:rFonts w:ascii="Times New Roman" w:hAnsi="Times New Roman"/>
              </w:rPr>
              <w:t>tere a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Soldul negativ al capitalurilor proprii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capitalurilor proprii</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Venituri</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veniturilor</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Cre</w:t>
            </w:r>
            <w:r w:rsidR="000C213F">
              <w:rPr>
                <w:rFonts w:ascii="Times New Roman" w:hAnsi="Times New Roman"/>
              </w:rPr>
              <w:t>ș</w:t>
            </w:r>
            <w:r>
              <w:rPr>
                <w:rFonts w:ascii="Times New Roman" w:hAnsi="Times New Roman"/>
              </w:rPr>
              <w:t>tere a veniturilor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Pozitivă                                            („Normal”, fără semn)</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Soldul negativ (inclusiv reluările) al veniturilor</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Scădere a veniturilor</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Negativă                                        (este necesar semnul 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485897528"/>
      <w:r>
        <w:t>Consolidare</w:t>
      </w:r>
      <w:bookmarkEnd w:id="15"/>
      <w:bookmarkEnd w:id="16"/>
      <w:bookmarkEnd w:id="17"/>
    </w:p>
    <w:p w:rsidR="009569C7" w:rsidRPr="00EC4FA2" w:rsidRDefault="00A834F1" w:rsidP="009569C7">
      <w:pPr>
        <w:pStyle w:val="Baseparagraphnumbered"/>
      </w:pPr>
      <w:r>
        <w:t>Cu excep</w:t>
      </w:r>
      <w:r w:rsidR="000C213F">
        <w:t>ț</w:t>
      </w:r>
      <w:r>
        <w:t>ia cazului în care se prevede altfel în prezenta anexă, formularele FINREP se elaborează utilizând perimetrul de consolidare pruden</w:t>
      </w:r>
      <w:r w:rsidR="000C213F">
        <w:t>ț</w:t>
      </w:r>
      <w:r>
        <w:t xml:space="preserve">ial, în conformitate cu partea </w:t>
      </w:r>
      <w:r w:rsidRPr="004237EC">
        <w:t>1</w:t>
      </w:r>
      <w:r>
        <w:t xml:space="preserve"> titlul II capitolul </w:t>
      </w:r>
      <w:r w:rsidRPr="004237EC">
        <w:t>2</w:t>
      </w:r>
      <w:r>
        <w:t xml:space="preserve"> sec</w:t>
      </w:r>
      <w:r w:rsidR="000C213F">
        <w:t>ț</w:t>
      </w:r>
      <w:r>
        <w:t xml:space="preserve">iunea </w:t>
      </w:r>
      <w:r w:rsidRPr="004237EC">
        <w:t>2</w:t>
      </w:r>
      <w:r>
        <w:t xml:space="preserve"> din CRR. Institu</w:t>
      </w:r>
      <w:r w:rsidR="000C213F">
        <w:t>ț</w:t>
      </w:r>
      <w:r>
        <w:t>iile transmit raportări privind filialele, asocierile în participa</w:t>
      </w:r>
      <w:r w:rsidR="000C213F">
        <w:t>ț</w:t>
      </w:r>
      <w:r>
        <w:t xml:space="preserve">ie </w:t>
      </w:r>
      <w:r w:rsidR="000C213F">
        <w:t>ș</w:t>
      </w:r>
      <w:r>
        <w:t>i entită</w:t>
      </w:r>
      <w:r w:rsidR="000C213F">
        <w:t>ț</w:t>
      </w:r>
      <w:r>
        <w:t>ile asociate folosind acelea</w:t>
      </w:r>
      <w:r w:rsidR="000C213F">
        <w:t>ș</w:t>
      </w:r>
      <w:r>
        <w:t xml:space="preserve">i metode ca </w:t>
      </w:r>
      <w:r w:rsidR="000C213F">
        <w:t>ș</w:t>
      </w:r>
      <w:r>
        <w:t>i în cazul consolidării pruden</w:t>
      </w:r>
      <w:r w:rsidR="000C213F">
        <w:t>ț</w:t>
      </w:r>
      <w:r>
        <w:t xml:space="preserve">iale: </w:t>
      </w:r>
    </w:p>
    <w:p w:rsidR="009569C7" w:rsidRPr="00EC4FA2" w:rsidRDefault="00A834F1" w:rsidP="009569C7">
      <w:pPr>
        <w:pStyle w:val="Baseparagraphnumbered"/>
        <w:numPr>
          <w:ilvl w:val="1"/>
          <w:numId w:val="27"/>
        </w:numPr>
        <w:ind w:left="993"/>
      </w:pPr>
      <w:r>
        <w:t>institu</w:t>
      </w:r>
      <w:r w:rsidR="000C213F">
        <w:t>ț</w:t>
      </w:r>
      <w:r>
        <w:t>iile pot ob</w:t>
      </w:r>
      <w:r w:rsidR="000C213F">
        <w:t>ț</w:t>
      </w:r>
      <w:r>
        <w:t>ine permisiunea sau pot fi obligate să aplice metoda punerii în echivalen</w:t>
      </w:r>
      <w:r w:rsidR="000C213F">
        <w:t>ț</w:t>
      </w:r>
      <w:r>
        <w:t>ă în cazul investi</w:t>
      </w:r>
      <w:r w:rsidR="000C213F">
        <w:t>ț</w:t>
      </w:r>
      <w:r>
        <w:t xml:space="preserve">iilor în filiale din domeniul asigurărilor </w:t>
      </w:r>
      <w:r w:rsidR="000C213F">
        <w:t>ș</w:t>
      </w:r>
      <w:r>
        <w:t xml:space="preserve">i în filiale nefinanciare, în conformitate cu articolul </w:t>
      </w:r>
      <w:r w:rsidRPr="004237EC">
        <w:t>18</w:t>
      </w:r>
      <w:r>
        <w:t xml:space="preserve"> alineatul (</w:t>
      </w:r>
      <w:r w:rsidRPr="004237EC">
        <w:t>5</w:t>
      </w:r>
      <w:r>
        <w:t>) din CRR;</w:t>
      </w:r>
      <w:r w:rsidR="004237EC">
        <w:t xml:space="preserve"> </w:t>
      </w:r>
    </w:p>
    <w:p w:rsidR="009569C7" w:rsidRPr="00EC4FA2" w:rsidRDefault="00A834F1" w:rsidP="009569C7">
      <w:pPr>
        <w:pStyle w:val="Baseparagraphnumbered"/>
        <w:numPr>
          <w:ilvl w:val="1"/>
          <w:numId w:val="27"/>
        </w:numPr>
        <w:ind w:left="993"/>
      </w:pPr>
      <w:r>
        <w:t>institu</w:t>
      </w:r>
      <w:r w:rsidR="000C213F">
        <w:t>ț</w:t>
      </w:r>
      <w:r>
        <w:t>iile pot ob</w:t>
      </w:r>
      <w:r w:rsidR="000C213F">
        <w:t>ț</w:t>
      </w:r>
      <w:r>
        <w:t>ine permisiunea de a utiliza metoda consolidării propor</w:t>
      </w:r>
      <w:r w:rsidR="000C213F">
        <w:t>ț</w:t>
      </w:r>
      <w:r>
        <w:t xml:space="preserve">ionale în cazul filialelor financiare, în conformitate cu articolul </w:t>
      </w:r>
      <w:r w:rsidRPr="004237EC">
        <w:t>18</w:t>
      </w:r>
      <w:r>
        <w:t xml:space="preserve"> alineatul (</w:t>
      </w:r>
      <w:r w:rsidRPr="004237EC">
        <w:t>2</w:t>
      </w:r>
      <w:r>
        <w:t>) din CRR;</w:t>
      </w:r>
    </w:p>
    <w:p w:rsidR="009569C7" w:rsidRPr="00EC4FA2" w:rsidRDefault="00A834F1" w:rsidP="009569C7">
      <w:pPr>
        <w:pStyle w:val="Baseparagraphnumbered"/>
        <w:numPr>
          <w:ilvl w:val="1"/>
          <w:numId w:val="27"/>
        </w:numPr>
        <w:ind w:left="993"/>
      </w:pPr>
      <w:r>
        <w:lastRenderedPageBreak/>
        <w:t>institu</w:t>
      </w:r>
      <w:r w:rsidR="000C213F">
        <w:t>ț</w:t>
      </w:r>
      <w:r>
        <w:t>iile pot fi obligate să utilizeze metoda consolidării propor</w:t>
      </w:r>
      <w:r w:rsidR="000C213F">
        <w:t>ț</w:t>
      </w:r>
      <w:r>
        <w:t>ionale în cazul investi</w:t>
      </w:r>
      <w:r w:rsidR="000C213F">
        <w:t>ț</w:t>
      </w:r>
      <w:r>
        <w:t>iilor în asocieri în participa</w:t>
      </w:r>
      <w:r w:rsidR="000C213F">
        <w:t>ț</w:t>
      </w:r>
      <w:r>
        <w:t xml:space="preserve">ie, în conformitate cu articolul </w:t>
      </w:r>
      <w:r w:rsidRPr="004237EC">
        <w:t>18</w:t>
      </w:r>
      <w:r>
        <w:t xml:space="preserve"> alineatul (</w:t>
      </w:r>
      <w:r w:rsidRPr="004237EC">
        <w:t>4</w:t>
      </w:r>
      <w:r>
        <w:t>) din CRR.</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485897529"/>
      <w:r>
        <w:t>Portofoliile contabile</w:t>
      </w:r>
      <w:bookmarkEnd w:id="18"/>
      <w:bookmarkEnd w:id="19"/>
      <w:r>
        <w:t xml:space="preserve"> ale instrumentelor financiare</w:t>
      </w:r>
      <w:bookmarkEnd w:id="20"/>
      <w:bookmarkEnd w:id="21"/>
      <w:r>
        <w:t xml:space="preserve"> </w:t>
      </w:r>
    </w:p>
    <w:p w:rsidR="009569C7" w:rsidRPr="00EC4FA2" w:rsidRDefault="00A834F1" w:rsidP="009569C7">
      <w:pPr>
        <w:pStyle w:val="Baseparagraphnumbered"/>
      </w:pPr>
      <w:r>
        <w:t xml:space="preserve">În sensul anexelor III </w:t>
      </w:r>
      <w:r w:rsidR="000C213F">
        <w:t>ș</w:t>
      </w:r>
      <w:r>
        <w:t xml:space="preserve">i IV, precum </w:t>
      </w:r>
      <w:r w:rsidR="000C213F">
        <w:t>ș</w:t>
      </w:r>
      <w:r>
        <w:t>i în sensul prezentei anexe, „portofolii contabile” înseamnă instrumente financiare agregate în func</w:t>
      </w:r>
      <w:r w:rsidR="000C213F">
        <w:t>ț</w:t>
      </w:r>
      <w:r>
        <w:t>ie de regulile de evaluare. Agregările nu includ investi</w:t>
      </w:r>
      <w:r w:rsidR="000C213F">
        <w:t>ț</w:t>
      </w:r>
      <w:r>
        <w:t>iile în filiale, asocieri în participa</w:t>
      </w:r>
      <w:r w:rsidR="000C213F">
        <w:t>ț</w:t>
      </w:r>
      <w:r>
        <w:t xml:space="preserve">ie </w:t>
      </w:r>
      <w:r w:rsidR="000C213F">
        <w:t>ș</w:t>
      </w:r>
      <w:r>
        <w:t>i entită</w:t>
      </w:r>
      <w:r w:rsidR="000C213F">
        <w:t>ț</w:t>
      </w:r>
      <w:r>
        <w:t xml:space="preserve">i asociate, soldurile de încasat la vedere clasificate ca „numerar, solduri de numerar la bănci centrale </w:t>
      </w:r>
      <w:r w:rsidR="000C213F">
        <w:t>ș</w:t>
      </w:r>
      <w:r>
        <w:t xml:space="preserve">i alte depozite la vedere”, precum </w:t>
      </w:r>
      <w:r w:rsidR="000C213F">
        <w:t>ș</w:t>
      </w:r>
      <w:r>
        <w:t>i instrumentele financiare clasificate ca „de</w:t>
      </w:r>
      <w:r w:rsidR="000C213F">
        <w:t>ț</w:t>
      </w:r>
      <w:r>
        <w:t xml:space="preserve">inute în vederea vânzării”, prezentate la elementele „active imobilizate </w:t>
      </w:r>
      <w:r w:rsidR="000C213F">
        <w:t>ș</w:t>
      </w:r>
      <w:r>
        <w:t>i grupuri destinate cedării, clasificate drept de</w:t>
      </w:r>
      <w:r w:rsidR="000C213F">
        <w:t>ț</w:t>
      </w:r>
      <w:r>
        <w:t xml:space="preserve">inute în vederea vânzării” </w:t>
      </w:r>
      <w:r w:rsidR="000C213F">
        <w:t>ș</w:t>
      </w:r>
      <w:r>
        <w:t>i „datorii incluse în grupuri destinate cedării, clasificate drept de</w:t>
      </w:r>
      <w:r w:rsidR="000C213F">
        <w:t>ț</w:t>
      </w:r>
      <w:r>
        <w:t>inute în vederea vânzării”.</w:t>
      </w:r>
    </w:p>
    <w:p w:rsidR="009569C7" w:rsidRPr="00EC4FA2" w:rsidRDefault="00A834F1" w:rsidP="009569C7">
      <w:pPr>
        <w:pStyle w:val="Baseparagraphnumbered"/>
      </w:pPr>
      <w:r>
        <w:t>Conform GAAP na</w:t>
      </w:r>
      <w:r w:rsidR="000C213F">
        <w:t>ț</w:t>
      </w:r>
      <w:r>
        <w:t>ionale, institu</w:t>
      </w:r>
      <w:r w:rsidR="000C213F">
        <w:t>ț</w:t>
      </w:r>
      <w:r>
        <w:t>iile cărora li se permite sau care sunt obligate să aplice anumite reguli de evaluare pentru instrumentele financiare în conformitate cu IFRS prezintă, în măsura în care acestea sunt aplicate, portofoliile contabile relevante conform IFRS. În cazul în care regulile de evaluare pentru instrumentele financiare pe care institu</w:t>
      </w:r>
      <w:r w:rsidR="000C213F">
        <w:t>ț</w:t>
      </w:r>
      <w:r>
        <w:t>iile au permisiunea sau obliga</w:t>
      </w:r>
      <w:r w:rsidR="000C213F">
        <w:t>ț</w:t>
      </w:r>
      <w:r>
        <w:t>ia de a le utiliza în conformitate cu GAAP na</w:t>
      </w:r>
      <w:r w:rsidR="000C213F">
        <w:t>ț</w:t>
      </w:r>
      <w:r>
        <w:t xml:space="preserve">ionale bazate pe BAD se referă la regulile de evaluare din IAS </w:t>
      </w:r>
      <w:r w:rsidRPr="004237EC">
        <w:t>39</w:t>
      </w:r>
      <w:r>
        <w:t>, institu</w:t>
      </w:r>
      <w:r w:rsidR="000C213F">
        <w:t>ț</w:t>
      </w:r>
      <w:r>
        <w:t xml:space="preserve">iile prezintă portofoliile contabile bazate pe BAD pentru toate instrumentele financiare aferente până în momentul în care regulile de evaluare pe care le aplică se referă la regulile de evaluare din IFRS </w:t>
      </w:r>
      <w:r w:rsidRPr="004237EC">
        <w:t>9</w:t>
      </w:r>
      <w:r>
        <w:t>.</w:t>
      </w:r>
    </w:p>
    <w:p w:rsidR="009569C7" w:rsidRPr="00EC4FA2" w:rsidRDefault="00A834F1" w:rsidP="009569C7">
      <w:pPr>
        <w:pStyle w:val="sub-subtitlenumbered"/>
      </w:pPr>
      <w:bookmarkStart w:id="22" w:name="_Toc467855198"/>
      <w:bookmarkStart w:id="23" w:name="_Toc485897530"/>
      <w:r>
        <w:t>Active financiare</w:t>
      </w:r>
      <w:bookmarkEnd w:id="22"/>
      <w:bookmarkEnd w:id="23"/>
    </w:p>
    <w:p w:rsidR="009569C7" w:rsidRPr="00EC4FA2" w:rsidRDefault="00A834F1" w:rsidP="009569C7">
      <w:pPr>
        <w:pStyle w:val="Baseparagraphnumbered"/>
      </w:pPr>
      <w:r>
        <w:t>În cazul activelor financiare, se utilizează următoarele portofolii contabile bazate pe IFRS: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de</w:t>
      </w:r>
      <w:r w:rsidR="000C213F">
        <w:rPr>
          <w:rFonts w:ascii="Times New Roman" w:hAnsi="Times New Roman"/>
          <w:sz w:val="24"/>
        </w:rPr>
        <w:t>ț</w:t>
      </w:r>
      <w:r>
        <w:rPr>
          <w:rFonts w:ascii="Times New Roman" w:hAnsi="Times New Roman"/>
          <w:sz w:val="24"/>
        </w:rPr>
        <w:t>inute în vederea tranzac</w:t>
      </w:r>
      <w:r w:rsidR="000C213F">
        <w:rPr>
          <w:rFonts w:ascii="Times New Roman" w:hAnsi="Times New Roman"/>
          <w:sz w:val="24"/>
        </w:rPr>
        <w:t>ț</w:t>
      </w:r>
      <w:r>
        <w:rPr>
          <w:rFonts w:ascii="Times New Roman" w:hAnsi="Times New Roman"/>
          <w:sz w:val="24"/>
        </w:rPr>
        <w:t>ionării”;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nedestinate tranzac</w:t>
      </w:r>
      <w:r w:rsidR="000C213F">
        <w:rPr>
          <w:rFonts w:ascii="Times New Roman" w:hAnsi="Times New Roman"/>
          <w:sz w:val="24"/>
        </w:rPr>
        <w:t>ț</w:t>
      </w:r>
      <w:r>
        <w:rPr>
          <w:rFonts w:ascii="Times New Roman" w:hAnsi="Times New Roman"/>
          <w:sz w:val="24"/>
        </w:rPr>
        <w:t>ionării, evaluate obligatoriu la valoarea justă prin profit sau pierdere”;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„active financiare desemnate la valoarea justă prin profit sau pierdere”;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„active financiare evaluate la valoarea justă prin alte elemente ale rezultatului global”;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„active financiare la costul amortizat”. </w:t>
      </w:r>
    </w:p>
    <w:p w:rsidR="009569C7" w:rsidRPr="00EC4FA2" w:rsidRDefault="00A834F1" w:rsidP="009569C7">
      <w:pPr>
        <w:pStyle w:val="Baseparagraphnumbered"/>
      </w:pPr>
      <w:r>
        <w:t>În cazul activelor financiare, se utilizează următoarele portofolii contabile bazate pe GAAP na</w:t>
      </w:r>
      <w:r w:rsidR="000C213F">
        <w:t>ț</w:t>
      </w:r>
      <w:r>
        <w:t>ionale:</w:t>
      </w:r>
    </w:p>
    <w:p w:rsidR="009569C7" w:rsidRPr="00EC4FA2" w:rsidRDefault="00A834F1" w:rsidP="009569C7">
      <w:pPr>
        <w:pStyle w:val="Baseparagraphnumbered"/>
        <w:numPr>
          <w:ilvl w:val="0"/>
          <w:numId w:val="34"/>
        </w:numPr>
        <w:ind w:left="1134"/>
      </w:pPr>
      <w:r>
        <w:t>„active financiare destinate tranzac</w:t>
      </w:r>
      <w:r w:rsidR="000C213F">
        <w:t>ț</w:t>
      </w:r>
      <w:r>
        <w:t xml:space="preserve">ionării”; </w:t>
      </w:r>
    </w:p>
    <w:p w:rsidR="009569C7" w:rsidRPr="00EC4FA2" w:rsidRDefault="00A834F1" w:rsidP="009569C7">
      <w:pPr>
        <w:pStyle w:val="Baseparagraphnumbered"/>
        <w:numPr>
          <w:ilvl w:val="0"/>
          <w:numId w:val="34"/>
        </w:numPr>
        <w:ind w:left="1134"/>
      </w:pPr>
      <w:r>
        <w:t>„active financiare nederivate nedestinate tranzac</w:t>
      </w:r>
      <w:r w:rsidR="000C213F">
        <w:t>ț</w:t>
      </w:r>
      <w:r>
        <w:t xml:space="preserve">ionării, evaluate la valoarea justă prin profit sau pierdere”; </w:t>
      </w:r>
    </w:p>
    <w:p w:rsidR="009569C7" w:rsidRPr="00EC4FA2" w:rsidRDefault="00A834F1" w:rsidP="009569C7">
      <w:pPr>
        <w:pStyle w:val="Baseparagraphnumbered"/>
        <w:numPr>
          <w:ilvl w:val="0"/>
          <w:numId w:val="0"/>
        </w:numPr>
        <w:ind w:left="1134" w:hanging="360"/>
      </w:pPr>
      <w:r>
        <w:lastRenderedPageBreak/>
        <w:t>(c) „active financiare nederivate nedestinate tranzac</w:t>
      </w:r>
      <w:r w:rsidR="000C213F">
        <w:t>ț</w:t>
      </w:r>
      <w:r>
        <w:t>ionării, evaluate la valoarea justă prin capitaluri proprii”;</w:t>
      </w:r>
    </w:p>
    <w:p w:rsidR="009569C7" w:rsidRPr="00EC4FA2" w:rsidRDefault="00A834F1" w:rsidP="009569C7">
      <w:pPr>
        <w:pStyle w:val="Baseparagraphnumbered"/>
        <w:numPr>
          <w:ilvl w:val="0"/>
          <w:numId w:val="0"/>
        </w:numPr>
        <w:ind w:left="1134" w:hanging="360"/>
      </w:pPr>
      <w:r>
        <w:t>(d) „active financiare nederivate nedestinate tranzac</w:t>
      </w:r>
      <w:r w:rsidR="000C213F">
        <w:t>ț</w:t>
      </w:r>
      <w:r>
        <w:t xml:space="preserve">ionării, evaluate printr-o metodă bazată pe costuri” </w:t>
      </w:r>
      <w:r w:rsidR="000C213F">
        <w:t>ș</w:t>
      </w:r>
      <w:r>
        <w:t xml:space="preserve">i </w:t>
      </w:r>
    </w:p>
    <w:p w:rsidR="009569C7" w:rsidRPr="00EC4FA2" w:rsidRDefault="00A834F1" w:rsidP="009569C7">
      <w:pPr>
        <w:pStyle w:val="Baseparagraphnumbered"/>
        <w:numPr>
          <w:ilvl w:val="0"/>
          <w:numId w:val="0"/>
        </w:numPr>
        <w:ind w:left="1134" w:hanging="360"/>
      </w:pPr>
      <w:r>
        <w:t>(e) „alte active financiare nederivate nedestinate tranzac</w:t>
      </w:r>
      <w:r w:rsidR="000C213F">
        <w:t>ț</w:t>
      </w:r>
      <w:r>
        <w:t>ionării”.</w:t>
      </w:r>
    </w:p>
    <w:p w:rsidR="009569C7" w:rsidRPr="00EC4FA2" w:rsidRDefault="00A834F1" w:rsidP="009569C7">
      <w:pPr>
        <w:pStyle w:val="Baseparagraphnumbered"/>
      </w:pPr>
      <w:r>
        <w:t>„Activele financiare destinate tranzac</w:t>
      </w:r>
      <w:r w:rsidR="000C213F">
        <w:t>ț</w:t>
      </w:r>
      <w:r>
        <w:t>ionării” includ toate activele financiare clasificate ca fiind destinate tranzac</w:t>
      </w:r>
      <w:r w:rsidR="000C213F">
        <w:t>ț</w:t>
      </w:r>
      <w:r>
        <w:t>ionării în temeiul GAAP na</w:t>
      </w:r>
      <w:r w:rsidR="000C213F">
        <w:t>ț</w:t>
      </w:r>
      <w:r>
        <w:t>ionale relevante bazate pe BAD. Indiferent de metodologia de evaluare aplicată conform GAAP na</w:t>
      </w:r>
      <w:r w:rsidR="000C213F">
        <w:t>ț</w:t>
      </w:r>
      <w:r>
        <w:t>ionale relevante bazate pe BAD, toate instrumentele derivate cu un sold pozitiv pentru institu</w:t>
      </w:r>
      <w:r w:rsidR="000C213F">
        <w:t>ț</w:t>
      </w:r>
      <w:r>
        <w:t>ia raportoare care nu sunt clasificate în categoria contabilită</w:t>
      </w:r>
      <w:r w:rsidR="000C213F">
        <w:t>ț</w:t>
      </w:r>
      <w:r>
        <w:t xml:space="preserve">ii de acoperire în conformitate cu punctul </w:t>
      </w:r>
      <w:r w:rsidRPr="004237EC">
        <w:t>22</w:t>
      </w:r>
      <w:r>
        <w:t xml:space="preserve"> din prezenta parte se raportează ca active financiare destinate tranzac</w:t>
      </w:r>
      <w:r w:rsidR="000C213F">
        <w:t>ț</w:t>
      </w:r>
      <w:r>
        <w:t xml:space="preserve">ionării. Această clasificare se aplică </w:t>
      </w:r>
      <w:r w:rsidR="000C213F">
        <w:t>ș</w:t>
      </w:r>
      <w:r>
        <w:t>i pentru instrumentele derivate care, în conformitate cu GAAP na</w:t>
      </w:r>
      <w:r w:rsidR="000C213F">
        <w:t>ț</w:t>
      </w:r>
      <w:r>
        <w:t>ionale bazate pe BAD, nu sunt recunoscute în bilan</w:t>
      </w:r>
      <w:r w:rsidR="000C213F">
        <w:t>ț</w:t>
      </w:r>
      <w:r>
        <w:t xml:space="preserve"> sau au doar modificările valorii juste recunoscute în bilan</w:t>
      </w:r>
      <w:r w:rsidR="000C213F">
        <w:t>ț</w:t>
      </w:r>
      <w:r>
        <w:t xml:space="preserve"> ori care sunt utilizate ca instrumente de acoperire economică împotriva riscurilor, astfel cum sunt definite la punctul </w:t>
      </w:r>
      <w:r w:rsidRPr="004237EC">
        <w:t>137</w:t>
      </w:r>
      <w:r>
        <w:t xml:space="preserve"> din partea </w:t>
      </w:r>
      <w:r w:rsidRPr="004237EC">
        <w:t>2</w:t>
      </w:r>
      <w:r>
        <w:t xml:space="preserve"> a prezentei anexe.</w:t>
      </w:r>
    </w:p>
    <w:p w:rsidR="009569C7" w:rsidRPr="00EC4FA2" w:rsidRDefault="00A834F1" w:rsidP="009569C7">
      <w:pPr>
        <w:pStyle w:val="Baseparagraphnumbered"/>
      </w:pPr>
      <w:r>
        <w:t>Conform GAAP na</w:t>
      </w:r>
      <w:r w:rsidR="000C213F">
        <w:t>ț</w:t>
      </w:r>
      <w:r>
        <w:t xml:space="preserve">ionale bazate pe BAD, în cazul activelor financiare, „metodele bazate pe costuri” includ regulile de evaluare conform cărora instrumentul de datorie este evaluat la costul majorat cu dobânda cumulată, minus pierderile din depreciere. </w:t>
      </w:r>
    </w:p>
    <w:p w:rsidR="009569C7" w:rsidRPr="00EC4FA2" w:rsidRDefault="00A834F1" w:rsidP="009569C7">
      <w:pPr>
        <w:pStyle w:val="Baseparagraphnumbered"/>
      </w:pPr>
      <w:r>
        <w:t>Conform GAAP na</w:t>
      </w:r>
      <w:r w:rsidR="000C213F">
        <w:t>ț</w:t>
      </w:r>
      <w:r>
        <w:t>ionale bazate pe BAD, „activele financiare nederivate nedestinate tranzac</w:t>
      </w:r>
      <w:r w:rsidR="000C213F">
        <w:t>ț</w:t>
      </w:r>
      <w:r>
        <w:t xml:space="preserve">ionării, evaluate printr-o metodă bazată pe costuri” includ instrumentele financiare evaluate prin metodele bazate pe costuri, precum </w:t>
      </w:r>
      <w:r w:rsidR="000C213F">
        <w:t>ș</w:t>
      </w:r>
      <w:r>
        <w:t>i instrumentele evaluate la valoarea mai mică dintre valoarea de achizi</w:t>
      </w:r>
      <w:r w:rsidR="000C213F">
        <w:t>ț</w:t>
      </w:r>
      <w:r>
        <w:t xml:space="preserve">ie </w:t>
      </w:r>
      <w:r w:rsidR="000C213F">
        <w:t>ș</w:t>
      </w:r>
      <w:r>
        <w:t>i valoarea de pia</w:t>
      </w:r>
      <w:r w:rsidR="000C213F">
        <w:t>ț</w:t>
      </w:r>
      <w:r>
        <w:t>ă („LOCOM”) în mod discontinuu (LOCOM moderată), indiferent de evaluarea lor efectivă la data de referin</w:t>
      </w:r>
      <w:r w:rsidR="000C213F">
        <w:t>ț</w:t>
      </w:r>
      <w:r>
        <w:t>ă a raportării. Activele evaluate la LOCOM moderată sunt activele pentru care LOCOM se aplică numai în anumite condi</w:t>
      </w:r>
      <w:r w:rsidR="000C213F">
        <w:t>ț</w:t>
      </w:r>
      <w:r>
        <w:t>ii. Cadrul contabil aplicabil prevede aceste condi</w:t>
      </w:r>
      <w:r w:rsidR="000C213F">
        <w:t>ț</w:t>
      </w:r>
      <w:r>
        <w:t>ii, cum ar fi deprecierea, o diminuare prelungită a valorii juste în compara</w:t>
      </w:r>
      <w:r w:rsidR="000C213F">
        <w:t>ț</w:t>
      </w:r>
      <w:r>
        <w:t>ie cu valoarea de achizi</w:t>
      </w:r>
      <w:r w:rsidR="000C213F">
        <w:t>ț</w:t>
      </w:r>
      <w:r>
        <w:t>ie sau schimbarea inten</w:t>
      </w:r>
      <w:r w:rsidR="000C213F">
        <w:t>ț</w:t>
      </w:r>
      <w:r>
        <w:t xml:space="preserve">iilor conducerii. </w:t>
      </w:r>
    </w:p>
    <w:p w:rsidR="009569C7" w:rsidRPr="00EC4FA2" w:rsidRDefault="00A834F1" w:rsidP="009569C7">
      <w:pPr>
        <w:pStyle w:val="Baseparagraphnumbered"/>
      </w:pPr>
      <w:r>
        <w:t>Conform GAAP na</w:t>
      </w:r>
      <w:r w:rsidR="000C213F">
        <w:t>ț</w:t>
      </w:r>
      <w:r>
        <w:t>ionale bazate pe BAD, „alte active financiare nederivate nedestinate tranzac</w:t>
      </w:r>
      <w:r w:rsidR="000C213F">
        <w:t>ț</w:t>
      </w:r>
      <w:r>
        <w:t>ionării” includ activele financiare care nu se califică pentru a fi incluse în alte portofolii contabile. Acest portofoliu contabil include, printre altele, activele financiare care sunt evaluate la LOCOM în mod continuu („LOCOM strictă”). Activele evaluate la LOCOM strictă sunt activele pentru care cadrul contabil aplicabil prevede fie evaluarea ini</w:t>
      </w:r>
      <w:r w:rsidR="000C213F">
        <w:t>ț</w:t>
      </w:r>
      <w:r>
        <w:t xml:space="preserve">ială </w:t>
      </w:r>
      <w:r w:rsidR="000C213F">
        <w:t>ș</w:t>
      </w:r>
      <w:r>
        <w:t>i ulterioară la LOCOM, fie evaluarea ini</w:t>
      </w:r>
      <w:r w:rsidR="000C213F">
        <w:t>ț</w:t>
      </w:r>
      <w:r>
        <w:t xml:space="preserve">ială la cost </w:t>
      </w:r>
      <w:r w:rsidR="000C213F">
        <w:t>ș</w:t>
      </w:r>
      <w:r>
        <w:t>i evaluarea ulterioară la LOCOM.</w:t>
      </w:r>
    </w:p>
    <w:p w:rsidR="009569C7" w:rsidRPr="00EC4FA2" w:rsidRDefault="00A834F1" w:rsidP="009569C7">
      <w:pPr>
        <w:pStyle w:val="Baseparagraphnumbered"/>
      </w:pPr>
      <w:r>
        <w:t>Indiferent de metoda de evaluare, investi</w:t>
      </w:r>
      <w:r w:rsidR="000C213F">
        <w:t>ț</w:t>
      </w:r>
      <w:r>
        <w:t>iile în filiale, asocieri în participa</w:t>
      </w:r>
      <w:r w:rsidR="000C213F">
        <w:t>ț</w:t>
      </w:r>
      <w:r>
        <w:t xml:space="preserve">ie </w:t>
      </w:r>
      <w:r w:rsidR="000C213F">
        <w:t>ș</w:t>
      </w:r>
      <w:r>
        <w:t>i entită</w:t>
      </w:r>
      <w:r w:rsidR="000C213F">
        <w:t>ț</w:t>
      </w:r>
      <w:r>
        <w:t>i asociate care nu sunt consolidate integral sau propor</w:t>
      </w:r>
      <w:r w:rsidR="000C213F">
        <w:t>ț</w:t>
      </w:r>
      <w:r>
        <w:t>ional în perimetrul de consolidare reglementat se raportează la „investi</w:t>
      </w:r>
      <w:r w:rsidR="000C213F">
        <w:t>ț</w:t>
      </w:r>
      <w:r>
        <w:t>ii în filiale, asocieri în participa</w:t>
      </w:r>
      <w:r w:rsidR="000C213F">
        <w:t>ț</w:t>
      </w:r>
      <w:r>
        <w:t xml:space="preserve">ie </w:t>
      </w:r>
      <w:r w:rsidR="000C213F">
        <w:t>ș</w:t>
      </w:r>
      <w:r>
        <w:t>i entită</w:t>
      </w:r>
      <w:r w:rsidR="000C213F">
        <w:t>ț</w:t>
      </w:r>
      <w:r>
        <w:t>i asociate”, cu excep</w:t>
      </w:r>
      <w:r w:rsidR="000C213F">
        <w:t>ț</w:t>
      </w:r>
      <w:r>
        <w:t xml:space="preserve">ia cazului în care acestea </w:t>
      </w:r>
      <w:r>
        <w:lastRenderedPageBreak/>
        <w:t>sunt clasificate ca fiind de</w:t>
      </w:r>
      <w:r w:rsidR="000C213F">
        <w:t>ț</w:t>
      </w:r>
      <w:r>
        <w:t xml:space="preserve">inute în vederea vânzării în conformitate cu IFRS </w:t>
      </w:r>
      <w:r w:rsidRPr="004237EC">
        <w:t>5</w:t>
      </w:r>
      <w:r>
        <w:t>.</w:t>
      </w:r>
    </w:p>
    <w:p w:rsidR="009569C7" w:rsidRPr="00EC4FA2" w:rsidRDefault="00A834F1" w:rsidP="009569C7">
      <w:pPr>
        <w:pStyle w:val="Baseparagraphnumbered"/>
      </w:pPr>
      <w:r>
        <w:t xml:space="preserve"> „Instrumentele derivate – contabilitatea de acoperire împotriva riscurilor” includ instrumentele derivate cu un sold pozitiv pentru institu</w:t>
      </w:r>
      <w:r w:rsidR="000C213F">
        <w:t>ț</w:t>
      </w:r>
      <w:r>
        <w:t>ia raportoare, de</w:t>
      </w:r>
      <w:r w:rsidR="000C213F">
        <w:t>ț</w:t>
      </w:r>
      <w:r>
        <w:t>inute în vederea contabilită</w:t>
      </w:r>
      <w:r w:rsidR="000C213F">
        <w:t>ț</w:t>
      </w:r>
      <w:r>
        <w:t>ii de acoperire conform IFRS. Conform GAAP na</w:t>
      </w:r>
      <w:r w:rsidR="000C213F">
        <w:t>ț</w:t>
      </w:r>
      <w:r>
        <w:t>ionale bazate pe BAD, instrumentele derivate din portofoliul bancar sunt clasificate ca instrumente derivate de</w:t>
      </w:r>
      <w:r w:rsidR="000C213F">
        <w:t>ț</w:t>
      </w:r>
      <w:r>
        <w:t>inute în vederea contabilită</w:t>
      </w:r>
      <w:r w:rsidR="000C213F">
        <w:t>ț</w:t>
      </w:r>
      <w:r>
        <w:t>ii de acoperire numai dacă există norme contabile speciale pentru instrumentele derivate din portofoliul bancar conform GAAP na</w:t>
      </w:r>
      <w:r w:rsidR="000C213F">
        <w:t>ț</w:t>
      </w:r>
      <w:r>
        <w:t xml:space="preserve">ionale relevante bazate pe BAD </w:t>
      </w:r>
      <w:r w:rsidR="000C213F">
        <w:t>ș</w:t>
      </w:r>
      <w:r>
        <w:t>i dacă instrumentele derivate reduc riscurile legate de o altă pozi</w:t>
      </w:r>
      <w:r w:rsidR="000C213F">
        <w:t>ț</w:t>
      </w:r>
      <w:r>
        <w:t xml:space="preserve">ie din portofoliul bancar. </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485897531"/>
      <w:r>
        <w:t>Datorii financiare</w:t>
      </w:r>
      <w:bookmarkEnd w:id="24"/>
      <w:bookmarkEnd w:id="25"/>
      <w:bookmarkEnd w:id="26"/>
      <w:bookmarkEnd w:id="27"/>
    </w:p>
    <w:p w:rsidR="009569C7" w:rsidRPr="00EC4FA2" w:rsidRDefault="00A834F1" w:rsidP="009569C7">
      <w:pPr>
        <w:pStyle w:val="Baseparagraphnumbered"/>
      </w:pPr>
      <w:r>
        <w:t xml:space="preserve">În cazul datoriilor financiare, se utilizează următoarele portofolii contabile bazate pe IFRS: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„datorii financiare de</w:t>
      </w:r>
      <w:r w:rsidR="000C213F">
        <w:rPr>
          <w:rFonts w:ascii="Times New Roman" w:hAnsi="Times New Roman"/>
          <w:sz w:val="24"/>
        </w:rPr>
        <w:t>ț</w:t>
      </w:r>
      <w:r>
        <w:rPr>
          <w:rFonts w:ascii="Times New Roman" w:hAnsi="Times New Roman"/>
          <w:sz w:val="24"/>
        </w:rPr>
        <w:t>inute în vederea tranzac</w:t>
      </w:r>
      <w:r w:rsidR="000C213F">
        <w:rPr>
          <w:rFonts w:ascii="Times New Roman" w:hAnsi="Times New Roman"/>
          <w:sz w:val="24"/>
        </w:rPr>
        <w:t>ț</w:t>
      </w:r>
      <w:r>
        <w:rPr>
          <w:rFonts w:ascii="Times New Roman" w:hAnsi="Times New Roman"/>
          <w:sz w:val="24"/>
        </w:rPr>
        <w:t xml:space="preserve">ionării”;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„datorii financiare desemnate la valoarea justă prin profit sau pierdere”;</w:t>
      </w:r>
      <w:r w:rsidR="004237EC">
        <w:rPr>
          <w:rFonts w:ascii="Times New Roman" w:hAnsi="Times New Roman"/>
          <w:sz w:val="24"/>
        </w:rPr>
        <w:t xml:space="preserv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„datorii financiare evaluate la costul amortizat”.</w:t>
      </w:r>
    </w:p>
    <w:p w:rsidR="009569C7" w:rsidRPr="00EC4FA2" w:rsidRDefault="00A834F1" w:rsidP="009569C7">
      <w:pPr>
        <w:pStyle w:val="Baseparagraphnumbered"/>
      </w:pPr>
      <w:r>
        <w:t>În cazul datoriilor financiare, se utilizează următoarele portofolii contabile bazate pe GAAP na</w:t>
      </w:r>
      <w:r w:rsidR="000C213F">
        <w:t>ț</w:t>
      </w:r>
      <w:r>
        <w:t xml:space="preserve">ionale: </w:t>
      </w:r>
    </w:p>
    <w:p w:rsidR="009569C7" w:rsidRPr="00EC4FA2" w:rsidRDefault="00A834F1" w:rsidP="009569C7">
      <w:pPr>
        <w:pStyle w:val="Baseparagraphnumbered"/>
        <w:numPr>
          <w:ilvl w:val="0"/>
          <w:numId w:val="0"/>
        </w:numPr>
        <w:ind w:left="1134" w:hanging="283"/>
      </w:pPr>
      <w:r>
        <w:t>(a) „datorii financiare destinate tranzac</w:t>
      </w:r>
      <w:r w:rsidR="000C213F">
        <w:t>ț</w:t>
      </w:r>
      <w:r>
        <w:t xml:space="preserve">ionării”; </w:t>
      </w:r>
    </w:p>
    <w:p w:rsidR="009569C7" w:rsidRPr="00EC4FA2" w:rsidRDefault="00A834F1" w:rsidP="009569C7">
      <w:pPr>
        <w:pStyle w:val="Baseparagraphnumbered"/>
        <w:numPr>
          <w:ilvl w:val="0"/>
          <w:numId w:val="0"/>
        </w:numPr>
        <w:ind w:left="1134" w:hanging="283"/>
      </w:pPr>
      <w:r>
        <w:t>(b) „datorii financiare nederivate nedestinate tranzac</w:t>
      </w:r>
      <w:r w:rsidR="000C213F">
        <w:t>ț</w:t>
      </w:r>
      <w:r>
        <w:t>ionării, evaluate printr-o metodă bazată pe costuri”.</w:t>
      </w:r>
    </w:p>
    <w:p w:rsidR="009569C7" w:rsidRPr="00EC4FA2" w:rsidRDefault="00A834F1" w:rsidP="009569C7">
      <w:pPr>
        <w:pStyle w:val="Baseparagraphnumbered"/>
      </w:pPr>
      <w:r>
        <w:t>„Datoriile financiare destinate tranzac</w:t>
      </w:r>
      <w:r w:rsidR="000C213F">
        <w:t>ț</w:t>
      </w:r>
      <w:r>
        <w:t>ionării” includ toate datoriile financiare clasificate ca fiind destinate tranzac</w:t>
      </w:r>
      <w:r w:rsidR="000C213F">
        <w:t>ț</w:t>
      </w:r>
      <w:r>
        <w:t>ionării în temeiul GAAP na</w:t>
      </w:r>
      <w:r w:rsidR="000C213F">
        <w:t>ț</w:t>
      </w:r>
      <w:r>
        <w:t>ionale relevante bazate pe BAD. Indiferent de metodologia de evaluare aplicată conform GAAP na</w:t>
      </w:r>
      <w:r w:rsidR="000C213F">
        <w:t>ț</w:t>
      </w:r>
      <w:r>
        <w:t>ionale relevante bazate pe BAD, toate instrumentele derivate cu un sold negativ pentru institu</w:t>
      </w:r>
      <w:r w:rsidR="000C213F">
        <w:t>ț</w:t>
      </w:r>
      <w:r>
        <w:t>ia raportoare care nu sunt clasificate în categoria contabilită</w:t>
      </w:r>
      <w:r w:rsidR="000C213F">
        <w:t>ț</w:t>
      </w:r>
      <w:r>
        <w:t xml:space="preserve">ii de acoperire în conformitate cu punctul </w:t>
      </w:r>
      <w:r w:rsidRPr="004237EC">
        <w:t>26</w:t>
      </w:r>
      <w:r>
        <w:t xml:space="preserve"> din prezenta parte se raportează ca datorii financiare destinate tranzac</w:t>
      </w:r>
      <w:r w:rsidR="000C213F">
        <w:t>ț</w:t>
      </w:r>
      <w:r>
        <w:t xml:space="preserve">ionării. Această clasificare se aplică </w:t>
      </w:r>
      <w:r w:rsidR="000C213F">
        <w:t>ș</w:t>
      </w:r>
      <w:r>
        <w:t>i pentru instrumentele derivate care, în conformitate cu GAAP na</w:t>
      </w:r>
      <w:r w:rsidR="000C213F">
        <w:t>ț</w:t>
      </w:r>
      <w:r>
        <w:t>ionale bazate pe BAD, nu sunt recunoscute în bilan</w:t>
      </w:r>
      <w:r w:rsidR="000C213F">
        <w:t>ț</w:t>
      </w:r>
      <w:r>
        <w:t xml:space="preserve"> sau au doar modificările valorii juste recunoscute în bilan</w:t>
      </w:r>
      <w:r w:rsidR="000C213F">
        <w:t>ț</w:t>
      </w:r>
      <w:r>
        <w:t xml:space="preserve"> ori care sunt utilizate ca instrumente de acoperire economică împotriva riscurilor, astfel cum sunt definite la punctul </w:t>
      </w:r>
      <w:r w:rsidRPr="004237EC">
        <w:t>137</w:t>
      </w:r>
      <w:r>
        <w:t xml:space="preserve"> din partea </w:t>
      </w:r>
      <w:r w:rsidRPr="004237EC">
        <w:t>2</w:t>
      </w:r>
      <w:r>
        <w:t xml:space="preserve"> a prezentei anexe.</w:t>
      </w:r>
    </w:p>
    <w:p w:rsidR="009569C7" w:rsidRPr="00EC4FA2" w:rsidRDefault="00A834F1" w:rsidP="009569C7">
      <w:pPr>
        <w:pStyle w:val="Baseparagraphnumbered"/>
      </w:pPr>
      <w:r>
        <w:t>„Instrumentele derivate – contabilitatea de acoperire împotriva riscurilor” includ instrumentele derivate cu un sold negativ pentru institu</w:t>
      </w:r>
      <w:r w:rsidR="000C213F">
        <w:t>ț</w:t>
      </w:r>
      <w:r>
        <w:t>ia raportoare, de</w:t>
      </w:r>
      <w:r w:rsidR="000C213F">
        <w:t>ț</w:t>
      </w:r>
      <w:r>
        <w:t>inute în vederea contabilită</w:t>
      </w:r>
      <w:r w:rsidR="000C213F">
        <w:t>ț</w:t>
      </w:r>
      <w:r>
        <w:t>ii de acoperire conform IFRS. Conform GAAP na</w:t>
      </w:r>
      <w:r w:rsidR="000C213F">
        <w:t>ț</w:t>
      </w:r>
      <w:r>
        <w:t>ionale bazate pe BAD, instrumentele derivate din portofoliul bancar sunt clasificate în categoria contabilită</w:t>
      </w:r>
      <w:r w:rsidR="000C213F">
        <w:t>ț</w:t>
      </w:r>
      <w:r>
        <w:t xml:space="preserve">ii de acoperire numai dacă există norme contabile speciale pentru instrumentele derivate din portofoliul bancar </w:t>
      </w:r>
      <w:r>
        <w:lastRenderedPageBreak/>
        <w:t>conform GAAP na</w:t>
      </w:r>
      <w:r w:rsidR="000C213F">
        <w:t>ț</w:t>
      </w:r>
      <w:r>
        <w:t xml:space="preserve">ionale relevante bazate pe BAD </w:t>
      </w:r>
      <w:r w:rsidR="000C213F">
        <w:t>ș</w:t>
      </w:r>
      <w:r>
        <w:t>i dacă instrumentele derivate reduc riscurile legate de o altă pozi</w:t>
      </w:r>
      <w:r w:rsidR="000C213F">
        <w:t>ț</w:t>
      </w:r>
      <w:r>
        <w:t xml:space="preserve">ie din portofoliul bancar.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485897532"/>
      <w:r>
        <w:t>Instrumente financiare</w:t>
      </w:r>
      <w:bookmarkEnd w:id="28"/>
      <w:bookmarkEnd w:id="29"/>
      <w:bookmarkEnd w:id="30"/>
    </w:p>
    <w:p w:rsidR="009569C7" w:rsidRPr="00EC4FA2" w:rsidRDefault="00A834F1" w:rsidP="009569C7">
      <w:pPr>
        <w:pStyle w:val="Baseparagraphnumbered"/>
      </w:pPr>
      <w:r>
        <w:t xml:space="preserve">În sensul anexelor III </w:t>
      </w:r>
      <w:r w:rsidR="000C213F">
        <w:t>ș</w:t>
      </w:r>
      <w:r>
        <w:t xml:space="preserve">i IV, precum </w:t>
      </w:r>
      <w:r w:rsidR="000C213F">
        <w:t>ș</w:t>
      </w:r>
      <w:r>
        <w:t>i în sensul prezentei anexe, „valoarea contabilă” înseamnă valoarea de raportat în bilan</w:t>
      </w:r>
      <w:r w:rsidR="000C213F">
        <w:t>ț</w:t>
      </w:r>
      <w:r>
        <w:t>. Valoarea contabilă a instrumentelor financiare include dobânda cumulată. Conform GAAP na</w:t>
      </w:r>
      <w:r w:rsidR="000C213F">
        <w:t>ț</w:t>
      </w:r>
      <w:r>
        <w:t>ionale relevante bazate pe BAD, valoarea contabilă a instrumentelor derivate fie este valoarea contabilă conform GAAP na</w:t>
      </w:r>
      <w:r w:rsidR="000C213F">
        <w:t>ț</w:t>
      </w:r>
      <w:r>
        <w:t xml:space="preserve">ionale, incluzând angajamentele, valorile primei </w:t>
      </w:r>
      <w:r w:rsidR="000C213F">
        <w:t>ș</w:t>
      </w:r>
      <w:r>
        <w:t>i provizioanele, dacă este cazul, fie este egală cu zero dacă instrumentele derivate nu sunt recunoscute în bilan</w:t>
      </w:r>
      <w:r w:rsidR="000C213F">
        <w:t>ț</w:t>
      </w:r>
      <w:r>
        <w:t>.</w:t>
      </w:r>
    </w:p>
    <w:p w:rsidR="009569C7" w:rsidRPr="00EC4FA2" w:rsidRDefault="00A834F1" w:rsidP="009569C7">
      <w:pPr>
        <w:pStyle w:val="Baseparagraphnumbered"/>
      </w:pPr>
      <w:r>
        <w:t>Dacă sunt recunoscute conform GAAP na</w:t>
      </w:r>
      <w:r w:rsidR="000C213F">
        <w:t>ț</w:t>
      </w:r>
      <w:r>
        <w:t xml:space="preserve">ionale relevante bazate pe BAD, angajamentele </w:t>
      </w:r>
      <w:r w:rsidR="000C213F">
        <w:t>ș</w:t>
      </w:r>
      <w:r>
        <w:t xml:space="preserve">i amânările legate de instrumente financiare, inclusiv acumulările de dobânzi, primele </w:t>
      </w:r>
      <w:r w:rsidR="000C213F">
        <w:t>ș</w:t>
      </w:r>
      <w:r>
        <w:t>i rabaturile sau costurile de tranzac</w:t>
      </w:r>
      <w:r w:rsidR="000C213F">
        <w:t>ț</w:t>
      </w:r>
      <w:r>
        <w:t xml:space="preserve">ie, se raportează împreună cu instrumentul, </w:t>
      </w:r>
      <w:r w:rsidR="000C213F">
        <w:t>ș</w:t>
      </w:r>
      <w:r>
        <w:t xml:space="preserve">i nu ca alte active sau alte datorii. </w:t>
      </w:r>
    </w:p>
    <w:p w:rsidR="009569C7" w:rsidRPr="00EC4FA2" w:rsidRDefault="00A834F1" w:rsidP="009569C7">
      <w:pPr>
        <w:pStyle w:val="Baseparagraphnumbered"/>
      </w:pPr>
      <w:r>
        <w:t>Dacă este cazul conform GAAP na</w:t>
      </w:r>
      <w:r w:rsidR="000C213F">
        <w:t>ț</w:t>
      </w:r>
      <w:r>
        <w:t>ionale bazate pe BAD, se raportează „marjele de ajustare pentru pozi</w:t>
      </w:r>
      <w:r w:rsidR="000C213F">
        <w:t>ț</w:t>
      </w:r>
      <w:r>
        <w:t>iile de tranzac</w:t>
      </w:r>
      <w:r w:rsidR="000C213F">
        <w:t>ț</w:t>
      </w:r>
      <w:r>
        <w:t>ionare evaluate la valoarea justă”. Marjele de ajustare diminuează valoarea activelor destinate tranzac</w:t>
      </w:r>
      <w:r w:rsidR="000C213F">
        <w:t>ț</w:t>
      </w:r>
      <w:r>
        <w:t xml:space="preserve">ionării </w:t>
      </w:r>
      <w:r w:rsidR="000C213F">
        <w:t>ș</w:t>
      </w:r>
      <w:r>
        <w:t>i majorează valoarea datoriilor destinate tranzac</w:t>
      </w:r>
      <w:r w:rsidR="000C213F">
        <w:t>ț</w:t>
      </w:r>
      <w:r>
        <w:t>ionării.</w:t>
      </w:r>
    </w:p>
    <w:p w:rsidR="009569C7" w:rsidRPr="00EC4FA2" w:rsidRDefault="00A834F1" w:rsidP="009569C7">
      <w:pPr>
        <w:pStyle w:val="sub-subtitlenumbered"/>
        <w:jc w:val="both"/>
      </w:pPr>
      <w:bookmarkStart w:id="31" w:name="_Toc467855201"/>
      <w:bookmarkStart w:id="32" w:name="_Toc485897533"/>
      <w:r>
        <w:t>Active financiare</w:t>
      </w:r>
      <w:bookmarkEnd w:id="31"/>
      <w:bookmarkEnd w:id="32"/>
      <w:r>
        <w:t xml:space="preserve"> </w:t>
      </w:r>
    </w:p>
    <w:p w:rsidR="009569C7" w:rsidRPr="00EC4FA2" w:rsidRDefault="00A834F1" w:rsidP="009569C7">
      <w:pPr>
        <w:pStyle w:val="Baseparagraphnumbered"/>
      </w:pPr>
      <w:r>
        <w:t xml:space="preserve">Activele financiare se distribuie în următoarele clase de instrumente: „numerar în casă”, „instrumente derivate”, „instrumente de capitaluri proprii”, „titluri de datorie”, </w:t>
      </w:r>
      <w:r w:rsidR="000C213F">
        <w:t>ș</w:t>
      </w:r>
      <w:r>
        <w:t xml:space="preserve">i „credite </w:t>
      </w:r>
      <w:r w:rsidR="000C213F">
        <w:t>ș</w:t>
      </w:r>
      <w:r>
        <w:t>i avansuri”.</w:t>
      </w:r>
    </w:p>
    <w:p w:rsidR="009569C7" w:rsidRPr="00EC4FA2" w:rsidRDefault="00A834F1" w:rsidP="009569C7">
      <w:pPr>
        <w:pStyle w:val="Baseparagraphnumbered"/>
      </w:pPr>
      <w:r>
        <w:t>„Titlurile de datorie” sunt instrumente de datorie de</w:t>
      </w:r>
      <w:r w:rsidR="000C213F">
        <w:t>ț</w:t>
      </w:r>
      <w:r>
        <w:t>inute de institu</w:t>
      </w:r>
      <w:r w:rsidR="000C213F">
        <w:t>ț</w:t>
      </w:r>
      <w:r>
        <w:t>ie, emise ca titluri care nu sunt împrumuturi conform Regulamentului BCE BSI.</w:t>
      </w:r>
    </w:p>
    <w:p w:rsidR="009569C7" w:rsidRPr="00EC4FA2" w:rsidRDefault="00A834F1" w:rsidP="009569C7">
      <w:pPr>
        <w:pStyle w:val="Baseparagraphnumbered"/>
      </w:pPr>
      <w:r>
        <w:t xml:space="preserve">„Creditele </w:t>
      </w:r>
      <w:r w:rsidR="000C213F">
        <w:t>ș</w:t>
      </w:r>
      <w:r>
        <w:t>i avansurile” sunt instrumente de datorie de</w:t>
      </w:r>
      <w:r w:rsidR="000C213F">
        <w:t>ț</w:t>
      </w:r>
      <w:r>
        <w:t>inute de institu</w:t>
      </w:r>
      <w:r w:rsidR="000C213F">
        <w:t>ț</w:t>
      </w:r>
      <w:r>
        <w:t xml:space="preserve">ii care nu sunt titluri de valoare; acest element include „creditele” conform Regulamentului BCE BSI, precum </w:t>
      </w:r>
      <w:r w:rsidR="000C213F">
        <w:t>ș</w:t>
      </w:r>
      <w:r>
        <w:t xml:space="preserve">i avansurile care nu pot fi clasificate drept „împrumuturi” conform Regulamentului BCE BSI. „Avansurile care nu sunt credite” sunt descrise mai detaliat la punctul </w:t>
      </w:r>
      <w:r w:rsidRPr="004237EC">
        <w:t>85</w:t>
      </w:r>
      <w:r>
        <w:t xml:space="preserve"> litera (g) din partea </w:t>
      </w:r>
      <w:r w:rsidRPr="004237EC">
        <w:t>2</w:t>
      </w:r>
      <w:r>
        <w:t xml:space="preserve"> a prezentei anexe. </w:t>
      </w:r>
    </w:p>
    <w:p w:rsidR="009569C7" w:rsidRPr="00EC4FA2" w:rsidRDefault="00A834F1" w:rsidP="009569C7">
      <w:pPr>
        <w:pStyle w:val="Baseparagraphnumbered"/>
      </w:pPr>
      <w:r>
        <w:t xml:space="preserve">În FINREP, „instrumentele de datorie” includ „credite </w:t>
      </w:r>
      <w:r w:rsidR="000C213F">
        <w:t>ș</w:t>
      </w:r>
      <w:r>
        <w:t xml:space="preserve">i avansuri” </w:t>
      </w:r>
      <w:r w:rsidR="000C213F">
        <w:t>ș</w:t>
      </w:r>
      <w:r>
        <w:t>i „titluri de datorie”.</w:t>
      </w:r>
    </w:p>
    <w:p w:rsidR="009569C7" w:rsidRPr="00EC4FA2" w:rsidRDefault="00A834F1" w:rsidP="009569C7">
      <w:pPr>
        <w:pStyle w:val="sub-subtitlenumbered"/>
        <w:jc w:val="both"/>
      </w:pPr>
      <w:bookmarkStart w:id="33" w:name="_Toc467855202"/>
      <w:bookmarkStart w:id="34" w:name="_Toc485897534"/>
      <w:r>
        <w:t>Valoarea contabilă brută</w:t>
      </w:r>
      <w:bookmarkEnd w:id="33"/>
      <w:bookmarkEnd w:id="34"/>
    </w:p>
    <w:p w:rsidR="009569C7" w:rsidRPr="00EC4FA2" w:rsidRDefault="00A834F1" w:rsidP="009569C7">
      <w:pPr>
        <w:pStyle w:val="Baseparagraphnumbered"/>
      </w:pPr>
      <w:r>
        <w:t>Valoarea contabilă brută a instrumentelor de datorie înseamnă următoarele:</w:t>
      </w:r>
    </w:p>
    <w:p w:rsidR="009569C7" w:rsidRPr="00EC4FA2" w:rsidRDefault="00A834F1" w:rsidP="00152278">
      <w:pPr>
        <w:pStyle w:val="Baseparagraphnumbered"/>
        <w:numPr>
          <w:ilvl w:val="1"/>
          <w:numId w:val="27"/>
        </w:numPr>
      </w:pPr>
      <w:r>
        <w:t xml:space="preserve"> conform IFRS </w:t>
      </w:r>
      <w:r w:rsidR="000C213F">
        <w:t>ș</w:t>
      </w:r>
      <w:r>
        <w:t>i GAAP na</w:t>
      </w:r>
      <w:r w:rsidR="000C213F">
        <w:t>ț</w:t>
      </w:r>
      <w:r>
        <w:t>ionale bazate pe BAD, în cazul instrumentelor de datorie evaluate la valoarea justă prin profit sau pierdere, fără a fi incluse în portofoliul „de</w:t>
      </w:r>
      <w:r w:rsidR="000C213F">
        <w:t>ț</w:t>
      </w:r>
      <w:r>
        <w:t>inute în vederea tranzac</w:t>
      </w:r>
      <w:r w:rsidR="000C213F">
        <w:t>ț</w:t>
      </w:r>
      <w:r>
        <w:t>ionării” sau în portofoliul de tranzac</w:t>
      </w:r>
      <w:r w:rsidR="000C213F">
        <w:t>ț</w:t>
      </w:r>
      <w:r>
        <w:t xml:space="preserve">ionare, valoarea contabilă brută depinde de clasificarea sau nu a acestor instrumente drept performante sau neperformante. În cazul instrumentelor de datorie </w:t>
      </w:r>
      <w:r>
        <w:lastRenderedPageBreak/>
        <w:t xml:space="preserve">performante, valoarea contabilă brută este valoarea justă. În cazul instrumentelor de datorie neperformante, valoarea contabilă brută este valoarea justă la care se adaugă ajustările valorii juste cumulate negative datorate riscului de credit, astfel cum sunt definite la punctul </w:t>
      </w:r>
      <w:r w:rsidRPr="004237EC">
        <w:t>69</w:t>
      </w:r>
      <w:r>
        <w:t xml:space="preserve"> din partea </w:t>
      </w:r>
      <w:r w:rsidRPr="004237EC">
        <w:t>2</w:t>
      </w:r>
      <w:r>
        <w:t xml:space="preserve"> din prezenta anexă. În scopul măsurării valorii contabile brute, evaluarea instrumentelor de datorie se efectuează la nivelul fiecărui instrument financiar;</w:t>
      </w:r>
    </w:p>
    <w:p w:rsidR="009569C7" w:rsidRPr="00EC4FA2" w:rsidRDefault="00A834F1" w:rsidP="009569C7">
      <w:pPr>
        <w:pStyle w:val="Baseparagraphnumbered"/>
        <w:numPr>
          <w:ilvl w:val="1"/>
          <w:numId w:val="27"/>
        </w:numPr>
        <w:ind w:left="1134" w:hanging="425"/>
      </w:pPr>
      <w:r>
        <w:t>conform IFRS, în cazul instrumentelor de datorie evaluate la costul amortizat sau la valoarea justă prin alte elemente ale rezultatului global, valoarea contabilă brută este valoarea contabilă înainte de aplicarea oricărei ajustări pentru pierdere;</w:t>
      </w:r>
    </w:p>
    <w:p w:rsidR="009569C7" w:rsidRPr="00EC4FA2" w:rsidRDefault="00A834F1" w:rsidP="009569C7">
      <w:pPr>
        <w:pStyle w:val="Baseparagraphnumbered"/>
        <w:numPr>
          <w:ilvl w:val="1"/>
          <w:numId w:val="27"/>
        </w:numPr>
        <w:ind w:left="1134" w:hanging="425"/>
      </w:pPr>
      <w:r>
        <w:t>conform GAAP na</w:t>
      </w:r>
      <w:r w:rsidR="000C213F">
        <w:t>ț</w:t>
      </w:r>
      <w:r>
        <w:t>ionale bazate pe BAD, în cazul instrumentelor de datorie clasificate ca „active financiare nederivate nedestinate tranzac</w:t>
      </w:r>
      <w:r w:rsidR="000C213F">
        <w:t>ț</w:t>
      </w:r>
      <w:r>
        <w:t xml:space="preserve">ionării, evaluate printr-o metodă bazată pe costuri”, valoarea contabilă brută a activelor depreciate este egală cu valoarea contabilă înainte de aplicarea ajustărilor specifice pentru riscul de credit. Valoarea contabilă brută a activelor nedepreciate este valoarea contabilă înainte de aplicarea ajustărilor generale pentru riscul de credit </w:t>
      </w:r>
      <w:r w:rsidR="000C213F">
        <w:t>ș</w:t>
      </w:r>
      <w:r>
        <w:t xml:space="preserve">i a ajustărilor generale pentru riscurile bancare, în cazul în care afectează valoarea contabilă; </w:t>
      </w:r>
    </w:p>
    <w:p w:rsidR="009569C7" w:rsidRPr="00EC4FA2" w:rsidRDefault="00A834F1" w:rsidP="009569C7">
      <w:pPr>
        <w:pStyle w:val="Baseparagraphnumbered"/>
        <w:numPr>
          <w:ilvl w:val="1"/>
          <w:numId w:val="27"/>
        </w:numPr>
        <w:ind w:left="1134" w:hanging="425"/>
      </w:pPr>
      <w:r>
        <w:t>conform GAAP na</w:t>
      </w:r>
      <w:r w:rsidR="000C213F">
        <w:t>ț</w:t>
      </w:r>
      <w:r>
        <w:t>ionale bazate pe BAD, valoarea contabilă brută a instrumentelor de datorie clasificate ca „active financiare nederivate nedestinate tranzac</w:t>
      </w:r>
      <w:r w:rsidR="000C213F">
        <w:t>ț</w:t>
      </w:r>
      <w:r>
        <w:t>ionării, evaluate la valoarea justă prin capitaluri proprii” depinde de aplicarea sau nu a dispozi</w:t>
      </w:r>
      <w:r w:rsidR="000C213F">
        <w:t>ț</w:t>
      </w:r>
      <w:r>
        <w:t>iilor privind deprecierea în cazul activelor financiare respective. În cazul în care acestea fac obiectul dispozi</w:t>
      </w:r>
      <w:r w:rsidR="000C213F">
        <w:t>ț</w:t>
      </w:r>
      <w:r>
        <w:t>iilor privind deprecierea, valoarea contabilă brută este valoarea contabilă înainte de a se lua în considerare orice depreciere cumulată, ca urmare a cerin</w:t>
      </w:r>
      <w:r w:rsidR="000C213F">
        <w:t>ț</w:t>
      </w:r>
      <w:r>
        <w:t xml:space="preserve">elor prevăzute la litera (c) de mai sus pentru activele depreciate </w:t>
      </w:r>
      <w:r w:rsidR="000C213F">
        <w:t>ș</w:t>
      </w:r>
      <w:r>
        <w:t>i nedepreciate, sau orice valoare cumulată a ajustării valorii juste care este considerată ca pierdere din depreciere. Atunci când activele financiare respective nu fac obiectul dispozi</w:t>
      </w:r>
      <w:r w:rsidR="000C213F">
        <w:t>ț</w:t>
      </w:r>
      <w:r>
        <w:t>iilor privind deprecierea, valoarea contabilă brută a activelor financiare respective este valoarea justă pentru expunerile performante, iar pentru expunerile neperformante valoarea justă la care se adaugă ajustările valorii juste cumulate negative datorate riscului de credit;</w:t>
      </w:r>
    </w:p>
    <w:p w:rsidR="009569C7" w:rsidRPr="00EC4FA2" w:rsidRDefault="00A834F1" w:rsidP="009569C7">
      <w:pPr>
        <w:pStyle w:val="Baseparagraphnumbered"/>
        <w:numPr>
          <w:ilvl w:val="1"/>
          <w:numId w:val="27"/>
        </w:numPr>
        <w:ind w:left="1134" w:hanging="425"/>
      </w:pPr>
      <w:r>
        <w:t>conform GAAP na</w:t>
      </w:r>
      <w:r w:rsidR="000C213F">
        <w:t>ț</w:t>
      </w:r>
      <w:r>
        <w:t>ionale bazate pe BAD, valoarea contabilă brută a instrumentelor de datorie evaluate la LOCOM strictă sau moderată este costul în cazul în care evaluarea se realizează la cost în cursul perioadei de raportare. În cazul în care instrumentele de datorie respective sunt evaluate la valoarea de pia</w:t>
      </w:r>
      <w:r w:rsidR="000C213F">
        <w:t>ț</w:t>
      </w:r>
      <w:r>
        <w:t>ă, valoarea contabilă brută este valoarea de pia</w:t>
      </w:r>
      <w:r w:rsidR="000C213F">
        <w:t>ț</w:t>
      </w:r>
      <w:r>
        <w:t xml:space="preserve">ă înainte de aplicarea ajustărilor de valoare ca urmare a riscului de credit; </w:t>
      </w:r>
    </w:p>
    <w:p w:rsidR="009569C7" w:rsidRPr="00EC4FA2" w:rsidRDefault="00A834F1" w:rsidP="009569C7">
      <w:pPr>
        <w:pStyle w:val="Baseparagraphnumbered"/>
        <w:numPr>
          <w:ilvl w:val="1"/>
          <w:numId w:val="27"/>
        </w:numPr>
        <w:ind w:left="1134" w:hanging="425"/>
      </w:pPr>
      <w:r>
        <w:t>conform GAAP na</w:t>
      </w:r>
      <w:r w:rsidR="000C213F">
        <w:t>ț</w:t>
      </w:r>
      <w:r>
        <w:t>ionale bazate pe BAD, în cazul instrumentelor de datorie incluse în categoria „alte active financiare nederivate nedestinate tranzac</w:t>
      </w:r>
      <w:r w:rsidR="000C213F">
        <w:t>ț</w:t>
      </w:r>
      <w:r>
        <w:t xml:space="preserve">ionării” care fac obiectul altor metode de evaluare decât LOCOM, </w:t>
      </w:r>
      <w:r>
        <w:lastRenderedPageBreak/>
        <w:t>valoarea contabilă brută este valoarea contabilă înainte de a lua în considerare orice ajustare de evaluare care se califică drept depreciere;</w:t>
      </w:r>
    </w:p>
    <w:p w:rsidR="009569C7" w:rsidRPr="00EC4FA2" w:rsidRDefault="00A834F1" w:rsidP="009569C7">
      <w:pPr>
        <w:pStyle w:val="Baseparagraphnumbered"/>
        <w:numPr>
          <w:ilvl w:val="1"/>
          <w:numId w:val="27"/>
        </w:numPr>
        <w:ind w:left="1134" w:hanging="425"/>
      </w:pPr>
      <w:r>
        <w:t>în cazul activelor financiare destinate tranzac</w:t>
      </w:r>
      <w:r w:rsidR="000C213F">
        <w:t>ț</w:t>
      </w:r>
      <w:r>
        <w:t>ionării conform GAAP bazate pe BAD sau al activelor financiare de</w:t>
      </w:r>
      <w:r w:rsidR="000C213F">
        <w:t>ț</w:t>
      </w:r>
      <w:r>
        <w:t>inute în vederea tranzac</w:t>
      </w:r>
      <w:r w:rsidR="000C213F">
        <w:t>ț</w:t>
      </w:r>
      <w:r>
        <w:t>ionării conform IFRS, valoarea contabilă brută este valoarea justă. În cazul în care GAAP bazate pe BAD impun marje de ajustare pentru instrumentele destinate tranzac</w:t>
      </w:r>
      <w:r w:rsidR="000C213F">
        <w:t>ț</w:t>
      </w:r>
      <w:r>
        <w:t xml:space="preserve">ionării </w:t>
      </w:r>
      <w:r w:rsidR="000C213F">
        <w:t>ș</w:t>
      </w:r>
      <w:r>
        <w:t>i pentru cele evaluate la valoarea justă, valoarea contabilă a instrumentelor financiare este valoarea justă înainte de aplicarea acestor marje de ajustare.</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485897535"/>
      <w:r>
        <w:t>Datorii financiare</w:t>
      </w:r>
      <w:bookmarkEnd w:id="35"/>
      <w:bookmarkEnd w:id="36"/>
      <w:bookmarkEnd w:id="37"/>
      <w:bookmarkEnd w:id="38"/>
    </w:p>
    <w:p w:rsidR="009569C7" w:rsidRPr="00EC4FA2" w:rsidRDefault="00A834F1" w:rsidP="009569C7">
      <w:pPr>
        <w:pStyle w:val="Baseparagraphnumbered"/>
      </w:pPr>
      <w:r>
        <w:t>Datoriile financiare se distribuie în următoarele clase de instrumente: „instrumente derivate”, „pozi</w:t>
      </w:r>
      <w:r w:rsidR="000C213F">
        <w:t>ț</w:t>
      </w:r>
      <w:r>
        <w:t xml:space="preserve">ii scurte”, „depozite”, „titluri de datorie emise” </w:t>
      </w:r>
      <w:r w:rsidR="000C213F">
        <w:t>ș</w:t>
      </w:r>
      <w:r>
        <w:t>i „alte datorii financiare”.</w:t>
      </w:r>
    </w:p>
    <w:p w:rsidR="009569C7" w:rsidRPr="00EC4FA2" w:rsidRDefault="00A834F1" w:rsidP="009569C7">
      <w:pPr>
        <w:pStyle w:val="Baseparagraphnumbered"/>
      </w:pPr>
      <w:r>
        <w:t xml:space="preserve">În sensul anexelor III </w:t>
      </w:r>
      <w:r w:rsidR="000C213F">
        <w:t>ș</w:t>
      </w:r>
      <w:r>
        <w:t xml:space="preserve">i IV, precum </w:t>
      </w:r>
      <w:r w:rsidR="000C213F">
        <w:t>ș</w:t>
      </w:r>
      <w:r>
        <w:t>i în sensul prezentei anexe, se aplică defini</w:t>
      </w:r>
      <w:r w:rsidR="000C213F">
        <w:t>ț</w:t>
      </w:r>
      <w:r>
        <w:t xml:space="preserve">ia pentru „depozite” din anexa II partea </w:t>
      </w:r>
      <w:r w:rsidRPr="004237EC">
        <w:t>2</w:t>
      </w:r>
      <w:r>
        <w:t xml:space="preserve"> din Regulamentul BCE BSI. </w:t>
      </w:r>
    </w:p>
    <w:p w:rsidR="009569C7" w:rsidRPr="00EC4FA2" w:rsidRDefault="00A834F1" w:rsidP="009569C7">
      <w:pPr>
        <w:pStyle w:val="Baseparagraphnumbered"/>
      </w:pPr>
      <w:r>
        <w:t xml:space="preserve"> „Titlurile de datorie emise” sunt instrumente de datorie emise sub formă de titluri de către institu</w:t>
      </w:r>
      <w:r w:rsidR="000C213F">
        <w:t>ț</w:t>
      </w:r>
      <w:r>
        <w:t xml:space="preserve">ie </w:t>
      </w:r>
      <w:r w:rsidR="000C213F">
        <w:t>ș</w:t>
      </w:r>
      <w:r>
        <w:t>i care nu sunt depozite conform Regulamentului BCE BSI.</w:t>
      </w:r>
    </w:p>
    <w:p w:rsidR="009569C7" w:rsidRPr="00EC4FA2" w:rsidRDefault="00A834F1" w:rsidP="009569C7">
      <w:pPr>
        <w:pStyle w:val="Baseparagraphnumbered"/>
      </w:pPr>
      <w:r>
        <w:t>„Alte datorii financiare” includ toate datoriile financiare, altele decât instrumentele derivate, pozi</w:t>
      </w:r>
      <w:r w:rsidR="000C213F">
        <w:t>ț</w:t>
      </w:r>
      <w:r>
        <w:t xml:space="preserve">iile scurte, depozitele </w:t>
      </w:r>
      <w:r w:rsidR="000C213F">
        <w:t>ș</w:t>
      </w:r>
      <w:r>
        <w:t xml:space="preserve">i titlurile de datorie emise. </w:t>
      </w:r>
    </w:p>
    <w:p w:rsidR="009569C7" w:rsidRPr="00EC4FA2" w:rsidRDefault="00A834F1" w:rsidP="009569C7">
      <w:pPr>
        <w:pStyle w:val="Baseparagraphnumbered"/>
      </w:pPr>
      <w:r>
        <w:t>Conform IFRS, „alte datorii financiare” includ garan</w:t>
      </w:r>
      <w:r w:rsidR="000C213F">
        <w:t>ț</w:t>
      </w:r>
      <w:r>
        <w:t xml:space="preserve">iile financiare date atunci când sunt evaluate fie la valoarea justă prin profit sau pierdere [IFRS </w:t>
      </w:r>
      <w:r w:rsidRPr="004237EC">
        <w:t>9</w:t>
      </w:r>
      <w:r>
        <w:t xml:space="preserve"> punctul </w:t>
      </w:r>
      <w:r w:rsidRPr="004237EC">
        <w:t>4</w:t>
      </w:r>
      <w:r>
        <w:t>.</w:t>
      </w:r>
      <w:r w:rsidRPr="004237EC">
        <w:t>2</w:t>
      </w:r>
      <w:r>
        <w:t>.</w:t>
      </w:r>
      <w:r w:rsidRPr="004237EC">
        <w:t>1</w:t>
      </w:r>
      <w:r>
        <w:t xml:space="preserve"> litera (a)], fie la valoarea recunoscută ini</w:t>
      </w:r>
      <w:r w:rsidR="000C213F">
        <w:t>ț</w:t>
      </w:r>
      <w:r>
        <w:t xml:space="preserve">ial, minus amortizarea cumulată [IFRS </w:t>
      </w:r>
      <w:r w:rsidRPr="004237EC">
        <w:t>9</w:t>
      </w:r>
      <w:r>
        <w:t xml:space="preserve"> punctul </w:t>
      </w:r>
      <w:r w:rsidRPr="004237EC">
        <w:t>4</w:t>
      </w:r>
      <w:r>
        <w:t>.</w:t>
      </w:r>
      <w:r w:rsidRPr="004237EC">
        <w:t>2</w:t>
      </w:r>
      <w:r>
        <w:t>.</w:t>
      </w:r>
      <w:r w:rsidRPr="004237EC">
        <w:t>1</w:t>
      </w:r>
      <w:r>
        <w:t xml:space="preserve"> litera (c) punctul (ii)]. Angajamentele de creditare date se raportează ca „alte datorii financiare” atunci când sunt desemnate ca datorii financiare evaluate la valoarea justă prin profit sau pierdere [IFRS </w:t>
      </w:r>
      <w:r w:rsidRPr="004237EC">
        <w:t>9</w:t>
      </w:r>
      <w:r>
        <w:t xml:space="preserve"> punctul </w:t>
      </w:r>
      <w:r w:rsidRPr="004237EC">
        <w:t>4</w:t>
      </w:r>
      <w:r>
        <w:t>.</w:t>
      </w:r>
      <w:r w:rsidRPr="004237EC">
        <w:t>2</w:t>
      </w:r>
      <w:r>
        <w:t>.</w:t>
      </w:r>
      <w:r w:rsidRPr="004237EC">
        <w:t>1</w:t>
      </w:r>
      <w:r>
        <w:t xml:space="preserve"> litera (a)] sau atunci când reprezintă angajamente de a oferi un împrumut la o rată a dobânzii sub valoarea de pe pia</w:t>
      </w:r>
      <w:r w:rsidR="000C213F">
        <w:t>ț</w:t>
      </w:r>
      <w:r>
        <w:t xml:space="preserve">ă [IFRS </w:t>
      </w:r>
      <w:r w:rsidRPr="004237EC">
        <w:t>9</w:t>
      </w:r>
      <w:r>
        <w:t xml:space="preserve"> punctul </w:t>
      </w:r>
      <w:r w:rsidRPr="004237EC">
        <w:t>2</w:t>
      </w:r>
      <w:r>
        <w:t>.</w:t>
      </w:r>
      <w:r w:rsidRPr="004237EC">
        <w:t>3</w:t>
      </w:r>
      <w:r>
        <w:t xml:space="preserve"> litera (c), IFRS </w:t>
      </w:r>
      <w:r w:rsidRPr="004237EC">
        <w:t>9</w:t>
      </w:r>
      <w:r>
        <w:t xml:space="preserve"> punctul </w:t>
      </w:r>
      <w:r w:rsidRPr="004237EC">
        <w:t>4</w:t>
      </w:r>
      <w:r>
        <w:t>.</w:t>
      </w:r>
      <w:r w:rsidRPr="004237EC">
        <w:t>2</w:t>
      </w:r>
      <w:r>
        <w:t>.</w:t>
      </w:r>
      <w:r w:rsidRPr="004237EC">
        <w:t>1</w:t>
      </w:r>
      <w:r>
        <w:t xml:space="preserve"> litera (d)]. </w:t>
      </w:r>
    </w:p>
    <w:p w:rsidR="009569C7" w:rsidRPr="00EC4FA2" w:rsidRDefault="00A834F1" w:rsidP="009569C7">
      <w:pPr>
        <w:pStyle w:val="Baseparagraphnumbered"/>
      </w:pPr>
      <w:r>
        <w:t>În cazul în care angajamentele de creditare, garan</w:t>
      </w:r>
      <w:r w:rsidR="000C213F">
        <w:t>ț</w:t>
      </w:r>
      <w:r>
        <w:t xml:space="preserve">iile financiare </w:t>
      </w:r>
      <w:r w:rsidR="000C213F">
        <w:t>ș</w:t>
      </w:r>
      <w:r>
        <w:t xml:space="preserve">i alte angajamente date sunt evaluate la valoarea justă prin profit sau pierdere, orice modificare a valorii juste, inclusiv modificările datorate riscului de credit, se raportează ca „alte datorii financiare”, </w:t>
      </w:r>
      <w:r w:rsidR="000C213F">
        <w:t>ș</w:t>
      </w:r>
      <w:r>
        <w:t xml:space="preserve">i nu ca provizioane pentru „angajamente </w:t>
      </w:r>
      <w:r w:rsidR="000C213F">
        <w:t>ș</w:t>
      </w:r>
      <w:r>
        <w:t>i garan</w:t>
      </w:r>
      <w:r w:rsidR="000C213F">
        <w:t>ț</w:t>
      </w:r>
      <w:r>
        <w:t xml:space="preserve">ii date”. </w:t>
      </w:r>
    </w:p>
    <w:p w:rsidR="009569C7" w:rsidRPr="00EC4FA2" w:rsidRDefault="00A834F1" w:rsidP="009569C7">
      <w:pPr>
        <w:pStyle w:val="Baseparagraphnumbered"/>
      </w:pPr>
      <w:r>
        <w:t>„Alte datorii financiare” includ, de asemenea, dividendele de plătit, sumele de plătit înregistrate în conturile de a</w:t>
      </w:r>
      <w:r w:rsidR="000C213F">
        <w:t>ș</w:t>
      </w:r>
      <w:r>
        <w:t xml:space="preserve">teptare </w:t>
      </w:r>
      <w:r w:rsidR="000C213F">
        <w:t>ș</w:t>
      </w:r>
      <w:r>
        <w:t xml:space="preserve">i de tranzit </w:t>
      </w:r>
      <w:r w:rsidR="000C213F">
        <w:t>ș</w:t>
      </w:r>
      <w:r>
        <w:t>i sumele de plătit referitoare la decontări viitoare ale tranzac</w:t>
      </w:r>
      <w:r w:rsidR="000C213F">
        <w:t>ț</w:t>
      </w:r>
      <w:r>
        <w:t>iilor în titluri de valoare sau tranzac</w:t>
      </w:r>
      <w:r w:rsidR="000C213F">
        <w:t>ț</w:t>
      </w:r>
      <w:r>
        <w:t>ii în valută în cazul în care sumele de plătit pentru tranzac</w:t>
      </w:r>
      <w:r w:rsidR="000C213F">
        <w:t>ț</w:t>
      </w:r>
      <w:r>
        <w:t>ii sunt recunoscute înainte de termenul de plată.</w:t>
      </w:r>
    </w:p>
    <w:p w:rsidR="009569C7" w:rsidRPr="00EC4FA2" w:rsidRDefault="00A834F1" w:rsidP="00615257">
      <w:pPr>
        <w:pStyle w:val="subtitlenumbered"/>
        <w:keepNext/>
        <w:numPr>
          <w:ilvl w:val="0"/>
          <w:numId w:val="17"/>
        </w:numPr>
        <w:ind w:left="357" w:hanging="357"/>
        <w:jc w:val="both"/>
      </w:pPr>
      <w:bookmarkStart w:id="39" w:name="_Toc361844208"/>
      <w:bookmarkStart w:id="40" w:name="_Toc362359280"/>
      <w:bookmarkStart w:id="41" w:name="_Toc467855204"/>
      <w:bookmarkStart w:id="42" w:name="_Toc485897536"/>
      <w:r>
        <w:lastRenderedPageBreak/>
        <w:t>Defalcare pe contrapăr</w:t>
      </w:r>
      <w:r w:rsidR="000C213F">
        <w:t>ț</w:t>
      </w:r>
      <w:r>
        <w:t>i</w:t>
      </w:r>
      <w:bookmarkEnd w:id="39"/>
      <w:bookmarkEnd w:id="40"/>
      <w:bookmarkEnd w:id="41"/>
      <w:bookmarkEnd w:id="42"/>
    </w:p>
    <w:p w:rsidR="009569C7" w:rsidRPr="00EC4FA2" w:rsidRDefault="00A834F1" w:rsidP="009569C7">
      <w:pPr>
        <w:pStyle w:val="Baseparagraphnumbered"/>
      </w:pPr>
      <w:r>
        <w:t>În cazul în care se solicită o defalcare pe contrapăr</w:t>
      </w:r>
      <w:r w:rsidR="000C213F">
        <w:t>ț</w:t>
      </w:r>
      <w:r>
        <w:t>i, se utilizează următoarele sectoare ale contrapăr</w:t>
      </w:r>
      <w:r w:rsidR="000C213F">
        <w:t>ț</w:t>
      </w:r>
      <w:r>
        <w:t>ii: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bănci centrale;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w:t>
      </w:r>
      <w:r w:rsidR="000C213F">
        <w:rPr>
          <w:rFonts w:ascii="Times New Roman" w:hAnsi="Times New Roman"/>
          <w:sz w:val="24"/>
        </w:rPr>
        <w:t>ț</w:t>
      </w:r>
      <w:r>
        <w:rPr>
          <w:rFonts w:ascii="Times New Roman" w:hAnsi="Times New Roman"/>
          <w:sz w:val="24"/>
        </w:rPr>
        <w:t>ii publice: administra</w:t>
      </w:r>
      <w:r w:rsidR="000C213F">
        <w:rPr>
          <w:rFonts w:ascii="Times New Roman" w:hAnsi="Times New Roman"/>
          <w:sz w:val="24"/>
        </w:rPr>
        <w:t>ț</w:t>
      </w:r>
      <w:r>
        <w:rPr>
          <w:rFonts w:ascii="Times New Roman" w:hAnsi="Times New Roman"/>
          <w:sz w:val="24"/>
        </w:rPr>
        <w:t>ii centrale, administra</w:t>
      </w:r>
      <w:r w:rsidR="000C213F">
        <w:rPr>
          <w:rFonts w:ascii="Times New Roman" w:hAnsi="Times New Roman"/>
          <w:sz w:val="24"/>
        </w:rPr>
        <w:t>ț</w:t>
      </w:r>
      <w:r>
        <w:rPr>
          <w:rFonts w:ascii="Times New Roman" w:hAnsi="Times New Roman"/>
          <w:sz w:val="24"/>
        </w:rPr>
        <w:t xml:space="preserve">ii de stat sau regionale </w:t>
      </w:r>
      <w:r w:rsidR="000C213F">
        <w:rPr>
          <w:rFonts w:ascii="Times New Roman" w:hAnsi="Times New Roman"/>
          <w:sz w:val="24"/>
        </w:rPr>
        <w:t>ș</w:t>
      </w:r>
      <w:r>
        <w:rPr>
          <w:rFonts w:ascii="Times New Roman" w:hAnsi="Times New Roman"/>
          <w:sz w:val="24"/>
        </w:rPr>
        <w:t>i administra</w:t>
      </w:r>
      <w:r w:rsidR="000C213F">
        <w:rPr>
          <w:rFonts w:ascii="Times New Roman" w:hAnsi="Times New Roman"/>
          <w:sz w:val="24"/>
        </w:rPr>
        <w:t>ț</w:t>
      </w:r>
      <w:r>
        <w:rPr>
          <w:rFonts w:ascii="Times New Roman" w:hAnsi="Times New Roman"/>
          <w:sz w:val="24"/>
        </w:rPr>
        <w:t xml:space="preserve">ii locale, inclusiv organe administrative </w:t>
      </w:r>
      <w:r w:rsidR="000C213F">
        <w:rPr>
          <w:rFonts w:ascii="Times New Roman" w:hAnsi="Times New Roman"/>
          <w:sz w:val="24"/>
        </w:rPr>
        <w:t>ș</w:t>
      </w:r>
      <w:r>
        <w:rPr>
          <w:rFonts w:ascii="Times New Roman" w:hAnsi="Times New Roman"/>
          <w:sz w:val="24"/>
        </w:rPr>
        <w:t xml:space="preserve">i întreprinderi cu scop necomercial, dar excluzând companiile publice </w:t>
      </w:r>
      <w:r w:rsidR="000C213F">
        <w:rPr>
          <w:rFonts w:ascii="Times New Roman" w:hAnsi="Times New Roman"/>
          <w:sz w:val="24"/>
        </w:rPr>
        <w:t>ș</w:t>
      </w:r>
      <w:r>
        <w:rPr>
          <w:rFonts w:ascii="Times New Roman" w:hAnsi="Times New Roman"/>
          <w:sz w:val="24"/>
        </w:rPr>
        <w:t>i companiile private de</w:t>
      </w:r>
      <w:r w:rsidR="000C213F">
        <w:rPr>
          <w:rFonts w:ascii="Times New Roman" w:hAnsi="Times New Roman"/>
          <w:sz w:val="24"/>
        </w:rPr>
        <w:t>ț</w:t>
      </w:r>
      <w:r>
        <w:rPr>
          <w:rFonts w:ascii="Times New Roman" w:hAnsi="Times New Roman"/>
          <w:sz w:val="24"/>
        </w:rPr>
        <w:t>inute de aceste administra</w:t>
      </w:r>
      <w:r w:rsidR="000C213F">
        <w:rPr>
          <w:rFonts w:ascii="Times New Roman" w:hAnsi="Times New Roman"/>
          <w:sz w:val="24"/>
        </w:rPr>
        <w:t>ț</w:t>
      </w:r>
      <w:r>
        <w:rPr>
          <w:rFonts w:ascii="Times New Roman" w:hAnsi="Times New Roman"/>
          <w:sz w:val="24"/>
        </w:rPr>
        <w:t>ii care au o activitate comercială (care sunt raportate la „institu</w:t>
      </w:r>
      <w:r w:rsidR="000C213F">
        <w:rPr>
          <w:rFonts w:ascii="Times New Roman" w:hAnsi="Times New Roman"/>
          <w:sz w:val="24"/>
        </w:rPr>
        <w:t>ț</w:t>
      </w:r>
      <w:r>
        <w:rPr>
          <w:rFonts w:ascii="Times New Roman" w:hAnsi="Times New Roman"/>
          <w:sz w:val="24"/>
        </w:rPr>
        <w:t>ii de credit”, „alte societă</w:t>
      </w:r>
      <w:r w:rsidR="000C213F">
        <w:rPr>
          <w:rFonts w:ascii="Times New Roman" w:hAnsi="Times New Roman"/>
          <w:sz w:val="24"/>
        </w:rPr>
        <w:t>ț</w:t>
      </w:r>
      <w:r>
        <w:rPr>
          <w:rFonts w:ascii="Times New Roman" w:hAnsi="Times New Roman"/>
          <w:sz w:val="24"/>
        </w:rPr>
        <w:t>i financiare” sau „societă</w:t>
      </w:r>
      <w:r w:rsidR="000C213F">
        <w:rPr>
          <w:rFonts w:ascii="Times New Roman" w:hAnsi="Times New Roman"/>
          <w:sz w:val="24"/>
        </w:rPr>
        <w:t>ț</w:t>
      </w:r>
      <w:r>
        <w:rPr>
          <w:rFonts w:ascii="Times New Roman" w:hAnsi="Times New Roman"/>
          <w:sz w:val="24"/>
        </w:rPr>
        <w:t>i nefinanciare”, în func</w:t>
      </w:r>
      <w:r w:rsidR="000C213F">
        <w:rPr>
          <w:rFonts w:ascii="Times New Roman" w:hAnsi="Times New Roman"/>
          <w:sz w:val="24"/>
        </w:rPr>
        <w:t>ț</w:t>
      </w:r>
      <w:r>
        <w:rPr>
          <w:rFonts w:ascii="Times New Roman" w:hAnsi="Times New Roman"/>
          <w:sz w:val="24"/>
        </w:rPr>
        <w:t>ie de activitatea pe care o desfă</w:t>
      </w:r>
      <w:r w:rsidR="000C213F">
        <w:rPr>
          <w:rFonts w:ascii="Times New Roman" w:hAnsi="Times New Roman"/>
          <w:sz w:val="24"/>
        </w:rPr>
        <w:t>ș</w:t>
      </w:r>
      <w:r>
        <w:rPr>
          <w:rFonts w:ascii="Times New Roman" w:hAnsi="Times New Roman"/>
          <w:sz w:val="24"/>
        </w:rPr>
        <w:t xml:space="preserve">oară); fonduri de asigurări sociale </w:t>
      </w:r>
      <w:r w:rsidR="000C213F">
        <w:rPr>
          <w:rFonts w:ascii="Times New Roman" w:hAnsi="Times New Roman"/>
          <w:sz w:val="24"/>
        </w:rPr>
        <w:t>ș</w:t>
      </w:r>
      <w:r>
        <w:rPr>
          <w:rFonts w:ascii="Times New Roman" w:hAnsi="Times New Roman"/>
          <w:sz w:val="24"/>
        </w:rPr>
        <w:t>i organiza</w:t>
      </w:r>
      <w:r w:rsidR="000C213F">
        <w:rPr>
          <w:rFonts w:ascii="Times New Roman" w:hAnsi="Times New Roman"/>
          <w:sz w:val="24"/>
        </w:rPr>
        <w:t>ț</w:t>
      </w:r>
      <w:r>
        <w:rPr>
          <w:rFonts w:ascii="Times New Roman" w:hAnsi="Times New Roman"/>
          <w:sz w:val="24"/>
        </w:rPr>
        <w:t>ii interna</w:t>
      </w:r>
      <w:r w:rsidR="000C213F">
        <w:rPr>
          <w:rFonts w:ascii="Times New Roman" w:hAnsi="Times New Roman"/>
          <w:sz w:val="24"/>
        </w:rPr>
        <w:t>ț</w:t>
      </w:r>
      <w:r>
        <w:rPr>
          <w:rFonts w:ascii="Times New Roman" w:hAnsi="Times New Roman"/>
          <w:sz w:val="24"/>
        </w:rPr>
        <w:t>ionale, precum institu</w:t>
      </w:r>
      <w:r w:rsidR="000C213F">
        <w:rPr>
          <w:rFonts w:ascii="Times New Roman" w:hAnsi="Times New Roman"/>
          <w:sz w:val="24"/>
        </w:rPr>
        <w:t>ț</w:t>
      </w:r>
      <w:r>
        <w:rPr>
          <w:rFonts w:ascii="Times New Roman" w:hAnsi="Times New Roman"/>
          <w:sz w:val="24"/>
        </w:rPr>
        <w:t>iile Uniunii Europene, Fondul Monetar Interna</w:t>
      </w:r>
      <w:r w:rsidR="000C213F">
        <w:rPr>
          <w:rFonts w:ascii="Times New Roman" w:hAnsi="Times New Roman"/>
          <w:sz w:val="24"/>
        </w:rPr>
        <w:t>ț</w:t>
      </w:r>
      <w:r>
        <w:rPr>
          <w:rFonts w:ascii="Times New Roman" w:hAnsi="Times New Roman"/>
          <w:sz w:val="24"/>
        </w:rPr>
        <w:t xml:space="preserve">ional </w:t>
      </w:r>
      <w:r w:rsidR="000C213F">
        <w:rPr>
          <w:rFonts w:ascii="Times New Roman" w:hAnsi="Times New Roman"/>
          <w:sz w:val="24"/>
        </w:rPr>
        <w:t>ș</w:t>
      </w:r>
      <w:r>
        <w:rPr>
          <w:rFonts w:ascii="Times New Roman" w:hAnsi="Times New Roman"/>
          <w:sz w:val="24"/>
        </w:rPr>
        <w:t>i Banca Reglementelor Interna</w:t>
      </w:r>
      <w:r w:rsidR="000C213F">
        <w:rPr>
          <w:rFonts w:ascii="Times New Roman" w:hAnsi="Times New Roman"/>
          <w:sz w:val="24"/>
        </w:rPr>
        <w:t>ț</w:t>
      </w:r>
      <w:r>
        <w:rPr>
          <w:rFonts w:ascii="Times New Roman" w:hAnsi="Times New Roman"/>
          <w:sz w:val="24"/>
        </w:rPr>
        <w:t>ionale;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institu</w:t>
      </w:r>
      <w:r w:rsidR="000C213F">
        <w:rPr>
          <w:rFonts w:ascii="Times New Roman" w:hAnsi="Times New Roman"/>
          <w:sz w:val="24"/>
        </w:rPr>
        <w:t>ț</w:t>
      </w:r>
      <w:r>
        <w:rPr>
          <w:rFonts w:ascii="Times New Roman" w:hAnsi="Times New Roman"/>
          <w:sz w:val="24"/>
        </w:rPr>
        <w:t>ii de credit: orice institu</w:t>
      </w:r>
      <w:r w:rsidR="000C213F">
        <w:rPr>
          <w:rFonts w:ascii="Times New Roman" w:hAnsi="Times New Roman"/>
          <w:sz w:val="24"/>
        </w:rPr>
        <w:t>ț</w:t>
      </w:r>
      <w:r>
        <w:rPr>
          <w:rFonts w:ascii="Times New Roman" w:hAnsi="Times New Roman"/>
          <w:sz w:val="24"/>
        </w:rPr>
        <w:t>ie căreia i se aplică defini</w:t>
      </w:r>
      <w:r w:rsidR="000C213F">
        <w:rPr>
          <w:rFonts w:ascii="Times New Roman" w:hAnsi="Times New Roman"/>
          <w:sz w:val="24"/>
        </w:rPr>
        <w:t>ț</w:t>
      </w:r>
      <w:r>
        <w:rPr>
          <w:rFonts w:ascii="Times New Roman" w:hAnsi="Times New Roman"/>
          <w:sz w:val="24"/>
        </w:rPr>
        <w:t xml:space="preserve">ia de la articolul </w:t>
      </w:r>
      <w:r w:rsidRPr="004237EC">
        <w:rPr>
          <w:rFonts w:ascii="Times New Roman" w:hAnsi="Times New Roman"/>
          <w:sz w:val="24"/>
        </w:rPr>
        <w:t>4</w:t>
      </w:r>
      <w:r>
        <w:rPr>
          <w:rFonts w:ascii="Times New Roman" w:hAnsi="Times New Roman"/>
          <w:sz w:val="24"/>
        </w:rPr>
        <w:t xml:space="preserve"> alineatul (</w:t>
      </w:r>
      <w:r w:rsidRPr="004237EC">
        <w:rPr>
          <w:rFonts w:ascii="Times New Roman" w:hAnsi="Times New Roman"/>
          <w:sz w:val="24"/>
        </w:rPr>
        <w:t>1</w:t>
      </w:r>
      <w:r>
        <w:rPr>
          <w:rFonts w:ascii="Times New Roman" w:hAnsi="Times New Roman"/>
          <w:sz w:val="24"/>
        </w:rPr>
        <w:t xml:space="preserve">) punctul </w:t>
      </w:r>
      <w:r w:rsidRPr="004237EC">
        <w:rPr>
          <w:rFonts w:ascii="Times New Roman" w:hAnsi="Times New Roman"/>
          <w:sz w:val="24"/>
        </w:rPr>
        <w:t>1</w:t>
      </w:r>
      <w:r>
        <w:rPr>
          <w:rFonts w:ascii="Times New Roman" w:hAnsi="Times New Roman"/>
          <w:sz w:val="24"/>
        </w:rPr>
        <w:t xml:space="preserve"> din CRR („o întreprindere a cărei activitate constă în atragerea de depozite sau de alte fonduri rambursabile de la public </w:t>
      </w:r>
      <w:r w:rsidR="000C213F">
        <w:rPr>
          <w:rFonts w:ascii="Times New Roman" w:hAnsi="Times New Roman"/>
          <w:sz w:val="24"/>
        </w:rPr>
        <w:t>ș</w:t>
      </w:r>
      <w:r>
        <w:rPr>
          <w:rFonts w:ascii="Times New Roman" w:hAnsi="Times New Roman"/>
          <w:sz w:val="24"/>
        </w:rPr>
        <w:t xml:space="preserve">i în acordarea de credite în cont propriu”) </w:t>
      </w:r>
      <w:r w:rsidR="000C213F">
        <w:rPr>
          <w:rFonts w:ascii="Times New Roman" w:hAnsi="Times New Roman"/>
          <w:sz w:val="24"/>
        </w:rPr>
        <w:t>ș</w:t>
      </w:r>
      <w:r>
        <w:rPr>
          <w:rFonts w:ascii="Times New Roman" w:hAnsi="Times New Roman"/>
          <w:sz w:val="24"/>
        </w:rPr>
        <w:t>i băncile multilaterale de dezvoltare;</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alte societă</w:t>
      </w:r>
      <w:r w:rsidR="000C213F">
        <w:rPr>
          <w:rFonts w:ascii="Times New Roman" w:hAnsi="Times New Roman"/>
          <w:sz w:val="24"/>
        </w:rPr>
        <w:t>ț</w:t>
      </w:r>
      <w:r>
        <w:rPr>
          <w:rFonts w:ascii="Times New Roman" w:hAnsi="Times New Roman"/>
          <w:sz w:val="24"/>
        </w:rPr>
        <w:t>i financiare: toate societă</w:t>
      </w:r>
      <w:r w:rsidR="000C213F">
        <w:rPr>
          <w:rFonts w:ascii="Times New Roman" w:hAnsi="Times New Roman"/>
          <w:sz w:val="24"/>
        </w:rPr>
        <w:t>ț</w:t>
      </w:r>
      <w:r>
        <w:rPr>
          <w:rFonts w:ascii="Times New Roman" w:hAnsi="Times New Roman"/>
          <w:sz w:val="24"/>
        </w:rPr>
        <w:t xml:space="preserve">ile financiare </w:t>
      </w:r>
      <w:r w:rsidR="000C213F">
        <w:rPr>
          <w:rFonts w:ascii="Times New Roman" w:hAnsi="Times New Roman"/>
          <w:sz w:val="24"/>
        </w:rPr>
        <w:t>ș</w:t>
      </w:r>
      <w:r>
        <w:rPr>
          <w:rFonts w:ascii="Times New Roman" w:hAnsi="Times New Roman"/>
          <w:sz w:val="24"/>
        </w:rPr>
        <w:t>i cvasi-societă</w:t>
      </w:r>
      <w:r w:rsidR="000C213F">
        <w:rPr>
          <w:rFonts w:ascii="Times New Roman" w:hAnsi="Times New Roman"/>
          <w:sz w:val="24"/>
        </w:rPr>
        <w:t>ț</w:t>
      </w:r>
      <w:r>
        <w:rPr>
          <w:rFonts w:ascii="Times New Roman" w:hAnsi="Times New Roman"/>
          <w:sz w:val="24"/>
        </w:rPr>
        <w:t>ile, altele decât institu</w:t>
      </w:r>
      <w:r w:rsidR="000C213F">
        <w:rPr>
          <w:rFonts w:ascii="Times New Roman" w:hAnsi="Times New Roman"/>
          <w:sz w:val="24"/>
        </w:rPr>
        <w:t>ț</w:t>
      </w:r>
      <w:r>
        <w:rPr>
          <w:rFonts w:ascii="Times New Roman" w:hAnsi="Times New Roman"/>
          <w:sz w:val="24"/>
        </w:rPr>
        <w:t>iile de credit, cum ar fi firmele de investi</w:t>
      </w:r>
      <w:r w:rsidR="000C213F">
        <w:rPr>
          <w:rFonts w:ascii="Times New Roman" w:hAnsi="Times New Roman"/>
          <w:sz w:val="24"/>
        </w:rPr>
        <w:t>ț</w:t>
      </w:r>
      <w:r>
        <w:rPr>
          <w:rFonts w:ascii="Times New Roman" w:hAnsi="Times New Roman"/>
          <w:sz w:val="24"/>
        </w:rPr>
        <w:t>ii, fondurile de investi</w:t>
      </w:r>
      <w:r w:rsidR="000C213F">
        <w:rPr>
          <w:rFonts w:ascii="Times New Roman" w:hAnsi="Times New Roman"/>
          <w:sz w:val="24"/>
        </w:rPr>
        <w:t>ț</w:t>
      </w:r>
      <w:r>
        <w:rPr>
          <w:rFonts w:ascii="Times New Roman" w:hAnsi="Times New Roman"/>
          <w:sz w:val="24"/>
        </w:rPr>
        <w:t>ii, societă</w:t>
      </w:r>
      <w:r w:rsidR="000C213F">
        <w:rPr>
          <w:rFonts w:ascii="Times New Roman" w:hAnsi="Times New Roman"/>
          <w:sz w:val="24"/>
        </w:rPr>
        <w:t>ț</w:t>
      </w:r>
      <w:r>
        <w:rPr>
          <w:rFonts w:ascii="Times New Roman" w:hAnsi="Times New Roman"/>
          <w:sz w:val="24"/>
        </w:rPr>
        <w:t xml:space="preserve">ile de asigurări, fondurile de pensii, organismele de plasament colectiv </w:t>
      </w:r>
      <w:r w:rsidR="000C213F">
        <w:rPr>
          <w:rFonts w:ascii="Times New Roman" w:hAnsi="Times New Roman"/>
          <w:sz w:val="24"/>
        </w:rPr>
        <w:t>ș</w:t>
      </w:r>
      <w:r>
        <w:rPr>
          <w:rFonts w:ascii="Times New Roman" w:hAnsi="Times New Roman"/>
          <w:sz w:val="24"/>
        </w:rPr>
        <w:t xml:space="preserve">i casele de compensare, precum </w:t>
      </w:r>
      <w:r w:rsidR="000C213F">
        <w:rPr>
          <w:rFonts w:ascii="Times New Roman" w:hAnsi="Times New Roman"/>
          <w:sz w:val="24"/>
        </w:rPr>
        <w:t>ș</w:t>
      </w:r>
      <w:r>
        <w:rPr>
          <w:rFonts w:ascii="Times New Roman" w:hAnsi="Times New Roman"/>
          <w:sz w:val="24"/>
        </w:rPr>
        <w:t>i al</w:t>
      </w:r>
      <w:r w:rsidR="000C213F">
        <w:rPr>
          <w:rFonts w:ascii="Times New Roman" w:hAnsi="Times New Roman"/>
          <w:sz w:val="24"/>
        </w:rPr>
        <w:t>ț</w:t>
      </w:r>
      <w:r>
        <w:rPr>
          <w:rFonts w:ascii="Times New Roman" w:hAnsi="Times New Roman"/>
          <w:sz w:val="24"/>
        </w:rPr>
        <w:t xml:space="preserve">i intermediari financiari, auxiliari financiari </w:t>
      </w:r>
      <w:r w:rsidR="000C213F">
        <w:rPr>
          <w:rFonts w:ascii="Times New Roman" w:hAnsi="Times New Roman"/>
          <w:sz w:val="24"/>
        </w:rPr>
        <w:t>ș</w:t>
      </w:r>
      <w:r>
        <w:rPr>
          <w:rFonts w:ascii="Times New Roman" w:hAnsi="Times New Roman"/>
          <w:sz w:val="24"/>
        </w:rPr>
        <w:t>i alte institu</w:t>
      </w:r>
      <w:r w:rsidR="000C213F">
        <w:rPr>
          <w:rFonts w:ascii="Times New Roman" w:hAnsi="Times New Roman"/>
          <w:sz w:val="24"/>
        </w:rPr>
        <w:t>ț</w:t>
      </w:r>
      <w:r>
        <w:rPr>
          <w:rFonts w:ascii="Times New Roman" w:hAnsi="Times New Roman"/>
          <w:sz w:val="24"/>
        </w:rPr>
        <w:t xml:space="preserve">ii financiare captive </w:t>
      </w:r>
      <w:r w:rsidR="000C213F">
        <w:rPr>
          <w:rFonts w:ascii="Times New Roman" w:hAnsi="Times New Roman"/>
          <w:sz w:val="24"/>
        </w:rPr>
        <w:t>ș</w:t>
      </w:r>
      <w:r>
        <w:rPr>
          <w:rFonts w:ascii="Times New Roman" w:hAnsi="Times New Roman"/>
          <w:sz w:val="24"/>
        </w:rPr>
        <w:t>i entită</w:t>
      </w:r>
      <w:r w:rsidR="000C213F">
        <w:rPr>
          <w:rFonts w:ascii="Times New Roman" w:hAnsi="Times New Roman"/>
          <w:sz w:val="24"/>
        </w:rPr>
        <w:t>ț</w:t>
      </w:r>
      <w:r>
        <w:rPr>
          <w:rFonts w:ascii="Times New Roman" w:hAnsi="Times New Roman"/>
          <w:sz w:val="24"/>
        </w:rPr>
        <w:t>i creditoare;</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societă</w:t>
      </w:r>
      <w:r w:rsidR="000C213F">
        <w:rPr>
          <w:rFonts w:ascii="Times New Roman" w:hAnsi="Times New Roman"/>
          <w:sz w:val="24"/>
        </w:rPr>
        <w:t>ț</w:t>
      </w:r>
      <w:r>
        <w:rPr>
          <w:rFonts w:ascii="Times New Roman" w:hAnsi="Times New Roman"/>
          <w:sz w:val="24"/>
        </w:rPr>
        <w:t>i nefinanciare: societă</w:t>
      </w:r>
      <w:r w:rsidR="000C213F">
        <w:rPr>
          <w:rFonts w:ascii="Times New Roman" w:hAnsi="Times New Roman"/>
          <w:sz w:val="24"/>
        </w:rPr>
        <w:t>ț</w:t>
      </w:r>
      <w:r>
        <w:rPr>
          <w:rFonts w:ascii="Times New Roman" w:hAnsi="Times New Roman"/>
          <w:sz w:val="24"/>
        </w:rPr>
        <w:t xml:space="preserve">i </w:t>
      </w:r>
      <w:r w:rsidR="000C213F">
        <w:rPr>
          <w:rFonts w:ascii="Times New Roman" w:hAnsi="Times New Roman"/>
          <w:sz w:val="24"/>
        </w:rPr>
        <w:t>ș</w:t>
      </w:r>
      <w:r>
        <w:rPr>
          <w:rFonts w:ascii="Times New Roman" w:hAnsi="Times New Roman"/>
          <w:sz w:val="24"/>
        </w:rPr>
        <w:t>i cvasi-societă</w:t>
      </w:r>
      <w:r w:rsidR="000C213F">
        <w:rPr>
          <w:rFonts w:ascii="Times New Roman" w:hAnsi="Times New Roman"/>
          <w:sz w:val="24"/>
        </w:rPr>
        <w:t>ț</w:t>
      </w:r>
      <w:r>
        <w:rPr>
          <w:rFonts w:ascii="Times New Roman" w:hAnsi="Times New Roman"/>
          <w:sz w:val="24"/>
        </w:rPr>
        <w:t>i a căror activitate nu constă în intermedierea financiară ci, în principal, în produc</w:t>
      </w:r>
      <w:r w:rsidR="000C213F">
        <w:rPr>
          <w:rFonts w:ascii="Times New Roman" w:hAnsi="Times New Roman"/>
          <w:sz w:val="24"/>
        </w:rPr>
        <w:t>ț</w:t>
      </w:r>
      <w:r>
        <w:rPr>
          <w:rFonts w:ascii="Times New Roman" w:hAnsi="Times New Roman"/>
          <w:sz w:val="24"/>
        </w:rPr>
        <w:t>ia de bunuri de pia</w:t>
      </w:r>
      <w:r w:rsidR="000C213F">
        <w:rPr>
          <w:rFonts w:ascii="Times New Roman" w:hAnsi="Times New Roman"/>
          <w:sz w:val="24"/>
        </w:rPr>
        <w:t>ț</w:t>
      </w:r>
      <w:r>
        <w:rPr>
          <w:rFonts w:ascii="Times New Roman" w:hAnsi="Times New Roman"/>
          <w:sz w:val="24"/>
        </w:rPr>
        <w:t xml:space="preserve">ă </w:t>
      </w:r>
      <w:r w:rsidR="000C213F">
        <w:rPr>
          <w:rFonts w:ascii="Times New Roman" w:hAnsi="Times New Roman"/>
          <w:sz w:val="24"/>
        </w:rPr>
        <w:t>ș</w:t>
      </w:r>
      <w:r>
        <w:rPr>
          <w:rFonts w:ascii="Times New Roman" w:hAnsi="Times New Roman"/>
          <w:sz w:val="24"/>
        </w:rPr>
        <w:t xml:space="preserve">i servicii nefinanciare conform Regulamentului BCE 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gospodării: persoane sau grupuri de persoane, cum ar fi consumatorii </w:t>
      </w:r>
      <w:r w:rsidR="000C213F">
        <w:rPr>
          <w:rFonts w:ascii="Times New Roman" w:hAnsi="Times New Roman"/>
          <w:sz w:val="24"/>
        </w:rPr>
        <w:t>ș</w:t>
      </w:r>
      <w:r>
        <w:rPr>
          <w:rFonts w:ascii="Times New Roman" w:hAnsi="Times New Roman"/>
          <w:sz w:val="24"/>
        </w:rPr>
        <w:t xml:space="preserve">i producătorii de bunuri </w:t>
      </w:r>
      <w:r w:rsidR="000C213F">
        <w:rPr>
          <w:rFonts w:ascii="Times New Roman" w:hAnsi="Times New Roman"/>
          <w:sz w:val="24"/>
        </w:rPr>
        <w:t>ș</w:t>
      </w:r>
      <w:r>
        <w:rPr>
          <w:rFonts w:ascii="Times New Roman" w:hAnsi="Times New Roman"/>
          <w:sz w:val="24"/>
        </w:rPr>
        <w:t xml:space="preserve">i de servicii nefinanciare exclusiv pentru consumul final al acestora </w:t>
      </w:r>
      <w:r w:rsidR="000C213F">
        <w:rPr>
          <w:rFonts w:ascii="Times New Roman" w:hAnsi="Times New Roman"/>
          <w:sz w:val="24"/>
        </w:rPr>
        <w:t>ș</w:t>
      </w:r>
      <w:r>
        <w:rPr>
          <w:rFonts w:ascii="Times New Roman" w:hAnsi="Times New Roman"/>
          <w:sz w:val="24"/>
        </w:rPr>
        <w:t>i producători de bunuri de pia</w:t>
      </w:r>
      <w:r w:rsidR="000C213F">
        <w:rPr>
          <w:rFonts w:ascii="Times New Roman" w:hAnsi="Times New Roman"/>
          <w:sz w:val="24"/>
        </w:rPr>
        <w:t>ț</w:t>
      </w:r>
      <w:r>
        <w:rPr>
          <w:rFonts w:ascii="Times New Roman" w:hAnsi="Times New Roman"/>
          <w:sz w:val="24"/>
        </w:rPr>
        <w:t xml:space="preserve">ă </w:t>
      </w:r>
      <w:r w:rsidR="000C213F">
        <w:rPr>
          <w:rFonts w:ascii="Times New Roman" w:hAnsi="Times New Roman"/>
          <w:sz w:val="24"/>
        </w:rPr>
        <w:t>ș</w:t>
      </w:r>
      <w:r>
        <w:rPr>
          <w:rFonts w:ascii="Times New Roman" w:hAnsi="Times New Roman"/>
          <w:sz w:val="24"/>
        </w:rPr>
        <w:t xml:space="preserve">i servicii nefinanciare </w:t>
      </w:r>
      <w:r w:rsidR="000C213F">
        <w:rPr>
          <w:rFonts w:ascii="Times New Roman" w:hAnsi="Times New Roman"/>
          <w:sz w:val="24"/>
        </w:rPr>
        <w:t>ș</w:t>
      </w:r>
      <w:r>
        <w:rPr>
          <w:rFonts w:ascii="Times New Roman" w:hAnsi="Times New Roman"/>
          <w:sz w:val="24"/>
        </w:rPr>
        <w:t>i financiare, cu condi</w:t>
      </w:r>
      <w:r w:rsidR="000C213F">
        <w:rPr>
          <w:rFonts w:ascii="Times New Roman" w:hAnsi="Times New Roman"/>
          <w:sz w:val="24"/>
        </w:rPr>
        <w:t>ț</w:t>
      </w:r>
      <w:r>
        <w:rPr>
          <w:rFonts w:ascii="Times New Roman" w:hAnsi="Times New Roman"/>
          <w:sz w:val="24"/>
        </w:rPr>
        <w:t>ia ca activită</w:t>
      </w:r>
      <w:r w:rsidR="000C213F">
        <w:rPr>
          <w:rFonts w:ascii="Times New Roman" w:hAnsi="Times New Roman"/>
          <w:sz w:val="24"/>
        </w:rPr>
        <w:t>ț</w:t>
      </w:r>
      <w:r>
        <w:rPr>
          <w:rFonts w:ascii="Times New Roman" w:hAnsi="Times New Roman"/>
          <w:sz w:val="24"/>
        </w:rPr>
        <w:t>ile acestora să nu fie cele ale cvasi-societă</w:t>
      </w:r>
      <w:r w:rsidR="000C213F">
        <w:rPr>
          <w:rFonts w:ascii="Times New Roman" w:hAnsi="Times New Roman"/>
          <w:sz w:val="24"/>
        </w:rPr>
        <w:t>ț</w:t>
      </w:r>
      <w:r>
        <w:rPr>
          <w:rFonts w:ascii="Times New Roman" w:hAnsi="Times New Roman"/>
          <w:sz w:val="24"/>
        </w:rPr>
        <w:t>ilor. Sunt, de asemenea, incluse institu</w:t>
      </w:r>
      <w:r w:rsidR="000C213F">
        <w:rPr>
          <w:rFonts w:ascii="Times New Roman" w:hAnsi="Times New Roman"/>
          <w:sz w:val="24"/>
        </w:rPr>
        <w:t>ț</w:t>
      </w:r>
      <w:r>
        <w:rPr>
          <w:rFonts w:ascii="Times New Roman" w:hAnsi="Times New Roman"/>
          <w:sz w:val="24"/>
        </w:rPr>
        <w:t>iile fără scop lucrativ în serviciul gospodăriilor popula</w:t>
      </w:r>
      <w:r w:rsidR="000C213F">
        <w:rPr>
          <w:rFonts w:ascii="Times New Roman" w:hAnsi="Times New Roman"/>
          <w:sz w:val="24"/>
        </w:rPr>
        <w:t>ț</w:t>
      </w:r>
      <w:r>
        <w:rPr>
          <w:rFonts w:ascii="Times New Roman" w:hAnsi="Times New Roman"/>
          <w:sz w:val="24"/>
        </w:rPr>
        <w:t xml:space="preserve">iei („IFSLSGP”) </w:t>
      </w:r>
      <w:r w:rsidR="000C213F">
        <w:rPr>
          <w:rFonts w:ascii="Times New Roman" w:hAnsi="Times New Roman"/>
          <w:sz w:val="24"/>
        </w:rPr>
        <w:t>ș</w:t>
      </w:r>
      <w:r>
        <w:rPr>
          <w:rFonts w:ascii="Times New Roman" w:hAnsi="Times New Roman"/>
          <w:sz w:val="24"/>
        </w:rPr>
        <w:t>i a căror activitate principală constă în produc</w:t>
      </w:r>
      <w:r w:rsidR="000C213F">
        <w:rPr>
          <w:rFonts w:ascii="Times New Roman" w:hAnsi="Times New Roman"/>
          <w:sz w:val="24"/>
        </w:rPr>
        <w:t>ț</w:t>
      </w:r>
      <w:r>
        <w:rPr>
          <w:rFonts w:ascii="Times New Roman" w:hAnsi="Times New Roman"/>
          <w:sz w:val="24"/>
        </w:rPr>
        <w:t xml:space="preserve">ia de bunuri </w:t>
      </w:r>
      <w:r w:rsidR="000C213F">
        <w:rPr>
          <w:rFonts w:ascii="Times New Roman" w:hAnsi="Times New Roman"/>
          <w:sz w:val="24"/>
        </w:rPr>
        <w:t>ș</w:t>
      </w:r>
      <w:r>
        <w:rPr>
          <w:rFonts w:ascii="Times New Roman" w:hAnsi="Times New Roman"/>
          <w:sz w:val="24"/>
        </w:rPr>
        <w:t>i prestarea de servicii fără caracter comercial pentru grupuri specifice de gospodării ale popula</w:t>
      </w:r>
      <w:r w:rsidR="000C213F">
        <w:rPr>
          <w:rFonts w:ascii="Times New Roman" w:hAnsi="Times New Roman"/>
          <w:sz w:val="24"/>
        </w:rPr>
        <w:t>ț</w:t>
      </w:r>
      <w:r>
        <w:rPr>
          <w:rFonts w:ascii="Times New Roman" w:hAnsi="Times New Roman"/>
          <w:sz w:val="24"/>
        </w:rPr>
        <w:t xml:space="preserve">iei. </w:t>
      </w:r>
    </w:p>
    <w:p w:rsidR="009569C7" w:rsidRPr="00EC4FA2" w:rsidRDefault="00A834F1" w:rsidP="009569C7">
      <w:pPr>
        <w:pStyle w:val="Baseparagraphnumbered"/>
      </w:pPr>
      <w:r>
        <w:t>Alocarea în func</w:t>
      </w:r>
      <w:r w:rsidR="000C213F">
        <w:t>ț</w:t>
      </w:r>
      <w:r>
        <w:t>ie de sectorul contrapăr</w:t>
      </w:r>
      <w:r w:rsidR="000C213F">
        <w:t>ț</w:t>
      </w:r>
      <w:r>
        <w:t>ii se bazează exclusiv pe natura contrapăr</w:t>
      </w:r>
      <w:r w:rsidR="000C213F">
        <w:t>ț</w:t>
      </w:r>
      <w:r>
        <w:t>ii imediate. Clasificarea expunerilor comune fa</w:t>
      </w:r>
      <w:r w:rsidR="000C213F">
        <w:t>ț</w:t>
      </w:r>
      <w:r>
        <w:t>ă de mai mul</w:t>
      </w:r>
      <w:r w:rsidR="000C213F">
        <w:t>ț</w:t>
      </w:r>
      <w:r>
        <w:t>i debitori se realizează pe baza caracteristicilor debitorului care a fost cel mai relevant sau determinant pentru ca institu</w:t>
      </w:r>
      <w:r w:rsidR="000C213F">
        <w:t>ț</w:t>
      </w:r>
      <w:r>
        <w:t>ia să acorde expunerea. Printre alte clasificări, distribu</w:t>
      </w:r>
      <w:r w:rsidR="000C213F">
        <w:t>ț</w:t>
      </w:r>
      <w:r>
        <w:t>ia expunerilor comune în func</w:t>
      </w:r>
      <w:r w:rsidR="000C213F">
        <w:t>ț</w:t>
      </w:r>
      <w:r>
        <w:t>ie de sectorul contrapăr</w:t>
      </w:r>
      <w:r w:rsidR="000C213F">
        <w:t>ț</w:t>
      </w:r>
      <w:r>
        <w:t xml:space="preserve">ii, </w:t>
      </w:r>
      <w:r w:rsidR="000C213F">
        <w:t>ț</w:t>
      </w:r>
      <w:r>
        <w:t>ara de re</w:t>
      </w:r>
      <w:r w:rsidR="000C213F">
        <w:t>ș</w:t>
      </w:r>
      <w:r>
        <w:t>edin</w:t>
      </w:r>
      <w:r w:rsidR="000C213F">
        <w:t>ț</w:t>
      </w:r>
      <w:r>
        <w:t xml:space="preserve">ă </w:t>
      </w:r>
      <w:r w:rsidR="000C213F">
        <w:t>ș</w:t>
      </w:r>
      <w:r>
        <w:t>i codurile NACE este determinată de caracteristicile debitorului celui mai relevant sau determinant.</w:t>
      </w:r>
    </w:p>
    <w:p w:rsidR="009569C7" w:rsidRPr="00EC4FA2" w:rsidRDefault="00A834F1" w:rsidP="009569C7">
      <w:pPr>
        <w:pStyle w:val="Baseparagraphnumbered"/>
      </w:pPr>
      <w:r>
        <w:lastRenderedPageBreak/>
        <w:t>Contrapăr</w:t>
      </w:r>
      <w:r w:rsidR="000C213F">
        <w:t>ț</w:t>
      </w:r>
      <w:r>
        <w:t>ile imediate în următoarele tranzac</w:t>
      </w:r>
      <w:r w:rsidR="000C213F">
        <w:t>ț</w:t>
      </w:r>
      <w:r>
        <w:t>ii sunt: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pentru credite </w:t>
      </w:r>
      <w:r w:rsidR="000C213F">
        <w:rPr>
          <w:rFonts w:ascii="Times New Roman" w:hAnsi="Times New Roman"/>
          <w:sz w:val="24"/>
        </w:rPr>
        <w:t>ș</w:t>
      </w:r>
      <w:r>
        <w:rPr>
          <w:rFonts w:ascii="Times New Roman" w:hAnsi="Times New Roman"/>
          <w:sz w:val="24"/>
        </w:rPr>
        <w:t>i avansuri, debitorul imediat.</w:t>
      </w:r>
      <w:r>
        <w:t xml:space="preserve"> </w:t>
      </w:r>
      <w:r>
        <w:rPr>
          <w:rFonts w:ascii="Times New Roman" w:hAnsi="Times New Roman"/>
          <w:sz w:val="24"/>
        </w:rPr>
        <w:t>În cazul crean</w:t>
      </w:r>
      <w:r w:rsidR="000C213F">
        <w:rPr>
          <w:rFonts w:ascii="Times New Roman" w:hAnsi="Times New Roman"/>
          <w:sz w:val="24"/>
        </w:rPr>
        <w:t>ț</w:t>
      </w:r>
      <w:r>
        <w:rPr>
          <w:rFonts w:ascii="Times New Roman" w:hAnsi="Times New Roman"/>
          <w:sz w:val="24"/>
        </w:rPr>
        <w:t>elor comerciale, debitorul imediat este contrapartea obligată la plata crean</w:t>
      </w:r>
      <w:r w:rsidR="000C213F">
        <w:rPr>
          <w:rFonts w:ascii="Times New Roman" w:hAnsi="Times New Roman"/>
          <w:sz w:val="24"/>
        </w:rPr>
        <w:t>ț</w:t>
      </w:r>
      <w:r>
        <w:rPr>
          <w:rFonts w:ascii="Times New Roman" w:hAnsi="Times New Roman"/>
          <w:sz w:val="24"/>
        </w:rPr>
        <w:t>elor, exceptând în tranzac</w:t>
      </w:r>
      <w:r w:rsidR="000C213F">
        <w:rPr>
          <w:rFonts w:ascii="Times New Roman" w:hAnsi="Times New Roman"/>
          <w:sz w:val="24"/>
        </w:rPr>
        <w:t>ț</w:t>
      </w:r>
      <w:r>
        <w:rPr>
          <w:rFonts w:ascii="Times New Roman" w:hAnsi="Times New Roman"/>
          <w:sz w:val="24"/>
        </w:rPr>
        <w:t>iile cu recurs, în care debitorul imediat este entitatea care transferă crean</w:t>
      </w:r>
      <w:r w:rsidR="000C213F">
        <w:rPr>
          <w:rFonts w:ascii="Times New Roman" w:hAnsi="Times New Roman"/>
          <w:sz w:val="24"/>
        </w:rPr>
        <w:t>ț</w:t>
      </w:r>
      <w:r>
        <w:rPr>
          <w:rFonts w:ascii="Times New Roman" w:hAnsi="Times New Roman"/>
          <w:sz w:val="24"/>
        </w:rPr>
        <w:t>ele în cazul în care</w:t>
      </w:r>
      <w:r>
        <w:t xml:space="preserve"> </w:t>
      </w:r>
      <w:r>
        <w:rPr>
          <w:rFonts w:ascii="Times New Roman" w:hAnsi="Times New Roman"/>
          <w:sz w:val="24"/>
        </w:rPr>
        <w:t>institu</w:t>
      </w:r>
      <w:r w:rsidR="000C213F">
        <w:rPr>
          <w:rFonts w:ascii="Times New Roman" w:hAnsi="Times New Roman"/>
          <w:sz w:val="24"/>
        </w:rPr>
        <w:t>ț</w:t>
      </w:r>
      <w:r>
        <w:rPr>
          <w:rFonts w:ascii="Times New Roman" w:hAnsi="Times New Roman"/>
          <w:sz w:val="24"/>
        </w:rPr>
        <w:t>ia raportoare nu dobânde</w:t>
      </w:r>
      <w:r w:rsidR="000C213F">
        <w:rPr>
          <w:rFonts w:ascii="Times New Roman" w:hAnsi="Times New Roman"/>
          <w:sz w:val="24"/>
        </w:rPr>
        <w:t>ș</w:t>
      </w:r>
      <w:r>
        <w:rPr>
          <w:rFonts w:ascii="Times New Roman" w:hAnsi="Times New Roman"/>
          <w:sz w:val="24"/>
        </w:rPr>
        <w:t xml:space="preserve">te cea mai mare parte a tuturor riscurilor </w:t>
      </w:r>
      <w:r w:rsidR="000C213F">
        <w:rPr>
          <w:rFonts w:ascii="Times New Roman" w:hAnsi="Times New Roman"/>
          <w:sz w:val="24"/>
        </w:rPr>
        <w:t>ș</w:t>
      </w:r>
      <w:r>
        <w:rPr>
          <w:rFonts w:ascii="Times New Roman" w:hAnsi="Times New Roman"/>
          <w:sz w:val="24"/>
        </w:rPr>
        <w:t>i a recompenselor aferente dreptului de proprietate asupra crean</w:t>
      </w:r>
      <w:r w:rsidR="000C213F">
        <w:rPr>
          <w:rFonts w:ascii="Times New Roman" w:hAnsi="Times New Roman"/>
          <w:sz w:val="24"/>
        </w:rPr>
        <w:t>ț</w:t>
      </w:r>
      <w:r>
        <w:rPr>
          <w:rFonts w:ascii="Times New Roman" w:hAnsi="Times New Roman"/>
          <w:sz w:val="24"/>
        </w:rPr>
        <w:t>elor transferate;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pentru titlurile de datorie </w:t>
      </w:r>
      <w:r w:rsidR="000C213F">
        <w:rPr>
          <w:rFonts w:ascii="Times New Roman" w:hAnsi="Times New Roman"/>
          <w:sz w:val="24"/>
        </w:rPr>
        <w:t>ș</w:t>
      </w:r>
      <w:r>
        <w:rPr>
          <w:rFonts w:ascii="Times New Roman" w:hAnsi="Times New Roman"/>
          <w:sz w:val="24"/>
        </w:rPr>
        <w:t xml:space="preserve">i instrumentele de capitaluri proprii, emitentul titlurilor de valoare;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depozite, deponentul;</w:t>
      </w:r>
      <w:r w:rsidR="004237EC">
        <w:rPr>
          <w:rFonts w:ascii="Times New Roman" w:hAnsi="Times New Roman"/>
          <w:sz w:val="24"/>
        </w:rPr>
        <w:t xml:space="preserv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pozi</w:t>
      </w:r>
      <w:r w:rsidR="000C213F">
        <w:rPr>
          <w:rFonts w:ascii="Times New Roman" w:hAnsi="Times New Roman"/>
          <w:sz w:val="24"/>
        </w:rPr>
        <w:t>ț</w:t>
      </w:r>
      <w:r>
        <w:rPr>
          <w:rFonts w:ascii="Times New Roman" w:hAnsi="Times New Roman"/>
          <w:sz w:val="24"/>
        </w:rPr>
        <w:t>iile scurte, contrapartea la opera</w:t>
      </w:r>
      <w:r w:rsidR="000C213F">
        <w:rPr>
          <w:rFonts w:ascii="Times New Roman" w:hAnsi="Times New Roman"/>
          <w:sz w:val="24"/>
        </w:rPr>
        <w:t>ț</w:t>
      </w:r>
      <w:r>
        <w:rPr>
          <w:rFonts w:ascii="Times New Roman" w:hAnsi="Times New Roman"/>
          <w:sz w:val="24"/>
        </w:rPr>
        <w:t>iunea de luare cu împrumut de titluri sau la acordul reverse repo;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instrumente derivate, contrapartea directă la contractul pe instrumente derivate. Pentru instrumentele derivate extrabursiere compensate la nivel central, contrapartea directă este casa de compensare în calitate de contraparte centrală. Defalcarea contrapăr</w:t>
      </w:r>
      <w:r w:rsidR="000C213F">
        <w:rPr>
          <w:rFonts w:ascii="Times New Roman" w:hAnsi="Times New Roman"/>
          <w:sz w:val="24"/>
        </w:rPr>
        <w:t>ț</w:t>
      </w:r>
      <w:r>
        <w:rPr>
          <w:rFonts w:ascii="Times New Roman" w:hAnsi="Times New Roman"/>
          <w:sz w:val="24"/>
        </w:rPr>
        <w:t>ilor pentru instrumentele derivate pe riscul de credit se referă la sectorul din care face parte contrapartea la contract (cumpărător sau vânzător de protec</w:t>
      </w:r>
      <w:r w:rsidR="000C213F">
        <w:rPr>
          <w:rFonts w:ascii="Times New Roman" w:hAnsi="Times New Roman"/>
          <w:sz w:val="24"/>
        </w:rPr>
        <w:t>ț</w:t>
      </w:r>
      <w:r>
        <w:rPr>
          <w:rFonts w:ascii="Times New Roman" w:hAnsi="Times New Roman"/>
          <w:sz w:val="24"/>
        </w:rPr>
        <w:t>ie);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garan</w:t>
      </w:r>
      <w:r w:rsidR="000C213F">
        <w:rPr>
          <w:rFonts w:ascii="Times New Roman" w:hAnsi="Times New Roman"/>
          <w:sz w:val="24"/>
        </w:rPr>
        <w:t>ț</w:t>
      </w:r>
      <w:r>
        <w:rPr>
          <w:rFonts w:ascii="Times New Roman" w:hAnsi="Times New Roman"/>
          <w:sz w:val="24"/>
        </w:rPr>
        <w:t>iile financiare date, contrapartea este contrapartea directă la instrumentul de datorie garantat;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pentru angajamentele de creditare </w:t>
      </w:r>
      <w:r w:rsidR="000C213F">
        <w:rPr>
          <w:rFonts w:ascii="Times New Roman" w:hAnsi="Times New Roman"/>
          <w:sz w:val="24"/>
        </w:rPr>
        <w:t>ș</w:t>
      </w:r>
      <w:r>
        <w:rPr>
          <w:rFonts w:ascii="Times New Roman" w:hAnsi="Times New Roman"/>
          <w:sz w:val="24"/>
        </w:rPr>
        <w:t>i alte angajamente date, contrapartea al cărei risc de credit este asumat de institu</w:t>
      </w:r>
      <w:r w:rsidR="000C213F">
        <w:rPr>
          <w:rFonts w:ascii="Times New Roman" w:hAnsi="Times New Roman"/>
          <w:sz w:val="24"/>
        </w:rPr>
        <w:t>ț</w:t>
      </w:r>
      <w:r>
        <w:rPr>
          <w:rFonts w:ascii="Times New Roman" w:hAnsi="Times New Roman"/>
          <w:sz w:val="24"/>
        </w:rPr>
        <w:t xml:space="preserve">ia raportoare;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pentru angajamentele de creditare, garan</w:t>
      </w:r>
      <w:r w:rsidR="000C213F">
        <w:rPr>
          <w:rFonts w:ascii="Times New Roman" w:hAnsi="Times New Roman"/>
          <w:sz w:val="24"/>
        </w:rPr>
        <w:t>ț</w:t>
      </w:r>
      <w:r>
        <w:rPr>
          <w:rFonts w:ascii="Times New Roman" w:hAnsi="Times New Roman"/>
          <w:sz w:val="24"/>
        </w:rPr>
        <w:t xml:space="preserve">iile financiare </w:t>
      </w:r>
      <w:r w:rsidR="000C213F">
        <w:rPr>
          <w:rFonts w:ascii="Times New Roman" w:hAnsi="Times New Roman"/>
          <w:sz w:val="24"/>
        </w:rPr>
        <w:t>ș</w:t>
      </w:r>
      <w:r>
        <w:rPr>
          <w:rFonts w:ascii="Times New Roman" w:hAnsi="Times New Roman"/>
          <w:sz w:val="24"/>
        </w:rPr>
        <w:t>i alte angajamente primite, garantul sau contrapartea care a oferit angajamentul institu</w:t>
      </w:r>
      <w:r w:rsidR="000C213F">
        <w:rPr>
          <w:rFonts w:ascii="Times New Roman" w:hAnsi="Times New Roman"/>
          <w:sz w:val="24"/>
        </w:rPr>
        <w:t>ț</w:t>
      </w:r>
      <w:r>
        <w:rPr>
          <w:rFonts w:ascii="Times New Roman" w:hAnsi="Times New Roman"/>
          <w:sz w:val="24"/>
        </w:rPr>
        <w:t>iei raportoare.</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 xml:space="preserve">PARTEA </w:t>
      </w:r>
      <w:r w:rsidRPr="004237EC">
        <w:rPr>
          <w:rFonts w:ascii="Times New Roman" w:hAnsi="Times New Roman"/>
          <w:b/>
          <w:sz w:val="24"/>
        </w:rPr>
        <w:t>2</w:t>
      </w:r>
      <w:bookmarkEnd w:id="43"/>
    </w:p>
    <w:p w:rsidR="009569C7" w:rsidRPr="00EC4FA2" w:rsidRDefault="00A834F1" w:rsidP="009569C7">
      <w:pPr>
        <w:pStyle w:val="Heading1"/>
        <w:jc w:val="both"/>
      </w:pPr>
      <w:bookmarkStart w:id="44" w:name="_Toc362359281"/>
      <w:bookmarkStart w:id="45" w:name="_Toc467855205"/>
      <w:bookmarkStart w:id="46" w:name="_Toc485897537"/>
      <w:r>
        <w:t>Instruc</w:t>
      </w:r>
      <w:r w:rsidR="000C213F">
        <w:t>ț</w:t>
      </w:r>
      <w:r>
        <w:t>iuni aferente formularelor</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485897538"/>
      <w:r>
        <w:t>Bilan</w:t>
      </w:r>
      <w:r w:rsidR="000C213F">
        <w:t>ț</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485897539"/>
      <w:r>
        <w:t>Active (</w:t>
      </w:r>
      <w:r w:rsidRPr="004237EC">
        <w:t>1</w:t>
      </w:r>
      <w:r>
        <w:t>.</w:t>
      </w:r>
      <w:r w:rsidRPr="004237EC">
        <w:t>1</w:t>
      </w:r>
      <w:r>
        <w:t>)</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„Numerar în casă” include de</w:t>
      </w:r>
      <w:r w:rsidR="000C213F">
        <w:t>ț</w:t>
      </w:r>
      <w:r>
        <w:t xml:space="preserve">inerile de bancnote </w:t>
      </w:r>
      <w:r w:rsidR="000C213F">
        <w:t>ș</w:t>
      </w:r>
      <w:r>
        <w:t>i monede na</w:t>
      </w:r>
      <w:r w:rsidR="000C213F">
        <w:t>ț</w:t>
      </w:r>
      <w:r>
        <w:t xml:space="preserve">ionale </w:t>
      </w:r>
      <w:r w:rsidR="000C213F">
        <w:t>ș</w:t>
      </w:r>
      <w:r>
        <w:t>i străine în circula</w:t>
      </w:r>
      <w:r w:rsidR="000C213F">
        <w:t>ț</w:t>
      </w:r>
      <w:r>
        <w:t>ie care sunt utilizate în mod obi</w:t>
      </w:r>
      <w:r w:rsidR="000C213F">
        <w:t>ș</w:t>
      </w:r>
      <w:r>
        <w:t>nuit pentru a face plă</w:t>
      </w:r>
      <w:r w:rsidR="000C213F">
        <w:t>ț</w:t>
      </w:r>
      <w:r>
        <w:t>i.</w:t>
      </w:r>
    </w:p>
    <w:p w:rsidR="009569C7" w:rsidRPr="00EC4FA2" w:rsidRDefault="00A834F1" w:rsidP="009569C7">
      <w:pPr>
        <w:pStyle w:val="Baseparagraphnumbered"/>
      </w:pPr>
      <w:r>
        <w:t>„Soldurile de numerar la bănci centrale” includ soldurile de încasat la vedere la băncile centrale.</w:t>
      </w:r>
    </w:p>
    <w:p w:rsidR="009569C7" w:rsidRPr="00EC4FA2" w:rsidRDefault="00A834F1" w:rsidP="009569C7">
      <w:pPr>
        <w:pStyle w:val="Baseparagraphnumbered"/>
      </w:pPr>
      <w:r>
        <w:t>„Alte depozite la vedere” includ soldurile de încasat la vedere la institu</w:t>
      </w:r>
      <w:r w:rsidR="000C213F">
        <w:t>ț</w:t>
      </w:r>
      <w:r>
        <w:t xml:space="preserve">ii de credit. </w:t>
      </w:r>
    </w:p>
    <w:p w:rsidR="009569C7" w:rsidRPr="00EC4FA2" w:rsidRDefault="00A834F1" w:rsidP="009569C7">
      <w:pPr>
        <w:pStyle w:val="Baseparagraphnumbered"/>
      </w:pPr>
      <w:r>
        <w:lastRenderedPageBreak/>
        <w:t>„Investi</w:t>
      </w:r>
      <w:r w:rsidR="000C213F">
        <w:t>ț</w:t>
      </w:r>
      <w:r>
        <w:t>iile în filiale, asocieri în participa</w:t>
      </w:r>
      <w:r w:rsidR="000C213F">
        <w:t>ț</w:t>
      </w:r>
      <w:r>
        <w:t xml:space="preserve">ie </w:t>
      </w:r>
      <w:r w:rsidR="000C213F">
        <w:t>ș</w:t>
      </w:r>
      <w:r>
        <w:t>i entită</w:t>
      </w:r>
      <w:r w:rsidR="000C213F">
        <w:t>ț</w:t>
      </w:r>
      <w:r>
        <w:t>i asociate” includ investi</w:t>
      </w:r>
      <w:r w:rsidR="000C213F">
        <w:t>ț</w:t>
      </w:r>
      <w:r>
        <w:t>iile în entită</w:t>
      </w:r>
      <w:r w:rsidR="000C213F">
        <w:t>ț</w:t>
      </w:r>
      <w:r>
        <w:t>i asociate, asocieri în participa</w:t>
      </w:r>
      <w:r w:rsidR="000C213F">
        <w:t>ț</w:t>
      </w:r>
      <w:r>
        <w:t xml:space="preserve">ie </w:t>
      </w:r>
      <w:r w:rsidR="000C213F">
        <w:t>ș</w:t>
      </w:r>
      <w:r>
        <w:t>i filiale care nu sunt consolidate integral sau propor</w:t>
      </w:r>
      <w:r w:rsidR="000C213F">
        <w:t>ț</w:t>
      </w:r>
      <w:r>
        <w:t>ional în perimetrul de consolidare reglementat, cu excep</w:t>
      </w:r>
      <w:r w:rsidR="000C213F">
        <w:t>ț</w:t>
      </w:r>
      <w:r>
        <w:t>ia cazului în care acestea sunt clasificate ca fiind de</w:t>
      </w:r>
      <w:r w:rsidR="000C213F">
        <w:t>ț</w:t>
      </w:r>
      <w:r>
        <w:t xml:space="preserve">inute în vederea vânzării în conformitate cu IFRS </w:t>
      </w:r>
      <w:r w:rsidRPr="004237EC">
        <w:t>5</w:t>
      </w:r>
      <w:r>
        <w:t>, indiferent de modul în care acestea sunt evaluate, inclusiv în cazul în care standardele de contabilitate permit ca acestea să fie incluse în diferitele portofolii contabile utilizate pentru instrumentele financiare. Valoarea contabilă a investi</w:t>
      </w:r>
      <w:r w:rsidR="000C213F">
        <w:t>ț</w:t>
      </w:r>
      <w:r>
        <w:t>iilor contabilizate prin aplicarea metodei punerii în echivalen</w:t>
      </w:r>
      <w:r w:rsidR="000C213F">
        <w:t>ț</w:t>
      </w:r>
      <w:r>
        <w:t xml:space="preserve">ă include fondul comercial asociat. </w:t>
      </w:r>
    </w:p>
    <w:p w:rsidR="009569C7" w:rsidRPr="00EC4FA2" w:rsidRDefault="00A834F1" w:rsidP="009569C7">
      <w:pPr>
        <w:pStyle w:val="Baseparagraphnumbered"/>
      </w:pPr>
      <w:r>
        <w:t xml:space="preserve">Activele care nu sunt active financiare </w:t>
      </w:r>
      <w:r w:rsidR="000C213F">
        <w:t>ș</w:t>
      </w:r>
      <w:r>
        <w:t>i care datorită naturii lor nu au putut fi clasificate la posturi specifice din bilan</w:t>
      </w:r>
      <w:r w:rsidR="000C213F">
        <w:t>ț</w:t>
      </w:r>
      <w:r>
        <w:t xml:space="preserve"> se raportează la „alte active”. Alte active includ, printre altele, aur, argint </w:t>
      </w:r>
      <w:r w:rsidR="000C213F">
        <w:t>ș</w:t>
      </w:r>
      <w:r>
        <w:t>i alte mărfuri, inclusiv în cazul în care sunt de</w:t>
      </w:r>
      <w:r w:rsidR="000C213F">
        <w:t>ț</w:t>
      </w:r>
      <w:r>
        <w:t>inute cu inten</w:t>
      </w:r>
      <w:r w:rsidR="000C213F">
        <w:t>ț</w:t>
      </w:r>
      <w:r>
        <w:t>ia de a fi tranzac</w:t>
      </w:r>
      <w:r w:rsidR="000C213F">
        <w:t>ț</w:t>
      </w:r>
      <w:r>
        <w:t xml:space="preserve">ionate. </w:t>
      </w:r>
    </w:p>
    <w:p w:rsidR="009569C7" w:rsidRPr="00EC4FA2" w:rsidRDefault="00A834F1" w:rsidP="009569C7">
      <w:pPr>
        <w:pStyle w:val="Baseparagraphnumbered"/>
      </w:pPr>
      <w:r>
        <w:t>Conform GAAP na</w:t>
      </w:r>
      <w:r w:rsidR="000C213F">
        <w:t>ț</w:t>
      </w:r>
      <w:r>
        <w:t>ionale relevante bazate pe BAD, valoarea contabilă a ac</w:t>
      </w:r>
      <w:r w:rsidR="000C213F">
        <w:t>ț</w:t>
      </w:r>
      <w:r>
        <w:t>iunilor proprii răscumpărate se raportează ca „alte active” în cazul în care prezentarea drept activ este permisă în conformitate cu GAAP na</w:t>
      </w:r>
      <w:r w:rsidR="000C213F">
        <w:t>ț</w:t>
      </w:r>
      <w:r>
        <w:t xml:space="preserve">ionale relevante. </w:t>
      </w:r>
    </w:p>
    <w:p w:rsidR="009569C7" w:rsidRPr="00EC4FA2" w:rsidRDefault="00A834F1" w:rsidP="009569C7">
      <w:pPr>
        <w:pStyle w:val="Baseparagraphnumbered"/>
      </w:pPr>
      <w:r>
        <w:t xml:space="preserve">„Activele imobilizate </w:t>
      </w:r>
      <w:r w:rsidR="000C213F">
        <w:t>ș</w:t>
      </w:r>
      <w:r>
        <w:t>i grupurile destinate cedării, clasificate drept de</w:t>
      </w:r>
      <w:r w:rsidR="000C213F">
        <w:t>ț</w:t>
      </w:r>
      <w:r>
        <w:t>inute în vederea vânzării” au acela</w:t>
      </w:r>
      <w:r w:rsidR="000C213F">
        <w:t>ș</w:t>
      </w:r>
      <w:r>
        <w:t>i în</w:t>
      </w:r>
      <w:r w:rsidR="000C213F">
        <w:t>ț</w:t>
      </w:r>
      <w:r>
        <w:t xml:space="preserve">eles precum cel conform IFRS </w:t>
      </w:r>
      <w:r w:rsidRPr="004237EC">
        <w:t>5</w:t>
      </w:r>
      <w:r>
        <w:t xml:space="preserve">.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485897540"/>
      <w:r>
        <w:t>Datorii (</w:t>
      </w:r>
      <w:r w:rsidRPr="004237EC">
        <w:t>1</w:t>
      </w:r>
      <w:r>
        <w:t>.</w:t>
      </w:r>
      <w:r w:rsidRPr="004237EC">
        <w:t>2</w:t>
      </w:r>
      <w:r>
        <w:t>)</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Conform GAAP na</w:t>
      </w:r>
      <w:r w:rsidR="000C213F">
        <w:t>ț</w:t>
      </w:r>
      <w:r>
        <w:t>ionale bazate pe BAD, provizioanele pentru pierderi anticipate rezultate din partea ineficace a rela</w:t>
      </w:r>
      <w:r w:rsidR="000C213F">
        <w:t>ț</w:t>
      </w:r>
      <w:r>
        <w:t>iei de acoperire a portofoliului se raportează fie la rândul „Instrumente derivate – contabilitatea de acoperire împotriva riscurilor” dacă pierderea rezultă din evaluarea instrumentului derivat de acoperire, fie la rândul „Modificări de valoare justă aferente elementelor acoperite în cadrul unei opera</w:t>
      </w:r>
      <w:r w:rsidR="000C213F">
        <w:t>ț</w:t>
      </w:r>
      <w:r>
        <w:t>iuni de acoperire a unui portofoliu împotriva riscului de rată a dobânzii” dacă pierderea rezultă din evaluarea pozi</w:t>
      </w:r>
      <w:r w:rsidR="000C213F">
        <w:t>ț</w:t>
      </w:r>
      <w:r>
        <w:t xml:space="preserve">iei acoperite. Dacă nu se poate face nicio deosebire între pierderile care rezultă din evaluarea instrumentului derivat de acoperire </w:t>
      </w:r>
      <w:r w:rsidR="000C213F">
        <w:t>ș</w:t>
      </w:r>
      <w:r>
        <w:t>i pierderea care rezultă din evaluarea pozi</w:t>
      </w:r>
      <w:r w:rsidR="000C213F">
        <w:t>ț</w:t>
      </w:r>
      <w:r>
        <w:t>iei acoperite, toate provizioanele pentru pierderile anticipate care rezultă din partea ineficace a rela</w:t>
      </w:r>
      <w:r w:rsidR="000C213F">
        <w:t>ț</w:t>
      </w:r>
      <w:r>
        <w:t>iei de acoperire a portofoliului se raportează la rândul „Instrumente derivate – contabilitatea de acoperire împotriva riscurilor”.</w:t>
      </w:r>
    </w:p>
    <w:p w:rsidR="009569C7" w:rsidRPr="00EC4FA2" w:rsidRDefault="00A834F1" w:rsidP="009569C7">
      <w:pPr>
        <w:pStyle w:val="Baseparagraphnumbered"/>
      </w:pPr>
      <w:r>
        <w:t xml:space="preserve">Provizioanele pentru „pensii </w:t>
      </w:r>
      <w:r w:rsidR="000C213F">
        <w:t>ș</w:t>
      </w:r>
      <w:r>
        <w:t>i alte obliga</w:t>
      </w:r>
      <w:r w:rsidR="000C213F">
        <w:t>ț</w:t>
      </w:r>
      <w:r>
        <w:t xml:space="preserve">ii aferente beneficiilor determinate post-angajare” includ cuantumul datoriilor nete aferente beneficiilor determinate. </w:t>
      </w:r>
    </w:p>
    <w:p w:rsidR="009569C7" w:rsidRPr="00EC4FA2" w:rsidRDefault="00A834F1" w:rsidP="009569C7">
      <w:pPr>
        <w:pStyle w:val="Baseparagraphnumbered"/>
      </w:pPr>
      <w:r>
        <w:t>Conform IFRS, provizioanele pentru „alte beneficii pe termen lung ale angaja</w:t>
      </w:r>
      <w:r w:rsidR="000C213F">
        <w:t>ț</w:t>
      </w:r>
      <w:r>
        <w:t>ilor” includ cuantumul deficitelor din planurile de beneficii ale angaja</w:t>
      </w:r>
      <w:r w:rsidR="000C213F">
        <w:t>ț</w:t>
      </w:r>
      <w:r>
        <w:t xml:space="preserve">ilor pe termen lung enumerate în IAS </w:t>
      </w:r>
      <w:r w:rsidRPr="004237EC">
        <w:t>19</w:t>
      </w:r>
      <w:r>
        <w:t xml:space="preserve"> punctul </w:t>
      </w:r>
      <w:r w:rsidRPr="004237EC">
        <w:t>153</w:t>
      </w:r>
      <w:r>
        <w:t>. Cheltuielile angajate din beneficiile pe termen scurt ale angaja</w:t>
      </w:r>
      <w:r w:rsidR="000C213F">
        <w:t>ț</w:t>
      </w:r>
      <w:r>
        <w:t xml:space="preserve">ilor [IAS </w:t>
      </w:r>
      <w:r w:rsidRPr="004237EC">
        <w:t>19</w:t>
      </w:r>
      <w:r>
        <w:t xml:space="preserve"> punctul </w:t>
      </w:r>
      <w:r w:rsidRPr="004237EC">
        <w:t>11</w:t>
      </w:r>
      <w:r>
        <w:t xml:space="preserve"> litera (a)], planurile de contribu</w:t>
      </w:r>
      <w:r w:rsidR="000C213F">
        <w:t>ț</w:t>
      </w:r>
      <w:r>
        <w:t xml:space="preserve">ii determinate [IAS </w:t>
      </w:r>
      <w:r w:rsidRPr="004237EC">
        <w:t>19</w:t>
      </w:r>
      <w:r>
        <w:t xml:space="preserve"> punctul </w:t>
      </w:r>
      <w:r w:rsidRPr="004237EC">
        <w:t>51</w:t>
      </w:r>
      <w:r>
        <w:t xml:space="preserve"> litera (a)] </w:t>
      </w:r>
      <w:r w:rsidR="000C213F">
        <w:t>ș</w:t>
      </w:r>
      <w:r>
        <w:t>i compensa</w:t>
      </w:r>
      <w:r w:rsidR="000C213F">
        <w:t>ț</w:t>
      </w:r>
      <w:r>
        <w:t xml:space="preserve">iile pentru încetarea contractului de muncă [IAS </w:t>
      </w:r>
      <w:r w:rsidRPr="004237EC">
        <w:t>19</w:t>
      </w:r>
      <w:r>
        <w:t xml:space="preserve"> punctul </w:t>
      </w:r>
      <w:r w:rsidRPr="004237EC">
        <w:t>169</w:t>
      </w:r>
      <w:r>
        <w:t xml:space="preserve"> litera (a)] se includ la „alte datorii”.</w:t>
      </w:r>
    </w:p>
    <w:p w:rsidR="009569C7" w:rsidRPr="00EC4FA2" w:rsidRDefault="00A834F1" w:rsidP="009569C7">
      <w:pPr>
        <w:pStyle w:val="Baseparagraphnumbered"/>
      </w:pPr>
      <w:r>
        <w:lastRenderedPageBreak/>
        <w:t xml:space="preserve">Conform IFRS, provizioanele pentru „angajamente </w:t>
      </w:r>
      <w:r w:rsidR="000C213F">
        <w:t>ș</w:t>
      </w:r>
      <w:r>
        <w:t>i garan</w:t>
      </w:r>
      <w:r w:rsidR="000C213F">
        <w:t>ț</w:t>
      </w:r>
      <w:r>
        <w:t xml:space="preserve">ii date” includ provizioanele referitoare la toate angajamentele </w:t>
      </w:r>
      <w:r w:rsidR="000C213F">
        <w:t>ș</w:t>
      </w:r>
      <w:r>
        <w:t>i garan</w:t>
      </w:r>
      <w:r w:rsidR="000C213F">
        <w:t>ț</w:t>
      </w:r>
      <w:r>
        <w:t xml:space="preserve">iile, indiferent dacă deprecierea este determinată în conformitate cu IFRS </w:t>
      </w:r>
      <w:r w:rsidRPr="004237EC">
        <w:t>9</w:t>
      </w:r>
      <w:r>
        <w:t xml:space="preserve">, provizionarea lor respectă IAS </w:t>
      </w:r>
      <w:r w:rsidRPr="004237EC">
        <w:t>37</w:t>
      </w:r>
      <w:r>
        <w:t xml:space="preserve"> sau acestea sunt tratate ca un contract de asigurare în conformitate cu IFRS </w:t>
      </w:r>
      <w:r w:rsidRPr="004237EC">
        <w:t>4</w:t>
      </w:r>
      <w:r>
        <w:t xml:space="preserve">. Datoriile care provin din angajamentele </w:t>
      </w:r>
      <w:r w:rsidR="000C213F">
        <w:t>ș</w:t>
      </w:r>
      <w:r>
        <w:t>i garan</w:t>
      </w:r>
      <w:r w:rsidR="000C213F">
        <w:t>ț</w:t>
      </w:r>
      <w:r>
        <w:t>iile financiare evaluate la valoarea justă prin profit sau pierdere nu se raportează ca provizioane, de</w:t>
      </w:r>
      <w:r w:rsidR="000C213F">
        <w:t>ș</w:t>
      </w:r>
      <w:r>
        <w:t xml:space="preserve">i sunt datorate riscului de credit, ci ca „alte datorii financiare”, în conformitate cu punctul </w:t>
      </w:r>
      <w:r w:rsidRPr="004237EC">
        <w:t>40</w:t>
      </w:r>
      <w:r>
        <w:t xml:space="preserve"> din partea </w:t>
      </w:r>
      <w:r w:rsidRPr="004237EC">
        <w:t>1</w:t>
      </w:r>
      <w:r>
        <w:t xml:space="preserve"> a prezentei anexe. Conform GAAP na</w:t>
      </w:r>
      <w:r w:rsidR="000C213F">
        <w:t>ț</w:t>
      </w:r>
      <w:r>
        <w:t xml:space="preserve">ionale bazate pe BAD, provizioanele pentru „angajamente </w:t>
      </w:r>
      <w:r w:rsidR="000C213F">
        <w:t>ș</w:t>
      </w:r>
      <w:r>
        <w:t>i garan</w:t>
      </w:r>
      <w:r w:rsidR="000C213F">
        <w:t>ț</w:t>
      </w:r>
      <w:r>
        <w:t xml:space="preserve">ii date” includ provizioanele referitoare la toate angajamentele </w:t>
      </w:r>
      <w:r w:rsidR="000C213F">
        <w:t>ș</w:t>
      </w:r>
      <w:r>
        <w:t>i garan</w:t>
      </w:r>
      <w:r w:rsidR="000C213F">
        <w:t>ț</w:t>
      </w:r>
      <w:r>
        <w:t>iile.</w:t>
      </w:r>
    </w:p>
    <w:p w:rsidR="009569C7" w:rsidRPr="00EC4FA2" w:rsidRDefault="00A834F1" w:rsidP="009569C7">
      <w:pPr>
        <w:pStyle w:val="Baseparagraphnumbered"/>
      </w:pPr>
      <w:r>
        <w:t>„Capitalul social rambursabil la cerere” include instrumentele de capital emise de institu</w:t>
      </w:r>
      <w:r w:rsidR="000C213F">
        <w:t>ț</w:t>
      </w:r>
      <w:r>
        <w:t>ie care nu îndeplinesc criteriile pentru a fi clasificate drept capitaluri proprii. La acest element, institu</w:t>
      </w:r>
      <w:r w:rsidR="000C213F">
        <w:t>ț</w:t>
      </w:r>
      <w:r>
        <w:t>iile includ păr</w:t>
      </w:r>
      <w:r w:rsidR="000C213F">
        <w:t>ț</w:t>
      </w:r>
      <w:r>
        <w:t>ile sociale ale organiza</w:t>
      </w:r>
      <w:r w:rsidR="000C213F">
        <w:t>ț</w:t>
      </w:r>
      <w:r>
        <w:t>iilor cooperatiste de credit care nu îndeplinesc criteriile pentru a fi clasificate drept capitaluri proprii.</w:t>
      </w:r>
    </w:p>
    <w:p w:rsidR="009569C7" w:rsidRPr="00EC4FA2" w:rsidRDefault="00A834F1" w:rsidP="009569C7">
      <w:pPr>
        <w:pStyle w:val="Baseparagraphnumbered"/>
      </w:pPr>
      <w:r>
        <w:t xml:space="preserve">Datoriile care nu sunt datorii financiare </w:t>
      </w:r>
      <w:r w:rsidR="000C213F">
        <w:t>ș</w:t>
      </w:r>
      <w:r>
        <w:t>i care datorită naturii lor nu au putut fi clasificate la posturi specifice din bilan</w:t>
      </w:r>
      <w:r w:rsidR="000C213F">
        <w:t>ț</w:t>
      </w:r>
      <w:r>
        <w:t xml:space="preserve"> se raportează la „alte datorii”. </w:t>
      </w:r>
    </w:p>
    <w:p w:rsidR="009569C7" w:rsidRPr="00EC4FA2" w:rsidRDefault="00A834F1" w:rsidP="009569C7">
      <w:pPr>
        <w:pStyle w:val="Baseparagraphnumbered"/>
      </w:pPr>
      <w:r>
        <w:t>„Datoriile incluse în grupuri destinate cedării, clasificate drept de</w:t>
      </w:r>
      <w:r w:rsidR="000C213F">
        <w:t>ț</w:t>
      </w:r>
      <w:r>
        <w:t>inute în vederea vânzării” au acela</w:t>
      </w:r>
      <w:r w:rsidR="000C213F">
        <w:t>ș</w:t>
      </w:r>
      <w:r>
        <w:t>i în</w:t>
      </w:r>
      <w:r w:rsidR="000C213F">
        <w:t>ț</w:t>
      </w:r>
      <w:r>
        <w:t xml:space="preserve">eles precum cel conform IFRS </w:t>
      </w:r>
      <w:r w:rsidRPr="004237EC">
        <w:t>5</w:t>
      </w:r>
      <w:r>
        <w:t xml:space="preserve">. </w:t>
      </w:r>
    </w:p>
    <w:p w:rsidR="009569C7" w:rsidRPr="00EC4FA2" w:rsidRDefault="00A834F1" w:rsidP="009569C7">
      <w:pPr>
        <w:pStyle w:val="Baseparagraphnumbered"/>
      </w:pPr>
      <w:r>
        <w:t>Conform GAAP na</w:t>
      </w:r>
      <w:r w:rsidR="000C213F">
        <w:t>ț</w:t>
      </w:r>
      <w:r>
        <w:t xml:space="preserve">ionale bazate pe BAD, „fondurile pentru riscuri bancare generale” sunt cuantumuri care au fost atribuite în conformitate cu articolul </w:t>
      </w:r>
      <w:r w:rsidRPr="004237EC">
        <w:t>38</w:t>
      </w:r>
      <w:r>
        <w:t xml:space="preserve"> din BAD. Atunci când sunt recunoscute, acestea apar separat, fie ca datorii, la „provizioane”, fie în cadrul capitalurilor proprii, la „alte rezerve”, în conformitate cu GAAP na</w:t>
      </w:r>
      <w:r w:rsidR="000C213F">
        <w:t>ț</w:t>
      </w:r>
      <w:r>
        <w:t>ionale relevante.</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485897541"/>
      <w:r>
        <w:t>Capitaluri proprii (</w:t>
      </w:r>
      <w:r w:rsidRPr="004237EC">
        <w:t>1</w:t>
      </w:r>
      <w:r>
        <w:t>.</w:t>
      </w:r>
      <w:r w:rsidRPr="004237EC">
        <w:t>3</w:t>
      </w:r>
      <w:r>
        <w:t>)</w:t>
      </w:r>
      <w:bookmarkEnd w:id="65"/>
      <w:bookmarkEnd w:id="66"/>
      <w:bookmarkEnd w:id="67"/>
      <w:bookmarkEnd w:id="68"/>
    </w:p>
    <w:p w:rsidR="009569C7" w:rsidRPr="00EC4FA2" w:rsidRDefault="00A834F1" w:rsidP="009569C7">
      <w:pPr>
        <w:pStyle w:val="Baseparagraphnumbered"/>
      </w:pPr>
      <w:r>
        <w:t>Conform IFRS, instrumentele de capitaluri proprii care sunt instrumente financiare includ contractele care intră sub inciden</w:t>
      </w:r>
      <w:r w:rsidR="000C213F">
        <w:t>ț</w:t>
      </w:r>
      <w:r>
        <w:t xml:space="preserve">a IAS </w:t>
      </w:r>
      <w:r w:rsidRPr="004237EC">
        <w:t>32</w:t>
      </w:r>
      <w:r>
        <w:t xml:space="preserve">. </w:t>
      </w:r>
    </w:p>
    <w:p w:rsidR="009569C7" w:rsidRPr="00EC4FA2" w:rsidRDefault="00A834F1" w:rsidP="009569C7">
      <w:pPr>
        <w:pStyle w:val="Baseparagraphnumbered"/>
      </w:pPr>
      <w:r>
        <w:t>Conform GAAP na</w:t>
      </w:r>
      <w:r w:rsidR="000C213F">
        <w:t>ț</w:t>
      </w:r>
      <w:r>
        <w:t>ionale relevante bazate pe BAD, „capitalul subscris nevărsat” include valoarea contabilă a capitalului emis de institu</w:t>
      </w:r>
      <w:r w:rsidR="000C213F">
        <w:t>ț</w:t>
      </w:r>
      <w:r>
        <w:t>ie solicitat subscriitorilor, dar nevărsat la data de referin</w:t>
      </w:r>
      <w:r w:rsidR="000C213F">
        <w:t>ț</w:t>
      </w:r>
      <w:r>
        <w:t xml:space="preserve">ă. În cazul în care majorarea de capital, nevărsată încă, este înregistrată ca o majorare de capital social, capitalul subscris nevărsat se raportează la „capital subscris nevărsat” în formularul </w:t>
      </w:r>
      <w:r w:rsidRPr="004237EC">
        <w:t>1</w:t>
      </w:r>
      <w:r>
        <w:t>.</w:t>
      </w:r>
      <w:r w:rsidRPr="004237EC">
        <w:t>3</w:t>
      </w:r>
      <w:r>
        <w:t xml:space="preserve">, precum </w:t>
      </w:r>
      <w:r w:rsidR="000C213F">
        <w:t>ș</w:t>
      </w:r>
      <w:r>
        <w:t xml:space="preserve">i la „alte active” în formularul </w:t>
      </w:r>
      <w:r w:rsidRPr="004237EC">
        <w:t>1</w:t>
      </w:r>
      <w:r>
        <w:t>.</w:t>
      </w:r>
      <w:r w:rsidRPr="004237EC">
        <w:t>1</w:t>
      </w:r>
      <w:r>
        <w:t>. Conform GAAP na</w:t>
      </w:r>
      <w:r w:rsidR="000C213F">
        <w:t>ț</w:t>
      </w:r>
      <w:r>
        <w:t>ionale relevante bazate pe BAD, atunci când majorarea de capital poate fi înregistrată numai după primirea plă</w:t>
      </w:r>
      <w:r w:rsidR="000C213F">
        <w:t>ț</w:t>
      </w:r>
      <w:r>
        <w:t>ii din partea ac</w:t>
      </w:r>
      <w:r w:rsidR="000C213F">
        <w:t>ț</w:t>
      </w:r>
      <w:r>
        <w:t xml:space="preserve">ionarilor, capitalul nevărsat nu se raportează în formularul </w:t>
      </w:r>
      <w:r w:rsidRPr="004237EC">
        <w:t>1</w:t>
      </w:r>
      <w:r>
        <w:t>.</w:t>
      </w:r>
      <w:r w:rsidRPr="004237EC">
        <w:t>3</w:t>
      </w:r>
      <w:r>
        <w:t>.</w:t>
      </w:r>
    </w:p>
    <w:p w:rsidR="009569C7" w:rsidRPr="00EC4FA2" w:rsidRDefault="00A834F1" w:rsidP="009569C7">
      <w:pPr>
        <w:pStyle w:val="Baseparagraphnumbered"/>
      </w:pPr>
      <w:r>
        <w:t xml:space="preserve">„Componenta de capitaluri proprii a instrumentelor financiare compuse” include componenta de capitaluri proprii a instrumentelor financiare compuse (cu alte cuvinte, instrumente financiare care comportă atât o componentă de datorie, cât </w:t>
      </w:r>
      <w:r w:rsidR="000C213F">
        <w:t>ș</w:t>
      </w:r>
      <w:r>
        <w:t>i una de capitaluri proprii) emise de institu</w:t>
      </w:r>
      <w:r w:rsidR="000C213F">
        <w:t>ț</w:t>
      </w:r>
      <w:r>
        <w:t xml:space="preserve">ie, atunci când sunt separate în conformitate cu cadrul contabil relevant (inclusiv instrumentele </w:t>
      </w:r>
      <w:r>
        <w:lastRenderedPageBreak/>
        <w:t>financiare compuse cu instrumente derivate încorporate multiple ale căror valori sunt interdependente).</w:t>
      </w:r>
    </w:p>
    <w:p w:rsidR="009569C7" w:rsidRPr="00EC4FA2" w:rsidRDefault="00A834F1" w:rsidP="009569C7">
      <w:pPr>
        <w:pStyle w:val="Baseparagraphnumbered"/>
      </w:pPr>
      <w:r>
        <w:t xml:space="preserve">„Alte instrumente de capitaluri proprii emise” includ instrumentele de capitaluri proprii care sunt instrumente financiare, altele decât „capitalul” </w:t>
      </w:r>
      <w:r w:rsidR="000C213F">
        <w:t>ș</w:t>
      </w:r>
      <w:r>
        <w:t xml:space="preserve">i „componenta de capitaluri proprii a instrumentelor financiare compuse”. </w:t>
      </w:r>
    </w:p>
    <w:p w:rsidR="009569C7" w:rsidRPr="00EC4FA2" w:rsidRDefault="00A834F1" w:rsidP="009569C7">
      <w:pPr>
        <w:pStyle w:val="Baseparagraphnumbered"/>
      </w:pPr>
      <w:r>
        <w:t>„Alte instrumente de capitaluri proprii” cuprind toate instrumentele de capitaluri proprii care nu sunt instrumente financiare, inclusiv, printre altele, tranzac</w:t>
      </w:r>
      <w:r w:rsidR="000C213F">
        <w:t>ț</w:t>
      </w:r>
      <w:r>
        <w:t>iile cu plata pe bază de ac</w:t>
      </w:r>
      <w:r w:rsidR="000C213F">
        <w:t>ț</w:t>
      </w:r>
      <w:r>
        <w:t>iuni cu decontare în ac</w:t>
      </w:r>
      <w:r w:rsidR="000C213F">
        <w:t>ț</w:t>
      </w:r>
      <w:r>
        <w:t xml:space="preserve">iuni [IFRS </w:t>
      </w:r>
      <w:r w:rsidRPr="004237EC">
        <w:t>2</w:t>
      </w:r>
      <w:r>
        <w:t xml:space="preserve"> punctul </w:t>
      </w:r>
      <w:r w:rsidRPr="004237EC">
        <w:t>10</w:t>
      </w:r>
      <w:r>
        <w:t xml:space="preserve">]. </w:t>
      </w:r>
    </w:p>
    <w:p w:rsidR="009569C7" w:rsidRPr="00EC4FA2" w:rsidRDefault="00A834F1" w:rsidP="009569C7">
      <w:pPr>
        <w:pStyle w:val="Baseparagraphnumbered"/>
      </w:pPr>
      <w:r>
        <w:t>„Modificările valorii juste a instrumentelor de capitaluri proprii evaluate la valoarea justă prin alte elemente ale rezultatului global” includ câ</w:t>
      </w:r>
      <w:r w:rsidR="000C213F">
        <w:t>ș</w:t>
      </w:r>
      <w:r>
        <w:t xml:space="preserve">tigurile </w:t>
      </w:r>
      <w:r w:rsidR="000C213F">
        <w:t>ș</w:t>
      </w:r>
      <w:r>
        <w:t>i pierderile cumulate datorate modificărilor valorii juste a investi</w:t>
      </w:r>
      <w:r w:rsidR="000C213F">
        <w:t>ț</w:t>
      </w:r>
      <w:r>
        <w:t xml:space="preserve">iilor în instrumente de capitaluri proprii pentru care entitatea raportoare a făcut o alegere irevocabilă de a prezenta modificările valorii juste în alte elemente ale rezultatului global. </w:t>
      </w:r>
    </w:p>
    <w:p w:rsidR="009569C7" w:rsidRPr="00EC4FA2" w:rsidRDefault="00A834F1" w:rsidP="009569C7">
      <w:pPr>
        <w:pStyle w:val="Baseparagraphnumbered"/>
      </w:pPr>
      <w:r>
        <w:t>„Partea ineficace din acoperirea aferentă acoperirilor valorii juste împotriva riscurilor pentru instrumentele de capitaluri proprii evaluate la valoarea justă prin alte elemente ale rezultatului global” cuprinde partea ineficace cumulată din acoperirile valorii juste împotriva riscurilor în care elementul acoperit împotriva riscurilor este un instrument de capitaluri proprii evaluat la valoarea justă prin alte elemente ale rezultatului global. Partea ineficace din acoperirea împotriva riscurilor raportată la acest rând este diferen</w:t>
      </w:r>
      <w:r w:rsidR="000C213F">
        <w:t>ț</w:t>
      </w:r>
      <w:r>
        <w:t>a dintre varia</w:t>
      </w:r>
      <w:r w:rsidR="000C213F">
        <w:t>ț</w:t>
      </w:r>
      <w:r>
        <w:t xml:space="preserve">ia cumulată a valorii juste aferentă instrumentului de capitaluri proprii care se raportează la „modificările valorii juste a instrumentelor de capitaluri proprii evaluate la valoarea justă prin alte elemente ale rezultatului global [elementul acoperit împotriva riscurilor]” </w:t>
      </w:r>
      <w:r w:rsidR="000C213F">
        <w:t>ș</w:t>
      </w:r>
      <w:r>
        <w:t>i varia</w:t>
      </w:r>
      <w:r w:rsidR="000C213F">
        <w:t>ț</w:t>
      </w:r>
      <w:r>
        <w:t xml:space="preserve">iile cumulate ale valorii juste a instrumentului derivat de acoperire care se raportează la „modificările valorii juste a instrumentelor de capitaluri proprii evaluate la valoarea justă prin alte elemente ale rezultatului global [instrumentul de acoperire împotriva riscurilor]” [IFRS </w:t>
      </w:r>
      <w:r w:rsidRPr="004237EC">
        <w:t>9</w:t>
      </w:r>
      <w:r>
        <w:t xml:space="preserve"> punctul </w:t>
      </w:r>
      <w:r w:rsidRPr="004237EC">
        <w:t>6</w:t>
      </w:r>
      <w:r>
        <w:t>.</w:t>
      </w:r>
      <w:r w:rsidRPr="004237EC">
        <w:t>5</w:t>
      </w:r>
      <w:r>
        <w:t>.</w:t>
      </w:r>
      <w:r w:rsidRPr="004237EC">
        <w:t>3</w:t>
      </w:r>
      <w:r>
        <w:t xml:space="preserve"> </w:t>
      </w:r>
      <w:r w:rsidR="000C213F">
        <w:t>ș</w:t>
      </w:r>
      <w:r>
        <w:t xml:space="preserve">i IFRS </w:t>
      </w:r>
      <w:r w:rsidRPr="004237EC">
        <w:t>9</w:t>
      </w:r>
      <w:r>
        <w:t xml:space="preserve"> punctul </w:t>
      </w:r>
      <w:r w:rsidRPr="004237EC">
        <w:t>6</w:t>
      </w:r>
      <w:r>
        <w:t>.</w:t>
      </w:r>
      <w:r w:rsidRPr="004237EC">
        <w:t>5</w:t>
      </w:r>
      <w:r>
        <w:t>.</w:t>
      </w:r>
      <w:r w:rsidRPr="004237EC">
        <w:t>8</w:t>
      </w:r>
      <w:r>
        <w:t xml:space="preserve">]. </w:t>
      </w:r>
    </w:p>
    <w:p w:rsidR="009569C7" w:rsidRPr="00EC4FA2" w:rsidRDefault="00A834F1" w:rsidP="009569C7">
      <w:pPr>
        <w:pStyle w:val="Baseparagraphnumbered"/>
      </w:pPr>
      <w:r>
        <w:t>„Modificările valorii juste a datoriilor financiare desemnate la valoarea justă prin profit sau pierdere care se pot atribui modificărilor riscului de credit al datoriilor” includ câ</w:t>
      </w:r>
      <w:r w:rsidR="000C213F">
        <w:t>ș</w:t>
      </w:r>
      <w:r>
        <w:t xml:space="preserve">tigurile </w:t>
      </w:r>
      <w:r w:rsidR="000C213F">
        <w:t>ș</w:t>
      </w:r>
      <w:r>
        <w:t xml:space="preserve">i pierderile cumulate recunoscute în alte elemente ale rezultatului global </w:t>
      </w:r>
      <w:r w:rsidR="000C213F">
        <w:t>ș</w:t>
      </w:r>
      <w:r>
        <w:t>i legate de riscul de credit propriu pentru datorii desemnate la valoarea justă prin profit sau pierdere, indiferent dacă desemnarea are loc la recunoa</w:t>
      </w:r>
      <w:r w:rsidR="000C213F">
        <w:t>ș</w:t>
      </w:r>
      <w:r>
        <w:t>terea ini</w:t>
      </w:r>
      <w:r w:rsidR="000C213F">
        <w:t>ț</w:t>
      </w:r>
      <w:r>
        <w:t xml:space="preserve">ială sau ulterior. </w:t>
      </w:r>
    </w:p>
    <w:p w:rsidR="009569C7" w:rsidRPr="00EC4FA2" w:rsidRDefault="00A834F1" w:rsidP="009569C7">
      <w:pPr>
        <w:pStyle w:val="Baseparagraphnumbered"/>
      </w:pPr>
      <w:r>
        <w:t>„Acoperirea unei investi</w:t>
      </w:r>
      <w:r w:rsidR="000C213F">
        <w:t>ț</w:t>
      </w:r>
      <w:r>
        <w:t>ii nete într-o opera</w:t>
      </w:r>
      <w:r w:rsidR="000C213F">
        <w:t>ț</w:t>
      </w:r>
      <w:r>
        <w:t>iune din străinătate [partea eficace]” include rezerva de conversie valutară pentru partea eficace atât a acoperirilor în curs ale investi</w:t>
      </w:r>
      <w:r w:rsidR="000C213F">
        <w:t>ț</w:t>
      </w:r>
      <w:r>
        <w:t>iilor nete în opera</w:t>
      </w:r>
      <w:r w:rsidR="000C213F">
        <w:t>ț</w:t>
      </w:r>
      <w:r>
        <w:t xml:space="preserve">iuni din străinătate, cât </w:t>
      </w:r>
      <w:r w:rsidR="000C213F">
        <w:t>ș</w:t>
      </w:r>
      <w:r>
        <w:t>i a acoperirilor investi</w:t>
      </w:r>
      <w:r w:rsidR="000C213F">
        <w:t>ț</w:t>
      </w:r>
      <w:r>
        <w:t>iilor nete în opera</w:t>
      </w:r>
      <w:r w:rsidR="000C213F">
        <w:t>ț</w:t>
      </w:r>
      <w:r>
        <w:t>iunile din străinătate care nu se mai aplică, de</w:t>
      </w:r>
      <w:r w:rsidR="000C213F">
        <w:t>ș</w:t>
      </w:r>
      <w:r>
        <w:t>i opera</w:t>
      </w:r>
      <w:r w:rsidR="000C213F">
        <w:t>ț</w:t>
      </w:r>
      <w:r>
        <w:t>iunile din străinătate rămân recunoscute în bilan</w:t>
      </w:r>
      <w:r w:rsidR="000C213F">
        <w:t>ț</w:t>
      </w:r>
      <w:r>
        <w:t xml:space="preserve">. </w:t>
      </w:r>
    </w:p>
    <w:p w:rsidR="009569C7" w:rsidRPr="00EC4FA2" w:rsidRDefault="00A834F1" w:rsidP="009569C7">
      <w:pPr>
        <w:pStyle w:val="Baseparagraphnumbered"/>
      </w:pPr>
      <w:r>
        <w:t xml:space="preserve">„Instrumentele derivate de acoperire împotriva riscurilor. Rezerva aferentă acoperirii fluxurilor de trezorerie [partea eficace]” include rezerva aferentă </w:t>
      </w:r>
      <w:r>
        <w:lastRenderedPageBreak/>
        <w:t>acoperirii fluxurilor de trezorerie pentru partea eficace a varia</w:t>
      </w:r>
      <w:r w:rsidR="000C213F">
        <w:t>ț</w:t>
      </w:r>
      <w:r>
        <w:t xml:space="preserve">iei valorii juste a instrumentelor derivate de acoperire a fluxurilor de trezorerie, atât pentru acoperirile în curs ale fluxurilor de trezorerie, cât </w:t>
      </w:r>
      <w:r w:rsidR="000C213F">
        <w:t>ș</w:t>
      </w:r>
      <w:r>
        <w:t>i pentru acoperirile fluxurilor de trezorerie care nu se mai aplică.</w:t>
      </w:r>
    </w:p>
    <w:p w:rsidR="009569C7" w:rsidRPr="00EC4FA2" w:rsidRDefault="00A834F1" w:rsidP="009569C7">
      <w:pPr>
        <w:pStyle w:val="Baseparagraphnumbered"/>
      </w:pPr>
      <w:r>
        <w:t>„Modificările valorii juste a instrumentelor de datorie evaluate la valoarea justă prin alte elemente ale rezultatului global” includ câ</w:t>
      </w:r>
      <w:r w:rsidR="000C213F">
        <w:t>ș</w:t>
      </w:r>
      <w:r>
        <w:t xml:space="preserve">tigurile sau pierderile cumulate din instrumente de datorie evaluate la valoarea justă prin alte elemente ale rezultatului global, fără ajustarea pentru pierdere care este evaluată la data raportării în conformitate cu IFRS </w:t>
      </w:r>
      <w:r w:rsidRPr="004237EC">
        <w:t>9</w:t>
      </w:r>
      <w:r>
        <w:t xml:space="preserve"> punctul </w:t>
      </w:r>
      <w:r w:rsidRPr="004237EC">
        <w:t>5</w:t>
      </w:r>
      <w:r>
        <w:t>.</w:t>
      </w:r>
      <w:r w:rsidRPr="004237EC">
        <w:t>5</w:t>
      </w:r>
      <w:r>
        <w:t>.</w:t>
      </w:r>
    </w:p>
    <w:p w:rsidR="009569C7" w:rsidRPr="00EC4FA2" w:rsidRDefault="00A834F1" w:rsidP="009569C7">
      <w:pPr>
        <w:pStyle w:val="Baseparagraphnumbered"/>
      </w:pPr>
      <w:r>
        <w:t>„Instrumentele de acoperire împotriva riscurilor [elemente nedesemnate]” includ modificările cumulate ale valorii juste a tuturor elementelor următoare:</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valoarea-timp a unei op</w:t>
      </w:r>
      <w:r w:rsidR="000C213F">
        <w:rPr>
          <w:rFonts w:ascii="Times New Roman" w:hAnsi="Times New Roman"/>
          <w:sz w:val="24"/>
        </w:rPr>
        <w:t>ț</w:t>
      </w:r>
      <w:r>
        <w:rPr>
          <w:rFonts w:ascii="Times New Roman" w:hAnsi="Times New Roman"/>
          <w:sz w:val="24"/>
        </w:rPr>
        <w:t xml:space="preserve">iuni în cazul în care modificarea valorii-timp </w:t>
      </w:r>
      <w:r w:rsidR="000C213F">
        <w:rPr>
          <w:rFonts w:ascii="Times New Roman" w:hAnsi="Times New Roman"/>
          <w:sz w:val="24"/>
        </w:rPr>
        <w:t>ș</w:t>
      </w:r>
      <w:r>
        <w:rPr>
          <w:rFonts w:ascii="Times New Roman" w:hAnsi="Times New Roman"/>
          <w:sz w:val="24"/>
        </w:rPr>
        <w:t>i modificarea valorii intrinseci ale op</w:t>
      </w:r>
      <w:r w:rsidR="000C213F">
        <w:rPr>
          <w:rFonts w:ascii="Times New Roman" w:hAnsi="Times New Roman"/>
          <w:sz w:val="24"/>
        </w:rPr>
        <w:t>ț</w:t>
      </w:r>
      <w:r>
        <w:rPr>
          <w:rFonts w:ascii="Times New Roman" w:hAnsi="Times New Roman"/>
          <w:sz w:val="24"/>
        </w:rPr>
        <w:t xml:space="preserve">iunii respective sunt separate </w:t>
      </w:r>
      <w:r w:rsidR="000C213F">
        <w:rPr>
          <w:rFonts w:ascii="Times New Roman" w:hAnsi="Times New Roman"/>
          <w:sz w:val="24"/>
        </w:rPr>
        <w:t>ș</w:t>
      </w:r>
      <w:r>
        <w:rPr>
          <w:rFonts w:ascii="Times New Roman" w:hAnsi="Times New Roman"/>
          <w:sz w:val="24"/>
        </w:rPr>
        <w:t xml:space="preserve">i doar modificarea valorii intrinseci este desemnată drept instrument de acoperire împotriva riscurilor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6</w:t>
      </w:r>
      <w:r>
        <w:rPr>
          <w:rFonts w:ascii="Times New Roman" w:hAnsi="Times New Roman"/>
          <w:sz w:val="24"/>
        </w:rPr>
        <w:t>.</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15</w:t>
      </w:r>
      <w:r>
        <w:rPr>
          <w:rFonts w:ascii="Times New Roman" w:hAnsi="Times New Roman"/>
          <w:sz w:val="24"/>
        </w:rPr>
        <w:t xml:space="preserv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elementul forward al unui contract forward în cazul în care elementul forward </w:t>
      </w:r>
      <w:r w:rsidR="000C213F">
        <w:rPr>
          <w:rFonts w:ascii="Times New Roman" w:hAnsi="Times New Roman"/>
          <w:sz w:val="24"/>
        </w:rPr>
        <w:t>ș</w:t>
      </w:r>
      <w:r>
        <w:rPr>
          <w:rFonts w:ascii="Times New Roman" w:hAnsi="Times New Roman"/>
          <w:sz w:val="24"/>
        </w:rPr>
        <w:t xml:space="preserve">i elementul la vedere (spot) din contractul forward sunt separate </w:t>
      </w:r>
      <w:r w:rsidR="000C213F">
        <w:rPr>
          <w:rFonts w:ascii="Times New Roman" w:hAnsi="Times New Roman"/>
          <w:sz w:val="24"/>
        </w:rPr>
        <w:t>ș</w:t>
      </w:r>
      <w:r>
        <w:rPr>
          <w:rFonts w:ascii="Times New Roman" w:hAnsi="Times New Roman"/>
          <w:sz w:val="24"/>
        </w:rPr>
        <w:t xml:space="preserve">i doar modificarea elementului la vedere din contractul forward este desemnată drept instrument de acoperire împotriva riscurilor;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marja cu bază valutară a unui instrument financiar în cazul în care această marjă este exclusă de la desemnarea respectivului instrument financiar drept instrument de acoperire împotriva riscurilor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6</w:t>
      </w:r>
      <w:r>
        <w:rPr>
          <w:rFonts w:ascii="Times New Roman" w:hAnsi="Times New Roman"/>
          <w:sz w:val="24"/>
        </w:rPr>
        <w:t>.</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15</w:t>
      </w:r>
      <w:r>
        <w:rPr>
          <w:rFonts w:ascii="Times New Roman" w:hAnsi="Times New Roman"/>
          <w:sz w:val="24"/>
        </w:rPr>
        <w:t xml:space="preserve">,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6</w:t>
      </w:r>
      <w:r>
        <w:rPr>
          <w:rFonts w:ascii="Times New Roman" w:hAnsi="Times New Roman"/>
          <w:sz w:val="24"/>
        </w:rPr>
        <w:t>.</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16</w:t>
      </w:r>
      <w:r>
        <w:rPr>
          <w:rFonts w:ascii="Times New Roman" w:hAnsi="Times New Roman"/>
          <w:sz w:val="24"/>
        </w:rPr>
        <w:t>].</w:t>
      </w:r>
    </w:p>
    <w:p w:rsidR="009569C7" w:rsidRPr="00EC4FA2" w:rsidRDefault="00A834F1" w:rsidP="009569C7">
      <w:pPr>
        <w:pStyle w:val="Baseparagraphnumbered"/>
      </w:pPr>
      <w:r>
        <w:t xml:space="preserve">Conform IFRS, „rezervele din reevaluare” includ cuantumul rezervelor care rezultă din prima adoptare a IAS care nu au fost transferate la alte tipuri de rezerve. </w:t>
      </w:r>
    </w:p>
    <w:p w:rsidR="009569C7" w:rsidRPr="00EC4FA2" w:rsidRDefault="00A834F1" w:rsidP="009569C7">
      <w:pPr>
        <w:pStyle w:val="Baseparagraphnumbered"/>
      </w:pPr>
      <w:r>
        <w:t>„Alte rezerve” se împart în „rezerve sau pierderi cumulate aferente investi</w:t>
      </w:r>
      <w:r w:rsidR="000C213F">
        <w:t>ț</w:t>
      </w:r>
      <w:r>
        <w:t>iilor în filiale, asocieri în participa</w:t>
      </w:r>
      <w:r w:rsidR="000C213F">
        <w:t>ț</w:t>
      </w:r>
      <w:r>
        <w:t xml:space="preserve">ie </w:t>
      </w:r>
      <w:r w:rsidR="000C213F">
        <w:t>ș</w:t>
      </w:r>
      <w:r>
        <w:t>i entită</w:t>
      </w:r>
      <w:r w:rsidR="000C213F">
        <w:t>ț</w:t>
      </w:r>
      <w:r>
        <w:t>i asociate, contabilizate prin metoda punerii în echivalen</w:t>
      </w:r>
      <w:r w:rsidR="000C213F">
        <w:t>ț</w:t>
      </w:r>
      <w:r>
        <w:t xml:space="preserve">ă” </w:t>
      </w:r>
      <w:r w:rsidR="000C213F">
        <w:t>ș</w:t>
      </w:r>
      <w:r>
        <w:t>i „altele”. „Rezervele sau pierderile cumulate aferente investi</w:t>
      </w:r>
      <w:r w:rsidR="000C213F">
        <w:t>ț</w:t>
      </w:r>
      <w:r>
        <w:t>iilor în filiale, asocieri în participa</w:t>
      </w:r>
      <w:r w:rsidR="000C213F">
        <w:t>ț</w:t>
      </w:r>
      <w:r>
        <w:t xml:space="preserve">ie </w:t>
      </w:r>
      <w:r w:rsidR="000C213F">
        <w:t>ș</w:t>
      </w:r>
      <w:r>
        <w:t>i entită</w:t>
      </w:r>
      <w:r w:rsidR="000C213F">
        <w:t>ț</w:t>
      </w:r>
      <w:r>
        <w:t>i asociate, contabilizate prin metoda punerii în echivalen</w:t>
      </w:r>
      <w:r w:rsidR="000C213F">
        <w:t>ț</w:t>
      </w:r>
      <w:r>
        <w:t xml:space="preserve">ă” includ cuantumul cumulat al veniturilor </w:t>
      </w:r>
      <w:r w:rsidR="000C213F">
        <w:t>ș</w:t>
      </w:r>
      <w:r>
        <w:t>i cheltuielilor generate de investi</w:t>
      </w:r>
      <w:r w:rsidR="000C213F">
        <w:t>ț</w:t>
      </w:r>
      <w:r>
        <w:t>iile men</w:t>
      </w:r>
      <w:r w:rsidR="000C213F">
        <w:t>ț</w:t>
      </w:r>
      <w:r>
        <w:t>ionate mai sus prin profit sau pierdere în anii anteriori în cazul în care acestea sunt contabilizate prin metoda punerii în echivalen</w:t>
      </w:r>
      <w:r w:rsidR="000C213F">
        <w:t>ț</w:t>
      </w:r>
      <w:r>
        <w:t>ă. „Altele” includ rezervele diferite de cele men</w:t>
      </w:r>
      <w:r w:rsidR="000C213F">
        <w:t>ț</w:t>
      </w:r>
      <w:r>
        <w:t xml:space="preserve">ionate separat la celelalte elemente </w:t>
      </w:r>
      <w:r w:rsidR="000C213F">
        <w:t>ș</w:t>
      </w:r>
      <w:r>
        <w:t xml:space="preserve">i pot include rezerve legale </w:t>
      </w:r>
      <w:r w:rsidR="000C213F">
        <w:t>ș</w:t>
      </w:r>
      <w:r>
        <w:t>i rezerve statutare.</w:t>
      </w:r>
    </w:p>
    <w:p w:rsidR="009569C7" w:rsidRPr="00EC4FA2" w:rsidRDefault="00A834F1" w:rsidP="009569C7">
      <w:pPr>
        <w:pStyle w:val="Baseparagraphnumbered"/>
      </w:pPr>
      <w:r>
        <w:t>„Ac</w:t>
      </w:r>
      <w:r w:rsidR="000C213F">
        <w:t>ț</w:t>
      </w:r>
      <w:r>
        <w:t>iunile de trezorerie” acoperă toate instrumentele financiare care au caracteristicile instrumentelor de capitaluri proprii care au fost redobândite de către institu</w:t>
      </w:r>
      <w:r w:rsidR="000C213F">
        <w:t>ț</w:t>
      </w:r>
      <w:r>
        <w:t>ie, atât timp cât acestea nu sunt vândute sau amortizate, cu excep</w:t>
      </w:r>
      <w:r w:rsidR="000C213F">
        <w:t>ț</w:t>
      </w:r>
      <w:r>
        <w:t>ia cazului în care, conform GAAP na</w:t>
      </w:r>
      <w:r w:rsidR="000C213F">
        <w:t>ț</w:t>
      </w:r>
      <w:r>
        <w:t xml:space="preserve">ionale relevante bazate pe BAD, se raportează la „alte active”.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897542"/>
      <w:bookmarkEnd w:id="69"/>
      <w:bookmarkEnd w:id="70"/>
      <w:bookmarkEnd w:id="71"/>
      <w:r>
        <w:lastRenderedPageBreak/>
        <w:t>Situa</w:t>
      </w:r>
      <w:r w:rsidR="000C213F">
        <w:t>ț</w:t>
      </w:r>
      <w:r>
        <w:t>ia profitului sau pierderii (</w:t>
      </w:r>
      <w:r w:rsidRPr="004237EC">
        <w:t>2</w:t>
      </w:r>
      <w:r>
        <w:t>)</w:t>
      </w:r>
      <w:bookmarkEnd w:id="72"/>
      <w:bookmarkEnd w:id="73"/>
      <w:bookmarkEnd w:id="74"/>
      <w:bookmarkEnd w:id="75"/>
    </w:p>
    <w:p w:rsidR="009569C7" w:rsidRPr="00EC4FA2" w:rsidRDefault="00A834F1" w:rsidP="009569C7">
      <w:pPr>
        <w:pStyle w:val="Baseparagraphnumbered"/>
      </w:pPr>
      <w:r>
        <w:t xml:space="preserve">Veniturile din dobânzi </w:t>
      </w:r>
      <w:r w:rsidR="000C213F">
        <w:t>ș</w:t>
      </w:r>
      <w:r>
        <w:t xml:space="preserve">i cheltuielile cu dobânzile din instrumente financiare evaluate la valoarea justă prin profit sau pierdere </w:t>
      </w:r>
      <w:r w:rsidR="000C213F">
        <w:t>ș</w:t>
      </w:r>
      <w:r>
        <w:t>i din instrumente derivate de acoperire împotriva riscurilor clasificate în categoria „contabilitatea de acoperire împotriva riscurilor” se raportează fie separat de alte câ</w:t>
      </w:r>
      <w:r w:rsidR="000C213F">
        <w:t>ș</w:t>
      </w:r>
      <w:r>
        <w:t xml:space="preserve">tiguri </w:t>
      </w:r>
      <w:r w:rsidR="000C213F">
        <w:t>ș</w:t>
      </w:r>
      <w:r>
        <w:t xml:space="preserve">i pierderi la elementele „venituri din dobânzi” </w:t>
      </w:r>
      <w:r w:rsidR="000C213F">
        <w:t>ș</w:t>
      </w:r>
      <w:r>
        <w:t>i „cheltuieli cu dobânzile” (</w:t>
      </w:r>
      <w:proofErr w:type="spellStart"/>
      <w:r>
        <w:t>a</w:t>
      </w:r>
      <w:r w:rsidR="000C213F">
        <w:t>ș</w:t>
      </w:r>
      <w:r w:rsidR="00586EAE">
        <w:t>a­</w:t>
      </w:r>
      <w:r>
        <w:t>numitul</w:t>
      </w:r>
      <w:proofErr w:type="spellEnd"/>
      <w:r>
        <w:t xml:space="preserve"> „pre</w:t>
      </w:r>
      <w:r w:rsidR="000C213F">
        <w:t>ț</w:t>
      </w:r>
      <w:r>
        <w:t xml:space="preserve"> curat”), fie ca parte a câ</w:t>
      </w:r>
      <w:r w:rsidR="000C213F">
        <w:t>ș</w:t>
      </w:r>
      <w:r>
        <w:t>tigurilor sau pierderilor din aceste categorii de instrumente („pre</w:t>
      </w:r>
      <w:r w:rsidR="000C213F">
        <w:t>ț</w:t>
      </w:r>
      <w:r>
        <w:t xml:space="preserve"> murdar”). Abordarea privind pre</w:t>
      </w:r>
      <w:r w:rsidR="000C213F">
        <w:t>ț</w:t>
      </w:r>
      <w:r>
        <w:t xml:space="preserve">ul curat sau murdar se aplică în mod consecvent pentru toate instrumentele financiare evaluate la valoarea justă prin profit sau pierdere </w:t>
      </w:r>
      <w:r w:rsidR="000C213F">
        <w:t>ș</w:t>
      </w:r>
      <w:r>
        <w:t>i pentru instrumentele derivate de acoperire împotriva riscurilor clasificate în categoria „contabilitatea de acoperire împotriva riscurilor”.</w:t>
      </w:r>
    </w:p>
    <w:p w:rsidR="009569C7" w:rsidRPr="00EC4FA2" w:rsidRDefault="00A834F1" w:rsidP="009569C7">
      <w:pPr>
        <w:pStyle w:val="Baseparagraphnumbered"/>
      </w:pPr>
      <w:r>
        <w:t>Institu</w:t>
      </w:r>
      <w:r w:rsidR="000C213F">
        <w:t>ț</w:t>
      </w:r>
      <w:r>
        <w:t xml:space="preserve">iile raportează următoarele elemente, care includ venituri </w:t>
      </w:r>
      <w:r w:rsidR="000C213F">
        <w:t>ș</w:t>
      </w:r>
      <w:r>
        <w:t>i cheltuieli în legătură cu păr</w:t>
      </w:r>
      <w:r w:rsidR="000C213F">
        <w:t>ț</w:t>
      </w:r>
      <w:r>
        <w:t>ile afiliate care nu sunt consolidate integral sau propor</w:t>
      </w:r>
      <w:r w:rsidR="000C213F">
        <w:t>ț</w:t>
      </w:r>
      <w:r>
        <w:t>ional în perimetrul de consolidare reglementat, defalcate pe portofolii contabile:</w:t>
      </w:r>
    </w:p>
    <w:p w:rsidR="009569C7" w:rsidRPr="00EC4FA2" w:rsidRDefault="00A834F1" w:rsidP="009569C7">
      <w:pPr>
        <w:pStyle w:val="Baseparagraphnumbered"/>
        <w:numPr>
          <w:ilvl w:val="0"/>
          <w:numId w:val="30"/>
        </w:numPr>
        <w:ind w:left="1134" w:hanging="425"/>
      </w:pPr>
      <w:r>
        <w:t>„venituri din dobânzi”;</w:t>
      </w:r>
    </w:p>
    <w:p w:rsidR="009569C7" w:rsidRPr="00EC4FA2" w:rsidRDefault="00A834F1" w:rsidP="009569C7">
      <w:pPr>
        <w:pStyle w:val="Baseparagraphnumbered"/>
        <w:numPr>
          <w:ilvl w:val="0"/>
          <w:numId w:val="30"/>
        </w:numPr>
        <w:ind w:left="1134" w:hanging="425"/>
      </w:pPr>
      <w:r>
        <w:t>„cheltuieli cu dobânzile”;</w:t>
      </w:r>
    </w:p>
    <w:p w:rsidR="009569C7" w:rsidRPr="00EC4FA2" w:rsidRDefault="00A834F1" w:rsidP="009569C7">
      <w:pPr>
        <w:pStyle w:val="Baseparagraphnumbered"/>
        <w:numPr>
          <w:ilvl w:val="0"/>
          <w:numId w:val="30"/>
        </w:numPr>
        <w:ind w:left="1134" w:hanging="425"/>
      </w:pPr>
      <w:r>
        <w:t>„venituri din dividende”;</w:t>
      </w:r>
    </w:p>
    <w:p w:rsidR="009569C7" w:rsidRPr="00EC4FA2" w:rsidRDefault="00A834F1" w:rsidP="009569C7">
      <w:pPr>
        <w:pStyle w:val="Baseparagraphnumbered"/>
        <w:numPr>
          <w:ilvl w:val="0"/>
          <w:numId w:val="30"/>
        </w:numPr>
        <w:ind w:left="1134" w:hanging="425"/>
      </w:pPr>
      <w:r>
        <w:t>„câ</w:t>
      </w:r>
      <w:r w:rsidR="000C213F">
        <w:t>ș</w:t>
      </w:r>
      <w:r>
        <w:t>tiguri sau pierderi din derecunoa</w:t>
      </w:r>
      <w:r w:rsidR="000C213F">
        <w:t>ș</w:t>
      </w:r>
      <w:r>
        <w:t xml:space="preserve">terea activelor </w:t>
      </w:r>
      <w:r w:rsidR="000C213F">
        <w:t>ș</w:t>
      </w:r>
      <w:r>
        <w:t>i datoriilor financiare care nu sunt evaluate la valoarea justă prin profit sau pierdere – net”;</w:t>
      </w:r>
    </w:p>
    <w:p w:rsidR="009569C7" w:rsidRPr="00EC4FA2" w:rsidRDefault="00A834F1" w:rsidP="009569C7">
      <w:pPr>
        <w:pStyle w:val="Baseparagraphnumbered"/>
        <w:numPr>
          <w:ilvl w:val="0"/>
          <w:numId w:val="30"/>
        </w:numPr>
        <w:ind w:left="1134" w:hanging="425"/>
      </w:pPr>
      <w:r>
        <w:t>„câ</w:t>
      </w:r>
      <w:r w:rsidR="000C213F">
        <w:t>ș</w:t>
      </w:r>
      <w:r>
        <w:t>tiguri sau pierderi din modificare – net”;</w:t>
      </w:r>
    </w:p>
    <w:p w:rsidR="009569C7" w:rsidRPr="00EC4FA2" w:rsidRDefault="00A834F1" w:rsidP="009569C7">
      <w:pPr>
        <w:pStyle w:val="Baseparagraphnumbered"/>
        <w:numPr>
          <w:ilvl w:val="0"/>
          <w:numId w:val="30"/>
        </w:numPr>
        <w:ind w:left="1134" w:hanging="425"/>
      </w:pPr>
      <w:r>
        <w:t>„deprecierea sau (–) reluarea pierderilor cauzate de deprecierea activelor financiare care nu sunt evaluate la valoarea justă prin profit sau pierdere”.</w:t>
      </w:r>
    </w:p>
    <w:p w:rsidR="009569C7" w:rsidRPr="00EC4FA2" w:rsidRDefault="00A834F1" w:rsidP="009569C7">
      <w:pPr>
        <w:pStyle w:val="Baseparagraphnumbered"/>
      </w:pPr>
      <w:r>
        <w:t>„Venituri din dobânzi. Active financiare de</w:t>
      </w:r>
      <w:r w:rsidR="000C213F">
        <w:t>ț</w:t>
      </w:r>
      <w:r>
        <w:t>inute în vederea tranzac</w:t>
      </w:r>
      <w:r w:rsidR="000C213F">
        <w:t>ț</w:t>
      </w:r>
      <w:r>
        <w:t xml:space="preserve">ionării” </w:t>
      </w:r>
      <w:r w:rsidR="000C213F">
        <w:t>ș</w:t>
      </w:r>
      <w:r>
        <w:t>i „Cheltuieli cu dobânzile. Datorii financiare de</w:t>
      </w:r>
      <w:r w:rsidR="000C213F">
        <w:t>ț</w:t>
      </w:r>
      <w:r>
        <w:t>inute în vederea tranzac</w:t>
      </w:r>
      <w:r w:rsidR="000C213F">
        <w:t>ț</w:t>
      </w:r>
      <w:r>
        <w:t>ionării” includ, în cazul în care se utilizează pre</w:t>
      </w:r>
      <w:r w:rsidR="000C213F">
        <w:t>ț</w:t>
      </w:r>
      <w:r>
        <w:t>ul curat, cuantumurile aferente instrumentelor derivate clasificate în categoria „de</w:t>
      </w:r>
      <w:r w:rsidR="000C213F">
        <w:t>ț</w:t>
      </w:r>
      <w:r>
        <w:t>inute în vederea tranzac</w:t>
      </w:r>
      <w:r w:rsidR="000C213F">
        <w:t>ț</w:t>
      </w:r>
      <w:r>
        <w:t xml:space="preserve">ionării” care sunt instrumente de acoperire împotriva riscurilor din punct de vedere economic, însă nu din punct de vedere contabil, pentru a prezenta valorile corecte ale veniturilor din dobânzi </w:t>
      </w:r>
      <w:r w:rsidR="000C213F">
        <w:t>ș</w:t>
      </w:r>
      <w:r>
        <w:t xml:space="preserve">i ale cheltuielilor cu dobânzile din instrumentele financiare care sunt acoperite împotriva riscurilor. </w:t>
      </w:r>
    </w:p>
    <w:p w:rsidR="009569C7" w:rsidRPr="00EC4FA2" w:rsidRDefault="00A834F1" w:rsidP="009569C7">
      <w:pPr>
        <w:pStyle w:val="Baseparagraphnumbered"/>
      </w:pPr>
      <w:r>
        <w:t>În cazul în care se utilizează pre</w:t>
      </w:r>
      <w:r w:rsidR="000C213F">
        <w:t>ț</w:t>
      </w:r>
      <w:r>
        <w:t>ul curat, elementele „Venituri din dobânzi. Active financiare de</w:t>
      </w:r>
      <w:r w:rsidR="000C213F">
        <w:t>ț</w:t>
      </w:r>
      <w:r>
        <w:t>inute în vederea tranzac</w:t>
      </w:r>
      <w:r w:rsidR="000C213F">
        <w:t>ț</w:t>
      </w:r>
      <w:r>
        <w:t xml:space="preserve">ionării” </w:t>
      </w:r>
      <w:r w:rsidR="000C213F">
        <w:t>ș</w:t>
      </w:r>
      <w:r>
        <w:t>i „Cheltuieli cu dobânzile. Datorii financiare de</w:t>
      </w:r>
      <w:r w:rsidR="000C213F">
        <w:t>ț</w:t>
      </w:r>
      <w:r>
        <w:t>inute în vederea tranzac</w:t>
      </w:r>
      <w:r w:rsidR="000C213F">
        <w:t>ț</w:t>
      </w:r>
      <w:r>
        <w:t>ionării” includ, de asemenea, onorariile e</w:t>
      </w:r>
      <w:r w:rsidR="000C213F">
        <w:t>ș</w:t>
      </w:r>
      <w:r>
        <w:t>alonate pe durata de via</w:t>
      </w:r>
      <w:r w:rsidR="000C213F">
        <w:t>ț</w:t>
      </w:r>
      <w:r>
        <w:t xml:space="preserve">ă a instrumentului </w:t>
      </w:r>
      <w:r w:rsidR="000C213F">
        <w:t>ș</w:t>
      </w:r>
      <w:r>
        <w:t>i plă</w:t>
      </w:r>
      <w:r w:rsidR="000C213F">
        <w:t>ț</w:t>
      </w:r>
      <w:r>
        <w:t>ile compensatorii în ceea ce prive</w:t>
      </w:r>
      <w:r w:rsidR="000C213F">
        <w:t>ș</w:t>
      </w:r>
      <w:r>
        <w:t xml:space="preserve">te instrumentele derivate de credit evaluate la valoarea justă </w:t>
      </w:r>
      <w:r w:rsidR="000C213F">
        <w:t>ș</w:t>
      </w:r>
      <w:r>
        <w:t>i utilizate pentru a gestiona riscul de credit al unui instrument financiar, în totalitate sau al unei păr</w:t>
      </w:r>
      <w:r w:rsidR="000C213F">
        <w:t>ț</w:t>
      </w:r>
      <w:r>
        <w:t xml:space="preserve">i a acestuia, care este desemnat la valoarea justă cu această ocazie [IFRS </w:t>
      </w:r>
      <w:r w:rsidRPr="004237EC">
        <w:t>9</w:t>
      </w:r>
      <w:r>
        <w:t xml:space="preserve"> punctul </w:t>
      </w:r>
      <w:r w:rsidRPr="004237EC">
        <w:t>6</w:t>
      </w:r>
      <w:r>
        <w:t>.</w:t>
      </w:r>
      <w:r w:rsidRPr="004237EC">
        <w:t>7</w:t>
      </w:r>
      <w:r>
        <w:t xml:space="preserve">]. </w:t>
      </w:r>
    </w:p>
    <w:p w:rsidR="009569C7" w:rsidRPr="00EC4FA2" w:rsidRDefault="00A834F1" w:rsidP="009569C7">
      <w:pPr>
        <w:pStyle w:val="Baseparagraphnumbered"/>
      </w:pPr>
      <w:r>
        <w:lastRenderedPageBreak/>
        <w:t xml:space="preserve">„Venituri din dobânzi. Instrumente derivate – contabilitatea de acoperire împotriva riscurilor, riscul de rată a dobânzii” </w:t>
      </w:r>
      <w:r w:rsidR="000C213F">
        <w:t>ș</w:t>
      </w:r>
      <w:r>
        <w:t>i „Cheltuieli cu dobânzile. Instrumente derivate – contabilitatea de acoperire împotriva riscurilor, riscul de rată a dobânzii” includ, în cazul în care se utilizează pre</w:t>
      </w:r>
      <w:r w:rsidR="000C213F">
        <w:t>ț</w:t>
      </w:r>
      <w:r>
        <w:t>ul curat, cuantumurile aferente instrumentelor derivate clasificate în categoria „contabilitatea de acoperire împotriva riscurilor” care acoperă riscul de rată a dobânzii, inclusiv acoperiri ale unui grup de elemente împotriva riscurilor cu pozi</w:t>
      </w:r>
      <w:r w:rsidR="000C213F">
        <w:t>ț</w:t>
      </w:r>
      <w:r>
        <w:t>ii de compensare a riscurilor (opera</w:t>
      </w:r>
      <w:r w:rsidR="000C213F">
        <w:t>ț</w:t>
      </w:r>
      <w:r>
        <w:t>iuni de acoperire a unei pozi</w:t>
      </w:r>
      <w:r w:rsidR="000C213F">
        <w:t>ț</w:t>
      </w:r>
      <w:r>
        <w:t>ii nete) al căror risc acoperit afectează diverse elemente-rând din situa</w:t>
      </w:r>
      <w:r w:rsidR="000C213F">
        <w:t>ț</w:t>
      </w:r>
      <w:r>
        <w:t>ia profitului sau pierderii. În cazul în care se utilizează pre</w:t>
      </w:r>
      <w:r w:rsidR="000C213F">
        <w:t>ț</w:t>
      </w:r>
      <w:r>
        <w:t xml:space="preserve">ul curat, aceste cuantumuri se raportează ca venituri din dobânzi </w:t>
      </w:r>
      <w:r w:rsidR="000C213F">
        <w:t>ș</w:t>
      </w:r>
      <w:r>
        <w:t xml:space="preserve">i cheltuieli cu dobânzile la valoarea brută pentru a prezenta valorile corecte ale veniturilor din dobânzi </w:t>
      </w:r>
      <w:r w:rsidR="000C213F">
        <w:t>ș</w:t>
      </w:r>
      <w:r>
        <w:t>i ale cheltuielilor cu dobânzile din elementele acoperite împotriva riscurilor de care sunt legate. Cu pre</w:t>
      </w:r>
      <w:r w:rsidR="000C213F">
        <w:t>ț</w:t>
      </w:r>
      <w:r>
        <w:t xml:space="preserve">ul curat, atunci când elementul acoperit generează venituri (cheltuieli) din dobânzi, aceste cuantumuri se raportează ca venituri (cheltuieli) din dobânzi chiar </w:t>
      </w:r>
      <w:r w:rsidR="000C213F">
        <w:t>ș</w:t>
      </w:r>
      <w:r>
        <w:t>i în cazul în care este vorba despre un cuantum negativ (pozitiv).</w:t>
      </w:r>
    </w:p>
    <w:p w:rsidR="009569C7" w:rsidRPr="00EC4FA2" w:rsidRDefault="00A834F1" w:rsidP="009569C7">
      <w:pPr>
        <w:pStyle w:val="Baseparagraphnumbered"/>
      </w:pPr>
      <w:r>
        <w:t xml:space="preserve">„Veniturile din dobânzi – alte active” includ veniturile din dobânzi care nu sunt incluse la alte elemente, precum veniturile din dobânzi aferente numerarului, soldurilor de numerar la băncile centrale </w:t>
      </w:r>
      <w:r w:rsidR="000C213F">
        <w:t>ș</w:t>
      </w:r>
      <w:r>
        <w:t xml:space="preserve">i altor depozite la vedere </w:t>
      </w:r>
      <w:r w:rsidR="000C213F">
        <w:t>ș</w:t>
      </w:r>
      <w:r>
        <w:t xml:space="preserve">i cele aferente activelor imobilizate </w:t>
      </w:r>
      <w:r w:rsidR="000C213F">
        <w:t>ș</w:t>
      </w:r>
      <w:r>
        <w:t>i grupurilor destinate cedării clasificate drept de</w:t>
      </w:r>
      <w:r w:rsidR="000C213F">
        <w:t>ț</w:t>
      </w:r>
      <w:r>
        <w:t xml:space="preserve">inute în vederea vânzării, precum </w:t>
      </w:r>
      <w:r w:rsidR="000C213F">
        <w:t>ș</w:t>
      </w:r>
      <w:r>
        <w:t>i veniturile nete din dobânzi din activele nete aferente beneficiilor determinate.</w:t>
      </w:r>
    </w:p>
    <w:p w:rsidR="009569C7" w:rsidRPr="00EC4FA2" w:rsidRDefault="00A834F1" w:rsidP="009569C7">
      <w:pPr>
        <w:pStyle w:val="Baseparagraphnumbered"/>
      </w:pPr>
      <w:r>
        <w:t xml:space="preserve">În conformitate cu IFRS </w:t>
      </w:r>
      <w:r w:rsidR="000C213F">
        <w:t>ș</w:t>
      </w:r>
      <w:r>
        <w:t>i în cazul în care nu se prevede altfel în GAAP na</w:t>
      </w:r>
      <w:r w:rsidR="000C213F">
        <w:t>ț</w:t>
      </w:r>
      <w:r>
        <w:t xml:space="preserve">ionale, dobânzile aferente datoriilor financiare cu o rată a dobânzii efective negative se raportează la „venituri din dobânzi aferente datoriilor financiare”. Aceste datorii </w:t>
      </w:r>
      <w:r w:rsidR="000C213F">
        <w:t>ș</w:t>
      </w:r>
      <w:r>
        <w:t>i dobânzile aferente generează un randament pozitiv pentru institu</w:t>
      </w:r>
      <w:r w:rsidR="000C213F">
        <w:t>ț</w:t>
      </w:r>
      <w:r>
        <w:t>ie.</w:t>
      </w:r>
      <w:r w:rsidR="004237EC">
        <w:t xml:space="preserve"> </w:t>
      </w:r>
    </w:p>
    <w:p w:rsidR="009569C7" w:rsidRPr="00EC4FA2" w:rsidRDefault="00A834F1" w:rsidP="009569C7">
      <w:pPr>
        <w:pStyle w:val="Baseparagraphnumbered"/>
      </w:pPr>
      <w:r>
        <w:t xml:space="preserve"> „Cheltuielile cu dobânzile – alte datorii” includ cheltuielile cu dobânzile care nu sunt incluse la alte elemente, precum cheltuielile cu dobânzile aferente datoriilor incluse în grupuri destinate cedării clasificate drept de</w:t>
      </w:r>
      <w:r w:rsidR="000C213F">
        <w:t>ț</w:t>
      </w:r>
      <w:r>
        <w:t xml:space="preserve">inute în vederea vânzării, cheltuielile derivate din majorările valorii contabile a unui provizion reflectând trecerea timpului sau cheltuielile nete cu dobânzile din datorii nete aferente beneficiilor determinate. </w:t>
      </w:r>
    </w:p>
    <w:p w:rsidR="009569C7" w:rsidRPr="00EC4FA2" w:rsidRDefault="00A834F1" w:rsidP="009569C7">
      <w:pPr>
        <w:pStyle w:val="Baseparagraphnumbered"/>
      </w:pPr>
      <w:r>
        <w:t xml:space="preserve">În conformitate cu IFRS </w:t>
      </w:r>
      <w:r w:rsidR="000C213F">
        <w:t>ș</w:t>
      </w:r>
      <w:r>
        <w:t>i în cazul în care nu se prevede altfel în GAAP na</w:t>
      </w:r>
      <w:r w:rsidR="000C213F">
        <w:t>ț</w:t>
      </w:r>
      <w:r>
        <w:t xml:space="preserve">ionale, dobânzile aferente activelor financiare cu o rată a dobânzii efective negative se raportează la „cheltuieli cu dobânzile aferente activelor”. Aceste active </w:t>
      </w:r>
      <w:r w:rsidR="000C213F">
        <w:t>ș</w:t>
      </w:r>
      <w:r>
        <w:t>i dobânzile aferente generează un randament negativ pentru institu</w:t>
      </w:r>
      <w:r w:rsidR="000C213F">
        <w:t>ț</w:t>
      </w:r>
      <w:r>
        <w:t xml:space="preserve">ie. </w:t>
      </w:r>
    </w:p>
    <w:p w:rsidR="009569C7" w:rsidRPr="00EC4FA2" w:rsidRDefault="00A834F1" w:rsidP="009569C7">
      <w:pPr>
        <w:pStyle w:val="Baseparagraphnumbered"/>
      </w:pPr>
      <w:r>
        <w:t>Veniturile din dividende pe instrumentele de capitaluri proprii evaluate la valoarea justă prin profit sau pierdere se raportează fie ca „venituri din dividende” separat de alte câ</w:t>
      </w:r>
      <w:r w:rsidR="000C213F">
        <w:t>ș</w:t>
      </w:r>
      <w:r>
        <w:t>tiguri sau pierderi din aceste clase de instrumente în cazul în care se utilizează pre</w:t>
      </w:r>
      <w:r w:rsidR="000C213F">
        <w:t>ț</w:t>
      </w:r>
      <w:r>
        <w:t>ul curat, fie ca parte a câ</w:t>
      </w:r>
      <w:r w:rsidR="000C213F">
        <w:t>ș</w:t>
      </w:r>
      <w:r>
        <w:t>tigurilor sau pierderilor din aceste clase de instrumente în cazul în care se utilizează pre</w:t>
      </w:r>
      <w:r w:rsidR="000C213F">
        <w:t>ț</w:t>
      </w:r>
      <w:r>
        <w:t xml:space="preserve">ul murdar. </w:t>
      </w:r>
    </w:p>
    <w:p w:rsidR="009569C7" w:rsidRPr="00EC4FA2" w:rsidRDefault="00A834F1" w:rsidP="009569C7">
      <w:pPr>
        <w:pStyle w:val="Baseparagraphnumbered"/>
      </w:pPr>
      <w:r>
        <w:lastRenderedPageBreak/>
        <w:t xml:space="preserve">Veniturile din dividende pe instrumentele de capitaluri proprii desemnate la valoarea justă prin alte elemente ale rezultatului global cuprind dividendele aferente instrumentelor derecunoscute în decursul perioadei </w:t>
      </w:r>
      <w:r w:rsidR="000C213F">
        <w:t>ș</w:t>
      </w:r>
      <w:r>
        <w:t>i dividendele aferente instrumentelor de</w:t>
      </w:r>
      <w:r w:rsidR="000C213F">
        <w:t>ț</w:t>
      </w:r>
      <w:r>
        <w:t>inute la finalul perioadei de raportare.</w:t>
      </w:r>
    </w:p>
    <w:p w:rsidR="009569C7" w:rsidRPr="00EC4FA2" w:rsidRDefault="00A834F1" w:rsidP="009569C7">
      <w:pPr>
        <w:pStyle w:val="Baseparagraphnumbered"/>
      </w:pPr>
      <w:r>
        <w:t>Veniturile din dividende din investi</w:t>
      </w:r>
      <w:r w:rsidR="000C213F">
        <w:t>ț</w:t>
      </w:r>
      <w:r>
        <w:t>iile în filiale, asocieri în participa</w:t>
      </w:r>
      <w:r w:rsidR="000C213F">
        <w:t>ț</w:t>
      </w:r>
      <w:r>
        <w:t xml:space="preserve">ie </w:t>
      </w:r>
      <w:r w:rsidR="000C213F">
        <w:t>ș</w:t>
      </w:r>
      <w:r>
        <w:t>i entită</w:t>
      </w:r>
      <w:r w:rsidR="000C213F">
        <w:t>ț</w:t>
      </w:r>
      <w:r>
        <w:t>i asociate includ dividendele din aceste investi</w:t>
      </w:r>
      <w:r w:rsidR="000C213F">
        <w:t>ț</w:t>
      </w:r>
      <w:r>
        <w:t>ii, în cazul în care acestea sunt contabilizate altfel decât utilizând metoda punerii în echivalen</w:t>
      </w:r>
      <w:r w:rsidR="000C213F">
        <w:t>ț</w:t>
      </w:r>
      <w:r>
        <w:t>ă.</w:t>
      </w:r>
    </w:p>
    <w:p w:rsidR="009569C7" w:rsidRPr="00EC4FA2" w:rsidRDefault="00A834F1" w:rsidP="009569C7">
      <w:pPr>
        <w:pStyle w:val="Baseparagraphnumbered"/>
      </w:pPr>
      <w:r>
        <w:t>„Câ</w:t>
      </w:r>
      <w:r w:rsidR="000C213F">
        <w:t>ș</w:t>
      </w:r>
      <w:r>
        <w:t xml:space="preserve">tigurile sau (–) pierderile aferente activelor </w:t>
      </w:r>
      <w:r w:rsidR="000C213F">
        <w:t>ș</w:t>
      </w:r>
      <w:r>
        <w:t>i datoriilor financiare de</w:t>
      </w:r>
      <w:r w:rsidR="000C213F">
        <w:t>ț</w:t>
      </w:r>
      <w:r>
        <w:t>inute în vederea tranzac</w:t>
      </w:r>
      <w:r w:rsidR="000C213F">
        <w:t>ț</w:t>
      </w:r>
      <w:r>
        <w:t>ionării – net” includ câ</w:t>
      </w:r>
      <w:r w:rsidR="000C213F">
        <w:t>ș</w:t>
      </w:r>
      <w:r>
        <w:t xml:space="preserve">tigurile </w:t>
      </w:r>
      <w:r w:rsidR="000C213F">
        <w:t>ș</w:t>
      </w:r>
      <w:r>
        <w:t xml:space="preserve">i pierderile din reevaluarea </w:t>
      </w:r>
      <w:r w:rsidR="000C213F">
        <w:t>ș</w:t>
      </w:r>
      <w:r>
        <w:t>i derecunoa</w:t>
      </w:r>
      <w:r w:rsidR="000C213F">
        <w:t>ș</w:t>
      </w:r>
      <w:r>
        <w:t>terea instrumentelor financiare clasificate ca fiind de</w:t>
      </w:r>
      <w:r w:rsidR="000C213F">
        <w:t>ț</w:t>
      </w:r>
      <w:r>
        <w:t>inute în vederea tranzac</w:t>
      </w:r>
      <w:r w:rsidR="000C213F">
        <w:t>ț</w:t>
      </w:r>
      <w:r>
        <w:t>ionării. Acest element include, de asemenea, câ</w:t>
      </w:r>
      <w:r w:rsidR="000C213F">
        <w:t>ș</w:t>
      </w:r>
      <w:r>
        <w:t xml:space="preserve">tigurile </w:t>
      </w:r>
      <w:r w:rsidR="000C213F">
        <w:t>ș</w:t>
      </w:r>
      <w:r>
        <w:t>i pierderile din instrumentele derivate de credit evaluate la valoarea justă prin profit sau pierdere, utilizate pentru a gestiona riscul de credit al unui instrument financiar, în totalitate sau al unei păr</w:t>
      </w:r>
      <w:r w:rsidR="000C213F">
        <w:t>ț</w:t>
      </w:r>
      <w:r>
        <w:t xml:space="preserve">i a acestuia, care este desemnat ca fiind evaluat la valoarea justă prin profit sau pierdere, precum </w:t>
      </w:r>
      <w:r w:rsidR="000C213F">
        <w:t>ș</w:t>
      </w:r>
      <w:r>
        <w:t xml:space="preserve">i veniturile din dobânzi </w:t>
      </w:r>
      <w:r w:rsidR="000C213F">
        <w:t>ș</w:t>
      </w:r>
      <w:r>
        <w:t xml:space="preserve">i dividende </w:t>
      </w:r>
      <w:r w:rsidR="000C213F">
        <w:t>ș</w:t>
      </w:r>
      <w:r>
        <w:t xml:space="preserve">i cheltuielile cu dobânzile </w:t>
      </w:r>
      <w:r w:rsidR="000C213F">
        <w:t>ș</w:t>
      </w:r>
      <w:r>
        <w:t xml:space="preserve">i dividendele aferente activelor </w:t>
      </w:r>
      <w:r w:rsidR="000C213F">
        <w:t>ș</w:t>
      </w:r>
      <w:r>
        <w:t>i datoriilor financiare de</w:t>
      </w:r>
      <w:r w:rsidR="000C213F">
        <w:t>ț</w:t>
      </w:r>
      <w:r>
        <w:t>inute în vederea tranzac</w:t>
      </w:r>
      <w:r w:rsidR="000C213F">
        <w:t>ț</w:t>
      </w:r>
      <w:r>
        <w:t>ionării în cazul în care se utilizează pre</w:t>
      </w:r>
      <w:r w:rsidR="000C213F">
        <w:t>ț</w:t>
      </w:r>
      <w:r>
        <w:t xml:space="preserve">ul murdar. </w:t>
      </w:r>
    </w:p>
    <w:p w:rsidR="009569C7" w:rsidRPr="00EC4FA2" w:rsidRDefault="00A834F1" w:rsidP="009569C7">
      <w:pPr>
        <w:pStyle w:val="Baseparagraphnumbered"/>
      </w:pPr>
      <w:r>
        <w:t>„Câ</w:t>
      </w:r>
      <w:r w:rsidR="000C213F">
        <w:t>ș</w:t>
      </w:r>
      <w:r>
        <w:t xml:space="preserve">tigurile sau pierderile aferente activelor </w:t>
      </w:r>
      <w:r w:rsidR="000C213F">
        <w:t>ș</w:t>
      </w:r>
      <w:r>
        <w:t xml:space="preserve">i datoriilor financiare desemnate la valoarea justă prin profit sau pierdere” includ </w:t>
      </w:r>
      <w:r w:rsidR="000C213F">
        <w:t>ș</w:t>
      </w:r>
      <w:r>
        <w:t>i cuantumul recunoscut în situa</w:t>
      </w:r>
      <w:r w:rsidR="000C213F">
        <w:t>ț</w:t>
      </w:r>
      <w:r>
        <w:t>ia profitului sau pierderii pentru riscul de credit propriu al datoriilor desemnate la valoarea justă în cazul în care recunoa</w:t>
      </w:r>
      <w:r w:rsidR="000C213F">
        <w:t>ș</w:t>
      </w:r>
      <w:r>
        <w:t xml:space="preserve">terea modificărilor riscului de credit propriu în alte elemente ale rezultatului global creează sau extinde o necorelare contabilă [IFRS </w:t>
      </w:r>
      <w:r w:rsidRPr="004237EC">
        <w:t>9</w:t>
      </w:r>
      <w:r>
        <w:t xml:space="preserve"> punctul </w:t>
      </w:r>
      <w:r w:rsidRPr="004237EC">
        <w:t>5</w:t>
      </w:r>
      <w:r>
        <w:t>.</w:t>
      </w:r>
      <w:r w:rsidRPr="004237EC">
        <w:t>7</w:t>
      </w:r>
      <w:r>
        <w:t>.</w:t>
      </w:r>
      <w:r w:rsidRPr="004237EC">
        <w:t>8</w:t>
      </w:r>
      <w:r>
        <w:t>]. Acest element include, de asemenea, câ</w:t>
      </w:r>
      <w:r w:rsidR="000C213F">
        <w:t>ș</w:t>
      </w:r>
      <w:r>
        <w:t xml:space="preserve">tigurile </w:t>
      </w:r>
      <w:r w:rsidR="000C213F">
        <w:t>ș</w:t>
      </w:r>
      <w:r>
        <w:t xml:space="preserve">i pierderile aferente instrumentelor care sunt acoperite împotriva riscurilor </w:t>
      </w:r>
      <w:r w:rsidR="000C213F">
        <w:t>ș</w:t>
      </w:r>
      <w:r>
        <w:t xml:space="preserve">i desemnate ca fiind evaluate la valoarea justă prin profit sau pierdere dacă desemnarea este utilizată pentru a gestiona riscul de credit, precum </w:t>
      </w:r>
      <w:r w:rsidR="000C213F">
        <w:t>ș</w:t>
      </w:r>
      <w:r>
        <w:t xml:space="preserve">i veniturile din dobânzi </w:t>
      </w:r>
      <w:r w:rsidR="000C213F">
        <w:t>ș</w:t>
      </w:r>
      <w:r>
        <w:t xml:space="preserve">i cheltuielile cu dobânzile aferente activelor </w:t>
      </w:r>
      <w:r w:rsidR="000C213F">
        <w:t>ș</w:t>
      </w:r>
      <w:r>
        <w:t>i datoriilor financiare desemnate la valoarea justă prin profit sau pierdere dacă se utilizează pre</w:t>
      </w:r>
      <w:r w:rsidR="000C213F">
        <w:t>ț</w:t>
      </w:r>
      <w:r>
        <w:t>ul murdar.</w:t>
      </w:r>
    </w:p>
    <w:p w:rsidR="009569C7" w:rsidRPr="00EC4FA2" w:rsidRDefault="00A834F1" w:rsidP="009569C7">
      <w:pPr>
        <w:pStyle w:val="Baseparagraphnumbered"/>
      </w:pPr>
      <w:r>
        <w:t>„Câ</w:t>
      </w:r>
      <w:r w:rsidR="000C213F">
        <w:t>ș</w:t>
      </w:r>
      <w:r>
        <w:t>tiguri sau (−) pierderi din derecunoa</w:t>
      </w:r>
      <w:r w:rsidR="000C213F">
        <w:t>ș</w:t>
      </w:r>
      <w:r>
        <w:t xml:space="preserve">terea activelor </w:t>
      </w:r>
      <w:r w:rsidR="000C213F">
        <w:t>ș</w:t>
      </w:r>
      <w:r>
        <w:t xml:space="preserve">i datoriilor financiare care nu sunt evaluate la valoarea justă prin profit sau pierdere” nu se referă la instrumentele de capitaluri proprii pe care o entitate raportoare a ales să le evalueze la valoarea justă prin alte elemente ale rezultatului global [IFRS </w:t>
      </w:r>
      <w:r w:rsidRPr="004237EC">
        <w:t>9</w:t>
      </w:r>
      <w:r>
        <w:t xml:space="preserve"> punctul </w:t>
      </w:r>
      <w:r w:rsidRPr="004237EC">
        <w:t>5</w:t>
      </w:r>
      <w:r>
        <w:t>.</w:t>
      </w:r>
      <w:r w:rsidRPr="004237EC">
        <w:t>7</w:t>
      </w:r>
      <w:r>
        <w:t>.</w:t>
      </w:r>
      <w:r w:rsidRPr="004237EC">
        <w:t>1</w:t>
      </w:r>
      <w:r>
        <w:t xml:space="preserve"> litera (b)].</w:t>
      </w:r>
    </w:p>
    <w:p w:rsidR="009569C7" w:rsidRPr="00EC4FA2" w:rsidRDefault="00A834F1" w:rsidP="009569C7">
      <w:pPr>
        <w:pStyle w:val="Baseparagraphnumbered"/>
      </w:pPr>
      <w:r>
        <w:t>În cazul în care o schimbare a modelului de afaceri conduce la o reclasificare a unui activ financiar într-un alt portofoliu contabil, câ</w:t>
      </w:r>
      <w:r w:rsidR="000C213F">
        <w:t>ș</w:t>
      </w:r>
      <w:r>
        <w:t>tigurile sau pierderile rezultate din reclasificare se raportează în rândurile relevante din portofoliul contabil în care este reclasificat activul financiar, în conformitate cu următoarele dispozi</w:t>
      </w:r>
      <w:r w:rsidR="000C213F">
        <w:t>ț</w:t>
      </w:r>
      <w:r>
        <w:t xml:space="preserve">ii: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în cazul în care un activ financiar este reclasificat din categoria de evaluare la costul amortizat în categoria de evaluare la valoarea justă prin portofoliul contabil de profit sau pierdere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6</w:t>
      </w:r>
      <w:r>
        <w:rPr>
          <w:rFonts w:ascii="Times New Roman" w:hAnsi="Times New Roman"/>
          <w:sz w:val="24"/>
        </w:rPr>
        <w:t>.</w:t>
      </w:r>
      <w:r w:rsidRPr="004237EC">
        <w:rPr>
          <w:rFonts w:ascii="Times New Roman" w:hAnsi="Times New Roman"/>
          <w:sz w:val="24"/>
        </w:rPr>
        <w:t>2</w:t>
      </w:r>
      <w:r>
        <w:rPr>
          <w:rFonts w:ascii="Times New Roman" w:hAnsi="Times New Roman"/>
          <w:sz w:val="24"/>
        </w:rPr>
        <w:t>], câ</w:t>
      </w:r>
      <w:r w:rsidR="000C213F">
        <w:rPr>
          <w:rFonts w:ascii="Times New Roman" w:hAnsi="Times New Roman"/>
          <w:sz w:val="24"/>
        </w:rPr>
        <w:t>ș</w:t>
      </w:r>
      <w:r>
        <w:rPr>
          <w:rFonts w:ascii="Times New Roman" w:hAnsi="Times New Roman"/>
          <w:sz w:val="24"/>
        </w:rPr>
        <w:t xml:space="preserve">tigurile sau pierderile cauzate de reclasificare se raportează la </w:t>
      </w:r>
      <w:r>
        <w:rPr>
          <w:rFonts w:ascii="Times New Roman" w:hAnsi="Times New Roman"/>
          <w:sz w:val="24"/>
        </w:rPr>
        <w:lastRenderedPageBreak/>
        <w:t>„câ</w:t>
      </w:r>
      <w:r w:rsidR="000C213F">
        <w:rPr>
          <w:rFonts w:ascii="Times New Roman" w:hAnsi="Times New Roman"/>
          <w:sz w:val="24"/>
        </w:rPr>
        <w:t>ș</w:t>
      </w:r>
      <w:r>
        <w:rPr>
          <w:rFonts w:ascii="Times New Roman" w:hAnsi="Times New Roman"/>
          <w:sz w:val="24"/>
        </w:rPr>
        <w:t xml:space="preserve">tiguri sau (−) pierderi aferente activelor </w:t>
      </w:r>
      <w:r w:rsidR="000C213F">
        <w:rPr>
          <w:rFonts w:ascii="Times New Roman" w:hAnsi="Times New Roman"/>
          <w:sz w:val="24"/>
        </w:rPr>
        <w:t>ș</w:t>
      </w:r>
      <w:r>
        <w:rPr>
          <w:rFonts w:ascii="Times New Roman" w:hAnsi="Times New Roman"/>
          <w:sz w:val="24"/>
        </w:rPr>
        <w:t>i datoriilor financiare de</w:t>
      </w:r>
      <w:r w:rsidR="000C213F">
        <w:rPr>
          <w:rFonts w:ascii="Times New Roman" w:hAnsi="Times New Roman"/>
          <w:sz w:val="24"/>
        </w:rPr>
        <w:t>ț</w:t>
      </w:r>
      <w:r>
        <w:rPr>
          <w:rFonts w:ascii="Times New Roman" w:hAnsi="Times New Roman"/>
          <w:sz w:val="24"/>
        </w:rPr>
        <w:t>inute în vederea tranzac</w:t>
      </w:r>
      <w:r w:rsidR="000C213F">
        <w:rPr>
          <w:rFonts w:ascii="Times New Roman" w:hAnsi="Times New Roman"/>
          <w:sz w:val="24"/>
        </w:rPr>
        <w:t>ț</w:t>
      </w:r>
      <w:r>
        <w:rPr>
          <w:rFonts w:ascii="Times New Roman" w:hAnsi="Times New Roman"/>
          <w:sz w:val="24"/>
        </w:rPr>
        <w:t>ionării – net” sau, după caz, la „câ</w:t>
      </w:r>
      <w:r w:rsidR="000C213F">
        <w:rPr>
          <w:rFonts w:ascii="Times New Roman" w:hAnsi="Times New Roman"/>
          <w:sz w:val="24"/>
        </w:rPr>
        <w:t>ș</w:t>
      </w:r>
      <w:r>
        <w:rPr>
          <w:rFonts w:ascii="Times New Roman" w:hAnsi="Times New Roman"/>
          <w:sz w:val="24"/>
        </w:rPr>
        <w:t>tiguri sau (−) pierderi aferente activelor financiare nedestinate tranzac</w:t>
      </w:r>
      <w:r w:rsidR="000C213F">
        <w:rPr>
          <w:rFonts w:ascii="Times New Roman" w:hAnsi="Times New Roman"/>
          <w:sz w:val="24"/>
        </w:rPr>
        <w:t>ț</w:t>
      </w:r>
      <w:r>
        <w:rPr>
          <w:rFonts w:ascii="Times New Roman" w:hAnsi="Times New Roman"/>
          <w:sz w:val="24"/>
        </w:rPr>
        <w:t>ionării, evaluate obligatoriu la valoarea justă prin profit sau pierdere – net”;</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 xml:space="preserve">în cazul în care un activ financiar este reclasificat din categoria de evaluare la valoarea justă prin alte elemente ale rezultatului global în categoria de evaluare prin profit sau pierdere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5</w:t>
      </w:r>
      <w:r>
        <w:rPr>
          <w:rFonts w:ascii="Times New Roman" w:hAnsi="Times New Roman"/>
          <w:sz w:val="24"/>
        </w:rPr>
        <w:t>.</w:t>
      </w:r>
      <w:r w:rsidRPr="004237EC">
        <w:rPr>
          <w:rFonts w:ascii="Times New Roman" w:hAnsi="Times New Roman"/>
          <w:sz w:val="24"/>
        </w:rPr>
        <w:t>6</w:t>
      </w:r>
      <w:r>
        <w:rPr>
          <w:rFonts w:ascii="Times New Roman" w:hAnsi="Times New Roman"/>
          <w:sz w:val="24"/>
        </w:rPr>
        <w:t>.</w:t>
      </w:r>
      <w:r w:rsidRPr="004237EC">
        <w:rPr>
          <w:rFonts w:ascii="Times New Roman" w:hAnsi="Times New Roman"/>
          <w:sz w:val="24"/>
        </w:rPr>
        <w:t>7</w:t>
      </w:r>
      <w:r>
        <w:rPr>
          <w:rFonts w:ascii="Times New Roman" w:hAnsi="Times New Roman"/>
          <w:sz w:val="24"/>
        </w:rPr>
        <w:t>], câ</w:t>
      </w:r>
      <w:r w:rsidR="000C213F">
        <w:rPr>
          <w:rFonts w:ascii="Times New Roman" w:hAnsi="Times New Roman"/>
          <w:sz w:val="24"/>
        </w:rPr>
        <w:t>ș</w:t>
      </w:r>
      <w:r>
        <w:rPr>
          <w:rFonts w:ascii="Times New Roman" w:hAnsi="Times New Roman"/>
          <w:sz w:val="24"/>
        </w:rPr>
        <w:t>tigurile sau pierderile cumulate recunoscute anterior în alte elemente ale rezultatului global reclasificate în profit sau pierdere se raportează la „câ</w:t>
      </w:r>
      <w:r w:rsidR="000C213F">
        <w:rPr>
          <w:rFonts w:ascii="Times New Roman" w:hAnsi="Times New Roman"/>
          <w:sz w:val="24"/>
        </w:rPr>
        <w:t>ș</w:t>
      </w:r>
      <w:r>
        <w:rPr>
          <w:rFonts w:ascii="Times New Roman" w:hAnsi="Times New Roman"/>
          <w:sz w:val="24"/>
        </w:rPr>
        <w:t xml:space="preserve">tiguri sau (−) pierderi aferente activelor </w:t>
      </w:r>
      <w:r w:rsidR="000C213F">
        <w:rPr>
          <w:rFonts w:ascii="Times New Roman" w:hAnsi="Times New Roman"/>
          <w:sz w:val="24"/>
        </w:rPr>
        <w:t>ș</w:t>
      </w:r>
      <w:r>
        <w:rPr>
          <w:rFonts w:ascii="Times New Roman" w:hAnsi="Times New Roman"/>
          <w:sz w:val="24"/>
        </w:rPr>
        <w:t>i datoriilor financiare de</w:t>
      </w:r>
      <w:r w:rsidR="000C213F">
        <w:rPr>
          <w:rFonts w:ascii="Times New Roman" w:hAnsi="Times New Roman"/>
          <w:sz w:val="24"/>
        </w:rPr>
        <w:t>ț</w:t>
      </w:r>
      <w:r>
        <w:rPr>
          <w:rFonts w:ascii="Times New Roman" w:hAnsi="Times New Roman"/>
          <w:sz w:val="24"/>
        </w:rPr>
        <w:t>inute în vederea tranzac</w:t>
      </w:r>
      <w:r w:rsidR="000C213F">
        <w:rPr>
          <w:rFonts w:ascii="Times New Roman" w:hAnsi="Times New Roman"/>
          <w:sz w:val="24"/>
        </w:rPr>
        <w:t>ț</w:t>
      </w:r>
      <w:r>
        <w:rPr>
          <w:rFonts w:ascii="Times New Roman" w:hAnsi="Times New Roman"/>
          <w:sz w:val="24"/>
        </w:rPr>
        <w:t>ionării – net” sau, după caz, la „câ</w:t>
      </w:r>
      <w:r w:rsidR="000C213F">
        <w:rPr>
          <w:rFonts w:ascii="Times New Roman" w:hAnsi="Times New Roman"/>
          <w:sz w:val="24"/>
        </w:rPr>
        <w:t>ș</w:t>
      </w:r>
      <w:r>
        <w:rPr>
          <w:rFonts w:ascii="Times New Roman" w:hAnsi="Times New Roman"/>
          <w:sz w:val="24"/>
        </w:rPr>
        <w:t>tiguri sau (−) pierderi aferente activelor financiare nedestinate tranzac</w:t>
      </w:r>
      <w:r w:rsidR="000C213F">
        <w:rPr>
          <w:rFonts w:ascii="Times New Roman" w:hAnsi="Times New Roman"/>
          <w:sz w:val="24"/>
        </w:rPr>
        <w:t>ț</w:t>
      </w:r>
      <w:r>
        <w:rPr>
          <w:rFonts w:ascii="Times New Roman" w:hAnsi="Times New Roman"/>
          <w:sz w:val="24"/>
        </w:rPr>
        <w:t>ionării, evaluate obligatoriu la valoarea justă prin profit sau pierdere – net”.</w:t>
      </w:r>
    </w:p>
    <w:p w:rsidR="009569C7" w:rsidRPr="00EC4FA2" w:rsidRDefault="00A834F1" w:rsidP="009569C7">
      <w:pPr>
        <w:pStyle w:val="Baseparagraphnumbered"/>
      </w:pPr>
      <w:r>
        <w:t>„Câ</w:t>
      </w:r>
      <w:r w:rsidR="000C213F">
        <w:t>ș</w:t>
      </w:r>
      <w:r>
        <w:t>tigurile sau (−) pierderile din contabilitatea de acoperire împotriva riscurilor – net” includ câ</w:t>
      </w:r>
      <w:r w:rsidR="000C213F">
        <w:t>ș</w:t>
      </w:r>
      <w:r>
        <w:t xml:space="preserve">tigurile </w:t>
      </w:r>
      <w:r w:rsidR="000C213F">
        <w:t>ș</w:t>
      </w:r>
      <w:r>
        <w:t xml:space="preserve">i pierderile din instrumentele de acoperire împotriva riscurilor </w:t>
      </w:r>
      <w:r w:rsidR="000C213F">
        <w:t>ș</w:t>
      </w:r>
      <w:r>
        <w:t xml:space="preserve">i din elementele acoperite împotriva riscurilor, inclusiv pe cele din elemente acoperite împotriva riscurilor evaluate la valoarea justă prin alte elemente ale rezultatului global, altele decât instrumentele de capitaluri proprii, într-o acoperire a valorii juste împotriva riscurilor în conformitate cu IFRS </w:t>
      </w:r>
      <w:r w:rsidRPr="004237EC">
        <w:t>9</w:t>
      </w:r>
      <w:r>
        <w:t xml:space="preserve"> punctul </w:t>
      </w:r>
      <w:r w:rsidRPr="004237EC">
        <w:t>6</w:t>
      </w:r>
      <w:r>
        <w:t>.</w:t>
      </w:r>
      <w:r w:rsidRPr="004237EC">
        <w:t>5</w:t>
      </w:r>
      <w:r>
        <w:t>.</w:t>
      </w:r>
      <w:r w:rsidRPr="004237EC">
        <w:t>8</w:t>
      </w:r>
      <w:r>
        <w:t xml:space="preserve">. Acest element include </w:t>
      </w:r>
      <w:r w:rsidR="000C213F">
        <w:t>ș</w:t>
      </w:r>
      <w:r>
        <w:t>i partea ineficace a varia</w:t>
      </w:r>
      <w:r w:rsidR="000C213F">
        <w:t>ț</w:t>
      </w:r>
      <w:r>
        <w:t>iei valorii juste a instrumentelor de acoperire împotriva riscului într-o opera</w:t>
      </w:r>
      <w:r w:rsidR="000C213F">
        <w:t>ț</w:t>
      </w:r>
      <w:r>
        <w:t>iune de acoperire a unui flux de trezorerie. Reclasificările rezervei aferente acoperirilor fluxurilor de trezorerie sau ale rezervei aferente acoperirilor unei investi</w:t>
      </w:r>
      <w:r w:rsidR="000C213F">
        <w:t>ț</w:t>
      </w:r>
      <w:r>
        <w:t>ii nete într-o opera</w:t>
      </w:r>
      <w:r w:rsidR="000C213F">
        <w:t>ț</w:t>
      </w:r>
      <w:r>
        <w:t>iune din străinătate sunt recunoscute în acelea</w:t>
      </w:r>
      <w:r w:rsidR="000C213F">
        <w:t>ș</w:t>
      </w:r>
      <w:r>
        <w:t>i rânduri din „situa</w:t>
      </w:r>
      <w:r w:rsidR="000C213F">
        <w:t>ț</w:t>
      </w:r>
      <w:r>
        <w:t xml:space="preserve">ia profitului sau pierderii” ca </w:t>
      </w:r>
      <w:r w:rsidR="000C213F">
        <w:t>ș</w:t>
      </w:r>
      <w:r>
        <w:t>i cele afectate de fluxurile de trezorerie care decurg din elementele acoperite împotriva riscurilor. „Câ</w:t>
      </w:r>
      <w:r w:rsidR="000C213F">
        <w:t>ș</w:t>
      </w:r>
      <w:r>
        <w:t>tigurile sau (−) pierderile din contabilitatea de acoperire împotriva riscurilor – net” includ, de asemenea, câ</w:t>
      </w:r>
      <w:r w:rsidR="000C213F">
        <w:t>ș</w:t>
      </w:r>
      <w:r>
        <w:t xml:space="preserve">tigurile </w:t>
      </w:r>
      <w:r w:rsidR="000C213F">
        <w:t>ș</w:t>
      </w:r>
      <w:r>
        <w:t>i pierderile din acoperirile unei investi</w:t>
      </w:r>
      <w:r w:rsidR="000C213F">
        <w:t>ț</w:t>
      </w:r>
      <w:r>
        <w:t>ii nete în opera</w:t>
      </w:r>
      <w:r w:rsidR="000C213F">
        <w:t>ț</w:t>
      </w:r>
      <w:r>
        <w:t xml:space="preserve">iuni din străinătate. Acest element include </w:t>
      </w:r>
      <w:r w:rsidR="000C213F">
        <w:t>ș</w:t>
      </w:r>
      <w:r>
        <w:t>i câ</w:t>
      </w:r>
      <w:r w:rsidR="000C213F">
        <w:t>ș</w:t>
      </w:r>
      <w:r>
        <w:t>tigurile din acoperirile pozi</w:t>
      </w:r>
      <w:r w:rsidR="000C213F">
        <w:t>ț</w:t>
      </w:r>
      <w:r>
        <w:t>iilor nete.</w:t>
      </w:r>
    </w:p>
    <w:p w:rsidR="009569C7" w:rsidRPr="00EC4FA2" w:rsidRDefault="00A834F1" w:rsidP="009569C7">
      <w:pPr>
        <w:pStyle w:val="Baseparagraphnumbered"/>
      </w:pPr>
      <w:r>
        <w:t xml:space="preserve"> „Câ</w:t>
      </w:r>
      <w:r w:rsidR="000C213F">
        <w:t>ș</w:t>
      </w:r>
      <w:r>
        <w:t>tigurile sau pierderile din derecunoa</w:t>
      </w:r>
      <w:r w:rsidR="000C213F">
        <w:t>ș</w:t>
      </w:r>
      <w:r>
        <w:t>terea activelor nefinanciare” includ câ</w:t>
      </w:r>
      <w:r w:rsidR="000C213F">
        <w:t>ș</w:t>
      </w:r>
      <w:r>
        <w:t xml:space="preserve">tigurile </w:t>
      </w:r>
      <w:r w:rsidR="000C213F">
        <w:t>ș</w:t>
      </w:r>
      <w:r>
        <w:t>i pierderile din derecunoa</w:t>
      </w:r>
      <w:r w:rsidR="000C213F">
        <w:t>ș</w:t>
      </w:r>
      <w:r>
        <w:t>terea activelor nefinanciare, cu excep</w:t>
      </w:r>
      <w:r w:rsidR="000C213F">
        <w:t>ț</w:t>
      </w:r>
      <w:r>
        <w:t>ia cazului în care sunt clasificate ca fiind de</w:t>
      </w:r>
      <w:r w:rsidR="000C213F">
        <w:t>ț</w:t>
      </w:r>
      <w:r>
        <w:t>inute în vederea vânzării sau ca investi</w:t>
      </w:r>
      <w:r w:rsidR="000C213F">
        <w:t>ț</w:t>
      </w:r>
      <w:r>
        <w:t>ii în filiale, asocieri în participa</w:t>
      </w:r>
      <w:r w:rsidR="000C213F">
        <w:t>ț</w:t>
      </w:r>
      <w:r>
        <w:t xml:space="preserve">ie </w:t>
      </w:r>
      <w:r w:rsidR="000C213F">
        <w:t>ș</w:t>
      </w:r>
      <w:r>
        <w:t>i entită</w:t>
      </w:r>
      <w:r w:rsidR="000C213F">
        <w:t>ț</w:t>
      </w:r>
      <w:r>
        <w:t>i asociate.</w:t>
      </w:r>
    </w:p>
    <w:p w:rsidR="009569C7" w:rsidRPr="00EC4FA2" w:rsidRDefault="00A834F1" w:rsidP="009569C7">
      <w:pPr>
        <w:pStyle w:val="Baseparagraphnumbered"/>
      </w:pPr>
      <w:r>
        <w:t>„Câ</w:t>
      </w:r>
      <w:r w:rsidR="000C213F">
        <w:t>ș</w:t>
      </w:r>
      <w:r>
        <w:t xml:space="preserve">tigurile sau (−) pierderile din modificare – net” includ cuantumurile care rezultă din ajustarea valorii contabile brute a activelor financiare pentru a reflecta fluxurile de trezorerie contractuale renegociate sau modificate [IFRS </w:t>
      </w:r>
      <w:r w:rsidRPr="004237EC">
        <w:t>9</w:t>
      </w:r>
      <w:r>
        <w:t xml:space="preserve"> punctul </w:t>
      </w:r>
      <w:r w:rsidRPr="004237EC">
        <w:t>5</w:t>
      </w:r>
      <w:r>
        <w:t>.</w:t>
      </w:r>
      <w:r w:rsidRPr="004237EC">
        <w:t>4</w:t>
      </w:r>
      <w:r>
        <w:t>.</w:t>
      </w:r>
      <w:r w:rsidRPr="004237EC">
        <w:t>3</w:t>
      </w:r>
      <w:r>
        <w:t xml:space="preserve"> </w:t>
      </w:r>
      <w:r w:rsidR="000C213F">
        <w:t>ș</w:t>
      </w:r>
      <w:r>
        <w:t>i anexa A]. Câ</w:t>
      </w:r>
      <w:r w:rsidR="000C213F">
        <w:t>ș</w:t>
      </w:r>
      <w:r>
        <w:t>tigurile sau pierderile din modificare nu includ impactul modificărilor asupra valorii pierderilor din credit preconizate, care se raportează la „deprecierea sau (−) reluarea pierderilor cauzate de deprecierea activelor financiare care nu sunt evaluate la valoarea justă prin profit sau pierdere”.</w:t>
      </w:r>
    </w:p>
    <w:p w:rsidR="009569C7" w:rsidRPr="00EC4FA2" w:rsidRDefault="00A834F1" w:rsidP="009569C7">
      <w:pPr>
        <w:pStyle w:val="Baseparagraphnumbered"/>
      </w:pPr>
      <w:r>
        <w:t xml:space="preserve">„Provizioanele sau (–) reluările de provizioane. Angajamente </w:t>
      </w:r>
      <w:r w:rsidR="000C213F">
        <w:t>ș</w:t>
      </w:r>
      <w:r>
        <w:t>i garan</w:t>
      </w:r>
      <w:r w:rsidR="000C213F">
        <w:t>ț</w:t>
      </w:r>
      <w:r>
        <w:t>ii date” includ cheltuielile nete din „situa</w:t>
      </w:r>
      <w:r w:rsidR="000C213F">
        <w:t>ț</w:t>
      </w:r>
      <w:r>
        <w:t xml:space="preserve">ia profitului sau pierderii” aferente provizioanelor pentru toate angajamentele </w:t>
      </w:r>
      <w:r w:rsidR="000C213F">
        <w:t>ș</w:t>
      </w:r>
      <w:r>
        <w:t>i garan</w:t>
      </w:r>
      <w:r w:rsidR="000C213F">
        <w:t>ț</w:t>
      </w:r>
      <w:r>
        <w:t xml:space="preserve">iile care fac obiectul </w:t>
      </w:r>
      <w:r>
        <w:lastRenderedPageBreak/>
        <w:t>IFRS</w:t>
      </w:r>
      <w:r w:rsidR="00615257">
        <w:t> </w:t>
      </w:r>
      <w:r w:rsidRPr="004237EC">
        <w:t>9</w:t>
      </w:r>
      <w:r>
        <w:t xml:space="preserve">, IAS </w:t>
      </w:r>
      <w:r w:rsidRPr="004237EC">
        <w:t>37</w:t>
      </w:r>
      <w:r>
        <w:t xml:space="preserve"> sau IFRS </w:t>
      </w:r>
      <w:r w:rsidRPr="004237EC">
        <w:t>4</w:t>
      </w:r>
      <w:r>
        <w:t xml:space="preserve"> în conformitate cu punctul </w:t>
      </w:r>
      <w:r w:rsidRPr="004237EC">
        <w:t>11</w:t>
      </w:r>
      <w:r>
        <w:t xml:space="preserve"> din prezenta parte sau conform GAAP na</w:t>
      </w:r>
      <w:r w:rsidR="000C213F">
        <w:t>ț</w:t>
      </w:r>
      <w:r>
        <w:t xml:space="preserve">ionale bazate pe BAD. Conform IFRS, orice modificare a valorii juste aferente angajamentelor </w:t>
      </w:r>
      <w:r w:rsidR="000C213F">
        <w:t>ș</w:t>
      </w:r>
      <w:r>
        <w:t>i garan</w:t>
      </w:r>
      <w:r w:rsidR="000C213F">
        <w:t>ț</w:t>
      </w:r>
      <w:r>
        <w:t>iilor financiare evaluate la valoarea justă se raportează la „câ</w:t>
      </w:r>
      <w:r w:rsidR="000C213F">
        <w:t>ș</w:t>
      </w:r>
      <w:r>
        <w:t xml:space="preserve">tiguri sau (−) pierderi aferente activelor </w:t>
      </w:r>
      <w:r w:rsidR="000C213F">
        <w:t>ș</w:t>
      </w:r>
      <w:r>
        <w:t xml:space="preserve">i datoriilor financiare desemnate la valoarea justă prin profit sau pierdere – net”. Provizioanele includ, prin urmare, valoarea din depreciere pentru angajamente </w:t>
      </w:r>
      <w:r w:rsidR="000C213F">
        <w:t>ș</w:t>
      </w:r>
      <w:r>
        <w:t>i garan</w:t>
      </w:r>
      <w:r w:rsidR="000C213F">
        <w:t>ț</w:t>
      </w:r>
      <w:r>
        <w:t xml:space="preserve">ii în cazul în care deprecierea acestora este determinată în conformitate cu IFRS </w:t>
      </w:r>
      <w:r w:rsidRPr="004237EC">
        <w:t>9</w:t>
      </w:r>
      <w:r>
        <w:t xml:space="preserve">, provizionarea lor respectă IAS </w:t>
      </w:r>
      <w:r w:rsidRPr="004237EC">
        <w:t>37</w:t>
      </w:r>
      <w:r>
        <w:t xml:space="preserve"> sau acestea sunt tratate ca un contract de asigurare în conformitate cu IFRS </w:t>
      </w:r>
      <w:r w:rsidRPr="004237EC">
        <w:t>4</w:t>
      </w:r>
      <w:r>
        <w:t>.</w:t>
      </w:r>
    </w:p>
    <w:p w:rsidR="009569C7" w:rsidRPr="00EC4FA2" w:rsidRDefault="00A834F1" w:rsidP="009569C7">
      <w:pPr>
        <w:pStyle w:val="Baseparagraphnumbered"/>
      </w:pPr>
      <w:r>
        <w:t>Conform IFRS, „deprecierea sau (−) reluarea pierderilor cauzate de deprecierea activelor financiare care nu sunt evaluate la valoarea justă prin profit sau pierdere” include toate câ</w:t>
      </w:r>
      <w:r w:rsidR="000C213F">
        <w:t>ș</w:t>
      </w:r>
      <w:r>
        <w:t xml:space="preserve">tigurile sau pierderile din depreciere pentru instrumentele de datorie care rezultă din aplicarea regulilor privind deprecierea din IFRS </w:t>
      </w:r>
      <w:r w:rsidRPr="004237EC">
        <w:t>9</w:t>
      </w:r>
      <w:r>
        <w:t xml:space="preserve"> punctul </w:t>
      </w:r>
      <w:r w:rsidRPr="004237EC">
        <w:t>5</w:t>
      </w:r>
      <w:r>
        <w:t>.</w:t>
      </w:r>
      <w:r w:rsidRPr="004237EC">
        <w:t>5</w:t>
      </w:r>
      <w:r>
        <w:t xml:space="preserve">, indiferent dacă pierderile din credit preconizate în conformitate cu IFRS </w:t>
      </w:r>
      <w:r w:rsidRPr="004237EC">
        <w:t>9</w:t>
      </w:r>
      <w:r>
        <w:t xml:space="preserve"> punctul </w:t>
      </w:r>
      <w:r w:rsidRPr="004237EC">
        <w:t>5</w:t>
      </w:r>
      <w:r>
        <w:t>.</w:t>
      </w:r>
      <w:r w:rsidRPr="004237EC">
        <w:t>5</w:t>
      </w:r>
      <w:r>
        <w:t xml:space="preserve"> sunt estimate pentru o perioadă de </w:t>
      </w:r>
      <w:r w:rsidRPr="004237EC">
        <w:t>12</w:t>
      </w:r>
      <w:r>
        <w:t xml:space="preserve"> luni sau pentru toată durata de via</w:t>
      </w:r>
      <w:r w:rsidR="000C213F">
        <w:t>ț</w:t>
      </w:r>
      <w:r>
        <w:t>ă, inclusiv câ</w:t>
      </w:r>
      <w:r w:rsidR="000C213F">
        <w:t>ș</w:t>
      </w:r>
      <w:r>
        <w:t>tigurile sau pierderile din depreciere pentru crean</w:t>
      </w:r>
      <w:r w:rsidR="000C213F">
        <w:t>ț</w:t>
      </w:r>
      <w:r>
        <w:t xml:space="preserve">ele comerciale, activele aferente contractului </w:t>
      </w:r>
      <w:r w:rsidR="000C213F">
        <w:t>ș</w:t>
      </w:r>
      <w:r>
        <w:t>i crean</w:t>
      </w:r>
      <w:r w:rsidR="000C213F">
        <w:t>ț</w:t>
      </w:r>
      <w:r>
        <w:t xml:space="preserve">ele care decurg din contracte de leasing [IFRS </w:t>
      </w:r>
      <w:r w:rsidRPr="004237EC">
        <w:t>9</w:t>
      </w:r>
      <w:r>
        <w:t xml:space="preserve"> punctul </w:t>
      </w:r>
      <w:r w:rsidRPr="004237EC">
        <w:t>5</w:t>
      </w:r>
      <w:r>
        <w:t>.</w:t>
      </w:r>
      <w:r w:rsidRPr="004237EC">
        <w:t>5</w:t>
      </w:r>
      <w:r>
        <w:t>.</w:t>
      </w:r>
      <w:r w:rsidRPr="004237EC">
        <w:t>15</w:t>
      </w:r>
      <w:r>
        <w:t xml:space="preserve">]. </w:t>
      </w:r>
    </w:p>
    <w:p w:rsidR="009569C7" w:rsidRPr="00EC4FA2" w:rsidRDefault="00A834F1" w:rsidP="009569C7">
      <w:pPr>
        <w:pStyle w:val="Baseparagraphnumbered"/>
      </w:pPr>
      <w:r>
        <w:t>Conform GAAP na</w:t>
      </w:r>
      <w:r w:rsidR="000C213F">
        <w:t>ț</w:t>
      </w:r>
      <w:r>
        <w:t xml:space="preserve">ionale bazate pe BAD, „deprecierea sau (−) reluarea pierderilor cauzate de deprecierea activelor financiare care nu sunt evaluate la valoarea justă prin profit sau pierdere” include toate ajustările </w:t>
      </w:r>
      <w:r w:rsidR="000C213F">
        <w:t>ș</w:t>
      </w:r>
      <w:r>
        <w:t>i reluarea ajustărilor aferente instrumentelor financiare evaluate prin metode bazate pe costuri din cauza schimbării bonită</w:t>
      </w:r>
      <w:r w:rsidR="000C213F">
        <w:t>ț</w:t>
      </w:r>
      <w:r>
        <w:t xml:space="preserve">ii debitorului sau a emitentului, precum </w:t>
      </w:r>
      <w:r w:rsidR="000C213F">
        <w:t>ș</w:t>
      </w:r>
      <w:r>
        <w:t>i, în func</w:t>
      </w:r>
      <w:r w:rsidR="000C213F">
        <w:t>ț</w:t>
      </w:r>
      <w:r>
        <w:t>ie de specifica</w:t>
      </w:r>
      <w:r w:rsidR="000C213F">
        <w:t>ț</w:t>
      </w:r>
      <w:r>
        <w:t>iile din GAAP na</w:t>
      </w:r>
      <w:r w:rsidR="000C213F">
        <w:t>ț</w:t>
      </w:r>
      <w:r>
        <w:t xml:space="preserve">ionale, ajustările pentru deprecierea instrumentelor financiare evaluate la valoarea justă prin capitaluri proprii </w:t>
      </w:r>
      <w:r w:rsidR="000C213F">
        <w:t>ș</w:t>
      </w:r>
      <w:r>
        <w:t xml:space="preserve">i alte metode de evaluare, inclusiv LOCOM. </w:t>
      </w:r>
    </w:p>
    <w:p w:rsidR="009569C7" w:rsidRPr="00EC4FA2" w:rsidRDefault="00A834F1" w:rsidP="009569C7">
      <w:pPr>
        <w:pStyle w:val="Baseparagraphnumbered"/>
      </w:pPr>
      <w:r>
        <w:t xml:space="preserve"> „Deprecierea sau (−) reluarea pierderilor cauzate de deprecierea activelor financiare care nu sunt evaluate la valoarea justă prin profit sau pierdere” include, de asemenea, sumele scoase în afara bilan</w:t>
      </w:r>
      <w:r w:rsidR="000C213F">
        <w:t>ț</w:t>
      </w:r>
      <w:r>
        <w:t xml:space="preserve">ului – astfel cum sunt definite la punctele </w:t>
      </w:r>
      <w:r w:rsidRPr="004237EC">
        <w:t>72</w:t>
      </w:r>
      <w:r>
        <w:t xml:space="preserve"> </w:t>
      </w:r>
      <w:r w:rsidR="000C213F">
        <w:t>ș</w:t>
      </w:r>
      <w:r>
        <w:t xml:space="preserve">i </w:t>
      </w:r>
      <w:r w:rsidRPr="004237EC">
        <w:t>74</w:t>
      </w:r>
      <w:r>
        <w:t xml:space="preserve"> </w:t>
      </w:r>
      <w:r w:rsidR="000C213F">
        <w:t>ș</w:t>
      </w:r>
      <w:r>
        <w:t xml:space="preserve">i la punctul </w:t>
      </w:r>
      <w:r w:rsidRPr="004237EC">
        <w:t>165</w:t>
      </w:r>
      <w:r>
        <w:t xml:space="preserve"> litera (b) din această parte a prezentei anexe – care depă</w:t>
      </w:r>
      <w:r w:rsidR="000C213F">
        <w:t>ș</w:t>
      </w:r>
      <w:r>
        <w:t>esc valoarea ajustării pentru pierdere la data scoaterii în afara bilan</w:t>
      </w:r>
      <w:r w:rsidR="000C213F">
        <w:t>ț</w:t>
      </w:r>
      <w:r>
        <w:t xml:space="preserve">ului </w:t>
      </w:r>
      <w:r w:rsidR="000C213F">
        <w:t>ș</w:t>
      </w:r>
      <w:r>
        <w:t xml:space="preserve">i sunt, prin urmare, o pierdere recunoscută direct în profit sau pierdere, precum </w:t>
      </w:r>
      <w:r w:rsidR="000C213F">
        <w:t>ș</w:t>
      </w:r>
      <w:r>
        <w:t>i recuperările de sume scoase anterior în afara bilan</w:t>
      </w:r>
      <w:r w:rsidR="000C213F">
        <w:t>ț</w:t>
      </w:r>
      <w:r>
        <w:t>ului care sunt înregistrate direct în situa</w:t>
      </w:r>
      <w:r w:rsidR="000C213F">
        <w:t>ț</w:t>
      </w:r>
      <w:r>
        <w:t xml:space="preserve">ia profitului sau pierderii. </w:t>
      </w:r>
    </w:p>
    <w:p w:rsidR="009569C7" w:rsidRPr="00EC4FA2" w:rsidRDefault="00A834F1" w:rsidP="009569C7">
      <w:pPr>
        <w:pStyle w:val="Baseparagraphnumbered"/>
      </w:pPr>
      <w:r>
        <w:t>Cota din profit sau pierdere de la filiale, entită</w:t>
      </w:r>
      <w:r w:rsidR="000C213F">
        <w:t>ț</w:t>
      </w:r>
      <w:r>
        <w:t xml:space="preserve">i asociate </w:t>
      </w:r>
      <w:r w:rsidR="000C213F">
        <w:t>ș</w:t>
      </w:r>
      <w:r>
        <w:t>i asocieri în participa</w:t>
      </w:r>
      <w:r w:rsidR="000C213F">
        <w:t>ț</w:t>
      </w:r>
      <w:r>
        <w:t>ie care sunt contabilizate conform metodei punerii în echivalen</w:t>
      </w:r>
      <w:r w:rsidR="000C213F">
        <w:t>ț</w:t>
      </w:r>
      <w:r>
        <w:t>ă în perimetrul de consolidare reglementat se raportează la „partea din profitul sau (−) pierderea aferent(ă) investi</w:t>
      </w:r>
      <w:r w:rsidR="000C213F">
        <w:t>ț</w:t>
      </w:r>
      <w:r>
        <w:t>iilor în filiale, asocieri în participa</w:t>
      </w:r>
      <w:r w:rsidR="000C213F">
        <w:t>ț</w:t>
      </w:r>
      <w:r>
        <w:t xml:space="preserve">ie </w:t>
      </w:r>
      <w:r w:rsidR="000C213F">
        <w:t>ș</w:t>
      </w:r>
      <w:r>
        <w:t>i entită</w:t>
      </w:r>
      <w:r w:rsidR="000C213F">
        <w:t>ț</w:t>
      </w:r>
      <w:r>
        <w:t>i asociate, contabilizată prin metoda punerii în echivalen</w:t>
      </w:r>
      <w:r w:rsidR="000C213F">
        <w:t>ț</w:t>
      </w:r>
      <w:r>
        <w:t xml:space="preserve">ă”. În conformitate cu IAS </w:t>
      </w:r>
      <w:r w:rsidRPr="004237EC">
        <w:t>28</w:t>
      </w:r>
      <w:r>
        <w:t xml:space="preserve"> punctul </w:t>
      </w:r>
      <w:r w:rsidRPr="004237EC">
        <w:t>10</w:t>
      </w:r>
      <w:r>
        <w:t>, valoarea contabilă a investi</w:t>
      </w:r>
      <w:r w:rsidR="000C213F">
        <w:t>ț</w:t>
      </w:r>
      <w:r>
        <w:t>iei se reduce cu valoarea dividendelor plătite de aceste entită</w:t>
      </w:r>
      <w:r w:rsidR="000C213F">
        <w:t>ț</w:t>
      </w:r>
      <w:r>
        <w:t>i. Deprecierea investi</w:t>
      </w:r>
      <w:r w:rsidR="000C213F">
        <w:t>ț</w:t>
      </w:r>
      <w:r>
        <w:t>iilor respective se raportează la „[Deprecierea sau (–) reluarea pierderilor cauzate de deprecierea investi</w:t>
      </w:r>
      <w:r w:rsidR="000C213F">
        <w:t>ț</w:t>
      </w:r>
      <w:r>
        <w:t>iilor în filiale, asocieri în participa</w:t>
      </w:r>
      <w:r w:rsidR="000C213F">
        <w:t>ț</w:t>
      </w:r>
      <w:r>
        <w:t xml:space="preserve">ie </w:t>
      </w:r>
      <w:r w:rsidR="000C213F">
        <w:t>ș</w:t>
      </w:r>
      <w:r>
        <w:t>i entită</w:t>
      </w:r>
      <w:r w:rsidR="000C213F">
        <w:t>ț</w:t>
      </w:r>
      <w:r>
        <w:t>i asociate]”. Câ</w:t>
      </w:r>
      <w:r w:rsidR="000C213F">
        <w:t>ș</w:t>
      </w:r>
      <w:r>
        <w:t>tigurile sau pierderile din derecunoa</w:t>
      </w:r>
      <w:r w:rsidR="000C213F">
        <w:t>ș</w:t>
      </w:r>
      <w:r>
        <w:t>terea investi</w:t>
      </w:r>
      <w:r w:rsidR="000C213F">
        <w:t>ț</w:t>
      </w:r>
      <w:r>
        <w:t xml:space="preserve">iilor respective se raportează în conformitate cu punctele </w:t>
      </w:r>
      <w:r w:rsidRPr="004237EC">
        <w:t>55</w:t>
      </w:r>
      <w:r>
        <w:t xml:space="preserve"> </w:t>
      </w:r>
      <w:r w:rsidR="000C213F">
        <w:t>ș</w:t>
      </w:r>
      <w:r>
        <w:t xml:space="preserve">i </w:t>
      </w:r>
      <w:r w:rsidRPr="004237EC">
        <w:t>56</w:t>
      </w:r>
      <w:r>
        <w:t xml:space="preserve"> din prezenta parte. </w:t>
      </w:r>
    </w:p>
    <w:p w:rsidR="009569C7" w:rsidRPr="00EC4FA2" w:rsidRDefault="00A834F1" w:rsidP="009569C7">
      <w:pPr>
        <w:pStyle w:val="Baseparagraphnumbered"/>
      </w:pPr>
      <w:r>
        <w:lastRenderedPageBreak/>
        <w:t xml:space="preserve">„Profitul sau pierderea din active imobilizate </w:t>
      </w:r>
      <w:r w:rsidR="000C213F">
        <w:t>ș</w:t>
      </w:r>
      <w:r>
        <w:t>i grupuri destinate cedării, clasificate drept de</w:t>
      </w:r>
      <w:r w:rsidR="000C213F">
        <w:t>ț</w:t>
      </w:r>
      <w:r>
        <w:t>inute în vederea vânzării, care nu pot fi considerate activită</w:t>
      </w:r>
      <w:r w:rsidR="000C213F">
        <w:t>ț</w:t>
      </w:r>
      <w:r>
        <w:t xml:space="preserve">i întrerupte” include profitul sau pierderile generate de activele imobilizate </w:t>
      </w:r>
      <w:r w:rsidR="000C213F">
        <w:t>ș</w:t>
      </w:r>
      <w:r>
        <w:t>i grupurile destinate cedării, clasificate drept de</w:t>
      </w:r>
      <w:r w:rsidR="000C213F">
        <w:t>ț</w:t>
      </w:r>
      <w:r>
        <w:t>inute în vederea vânzării, care nu pot fi considerate activită</w:t>
      </w:r>
      <w:r w:rsidR="000C213F">
        <w:t>ț</w:t>
      </w:r>
      <w:r>
        <w:t>i întrerupte.</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Conform IFRS, câ</w:t>
      </w:r>
      <w:r w:rsidR="000C213F">
        <w:t>ș</w:t>
      </w:r>
      <w:r>
        <w:t>tigurile sau pierderile din derecunoa</w:t>
      </w:r>
      <w:r w:rsidR="000C213F">
        <w:t>ș</w:t>
      </w:r>
      <w:r>
        <w:t>terea investi</w:t>
      </w:r>
      <w:r w:rsidR="000C213F">
        <w:t>ț</w:t>
      </w:r>
      <w:r>
        <w:t>iilor în filiale, asocieri în participa</w:t>
      </w:r>
      <w:r w:rsidR="000C213F">
        <w:t>ț</w:t>
      </w:r>
      <w:r>
        <w:t xml:space="preserve">ie </w:t>
      </w:r>
      <w:r w:rsidR="000C213F">
        <w:t>ș</w:t>
      </w:r>
      <w:r>
        <w:t>i entită</w:t>
      </w:r>
      <w:r w:rsidR="000C213F">
        <w:t>ț</w:t>
      </w:r>
      <w:r>
        <w:t xml:space="preserve">i asociate se raportează la „profit sau </w:t>
      </w:r>
      <w:r w:rsidR="00843C86">
        <w:t xml:space="preserve"> </w:t>
      </w:r>
      <w:r>
        <w:t>(–</w:t>
      </w:r>
      <w:r w:rsidR="00843C86">
        <w:t>)</w:t>
      </w:r>
      <w:r>
        <w:t xml:space="preserve"> pierdere din activită</w:t>
      </w:r>
      <w:r w:rsidR="000C213F">
        <w:t>ț</w:t>
      </w:r>
      <w:r>
        <w:t>i întrerupte înainte de impozitare” în cazul în care acestea sunt considerate activită</w:t>
      </w:r>
      <w:r w:rsidR="000C213F">
        <w:t>ț</w:t>
      </w:r>
      <w:r>
        <w:t>i întrerupte în conformitate cu IFRS </w:t>
      </w:r>
      <w:r w:rsidRPr="004237EC">
        <w:t>5</w:t>
      </w:r>
      <w:r>
        <w:t>. Conform GAAP na</w:t>
      </w:r>
      <w:r w:rsidR="000C213F">
        <w:t>ț</w:t>
      </w:r>
      <w:r>
        <w:t>ionale bazate pe BAD, astfel de câ</w:t>
      </w:r>
      <w:r w:rsidR="000C213F">
        <w:t>ș</w:t>
      </w:r>
      <w:r>
        <w:t xml:space="preserve">tiguri </w:t>
      </w:r>
      <w:r w:rsidR="000C213F">
        <w:t>ș</w:t>
      </w:r>
      <w:r>
        <w:t>i pierderi se raportează la „câ</w:t>
      </w:r>
      <w:r w:rsidR="000C213F">
        <w:t>ș</w:t>
      </w:r>
      <w:r>
        <w:t>tiguri sau (−) pierderi din derecunoa</w:t>
      </w:r>
      <w:r w:rsidR="000C213F">
        <w:t>ș</w:t>
      </w:r>
      <w:r>
        <w:t>terea investi</w:t>
      </w:r>
      <w:r w:rsidR="000C213F">
        <w:t>ț</w:t>
      </w:r>
      <w:r>
        <w:t>iilor în filiale, asocieri în participa</w:t>
      </w:r>
      <w:r w:rsidR="000C213F">
        <w:t>ț</w:t>
      </w:r>
      <w:r>
        <w:t xml:space="preserve">ie </w:t>
      </w:r>
      <w:r w:rsidR="000C213F">
        <w:t>ș</w:t>
      </w:r>
      <w:r>
        <w:t>i entită</w:t>
      </w:r>
      <w:r w:rsidR="000C213F">
        <w:t>ț</w:t>
      </w:r>
      <w:r>
        <w:t>i asociate – net”.</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485897543"/>
      <w:bookmarkStart w:id="95" w:name="_Toc246770619"/>
      <w:bookmarkEnd w:id="79"/>
      <w:bookmarkEnd w:id="80"/>
      <w:bookmarkEnd w:id="81"/>
      <w:bookmarkEnd w:id="82"/>
      <w:bookmarkEnd w:id="83"/>
      <w:bookmarkEnd w:id="84"/>
      <w:bookmarkEnd w:id="85"/>
      <w:bookmarkEnd w:id="86"/>
      <w:bookmarkEnd w:id="87"/>
      <w:bookmarkEnd w:id="88"/>
      <w:bookmarkEnd w:id="89"/>
      <w:bookmarkEnd w:id="90"/>
      <w:r>
        <w:t>Situa</w:t>
      </w:r>
      <w:r w:rsidR="000C213F">
        <w:t>ț</w:t>
      </w:r>
      <w:r>
        <w:t>ia rezultatului global (</w:t>
      </w:r>
      <w:r w:rsidRPr="004237EC">
        <w:t>3</w:t>
      </w:r>
      <w:r>
        <w:t>)</w:t>
      </w:r>
      <w:bookmarkEnd w:id="91"/>
      <w:bookmarkEnd w:id="92"/>
      <w:bookmarkEnd w:id="93"/>
      <w:bookmarkEnd w:id="94"/>
    </w:p>
    <w:p w:rsidR="009569C7" w:rsidRPr="00EC4FA2" w:rsidRDefault="00A834F1" w:rsidP="009569C7">
      <w:pPr>
        <w:pStyle w:val="Baseparagraphnumbered"/>
      </w:pPr>
      <w:r>
        <w:t>„Câ</w:t>
      </w:r>
      <w:r w:rsidR="000C213F">
        <w:t>ș</w:t>
      </w:r>
      <w:r>
        <w:t>tigurile sau (-) pierderile din contabilitatea de acoperire împotriva riscurilor a instrumentelor de capitaluri proprii evaluate la valoarea justă prin alte elemente ale rezultatului global” includ modificarea păr</w:t>
      </w:r>
      <w:r w:rsidR="000C213F">
        <w:t>ț</w:t>
      </w:r>
      <w:r>
        <w:t>ii ineficace cumulate din acoperirile valorii juste împotriva riscurilor în care elementul acoperit împotriva riscurilor este un instrument de capitaluri proprii evaluat la valoarea justă prin alte elemente ale rezultatului global. Modificarea păr</w:t>
      </w:r>
      <w:r w:rsidR="000C213F">
        <w:t>ț</w:t>
      </w:r>
      <w:r>
        <w:t>ii ineficace cumulate din acoperirea împotriva riscurilor raportată la acest rând este diferen</w:t>
      </w:r>
      <w:r w:rsidR="000C213F">
        <w:t>ț</w:t>
      </w:r>
      <w:r>
        <w:t>a dintre modificările varia</w:t>
      </w:r>
      <w:r w:rsidR="000C213F">
        <w:t>ț</w:t>
      </w:r>
      <w:r>
        <w:t>iei valorii juste aferente instrumentului de capitaluri proprii care se raportează la „varia</w:t>
      </w:r>
      <w:r w:rsidR="000C213F">
        <w:t>ț</w:t>
      </w:r>
      <w:r>
        <w:t xml:space="preserve">iile valorii juste a instrumentelor de capitaluri proprii evaluate la valoarea justă prin alte elemente ale rezultatului global [elementul acoperit împotriva riscurilor]” </w:t>
      </w:r>
      <w:r w:rsidR="000C213F">
        <w:t>ș</w:t>
      </w:r>
      <w:r>
        <w:t>i modificările varia</w:t>
      </w:r>
      <w:r w:rsidR="000C213F">
        <w:t>ț</w:t>
      </w:r>
      <w:r>
        <w:t>iei valorii juste aferente instrumentului derivat de acoperire care se raportează la „modificările valorii juste a instrumentelor de capitaluri proprii evaluate la valoarea justă prin alte elemente ale rezultatului global [instrumentul de acoperire împotriva riscurilor]”.</w:t>
      </w:r>
    </w:p>
    <w:p w:rsidR="009569C7" w:rsidRPr="00EC4FA2" w:rsidRDefault="00A834F1" w:rsidP="009569C7">
      <w:pPr>
        <w:pStyle w:val="Baseparagraphnumbered"/>
      </w:pPr>
      <w:r>
        <w:t xml:space="preserve"> „Acoperirea unei investi</w:t>
      </w:r>
      <w:r w:rsidR="000C213F">
        <w:t>ț</w:t>
      </w:r>
      <w:r>
        <w:t>ii nete într-o opera</w:t>
      </w:r>
      <w:r w:rsidR="000C213F">
        <w:t>ț</w:t>
      </w:r>
      <w:r>
        <w:t xml:space="preserve">iune din străinătate [partea eficace]” include modificarea rezervei cumulate de conversie valutară pentru partea eficace aferentă atât acoperirilor în curs, cât </w:t>
      </w:r>
      <w:r w:rsidR="000C213F">
        <w:t>ș</w:t>
      </w:r>
      <w:r>
        <w:t>i celor întrerupte ale investi</w:t>
      </w:r>
      <w:r w:rsidR="000C213F">
        <w:t>ț</w:t>
      </w:r>
      <w:r>
        <w:t>iilor nete în opera</w:t>
      </w:r>
      <w:r w:rsidR="000C213F">
        <w:t>ț</w:t>
      </w:r>
      <w:r>
        <w:t xml:space="preserve">iuni din străinătate. </w:t>
      </w:r>
    </w:p>
    <w:p w:rsidR="009569C7" w:rsidRPr="00EC4FA2" w:rsidRDefault="00A834F1" w:rsidP="009569C7">
      <w:pPr>
        <w:pStyle w:val="Baseparagraphnumbered"/>
      </w:pPr>
      <w:r>
        <w:t>Pentru acoperirile investi</w:t>
      </w:r>
      <w:r w:rsidR="000C213F">
        <w:t>ț</w:t>
      </w:r>
      <w:r>
        <w:t>iilor nete în opera</w:t>
      </w:r>
      <w:r w:rsidR="000C213F">
        <w:t>ț</w:t>
      </w:r>
      <w:r>
        <w:t xml:space="preserve">iuni din străinătate </w:t>
      </w:r>
      <w:r w:rsidR="000C213F">
        <w:t>ș</w:t>
      </w:r>
      <w:r>
        <w:t xml:space="preserve">i acoperirile fluxurilor de trezorerie împotriva riscurilor, cuantumurile respective raportate la „transferate în profit sau pierdere” includ sumele transferate deoarece fluxurile acoperite împotriva riscurilor au avut loc </w:t>
      </w:r>
      <w:r w:rsidR="000C213F">
        <w:t>ș</w:t>
      </w:r>
      <w:r>
        <w:t xml:space="preserve">i nu mai sunt preconizate să apară. </w:t>
      </w:r>
    </w:p>
    <w:p w:rsidR="009569C7" w:rsidRPr="00EC4FA2" w:rsidRDefault="00A834F1" w:rsidP="009569C7">
      <w:pPr>
        <w:pStyle w:val="Baseparagraphnumbered"/>
      </w:pPr>
      <w:r>
        <w:t>„Instrumentele de acoperire împotriva riscurilor [elemente nedesemnate]” includ varia</w:t>
      </w:r>
      <w:r w:rsidR="000C213F">
        <w:t>ț</w:t>
      </w:r>
      <w:r>
        <w:t xml:space="preserve">iile aferente modificărilor cumulate ale valorii juste a tuturor elementelor următoare în cazul în care nu sunt desemnate ca o componentă de acoperire împotriva riscurilor: </w:t>
      </w:r>
    </w:p>
    <w:p w:rsidR="009569C7" w:rsidRPr="00EC4FA2" w:rsidRDefault="00A834F1" w:rsidP="009569C7">
      <w:pPr>
        <w:pStyle w:val="Baseparagraphnumbered"/>
        <w:numPr>
          <w:ilvl w:val="0"/>
          <w:numId w:val="57"/>
        </w:numPr>
        <w:ind w:left="1134" w:hanging="425"/>
      </w:pPr>
      <w:r>
        <w:t>valoarea-timp a op</w:t>
      </w:r>
      <w:r w:rsidR="000C213F">
        <w:t>ț</w:t>
      </w:r>
      <w:r>
        <w:t xml:space="preserve">iunilor; </w:t>
      </w:r>
    </w:p>
    <w:p w:rsidR="009569C7" w:rsidRPr="00EC4FA2" w:rsidRDefault="00A834F1" w:rsidP="009569C7">
      <w:pPr>
        <w:pStyle w:val="Baseparagraphnumbered"/>
        <w:numPr>
          <w:ilvl w:val="0"/>
          <w:numId w:val="57"/>
        </w:numPr>
        <w:ind w:left="1134" w:hanging="425"/>
      </w:pPr>
      <w:r>
        <w:t xml:space="preserve">elementele forward din contractele forward; </w:t>
      </w:r>
    </w:p>
    <w:p w:rsidR="009569C7" w:rsidRPr="00EC4FA2" w:rsidRDefault="00A834F1" w:rsidP="009569C7">
      <w:pPr>
        <w:pStyle w:val="Baseparagraphnumbered"/>
        <w:numPr>
          <w:ilvl w:val="0"/>
          <w:numId w:val="57"/>
        </w:numPr>
        <w:ind w:left="1134" w:hanging="425"/>
      </w:pPr>
      <w:r>
        <w:lastRenderedPageBreak/>
        <w:t xml:space="preserve">marja cu bază valutară a instrumentelor financiare. </w:t>
      </w:r>
    </w:p>
    <w:p w:rsidR="009569C7" w:rsidRPr="00EC4FA2" w:rsidRDefault="00A834F1" w:rsidP="009569C7">
      <w:pPr>
        <w:pStyle w:val="Baseparagraphnumbered"/>
      </w:pPr>
      <w:r>
        <w:t>În cazul op</w:t>
      </w:r>
      <w:r w:rsidR="000C213F">
        <w:t>ț</w:t>
      </w:r>
      <w:r>
        <w:t xml:space="preserve">iunilor, cuantumurile reclasificate în profit sau pierdere </w:t>
      </w:r>
      <w:r w:rsidR="000C213F">
        <w:t>ș</w:t>
      </w:r>
      <w:r>
        <w:t>i raportate la „transferate în profit sau pierdere” includ reclasificările din cauza op</w:t>
      </w:r>
      <w:r w:rsidR="000C213F">
        <w:t>ț</w:t>
      </w:r>
      <w:r>
        <w:t>iunilor care acoperă un element acoperit împotriva riscurilor aferente unei tranzac</w:t>
      </w:r>
      <w:r w:rsidR="000C213F">
        <w:t>ț</w:t>
      </w:r>
      <w:r>
        <w:t xml:space="preserve">ii </w:t>
      </w:r>
      <w:r w:rsidR="000C213F">
        <w:t>ș</w:t>
      </w:r>
      <w:r>
        <w:t>i op</w:t>
      </w:r>
      <w:r w:rsidR="000C213F">
        <w:t>ț</w:t>
      </w:r>
      <w:r>
        <w:t>iunile care acoperă un element acoperit împotriva riscurilor aferente unei perioade de timp.</w:t>
      </w:r>
    </w:p>
    <w:p w:rsidR="009569C7" w:rsidRPr="00EC4FA2" w:rsidRDefault="00A834F1" w:rsidP="009569C7">
      <w:pPr>
        <w:pStyle w:val="Baseparagraphnumbered"/>
      </w:pPr>
      <w:r>
        <w:t>„Instrumentele de datorie evaluate la valoarea justă prin alte elemente ale rezultatului global” includ câ</w:t>
      </w:r>
      <w:r w:rsidR="000C213F">
        <w:t>ș</w:t>
      </w:r>
      <w:r>
        <w:t>tigurile sau pierderile din instrumente de datorie evaluate la valoarea justă prin alte elemente ale rezultatului global, cu excep</w:t>
      </w:r>
      <w:r w:rsidR="000C213F">
        <w:t>ț</w:t>
      </w:r>
      <w:r>
        <w:t>ia câ</w:t>
      </w:r>
      <w:r w:rsidR="000C213F">
        <w:t>ș</w:t>
      </w:r>
      <w:r>
        <w:t xml:space="preserve">tigurilor sau pierderilor din depreciere </w:t>
      </w:r>
      <w:r w:rsidR="000C213F">
        <w:t>ș</w:t>
      </w:r>
      <w:r>
        <w:t>i a câ</w:t>
      </w:r>
      <w:r w:rsidR="000C213F">
        <w:t>ș</w:t>
      </w:r>
      <w:r>
        <w:t xml:space="preserve">tigurilor </w:t>
      </w:r>
      <w:r w:rsidR="000C213F">
        <w:t>ș</w:t>
      </w:r>
      <w:r>
        <w:t xml:space="preserve">i pierderilor din schimbul valutar, care se raportează la „[deprecierea sau (−) reluarea pierderilor cauzate de deprecierea activelor financiare care nu sunt evaluate la valoarea justă prin profit sau pierdere]” </w:t>
      </w:r>
      <w:r w:rsidR="000C213F">
        <w:t>ș</w:t>
      </w:r>
      <w:r>
        <w:t>i, respectiv, la „diferen</w:t>
      </w:r>
      <w:r w:rsidR="000C213F">
        <w:t>ț</w:t>
      </w:r>
      <w:r>
        <w:t>e de curs de schimb [câ</w:t>
      </w:r>
      <w:r w:rsidR="000C213F">
        <w:t>ș</w:t>
      </w:r>
      <w:r>
        <w:t xml:space="preserve">tig sau (−) pierdere] – net” în formularul </w:t>
      </w:r>
      <w:r w:rsidRPr="004237EC">
        <w:t>2</w:t>
      </w:r>
      <w:r>
        <w:t>. „Transferate în profit sau pierdere” include, în special, transferul în profit sau pierdere ca urmare a derecunoa</w:t>
      </w:r>
      <w:r w:rsidR="000C213F">
        <w:t>ș</w:t>
      </w:r>
      <w:r>
        <w:t>terii sau a reclasificării în categoria de evaluare la valoarea justă prin profit sau pierdere.</w:t>
      </w:r>
    </w:p>
    <w:p w:rsidR="009569C7" w:rsidRPr="00EC4FA2" w:rsidRDefault="00A834F1" w:rsidP="009569C7">
      <w:pPr>
        <w:pStyle w:val="Baseparagraphnumbered"/>
      </w:pPr>
      <w:r>
        <w:t xml:space="preserve">În cazul în care un activ financiar este reclasificat din categoria de evaluare la costul amortizat în categoria de evaluare la valoarea justă prin alte elemente ale rezultatului global [IFRS </w:t>
      </w:r>
      <w:r w:rsidRPr="004237EC">
        <w:t>9</w:t>
      </w:r>
      <w:r>
        <w:t xml:space="preserve"> punctul </w:t>
      </w:r>
      <w:r w:rsidRPr="004237EC">
        <w:t>5</w:t>
      </w:r>
      <w:r>
        <w:t>.</w:t>
      </w:r>
      <w:r w:rsidRPr="004237EC">
        <w:t>6</w:t>
      </w:r>
      <w:r>
        <w:t>.</w:t>
      </w:r>
      <w:r w:rsidRPr="004237EC">
        <w:t>4</w:t>
      </w:r>
      <w:r>
        <w:t>], câ</w:t>
      </w:r>
      <w:r w:rsidR="000C213F">
        <w:t>ș</w:t>
      </w:r>
      <w:r>
        <w:t>tigurile sau pierderile rezultate din reclasificare se raportează la „instrumente de datorie la valoarea justă prin alte elemente ale rezultatului global”.</w:t>
      </w:r>
    </w:p>
    <w:p w:rsidR="009569C7" w:rsidRPr="00EC4FA2" w:rsidRDefault="00A834F1" w:rsidP="009569C7">
      <w:pPr>
        <w:pStyle w:val="Baseparagraphnumbered"/>
      </w:pPr>
      <w:r>
        <w:t xml:space="preserve">În cazul în care un activ financiar este reclasificat din categoria de evaluare la valoarea justă prin alte elemente ale rezultatului global în categoria de evaluare la valoarea justă prin profit sau pierdere [IFRS </w:t>
      </w:r>
      <w:r w:rsidRPr="004237EC">
        <w:t>9</w:t>
      </w:r>
      <w:r>
        <w:t xml:space="preserve"> punctul </w:t>
      </w:r>
      <w:r w:rsidRPr="004237EC">
        <w:t>5</w:t>
      </w:r>
      <w:r>
        <w:t>.</w:t>
      </w:r>
      <w:r w:rsidRPr="004237EC">
        <w:t>6</w:t>
      </w:r>
      <w:r>
        <w:t>.</w:t>
      </w:r>
      <w:r w:rsidRPr="004237EC">
        <w:t>7</w:t>
      </w:r>
      <w:r>
        <w:t xml:space="preserve">] sau în categoria de evaluare la costul amortizat [IFRS </w:t>
      </w:r>
      <w:r w:rsidRPr="004237EC">
        <w:t>9</w:t>
      </w:r>
      <w:r>
        <w:t xml:space="preserve"> punctul </w:t>
      </w:r>
      <w:r w:rsidRPr="004237EC">
        <w:t>5</w:t>
      </w:r>
      <w:r>
        <w:t>.</w:t>
      </w:r>
      <w:r w:rsidRPr="004237EC">
        <w:t>6</w:t>
      </w:r>
      <w:r>
        <w:t>.</w:t>
      </w:r>
      <w:r w:rsidRPr="004237EC">
        <w:t>5</w:t>
      </w:r>
      <w:r>
        <w:t>], câ</w:t>
      </w:r>
      <w:r w:rsidR="000C213F">
        <w:t>ș</w:t>
      </w:r>
      <w:r>
        <w:t xml:space="preserve">tigurile </w:t>
      </w:r>
      <w:r w:rsidR="000C213F">
        <w:t>ș</w:t>
      </w:r>
      <w:r>
        <w:t xml:space="preserve">i pierderile cumulate reclasificate, recunoscute anterior în alte elemente ale rezultatului global, se raportează la „transferate în profit sau pierdere” </w:t>
      </w:r>
      <w:r w:rsidR="000C213F">
        <w:t>ș</w:t>
      </w:r>
      <w:r>
        <w:t>i, respectiv, la „alte reclasificări”, ajustând în acest din urmă caz valoarea contabilă a activului financiar.</w:t>
      </w:r>
    </w:p>
    <w:p w:rsidR="009569C7" w:rsidRPr="00EC4FA2" w:rsidRDefault="00A834F1" w:rsidP="009569C7">
      <w:pPr>
        <w:pStyle w:val="Baseparagraphnumbered"/>
      </w:pPr>
      <w:r>
        <w:t>Pentru toate componentele din alte elemente ale rezultatului global, elementul „alte reclasificări” include alte transferuri decât reclasificările din alte elemente ale rezultatului global în profit sau pierdere sau la valoarea contabilă ini</w:t>
      </w:r>
      <w:r w:rsidR="000C213F">
        <w:t>ț</w:t>
      </w:r>
      <w:r>
        <w:t xml:space="preserve">ială a elementelor acoperite în cazul acoperirilor fluxurilor de trezorerie împotriva riscurilor. </w:t>
      </w:r>
    </w:p>
    <w:p w:rsidR="009569C7" w:rsidRPr="00EC4FA2" w:rsidRDefault="00A834F1" w:rsidP="009569C7">
      <w:pPr>
        <w:pStyle w:val="Baseparagraphnumbered"/>
      </w:pPr>
      <w:r>
        <w:t xml:space="preserve">Conform IFRS, elementele „impozit pe profit aferent elementelor care nu vor fi reclasificate” </w:t>
      </w:r>
      <w:r w:rsidR="000C213F">
        <w:t>ș</w:t>
      </w:r>
      <w:r>
        <w:t xml:space="preserve">i „impozit pe profit aferent elementelor care ar putea fi reclasificate în profit sau (–) pierdere” [IAS </w:t>
      </w:r>
      <w:r w:rsidRPr="004237EC">
        <w:t>1</w:t>
      </w:r>
      <w:r>
        <w:t xml:space="preserve"> punctul </w:t>
      </w:r>
      <w:r w:rsidRPr="004237EC">
        <w:t>91</w:t>
      </w:r>
      <w:r>
        <w:t xml:space="preserve"> litera (b), IG</w:t>
      </w:r>
      <w:r w:rsidRPr="004237EC">
        <w:t>6</w:t>
      </w:r>
      <w:r>
        <w:t>] se raportează ca elemente-rânduri separate.</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485897544"/>
      <w:r>
        <w:t xml:space="preserve">Defalcarea activelor financiare pe instrumente </w:t>
      </w:r>
      <w:r w:rsidR="000C213F">
        <w:t>ș</w:t>
      </w:r>
      <w:r>
        <w:t>i pe sectoare ale contrapăr</w:t>
      </w:r>
      <w:r w:rsidR="000C213F">
        <w:t>ț</w:t>
      </w:r>
      <w:r>
        <w:t>ilor (</w:t>
      </w:r>
      <w:r w:rsidRPr="004237EC">
        <w:t>4</w:t>
      </w:r>
      <w:r>
        <w:t>)</w:t>
      </w:r>
      <w:bookmarkEnd w:id="96"/>
      <w:bookmarkEnd w:id="97"/>
      <w:bookmarkEnd w:id="98"/>
      <w:bookmarkEnd w:id="99"/>
    </w:p>
    <w:p w:rsidR="009569C7" w:rsidRPr="00EC4FA2" w:rsidRDefault="00A834F1" w:rsidP="009569C7">
      <w:pPr>
        <w:pStyle w:val="Baseparagraphnumbered"/>
      </w:pPr>
      <w:r>
        <w:t xml:space="preserve">Activele financiare sunt defalcate pe portofolii contabile </w:t>
      </w:r>
      <w:r w:rsidR="000C213F">
        <w:t>ș</w:t>
      </w:r>
      <w:r>
        <w:t xml:space="preserve">i pe instrumente </w:t>
      </w:r>
      <w:r w:rsidR="00843C86">
        <w:t xml:space="preserve">    </w:t>
      </w:r>
      <w:r w:rsidR="000C213F">
        <w:t>ș</w:t>
      </w:r>
      <w:r>
        <w:t>i – dacă este cazul – pe contrapăr</w:t>
      </w:r>
      <w:r w:rsidR="000C213F">
        <w:t>ț</w:t>
      </w:r>
      <w:r>
        <w:t xml:space="preserve">i. Pentru instrumentele de datorie evaluate </w:t>
      </w:r>
      <w:r>
        <w:lastRenderedPageBreak/>
        <w:t xml:space="preserve">la valoarea justă prin alte elemente ale rezultatului global, precum </w:t>
      </w:r>
      <w:r w:rsidR="000C213F">
        <w:t>ș</w:t>
      </w:r>
      <w:r>
        <w:t xml:space="preserve">i la costul amortizat, valoarea contabilă brută a activelor </w:t>
      </w:r>
      <w:r w:rsidR="000C213F">
        <w:t>ș</w:t>
      </w:r>
      <w:r>
        <w:t>i a deprecierilor cumulate este defalcată pe etape de depreciere.</w:t>
      </w:r>
    </w:p>
    <w:p w:rsidR="009569C7" w:rsidRPr="00EC4FA2" w:rsidRDefault="00A834F1" w:rsidP="009569C7">
      <w:pPr>
        <w:pStyle w:val="Baseparagraphnumbered"/>
      </w:pPr>
      <w:r>
        <w:t>Instrumentele derivate raportate ca active financiare destinate tranzac</w:t>
      </w:r>
      <w:r w:rsidR="000C213F">
        <w:t>ț</w:t>
      </w:r>
      <w:r>
        <w:t xml:space="preserve">ionării în temeiul GAAP bazate pe BAD includ instrumentele evaluate la valoarea justă, precum </w:t>
      </w:r>
      <w:r w:rsidR="000C213F">
        <w:t>ș</w:t>
      </w:r>
      <w:r>
        <w:t>i instrumentele evaluate prin metode bazate pe costuri sau la LOCOM.</w:t>
      </w:r>
    </w:p>
    <w:p w:rsidR="009569C7" w:rsidRPr="00EC4FA2" w:rsidRDefault="00A834F1" w:rsidP="009569C7">
      <w:pPr>
        <w:pStyle w:val="Baseparagraphnumbered"/>
      </w:pPr>
      <w:r>
        <w:t xml:space="preserve">În sensul anexelor III </w:t>
      </w:r>
      <w:r w:rsidR="000C213F">
        <w:t>ș</w:t>
      </w:r>
      <w:r>
        <w:t xml:space="preserve">i IV, precum </w:t>
      </w:r>
      <w:r w:rsidR="000C213F">
        <w:t>ș</w:t>
      </w:r>
      <w:r>
        <w:t xml:space="preserve">i în sensul prezentei anexe, „modificări negative cumulate ale valorii juste datorate riscului de credit” înseamnă, pentru expunerile neperformante, modificările cumulate ale valorii juste datorate riscului de credit în cazul în care modificarea netă cumulată este negativă. Modificarea netă cumulată a valorii juste datorată riscului de credit se calculează adunând toate modificările negative </w:t>
      </w:r>
      <w:r w:rsidR="000C213F">
        <w:t>ș</w:t>
      </w:r>
      <w:r>
        <w:t>i pozitive ale valorii juste datorate riscului de credit care au avut loc de la recunoa</w:t>
      </w:r>
      <w:r w:rsidR="000C213F">
        <w:t>ș</w:t>
      </w:r>
      <w:r>
        <w:t xml:space="preserve">terea instrumentului de datorie. Acest cuantum se raportează numai în cazul în care adunarea modificărilor pozitive </w:t>
      </w:r>
      <w:r w:rsidR="000C213F">
        <w:t>ș</w:t>
      </w:r>
      <w:r>
        <w:t>i negative ale valorii juste datorate riscului de credit au ca rezultat o sumă negativă. Evaluarea instrumentelor de datorie se efectuează la nivelul fiecărui instrument financiar. Pentru fiecare instrument de datorie, se raportează „modificări negative cumulate ale valorii juste datorate riscului de credit” până la derecunoa</w:t>
      </w:r>
      <w:r w:rsidR="000C213F">
        <w:t>ș</w:t>
      </w:r>
      <w:r>
        <w:t>terea instrumentului.</w:t>
      </w:r>
    </w:p>
    <w:p w:rsidR="009569C7" w:rsidRPr="00EC4FA2" w:rsidRDefault="00A834F1" w:rsidP="009569C7">
      <w:pPr>
        <w:pStyle w:val="Baseparagraphnumbered"/>
      </w:pPr>
      <w:r>
        <w:t xml:space="preserve">În sensul anexelor III </w:t>
      </w:r>
      <w:r w:rsidR="000C213F">
        <w:t>ș</w:t>
      </w:r>
      <w:r>
        <w:t xml:space="preserve">i IV, precum </w:t>
      </w:r>
      <w:r w:rsidR="000C213F">
        <w:t>ș</w:t>
      </w:r>
      <w:r>
        <w:t>i în sensul prezentei anexe, „depreciere cumulată” înseamnă:</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pentru instrumentele de datorie evaluate la costul amortizat sau printr-o metodă bazată pe costuri, deprecierea cumulată este cuantumul cumulat al pierderilor din depreciere, excluzând utilizările </w:t>
      </w:r>
      <w:r w:rsidR="000C213F">
        <w:rPr>
          <w:rFonts w:ascii="Times New Roman" w:hAnsi="Times New Roman"/>
          <w:sz w:val="24"/>
        </w:rPr>
        <w:t>ș</w:t>
      </w:r>
      <w:r>
        <w:rPr>
          <w:rFonts w:ascii="Times New Roman" w:hAnsi="Times New Roman"/>
          <w:sz w:val="24"/>
        </w:rPr>
        <w:t xml:space="preserve">i reluările, care a fost recunoscut, după caz, pentru fiecare dintre etapele de depreciere. Deprecierea cumulată reduce valoarea contabilă a instrumentului de datorie prin utilizarea unui cont de ajustări pentru depreciere în conformitate cu IFRS </w:t>
      </w:r>
      <w:r w:rsidR="000C213F">
        <w:rPr>
          <w:rFonts w:ascii="Times New Roman" w:hAnsi="Times New Roman"/>
          <w:sz w:val="24"/>
        </w:rPr>
        <w:t>ș</w:t>
      </w:r>
      <w:r>
        <w:rPr>
          <w:rFonts w:ascii="Times New Roman" w:hAnsi="Times New Roman"/>
          <w:sz w:val="24"/>
        </w:rPr>
        <w:t>i GAAP na</w:t>
      </w:r>
      <w:r w:rsidR="000C213F">
        <w:rPr>
          <w:rFonts w:ascii="Times New Roman" w:hAnsi="Times New Roman"/>
          <w:sz w:val="24"/>
        </w:rPr>
        <w:t>ț</w:t>
      </w:r>
      <w:r>
        <w:rPr>
          <w:rFonts w:ascii="Times New Roman" w:hAnsi="Times New Roman"/>
          <w:sz w:val="24"/>
        </w:rPr>
        <w:t>ionale bazate pe BAD sau prin reduceri directe care nu constituie un eveniment de derecunoa</w:t>
      </w:r>
      <w:r w:rsidR="000C213F">
        <w:rPr>
          <w:rFonts w:ascii="Times New Roman" w:hAnsi="Times New Roman"/>
          <w:sz w:val="24"/>
        </w:rPr>
        <w:t>ș</w:t>
      </w:r>
      <w:r>
        <w:rPr>
          <w:rFonts w:ascii="Times New Roman" w:hAnsi="Times New Roman"/>
          <w:sz w:val="24"/>
        </w:rPr>
        <w:t>tere în conformitate cu GAAP na</w:t>
      </w:r>
      <w:r w:rsidR="000C213F">
        <w:rPr>
          <w:rFonts w:ascii="Times New Roman" w:hAnsi="Times New Roman"/>
          <w:sz w:val="24"/>
        </w:rPr>
        <w:t>ț</w:t>
      </w:r>
      <w:r>
        <w:rPr>
          <w:rFonts w:ascii="Times New Roman" w:hAnsi="Times New Roman"/>
          <w:sz w:val="24"/>
        </w:rPr>
        <w:t xml:space="preserve">ionale bazate pe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pentru instrumentele de datorie evaluate la valoarea justă prin alte elemente ale rezultatului global în conformitate cu IFRS, deprecierea cumulată reprezintă suma pierderilor din credit preconizate </w:t>
      </w:r>
      <w:r w:rsidR="000C213F">
        <w:rPr>
          <w:rFonts w:ascii="Times New Roman" w:hAnsi="Times New Roman"/>
          <w:sz w:val="24"/>
        </w:rPr>
        <w:t>ș</w:t>
      </w:r>
      <w:r>
        <w:rPr>
          <w:rFonts w:ascii="Times New Roman" w:hAnsi="Times New Roman"/>
          <w:sz w:val="24"/>
        </w:rPr>
        <w:t>i a varia</w:t>
      </w:r>
      <w:r w:rsidR="000C213F">
        <w:rPr>
          <w:rFonts w:ascii="Times New Roman" w:hAnsi="Times New Roman"/>
          <w:sz w:val="24"/>
        </w:rPr>
        <w:t>ț</w:t>
      </w:r>
      <w:r>
        <w:rPr>
          <w:rFonts w:ascii="Times New Roman" w:hAnsi="Times New Roman"/>
          <w:sz w:val="24"/>
        </w:rPr>
        <w:t>iilor recunoscute ale acestora ca o reducere a valorii juste aferentă unui anumit instrument după recunoa</w:t>
      </w:r>
      <w:r w:rsidR="000C213F">
        <w:rPr>
          <w:rFonts w:ascii="Times New Roman" w:hAnsi="Times New Roman"/>
          <w:sz w:val="24"/>
        </w:rPr>
        <w:t>ș</w:t>
      </w:r>
      <w:r>
        <w:rPr>
          <w:rFonts w:ascii="Times New Roman" w:hAnsi="Times New Roman"/>
          <w:sz w:val="24"/>
        </w:rPr>
        <w:t>terea ini</w:t>
      </w:r>
      <w:r w:rsidR="000C213F">
        <w:rPr>
          <w:rFonts w:ascii="Times New Roman" w:hAnsi="Times New Roman"/>
          <w:sz w:val="24"/>
        </w:rPr>
        <w:t>ț</w:t>
      </w:r>
      <w:r>
        <w:rPr>
          <w:rFonts w:ascii="Times New Roman" w:hAnsi="Times New Roman"/>
          <w:sz w:val="24"/>
        </w:rPr>
        <w:t xml:space="preserve">ială;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pentru instrumentele de datorie evaluate la valoarea justă prin capitaluri proprii în conformitate cu GAAP na</w:t>
      </w:r>
      <w:r w:rsidR="000C213F">
        <w:rPr>
          <w:rFonts w:ascii="Times New Roman" w:hAnsi="Times New Roman"/>
          <w:sz w:val="24"/>
        </w:rPr>
        <w:t>ț</w:t>
      </w:r>
      <w:r>
        <w:rPr>
          <w:rFonts w:ascii="Times New Roman" w:hAnsi="Times New Roman"/>
          <w:sz w:val="24"/>
        </w:rPr>
        <w:t xml:space="preserve">ionale bazate pe BAD care fac obiectul deprecierii, deprecierea cumulată este cuantumul cumulat al pierderilor din depreciere, excluzând utilizările </w:t>
      </w:r>
      <w:r w:rsidR="000C213F">
        <w:rPr>
          <w:rFonts w:ascii="Times New Roman" w:hAnsi="Times New Roman"/>
          <w:sz w:val="24"/>
        </w:rPr>
        <w:t>ș</w:t>
      </w:r>
      <w:r>
        <w:rPr>
          <w:rFonts w:ascii="Times New Roman" w:hAnsi="Times New Roman"/>
          <w:sz w:val="24"/>
        </w:rPr>
        <w:t>i reluările, care a fost recunoscut. Reducerea valorii contabile se face fie prin utilizarea unui cont de ajustări pentru depreciere, fie prin intermediul unor reduceri directe care nu constituie un eveniment de derecunoa</w:t>
      </w:r>
      <w:r w:rsidR="000C213F">
        <w:rPr>
          <w:rFonts w:ascii="Times New Roman" w:hAnsi="Times New Roman"/>
          <w:sz w:val="24"/>
        </w:rPr>
        <w:t>ș</w:t>
      </w:r>
      <w:r>
        <w:rPr>
          <w:rFonts w:ascii="Times New Roman" w:hAnsi="Times New Roman"/>
          <w:sz w:val="24"/>
        </w:rPr>
        <w:t>tere.</w:t>
      </w:r>
    </w:p>
    <w:p w:rsidR="009569C7" w:rsidRPr="00EC4FA2" w:rsidRDefault="00A834F1" w:rsidP="009569C7">
      <w:pPr>
        <w:pStyle w:val="Baseparagraphnumbered"/>
      </w:pPr>
      <w:r>
        <w:t xml:space="preserve">Conform IFRS, deprecierea cumulată include ajustarea pentru pierderile din credit preconizate aferente activelor financiare în cadrul fiecărei etape de </w:t>
      </w:r>
      <w:r>
        <w:lastRenderedPageBreak/>
        <w:t xml:space="preserve">depreciere specificate în IFRS </w:t>
      </w:r>
      <w:r w:rsidRPr="004237EC">
        <w:t>9</w:t>
      </w:r>
      <w:r>
        <w:t>. Conform GAAP na</w:t>
      </w:r>
      <w:r w:rsidR="000C213F">
        <w:t>ț</w:t>
      </w:r>
      <w:r>
        <w:t xml:space="preserve">ionale bazate pe BAD, aceasta include ajustările specifice </w:t>
      </w:r>
      <w:r w:rsidR="000C213F">
        <w:t>ș</w:t>
      </w:r>
      <w:r>
        <w:t xml:space="preserve">i generale pentru riscul de credit, precum </w:t>
      </w:r>
      <w:r w:rsidR="000C213F">
        <w:t>ș</w:t>
      </w:r>
      <w:r>
        <w:t>i ajustarea generală pentru riscurile bancare în cazul în care reduce valoarea contabilă a instrumentelor de datorie. Deprecierea cumulată include, de asemenea, ajustările de valoare ca urmare a riscului de credit aferente activelor financiare evaluate la LOCOM.</w:t>
      </w:r>
    </w:p>
    <w:p w:rsidR="009569C7" w:rsidRPr="00EC4FA2" w:rsidRDefault="00A834F1" w:rsidP="009569C7">
      <w:pPr>
        <w:pStyle w:val="Baseparagraphnumbered"/>
      </w:pPr>
      <w:r>
        <w:t>„Valoarea cumulată a sumelor scoase par</w:t>
      </w:r>
      <w:r w:rsidR="000C213F">
        <w:t>ț</w:t>
      </w:r>
      <w:r>
        <w:t>ial în afara bilan</w:t>
      </w:r>
      <w:r w:rsidR="000C213F">
        <w:t>ț</w:t>
      </w:r>
      <w:r>
        <w:t xml:space="preserve">ului” </w:t>
      </w:r>
      <w:r w:rsidR="000C213F">
        <w:t>ș</w:t>
      </w:r>
      <w:r>
        <w:t>i „valoarea cumulată a sumelor scoase integral în afara bilan</w:t>
      </w:r>
      <w:r w:rsidR="000C213F">
        <w:t>ț</w:t>
      </w:r>
      <w:r>
        <w:t>ului” includ, respectiv, cuantumul par</w:t>
      </w:r>
      <w:r w:rsidR="000C213F">
        <w:t>ț</w:t>
      </w:r>
      <w:r>
        <w:t xml:space="preserve">ial </w:t>
      </w:r>
      <w:r w:rsidR="000C213F">
        <w:t>ș</w:t>
      </w:r>
      <w:r>
        <w:t>i total cumulat la data de referin</w:t>
      </w:r>
      <w:r w:rsidR="000C213F">
        <w:t>ț</w:t>
      </w:r>
      <w:r>
        <w:t xml:space="preserve">ă a principalului </w:t>
      </w:r>
      <w:r w:rsidR="000C213F">
        <w:t>ș</w:t>
      </w:r>
      <w:r>
        <w:t xml:space="preserve">i a dobânzii restante </w:t>
      </w:r>
      <w:r w:rsidR="000C213F">
        <w:t>ș</w:t>
      </w:r>
      <w:r>
        <w:t xml:space="preserve">i onorariile aferente oricărui instrument de datorie care a fost derecunoscut până la data respectivă utilizând oricare dintre metodele descrise la punctul </w:t>
      </w:r>
      <w:r w:rsidRPr="004237EC">
        <w:t>74</w:t>
      </w:r>
      <w:r>
        <w:t>, deoarece institu</w:t>
      </w:r>
      <w:r w:rsidR="000C213F">
        <w:t>ț</w:t>
      </w:r>
      <w:r>
        <w:t>ia nu are a</w:t>
      </w:r>
      <w:r w:rsidR="000C213F">
        <w:t>ș</w:t>
      </w:r>
      <w:r>
        <w:t>teptări rezonabile de recuperare a fluxurilor de trezorerie contractuale. Aceste cuantumuri se raportează până la stingerea totală a tuturor drepturilor institu</w:t>
      </w:r>
      <w:r w:rsidR="000C213F">
        <w:t>ț</w:t>
      </w:r>
      <w:r>
        <w:t>iei raportoare prin expirarea termenului de prescrip</w:t>
      </w:r>
      <w:r w:rsidR="000C213F">
        <w:t>ț</w:t>
      </w:r>
      <w:r>
        <w:t>ie, prin iertare de plată sau din alte cauze ori până la recuperare. Prin urmare, în cazul în care nu sunt recuperate, sumele scoase în afara bilan</w:t>
      </w:r>
      <w:r w:rsidR="000C213F">
        <w:t>ț</w:t>
      </w:r>
      <w:r>
        <w:t>ului se raportează atât timp cât fac obiectul unor măsuri de executare.</w:t>
      </w:r>
    </w:p>
    <w:p w:rsidR="009569C7" w:rsidRPr="00EC4FA2" w:rsidRDefault="00A834F1" w:rsidP="009569C7">
      <w:pPr>
        <w:pStyle w:val="Baseparagraphnumbered"/>
      </w:pPr>
      <w:r>
        <w:t>În cazul în care un instrument de datorie este în final scos integral în afara bilan</w:t>
      </w:r>
      <w:r w:rsidR="000C213F">
        <w:t>ț</w:t>
      </w:r>
      <w:r>
        <w:t>ului ca urmare a unor scoateri par</w:t>
      </w:r>
      <w:r w:rsidR="000C213F">
        <w:t>ț</w:t>
      </w:r>
      <w:r>
        <w:t>iale succesive în afara bilan</w:t>
      </w:r>
      <w:r w:rsidR="000C213F">
        <w:t>ț</w:t>
      </w:r>
      <w:r>
        <w:t>ului, valoarea cumulată a scoaterii în afara bilan</w:t>
      </w:r>
      <w:r w:rsidR="000C213F">
        <w:t>ț</w:t>
      </w:r>
      <w:r>
        <w:t>ului este reclasificată din coloana „valoarea cumulată a sumelor scoase par</w:t>
      </w:r>
      <w:r w:rsidR="000C213F">
        <w:t>ț</w:t>
      </w:r>
      <w:r>
        <w:t>ial în afara bilan</w:t>
      </w:r>
      <w:r w:rsidR="000C213F">
        <w:t>ț</w:t>
      </w:r>
      <w:r>
        <w:t>ului” în coloana „valoarea cumulată a sumelor scoase integral în afara bilan</w:t>
      </w:r>
      <w:r w:rsidR="000C213F">
        <w:t>ț</w:t>
      </w:r>
      <w:r>
        <w:t xml:space="preserve">ului”. </w:t>
      </w:r>
    </w:p>
    <w:p w:rsidR="009569C7" w:rsidRPr="00EC4FA2" w:rsidRDefault="00A834F1" w:rsidP="009569C7">
      <w:pPr>
        <w:pStyle w:val="Baseparagraphnumbered"/>
      </w:pPr>
      <w:r>
        <w:t>Scoaterile în afara bilan</w:t>
      </w:r>
      <w:r w:rsidR="000C213F">
        <w:t>ț</w:t>
      </w:r>
      <w:r>
        <w:t>ului (</w:t>
      </w:r>
      <w:r>
        <w:rPr>
          <w:i/>
        </w:rPr>
        <w:t>write-off</w:t>
      </w:r>
      <w:r>
        <w:t>) constituie un eveniment de derecunoa</w:t>
      </w:r>
      <w:r w:rsidR="000C213F">
        <w:t>ș</w:t>
      </w:r>
      <w:r>
        <w:t xml:space="preserve">tere </w:t>
      </w:r>
      <w:r w:rsidR="000C213F">
        <w:t>ș</w:t>
      </w:r>
      <w:r>
        <w:t>i se referă la un activ financiar în ansamblu sau la o parte a acestuia, inclusiv atunci când modificarea unui activ determină institu</w:t>
      </w:r>
      <w:r w:rsidR="000C213F">
        <w:t>ț</w:t>
      </w:r>
      <w:r>
        <w:t>ia să renun</w:t>
      </w:r>
      <w:r w:rsidR="000C213F">
        <w:t>ț</w:t>
      </w:r>
      <w:r>
        <w:t xml:space="preserve">e la dreptul său de a colecta fluxurile de trezorerie pentru o parte a activului respectiv sau pentru întregul activ, astfel cum se explică mai detaliat la punctul </w:t>
      </w:r>
      <w:r w:rsidRPr="004237EC">
        <w:t>72</w:t>
      </w:r>
      <w:r>
        <w:t>. Scoaterile în afara bilan</w:t>
      </w:r>
      <w:r w:rsidR="000C213F">
        <w:t>ț</w:t>
      </w:r>
      <w:r>
        <w:t xml:space="preserve">ului includ sumele cauzate atât de reducerea valorii contabile a activelor financiare recunoscută direct în profit sau pierdere, cât </w:t>
      </w:r>
      <w:r w:rsidR="000C213F">
        <w:t>ș</w:t>
      </w:r>
      <w:r>
        <w:t xml:space="preserve">i de reducerea valorii conturilor de ajustări pentru depreciere în cazul pierderilor din credite în raport cu valoarea contabilă a activelor financiare. </w:t>
      </w:r>
    </w:p>
    <w:p w:rsidR="009569C7" w:rsidRPr="00EC4FA2" w:rsidRDefault="00A834F1" w:rsidP="009569C7">
      <w:pPr>
        <w:pStyle w:val="Baseparagraphnumbered"/>
      </w:pPr>
      <w:r>
        <w:t xml:space="preserve">Coloana „din care: instrumente cu un risc de credit scăzut” include instrumentele despre care se consideră că au un risc de credit scăzut la data raportării </w:t>
      </w:r>
      <w:r w:rsidR="000C213F">
        <w:t>ș</w:t>
      </w:r>
      <w:r>
        <w:t>i pentru care institu</w:t>
      </w:r>
      <w:r w:rsidR="000C213F">
        <w:t>ț</w:t>
      </w:r>
      <w:r>
        <w:t>ia presupune că riscul de credit nu a crescut semnificativ după recunoa</w:t>
      </w:r>
      <w:r w:rsidR="000C213F">
        <w:t>ș</w:t>
      </w:r>
      <w:r>
        <w:t>terea ini</w:t>
      </w:r>
      <w:r w:rsidR="000C213F">
        <w:t>ț</w:t>
      </w:r>
      <w:r>
        <w:t xml:space="preserve">ială în conformitate cu IFRS </w:t>
      </w:r>
      <w:r w:rsidRPr="004237EC">
        <w:t>9</w:t>
      </w:r>
      <w:r>
        <w:t xml:space="preserve"> punctul </w:t>
      </w:r>
      <w:r w:rsidRPr="004237EC">
        <w:t>5</w:t>
      </w:r>
      <w:r>
        <w:t>.</w:t>
      </w:r>
      <w:r w:rsidRPr="004237EC">
        <w:t>5</w:t>
      </w:r>
      <w:r>
        <w:t>.</w:t>
      </w:r>
      <w:r w:rsidRPr="004237EC">
        <w:t>10</w:t>
      </w:r>
      <w:r>
        <w:t>.</w:t>
      </w:r>
    </w:p>
    <w:p w:rsidR="009569C7" w:rsidRPr="00EC4FA2" w:rsidRDefault="00A834F1" w:rsidP="009569C7">
      <w:pPr>
        <w:pStyle w:val="Baseparagraphnumbered"/>
      </w:pPr>
      <w:r>
        <w:t>Crean</w:t>
      </w:r>
      <w:r w:rsidR="000C213F">
        <w:t>ț</w:t>
      </w:r>
      <w:r>
        <w:t xml:space="preserve">ele comerciale în sensul IAS </w:t>
      </w:r>
      <w:r w:rsidRPr="004237EC">
        <w:t>1</w:t>
      </w:r>
      <w:r>
        <w:t xml:space="preserve"> punctul </w:t>
      </w:r>
      <w:r w:rsidRPr="004237EC">
        <w:t>54</w:t>
      </w:r>
      <w:r>
        <w:t xml:space="preserve"> litera (h), activele aferente contractului </w:t>
      </w:r>
      <w:r w:rsidR="000C213F">
        <w:t>ș</w:t>
      </w:r>
      <w:r>
        <w:t>i crean</w:t>
      </w:r>
      <w:r w:rsidR="000C213F">
        <w:t>ț</w:t>
      </w:r>
      <w:r>
        <w:t xml:space="preserve">ele care decurg din contracte de leasing pentru care s-a aplicat abordarea simplificată din IFRS </w:t>
      </w:r>
      <w:r w:rsidRPr="004237EC">
        <w:t>9</w:t>
      </w:r>
      <w:r>
        <w:t xml:space="preserve"> punctul </w:t>
      </w:r>
      <w:r w:rsidRPr="004237EC">
        <w:t>5</w:t>
      </w:r>
      <w:r>
        <w:t>.</w:t>
      </w:r>
      <w:r w:rsidRPr="004237EC">
        <w:t>5</w:t>
      </w:r>
      <w:r>
        <w:t>.</w:t>
      </w:r>
      <w:r w:rsidRPr="004237EC">
        <w:t>15</w:t>
      </w:r>
      <w:r>
        <w:t xml:space="preserve"> pentru estimarea ajutărilor pentru pierdere se raportează în cadrul creditelor </w:t>
      </w:r>
      <w:r w:rsidR="000C213F">
        <w:t>ș</w:t>
      </w:r>
      <w:r>
        <w:t xml:space="preserve">i avansurilor în formularul </w:t>
      </w:r>
      <w:r w:rsidRPr="004237EC">
        <w:t>4</w:t>
      </w:r>
      <w:r>
        <w:t>.</w:t>
      </w:r>
      <w:r w:rsidRPr="004237EC">
        <w:t>4</w:t>
      </w:r>
      <w:r>
        <w:t>.</w:t>
      </w:r>
      <w:r w:rsidRPr="004237EC">
        <w:t>1</w:t>
      </w:r>
      <w:r>
        <w:t>. Ajustările pentru pierdere aferente activelor respective se raportează fie la „deprecierea cumulată pentru activele cu o cre</w:t>
      </w:r>
      <w:r w:rsidR="000C213F">
        <w:t>ș</w:t>
      </w:r>
      <w:r>
        <w:t>tere semnificativă a riscului de credit după recunoa</w:t>
      </w:r>
      <w:r w:rsidR="000C213F">
        <w:t>ș</w:t>
      </w:r>
      <w:r>
        <w:t>terea ini</w:t>
      </w:r>
      <w:r w:rsidR="000C213F">
        <w:t>ț</w:t>
      </w:r>
      <w:r>
        <w:t xml:space="preserve">ială, dar nedepreciate </w:t>
      </w:r>
      <w:r>
        <w:lastRenderedPageBreak/>
        <w:t xml:space="preserve">ca urmare a riscului de credit (etapa </w:t>
      </w:r>
      <w:r w:rsidRPr="004237EC">
        <w:t>2</w:t>
      </w:r>
      <w:r>
        <w:t xml:space="preserve">)”, fie la „deprecierea cumulată pentru activele depreciate ca urmare a riscului de credit (etapa </w:t>
      </w:r>
      <w:r w:rsidRPr="004237EC">
        <w:t>3</w:t>
      </w:r>
      <w:r>
        <w:t>)”, în func</w:t>
      </w:r>
      <w:r w:rsidR="000C213F">
        <w:t>ț</w:t>
      </w:r>
      <w:r>
        <w:t>ie de încadrarea ca active depreciate ca urmare a riscului de credit a crean</w:t>
      </w:r>
      <w:r w:rsidR="000C213F">
        <w:t>ț</w:t>
      </w:r>
      <w:r>
        <w:t>elor comerciale, a activelor aferente contractului sau a crean</w:t>
      </w:r>
      <w:r w:rsidR="000C213F">
        <w:t>ț</w:t>
      </w:r>
      <w:r>
        <w:t>elor care decurg din contracte de leasing pentru care s-a aplicat abordarea simplificată.</w:t>
      </w:r>
    </w:p>
    <w:p w:rsidR="009569C7" w:rsidRPr="00EC4FA2" w:rsidRDefault="00A834F1" w:rsidP="009569C7">
      <w:pPr>
        <w:pStyle w:val="Baseparagraphnumbered"/>
      </w:pPr>
      <w:r>
        <w:t>Activele financiare achizi</w:t>
      </w:r>
      <w:r w:rsidR="000C213F">
        <w:t>ț</w:t>
      </w:r>
      <w:r>
        <w:t>ionate sau ini</w:t>
      </w:r>
      <w:r w:rsidR="000C213F">
        <w:t>ț</w:t>
      </w:r>
      <w:r>
        <w:t>iate care sunt depreciate ca urmare a riscului de credit la recunoa</w:t>
      </w:r>
      <w:r w:rsidR="000C213F">
        <w:t>ș</w:t>
      </w:r>
      <w:r>
        <w:t>terea ini</w:t>
      </w:r>
      <w:r w:rsidR="000C213F">
        <w:t>ț</w:t>
      </w:r>
      <w:r>
        <w:t xml:space="preserve">ială se raportează separat în </w:t>
      </w:r>
      <w:r w:rsidRPr="004237EC">
        <w:t>4</w:t>
      </w:r>
      <w:r>
        <w:t>.</w:t>
      </w:r>
      <w:r w:rsidRPr="004237EC">
        <w:t>3</w:t>
      </w:r>
      <w:r>
        <w:t>.</w:t>
      </w:r>
      <w:r w:rsidRPr="004237EC">
        <w:t>1</w:t>
      </w:r>
      <w:r>
        <w:t xml:space="preserve"> </w:t>
      </w:r>
      <w:r w:rsidR="000C213F">
        <w:t>ș</w:t>
      </w:r>
      <w:r>
        <w:t xml:space="preserve">i </w:t>
      </w:r>
      <w:r w:rsidRPr="004237EC">
        <w:t>4</w:t>
      </w:r>
      <w:r>
        <w:t>.</w:t>
      </w:r>
      <w:r w:rsidRPr="004237EC">
        <w:t>4</w:t>
      </w:r>
      <w:r>
        <w:t>.</w:t>
      </w:r>
      <w:r w:rsidRPr="004237EC">
        <w:t>1</w:t>
      </w:r>
      <w:r>
        <w:t>. Pentru aceste credite, deprecierea cumulată include numai modificările cumulate ale pierderilor din credit preconizate pe durata de via</w:t>
      </w:r>
      <w:r w:rsidR="000C213F">
        <w:t>ț</w:t>
      </w:r>
      <w:r>
        <w:t>ă după recunoa</w:t>
      </w:r>
      <w:r w:rsidR="000C213F">
        <w:t>ș</w:t>
      </w:r>
      <w:r>
        <w:t>terea ini</w:t>
      </w:r>
      <w:r w:rsidR="000C213F">
        <w:t>ț</w:t>
      </w:r>
      <w:r>
        <w:t xml:space="preserve">ială [IFRS </w:t>
      </w:r>
      <w:r w:rsidRPr="004237EC">
        <w:t>9</w:t>
      </w:r>
      <w:r>
        <w:t xml:space="preserve"> punctul </w:t>
      </w:r>
      <w:r w:rsidRPr="004237EC">
        <w:t>5</w:t>
      </w:r>
      <w:r>
        <w:t>.</w:t>
      </w:r>
      <w:r w:rsidRPr="004237EC">
        <w:t>5</w:t>
      </w:r>
      <w:r>
        <w:t>.</w:t>
      </w:r>
      <w:r w:rsidRPr="004237EC">
        <w:t>13</w:t>
      </w:r>
      <w:r>
        <w:t>].</w:t>
      </w:r>
    </w:p>
    <w:p w:rsidR="009569C7" w:rsidRPr="00EC4FA2" w:rsidRDefault="00A834F1" w:rsidP="009569C7">
      <w:pPr>
        <w:pStyle w:val="Baseparagraphnumbered"/>
        <w:ind w:left="785"/>
      </w:pPr>
      <w:r>
        <w:t xml:space="preserve">În formularul </w:t>
      </w:r>
      <w:r w:rsidRPr="004237EC">
        <w:t>4</w:t>
      </w:r>
      <w:r>
        <w:t>.</w:t>
      </w:r>
      <w:r w:rsidRPr="004237EC">
        <w:t>5</w:t>
      </w:r>
      <w:r>
        <w:t xml:space="preserve"> institu</w:t>
      </w:r>
      <w:r w:rsidR="000C213F">
        <w:t>ț</w:t>
      </w:r>
      <w:r>
        <w:t xml:space="preserve">iile raportează valoarea contabilă a „creditelor </w:t>
      </w:r>
      <w:r w:rsidR="000C213F">
        <w:t>ș</w:t>
      </w:r>
      <w:r>
        <w:t xml:space="preserve">i avansurilor” </w:t>
      </w:r>
      <w:r w:rsidR="000C213F">
        <w:t>ș</w:t>
      </w:r>
      <w:r>
        <w:t>i a „titlurilor de datorie” care corespund defini</w:t>
      </w:r>
      <w:r w:rsidR="000C213F">
        <w:t>ț</w:t>
      </w:r>
      <w:r>
        <w:t xml:space="preserve">iei „datoriilor subordonate” de la punctul </w:t>
      </w:r>
      <w:r w:rsidRPr="004237EC">
        <w:t>100</w:t>
      </w:r>
      <w:r>
        <w:t xml:space="preserve"> din prezenta parte.</w:t>
      </w:r>
      <w:bookmarkStart w:id="100" w:name="_Toc361844218"/>
      <w:bookmarkStart w:id="101" w:name="_Toc362359289"/>
      <w:bookmarkEnd w:id="95"/>
    </w:p>
    <w:p w:rsidR="009569C7" w:rsidRPr="00EC4FA2" w:rsidRDefault="00A834F1" w:rsidP="009569C7">
      <w:pPr>
        <w:pStyle w:val="Baseparagraphnumbered"/>
      </w:pPr>
      <w:r>
        <w:t xml:space="preserve">În formularul </w:t>
      </w:r>
      <w:r w:rsidRPr="004237EC">
        <w:t>4</w:t>
      </w:r>
      <w:r>
        <w:t>.</w:t>
      </w:r>
      <w:r w:rsidRPr="004237EC">
        <w:t>8</w:t>
      </w:r>
      <w:r>
        <w:t>, informa</w:t>
      </w:r>
      <w:r w:rsidR="000C213F">
        <w:t>ț</w:t>
      </w:r>
      <w:r>
        <w:t>iile care urmează a fi raportate depind de posibilitatea ca activele financiare nederivate nedestinate tranzac</w:t>
      </w:r>
      <w:r w:rsidR="000C213F">
        <w:t>ț</w:t>
      </w:r>
      <w:r>
        <w:t>ionării, evaluate la valoarea justă prin capitaluri proprii să facă obiectul dispozi</w:t>
      </w:r>
      <w:r w:rsidR="000C213F">
        <w:t>ț</w:t>
      </w:r>
      <w:r>
        <w:t>iilor privind deprecierea în conformitate cu GAAP na</w:t>
      </w:r>
      <w:r w:rsidR="000C213F">
        <w:t>ț</w:t>
      </w:r>
      <w:r>
        <w:t>ionale bazate pe BAD. Atunci când activele financiare respective fac obiectul deprecierii, institu</w:t>
      </w:r>
      <w:r w:rsidR="000C213F">
        <w:t>ț</w:t>
      </w:r>
      <w:r>
        <w:t>iile raportează în acest formular informa</w:t>
      </w:r>
      <w:r w:rsidR="000C213F">
        <w:t>ț</w:t>
      </w:r>
      <w:r>
        <w:t xml:space="preserve">iile care se referă la valoarea contabilă, valoarea contabilă brută a activelor nedepreciate </w:t>
      </w:r>
      <w:r w:rsidR="000C213F">
        <w:t>ș</w:t>
      </w:r>
      <w:r>
        <w:t xml:space="preserve">i a activelor depreciate, deprecierea cumulată </w:t>
      </w:r>
      <w:r w:rsidR="000C213F">
        <w:t>ș</w:t>
      </w:r>
      <w:r>
        <w:t>i valoarea cumulată a sumelor scoase în afara bilan</w:t>
      </w:r>
      <w:r w:rsidR="000C213F">
        <w:t>ț</w:t>
      </w:r>
      <w:r>
        <w:t>ului (write-off cumulat). În cazul în care aceste active financiare nu fac obiectul deprecierii, institu</w:t>
      </w:r>
      <w:r w:rsidR="000C213F">
        <w:t>ț</w:t>
      </w:r>
      <w:r>
        <w:t>iile raportează modificările valorii juste negative cumulate datorate riscului de credit pentru expunerile neperformante.</w:t>
      </w:r>
    </w:p>
    <w:p w:rsidR="009569C7" w:rsidRPr="00EC4FA2" w:rsidRDefault="00A834F1" w:rsidP="009569C7">
      <w:pPr>
        <w:pStyle w:val="Baseparagraphnumbered"/>
      </w:pPr>
      <w:r>
        <w:t xml:space="preserve">În formularul </w:t>
      </w:r>
      <w:r w:rsidRPr="004237EC">
        <w:t>4</w:t>
      </w:r>
      <w:r>
        <w:t>.</w:t>
      </w:r>
      <w:r w:rsidRPr="004237EC">
        <w:t>9</w:t>
      </w:r>
      <w:r>
        <w:t xml:space="preserve">, activele financiare evaluate la LOCOM moderată </w:t>
      </w:r>
      <w:r w:rsidR="000C213F">
        <w:t>ș</w:t>
      </w:r>
      <w:r>
        <w:t xml:space="preserve">i ajustările de valoare aferente sunt identificate separat de alte active financiare evaluate printr-o metodă bazată pe costuri </w:t>
      </w:r>
      <w:r w:rsidR="000C213F">
        <w:t>ș</w:t>
      </w:r>
      <w:r>
        <w:t xml:space="preserve">i de deprecierea aplicată acestora. Activele financiare evaluate printr-o metodă bazată pe costuri, inclusiv activele financiare evaluate la LOCOM moderată, se raportează ca active nedepreciate atunci când nu li se aplică ajustări de valoare sau nu fac obiectul deprecierii </w:t>
      </w:r>
      <w:r w:rsidR="000C213F">
        <w:t>ș</w:t>
      </w:r>
      <w:r>
        <w:t>i ca active depreciate în cazul în care li se aplică ajustări de valoare care se califică drept depreciere sau fac obiectul deprecierii. Ajustările de valoare care se califică drept depreciere reprezintă ajustări de valoare ca urmare a riscului de credit, ceea ce reflectă deteriorarea solvabilită</w:t>
      </w:r>
      <w:r w:rsidR="000C213F">
        <w:t>ț</w:t>
      </w:r>
      <w:r>
        <w:t>ii contrapăr</w:t>
      </w:r>
      <w:r w:rsidR="000C213F">
        <w:t>ț</w:t>
      </w:r>
      <w:r>
        <w:t>ii. Activele financiare evaluate la LOCOM moderată cu ajustări de valoare ca urmare a riscului de credit care reflectă impactul modificărilor condi</w:t>
      </w:r>
      <w:r w:rsidR="000C213F">
        <w:t>ț</w:t>
      </w:r>
      <w:r>
        <w:t>iilor de pia</w:t>
      </w:r>
      <w:r w:rsidR="000C213F">
        <w:t>ț</w:t>
      </w:r>
      <w:r>
        <w:t>ă privind valoarea activului nu sunt considerate depreciate. Ajustările de valoare cumulate ca urmare a riscului de credit se raportează separat de cele ca urmare a riscului de pia</w:t>
      </w:r>
      <w:r w:rsidR="000C213F">
        <w:t>ț</w:t>
      </w:r>
      <w:r>
        <w:t xml:space="preserve">ă. </w:t>
      </w:r>
    </w:p>
    <w:p w:rsidR="009569C7" w:rsidRPr="00EC4FA2" w:rsidRDefault="00A834F1" w:rsidP="009569C7">
      <w:pPr>
        <w:pStyle w:val="Baseparagraphnumbered"/>
      </w:pPr>
      <w:r>
        <w:t xml:space="preserve">În formularul </w:t>
      </w:r>
      <w:r w:rsidRPr="004237EC">
        <w:t>4</w:t>
      </w:r>
      <w:r>
        <w:t>.</w:t>
      </w:r>
      <w:r w:rsidRPr="004237EC">
        <w:t>10</w:t>
      </w:r>
      <w:r>
        <w:t xml:space="preserve">, activele evaluate la LOCOM strictă, precum </w:t>
      </w:r>
      <w:r w:rsidR="000C213F">
        <w:t>ș</w:t>
      </w:r>
      <w:r>
        <w:t xml:space="preserve">i ajustările de valoare asociate acestora se raportează separat de activele evaluate prin alte metode. Activele financiare evaluate la LOCOM strictă </w:t>
      </w:r>
      <w:r w:rsidR="000C213F">
        <w:t>ș</w:t>
      </w:r>
      <w:r>
        <w:t xml:space="preserve">i activele financiare evaluate prin alte metode se raportează ca active depreciate în cazul în care li se aplică ajustări de valoare ca urmare a riscului de credit, astfel cum sunt definite la punctul </w:t>
      </w:r>
      <w:r w:rsidRPr="004237EC">
        <w:t>80</w:t>
      </w:r>
      <w:r>
        <w:t xml:space="preserve">, sau fac obiectul deprecierii. Activele </w:t>
      </w:r>
      <w:r>
        <w:lastRenderedPageBreak/>
        <w:t>financiare evaluate la LOCOM strictă cu ajustări de valoare ca urmare a riscului de pia</w:t>
      </w:r>
      <w:r w:rsidR="000C213F">
        <w:t>ț</w:t>
      </w:r>
      <w:r>
        <w:t xml:space="preserve">ă, astfel cum sunt definite la punctul </w:t>
      </w:r>
      <w:r w:rsidRPr="004237EC">
        <w:t>80</w:t>
      </w:r>
      <w:r>
        <w:t>, nu sunt considerate depreciate. Ajustările de valoare cumulate ca urmare a riscului de credit se raportează separat de cele ca urmare a riscului de pia</w:t>
      </w:r>
      <w:r w:rsidR="000C213F">
        <w:t>ț</w:t>
      </w:r>
      <w:r>
        <w:t>ă.</w:t>
      </w:r>
    </w:p>
    <w:p w:rsidR="009569C7" w:rsidRPr="00EC4FA2" w:rsidRDefault="00A834F1" w:rsidP="009569C7">
      <w:pPr>
        <w:pStyle w:val="Baseparagraphnumbered"/>
      </w:pPr>
      <w:r>
        <w:t>Conform GAAP na</w:t>
      </w:r>
      <w:r w:rsidR="000C213F">
        <w:t>ț</w:t>
      </w:r>
      <w:r>
        <w:t>ionale bazate pe BAD, cuantumul ajustărilor generale pentru riscurile bancare raportat în formularele aplicabile este numai acea parte care afectează valoarea contabilă a instrumentelor de datorie [articolul </w:t>
      </w:r>
      <w:r w:rsidRPr="004237EC">
        <w:t>37</w:t>
      </w:r>
      <w:r>
        <w:t xml:space="preserve"> alineatul (</w:t>
      </w:r>
      <w:r w:rsidRPr="004237EC">
        <w:t>2</w:t>
      </w:r>
      <w:r>
        <w:t>) din BAD].</w:t>
      </w:r>
    </w:p>
    <w:p w:rsidR="009569C7" w:rsidRPr="00EC4FA2" w:rsidRDefault="00A834F1" w:rsidP="009569C7">
      <w:pPr>
        <w:pStyle w:val="subtitlenumbered"/>
        <w:jc w:val="both"/>
      </w:pPr>
      <w:bookmarkStart w:id="102" w:name="_Toc467855213"/>
      <w:bookmarkStart w:id="103" w:name="_Toc485897545"/>
      <w:r>
        <w:t xml:space="preserve">Defalcarea pe tipuri de produse a creditelor </w:t>
      </w:r>
      <w:r w:rsidR="000C213F">
        <w:t>ș</w:t>
      </w:r>
      <w:r>
        <w:t>i a avansurilor nedestinate tranzac</w:t>
      </w:r>
      <w:r w:rsidR="000C213F">
        <w:t>ț</w:t>
      </w:r>
      <w:r>
        <w:t>ionării (</w:t>
      </w:r>
      <w:r w:rsidRPr="004237EC">
        <w:t>5</w:t>
      </w:r>
      <w:r>
        <w:t>)</w:t>
      </w:r>
      <w:bookmarkEnd w:id="102"/>
      <w:bookmarkEnd w:id="103"/>
    </w:p>
    <w:bookmarkEnd w:id="100"/>
    <w:p w:rsidR="009569C7" w:rsidRPr="00EC4FA2" w:rsidRDefault="00A834F1" w:rsidP="009569C7">
      <w:pPr>
        <w:pStyle w:val="Baseparagraphnumbered"/>
      </w:pPr>
      <w:r>
        <w:t xml:space="preserve">Creditele </w:t>
      </w:r>
      <w:r w:rsidR="000C213F">
        <w:t>ș</w:t>
      </w:r>
      <w:r>
        <w:t>i avansurile, altele decât cele de</w:t>
      </w:r>
      <w:r w:rsidR="000C213F">
        <w:t>ț</w:t>
      </w:r>
      <w:r>
        <w:t>inute în vederea tranzac</w:t>
      </w:r>
      <w:r w:rsidR="000C213F">
        <w:t>ț</w:t>
      </w:r>
      <w:r>
        <w:t>ionării sau activele de</w:t>
      </w:r>
      <w:r w:rsidR="000C213F">
        <w:t>ț</w:t>
      </w:r>
      <w:r>
        <w:t>inute în vederea tranzac</w:t>
      </w:r>
      <w:r w:rsidR="000C213F">
        <w:t>ț</w:t>
      </w:r>
      <w:r>
        <w:t xml:space="preserve">ionării, sunt defalcate pe tipuri de produse </w:t>
      </w:r>
      <w:r w:rsidR="000C213F">
        <w:t>ș</w:t>
      </w:r>
      <w:r>
        <w:t xml:space="preserve">i pe sectoare ale </w:t>
      </w:r>
      <w:bookmarkEnd w:id="101"/>
      <w:r>
        <w:t>contrapăr</w:t>
      </w:r>
      <w:r w:rsidR="000C213F">
        <w:t>ț</w:t>
      </w:r>
      <w:r>
        <w:t xml:space="preserve">ilor pentru valoarea contabilă </w:t>
      </w:r>
      <w:r w:rsidR="000C213F">
        <w:t>ș</w:t>
      </w:r>
      <w:r>
        <w:t>i numai pe tipuri de produse pentru valoarea contabilă brută.</w:t>
      </w:r>
    </w:p>
    <w:p w:rsidR="009569C7" w:rsidRPr="00EC4FA2" w:rsidRDefault="00A834F1" w:rsidP="009569C7">
      <w:pPr>
        <w:pStyle w:val="Baseparagraphnumbered"/>
      </w:pPr>
      <w:r>
        <w:t xml:space="preserve">Soldurile de încasat la vedere clasificate ca „numerar </w:t>
      </w:r>
      <w:r w:rsidR="000C213F">
        <w:t>ș</w:t>
      </w:r>
      <w:r>
        <w:t xml:space="preserve">i solduri în numerar la bănci centrale </w:t>
      </w:r>
      <w:r w:rsidR="000C213F">
        <w:t>ș</w:t>
      </w:r>
      <w:r>
        <w:t xml:space="preserve">i alte depozite la vedere” se raportează, de asemenea, în acest formular, indiferent de modul în care sunt evaluate. </w:t>
      </w:r>
    </w:p>
    <w:p w:rsidR="009569C7" w:rsidRPr="00EC4FA2" w:rsidRDefault="00A834F1" w:rsidP="009569C7">
      <w:pPr>
        <w:pStyle w:val="Baseparagraphnumbered"/>
      </w:pPr>
      <w:r>
        <w:t xml:space="preserve">Creditele </w:t>
      </w:r>
      <w:r w:rsidR="000C213F">
        <w:t>ș</w:t>
      </w:r>
      <w:r>
        <w:t xml:space="preserve">i avansurile se alocă următoarelor produse: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„la vedere [la cerere] </w:t>
      </w:r>
      <w:r w:rsidR="000C213F">
        <w:rPr>
          <w:rFonts w:ascii="Times New Roman" w:hAnsi="Times New Roman"/>
          <w:sz w:val="24"/>
        </w:rPr>
        <w:t>ș</w:t>
      </w:r>
      <w:r>
        <w:rPr>
          <w:rFonts w:ascii="Times New Roman" w:hAnsi="Times New Roman"/>
          <w:sz w:val="24"/>
        </w:rPr>
        <w:t>i cu o perioadă scurtă de notificare [cont curent]” include soldurile de încasat la vedere (la cerere), după o perioadă de notificare scurtă (până la încheierea activită</w:t>
      </w:r>
      <w:r w:rsidR="000C213F">
        <w:rPr>
          <w:rFonts w:ascii="Times New Roman" w:hAnsi="Times New Roman"/>
          <w:sz w:val="24"/>
        </w:rPr>
        <w:t>ț</w:t>
      </w:r>
      <w:r>
        <w:rPr>
          <w:rFonts w:ascii="Times New Roman" w:hAnsi="Times New Roman"/>
          <w:sz w:val="24"/>
        </w:rPr>
        <w:t xml:space="preserve">ii în ziua următoare celei în care a fost făcută cererea), conturi curente </w:t>
      </w:r>
      <w:r w:rsidR="000C213F">
        <w:rPr>
          <w:rFonts w:ascii="Times New Roman" w:hAnsi="Times New Roman"/>
          <w:sz w:val="24"/>
        </w:rPr>
        <w:t>ș</w:t>
      </w:r>
      <w:r>
        <w:rPr>
          <w:rFonts w:ascii="Times New Roman" w:hAnsi="Times New Roman"/>
          <w:sz w:val="24"/>
        </w:rPr>
        <w:t>i solduri similare, inclusiv împrumuturile care constituie depozite overnight pentru împrumutat (împrumuturi de rambursat la încheierea activită</w:t>
      </w:r>
      <w:r w:rsidR="000C213F">
        <w:rPr>
          <w:rFonts w:ascii="Times New Roman" w:hAnsi="Times New Roman"/>
          <w:sz w:val="24"/>
        </w:rPr>
        <w:t>ț</w:t>
      </w:r>
      <w:r>
        <w:rPr>
          <w:rFonts w:ascii="Times New Roman" w:hAnsi="Times New Roman"/>
          <w:sz w:val="24"/>
        </w:rPr>
        <w:t>ii din ziua următoare celei în care au fost acordate), indiferent de forma juridică a acestora. Acest element include, de asemenea, sume reprezentând „descoperit de cont”, care sunt solduri debitoare ale conturilor curente;</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„crean</w:t>
      </w:r>
      <w:r w:rsidR="000C213F">
        <w:rPr>
          <w:rFonts w:ascii="Times New Roman" w:hAnsi="Times New Roman"/>
          <w:sz w:val="24"/>
        </w:rPr>
        <w:t>ț</w:t>
      </w:r>
      <w:r>
        <w:rPr>
          <w:rFonts w:ascii="Times New Roman" w:hAnsi="Times New Roman"/>
          <w:sz w:val="24"/>
        </w:rPr>
        <w:t>ele aferente căr</w:t>
      </w:r>
      <w:r w:rsidR="000C213F">
        <w:rPr>
          <w:rFonts w:ascii="Times New Roman" w:hAnsi="Times New Roman"/>
          <w:sz w:val="24"/>
        </w:rPr>
        <w:t>ț</w:t>
      </w:r>
      <w:r>
        <w:rPr>
          <w:rFonts w:ascii="Times New Roman" w:hAnsi="Times New Roman"/>
          <w:sz w:val="24"/>
        </w:rPr>
        <w:t xml:space="preserve">ilor de credit” includ creditele acordate fie prin intermediul cardurilor cu debit amânat, fie prin intermediul cardurilor de credit [Regulamentul BCE 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„crean</w:t>
      </w:r>
      <w:r w:rsidR="000C213F">
        <w:rPr>
          <w:rFonts w:ascii="Times New Roman" w:hAnsi="Times New Roman"/>
          <w:sz w:val="24"/>
        </w:rPr>
        <w:t>ț</w:t>
      </w:r>
      <w:r>
        <w:rPr>
          <w:rFonts w:ascii="Times New Roman" w:hAnsi="Times New Roman"/>
          <w:sz w:val="24"/>
        </w:rPr>
        <w:t>ele comerciale” includ creditele către al</w:t>
      </w:r>
      <w:r w:rsidR="000C213F">
        <w:rPr>
          <w:rFonts w:ascii="Times New Roman" w:hAnsi="Times New Roman"/>
          <w:sz w:val="24"/>
        </w:rPr>
        <w:t>ț</w:t>
      </w:r>
      <w:r>
        <w:rPr>
          <w:rFonts w:ascii="Times New Roman" w:hAnsi="Times New Roman"/>
          <w:sz w:val="24"/>
        </w:rPr>
        <w:t>i debitori acordate în baza efectelor de comer</w:t>
      </w:r>
      <w:r w:rsidR="000C213F">
        <w:rPr>
          <w:rFonts w:ascii="Times New Roman" w:hAnsi="Times New Roman"/>
          <w:sz w:val="24"/>
        </w:rPr>
        <w:t>ț</w:t>
      </w:r>
      <w:r>
        <w:rPr>
          <w:rFonts w:ascii="Times New Roman" w:hAnsi="Times New Roman"/>
          <w:sz w:val="24"/>
        </w:rPr>
        <w:t xml:space="preserve"> sau a altor documente care oferă dreptul de a primi încasările din tranzac</w:t>
      </w:r>
      <w:r w:rsidR="000C213F">
        <w:rPr>
          <w:rFonts w:ascii="Times New Roman" w:hAnsi="Times New Roman"/>
          <w:sz w:val="24"/>
        </w:rPr>
        <w:t>ț</w:t>
      </w:r>
      <w:r>
        <w:rPr>
          <w:rFonts w:ascii="Times New Roman" w:hAnsi="Times New Roman"/>
          <w:sz w:val="24"/>
        </w:rPr>
        <w:t>iile pentru vânzarea de bunuri sau prestarea de servicii. Acest element include toate tranzac</w:t>
      </w:r>
      <w:r w:rsidR="000C213F">
        <w:rPr>
          <w:rFonts w:ascii="Times New Roman" w:hAnsi="Times New Roman"/>
          <w:sz w:val="24"/>
        </w:rPr>
        <w:t>ț</w:t>
      </w:r>
      <w:r>
        <w:rPr>
          <w:rFonts w:ascii="Times New Roman" w:hAnsi="Times New Roman"/>
          <w:sz w:val="24"/>
        </w:rPr>
        <w:t xml:space="preserve">iile factoring </w:t>
      </w:r>
      <w:r w:rsidR="000C213F">
        <w:rPr>
          <w:rFonts w:ascii="Times New Roman" w:hAnsi="Times New Roman"/>
          <w:sz w:val="24"/>
        </w:rPr>
        <w:t>ș</w:t>
      </w:r>
      <w:r>
        <w:rPr>
          <w:rFonts w:ascii="Times New Roman" w:hAnsi="Times New Roman"/>
          <w:sz w:val="24"/>
        </w:rPr>
        <w:t>i similare, cum ar fi acceptările, contractele ferme de cumpărare a crean</w:t>
      </w:r>
      <w:r w:rsidR="000C213F">
        <w:rPr>
          <w:rFonts w:ascii="Times New Roman" w:hAnsi="Times New Roman"/>
          <w:sz w:val="24"/>
        </w:rPr>
        <w:t>ț</w:t>
      </w:r>
      <w:r>
        <w:rPr>
          <w:rFonts w:ascii="Times New Roman" w:hAnsi="Times New Roman"/>
          <w:sz w:val="24"/>
        </w:rPr>
        <w:t>elor comerciale, contractele de scont bancar (forfaiting), scontarea facturilor, cambiile, efectele de comer</w:t>
      </w:r>
      <w:r w:rsidR="000C213F">
        <w:rPr>
          <w:rFonts w:ascii="Times New Roman" w:hAnsi="Times New Roman"/>
          <w:sz w:val="24"/>
        </w:rPr>
        <w:t>ț</w:t>
      </w:r>
      <w:r>
        <w:rPr>
          <w:rFonts w:ascii="Times New Roman" w:hAnsi="Times New Roman"/>
          <w:sz w:val="24"/>
        </w:rPr>
        <w:t xml:space="preserve"> </w:t>
      </w:r>
      <w:r w:rsidR="000C213F">
        <w:rPr>
          <w:rFonts w:ascii="Times New Roman" w:hAnsi="Times New Roman"/>
          <w:sz w:val="24"/>
        </w:rPr>
        <w:t>ș</w:t>
      </w:r>
      <w:r>
        <w:rPr>
          <w:rFonts w:ascii="Times New Roman" w:hAnsi="Times New Roman"/>
          <w:sz w:val="24"/>
        </w:rPr>
        <w:t>i alte drepturi de crean</w:t>
      </w:r>
      <w:r w:rsidR="000C213F">
        <w:rPr>
          <w:rFonts w:ascii="Times New Roman" w:hAnsi="Times New Roman"/>
          <w:sz w:val="24"/>
        </w:rPr>
        <w:t>ț</w:t>
      </w:r>
      <w:r>
        <w:rPr>
          <w:rFonts w:ascii="Times New Roman" w:hAnsi="Times New Roman"/>
          <w:sz w:val="24"/>
        </w:rPr>
        <w:t>ă atunci când institu</w:t>
      </w:r>
      <w:r w:rsidR="000C213F">
        <w:rPr>
          <w:rFonts w:ascii="Times New Roman" w:hAnsi="Times New Roman"/>
          <w:sz w:val="24"/>
        </w:rPr>
        <w:t>ț</w:t>
      </w:r>
      <w:r>
        <w:rPr>
          <w:rFonts w:ascii="Times New Roman" w:hAnsi="Times New Roman"/>
          <w:sz w:val="24"/>
        </w:rPr>
        <w:t>ia raportoare cumpără crean</w:t>
      </w:r>
      <w:r w:rsidR="000C213F">
        <w:rPr>
          <w:rFonts w:ascii="Times New Roman" w:hAnsi="Times New Roman"/>
          <w:sz w:val="24"/>
        </w:rPr>
        <w:t>ț</w:t>
      </w:r>
      <w:r>
        <w:rPr>
          <w:rFonts w:ascii="Times New Roman" w:hAnsi="Times New Roman"/>
          <w:sz w:val="24"/>
        </w:rPr>
        <w:t xml:space="preserve">e comerciale (cu </w:t>
      </w:r>
      <w:r w:rsidR="000C213F">
        <w:rPr>
          <w:rFonts w:ascii="Times New Roman" w:hAnsi="Times New Roman"/>
          <w:sz w:val="24"/>
        </w:rPr>
        <w:t>ș</w:t>
      </w:r>
      <w:r>
        <w:rPr>
          <w:rFonts w:ascii="Times New Roman" w:hAnsi="Times New Roman"/>
          <w:sz w:val="24"/>
        </w:rPr>
        <w:t xml:space="preserve">i fără recurs);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„contractele de leasing financiar” includ valoarea contabilă a crean</w:t>
      </w:r>
      <w:r w:rsidR="000C213F">
        <w:rPr>
          <w:rFonts w:ascii="Times New Roman" w:hAnsi="Times New Roman"/>
          <w:sz w:val="24"/>
        </w:rPr>
        <w:t>ț</w:t>
      </w:r>
      <w:r>
        <w:rPr>
          <w:rFonts w:ascii="Times New Roman" w:hAnsi="Times New Roman"/>
          <w:sz w:val="24"/>
        </w:rPr>
        <w:t>elor din contractele de leasing financiar. Conform IFRS, „crean</w:t>
      </w:r>
      <w:r w:rsidR="000C213F">
        <w:rPr>
          <w:rFonts w:ascii="Times New Roman" w:hAnsi="Times New Roman"/>
          <w:sz w:val="24"/>
        </w:rPr>
        <w:t>ț</w:t>
      </w:r>
      <w:r>
        <w:rPr>
          <w:rFonts w:ascii="Times New Roman" w:hAnsi="Times New Roman"/>
          <w:sz w:val="24"/>
        </w:rPr>
        <w:t>ele din contractele de leasing financiar” sunt conforme defini</w:t>
      </w:r>
      <w:r w:rsidR="000C213F">
        <w:rPr>
          <w:rFonts w:ascii="Times New Roman" w:hAnsi="Times New Roman"/>
          <w:sz w:val="24"/>
        </w:rPr>
        <w:t>ț</w:t>
      </w:r>
      <w:r>
        <w:rPr>
          <w:rFonts w:ascii="Times New Roman" w:hAnsi="Times New Roman"/>
          <w:sz w:val="24"/>
        </w:rPr>
        <w:t xml:space="preserve">iei prevăzute în IAS </w:t>
      </w:r>
      <w:r w:rsidRPr="004237EC">
        <w:rPr>
          <w:rFonts w:ascii="Times New Roman" w:hAnsi="Times New Roman"/>
          <w:sz w:val="24"/>
        </w:rPr>
        <w:t>17</w:t>
      </w:r>
      <w:r>
        <w:rPr>
          <w:rFonts w:ascii="Times New Roman" w:hAnsi="Times New Roman"/>
          <w:sz w:val="24"/>
        </w:rPr>
        <w:t>;</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„creditele acordate în cadrul opera</w:t>
      </w:r>
      <w:r w:rsidR="000C213F">
        <w:rPr>
          <w:rFonts w:ascii="Times New Roman" w:hAnsi="Times New Roman"/>
          <w:sz w:val="24"/>
        </w:rPr>
        <w:t>ț</w:t>
      </w:r>
      <w:r>
        <w:rPr>
          <w:rFonts w:ascii="Times New Roman" w:hAnsi="Times New Roman"/>
          <w:sz w:val="24"/>
        </w:rPr>
        <w:t xml:space="preserve">iunilor reverse repo” includ fondurile acordate în schimbul titlurilor sau al aurului cumpărat în temeiul acordurilor repo sau împrumutat în temeiul acordurilor de împrumut de titluri, astfel cum sunt definite la punctele </w:t>
      </w:r>
      <w:r w:rsidRPr="004237EC">
        <w:rPr>
          <w:rFonts w:ascii="Times New Roman" w:hAnsi="Times New Roman"/>
          <w:sz w:val="24"/>
        </w:rPr>
        <w:t>183</w:t>
      </w:r>
      <w:r>
        <w:rPr>
          <w:rFonts w:ascii="Times New Roman" w:hAnsi="Times New Roman"/>
          <w:sz w:val="24"/>
        </w:rPr>
        <w:t xml:space="preserve"> </w:t>
      </w:r>
      <w:r w:rsidR="000C213F">
        <w:rPr>
          <w:rFonts w:ascii="Times New Roman" w:hAnsi="Times New Roman"/>
          <w:sz w:val="24"/>
        </w:rPr>
        <w:t>ș</w:t>
      </w:r>
      <w:r>
        <w:rPr>
          <w:rFonts w:ascii="Times New Roman" w:hAnsi="Times New Roman"/>
          <w:sz w:val="24"/>
        </w:rPr>
        <w:t xml:space="preserve">i </w:t>
      </w:r>
      <w:r w:rsidRPr="004237EC">
        <w:rPr>
          <w:rFonts w:ascii="Times New Roman" w:hAnsi="Times New Roman"/>
          <w:sz w:val="24"/>
        </w:rPr>
        <w:t>184</w:t>
      </w:r>
      <w:r>
        <w:rPr>
          <w:rFonts w:ascii="Times New Roman" w:hAnsi="Times New Roman"/>
          <w:sz w:val="24"/>
        </w:rPr>
        <w:t xml:space="preserve"> din prezenta parte;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„alte credite la termen” includ soldurile debitoare cu scaden</w:t>
      </w:r>
      <w:r w:rsidR="000C213F">
        <w:rPr>
          <w:rFonts w:ascii="Times New Roman" w:hAnsi="Times New Roman"/>
          <w:sz w:val="24"/>
        </w:rPr>
        <w:t>ț</w:t>
      </w:r>
      <w:r>
        <w:rPr>
          <w:rFonts w:ascii="Times New Roman" w:hAnsi="Times New Roman"/>
          <w:sz w:val="24"/>
        </w:rPr>
        <w:t xml:space="preserve">e sau termene contractuale fixe care nu sunt incluse la alte elemente;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„avansurile care nu sunt credite” includ avansurile care nu pot fi clasificate drept „credite” conform Regulamentului BCE BSI. Acest element include, printre altele, crean</w:t>
      </w:r>
      <w:r w:rsidR="000C213F">
        <w:rPr>
          <w:rFonts w:ascii="Times New Roman" w:hAnsi="Times New Roman"/>
          <w:sz w:val="24"/>
        </w:rPr>
        <w:t>ț</w:t>
      </w:r>
      <w:r>
        <w:rPr>
          <w:rFonts w:ascii="Times New Roman" w:hAnsi="Times New Roman"/>
          <w:sz w:val="24"/>
        </w:rPr>
        <w:t>ele la valoarea brută în legătură cu elementele aflate în a</w:t>
      </w:r>
      <w:r w:rsidR="000C213F">
        <w:rPr>
          <w:rFonts w:ascii="Times New Roman" w:hAnsi="Times New Roman"/>
          <w:sz w:val="24"/>
        </w:rPr>
        <w:t>ș</w:t>
      </w:r>
      <w:r>
        <w:rPr>
          <w:rFonts w:ascii="Times New Roman" w:hAnsi="Times New Roman"/>
          <w:sz w:val="24"/>
        </w:rPr>
        <w:t>teptare (cum ar fi fondurile aflate în a</w:t>
      </w:r>
      <w:r w:rsidR="000C213F">
        <w:rPr>
          <w:rFonts w:ascii="Times New Roman" w:hAnsi="Times New Roman"/>
          <w:sz w:val="24"/>
        </w:rPr>
        <w:t>ș</w:t>
      </w:r>
      <w:r>
        <w:rPr>
          <w:rFonts w:ascii="Times New Roman" w:hAnsi="Times New Roman"/>
          <w:sz w:val="24"/>
        </w:rPr>
        <w:t xml:space="preserve">teptarea plasamentului, transferului sau decontării) </w:t>
      </w:r>
      <w:r w:rsidR="000C213F">
        <w:rPr>
          <w:rFonts w:ascii="Times New Roman" w:hAnsi="Times New Roman"/>
          <w:sz w:val="24"/>
        </w:rPr>
        <w:t>ș</w:t>
      </w:r>
      <w:r>
        <w:rPr>
          <w:rFonts w:ascii="Times New Roman" w:hAnsi="Times New Roman"/>
          <w:sz w:val="24"/>
        </w:rPr>
        <w:t xml:space="preserve">i elementele în tranzit (cum ar fi cecurile </w:t>
      </w:r>
      <w:r w:rsidR="000C213F">
        <w:rPr>
          <w:rFonts w:ascii="Times New Roman" w:hAnsi="Times New Roman"/>
          <w:sz w:val="24"/>
        </w:rPr>
        <w:t>ș</w:t>
      </w:r>
      <w:r>
        <w:rPr>
          <w:rFonts w:ascii="Times New Roman" w:hAnsi="Times New Roman"/>
          <w:sz w:val="24"/>
        </w:rPr>
        <w:t>i alte forme de plată care au fost trimise în vederea încasării).</w:t>
      </w:r>
    </w:p>
    <w:p w:rsidR="009569C7" w:rsidRPr="00EC4FA2" w:rsidRDefault="00A834F1" w:rsidP="009569C7">
      <w:pPr>
        <w:pStyle w:val="Baseparagraphnumbered"/>
      </w:pPr>
      <w:r>
        <w:t xml:space="preserve">Creditele </w:t>
      </w:r>
      <w:r w:rsidR="000C213F">
        <w:t>ș</w:t>
      </w:r>
      <w:r>
        <w:t>i avansurile sunt clasificate în func</w:t>
      </w:r>
      <w:r w:rsidR="000C213F">
        <w:t>ț</w:t>
      </w:r>
      <w:r>
        <w:t>ie de garan</w:t>
      </w:r>
      <w:r w:rsidR="000C213F">
        <w:t>ț</w:t>
      </w:r>
      <w:r>
        <w:t>iile reale primite, după cum urmează:</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„creditele garantate cu bunuri imobile” includ creditele </w:t>
      </w:r>
      <w:r w:rsidR="000C213F">
        <w:rPr>
          <w:rFonts w:ascii="Times New Roman" w:hAnsi="Times New Roman"/>
          <w:sz w:val="24"/>
        </w:rPr>
        <w:t>ș</w:t>
      </w:r>
      <w:r>
        <w:rPr>
          <w:rFonts w:ascii="Times New Roman" w:hAnsi="Times New Roman"/>
          <w:sz w:val="24"/>
        </w:rPr>
        <w:t>i avansurile garantate în mod oficial cu garan</w:t>
      </w:r>
      <w:r w:rsidR="000C213F">
        <w:rPr>
          <w:rFonts w:ascii="Times New Roman" w:hAnsi="Times New Roman"/>
          <w:sz w:val="24"/>
        </w:rPr>
        <w:t>ț</w:t>
      </w:r>
      <w:r>
        <w:rPr>
          <w:rFonts w:ascii="Times New Roman" w:hAnsi="Times New Roman"/>
          <w:sz w:val="24"/>
        </w:rPr>
        <w:t>ii reale sub formă de bunuri imobile reziden</w:t>
      </w:r>
      <w:r w:rsidR="000C213F">
        <w:rPr>
          <w:rFonts w:ascii="Times New Roman" w:hAnsi="Times New Roman"/>
          <w:sz w:val="24"/>
        </w:rPr>
        <w:t>ț</w:t>
      </w:r>
      <w:r>
        <w:rPr>
          <w:rFonts w:ascii="Times New Roman" w:hAnsi="Times New Roman"/>
          <w:sz w:val="24"/>
        </w:rPr>
        <w:t>iale sau comerciale, indiferent de ponderea creditelor în valoarea garan</w:t>
      </w:r>
      <w:r w:rsidR="000C213F">
        <w:rPr>
          <w:rFonts w:ascii="Times New Roman" w:hAnsi="Times New Roman"/>
          <w:sz w:val="24"/>
        </w:rPr>
        <w:t>ț</w:t>
      </w:r>
      <w:r>
        <w:rPr>
          <w:rFonts w:ascii="Times New Roman" w:hAnsi="Times New Roman"/>
          <w:sz w:val="24"/>
        </w:rPr>
        <w:t>iilor ipotecare (cunoscută, de re</w:t>
      </w:r>
      <w:r w:rsidR="00843C86">
        <w:rPr>
          <w:rFonts w:ascii="Times New Roman" w:hAnsi="Times New Roman"/>
          <w:sz w:val="24"/>
        </w:rPr>
        <w:t>gulă, sub denumirea de „loan­to­</w:t>
      </w:r>
      <w:r>
        <w:rPr>
          <w:rFonts w:ascii="Times New Roman" w:hAnsi="Times New Roman"/>
          <w:sz w:val="24"/>
        </w:rPr>
        <w:t xml:space="preserve">value”) </w:t>
      </w:r>
      <w:r w:rsidR="000C213F">
        <w:rPr>
          <w:rFonts w:ascii="Times New Roman" w:hAnsi="Times New Roman"/>
          <w:sz w:val="24"/>
        </w:rPr>
        <w:t>ș</w:t>
      </w:r>
      <w:r>
        <w:rPr>
          <w:rFonts w:ascii="Times New Roman" w:hAnsi="Times New Roman"/>
          <w:sz w:val="24"/>
        </w:rPr>
        <w:t>i de forma juridică a garan</w:t>
      </w:r>
      <w:r w:rsidR="000C213F">
        <w:rPr>
          <w:rFonts w:ascii="Times New Roman" w:hAnsi="Times New Roman"/>
          <w:sz w:val="24"/>
        </w:rPr>
        <w:t>ț</w:t>
      </w:r>
      <w:r>
        <w:rPr>
          <w:rFonts w:ascii="Times New Roman" w:hAnsi="Times New Roman"/>
          <w:sz w:val="24"/>
        </w:rPr>
        <w:t>iei reale;</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 xml:space="preserve">„alte credite garantate” includ creditele </w:t>
      </w:r>
      <w:r w:rsidR="000C213F">
        <w:rPr>
          <w:rFonts w:ascii="Times New Roman" w:hAnsi="Times New Roman"/>
          <w:sz w:val="24"/>
        </w:rPr>
        <w:t>ș</w:t>
      </w:r>
      <w:r>
        <w:rPr>
          <w:rFonts w:ascii="Times New Roman" w:hAnsi="Times New Roman"/>
          <w:sz w:val="24"/>
        </w:rPr>
        <w:t>i avansurile care au fost garantate în mod oficial cu garan</w:t>
      </w:r>
      <w:r w:rsidR="000C213F">
        <w:rPr>
          <w:rFonts w:ascii="Times New Roman" w:hAnsi="Times New Roman"/>
          <w:sz w:val="24"/>
        </w:rPr>
        <w:t>ț</w:t>
      </w:r>
      <w:r>
        <w:rPr>
          <w:rFonts w:ascii="Times New Roman" w:hAnsi="Times New Roman"/>
          <w:sz w:val="24"/>
        </w:rPr>
        <w:t>ii reale, indiferent de ponderea creditelor în valoarea garan</w:t>
      </w:r>
      <w:r w:rsidR="000C213F">
        <w:rPr>
          <w:rFonts w:ascii="Times New Roman" w:hAnsi="Times New Roman"/>
          <w:sz w:val="24"/>
        </w:rPr>
        <w:t>ț</w:t>
      </w:r>
      <w:r>
        <w:rPr>
          <w:rFonts w:ascii="Times New Roman" w:hAnsi="Times New Roman"/>
          <w:sz w:val="24"/>
        </w:rPr>
        <w:t>iilor ipotecare (cunoscută sub denumirea de „loan</w:t>
      </w:r>
      <w:r w:rsidR="00843C86">
        <w:rPr>
          <w:rFonts w:ascii="Times New Roman" w:hAnsi="Times New Roman"/>
          <w:sz w:val="24"/>
        </w:rPr>
        <w:t>­</w:t>
      </w:r>
      <w:r>
        <w:rPr>
          <w:rFonts w:ascii="Times New Roman" w:hAnsi="Times New Roman"/>
          <w:sz w:val="24"/>
        </w:rPr>
        <w:t>to</w:t>
      </w:r>
      <w:r w:rsidR="00843C86">
        <w:rPr>
          <w:rFonts w:ascii="Times New Roman" w:hAnsi="Times New Roman"/>
          <w:sz w:val="24"/>
        </w:rPr>
        <w:t>­</w:t>
      </w:r>
      <w:r>
        <w:rPr>
          <w:rFonts w:ascii="Times New Roman" w:hAnsi="Times New Roman"/>
          <w:sz w:val="24"/>
        </w:rPr>
        <w:t xml:space="preserve">value”) </w:t>
      </w:r>
      <w:r w:rsidR="000C213F">
        <w:rPr>
          <w:rFonts w:ascii="Times New Roman" w:hAnsi="Times New Roman"/>
          <w:sz w:val="24"/>
        </w:rPr>
        <w:t>ș</w:t>
      </w:r>
      <w:r>
        <w:rPr>
          <w:rFonts w:ascii="Times New Roman" w:hAnsi="Times New Roman"/>
          <w:sz w:val="24"/>
        </w:rPr>
        <w:t>i de forma juridică a garan</w:t>
      </w:r>
      <w:r w:rsidR="000C213F">
        <w:rPr>
          <w:rFonts w:ascii="Times New Roman" w:hAnsi="Times New Roman"/>
          <w:sz w:val="24"/>
        </w:rPr>
        <w:t>ț</w:t>
      </w:r>
      <w:r>
        <w:rPr>
          <w:rFonts w:ascii="Times New Roman" w:hAnsi="Times New Roman"/>
          <w:sz w:val="24"/>
        </w:rPr>
        <w:t>iilor reale, altele decât „credite garantate cu bunuri imobile”. Această garan</w:t>
      </w:r>
      <w:r w:rsidR="000C213F">
        <w:rPr>
          <w:rFonts w:ascii="Times New Roman" w:hAnsi="Times New Roman"/>
          <w:sz w:val="24"/>
        </w:rPr>
        <w:t>ț</w:t>
      </w:r>
      <w:r>
        <w:rPr>
          <w:rFonts w:ascii="Times New Roman" w:hAnsi="Times New Roman"/>
          <w:sz w:val="24"/>
        </w:rPr>
        <w:t xml:space="preserve">ie reală include depuneri de titluri, numerar </w:t>
      </w:r>
      <w:r w:rsidR="000C213F">
        <w:rPr>
          <w:rFonts w:ascii="Times New Roman" w:hAnsi="Times New Roman"/>
          <w:sz w:val="24"/>
        </w:rPr>
        <w:t>ș</w:t>
      </w:r>
      <w:r>
        <w:rPr>
          <w:rFonts w:ascii="Times New Roman" w:hAnsi="Times New Roman"/>
          <w:sz w:val="24"/>
        </w:rPr>
        <w:t>i alte garan</w:t>
      </w:r>
      <w:r w:rsidR="000C213F">
        <w:rPr>
          <w:rFonts w:ascii="Times New Roman" w:hAnsi="Times New Roman"/>
          <w:sz w:val="24"/>
        </w:rPr>
        <w:t>ț</w:t>
      </w:r>
      <w:r>
        <w:rPr>
          <w:rFonts w:ascii="Times New Roman" w:hAnsi="Times New Roman"/>
          <w:sz w:val="24"/>
        </w:rPr>
        <w:t>ii reale, indiferent de forma juridică a garan</w:t>
      </w:r>
      <w:r w:rsidR="000C213F">
        <w:rPr>
          <w:rFonts w:ascii="Times New Roman" w:hAnsi="Times New Roman"/>
          <w:sz w:val="24"/>
        </w:rPr>
        <w:t>ț</w:t>
      </w:r>
      <w:r>
        <w:rPr>
          <w:rFonts w:ascii="Times New Roman" w:hAnsi="Times New Roman"/>
          <w:sz w:val="24"/>
        </w:rPr>
        <w:t>iilor reale.</w:t>
      </w:r>
    </w:p>
    <w:p w:rsidR="009569C7" w:rsidRPr="00EC4FA2" w:rsidRDefault="00A834F1" w:rsidP="009569C7">
      <w:pPr>
        <w:pStyle w:val="Baseparagraphnumbered"/>
      </w:pPr>
      <w:r>
        <w:t xml:space="preserve">Creditele </w:t>
      </w:r>
      <w:r w:rsidR="000C213F">
        <w:t>ș</w:t>
      </w:r>
      <w:r>
        <w:t>i avansurile sunt clasificate în func</w:t>
      </w:r>
      <w:r w:rsidR="000C213F">
        <w:t>ț</w:t>
      </w:r>
      <w:r>
        <w:t>ie de garan</w:t>
      </w:r>
      <w:r w:rsidR="000C213F">
        <w:t>ț</w:t>
      </w:r>
      <w:r>
        <w:t xml:space="preserve">iile reale </w:t>
      </w:r>
      <w:r w:rsidR="000C213F">
        <w:t>ș</w:t>
      </w:r>
      <w:r>
        <w:t xml:space="preserve">i indiferent de scopul creditelor. Valoarea contabilă a creditelor </w:t>
      </w:r>
      <w:r w:rsidR="000C213F">
        <w:t>ș</w:t>
      </w:r>
      <w:r>
        <w:t>i avansurilor garantate cu mai mult de un tip de garan</w:t>
      </w:r>
      <w:r w:rsidR="000C213F">
        <w:t>ț</w:t>
      </w:r>
      <w:r>
        <w:t xml:space="preserve">ie reală se clasifică </w:t>
      </w:r>
      <w:r w:rsidR="000C213F">
        <w:t>ș</w:t>
      </w:r>
      <w:r>
        <w:t xml:space="preserve">i se raportează ca fiind garantate cu bunuri imobile, în cazul în care acestea sunt garantate cu bunuri imobile, indiferent dacă sunt garantate </w:t>
      </w:r>
      <w:r w:rsidR="000C213F">
        <w:t>ș</w:t>
      </w:r>
      <w:r>
        <w:t>i prin alte tipuri de garan</w:t>
      </w:r>
      <w:r w:rsidR="000C213F">
        <w:t>ț</w:t>
      </w:r>
      <w:r>
        <w:t xml:space="preserve">ii. </w:t>
      </w:r>
    </w:p>
    <w:p w:rsidR="009569C7" w:rsidRPr="00EC4FA2" w:rsidRDefault="00A834F1" w:rsidP="009569C7">
      <w:pPr>
        <w:pStyle w:val="Baseparagraphnumbered"/>
      </w:pPr>
      <w:r>
        <w:t xml:space="preserve"> Creditele </w:t>
      </w:r>
      <w:r w:rsidR="000C213F">
        <w:t>ș</w:t>
      </w:r>
      <w:r>
        <w:t>i avansurile sunt clasificate pe baza scopului, după cum urmează:</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 xml:space="preserve">„creditul pentru consum” include creditele acordate în special pentru consumul personal de bunuri </w:t>
      </w:r>
      <w:r w:rsidR="000C213F">
        <w:rPr>
          <w:rFonts w:ascii="Times New Roman" w:hAnsi="Times New Roman"/>
          <w:sz w:val="24"/>
        </w:rPr>
        <w:t>ș</w:t>
      </w:r>
      <w:r>
        <w:rPr>
          <w:rFonts w:ascii="Times New Roman" w:hAnsi="Times New Roman"/>
          <w:sz w:val="24"/>
        </w:rPr>
        <w:t>i servicii [Regulamentul BCE 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„creditele pentru achizi</w:t>
      </w:r>
      <w:r w:rsidR="000C213F">
        <w:rPr>
          <w:rFonts w:ascii="Times New Roman" w:hAnsi="Times New Roman"/>
          <w:sz w:val="24"/>
        </w:rPr>
        <w:t>ț</w:t>
      </w:r>
      <w:r>
        <w:rPr>
          <w:rFonts w:ascii="Times New Roman" w:hAnsi="Times New Roman"/>
          <w:sz w:val="24"/>
        </w:rPr>
        <w:t>ionarea de locuin</w:t>
      </w:r>
      <w:r w:rsidR="000C213F">
        <w:rPr>
          <w:rFonts w:ascii="Times New Roman" w:hAnsi="Times New Roman"/>
          <w:sz w:val="24"/>
        </w:rPr>
        <w:t>ț</w:t>
      </w:r>
      <w:r>
        <w:rPr>
          <w:rFonts w:ascii="Times New Roman" w:hAnsi="Times New Roman"/>
          <w:sz w:val="24"/>
        </w:rPr>
        <w:t>e” includ creditele acordate gospodăriilor în scopul investi</w:t>
      </w:r>
      <w:r w:rsidR="000C213F">
        <w:rPr>
          <w:rFonts w:ascii="Times New Roman" w:hAnsi="Times New Roman"/>
          <w:sz w:val="24"/>
        </w:rPr>
        <w:t>ț</w:t>
      </w:r>
      <w:r>
        <w:rPr>
          <w:rFonts w:ascii="Times New Roman" w:hAnsi="Times New Roman"/>
          <w:sz w:val="24"/>
        </w:rPr>
        <w:t>iilor în locuin</w:t>
      </w:r>
      <w:r w:rsidR="000C213F">
        <w:rPr>
          <w:rFonts w:ascii="Times New Roman" w:hAnsi="Times New Roman"/>
          <w:sz w:val="24"/>
        </w:rPr>
        <w:t>ț</w:t>
      </w:r>
      <w:r>
        <w:rPr>
          <w:rFonts w:ascii="Times New Roman" w:hAnsi="Times New Roman"/>
          <w:sz w:val="24"/>
        </w:rPr>
        <w:t>e pentru utilizare proprie sau pentru închiriere, inclusiv în scopul construirii sau în scopul renovării locuin</w:t>
      </w:r>
      <w:r w:rsidR="000C213F">
        <w:rPr>
          <w:rFonts w:ascii="Times New Roman" w:hAnsi="Times New Roman"/>
          <w:sz w:val="24"/>
        </w:rPr>
        <w:t>ț</w:t>
      </w:r>
      <w:r>
        <w:rPr>
          <w:rFonts w:ascii="Times New Roman" w:hAnsi="Times New Roman"/>
          <w:sz w:val="24"/>
        </w:rPr>
        <w:t>elor [Regulamentul BCE BSI];</w:t>
      </w:r>
    </w:p>
    <w:p w:rsidR="009569C7" w:rsidRPr="00EC4FA2" w:rsidRDefault="00A834F1" w:rsidP="009569C7">
      <w:pPr>
        <w:pStyle w:val="Baseparagraphnumbered"/>
      </w:pPr>
      <w:r>
        <w:t>Creditele sunt clasificate în func</w:t>
      </w:r>
      <w:r w:rsidR="000C213F">
        <w:t>ț</w:t>
      </w:r>
      <w:r>
        <w:t>ie de modul în care pot fi recuperate. „Creditele pentru finan</w:t>
      </w:r>
      <w:r w:rsidR="000C213F">
        <w:t>ț</w:t>
      </w:r>
      <w:r>
        <w:t>area de proiecte” includ creditele care îndeplinesc caracteristicile expunerilor din finan</w:t>
      </w:r>
      <w:r w:rsidR="000C213F">
        <w:t>ț</w:t>
      </w:r>
      <w:r>
        <w:t>ări specializate, astfel cum sunt definite la articolul </w:t>
      </w:r>
      <w:r w:rsidRPr="004237EC">
        <w:t>147</w:t>
      </w:r>
      <w:r>
        <w:t xml:space="preserve"> alineatul (</w:t>
      </w:r>
      <w:r w:rsidRPr="004237EC">
        <w:t>8</w:t>
      </w:r>
      <w:r>
        <w:t>) din CRR.</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485897546"/>
      <w:bookmarkStart w:id="107" w:name="_Toc361844219"/>
      <w:r>
        <w:lastRenderedPageBreak/>
        <w:t xml:space="preserve">Defalcarea pe coduri NACE a creditelor </w:t>
      </w:r>
      <w:r w:rsidR="000C213F">
        <w:t>ș</w:t>
      </w:r>
      <w:r>
        <w:t>i a avansurilor nedestinate tranzac</w:t>
      </w:r>
      <w:r w:rsidR="000C213F">
        <w:t>ț</w:t>
      </w:r>
      <w:r>
        <w:t>ionării care sunt acordate societă</w:t>
      </w:r>
      <w:r w:rsidR="000C213F">
        <w:t>ț</w:t>
      </w:r>
      <w:r>
        <w:t xml:space="preserve">ilor nefinanciare </w:t>
      </w:r>
      <w:bookmarkEnd w:id="104"/>
      <w:r>
        <w:t>(</w:t>
      </w:r>
      <w:r w:rsidRPr="004237EC">
        <w:t>6</w:t>
      </w:r>
      <w:r>
        <w:t>)</w:t>
      </w:r>
      <w:bookmarkEnd w:id="105"/>
      <w:bookmarkEnd w:id="106"/>
    </w:p>
    <w:bookmarkEnd w:id="107"/>
    <w:p w:rsidR="009569C7" w:rsidRPr="00EC4FA2" w:rsidRDefault="00A834F1" w:rsidP="009569C7">
      <w:pPr>
        <w:pStyle w:val="Baseparagraphnumbered"/>
      </w:pPr>
      <w:r>
        <w:t xml:space="preserve">Valoarea contabilă brută a creditelor </w:t>
      </w:r>
      <w:r w:rsidR="000C213F">
        <w:t>ș</w:t>
      </w:r>
      <w:r>
        <w:t>i avansurilor acordate societă</w:t>
      </w:r>
      <w:r w:rsidR="000C213F">
        <w:t>ț</w:t>
      </w:r>
      <w:r>
        <w:t>ilor nefinanciare, altele decât cele incluse în portofoliile de active de</w:t>
      </w:r>
      <w:r w:rsidR="000C213F">
        <w:t>ț</w:t>
      </w:r>
      <w:r>
        <w:t>inute în vederea tranzac</w:t>
      </w:r>
      <w:r w:rsidR="000C213F">
        <w:t>ț</w:t>
      </w:r>
      <w:r>
        <w:t>ionării sau destinate tranzac</w:t>
      </w:r>
      <w:r w:rsidR="000C213F">
        <w:t>ț</w:t>
      </w:r>
      <w:r>
        <w:t>ionării, se clasifică pe sectoare ale activită</w:t>
      </w:r>
      <w:r w:rsidR="000C213F">
        <w:t>ț</w:t>
      </w:r>
      <w:r>
        <w:t>ilor economice folosind codurile NACE, pe baza activită</w:t>
      </w:r>
      <w:r w:rsidR="000C213F">
        <w:t>ț</w:t>
      </w:r>
      <w:r>
        <w:t>ii principale a contrapăr</w:t>
      </w:r>
      <w:r w:rsidR="000C213F">
        <w:t>ț</w:t>
      </w:r>
      <w:r>
        <w:t xml:space="preserve">ii. </w:t>
      </w:r>
    </w:p>
    <w:p w:rsidR="009569C7" w:rsidRPr="00EC4FA2" w:rsidRDefault="00A834F1" w:rsidP="009569C7">
      <w:pPr>
        <w:pStyle w:val="Baseparagraphnumbered"/>
      </w:pPr>
      <w:r>
        <w:t>Clasificarea expunerilor comune fa</w:t>
      </w:r>
      <w:r w:rsidR="000C213F">
        <w:t>ț</w:t>
      </w:r>
      <w:r>
        <w:t>ă de mai mul</w:t>
      </w:r>
      <w:r w:rsidR="000C213F">
        <w:t>ț</w:t>
      </w:r>
      <w:r>
        <w:t xml:space="preserve">i debitori se realizează în conformitate cu punctul </w:t>
      </w:r>
      <w:r w:rsidRPr="004237EC">
        <w:t>43</w:t>
      </w:r>
      <w:r>
        <w:t xml:space="preserve"> din partea </w:t>
      </w:r>
      <w:r w:rsidRPr="004237EC">
        <w:t>1</w:t>
      </w:r>
      <w:r>
        <w:t xml:space="preserve"> a prezentei anexe. </w:t>
      </w:r>
    </w:p>
    <w:p w:rsidR="009569C7" w:rsidRPr="00EC4FA2" w:rsidRDefault="00A834F1" w:rsidP="009569C7">
      <w:pPr>
        <w:pStyle w:val="Baseparagraphnumbered"/>
      </w:pPr>
      <w:r>
        <w:t>Raportarea codurilor NACE se realizează cu primul nivel de dezagregare (pe „sec</w:t>
      </w:r>
      <w:r w:rsidR="000C213F">
        <w:t>ț</w:t>
      </w:r>
      <w:r>
        <w:t>iuni”). Institu</w:t>
      </w:r>
      <w:r w:rsidR="000C213F">
        <w:t>ț</w:t>
      </w:r>
      <w:r>
        <w:t xml:space="preserve">iile raportează creditele </w:t>
      </w:r>
      <w:r w:rsidR="000C213F">
        <w:t>ș</w:t>
      </w:r>
      <w:r>
        <w:t>i avansurile acordate societă</w:t>
      </w:r>
      <w:r w:rsidR="000C213F">
        <w:t>ț</w:t>
      </w:r>
      <w:r>
        <w:t>ilor nefinanciare care se angajează în activită</w:t>
      </w:r>
      <w:r w:rsidR="000C213F">
        <w:t>ț</w:t>
      </w:r>
      <w:r>
        <w:t>i financiare sau de asigurări în „K – Activită</w:t>
      </w:r>
      <w:r w:rsidR="000C213F">
        <w:t>ț</w:t>
      </w:r>
      <w:r>
        <w:t xml:space="preserve">i financiare </w:t>
      </w:r>
      <w:r w:rsidR="000C213F">
        <w:t>ș</w:t>
      </w:r>
      <w:r>
        <w:t>i de asigurări”.</w:t>
      </w:r>
    </w:p>
    <w:p w:rsidR="009569C7" w:rsidRPr="00EC4FA2" w:rsidRDefault="00A834F1" w:rsidP="009569C7">
      <w:pPr>
        <w:pStyle w:val="Baseparagraphnumbered"/>
      </w:pPr>
      <w:r>
        <w:t xml:space="preserve">Conform IFRS, activele financiare care fac obiectul deprecierii includ (i) activele financiare la costul amortizat </w:t>
      </w:r>
      <w:r w:rsidR="000C213F">
        <w:t>ș</w:t>
      </w:r>
      <w:r>
        <w:t>i (ii) activele financiare evaluate la valoarea justă prin alte elemente ale rezultatului global. Conform GAAP na</w:t>
      </w:r>
      <w:r w:rsidR="000C213F">
        <w:t>ț</w:t>
      </w:r>
      <w:r>
        <w:t>ionale bazate pe BAD, activele financiare care fac obiectul deprecierii includ activele financiare evaluate printr-o metodă bazată pe costuri, inclusiv LOCOM. În func</w:t>
      </w:r>
      <w:r w:rsidR="000C213F">
        <w:t>ț</w:t>
      </w:r>
      <w:r>
        <w:t>ie de specifica</w:t>
      </w:r>
      <w:r w:rsidR="000C213F">
        <w:t>ț</w:t>
      </w:r>
      <w:r>
        <w:t>iile din fiecare GAAP na</w:t>
      </w:r>
      <w:r w:rsidR="000C213F">
        <w:t>ț</w:t>
      </w:r>
      <w:r>
        <w:t xml:space="preserve">ional, acestea pot include (i) activele financiare evaluate la valoarea justă prin capitaluri proprii </w:t>
      </w:r>
      <w:r w:rsidR="000C213F">
        <w:t>ș</w:t>
      </w:r>
      <w:r>
        <w:t>i (ii) activele financiare evaluate prin alte metode.</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485897547"/>
      <w:bookmarkStart w:id="113" w:name="_Toc361844220"/>
      <w:bookmarkEnd w:id="108"/>
      <w:bookmarkEnd w:id="109"/>
      <w:r>
        <w:t xml:space="preserve">Active financiare care fac obiectul deprecierii </w:t>
      </w:r>
      <w:r w:rsidR="000C213F">
        <w:t>ș</w:t>
      </w:r>
      <w:r>
        <w:t>i care sunt restante (</w:t>
      </w:r>
      <w:r w:rsidRPr="004237EC">
        <w:t>7</w:t>
      </w:r>
      <w:r>
        <w:t>)</w:t>
      </w:r>
      <w:bookmarkEnd w:id="110"/>
      <w:bookmarkEnd w:id="111"/>
      <w:bookmarkEnd w:id="112"/>
    </w:p>
    <w:bookmarkEnd w:id="113"/>
    <w:p w:rsidR="009569C7" w:rsidRPr="00EC4FA2" w:rsidRDefault="00A834F1" w:rsidP="009569C7">
      <w:pPr>
        <w:pStyle w:val="Baseparagraphnumbered"/>
      </w:pPr>
      <w:r>
        <w:t xml:space="preserve">Valoarea contabilă a instrumentelor de datorie incluse în portofoliile contabile care fac obiectul deprecierii se raportează în formularul </w:t>
      </w:r>
      <w:r w:rsidRPr="004237EC">
        <w:t>7</w:t>
      </w:r>
      <w:r>
        <w:t>.</w:t>
      </w:r>
      <w:r w:rsidRPr="004237EC">
        <w:t>1</w:t>
      </w:r>
      <w:r>
        <w:t xml:space="preserve"> numai în cazul în care sunt restante. Instrumentele restante se alocă tran</w:t>
      </w:r>
      <w:r w:rsidR="000C213F">
        <w:t>ș</w:t>
      </w:r>
      <w:r>
        <w:t>elor restante corespunzătoare, în func</w:t>
      </w:r>
      <w:r w:rsidR="000C213F">
        <w:t>ț</w:t>
      </w:r>
      <w:r>
        <w:t>ie de situa</w:t>
      </w:r>
      <w:r w:rsidR="000C213F">
        <w:t>ț</w:t>
      </w:r>
      <w:r>
        <w:t>ia individuală a acestora.</w:t>
      </w:r>
    </w:p>
    <w:p w:rsidR="009569C7" w:rsidRPr="00EC4FA2" w:rsidRDefault="00A834F1" w:rsidP="009569C7">
      <w:pPr>
        <w:pStyle w:val="Baseparagraphnumbered"/>
      </w:pPr>
      <w:r>
        <w:t xml:space="preserve"> Portofoliile contabile care fac obiectul deprecierii sunt definite la punctul </w:t>
      </w:r>
      <w:r w:rsidRPr="004237EC">
        <w:t>93</w:t>
      </w:r>
      <w:r>
        <w:t xml:space="preserve"> din prezenta parte.</w:t>
      </w:r>
    </w:p>
    <w:p w:rsidR="009569C7" w:rsidRPr="00EC4FA2" w:rsidRDefault="00A834F1" w:rsidP="009569C7">
      <w:pPr>
        <w:pStyle w:val="Baseparagraphnumbered"/>
      </w:pPr>
      <w:r>
        <w:t>Activele financiare se califică drept restante atunci când cuantumul principalului, al dobânzii sau al onorariului nu a fost achitat la data scaden</w:t>
      </w:r>
      <w:r w:rsidR="000C213F">
        <w:t>ț</w:t>
      </w:r>
      <w:r>
        <w:t>ei. Expunerile restante se raportează la întreaga lor valoare contabilă. Valorile contabile ale activelor în cauză se raportează în func</w:t>
      </w:r>
      <w:r w:rsidR="000C213F">
        <w:t>ț</w:t>
      </w:r>
      <w:r>
        <w:t xml:space="preserve">ie de etapele de depreciere sau de statutul deprecierii, în conformitate cu standardele contabile aplicabile </w:t>
      </w:r>
      <w:r w:rsidR="000C213F">
        <w:t>ș</w:t>
      </w:r>
      <w:r>
        <w:t>i sunt defalcate în func</w:t>
      </w:r>
      <w:r w:rsidR="000C213F">
        <w:t>ț</w:t>
      </w:r>
      <w:r>
        <w:t>ie de numărul de zile de la cea mai veche sumă restantă neplătită la data de referin</w:t>
      </w:r>
      <w:r w:rsidR="000C213F">
        <w:t>ț</w:t>
      </w:r>
      <w:r>
        <w:t xml:space="preserve">ă.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485897548"/>
      <w:bookmarkStart w:id="119" w:name="_Toc361844221"/>
      <w:bookmarkEnd w:id="114"/>
      <w:bookmarkEnd w:id="115"/>
      <w:r>
        <w:t>Defalcarea datoriilor financiare (</w:t>
      </w:r>
      <w:r w:rsidRPr="004237EC">
        <w:t>8</w:t>
      </w:r>
      <w:r>
        <w:t>)</w:t>
      </w:r>
      <w:bookmarkEnd w:id="116"/>
      <w:bookmarkEnd w:id="117"/>
      <w:bookmarkEnd w:id="118"/>
    </w:p>
    <w:bookmarkEnd w:id="119"/>
    <w:p w:rsidR="009569C7" w:rsidRPr="00EC4FA2" w:rsidRDefault="00A834F1" w:rsidP="009569C7">
      <w:pPr>
        <w:pStyle w:val="Baseparagraphnumbered"/>
      </w:pPr>
      <w:r>
        <w:t xml:space="preserve">„Depozitele” </w:t>
      </w:r>
      <w:r w:rsidR="000C213F">
        <w:t>ș</w:t>
      </w:r>
      <w:r>
        <w:t>i defalcarea produselor sunt definite în acela</w:t>
      </w:r>
      <w:r w:rsidR="000C213F">
        <w:t>ș</w:t>
      </w:r>
      <w:r>
        <w:t xml:space="preserve">i mod ca în Regulamentul BCE BSI </w:t>
      </w:r>
      <w:r w:rsidR="000C213F">
        <w:t>ș</w:t>
      </w:r>
      <w:r>
        <w:t xml:space="preserve">i, prin urmare, depozitele de economii reglementate sunt clasificate în conformitate cu Regulamentul BCE BSI </w:t>
      </w:r>
      <w:r w:rsidR="000C213F">
        <w:t>ș</w:t>
      </w:r>
      <w:r>
        <w:t>i sunt distribuite în func</w:t>
      </w:r>
      <w:r w:rsidR="000C213F">
        <w:t>ț</w:t>
      </w:r>
      <w:r>
        <w:t xml:space="preserve">ie de contraparte. În particular, depozitele de economii la vedere </w:t>
      </w:r>
      <w:r>
        <w:lastRenderedPageBreak/>
        <w:t>netransferabile, care, de</w:t>
      </w:r>
      <w:r w:rsidR="000C213F">
        <w:t>ș</w:t>
      </w:r>
      <w:r>
        <w:t>i din punct de vedere legal sunt rambursabile la cerere, fac obiectul unor penalită</w:t>
      </w:r>
      <w:r w:rsidR="000C213F">
        <w:t>ț</w:t>
      </w:r>
      <w:r>
        <w:t xml:space="preserve">i </w:t>
      </w:r>
      <w:r w:rsidR="000C213F">
        <w:t>ș</w:t>
      </w:r>
      <w:r>
        <w:t>i restric</w:t>
      </w:r>
      <w:r w:rsidR="000C213F">
        <w:t>ț</w:t>
      </w:r>
      <w:r>
        <w:t xml:space="preserve">ii semnificative </w:t>
      </w:r>
      <w:r w:rsidR="000C213F">
        <w:t>ș</w:t>
      </w:r>
      <w:r>
        <w:t>i au caracteristici care sunt foarte apropiate de cele ale depozitelor overnight, sunt clasificate ca depozite rambursabile după notificare.</w:t>
      </w:r>
    </w:p>
    <w:p w:rsidR="009569C7" w:rsidRPr="00EC4FA2" w:rsidRDefault="00A834F1" w:rsidP="009569C7">
      <w:pPr>
        <w:pStyle w:val="Baseparagraphnumbered"/>
      </w:pPr>
      <w:r>
        <w:t>„Titlurile de datorie emise” sunt împăr</w:t>
      </w:r>
      <w:r w:rsidR="000C213F">
        <w:t>ț</w:t>
      </w:r>
      <w:r>
        <w:t xml:space="preserve">ite în următoarele tipuri de produse: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„certificatele de depozit” reprezintă titluri care permit titularilor să retragă fonduri dintr-un cont;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„titluri garantate cu active” conform articolului </w:t>
      </w:r>
      <w:r w:rsidRPr="004237EC">
        <w:rPr>
          <w:rFonts w:ascii="Times New Roman" w:hAnsi="Times New Roman"/>
          <w:sz w:val="24"/>
        </w:rPr>
        <w:t>4</w:t>
      </w:r>
      <w:r>
        <w:rPr>
          <w:rFonts w:ascii="Times New Roman" w:hAnsi="Times New Roman"/>
          <w:sz w:val="24"/>
        </w:rPr>
        <w:t xml:space="preserve"> alineatul (</w:t>
      </w:r>
      <w:r w:rsidRPr="004237EC">
        <w:rPr>
          <w:rFonts w:ascii="Times New Roman" w:hAnsi="Times New Roman"/>
          <w:sz w:val="24"/>
        </w:rPr>
        <w:t>1</w:t>
      </w:r>
      <w:r>
        <w:rPr>
          <w:rFonts w:ascii="Times New Roman" w:hAnsi="Times New Roman"/>
          <w:sz w:val="24"/>
        </w:rPr>
        <w:t xml:space="preserve">) punctul </w:t>
      </w:r>
      <w:r w:rsidRPr="004237EC">
        <w:rPr>
          <w:rFonts w:ascii="Times New Roman" w:hAnsi="Times New Roman"/>
          <w:sz w:val="24"/>
        </w:rPr>
        <w:t>61</w:t>
      </w:r>
      <w:r>
        <w:rPr>
          <w:rFonts w:ascii="Times New Roman" w:hAnsi="Times New Roman"/>
          <w:sz w:val="24"/>
        </w:rPr>
        <w:t xml:space="preserve"> din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„obliga</w:t>
      </w:r>
      <w:r w:rsidR="000C213F">
        <w:rPr>
          <w:rFonts w:ascii="Times New Roman" w:hAnsi="Times New Roman"/>
          <w:sz w:val="24"/>
        </w:rPr>
        <w:t>ț</w:t>
      </w:r>
      <w:r>
        <w:rPr>
          <w:rFonts w:ascii="Times New Roman" w:hAnsi="Times New Roman"/>
          <w:sz w:val="24"/>
        </w:rPr>
        <w:t xml:space="preserve">iuni garantate” conform articolului </w:t>
      </w:r>
      <w:r w:rsidRPr="004237EC">
        <w:rPr>
          <w:rFonts w:ascii="Times New Roman" w:hAnsi="Times New Roman"/>
          <w:sz w:val="24"/>
        </w:rPr>
        <w:t>129</w:t>
      </w:r>
      <w:r>
        <w:rPr>
          <w:rFonts w:ascii="Times New Roman" w:hAnsi="Times New Roman"/>
          <w:sz w:val="24"/>
        </w:rPr>
        <w:t xml:space="preserve"> alineatul (</w:t>
      </w:r>
      <w:r w:rsidRPr="004237EC">
        <w:rPr>
          <w:rFonts w:ascii="Times New Roman" w:hAnsi="Times New Roman"/>
          <w:sz w:val="24"/>
        </w:rPr>
        <w:t>1</w:t>
      </w:r>
      <w:r>
        <w:rPr>
          <w:rFonts w:ascii="Times New Roman" w:hAnsi="Times New Roman"/>
          <w:sz w:val="24"/>
        </w:rPr>
        <w:t>) din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„contractele hibride” cuprind contractele cu instrumente derivate încorporate;</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„alte titluri de datorie emise” includ titlurile de datorie care nu au fost înregistrate la rândurile anterioare, făcându-se distinc</w:t>
      </w:r>
      <w:r w:rsidR="000C213F">
        <w:rPr>
          <w:rFonts w:ascii="Times New Roman" w:hAnsi="Times New Roman"/>
          <w:sz w:val="24"/>
        </w:rPr>
        <w:t>ț</w:t>
      </w:r>
      <w:r>
        <w:rPr>
          <w:rFonts w:ascii="Times New Roman" w:hAnsi="Times New Roman"/>
          <w:sz w:val="24"/>
        </w:rPr>
        <w:t xml:space="preserve">ia între instrumente financiare compuse convertibile </w:t>
      </w:r>
      <w:r w:rsidR="000C213F">
        <w:rPr>
          <w:rFonts w:ascii="Times New Roman" w:hAnsi="Times New Roman"/>
          <w:sz w:val="24"/>
        </w:rPr>
        <w:t>ș</w:t>
      </w:r>
      <w:r>
        <w:rPr>
          <w:rFonts w:ascii="Times New Roman" w:hAnsi="Times New Roman"/>
          <w:sz w:val="24"/>
        </w:rPr>
        <w:t>i instrumente neconvertibile.</w:t>
      </w:r>
    </w:p>
    <w:p w:rsidR="009569C7" w:rsidRPr="00EC4FA2" w:rsidRDefault="00A834F1" w:rsidP="009569C7">
      <w:pPr>
        <w:pStyle w:val="Baseparagraphnumbered"/>
      </w:pPr>
      <w:r>
        <w:t>„Datoriile financiare subordonate” emise sunt tratate în acela</w:t>
      </w:r>
      <w:r w:rsidR="000C213F">
        <w:t>ș</w:t>
      </w:r>
      <w:r>
        <w:t xml:space="preserve">i mod ca </w:t>
      </w:r>
      <w:r w:rsidR="000C213F">
        <w:t>ș</w:t>
      </w:r>
      <w:r>
        <w:t>i alte datorii financiare. Datoriile subordonate emise sub forma titlurilor sunt clasificate ca „titluri de datorie emise”, în timp ce datoriile subordonate sub forma depozitelor sunt clasificate ca „depozite”.</w:t>
      </w:r>
    </w:p>
    <w:p w:rsidR="009569C7" w:rsidRPr="00EC4FA2" w:rsidRDefault="00A834F1" w:rsidP="009569C7">
      <w:pPr>
        <w:pStyle w:val="Baseparagraphnumbered"/>
      </w:pPr>
      <w:r>
        <w:t xml:space="preserve">Formularul </w:t>
      </w:r>
      <w:r w:rsidRPr="004237EC">
        <w:t>8</w:t>
      </w:r>
      <w:r>
        <w:t>.</w:t>
      </w:r>
      <w:r w:rsidRPr="004237EC">
        <w:t>2</w:t>
      </w:r>
      <w:r>
        <w:t xml:space="preserve"> include valoarea contabilă a „depozitelor” </w:t>
      </w:r>
      <w:r w:rsidR="000C213F">
        <w:t>ș</w:t>
      </w:r>
      <w:r>
        <w:t>i a „titlurilor de datorie emise” care corespund defini</w:t>
      </w:r>
      <w:r w:rsidR="000C213F">
        <w:t>ț</w:t>
      </w:r>
      <w:r>
        <w:t>iei datoriilor subordonate clasificate pe portofolii contabile. Instrumentele de „datorii subordonate” conferă un drept de crean</w:t>
      </w:r>
      <w:r w:rsidR="000C213F">
        <w:t>ț</w:t>
      </w:r>
      <w:r>
        <w:t>ă subsidiar asupra institu</w:t>
      </w:r>
      <w:r w:rsidR="000C213F">
        <w:t>ț</w:t>
      </w:r>
      <w:r>
        <w:t>iei emitente, care poate fi exercitat numai după realizarea tuturor celorlalte drepturi de crean</w:t>
      </w:r>
      <w:r w:rsidR="000C213F">
        <w:t>ț</w:t>
      </w:r>
      <w:r>
        <w:t>ă care au un grad de prioritate mai înalt [Regulamentul BCE BSI].</w:t>
      </w:r>
    </w:p>
    <w:p w:rsidR="009569C7" w:rsidRPr="00EC4FA2" w:rsidRDefault="00A834F1" w:rsidP="009569C7">
      <w:pPr>
        <w:pStyle w:val="Baseparagraphnumbered"/>
      </w:pPr>
      <w:r>
        <w:t>„Modificările cumulate ale valorii juste datorate unor modificări ale propriului risc de credit” includ toate modificările cumulate men</w:t>
      </w:r>
      <w:r w:rsidR="000C213F">
        <w:t>ț</w:t>
      </w:r>
      <w:r>
        <w:t xml:space="preserve">ionate ale valorii juste, indiferent dacă sunt recunoscute în profit sau pierdere sau în alte elemente ale rezultatului global.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485897549"/>
      <w:r>
        <w:t>Angajamente de creditare, garan</w:t>
      </w:r>
      <w:r w:rsidR="000C213F">
        <w:t>ț</w:t>
      </w:r>
      <w:r>
        <w:t xml:space="preserve">ii financiare </w:t>
      </w:r>
      <w:r w:rsidR="000C213F">
        <w:t>ș</w:t>
      </w:r>
      <w:r>
        <w:t>i alte angajamente (</w:t>
      </w:r>
      <w:r w:rsidRPr="004237EC">
        <w:t>9</w:t>
      </w:r>
      <w:r>
        <w:t>)</w:t>
      </w:r>
      <w:bookmarkEnd w:id="120"/>
      <w:bookmarkEnd w:id="121"/>
      <w:bookmarkEnd w:id="122"/>
      <w:bookmarkEnd w:id="123"/>
    </w:p>
    <w:p w:rsidR="009569C7" w:rsidRPr="00EC4FA2" w:rsidRDefault="00A834F1" w:rsidP="009569C7">
      <w:pPr>
        <w:pStyle w:val="Baseparagraphnumbered"/>
      </w:pPr>
      <w:r>
        <w:t>Expunerile extrabilan</w:t>
      </w:r>
      <w:r w:rsidR="000C213F">
        <w:t>ț</w:t>
      </w:r>
      <w:r>
        <w:t>iere includ elementele extrabilan</w:t>
      </w:r>
      <w:r w:rsidR="000C213F">
        <w:t>ț</w:t>
      </w:r>
      <w:r>
        <w:t xml:space="preserve">iere enumerate în anexa I la CRR. În formularele </w:t>
      </w:r>
      <w:r w:rsidRPr="004237EC">
        <w:t>9</w:t>
      </w:r>
      <w:r>
        <w:t>.</w:t>
      </w:r>
      <w:r w:rsidRPr="004237EC">
        <w:t>1</w:t>
      </w:r>
      <w:r>
        <w:t xml:space="preserve">, </w:t>
      </w:r>
      <w:r w:rsidRPr="004237EC">
        <w:t>9</w:t>
      </w:r>
      <w:r>
        <w:t>.</w:t>
      </w:r>
      <w:r w:rsidRPr="004237EC">
        <w:t>1</w:t>
      </w:r>
      <w:r>
        <w:t>.</w:t>
      </w:r>
      <w:r w:rsidRPr="004237EC">
        <w:t>1</w:t>
      </w:r>
      <w:r>
        <w:t xml:space="preserve"> </w:t>
      </w:r>
      <w:r w:rsidR="000C213F">
        <w:t>ș</w:t>
      </w:r>
      <w:r>
        <w:t xml:space="preserve">i </w:t>
      </w:r>
      <w:r w:rsidRPr="004237EC">
        <w:t>9</w:t>
      </w:r>
      <w:r>
        <w:t>.</w:t>
      </w:r>
      <w:r w:rsidRPr="004237EC">
        <w:t>2</w:t>
      </w:r>
      <w:r>
        <w:t>, toate expunerile extrabilan</w:t>
      </w:r>
      <w:r w:rsidR="000C213F">
        <w:t>ț</w:t>
      </w:r>
      <w:r>
        <w:t>iere men</w:t>
      </w:r>
      <w:r w:rsidR="000C213F">
        <w:t>ț</w:t>
      </w:r>
      <w:r>
        <w:t>ionate în anexa I la CRR sunt defalcate în angajamente de creditare, garan</w:t>
      </w:r>
      <w:r w:rsidR="000C213F">
        <w:t>ț</w:t>
      </w:r>
      <w:r>
        <w:t xml:space="preserve">ii financiare </w:t>
      </w:r>
      <w:r w:rsidR="000C213F">
        <w:t>ș</w:t>
      </w:r>
      <w:r>
        <w:t>i alte angajamente.</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Informa</w:t>
      </w:r>
      <w:r w:rsidR="000C213F">
        <w:t>ț</w:t>
      </w:r>
      <w:r>
        <w:t>iile privind angajamentele de creditare, garan</w:t>
      </w:r>
      <w:r w:rsidR="000C213F">
        <w:t>ț</w:t>
      </w:r>
      <w:r>
        <w:t xml:space="preserve">iile financiare </w:t>
      </w:r>
      <w:r w:rsidR="000C213F">
        <w:t>ș</w:t>
      </w:r>
      <w:r>
        <w:t xml:space="preserve">i alte angajamente date </w:t>
      </w:r>
      <w:r w:rsidR="000C213F">
        <w:t>ș</w:t>
      </w:r>
      <w:r>
        <w:t xml:space="preserve">i primite includ atât angajamentele revocabile, cât </w:t>
      </w:r>
      <w:r w:rsidR="000C213F">
        <w:t>ș</w:t>
      </w:r>
      <w:r>
        <w:t xml:space="preserve">i pe cele irevocabile. </w:t>
      </w:r>
    </w:p>
    <w:p w:rsidR="009569C7" w:rsidRPr="00EC4FA2" w:rsidRDefault="00A834F1" w:rsidP="009569C7">
      <w:pPr>
        <w:pStyle w:val="Baseparagraphnumbered"/>
      </w:pPr>
      <w:r>
        <w:t>Angajamentele de creditare, garan</w:t>
      </w:r>
      <w:r w:rsidR="000C213F">
        <w:t>ț</w:t>
      </w:r>
      <w:r>
        <w:t xml:space="preserve">iile financiare </w:t>
      </w:r>
      <w:r w:rsidR="000C213F">
        <w:t>ș</w:t>
      </w:r>
      <w:r>
        <w:t xml:space="preserve">i alte angajamente date enumerate în anexa I la CRR pot fi instrumentele care se încadrează în domeniul de aplicare al IFRS </w:t>
      </w:r>
      <w:r w:rsidRPr="004237EC">
        <w:t>9</w:t>
      </w:r>
      <w:r>
        <w:t xml:space="preserve"> atunci când sunt evaluate la valoarea justă </w:t>
      </w:r>
      <w:r>
        <w:lastRenderedPageBreak/>
        <w:t>prin profit sau pierdere sau atunci când fac obiectul dispozi</w:t>
      </w:r>
      <w:r w:rsidR="000C213F">
        <w:t>ț</w:t>
      </w:r>
      <w:r>
        <w:t xml:space="preserve">iilor privind deprecierea din IFRS </w:t>
      </w:r>
      <w:r w:rsidRPr="004237EC">
        <w:t>9</w:t>
      </w:r>
      <w:r>
        <w:t xml:space="preserve">, precum </w:t>
      </w:r>
      <w:r w:rsidR="000C213F">
        <w:t>ș</w:t>
      </w:r>
      <w:r>
        <w:t xml:space="preserve">i instrumentele care se încadrează în domeniul de aplicare al IAS </w:t>
      </w:r>
      <w:r w:rsidRPr="004237EC">
        <w:t>37</w:t>
      </w:r>
      <w:r>
        <w:t xml:space="preserve"> sau IFRS </w:t>
      </w:r>
      <w:r w:rsidRPr="004237EC">
        <w:t>4</w:t>
      </w:r>
      <w:r>
        <w:t xml:space="preserve">. </w:t>
      </w:r>
    </w:p>
    <w:p w:rsidR="009569C7" w:rsidRPr="00EC4FA2" w:rsidRDefault="00A834F1" w:rsidP="009569C7">
      <w:pPr>
        <w:pStyle w:val="Baseparagraphnumbered"/>
      </w:pPr>
      <w:r>
        <w:t>Conform IFRS, angajamentele de creditare, garan</w:t>
      </w:r>
      <w:r w:rsidR="000C213F">
        <w:t>ț</w:t>
      </w:r>
      <w:r>
        <w:t xml:space="preserve">iile financiare </w:t>
      </w:r>
      <w:r w:rsidR="000C213F">
        <w:t>ș</w:t>
      </w:r>
      <w:r>
        <w:t xml:space="preserve">i alte angajamente date se raportează în formularul </w:t>
      </w:r>
      <w:r w:rsidRPr="004237EC">
        <w:t>9</w:t>
      </w:r>
      <w:r>
        <w:t>.</w:t>
      </w:r>
      <w:r w:rsidRPr="004237EC">
        <w:t>1</w:t>
      </w:r>
      <w:r>
        <w:t>.</w:t>
      </w:r>
      <w:r w:rsidRPr="004237EC">
        <w:t>1</w:t>
      </w:r>
      <w:r>
        <w:t xml:space="preserve"> în cazul în care sunt îndeplinite următoarele condi</w:t>
      </w:r>
      <w:r w:rsidR="000C213F">
        <w:t>ț</w:t>
      </w:r>
      <w:r>
        <w:t>ii:</w:t>
      </w:r>
    </w:p>
    <w:p w:rsidR="009569C7" w:rsidRPr="00EC4FA2" w:rsidRDefault="00A834F1" w:rsidP="009569C7">
      <w:pPr>
        <w:pStyle w:val="Baseparagraphnumbered"/>
        <w:numPr>
          <w:ilvl w:val="0"/>
          <w:numId w:val="56"/>
        </w:numPr>
        <w:ind w:left="1134" w:hanging="425"/>
      </w:pPr>
      <w:r>
        <w:t xml:space="preserve"> acestea fac obiectul dispozi</w:t>
      </w:r>
      <w:r w:rsidR="000C213F">
        <w:t>ț</w:t>
      </w:r>
      <w:r>
        <w:t xml:space="preserve">iilor privind deprecierea din IFRS </w:t>
      </w:r>
      <w:r w:rsidRPr="004237EC">
        <w:t>9</w:t>
      </w:r>
      <w:r>
        <w:t>;</w:t>
      </w:r>
    </w:p>
    <w:p w:rsidR="009569C7" w:rsidRPr="00EC4FA2" w:rsidRDefault="00A834F1" w:rsidP="009569C7">
      <w:pPr>
        <w:pStyle w:val="Baseparagraphnumbered"/>
        <w:numPr>
          <w:ilvl w:val="0"/>
          <w:numId w:val="56"/>
        </w:numPr>
        <w:ind w:left="1134" w:hanging="425"/>
      </w:pPr>
      <w:r>
        <w:t xml:space="preserve">acestea sunt desemnate la valoarea justă prin profit sau pierdere conform IFRS </w:t>
      </w:r>
      <w:r w:rsidRPr="004237EC">
        <w:t>9</w:t>
      </w:r>
      <w:r>
        <w:t>;</w:t>
      </w:r>
    </w:p>
    <w:p w:rsidR="009569C7" w:rsidRPr="00EC4FA2" w:rsidRDefault="00A834F1" w:rsidP="009569C7">
      <w:pPr>
        <w:pStyle w:val="Baseparagraphnumbered"/>
        <w:numPr>
          <w:ilvl w:val="0"/>
          <w:numId w:val="56"/>
        </w:numPr>
        <w:ind w:left="1134" w:hanging="425"/>
      </w:pPr>
      <w:r>
        <w:t xml:space="preserve">acestea se încadrează în domeniul de aplicare al IAS </w:t>
      </w:r>
      <w:r w:rsidRPr="004237EC">
        <w:t>37</w:t>
      </w:r>
      <w:r>
        <w:t xml:space="preserve"> sau IFRS </w:t>
      </w:r>
      <w:r w:rsidRPr="004237EC">
        <w:t>4</w:t>
      </w:r>
      <w:r>
        <w:t xml:space="preserve">. </w:t>
      </w:r>
    </w:p>
    <w:p w:rsidR="009569C7" w:rsidRPr="00EC4FA2" w:rsidRDefault="00A834F1" w:rsidP="009569C7">
      <w:pPr>
        <w:pStyle w:val="Baseparagraphnumbered"/>
      </w:pPr>
      <w:r>
        <w:t>Datoriile care sunt recunoscute ca pierderi din credite pentru garan</w:t>
      </w:r>
      <w:r w:rsidR="000C213F">
        <w:t>ț</w:t>
      </w:r>
      <w:r>
        <w:t xml:space="preserve">iile financiare </w:t>
      </w:r>
      <w:r w:rsidR="000C213F">
        <w:t>ș</w:t>
      </w:r>
      <w:r>
        <w:t>i angajamentele date men</w:t>
      </w:r>
      <w:r w:rsidR="000C213F">
        <w:t>ț</w:t>
      </w:r>
      <w:r>
        <w:t xml:space="preserve">ionate la punctul </w:t>
      </w:r>
      <w:r w:rsidRPr="004237EC">
        <w:t>105</w:t>
      </w:r>
      <w:r>
        <w:t xml:space="preserve"> literele (a) </w:t>
      </w:r>
      <w:r w:rsidR="000C213F">
        <w:t>ș</w:t>
      </w:r>
      <w:r>
        <w:t>i (c) din această parte a prezentei anexe se raportează ca provizioane, indiferent de criteriile de evaluare aplicate.</w:t>
      </w:r>
    </w:p>
    <w:p w:rsidR="009569C7" w:rsidRPr="00EC4FA2" w:rsidRDefault="00A834F1" w:rsidP="009569C7">
      <w:pPr>
        <w:pStyle w:val="Baseparagraphnumbered"/>
      </w:pPr>
      <w:r>
        <w:t>Institu</w:t>
      </w:r>
      <w:r w:rsidR="000C213F">
        <w:t>ț</w:t>
      </w:r>
      <w:r>
        <w:t xml:space="preserve">iile raportează în conformitate cu IFRS valoarea nominală </w:t>
      </w:r>
      <w:r w:rsidR="000C213F">
        <w:t>ș</w:t>
      </w:r>
      <w:r>
        <w:t>i provizioanele aferente instrumentelor care fac obiectul dispozi</w:t>
      </w:r>
      <w:r w:rsidR="000C213F">
        <w:t>ț</w:t>
      </w:r>
      <w:r>
        <w:t xml:space="preserve">iilor privind deprecierea din IFRS </w:t>
      </w:r>
      <w:r w:rsidRPr="004237EC">
        <w:t>9</w:t>
      </w:r>
      <w:r>
        <w:t>, inclusiv celor evaluate la costul ini</w:t>
      </w:r>
      <w:r w:rsidR="000C213F">
        <w:t>ț</w:t>
      </w:r>
      <w:r>
        <w:t xml:space="preserve">ial minus valoarea cumulată a venitului recunoscut, defalcate pe etape de depreciere. </w:t>
      </w:r>
    </w:p>
    <w:p w:rsidR="009569C7" w:rsidRPr="00EC4FA2" w:rsidRDefault="00A834F1" w:rsidP="009569C7">
      <w:pPr>
        <w:pStyle w:val="Baseparagraphnumbered"/>
      </w:pPr>
      <w:r>
        <w:t xml:space="preserve">Numai valoarea nominală a angajamentului se raportează în formularul </w:t>
      </w:r>
      <w:r w:rsidRPr="004237EC">
        <w:t>9</w:t>
      </w:r>
      <w:r>
        <w:t>.</w:t>
      </w:r>
      <w:r w:rsidRPr="004237EC">
        <w:t>1</w:t>
      </w:r>
      <w:r>
        <w:t>.</w:t>
      </w:r>
      <w:r w:rsidRPr="004237EC">
        <w:t>1</w:t>
      </w:r>
      <w:r>
        <w:t>, în cazul în care instrumentul de datorie include atât un instrument bilan</w:t>
      </w:r>
      <w:r w:rsidR="000C213F">
        <w:t>ț</w:t>
      </w:r>
      <w:r>
        <w:t xml:space="preserve">ier, cât </w:t>
      </w:r>
      <w:r w:rsidR="000C213F">
        <w:t>ș</w:t>
      </w:r>
      <w:r>
        <w:t>i o componentă extrabilan</w:t>
      </w:r>
      <w:r w:rsidR="000C213F">
        <w:t>ț</w:t>
      </w:r>
      <w:r>
        <w:t>ieră. În cazul în care entitatea raportoare nu poate identifica separat pierderile din credit preconizate aferente componentei bilan</w:t>
      </w:r>
      <w:r w:rsidR="000C213F">
        <w:t>ț</w:t>
      </w:r>
      <w:r>
        <w:t xml:space="preserve">iere </w:t>
      </w:r>
      <w:r w:rsidR="000C213F">
        <w:t>ș</w:t>
      </w:r>
      <w:r>
        <w:t>i celei extrabilan</w:t>
      </w:r>
      <w:r w:rsidR="000C213F">
        <w:t>ț</w:t>
      </w:r>
      <w:r>
        <w:t>iere, pierderile din credit preconizate aferente angajamentului se raportează împreună cu deprecierea cumulată a componentei bilan</w:t>
      </w:r>
      <w:r w:rsidR="000C213F">
        <w:t>ț</w:t>
      </w:r>
      <w:r>
        <w:t>iere. În cazul în care ansamblul pierderilor din credit preconizate depă</w:t>
      </w:r>
      <w:r w:rsidR="000C213F">
        <w:t>ș</w:t>
      </w:r>
      <w:r>
        <w:t>e</w:t>
      </w:r>
      <w:r w:rsidR="000C213F">
        <w:t>ș</w:t>
      </w:r>
      <w:r>
        <w:t xml:space="preserve">te valoarea contabilă brută a instrumentului de datorie, soldul restant al pierderilor din credit preconizate se raportează ca provizion în etapa de depreciere corespunzătoare în formularul </w:t>
      </w:r>
      <w:r w:rsidRPr="004237EC">
        <w:t>9</w:t>
      </w:r>
      <w:r>
        <w:t>.</w:t>
      </w:r>
      <w:r w:rsidRPr="004237EC">
        <w:t>1</w:t>
      </w:r>
      <w:r>
        <w:t>.</w:t>
      </w:r>
      <w:r w:rsidRPr="004237EC">
        <w:t>1</w:t>
      </w:r>
      <w:r>
        <w:t xml:space="preserve"> [IFRS </w:t>
      </w:r>
      <w:r w:rsidRPr="004237EC">
        <w:t>9</w:t>
      </w:r>
      <w:r>
        <w:t xml:space="preserve"> punctul </w:t>
      </w:r>
      <w:r w:rsidRPr="004237EC">
        <w:t>5</w:t>
      </w:r>
      <w:r>
        <w:t>.</w:t>
      </w:r>
      <w:r w:rsidRPr="004237EC">
        <w:t>5</w:t>
      </w:r>
      <w:r>
        <w:t>.</w:t>
      </w:r>
      <w:r w:rsidRPr="004237EC">
        <w:t>20</w:t>
      </w:r>
      <w:r>
        <w:t xml:space="preserve"> </w:t>
      </w:r>
      <w:r w:rsidR="000C213F">
        <w:t>ș</w:t>
      </w:r>
      <w:r>
        <w:t xml:space="preserve">i IFRS </w:t>
      </w:r>
      <w:r w:rsidRPr="004237EC">
        <w:t>7</w:t>
      </w:r>
      <w:r>
        <w:t xml:space="preserve"> punctul B</w:t>
      </w:r>
      <w:r w:rsidRPr="004237EC">
        <w:t>8</w:t>
      </w:r>
      <w:r>
        <w:t>E].</w:t>
      </w:r>
    </w:p>
    <w:p w:rsidR="009569C7" w:rsidRPr="00EC4FA2" w:rsidRDefault="00A834F1" w:rsidP="009569C7">
      <w:pPr>
        <w:pStyle w:val="Baseparagraphnumbered"/>
      </w:pPr>
      <w:r>
        <w:t>În cazul în care o garan</w:t>
      </w:r>
      <w:r w:rsidR="000C213F">
        <w:t>ț</w:t>
      </w:r>
      <w:r>
        <w:t>ie financiară sau un angajament pentru furnizarea unui împrumut la o rată sub valoarea pie</w:t>
      </w:r>
      <w:r w:rsidR="000C213F">
        <w:t>ț</w:t>
      </w:r>
      <w:r>
        <w:t xml:space="preserve">ei este evaluat în conformitate cu IFRS </w:t>
      </w:r>
      <w:r w:rsidRPr="004237EC">
        <w:t>9</w:t>
      </w:r>
      <w:r>
        <w:t xml:space="preserve"> punctul </w:t>
      </w:r>
      <w:r w:rsidRPr="004237EC">
        <w:t>4</w:t>
      </w:r>
      <w:r>
        <w:t>.</w:t>
      </w:r>
      <w:r w:rsidRPr="004237EC">
        <w:t>2</w:t>
      </w:r>
      <w:r>
        <w:t>.</w:t>
      </w:r>
      <w:r w:rsidRPr="004237EC">
        <w:t>1</w:t>
      </w:r>
      <w:r>
        <w:t xml:space="preserve"> litera (d) </w:t>
      </w:r>
      <w:r w:rsidR="000C213F">
        <w:t>ș</w:t>
      </w:r>
      <w:r>
        <w:t xml:space="preserve">i ajustarea aferentă pentru pierdere este determinată în conformitate cu IFRS </w:t>
      </w:r>
      <w:r w:rsidRPr="004237EC">
        <w:t>9</w:t>
      </w:r>
      <w:r>
        <w:t xml:space="preserve"> punctul </w:t>
      </w:r>
      <w:r w:rsidRPr="004237EC">
        <w:t>5</w:t>
      </w:r>
      <w:r>
        <w:t>.</w:t>
      </w:r>
      <w:r w:rsidRPr="004237EC">
        <w:t>5</w:t>
      </w:r>
      <w:r>
        <w:t>, garan</w:t>
      </w:r>
      <w:r w:rsidR="000C213F">
        <w:t>ț</w:t>
      </w:r>
      <w:r>
        <w:t>ia sau angajamentul respectiv se raportează în etapa de depreciere corespunzătoare.</w:t>
      </w:r>
    </w:p>
    <w:p w:rsidR="009569C7" w:rsidRPr="00EC4FA2" w:rsidRDefault="00A834F1" w:rsidP="009569C7">
      <w:pPr>
        <w:pStyle w:val="Baseparagraphnumbered"/>
      </w:pPr>
      <w:r>
        <w:t>În cazul în care angajamentele de creditare, garan</w:t>
      </w:r>
      <w:r w:rsidR="000C213F">
        <w:t>ț</w:t>
      </w:r>
      <w:r>
        <w:t xml:space="preserve">iile financiare </w:t>
      </w:r>
      <w:r w:rsidR="000C213F">
        <w:t>ș</w:t>
      </w:r>
      <w:r>
        <w:t xml:space="preserve">i alte angajamente sunt evaluate la valoarea justă în conformitate cu IFRS </w:t>
      </w:r>
      <w:r w:rsidRPr="004237EC">
        <w:t>9</w:t>
      </w:r>
      <w:r>
        <w:t>, institu</w:t>
      </w:r>
      <w:r w:rsidR="000C213F">
        <w:t>ț</w:t>
      </w:r>
      <w:r>
        <w:t xml:space="preserve">iile raportează în formularul </w:t>
      </w:r>
      <w:r w:rsidRPr="004237EC">
        <w:t>9</w:t>
      </w:r>
      <w:r>
        <w:t>.</w:t>
      </w:r>
      <w:r w:rsidRPr="004237EC">
        <w:t>1</w:t>
      </w:r>
      <w:r>
        <w:t>.</w:t>
      </w:r>
      <w:r w:rsidRPr="004237EC">
        <w:t>1</w:t>
      </w:r>
      <w:r>
        <w:t xml:space="preserve">, în coloane speciale, valoarea nominală </w:t>
      </w:r>
      <w:r w:rsidR="000C213F">
        <w:t>ș</w:t>
      </w:r>
      <w:r>
        <w:t>i modificările negative cumulate ale valorii juste datorate riscului de credit aferent acestor garan</w:t>
      </w:r>
      <w:r w:rsidR="000C213F">
        <w:t>ț</w:t>
      </w:r>
      <w:r>
        <w:t xml:space="preserve">ii financiare </w:t>
      </w:r>
      <w:r w:rsidR="000C213F">
        <w:t>ș</w:t>
      </w:r>
      <w:r>
        <w:t xml:space="preserve">i angajamente. „Modificările negative cumulate ale valorii juste datorate riscului de credit” se raportează aplicând criteriile de la punctul </w:t>
      </w:r>
      <w:r w:rsidRPr="004237EC">
        <w:t>69</w:t>
      </w:r>
      <w:r>
        <w:t xml:space="preserve"> din prezenta parte.</w:t>
      </w:r>
    </w:p>
    <w:p w:rsidR="009569C7" w:rsidRPr="00EC4FA2" w:rsidRDefault="00A834F1" w:rsidP="009569C7">
      <w:pPr>
        <w:pStyle w:val="Baseparagraphnumbered"/>
      </w:pPr>
      <w:r>
        <w:lastRenderedPageBreak/>
        <w:t xml:space="preserve">Valoarea nominală </w:t>
      </w:r>
      <w:r w:rsidR="000C213F">
        <w:t>ș</w:t>
      </w:r>
      <w:r>
        <w:t>i provizioanele altor angajamente sau garan</w:t>
      </w:r>
      <w:r w:rsidR="000C213F">
        <w:t>ț</w:t>
      </w:r>
      <w:r>
        <w:t xml:space="preserve">ii care se încadrează în domeniul de aplicare al IAS </w:t>
      </w:r>
      <w:r w:rsidRPr="004237EC">
        <w:t>37</w:t>
      </w:r>
      <w:r>
        <w:t xml:space="preserve"> sau IFRS </w:t>
      </w:r>
      <w:r w:rsidRPr="004237EC">
        <w:t>4</w:t>
      </w:r>
      <w:r>
        <w:t xml:space="preserve"> se raportează în coloane speciale.</w:t>
      </w:r>
    </w:p>
    <w:p w:rsidR="009569C7" w:rsidRPr="00EC4FA2" w:rsidRDefault="00A834F1" w:rsidP="009569C7">
      <w:pPr>
        <w:pStyle w:val="Baseparagraphnumbered"/>
      </w:pPr>
      <w:r>
        <w:t>Institu</w:t>
      </w:r>
      <w:r w:rsidR="000C213F">
        <w:t>ț</w:t>
      </w:r>
      <w:r>
        <w:t>iile care aplică GAAP na</w:t>
      </w:r>
      <w:r w:rsidR="000C213F">
        <w:t>ț</w:t>
      </w:r>
      <w:r>
        <w:t xml:space="preserve">ionale bazate pe BAD raportează în formularul </w:t>
      </w:r>
      <w:r w:rsidRPr="004237EC">
        <w:t>9</w:t>
      </w:r>
      <w:r>
        <w:t>.</w:t>
      </w:r>
      <w:r w:rsidRPr="004237EC">
        <w:t>1</w:t>
      </w:r>
      <w:r>
        <w:t xml:space="preserve"> valoarea nominală a angajamentelor </w:t>
      </w:r>
      <w:r w:rsidR="000C213F">
        <w:t>ș</w:t>
      </w:r>
      <w:r>
        <w:t>i a garan</w:t>
      </w:r>
      <w:r w:rsidR="000C213F">
        <w:t>ț</w:t>
      </w:r>
      <w:r>
        <w:t>iilor financiare men</w:t>
      </w:r>
      <w:r w:rsidR="000C213F">
        <w:t>ț</w:t>
      </w:r>
      <w:r>
        <w:t xml:space="preserve">ionate la punctele </w:t>
      </w:r>
      <w:r w:rsidRPr="004237EC">
        <w:t>102</w:t>
      </w:r>
      <w:r>
        <w:t xml:space="preserve"> </w:t>
      </w:r>
      <w:r w:rsidR="000C213F">
        <w:t>ș</w:t>
      </w:r>
      <w:r>
        <w:t xml:space="preserve">i </w:t>
      </w:r>
      <w:r w:rsidRPr="004237EC">
        <w:t>103</w:t>
      </w:r>
      <w:r>
        <w:t xml:space="preserve">, precum </w:t>
      </w:r>
      <w:r w:rsidR="000C213F">
        <w:t>ș</w:t>
      </w:r>
      <w:r>
        <w:t>i valoarea provizioanelor care trebuie de</w:t>
      </w:r>
      <w:r w:rsidR="000C213F">
        <w:t>ț</w:t>
      </w:r>
      <w:r>
        <w:t>inute pentru aceste expuneri extrabilan</w:t>
      </w:r>
      <w:r w:rsidR="000C213F">
        <w:t>ț</w:t>
      </w:r>
      <w:r>
        <w:t>iere.</w:t>
      </w:r>
    </w:p>
    <w:p w:rsidR="009569C7" w:rsidRPr="00EC4FA2" w:rsidRDefault="00A834F1" w:rsidP="009569C7">
      <w:pPr>
        <w:pStyle w:val="Baseparagraphnumbered"/>
      </w:pPr>
      <w:r>
        <w:t xml:space="preserve">„Angajamentele de creditare” sunt angajamente ferme de a acorda un credit în conformitate cu termeni </w:t>
      </w:r>
      <w:r w:rsidR="000C213F">
        <w:t>ș</w:t>
      </w:r>
      <w:r>
        <w:t>i condi</w:t>
      </w:r>
      <w:r w:rsidR="000C213F">
        <w:t>ț</w:t>
      </w:r>
      <w:r>
        <w:t>ii prestabilite, cu excep</w:t>
      </w:r>
      <w:r w:rsidR="000C213F">
        <w:t>ț</w:t>
      </w:r>
      <w:r>
        <w:t xml:space="preserve">ia celor care sunt instrumente derivate deoarece acestea pot fi decontate net în numerar sau prin furnizarea sau emiterea altui instrument financiar. Următoarele elemente din anexa I la CRR sunt clasificate ca „angajamente de creditare”: </w:t>
      </w:r>
    </w:p>
    <w:p w:rsidR="009569C7" w:rsidRPr="00EC4FA2" w:rsidRDefault="00A834F1" w:rsidP="009569C7">
      <w:pPr>
        <w:pStyle w:val="Baseparagraphnumbered"/>
        <w:numPr>
          <w:ilvl w:val="0"/>
          <w:numId w:val="31"/>
        </w:numPr>
        <w:ind w:left="1134" w:hanging="425"/>
      </w:pPr>
      <w:r>
        <w:t>„depozite forward”;</w:t>
      </w:r>
    </w:p>
    <w:p w:rsidR="009569C7" w:rsidRPr="00EC4FA2" w:rsidRDefault="00A834F1" w:rsidP="009569C7">
      <w:pPr>
        <w:pStyle w:val="Baseparagraphnumbered"/>
        <w:numPr>
          <w:ilvl w:val="0"/>
          <w:numId w:val="31"/>
        </w:numPr>
        <w:ind w:left="1134" w:hanging="425"/>
      </w:pPr>
      <w:r>
        <w:t>„facilită</w:t>
      </w:r>
      <w:r w:rsidR="000C213F">
        <w:t>ț</w:t>
      </w:r>
      <w:r>
        <w:t>i de credit neutilizate”, care includ acordurile de „creditare” sau de furnizare a unor „facilită</w:t>
      </w:r>
      <w:r w:rsidR="000C213F">
        <w:t>ț</w:t>
      </w:r>
      <w:r>
        <w:t xml:space="preserve">i de acceptare” conform unor termeni </w:t>
      </w:r>
      <w:r w:rsidR="000C213F">
        <w:t>ș</w:t>
      </w:r>
      <w:r>
        <w:t>i condi</w:t>
      </w:r>
      <w:r w:rsidR="000C213F">
        <w:t>ț</w:t>
      </w:r>
      <w:r>
        <w:t>ii predeterminate.</w:t>
      </w:r>
    </w:p>
    <w:p w:rsidR="009569C7" w:rsidRPr="00EC4FA2" w:rsidRDefault="00A834F1" w:rsidP="009569C7">
      <w:pPr>
        <w:pStyle w:val="Baseparagraphnumbered"/>
      </w:pPr>
      <w:r>
        <w:t>„Garan</w:t>
      </w:r>
      <w:r w:rsidR="000C213F">
        <w:t>ț</w:t>
      </w:r>
      <w:r>
        <w:t>iile financiare” sunt contracte care solicită emitentului să efectueze plă</w:t>
      </w:r>
      <w:r w:rsidR="000C213F">
        <w:t>ț</w:t>
      </w:r>
      <w:r>
        <w:t>i specificate pentru a rambursa de</w:t>
      </w:r>
      <w:r w:rsidR="000C213F">
        <w:t>ț</w:t>
      </w:r>
      <w:r>
        <w:t>inătorului o pierdere pe care acesta o suportă, deoarece un anumit debitor nu efectuează plata atunci când aceasta este scadentă în conformitate cu termenii ini</w:t>
      </w:r>
      <w:r w:rsidR="000C213F">
        <w:t>ț</w:t>
      </w:r>
      <w:r>
        <w:t>iali sau modifica</w:t>
      </w:r>
      <w:r w:rsidR="000C213F">
        <w:t>ț</w:t>
      </w:r>
      <w:r>
        <w:t>i ai unui instrument de datorie, inclusiv garan</w:t>
      </w:r>
      <w:r w:rsidR="000C213F">
        <w:t>ț</w:t>
      </w:r>
      <w:r>
        <w:t>ii furnizate pentru alte garan</w:t>
      </w:r>
      <w:r w:rsidR="000C213F">
        <w:t>ț</w:t>
      </w:r>
      <w:r>
        <w:t>ii financiare. Conform IFRS, aceste contracte corespund defini</w:t>
      </w:r>
      <w:r w:rsidR="000C213F">
        <w:t>ț</w:t>
      </w:r>
      <w:r>
        <w:t>iei contractelor de garan</w:t>
      </w:r>
      <w:r w:rsidR="000C213F">
        <w:t>ț</w:t>
      </w:r>
      <w:r>
        <w:t xml:space="preserve">ie financiară din IFRS </w:t>
      </w:r>
      <w:r w:rsidRPr="004237EC">
        <w:t>9</w:t>
      </w:r>
      <w:r>
        <w:t xml:space="preserve"> punctul </w:t>
      </w:r>
      <w:r w:rsidRPr="004237EC">
        <w:t>2</w:t>
      </w:r>
      <w:r>
        <w:t>.</w:t>
      </w:r>
      <w:r w:rsidRPr="004237EC">
        <w:t>1</w:t>
      </w:r>
      <w:r>
        <w:t xml:space="preserve"> litera (e) </w:t>
      </w:r>
      <w:r w:rsidR="000C213F">
        <w:t>ș</w:t>
      </w:r>
      <w:r>
        <w:t xml:space="preserve">i IFRS </w:t>
      </w:r>
      <w:r w:rsidRPr="004237EC">
        <w:t>4</w:t>
      </w:r>
      <w:r>
        <w:t xml:space="preserve"> anexa A. Următoarele elemente din anexa I la CRR sunt clasificate ca „garan</w:t>
      </w:r>
      <w:r w:rsidR="000C213F">
        <w:t>ț</w:t>
      </w:r>
      <w:r>
        <w:t xml:space="preserve">ii financiare”: </w:t>
      </w:r>
    </w:p>
    <w:p w:rsidR="009569C7" w:rsidRPr="00EC4FA2" w:rsidRDefault="00A834F1" w:rsidP="009569C7">
      <w:pPr>
        <w:pStyle w:val="Baseparagraphnumbered"/>
        <w:numPr>
          <w:ilvl w:val="0"/>
          <w:numId w:val="69"/>
        </w:numPr>
      </w:pPr>
      <w:r>
        <w:t>„garan</w:t>
      </w:r>
      <w:r w:rsidR="000C213F">
        <w:t>ț</w:t>
      </w:r>
      <w:r>
        <w:t xml:space="preserve">ii având caracter de substitut de credit”; </w:t>
      </w:r>
    </w:p>
    <w:p w:rsidR="009569C7" w:rsidRPr="00EC4FA2" w:rsidRDefault="00A834F1" w:rsidP="009569C7">
      <w:pPr>
        <w:pStyle w:val="Baseparagraphnumbered"/>
        <w:numPr>
          <w:ilvl w:val="0"/>
          <w:numId w:val="69"/>
        </w:numPr>
        <w:ind w:left="1134" w:hanging="425"/>
      </w:pPr>
      <w:r>
        <w:t>„instrumente derivate de credit” care corespund defini</w:t>
      </w:r>
      <w:r w:rsidR="000C213F">
        <w:t>ț</w:t>
      </w:r>
      <w:r>
        <w:t>iei garan</w:t>
      </w:r>
      <w:r w:rsidR="000C213F">
        <w:t>ț</w:t>
      </w:r>
      <w:r>
        <w:t>iei financiare;</w:t>
      </w:r>
    </w:p>
    <w:p w:rsidR="009569C7" w:rsidRPr="00EC4FA2" w:rsidRDefault="00A834F1" w:rsidP="009569C7">
      <w:pPr>
        <w:pStyle w:val="Baseparagraphnumbered"/>
        <w:numPr>
          <w:ilvl w:val="0"/>
          <w:numId w:val="69"/>
        </w:numPr>
        <w:ind w:left="1134" w:hanging="425"/>
      </w:pPr>
      <w:r>
        <w:t>„acreditive stand-by irevocabile cu caracter de substitut de credit”.</w:t>
      </w:r>
    </w:p>
    <w:p w:rsidR="009569C7" w:rsidRPr="00EC4FA2" w:rsidRDefault="00A834F1" w:rsidP="009569C7">
      <w:pPr>
        <w:pStyle w:val="Baseparagraphnumbered"/>
      </w:pPr>
      <w:r>
        <w:t>„Alte angajamente” includ următoarele elemente din anexa I la CRR:</w:t>
      </w:r>
      <w:r w:rsidR="004237EC">
        <w:t xml:space="preserve"> </w:t>
      </w:r>
    </w:p>
    <w:p w:rsidR="009569C7" w:rsidRPr="00EC4FA2" w:rsidRDefault="00A834F1" w:rsidP="009569C7">
      <w:pPr>
        <w:pStyle w:val="Baseparagraphnumbered"/>
        <w:numPr>
          <w:ilvl w:val="0"/>
          <w:numId w:val="32"/>
        </w:numPr>
        <w:ind w:left="1134" w:hanging="425"/>
      </w:pPr>
      <w:r>
        <w:t>„partea neplătită din ac</w:t>
      </w:r>
      <w:r w:rsidR="000C213F">
        <w:t>ț</w:t>
      </w:r>
      <w:r>
        <w:t xml:space="preserve">iunile </w:t>
      </w:r>
      <w:r w:rsidR="000C213F">
        <w:t>ș</w:t>
      </w:r>
      <w:r>
        <w:t>i titlurile achitate par</w:t>
      </w:r>
      <w:r w:rsidR="000C213F">
        <w:t>ț</w:t>
      </w:r>
      <w:r>
        <w:t xml:space="preserve">ial”; </w:t>
      </w:r>
    </w:p>
    <w:p w:rsidR="009569C7" w:rsidRPr="00EC4FA2" w:rsidRDefault="00A834F1" w:rsidP="009569C7">
      <w:pPr>
        <w:pStyle w:val="Baseparagraphnumbered"/>
        <w:numPr>
          <w:ilvl w:val="0"/>
          <w:numId w:val="32"/>
        </w:numPr>
        <w:ind w:left="1134" w:hanging="425"/>
      </w:pPr>
      <w:r>
        <w:t xml:space="preserve">„acreditive documentare emise sau confirmate”; </w:t>
      </w:r>
    </w:p>
    <w:p w:rsidR="009569C7" w:rsidRPr="00EC4FA2" w:rsidRDefault="00A834F1" w:rsidP="009569C7">
      <w:pPr>
        <w:pStyle w:val="Baseparagraphnumbered"/>
        <w:numPr>
          <w:ilvl w:val="0"/>
          <w:numId w:val="32"/>
        </w:numPr>
        <w:ind w:left="1134" w:hanging="425"/>
      </w:pPr>
      <w:r>
        <w:t>„elemente extrabilan</w:t>
      </w:r>
      <w:r w:rsidR="000C213F">
        <w:t>ț</w:t>
      </w:r>
      <w:r>
        <w:t>iere aferente finan</w:t>
      </w:r>
      <w:r w:rsidR="000C213F">
        <w:t>ț</w:t>
      </w:r>
      <w:r>
        <w:t>ării comer</w:t>
      </w:r>
      <w:r w:rsidR="000C213F">
        <w:t>ț</w:t>
      </w:r>
      <w:r>
        <w:t>ului”;</w:t>
      </w:r>
    </w:p>
    <w:p w:rsidR="009569C7" w:rsidRPr="00EC4FA2" w:rsidRDefault="00A834F1" w:rsidP="009569C7">
      <w:pPr>
        <w:pStyle w:val="Baseparagraphnumbered"/>
        <w:numPr>
          <w:ilvl w:val="0"/>
          <w:numId w:val="32"/>
        </w:numPr>
        <w:ind w:left="1134" w:hanging="425"/>
      </w:pPr>
      <w:r>
        <w:t>„credite documentare în cadrul cărora bunurile supuse livrării func</w:t>
      </w:r>
      <w:r w:rsidR="000C213F">
        <w:t>ț</w:t>
      </w:r>
      <w:r>
        <w:t>ionează ca garan</w:t>
      </w:r>
      <w:r w:rsidR="000C213F">
        <w:t>ț</w:t>
      </w:r>
      <w:r>
        <w:t xml:space="preserve">ie reală </w:t>
      </w:r>
      <w:r w:rsidR="000C213F">
        <w:t>ș</w:t>
      </w:r>
      <w:r>
        <w:t>i alte tranzac</w:t>
      </w:r>
      <w:r w:rsidR="000C213F">
        <w:t>ț</w:t>
      </w:r>
      <w:r>
        <w:t>ii care se lichidează de la sine (</w:t>
      </w:r>
      <w:r>
        <w:rPr>
          <w:i/>
        </w:rPr>
        <w:t>self-liquidating transactions</w:t>
      </w:r>
      <w:r>
        <w:t xml:space="preserve">)”; </w:t>
      </w:r>
    </w:p>
    <w:p w:rsidR="009569C7" w:rsidRPr="00EC4FA2" w:rsidRDefault="00A834F1" w:rsidP="009569C7">
      <w:pPr>
        <w:pStyle w:val="Baseparagraphnumbered"/>
        <w:numPr>
          <w:ilvl w:val="0"/>
          <w:numId w:val="32"/>
        </w:numPr>
        <w:ind w:left="1134" w:hanging="425"/>
      </w:pPr>
      <w:r>
        <w:lastRenderedPageBreak/>
        <w:t>„garan</w:t>
      </w:r>
      <w:r w:rsidR="000C213F">
        <w:t>ț</w:t>
      </w:r>
      <w:r>
        <w:t xml:space="preserve">ii </w:t>
      </w:r>
      <w:r w:rsidR="000C213F">
        <w:t>ș</w:t>
      </w:r>
      <w:r>
        <w:t>i cau</w:t>
      </w:r>
      <w:r w:rsidR="000C213F">
        <w:t>ț</w:t>
      </w:r>
      <w:r>
        <w:t>iuni” (inclusiv garan</w:t>
      </w:r>
      <w:r w:rsidR="000C213F">
        <w:t>ț</w:t>
      </w:r>
      <w:r>
        <w:t>ii de licita</w:t>
      </w:r>
      <w:r w:rsidR="000C213F">
        <w:t>ț</w:t>
      </w:r>
      <w:r>
        <w:t xml:space="preserve">ie </w:t>
      </w:r>
      <w:r w:rsidR="000C213F">
        <w:t>ș</w:t>
      </w:r>
      <w:r>
        <w:t>i de execu</w:t>
      </w:r>
      <w:r w:rsidR="000C213F">
        <w:t>ț</w:t>
      </w:r>
      <w:r>
        <w:t xml:space="preserve">ie) </w:t>
      </w:r>
      <w:r w:rsidR="000C213F">
        <w:t>ș</w:t>
      </w:r>
      <w:r>
        <w:t>i „garan</w:t>
      </w:r>
      <w:r w:rsidR="000C213F">
        <w:t>ț</w:t>
      </w:r>
      <w:r>
        <w:t>ii care nu au caracter de substitut de credit”;</w:t>
      </w:r>
    </w:p>
    <w:p w:rsidR="009569C7" w:rsidRPr="00EC4FA2" w:rsidRDefault="00A834F1" w:rsidP="009569C7">
      <w:pPr>
        <w:pStyle w:val="Baseparagraphnumbered"/>
        <w:numPr>
          <w:ilvl w:val="0"/>
          <w:numId w:val="32"/>
        </w:numPr>
        <w:ind w:left="1134" w:hanging="425"/>
      </w:pPr>
      <w:r>
        <w:t>„garan</w:t>
      </w:r>
      <w:r w:rsidR="000C213F">
        <w:t>ț</w:t>
      </w:r>
      <w:r>
        <w:t xml:space="preserve">ii pentru transport naval, angajamente vamale </w:t>
      </w:r>
      <w:r w:rsidR="000C213F">
        <w:t>ș</w:t>
      </w:r>
      <w:r>
        <w:t>i fiscale”;</w:t>
      </w:r>
    </w:p>
    <w:p w:rsidR="009569C7" w:rsidRPr="00EC4FA2" w:rsidRDefault="00A834F1" w:rsidP="009569C7">
      <w:pPr>
        <w:pStyle w:val="Baseparagraphnumbered"/>
        <w:numPr>
          <w:ilvl w:val="0"/>
          <w:numId w:val="32"/>
        </w:numPr>
        <w:ind w:left="1134" w:hanging="425"/>
      </w:pPr>
      <w:r>
        <w:t>„facilită</w:t>
      </w:r>
      <w:r w:rsidR="000C213F">
        <w:t>ț</w:t>
      </w:r>
      <w:r>
        <w:t xml:space="preserve">i de emisiune de efecte (NIF)” </w:t>
      </w:r>
      <w:r w:rsidR="000C213F">
        <w:t>ș</w:t>
      </w:r>
      <w:r>
        <w:t>i „facilită</w:t>
      </w:r>
      <w:r w:rsidR="000C213F">
        <w:t>ț</w:t>
      </w:r>
      <w:r>
        <w:t>i reînnoibile de subscriere fermă (RUF)”;</w:t>
      </w:r>
    </w:p>
    <w:p w:rsidR="009569C7" w:rsidRPr="00EC4FA2" w:rsidRDefault="00A834F1" w:rsidP="009569C7">
      <w:pPr>
        <w:pStyle w:val="Baseparagraphnumbered"/>
        <w:numPr>
          <w:ilvl w:val="0"/>
          <w:numId w:val="32"/>
        </w:numPr>
        <w:ind w:left="1134" w:hanging="425"/>
      </w:pPr>
      <w:r>
        <w:t>„facilită</w:t>
      </w:r>
      <w:r w:rsidR="000C213F">
        <w:t>ț</w:t>
      </w:r>
      <w:r>
        <w:t>i de credit neutilizate” care cuprind acordurile de „creditare” sau de furnizare a unor „facilită</w:t>
      </w:r>
      <w:r w:rsidR="000C213F">
        <w:t>ț</w:t>
      </w:r>
      <w:r>
        <w:t xml:space="preserve">i de acceptare” în cazul în care termenii </w:t>
      </w:r>
      <w:r w:rsidR="000C213F">
        <w:t>ș</w:t>
      </w:r>
      <w:r>
        <w:t>i condi</w:t>
      </w:r>
      <w:r w:rsidR="000C213F">
        <w:t>ț</w:t>
      </w:r>
      <w:r>
        <w:t xml:space="preserve">iile nu sunt predeterminate; </w:t>
      </w:r>
    </w:p>
    <w:p w:rsidR="009569C7" w:rsidRPr="00EC4FA2" w:rsidRDefault="00A834F1" w:rsidP="009569C7">
      <w:pPr>
        <w:pStyle w:val="Baseparagraphnumbered"/>
        <w:numPr>
          <w:ilvl w:val="0"/>
          <w:numId w:val="32"/>
        </w:numPr>
        <w:ind w:left="1134" w:hanging="425"/>
      </w:pPr>
      <w:r>
        <w:t>„facilită</w:t>
      </w:r>
      <w:r w:rsidR="000C213F">
        <w:t>ț</w:t>
      </w:r>
      <w:r>
        <w:t>i de credit neutilizate” care cuprind acorduri de „achizi</w:t>
      </w:r>
      <w:r w:rsidR="000C213F">
        <w:t>ț</w:t>
      </w:r>
      <w:r>
        <w:t>ie de titluri” sau de „furnizare de garan</w:t>
      </w:r>
      <w:r w:rsidR="000C213F">
        <w:t>ț</w:t>
      </w:r>
      <w:r>
        <w:t>ii”;</w:t>
      </w:r>
    </w:p>
    <w:p w:rsidR="009569C7" w:rsidRPr="00EC4FA2" w:rsidRDefault="00A834F1" w:rsidP="009569C7">
      <w:pPr>
        <w:pStyle w:val="Baseparagraphnumbered"/>
        <w:numPr>
          <w:ilvl w:val="0"/>
          <w:numId w:val="32"/>
        </w:numPr>
        <w:ind w:left="1134" w:hanging="425"/>
      </w:pPr>
      <w:r>
        <w:t>„facilită</w:t>
      </w:r>
      <w:r w:rsidR="000C213F">
        <w:t>ț</w:t>
      </w:r>
      <w:r>
        <w:t>i de credit neutilizate pentru garan</w:t>
      </w:r>
      <w:r w:rsidR="000C213F">
        <w:t>ț</w:t>
      </w:r>
      <w:r>
        <w:t>ii de licita</w:t>
      </w:r>
      <w:r w:rsidR="000C213F">
        <w:t>ț</w:t>
      </w:r>
      <w:r>
        <w:t xml:space="preserve">ie </w:t>
      </w:r>
      <w:r w:rsidR="000C213F">
        <w:t>ș</w:t>
      </w:r>
      <w:r>
        <w:t>i de execu</w:t>
      </w:r>
      <w:r w:rsidR="000C213F">
        <w:t>ț</w:t>
      </w:r>
      <w:r>
        <w:t>ie”;</w:t>
      </w:r>
    </w:p>
    <w:p w:rsidR="009569C7" w:rsidRPr="00EC4FA2" w:rsidRDefault="00A834F1" w:rsidP="009569C7">
      <w:pPr>
        <w:pStyle w:val="Baseparagraphnumbered"/>
        <w:numPr>
          <w:ilvl w:val="0"/>
          <w:numId w:val="32"/>
        </w:numPr>
        <w:ind w:left="1134" w:hanging="425"/>
      </w:pPr>
      <w:r>
        <w:t>„alte elemente extrabilan</w:t>
      </w:r>
      <w:r w:rsidR="000C213F">
        <w:t>ț</w:t>
      </w:r>
      <w:r>
        <w:t>iere” din anexa I la CRR.</w:t>
      </w:r>
    </w:p>
    <w:p w:rsidR="009569C7" w:rsidRPr="00EC4FA2" w:rsidRDefault="00A834F1" w:rsidP="009569C7">
      <w:pPr>
        <w:pStyle w:val="Baseparagraphnumbered"/>
      </w:pPr>
      <w:r>
        <w:t>Conform IFRS, următoarele elemente sunt recunoscute în bilan</w:t>
      </w:r>
      <w:r w:rsidR="000C213F">
        <w:t>ț</w:t>
      </w:r>
      <w:r>
        <w:t xml:space="preserve"> </w:t>
      </w:r>
      <w:r w:rsidR="000C213F">
        <w:t>ș</w:t>
      </w:r>
      <w:r>
        <w:t>i, prin urmare, nu se raportează ca expuneri extrabilan</w:t>
      </w:r>
      <w:r w:rsidR="000C213F">
        <w:t>ț</w:t>
      </w:r>
      <w:r>
        <w:t>iere:</w:t>
      </w:r>
    </w:p>
    <w:p w:rsidR="009569C7" w:rsidRPr="00EC4FA2" w:rsidRDefault="00A834F1" w:rsidP="009569C7">
      <w:pPr>
        <w:pStyle w:val="Baseparagraphnumbered"/>
        <w:numPr>
          <w:ilvl w:val="0"/>
          <w:numId w:val="33"/>
        </w:numPr>
        <w:ind w:left="1134" w:hanging="425"/>
      </w:pPr>
      <w:r>
        <w:t>„instrumentele derivate de credit” care nu corespund defini</w:t>
      </w:r>
      <w:r w:rsidR="000C213F">
        <w:t>ț</w:t>
      </w:r>
      <w:r>
        <w:t>iei garan</w:t>
      </w:r>
      <w:r w:rsidR="000C213F">
        <w:t>ț</w:t>
      </w:r>
      <w:r>
        <w:t xml:space="preserve">iilor financiare sunt „instrumente derivate” conform IFRS </w:t>
      </w:r>
      <w:r w:rsidRPr="004237EC">
        <w:t>9</w:t>
      </w:r>
      <w:r>
        <w:t>;</w:t>
      </w:r>
    </w:p>
    <w:p w:rsidR="009569C7" w:rsidRPr="00EC4FA2" w:rsidRDefault="00A834F1" w:rsidP="009569C7">
      <w:pPr>
        <w:pStyle w:val="Baseparagraphnumbered"/>
        <w:numPr>
          <w:ilvl w:val="0"/>
          <w:numId w:val="33"/>
        </w:numPr>
        <w:ind w:left="1134" w:hanging="425"/>
      </w:pPr>
      <w:r>
        <w:t xml:space="preserve"> „acceptările” sunt obliga</w:t>
      </w:r>
      <w:r w:rsidR="000C213F">
        <w:t>ț</w:t>
      </w:r>
      <w:r>
        <w:t>ii ale unei institu</w:t>
      </w:r>
      <w:r w:rsidR="000C213F">
        <w:t>ț</w:t>
      </w:r>
      <w:r>
        <w:t>ii de a plăti la scaden</w:t>
      </w:r>
      <w:r w:rsidR="000C213F">
        <w:t>ț</w:t>
      </w:r>
      <w:r>
        <w:t>ă valoarea nominală a unei cambii, care acoperă în mod normal vânzarea de bunuri. În consecin</w:t>
      </w:r>
      <w:r w:rsidR="000C213F">
        <w:t>ț</w:t>
      </w:r>
      <w:r>
        <w:t>ă, acestea sunt clasificate drept „crean</w:t>
      </w:r>
      <w:r w:rsidR="000C213F">
        <w:t>ț</w:t>
      </w:r>
      <w:r>
        <w:t>e comerciale” în bilan</w:t>
      </w:r>
      <w:r w:rsidR="000C213F">
        <w:t>ț</w:t>
      </w:r>
      <w:r>
        <w:t>;</w:t>
      </w:r>
    </w:p>
    <w:p w:rsidR="009569C7" w:rsidRPr="00EC4FA2" w:rsidRDefault="00A834F1" w:rsidP="009569C7">
      <w:pPr>
        <w:pStyle w:val="Baseparagraphnumbered"/>
        <w:numPr>
          <w:ilvl w:val="0"/>
          <w:numId w:val="33"/>
        </w:numPr>
        <w:ind w:left="1134" w:hanging="425"/>
      </w:pPr>
      <w:r>
        <w:t>„efecte de comer</w:t>
      </w:r>
      <w:r w:rsidR="000C213F">
        <w:t>ț</w:t>
      </w:r>
      <w:r>
        <w:t xml:space="preserve"> andosate” care nu îndeplinesc criteriile pentru derecunoa</w:t>
      </w:r>
      <w:r w:rsidR="000C213F">
        <w:t>ș</w:t>
      </w:r>
      <w:r>
        <w:t xml:space="preserve">tere conform IFRS </w:t>
      </w:r>
      <w:r w:rsidRPr="004237EC">
        <w:t>9</w:t>
      </w:r>
      <w:r>
        <w:t>;</w:t>
      </w:r>
    </w:p>
    <w:p w:rsidR="009569C7" w:rsidRPr="00EC4FA2" w:rsidRDefault="00A834F1" w:rsidP="009569C7">
      <w:pPr>
        <w:pStyle w:val="Baseparagraphnumbered"/>
        <w:numPr>
          <w:ilvl w:val="0"/>
          <w:numId w:val="33"/>
        </w:numPr>
        <w:ind w:left="1134" w:hanging="425"/>
      </w:pPr>
      <w:r>
        <w:t>„tranzac</w:t>
      </w:r>
      <w:r w:rsidR="000C213F">
        <w:t>ț</w:t>
      </w:r>
      <w:r>
        <w:t>iile cu recurs” care nu îndeplinesc criteriile pentru derecunoa</w:t>
      </w:r>
      <w:r w:rsidR="000C213F">
        <w:t>ș</w:t>
      </w:r>
      <w:r>
        <w:t xml:space="preserve">tere conform IFRS </w:t>
      </w:r>
      <w:r w:rsidRPr="004237EC">
        <w:t>9</w:t>
      </w:r>
      <w:r>
        <w:t>;</w:t>
      </w:r>
    </w:p>
    <w:p w:rsidR="009569C7" w:rsidRPr="00EC4FA2" w:rsidRDefault="00A834F1" w:rsidP="009569C7">
      <w:pPr>
        <w:pStyle w:val="Baseparagraphnumbered"/>
        <w:numPr>
          <w:ilvl w:val="0"/>
          <w:numId w:val="33"/>
        </w:numPr>
        <w:ind w:left="1134" w:hanging="425"/>
      </w:pPr>
      <w:r>
        <w:t>„activele achizi</w:t>
      </w:r>
      <w:r w:rsidR="000C213F">
        <w:t>ț</w:t>
      </w:r>
      <w:r>
        <w:t xml:space="preserve">ionate în baza unor contracte ferme de cumpărare la termen” sunt „instrumente derivate” conform IFRS </w:t>
      </w:r>
      <w:r w:rsidRPr="004237EC">
        <w:t>9</w:t>
      </w:r>
      <w:r>
        <w:t>;</w:t>
      </w:r>
    </w:p>
    <w:p w:rsidR="009569C7" w:rsidRPr="00EC4FA2" w:rsidRDefault="00A834F1" w:rsidP="009569C7">
      <w:pPr>
        <w:pStyle w:val="Baseparagraphnumbered"/>
        <w:numPr>
          <w:ilvl w:val="0"/>
          <w:numId w:val="33"/>
        </w:numPr>
        <w:ind w:left="1134" w:hanging="425"/>
      </w:pPr>
      <w:r>
        <w:t xml:space="preserve">„vânzarea de active </w:t>
      </w:r>
      <w:r w:rsidR="000C213F">
        <w:t>ș</w:t>
      </w:r>
      <w:r>
        <w:t xml:space="preserve">i acorduri repo, astfel cum sunt definite la articolul </w:t>
      </w:r>
      <w:r w:rsidRPr="004237EC">
        <w:t>12</w:t>
      </w:r>
      <w:r>
        <w:t xml:space="preserve"> alineatele (</w:t>
      </w:r>
      <w:r w:rsidRPr="004237EC">
        <w:t>3</w:t>
      </w:r>
      <w:r>
        <w:t xml:space="preserve">) </w:t>
      </w:r>
      <w:r w:rsidR="000C213F">
        <w:t>ș</w:t>
      </w:r>
      <w:r>
        <w:t>i (</w:t>
      </w:r>
      <w:r w:rsidRPr="004237EC">
        <w:t>5</w:t>
      </w:r>
      <w:r>
        <w:t xml:space="preserve">) din Directiva </w:t>
      </w:r>
      <w:r w:rsidRPr="004237EC">
        <w:t>86</w:t>
      </w:r>
      <w:r>
        <w:t>/</w:t>
      </w:r>
      <w:r w:rsidRPr="004237EC">
        <w:t>635</w:t>
      </w:r>
      <w:r>
        <w:t>/CEE”. În astfel de contracte, cesionarul are op</w:t>
      </w:r>
      <w:r w:rsidR="000C213F">
        <w:t>ț</w:t>
      </w:r>
      <w:r>
        <w:t xml:space="preserve">iunea, dar nu </w:t>
      </w:r>
      <w:r w:rsidR="000C213F">
        <w:t>ș</w:t>
      </w:r>
      <w:r>
        <w:t>i obliga</w:t>
      </w:r>
      <w:r w:rsidR="000C213F">
        <w:t>ț</w:t>
      </w:r>
      <w:r>
        <w:t>ia de a returna activele la un pre</w:t>
      </w:r>
      <w:r w:rsidR="000C213F">
        <w:t>ț</w:t>
      </w:r>
      <w:r>
        <w:t xml:space="preserve"> convenit în avans la o dată stabilită sau la o dată care urmează să fie stabilită. Prin urmare, contractele respective corespund defini</w:t>
      </w:r>
      <w:r w:rsidR="000C213F">
        <w:t>ț</w:t>
      </w:r>
      <w:r>
        <w:t xml:space="preserve">iei instrumentelor derivate conform IFRS </w:t>
      </w:r>
      <w:r w:rsidRPr="004237EC">
        <w:t>9</w:t>
      </w:r>
      <w:r>
        <w:t xml:space="preserve"> anexa A.</w:t>
      </w:r>
    </w:p>
    <w:p w:rsidR="009569C7" w:rsidRPr="00EC4FA2" w:rsidRDefault="00A834F1" w:rsidP="009569C7">
      <w:pPr>
        <w:pStyle w:val="Baseparagraphnumbered"/>
      </w:pPr>
      <w:r>
        <w:t>Elementul „din care: neperformante” include valoarea nominală a angajamentelor de creditare, a garan</w:t>
      </w:r>
      <w:r w:rsidR="000C213F">
        <w:t>ț</w:t>
      </w:r>
      <w:r>
        <w:t xml:space="preserve">iilor financiare </w:t>
      </w:r>
      <w:r w:rsidR="000C213F">
        <w:t>ș</w:t>
      </w:r>
      <w:r>
        <w:t xml:space="preserve">i a altor angajamente date care sunt considerate ca neperformante în conformitate cu punctele </w:t>
      </w:r>
      <w:r w:rsidRPr="004237EC">
        <w:t>213</w:t>
      </w:r>
      <w:r>
        <w:t>-</w:t>
      </w:r>
      <w:r w:rsidRPr="004237EC">
        <w:t>239</w:t>
      </w:r>
      <w:r>
        <w:t xml:space="preserve"> din prezenta parte. </w:t>
      </w:r>
    </w:p>
    <w:p w:rsidR="009569C7" w:rsidRPr="00EC4FA2" w:rsidRDefault="00A834F1" w:rsidP="009569C7">
      <w:pPr>
        <w:pStyle w:val="Baseparagraphnumbered"/>
      </w:pPr>
      <w:r>
        <w:lastRenderedPageBreak/>
        <w:t>Pentru garan</w:t>
      </w:r>
      <w:r w:rsidR="000C213F">
        <w:t>ț</w:t>
      </w:r>
      <w:r>
        <w:t xml:space="preserve">iile financiare, angajamentele de creditare </w:t>
      </w:r>
      <w:r w:rsidR="000C213F">
        <w:t>ș</w:t>
      </w:r>
      <w:r>
        <w:t>i alte angajamente date, „valoarea nominală” este valoarea care reprezintă cel mai bine expunerea maximă a institu</w:t>
      </w:r>
      <w:r w:rsidR="000C213F">
        <w:t>ț</w:t>
      </w:r>
      <w:r>
        <w:t>iei la riscul de credit fără a lua în considerare nicio garan</w:t>
      </w:r>
      <w:r w:rsidR="000C213F">
        <w:t>ț</w:t>
      </w:r>
      <w:r>
        <w:t>ie reală de</w:t>
      </w:r>
      <w:r w:rsidR="000C213F">
        <w:t>ț</w:t>
      </w:r>
      <w:r>
        <w:t>inută sau alte îmbunătă</w:t>
      </w:r>
      <w:r w:rsidR="000C213F">
        <w:t>ț</w:t>
      </w:r>
      <w:r>
        <w:t>iri ale calită</w:t>
      </w:r>
      <w:r w:rsidR="000C213F">
        <w:t>ț</w:t>
      </w:r>
      <w:r>
        <w:t>ii creditului. În particular, pentru garan</w:t>
      </w:r>
      <w:r w:rsidR="000C213F">
        <w:t>ț</w:t>
      </w:r>
      <w:r>
        <w:t>iile financiare date, valoarea nominală este valoarea maximă pe care entitatea ar putea să fie nevoită să o plătească dacă se apelează la garan</w:t>
      </w:r>
      <w:r w:rsidR="000C213F">
        <w:t>ț</w:t>
      </w:r>
      <w:r>
        <w:t>ie. Pentru angajamentele de creditare, valoarea nominală este valoarea neutilizată pe care institu</w:t>
      </w:r>
      <w:r w:rsidR="000C213F">
        <w:t>ț</w:t>
      </w:r>
      <w:r>
        <w:t xml:space="preserve">ia s-a angajat să o împrumute. Valorile nominale sunt valori ale expunerilor înainte de aplicarea factorilor de conversie </w:t>
      </w:r>
      <w:r w:rsidR="000C213F">
        <w:t>ș</w:t>
      </w:r>
      <w:r>
        <w:t>i a tehnicilor de reducere a riscului de credit.</w:t>
      </w:r>
    </w:p>
    <w:p w:rsidR="009569C7" w:rsidRPr="00EC4FA2" w:rsidRDefault="00A834F1" w:rsidP="009569C7">
      <w:pPr>
        <w:pStyle w:val="Baseparagraphnumbered"/>
      </w:pPr>
      <w:r>
        <w:t xml:space="preserve">În formularul </w:t>
      </w:r>
      <w:r w:rsidRPr="004237EC">
        <w:t>9</w:t>
      </w:r>
      <w:r>
        <w:t>.</w:t>
      </w:r>
      <w:r w:rsidRPr="004237EC">
        <w:t>2</w:t>
      </w:r>
      <w:r>
        <w:t>, pentru angajamentele de creditare primite, valoarea nominală este valoarea neutilizată totală pe care o contraparte s-a angajat să o împrumute institu</w:t>
      </w:r>
      <w:r w:rsidR="000C213F">
        <w:t>ț</w:t>
      </w:r>
      <w:r>
        <w:t>iei. Pentru alte angajamente primite, valoarea nominală este valoarea totală la care s-a angajat cealaltă parte la tranzac</w:t>
      </w:r>
      <w:r w:rsidR="000C213F">
        <w:t>ț</w:t>
      </w:r>
      <w:r>
        <w:t>ie. Pentru garan</w:t>
      </w:r>
      <w:r w:rsidR="000C213F">
        <w:t>ț</w:t>
      </w:r>
      <w:r>
        <w:t>iile financiare primite, „valoarea maximă a garan</w:t>
      </w:r>
      <w:r w:rsidR="000C213F">
        <w:t>ț</w:t>
      </w:r>
      <w:r>
        <w:t>iilor care poate fi luată în considerare” este valoarea maximă pe care o contraparte ar putea fi nevoită să o plătească dacă se apelează la garan</w:t>
      </w:r>
      <w:r w:rsidR="000C213F">
        <w:t>ț</w:t>
      </w:r>
      <w:r>
        <w:t>ie. În cazul în care o garan</w:t>
      </w:r>
      <w:r w:rsidR="000C213F">
        <w:t>ț</w:t>
      </w:r>
      <w:r>
        <w:t>ie financiară primită a fost emisă de mai mul</w:t>
      </w:r>
      <w:r w:rsidR="000C213F">
        <w:t>ț</w:t>
      </w:r>
      <w:r>
        <w:t>i garan</w:t>
      </w:r>
      <w:r w:rsidR="000C213F">
        <w:t>ț</w:t>
      </w:r>
      <w:r>
        <w:t>i, valoarea garantată se raportează o singură dată în acest formular; valoarea garantată se alocă garantului care este mai relevant în ceea ce prive</w:t>
      </w:r>
      <w:r w:rsidR="000C213F">
        <w:t>ș</w:t>
      </w:r>
      <w:r>
        <w:t>te reducerea riscului de credit.</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485897550"/>
      <w:r>
        <w:t xml:space="preserve">Instrumente derivate </w:t>
      </w:r>
      <w:r w:rsidR="000C213F">
        <w:t>ș</w:t>
      </w:r>
      <w:r>
        <w:t>i contabilitatea de acoperire împotriva riscurilor (</w:t>
      </w:r>
      <w:r w:rsidRPr="004237EC">
        <w:t>10</w:t>
      </w:r>
      <w:r>
        <w:t xml:space="preserve"> </w:t>
      </w:r>
      <w:r w:rsidR="000C213F">
        <w:t>ș</w:t>
      </w:r>
      <w:r>
        <w:t xml:space="preserve">i </w:t>
      </w:r>
      <w:r w:rsidRPr="004237EC">
        <w:t>11</w:t>
      </w:r>
      <w:r>
        <w:t>)</w:t>
      </w:r>
      <w:bookmarkEnd w:id="130"/>
      <w:bookmarkEnd w:id="131"/>
      <w:bookmarkEnd w:id="132"/>
      <w:bookmarkEnd w:id="133"/>
    </w:p>
    <w:p w:rsidR="009569C7" w:rsidRPr="00EC4FA2" w:rsidRDefault="00A834F1" w:rsidP="009569C7">
      <w:pPr>
        <w:pStyle w:val="Baseparagraphnumbered"/>
      </w:pPr>
      <w:r>
        <w:t xml:space="preserve">Pentru formularele </w:t>
      </w:r>
      <w:r w:rsidRPr="004237EC">
        <w:t>10</w:t>
      </w:r>
      <w:r>
        <w:t xml:space="preserve"> </w:t>
      </w:r>
      <w:r w:rsidR="000C213F">
        <w:t>ș</w:t>
      </w:r>
      <w:r>
        <w:t xml:space="preserve">i </w:t>
      </w:r>
      <w:r w:rsidRPr="004237EC">
        <w:t>11</w:t>
      </w:r>
      <w:r>
        <w:t>, instrumentele derivate sunt considerate fie ca instrumente derivate de acoperire împotriva riscurilor, în cazul în care sunt utilizate într-o rela</w:t>
      </w:r>
      <w:r w:rsidR="000C213F">
        <w:t>ț</w:t>
      </w:r>
      <w:r>
        <w:t>ie de acoperire împotriva riscurilor în conformitate cu IFRS sau GAAP na</w:t>
      </w:r>
      <w:r w:rsidR="000C213F">
        <w:t>ț</w:t>
      </w:r>
      <w:r>
        <w:t>ionale aplicabile în temeiul BAD, fie ca instrumente derivate de</w:t>
      </w:r>
      <w:r w:rsidR="000C213F">
        <w:t>ț</w:t>
      </w:r>
      <w:r>
        <w:t>inute în vederea tranzac</w:t>
      </w:r>
      <w:r w:rsidR="000C213F">
        <w:t>ț</w:t>
      </w:r>
      <w:r>
        <w:t xml:space="preserve">ionării în alte cazuri. </w:t>
      </w:r>
    </w:p>
    <w:p w:rsidR="009569C7" w:rsidRPr="00EC4FA2" w:rsidRDefault="00A834F1" w:rsidP="009569C7">
      <w:pPr>
        <w:pStyle w:val="Baseparagraphnumbered"/>
      </w:pPr>
      <w:r>
        <w:t xml:space="preserve">Valoarea contabilă </w:t>
      </w:r>
      <w:r w:rsidR="000C213F">
        <w:t>ș</w:t>
      </w:r>
      <w:r>
        <w:t>i valoarea no</w:t>
      </w:r>
      <w:r w:rsidR="000C213F">
        <w:t>ț</w:t>
      </w:r>
      <w:r>
        <w:t>ională a instrumentelor derivate de</w:t>
      </w:r>
      <w:r w:rsidR="000C213F">
        <w:t>ț</w:t>
      </w:r>
      <w:r>
        <w:t>inute în vederea tranzac</w:t>
      </w:r>
      <w:r w:rsidR="000C213F">
        <w:t>ț</w:t>
      </w:r>
      <w:r>
        <w:t xml:space="preserve">ionării, inclusiv a instrumentelor de acoperire economică împotriva riscurilor, precum </w:t>
      </w:r>
      <w:r w:rsidR="000C213F">
        <w:t>ș</w:t>
      </w:r>
      <w:r>
        <w:t>i a instrumentelor derivate de</w:t>
      </w:r>
      <w:r w:rsidR="000C213F">
        <w:t>ț</w:t>
      </w:r>
      <w:r>
        <w:t>inute pentru contabilitatea de acoperire împotriva riscurilor se raportează defalcate pe tipuri de riscuri-suport, pe tipuri de pie</w:t>
      </w:r>
      <w:r w:rsidR="000C213F">
        <w:t>ț</w:t>
      </w:r>
      <w:r>
        <w:t xml:space="preserve">e </w:t>
      </w:r>
      <w:r w:rsidR="000C213F">
        <w:t>ș</w:t>
      </w:r>
      <w:r>
        <w:t xml:space="preserve">i pe tipuri de produse în formularele </w:t>
      </w:r>
      <w:r w:rsidRPr="004237EC">
        <w:t>10</w:t>
      </w:r>
      <w:r>
        <w:t xml:space="preserve"> </w:t>
      </w:r>
      <w:r w:rsidR="000C213F">
        <w:t>ș</w:t>
      </w:r>
      <w:r>
        <w:t xml:space="preserve">i </w:t>
      </w:r>
      <w:r w:rsidRPr="004237EC">
        <w:t>11</w:t>
      </w:r>
      <w:r>
        <w:t>. Institu</w:t>
      </w:r>
      <w:r w:rsidR="000C213F">
        <w:t>ț</w:t>
      </w:r>
      <w:r>
        <w:t>iile raportează instrumentele derivate de</w:t>
      </w:r>
      <w:r w:rsidR="000C213F">
        <w:t>ț</w:t>
      </w:r>
      <w:r>
        <w:t xml:space="preserve">inute pentru contabilitatea de acoperire împotriva riscurilor defalcate </w:t>
      </w:r>
      <w:r w:rsidR="000C213F">
        <w:t>ș</w:t>
      </w:r>
      <w:r>
        <w:t>i pe tipuri de acoperiri împotriva riscurilor. Informa</w:t>
      </w:r>
      <w:r w:rsidR="000C213F">
        <w:t>ț</w:t>
      </w:r>
      <w:r>
        <w:t>iile privind instrumentele nederivate de acoperire împotriva riscurilor se raportează separat, defalcate pe tipuri de acoperiri împotriva riscurilor.</w:t>
      </w:r>
    </w:p>
    <w:p w:rsidR="009569C7" w:rsidRPr="00EC4FA2" w:rsidRDefault="00A834F1" w:rsidP="009569C7">
      <w:pPr>
        <w:pStyle w:val="Baseparagraphnumbered"/>
      </w:pPr>
      <w:r>
        <w:t>Conform GAAP na</w:t>
      </w:r>
      <w:r w:rsidR="000C213F">
        <w:t>ț</w:t>
      </w:r>
      <w:r>
        <w:t>ionale relevante bazate pe BAD, toate instrumentele derivate se raportează în aceste formulare, indiferent dacă sunt sau nu recunoscute în bilan</w:t>
      </w:r>
      <w:r w:rsidR="000C213F">
        <w:t>ț</w:t>
      </w:r>
      <w:r>
        <w:t xml:space="preserve"> în conformitate cu GAAP na</w:t>
      </w:r>
      <w:r w:rsidR="000C213F">
        <w:t>ț</w:t>
      </w:r>
      <w:r>
        <w:t>ionale relevante.</w:t>
      </w:r>
    </w:p>
    <w:p w:rsidR="009569C7" w:rsidRPr="00EC4FA2" w:rsidRDefault="00A834F1" w:rsidP="009569C7">
      <w:pPr>
        <w:pStyle w:val="Baseparagraphnumbered"/>
      </w:pPr>
      <w:r>
        <w:t xml:space="preserve">Defalcarea valorii contabile, a valorii juste </w:t>
      </w:r>
      <w:r w:rsidR="000C213F">
        <w:t>ș</w:t>
      </w:r>
      <w:r>
        <w:t>i a valorii no</w:t>
      </w:r>
      <w:r w:rsidR="000C213F">
        <w:t>ț</w:t>
      </w:r>
      <w:r>
        <w:t>ionale a instrumentelor derivate destinate tranzac</w:t>
      </w:r>
      <w:r w:rsidR="000C213F">
        <w:t>ț</w:t>
      </w:r>
      <w:r>
        <w:t xml:space="preserve">ionării </w:t>
      </w:r>
      <w:r w:rsidR="000C213F">
        <w:t>ș</w:t>
      </w:r>
      <w:r>
        <w:t xml:space="preserve">i de acoperire împotriva riscurilor pe portofolii contabile </w:t>
      </w:r>
      <w:r w:rsidR="000C213F">
        <w:t>ș</w:t>
      </w:r>
      <w:r>
        <w:t xml:space="preserve">i pe tipuri de acoperiri împotriva riscurilor este pusă în aplicare </w:t>
      </w:r>
      <w:r w:rsidR="000C213F">
        <w:t>ț</w:t>
      </w:r>
      <w:r>
        <w:t xml:space="preserve">inându-se seama de portofoliile contabile </w:t>
      </w:r>
      <w:r w:rsidR="000C213F">
        <w:t>ș</w:t>
      </w:r>
      <w:r>
        <w:t xml:space="preserve">i de tipurile </w:t>
      </w:r>
      <w:r>
        <w:lastRenderedPageBreak/>
        <w:t>de acoperiri împotriva riscurilor care sunt aplicabile conform cadrului care se aplică entită</w:t>
      </w:r>
      <w:r w:rsidR="000C213F">
        <w:t>ț</w:t>
      </w:r>
      <w:r>
        <w:t>ii raportoare: IFRS sau GAAP na</w:t>
      </w:r>
      <w:r w:rsidR="000C213F">
        <w:t>ț</w:t>
      </w:r>
      <w:r>
        <w:t xml:space="preserve">ionale în temeiul BAD. </w:t>
      </w:r>
    </w:p>
    <w:p w:rsidR="009569C7" w:rsidRPr="00EC4FA2" w:rsidRDefault="00A834F1" w:rsidP="009569C7">
      <w:pPr>
        <w:pStyle w:val="Baseparagraphnumbered"/>
      </w:pPr>
      <w:r>
        <w:t>Instrumentele derivate destinate tranzac</w:t>
      </w:r>
      <w:r w:rsidR="000C213F">
        <w:t>ț</w:t>
      </w:r>
      <w:r>
        <w:t xml:space="preserve">ionării </w:t>
      </w:r>
      <w:r w:rsidR="000C213F">
        <w:t>ș</w:t>
      </w:r>
      <w:r>
        <w:t>i instrumentele derivate de acoperire împotriva riscurilor care, în conformitate cu GAAP na</w:t>
      </w:r>
      <w:r w:rsidR="000C213F">
        <w:t>ț</w:t>
      </w:r>
      <w:r>
        <w:t>ionale bazate pe BAD, sunt evaluate la cost sau LOCOM sunt identificate separat.</w:t>
      </w:r>
    </w:p>
    <w:p w:rsidR="009569C7" w:rsidRPr="00EC4FA2" w:rsidRDefault="00A834F1" w:rsidP="009569C7">
      <w:pPr>
        <w:pStyle w:val="Baseparagraphnumbered"/>
      </w:pPr>
      <w:r>
        <w:t xml:space="preserve">Formularul </w:t>
      </w:r>
      <w:r w:rsidRPr="004237EC">
        <w:t>11</w:t>
      </w:r>
      <w:r>
        <w:t xml:space="preserve"> include instrumentele de acoperire împotriva riscurilor </w:t>
      </w:r>
      <w:r w:rsidR="000C213F">
        <w:t>ș</w:t>
      </w:r>
      <w:r>
        <w:t>i elementele acoperite împotriva riscurilor, indiferent de standardul de contabilitate utilizat pentru recunoa</w:t>
      </w:r>
      <w:r w:rsidR="000C213F">
        <w:t>ș</w:t>
      </w:r>
      <w:r>
        <w:t>terea rela</w:t>
      </w:r>
      <w:r w:rsidR="000C213F">
        <w:t>ț</w:t>
      </w:r>
      <w:r>
        <w:t>iei de acoperire împotriva riscurilor care îndepline</w:t>
      </w:r>
      <w:r w:rsidR="000C213F">
        <w:t>ș</w:t>
      </w:r>
      <w:r>
        <w:t>te criteriile necesare, inclusiv în cazul în care această rela</w:t>
      </w:r>
      <w:r w:rsidR="000C213F">
        <w:t>ț</w:t>
      </w:r>
      <w:r>
        <w:t>ie se referă la o pozi</w:t>
      </w:r>
      <w:r w:rsidR="000C213F">
        <w:t>ț</w:t>
      </w:r>
      <w:r>
        <w:t>ie netă. În cazul în care o institu</w:t>
      </w:r>
      <w:r w:rsidR="000C213F">
        <w:t>ț</w:t>
      </w:r>
      <w:r>
        <w:t>ie a ales să men</w:t>
      </w:r>
      <w:r w:rsidR="000C213F">
        <w:t>ț</w:t>
      </w:r>
      <w:r>
        <w:t xml:space="preserve">ină aplicarea IAS </w:t>
      </w:r>
      <w:r w:rsidRPr="004237EC">
        <w:t>39</w:t>
      </w:r>
      <w:r>
        <w:t xml:space="preserve"> pentru contabilitatea de acoperire împotriva riscurilor [IFRS </w:t>
      </w:r>
      <w:r w:rsidRPr="004237EC">
        <w:t>9</w:t>
      </w:r>
      <w:r>
        <w:t xml:space="preserve"> punctul </w:t>
      </w:r>
      <w:r w:rsidRPr="004237EC">
        <w:t>7</w:t>
      </w:r>
      <w:r>
        <w:t>.</w:t>
      </w:r>
      <w:r w:rsidRPr="004237EC">
        <w:t>2</w:t>
      </w:r>
      <w:r>
        <w:t>.</w:t>
      </w:r>
      <w:r w:rsidRPr="004237EC">
        <w:t>21</w:t>
      </w:r>
      <w:r>
        <w:t xml:space="preserve">], trimiterile </w:t>
      </w:r>
      <w:r w:rsidR="000C213F">
        <w:t>ș</w:t>
      </w:r>
      <w:r>
        <w:t xml:space="preserve">i denumirile pentru următoarele tipuri de acoperire împotriva riscurilor </w:t>
      </w:r>
      <w:r w:rsidR="000C213F">
        <w:t>ș</w:t>
      </w:r>
      <w:r>
        <w:t xml:space="preserve">i de portofolii contabile se interpretează ca trimiterile </w:t>
      </w:r>
      <w:r w:rsidR="000C213F">
        <w:t>ș</w:t>
      </w:r>
      <w:r>
        <w:t xml:space="preserve">i denumirile relevante din IAS </w:t>
      </w:r>
      <w:r w:rsidRPr="004237EC">
        <w:t>39</w:t>
      </w:r>
      <w:r>
        <w:t xml:space="preserve"> punctul </w:t>
      </w:r>
      <w:r w:rsidRPr="004237EC">
        <w:t>9</w:t>
      </w:r>
      <w:r>
        <w:t>: „active financiare evaluate la valoarea justă prin alte elemente ale rezultatului global” se referă la „active disponibile pentru vânzare”, iar „activele la costul amortizat” cuprind elementele „de</w:t>
      </w:r>
      <w:r w:rsidR="000C213F">
        <w:t>ț</w:t>
      </w:r>
      <w:r>
        <w:t>inute până la scaden</w:t>
      </w:r>
      <w:r w:rsidR="000C213F">
        <w:t>ț</w:t>
      </w:r>
      <w:r>
        <w:t xml:space="preserve">ă” </w:t>
      </w:r>
      <w:r w:rsidR="000C213F">
        <w:t>ș</w:t>
      </w:r>
      <w:r>
        <w:t xml:space="preserve">i „împrumuturi </w:t>
      </w:r>
      <w:r w:rsidR="000C213F">
        <w:t>ș</w:t>
      </w:r>
      <w:r>
        <w:t>i crean</w:t>
      </w:r>
      <w:r w:rsidR="000C213F">
        <w:t>ț</w:t>
      </w:r>
      <w:r>
        <w:t>e”.</w:t>
      </w:r>
    </w:p>
    <w:p w:rsidR="009569C7" w:rsidRPr="00EC4FA2" w:rsidRDefault="00A834F1" w:rsidP="009569C7">
      <w:pPr>
        <w:pStyle w:val="Baseparagraphnumbered"/>
      </w:pPr>
      <w:r>
        <w:t xml:space="preserve">Instrumentele derivate incluse în instrumentele hibride care au fost separate de contractul-gazdă se raportează în formularele </w:t>
      </w:r>
      <w:r w:rsidRPr="004237EC">
        <w:t>10</w:t>
      </w:r>
      <w:r>
        <w:t xml:space="preserve"> </w:t>
      </w:r>
      <w:r w:rsidR="000C213F">
        <w:t>ș</w:t>
      </w:r>
      <w:r>
        <w:t xml:space="preserve">i </w:t>
      </w:r>
      <w:r w:rsidRPr="004237EC">
        <w:t>11</w:t>
      </w:r>
      <w:r>
        <w:t xml:space="preserve"> în func</w:t>
      </w:r>
      <w:r w:rsidR="000C213F">
        <w:t>ț</w:t>
      </w:r>
      <w:r>
        <w:t xml:space="preserve">ie de natura instrumentului derivat. Valoarea contractului-gazdă nu este inclusă în aceste formulare. Cu toate acestea, dacă instrumentul hibrid este evaluat la valoarea justă prin profit sau pierdere, contractul se raportează ca întreg </w:t>
      </w:r>
      <w:r w:rsidR="000C213F">
        <w:t>ș</w:t>
      </w:r>
      <w:r>
        <w:t xml:space="preserve">i instrumentele derivate încorporate nu se raportează în formularele </w:t>
      </w:r>
      <w:r w:rsidRPr="004237EC">
        <w:t>10</w:t>
      </w:r>
      <w:r>
        <w:t xml:space="preserve"> </w:t>
      </w:r>
      <w:r w:rsidR="000C213F">
        <w:t>ș</w:t>
      </w:r>
      <w:r>
        <w:t xml:space="preserve">i </w:t>
      </w:r>
      <w:r w:rsidRPr="004237EC">
        <w:t>11</w:t>
      </w:r>
      <w:r>
        <w:t>.</w:t>
      </w:r>
    </w:p>
    <w:p w:rsidR="009569C7" w:rsidRPr="00EC4FA2" w:rsidRDefault="00A834F1" w:rsidP="009569C7">
      <w:pPr>
        <w:pStyle w:val="Baseparagraphnumbered"/>
      </w:pPr>
      <w:r>
        <w:t xml:space="preserve">Angajamentele considerate instrumente derivate [IFRS </w:t>
      </w:r>
      <w:r w:rsidRPr="004237EC">
        <w:t>9</w:t>
      </w:r>
      <w:r>
        <w:t xml:space="preserve"> punctul </w:t>
      </w:r>
      <w:r w:rsidRPr="004237EC">
        <w:t>2</w:t>
      </w:r>
      <w:r>
        <w:t>.</w:t>
      </w:r>
      <w:r w:rsidRPr="004237EC">
        <w:t>3</w:t>
      </w:r>
      <w:r>
        <w:t xml:space="preserve"> litera (b)] </w:t>
      </w:r>
      <w:r w:rsidR="000C213F">
        <w:t>ș</w:t>
      </w:r>
      <w:r>
        <w:t>i instrumentele derivate de credit care nu corespund defini</w:t>
      </w:r>
      <w:r w:rsidR="000C213F">
        <w:t>ț</w:t>
      </w:r>
      <w:r>
        <w:t>iei unei garan</w:t>
      </w:r>
      <w:r w:rsidR="000C213F">
        <w:t>ț</w:t>
      </w:r>
      <w:r>
        <w:t xml:space="preserve">ii financiare de la punctul </w:t>
      </w:r>
      <w:r w:rsidRPr="004237EC">
        <w:t>114</w:t>
      </w:r>
      <w:r>
        <w:t xml:space="preserve"> din această parte a prezentei anexe se raportează în formularul </w:t>
      </w:r>
      <w:r w:rsidRPr="004237EC">
        <w:t>10</w:t>
      </w:r>
      <w:r>
        <w:t xml:space="preserve"> </w:t>
      </w:r>
      <w:r w:rsidR="000C213F">
        <w:t>ș</w:t>
      </w:r>
      <w:r>
        <w:t xml:space="preserve">i în formularul </w:t>
      </w:r>
      <w:r w:rsidRPr="004237EC">
        <w:t>11</w:t>
      </w:r>
      <w:r>
        <w:t>, respectând acelea</w:t>
      </w:r>
      <w:r w:rsidR="000C213F">
        <w:t>ș</w:t>
      </w:r>
      <w:r>
        <w:t xml:space="preserve">i defalcări ca </w:t>
      </w:r>
      <w:r w:rsidR="000C213F">
        <w:t>ș</w:t>
      </w:r>
      <w:r>
        <w:t xml:space="preserve">i celelalte instrumente derivate, dar nu se raportează în formularul </w:t>
      </w:r>
      <w:r w:rsidRPr="004237EC">
        <w:t>9</w:t>
      </w:r>
      <w:r>
        <w:t xml:space="preserve">. </w:t>
      </w:r>
    </w:p>
    <w:p w:rsidR="009569C7" w:rsidRPr="00EC4FA2" w:rsidRDefault="00A834F1" w:rsidP="009569C7">
      <w:pPr>
        <w:pStyle w:val="Baseparagraphnumbered"/>
      </w:pPr>
      <w:r>
        <w:t>Valoarea contabilă a activelor financiare nederivate sau a datoriilor financiare nederivate care sunt recunoscute ca instrument de acoperire împotriva riscurilor în conformitate cu IFRS sau cu GAAP na</w:t>
      </w:r>
      <w:r w:rsidR="000C213F">
        <w:t>ț</w:t>
      </w:r>
      <w:r>
        <w:t xml:space="preserve">ionale relevante în temeiul BAD se raportează separat în formularul </w:t>
      </w:r>
      <w:r w:rsidRPr="004237EC">
        <w:t>11</w:t>
      </w:r>
      <w:r>
        <w:t>.</w:t>
      </w:r>
      <w:r w:rsidRPr="004237EC">
        <w:t>3</w:t>
      </w:r>
      <w:r>
        <w:t xml:space="preserve">.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897551"/>
      <w:r>
        <w:t>Clasificarea instrumentelor derivate pe tipuri de riscuri</w:t>
      </w:r>
      <w:bookmarkEnd w:id="134"/>
      <w:bookmarkEnd w:id="135"/>
      <w:bookmarkEnd w:id="136"/>
      <w:bookmarkEnd w:id="137"/>
    </w:p>
    <w:p w:rsidR="009569C7" w:rsidRPr="00EC4FA2" w:rsidRDefault="00A834F1" w:rsidP="009569C7">
      <w:pPr>
        <w:pStyle w:val="Baseparagraphnumbered"/>
      </w:pPr>
      <w:r>
        <w:t>Toate instrumentele derivate se clasifică într-una din următoarele categorii de riscuri: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rata dobânzii: instrumentele derivate pe rata dobânzii sunt contracte legate de un instrument financiar purtător de dobândă ale cărui fluxuri de numerar sunt determinate prin referire la ratele dobânzii sau la alt contract pe rata dobânzii, cum ar fi o op</w:t>
      </w:r>
      <w:r w:rsidR="000C213F">
        <w:rPr>
          <w:rFonts w:ascii="Times New Roman" w:hAnsi="Times New Roman"/>
          <w:sz w:val="24"/>
        </w:rPr>
        <w:t>ț</w:t>
      </w:r>
      <w:r>
        <w:rPr>
          <w:rFonts w:ascii="Times New Roman" w:hAnsi="Times New Roman"/>
          <w:sz w:val="24"/>
        </w:rPr>
        <w:t>iune în cadrul unui contract futures de a achizi</w:t>
      </w:r>
      <w:r w:rsidR="000C213F">
        <w:rPr>
          <w:rFonts w:ascii="Times New Roman" w:hAnsi="Times New Roman"/>
          <w:sz w:val="24"/>
        </w:rPr>
        <w:t>ț</w:t>
      </w:r>
      <w:r>
        <w:rPr>
          <w:rFonts w:ascii="Times New Roman" w:hAnsi="Times New Roman"/>
          <w:sz w:val="24"/>
        </w:rPr>
        <w:t>iona un bilet de trezorerie. Această categorie se limitează la tranzac</w:t>
      </w:r>
      <w:r w:rsidR="000C213F">
        <w:rPr>
          <w:rFonts w:ascii="Times New Roman" w:hAnsi="Times New Roman"/>
          <w:sz w:val="24"/>
        </w:rPr>
        <w:t>ț</w:t>
      </w:r>
      <w:r>
        <w:rPr>
          <w:rFonts w:ascii="Times New Roman" w:hAnsi="Times New Roman"/>
          <w:sz w:val="24"/>
        </w:rPr>
        <w:t>iile în care toate păr</w:t>
      </w:r>
      <w:r w:rsidR="000C213F">
        <w:rPr>
          <w:rFonts w:ascii="Times New Roman" w:hAnsi="Times New Roman"/>
          <w:sz w:val="24"/>
        </w:rPr>
        <w:t>ț</w:t>
      </w:r>
      <w:r>
        <w:rPr>
          <w:rFonts w:ascii="Times New Roman" w:hAnsi="Times New Roman"/>
          <w:sz w:val="24"/>
        </w:rPr>
        <w:t xml:space="preserve">ile sunt expuse la rata dobânzii aferentă unei singure monede. Astfel, aceasta exclude contractele care implică schimbul </w:t>
      </w:r>
      <w:r>
        <w:rPr>
          <w:rFonts w:ascii="Times New Roman" w:hAnsi="Times New Roman"/>
          <w:sz w:val="24"/>
        </w:rPr>
        <w:lastRenderedPageBreak/>
        <w:t>uneia sau mai multor valute, cum ar fi swap-urile valutare încruci</w:t>
      </w:r>
      <w:r w:rsidR="000C213F">
        <w:rPr>
          <w:rFonts w:ascii="Times New Roman" w:hAnsi="Times New Roman"/>
          <w:sz w:val="24"/>
        </w:rPr>
        <w:t>ș</w:t>
      </w:r>
      <w:r>
        <w:rPr>
          <w:rFonts w:ascii="Times New Roman" w:hAnsi="Times New Roman"/>
          <w:sz w:val="24"/>
        </w:rPr>
        <w:t xml:space="preserve">ate </w:t>
      </w:r>
      <w:r w:rsidR="000C213F">
        <w:rPr>
          <w:rFonts w:ascii="Times New Roman" w:hAnsi="Times New Roman"/>
          <w:sz w:val="24"/>
        </w:rPr>
        <w:t>ș</w:t>
      </w:r>
      <w:r>
        <w:rPr>
          <w:rFonts w:ascii="Times New Roman" w:hAnsi="Times New Roman"/>
          <w:sz w:val="24"/>
        </w:rPr>
        <w:t>i op</w:t>
      </w:r>
      <w:r w:rsidR="000C213F">
        <w:rPr>
          <w:rFonts w:ascii="Times New Roman" w:hAnsi="Times New Roman"/>
          <w:sz w:val="24"/>
        </w:rPr>
        <w:t>ț</w:t>
      </w:r>
      <w:r>
        <w:rPr>
          <w:rFonts w:ascii="Times New Roman" w:hAnsi="Times New Roman"/>
          <w:sz w:val="24"/>
        </w:rPr>
        <w:t xml:space="preserve">iunile pe valute, precum </w:t>
      </w:r>
      <w:r w:rsidR="000C213F">
        <w:rPr>
          <w:rFonts w:ascii="Times New Roman" w:hAnsi="Times New Roman"/>
          <w:sz w:val="24"/>
        </w:rPr>
        <w:t>ș</w:t>
      </w:r>
      <w:r>
        <w:rPr>
          <w:rFonts w:ascii="Times New Roman" w:hAnsi="Times New Roman"/>
          <w:sz w:val="24"/>
        </w:rPr>
        <w:t>i alte contracte a căror caracteristică predominantă de risc este riscul de schimb valutar, care trebuie raportate drept contracte de schimb valutar. Singura excep</w:t>
      </w:r>
      <w:r w:rsidR="000C213F">
        <w:rPr>
          <w:rFonts w:ascii="Times New Roman" w:hAnsi="Times New Roman"/>
          <w:sz w:val="24"/>
        </w:rPr>
        <w:t>ț</w:t>
      </w:r>
      <w:r>
        <w:rPr>
          <w:rFonts w:ascii="Times New Roman" w:hAnsi="Times New Roman"/>
          <w:sz w:val="24"/>
        </w:rPr>
        <w:t>ie o constituie cazul în care swap-urile valutare încruci</w:t>
      </w:r>
      <w:r w:rsidR="000C213F">
        <w:rPr>
          <w:rFonts w:ascii="Times New Roman" w:hAnsi="Times New Roman"/>
          <w:sz w:val="24"/>
        </w:rPr>
        <w:t>ș</w:t>
      </w:r>
      <w:r>
        <w:rPr>
          <w:rFonts w:ascii="Times New Roman" w:hAnsi="Times New Roman"/>
          <w:sz w:val="24"/>
        </w:rPr>
        <w:t>ate sunt utilizate ca parte a unei opera</w:t>
      </w:r>
      <w:r w:rsidR="000C213F">
        <w:rPr>
          <w:rFonts w:ascii="Times New Roman" w:hAnsi="Times New Roman"/>
          <w:sz w:val="24"/>
        </w:rPr>
        <w:t>ț</w:t>
      </w:r>
      <w:r>
        <w:rPr>
          <w:rFonts w:ascii="Times New Roman" w:hAnsi="Times New Roman"/>
          <w:sz w:val="24"/>
        </w:rPr>
        <w:t>iuni de acoperire a unui portofoliu împotriva riscului de rată a dobânzii; în situa</w:t>
      </w:r>
      <w:r w:rsidR="000C213F">
        <w:rPr>
          <w:rFonts w:ascii="Times New Roman" w:hAnsi="Times New Roman"/>
          <w:sz w:val="24"/>
        </w:rPr>
        <w:t>ț</w:t>
      </w:r>
      <w:r>
        <w:rPr>
          <w:rFonts w:ascii="Times New Roman" w:hAnsi="Times New Roman"/>
          <w:sz w:val="24"/>
        </w:rPr>
        <w:t>ia respectivă, acestea se raportează la rânduri specifice pentru tipurile respective de acoperiri împotriva riscurilor. Contractele pe rata dobânzii includ contracte forward pe rata dobânzii, swap-uri pe rata dobânzii într-o singură valută, futures pe rata dobânzii, op</w:t>
      </w:r>
      <w:r w:rsidR="000C213F">
        <w:rPr>
          <w:rFonts w:ascii="Times New Roman" w:hAnsi="Times New Roman"/>
          <w:sz w:val="24"/>
        </w:rPr>
        <w:t>ț</w:t>
      </w:r>
      <w:r>
        <w:rPr>
          <w:rFonts w:ascii="Times New Roman" w:hAnsi="Times New Roman"/>
          <w:sz w:val="24"/>
        </w:rPr>
        <w:t xml:space="preserve">iuni pe rata dobânzii (inclusiv caps, floors, collars </w:t>
      </w:r>
      <w:r w:rsidR="000C213F">
        <w:rPr>
          <w:rFonts w:ascii="Times New Roman" w:hAnsi="Times New Roman"/>
          <w:sz w:val="24"/>
        </w:rPr>
        <w:t>ș</w:t>
      </w:r>
      <w:r>
        <w:rPr>
          <w:rFonts w:ascii="Times New Roman" w:hAnsi="Times New Roman"/>
          <w:sz w:val="24"/>
        </w:rPr>
        <w:t xml:space="preserve">i corridors), swaption pe rata dobânzii </w:t>
      </w:r>
      <w:r w:rsidR="000C213F">
        <w:rPr>
          <w:rFonts w:ascii="Times New Roman" w:hAnsi="Times New Roman"/>
          <w:sz w:val="24"/>
        </w:rPr>
        <w:t>ș</w:t>
      </w:r>
      <w:r>
        <w:rPr>
          <w:rFonts w:ascii="Times New Roman" w:hAnsi="Times New Roman"/>
          <w:sz w:val="24"/>
        </w:rPr>
        <w:t>i warranturi pe rata dobânzii;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titluri de capital; instrumentele derivate pe titluri de capital sunt contracte în cazul cărora randamentul sau o parte a randamentului este legat de pre</w:t>
      </w:r>
      <w:r w:rsidR="000C213F">
        <w:rPr>
          <w:rFonts w:ascii="Times New Roman" w:hAnsi="Times New Roman"/>
          <w:sz w:val="24"/>
        </w:rPr>
        <w:t>ț</w:t>
      </w:r>
      <w:r>
        <w:rPr>
          <w:rFonts w:ascii="Times New Roman" w:hAnsi="Times New Roman"/>
          <w:sz w:val="24"/>
        </w:rPr>
        <w:t>ul unui anumit titlu de capital sau de un indice al pre</w:t>
      </w:r>
      <w:r w:rsidR="000C213F">
        <w:rPr>
          <w:rFonts w:ascii="Times New Roman" w:hAnsi="Times New Roman"/>
          <w:sz w:val="24"/>
        </w:rPr>
        <w:t>ț</w:t>
      </w:r>
      <w:r>
        <w:rPr>
          <w:rFonts w:ascii="Times New Roman" w:hAnsi="Times New Roman"/>
          <w:sz w:val="24"/>
        </w:rPr>
        <w:t>urilor unui titlu de capital;</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schimb valutar </w:t>
      </w:r>
      <w:r w:rsidR="000C213F">
        <w:rPr>
          <w:rFonts w:ascii="Times New Roman" w:hAnsi="Times New Roman"/>
          <w:sz w:val="24"/>
        </w:rPr>
        <w:t>ș</w:t>
      </w:r>
      <w:r>
        <w:rPr>
          <w:rFonts w:ascii="Times New Roman" w:hAnsi="Times New Roman"/>
          <w:sz w:val="24"/>
        </w:rPr>
        <w:t>i aur: aceste instrumente derivate includ contractele care presupun schimb valutar pe pia</w:t>
      </w:r>
      <w:r w:rsidR="000C213F">
        <w:rPr>
          <w:rFonts w:ascii="Times New Roman" w:hAnsi="Times New Roman"/>
          <w:sz w:val="24"/>
        </w:rPr>
        <w:t>ț</w:t>
      </w:r>
      <w:r>
        <w:rPr>
          <w:rFonts w:ascii="Times New Roman" w:hAnsi="Times New Roman"/>
          <w:sz w:val="24"/>
        </w:rPr>
        <w:t xml:space="preserve">a la termen </w:t>
      </w:r>
      <w:r w:rsidR="000C213F">
        <w:rPr>
          <w:rFonts w:ascii="Times New Roman" w:hAnsi="Times New Roman"/>
          <w:sz w:val="24"/>
        </w:rPr>
        <w:t>ș</w:t>
      </w:r>
      <w:r>
        <w:rPr>
          <w:rFonts w:ascii="Times New Roman" w:hAnsi="Times New Roman"/>
          <w:sz w:val="24"/>
        </w:rPr>
        <w:t>i expunerea la aur. Prin urmare, acestea acoperă angajamentele ferme de cumpărare la termen, swap-urile pe cursul de schimb, swap-urile valutare (inclusiv swap-uri pe rata dobânzii în valute diferite), contracte futures pe valute, op</w:t>
      </w:r>
      <w:r w:rsidR="000C213F">
        <w:rPr>
          <w:rFonts w:ascii="Times New Roman" w:hAnsi="Times New Roman"/>
          <w:sz w:val="24"/>
        </w:rPr>
        <w:t>ț</w:t>
      </w:r>
      <w:r>
        <w:rPr>
          <w:rFonts w:ascii="Times New Roman" w:hAnsi="Times New Roman"/>
          <w:sz w:val="24"/>
        </w:rPr>
        <w:t xml:space="preserve">iuni pe valută, swaption pe valută </w:t>
      </w:r>
      <w:r w:rsidR="000C213F">
        <w:rPr>
          <w:rFonts w:ascii="Times New Roman" w:hAnsi="Times New Roman"/>
          <w:sz w:val="24"/>
        </w:rPr>
        <w:t>ș</w:t>
      </w:r>
      <w:r>
        <w:rPr>
          <w:rFonts w:ascii="Times New Roman" w:hAnsi="Times New Roman"/>
          <w:sz w:val="24"/>
        </w:rPr>
        <w:t>i warrant pe valută. Instrumentele derivate pe cursul de schimb includ toate tranzac</w:t>
      </w:r>
      <w:r w:rsidR="000C213F">
        <w:rPr>
          <w:rFonts w:ascii="Times New Roman" w:hAnsi="Times New Roman"/>
          <w:sz w:val="24"/>
        </w:rPr>
        <w:t>ț</w:t>
      </w:r>
      <w:r>
        <w:rPr>
          <w:rFonts w:ascii="Times New Roman" w:hAnsi="Times New Roman"/>
          <w:sz w:val="24"/>
        </w:rPr>
        <w:t>iile care implică expunerea la mai multe valute, fie prin rate de schimb, fie prin rate ale dobânzii, cu excep</w:t>
      </w:r>
      <w:r w:rsidR="000C213F">
        <w:rPr>
          <w:rFonts w:ascii="Times New Roman" w:hAnsi="Times New Roman"/>
          <w:sz w:val="24"/>
        </w:rPr>
        <w:t>ț</w:t>
      </w:r>
      <w:r>
        <w:rPr>
          <w:rFonts w:ascii="Times New Roman" w:hAnsi="Times New Roman"/>
          <w:sz w:val="24"/>
        </w:rPr>
        <w:t>ia cazului în care swap-urile valutare încruci</w:t>
      </w:r>
      <w:r w:rsidR="000C213F">
        <w:rPr>
          <w:rFonts w:ascii="Times New Roman" w:hAnsi="Times New Roman"/>
          <w:sz w:val="24"/>
        </w:rPr>
        <w:t>ș</w:t>
      </w:r>
      <w:r>
        <w:rPr>
          <w:rFonts w:ascii="Times New Roman" w:hAnsi="Times New Roman"/>
          <w:sz w:val="24"/>
        </w:rPr>
        <w:t>ate sunt utilizate în cadrul unei opera</w:t>
      </w:r>
      <w:r w:rsidR="000C213F">
        <w:rPr>
          <w:rFonts w:ascii="Times New Roman" w:hAnsi="Times New Roman"/>
          <w:sz w:val="24"/>
        </w:rPr>
        <w:t>ț</w:t>
      </w:r>
      <w:r>
        <w:rPr>
          <w:rFonts w:ascii="Times New Roman" w:hAnsi="Times New Roman"/>
          <w:sz w:val="24"/>
        </w:rPr>
        <w:t>iuni de acoperire a unui portofoliu împotriva riscului de rată a dobânzii. Contractele pe aur includ toate tranzac</w:t>
      </w:r>
      <w:r w:rsidR="000C213F">
        <w:rPr>
          <w:rFonts w:ascii="Times New Roman" w:hAnsi="Times New Roman"/>
          <w:sz w:val="24"/>
        </w:rPr>
        <w:t>ț</w:t>
      </w:r>
      <w:r>
        <w:rPr>
          <w:rFonts w:ascii="Times New Roman" w:hAnsi="Times New Roman"/>
          <w:sz w:val="24"/>
        </w:rPr>
        <w:t>iile care implică expunerea la această marfă;</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credit: instrumentele derivate de credit sunt contracte în care plata este legată în primul rând de o măsură a bonită</w:t>
      </w:r>
      <w:r w:rsidR="000C213F">
        <w:rPr>
          <w:rFonts w:ascii="Times New Roman" w:hAnsi="Times New Roman"/>
          <w:sz w:val="24"/>
        </w:rPr>
        <w:t>ț</w:t>
      </w:r>
      <w:r>
        <w:rPr>
          <w:rFonts w:ascii="Times New Roman" w:hAnsi="Times New Roman"/>
          <w:sz w:val="24"/>
        </w:rPr>
        <w:t>ii unui anumit credit de referin</w:t>
      </w:r>
      <w:r w:rsidR="000C213F">
        <w:rPr>
          <w:rFonts w:ascii="Times New Roman" w:hAnsi="Times New Roman"/>
          <w:sz w:val="24"/>
        </w:rPr>
        <w:t>ț</w:t>
      </w:r>
      <w:r>
        <w:rPr>
          <w:rFonts w:ascii="Times New Roman" w:hAnsi="Times New Roman"/>
          <w:sz w:val="24"/>
        </w:rPr>
        <w:t xml:space="preserve">ă </w:t>
      </w:r>
      <w:r w:rsidR="000C213F">
        <w:rPr>
          <w:rFonts w:ascii="Times New Roman" w:hAnsi="Times New Roman"/>
          <w:sz w:val="24"/>
        </w:rPr>
        <w:t>ș</w:t>
      </w:r>
      <w:r>
        <w:rPr>
          <w:rFonts w:ascii="Times New Roman" w:hAnsi="Times New Roman"/>
          <w:sz w:val="24"/>
        </w:rPr>
        <w:t>i care nu corespund defini</w:t>
      </w:r>
      <w:r w:rsidR="000C213F">
        <w:rPr>
          <w:rFonts w:ascii="Times New Roman" w:hAnsi="Times New Roman"/>
          <w:sz w:val="24"/>
        </w:rPr>
        <w:t>ț</w:t>
      </w:r>
      <w:r>
        <w:rPr>
          <w:rFonts w:ascii="Times New Roman" w:hAnsi="Times New Roman"/>
          <w:sz w:val="24"/>
        </w:rPr>
        <w:t>iei garan</w:t>
      </w:r>
      <w:r w:rsidR="000C213F">
        <w:rPr>
          <w:rFonts w:ascii="Times New Roman" w:hAnsi="Times New Roman"/>
          <w:sz w:val="24"/>
        </w:rPr>
        <w:t>ț</w:t>
      </w:r>
      <w:r>
        <w:rPr>
          <w:rFonts w:ascii="Times New Roman" w:hAnsi="Times New Roman"/>
          <w:sz w:val="24"/>
        </w:rPr>
        <w:t xml:space="preserve">iilor financiare [IFRS </w:t>
      </w:r>
      <w:r w:rsidRPr="004237EC">
        <w:rPr>
          <w:rFonts w:ascii="Times New Roman" w:hAnsi="Times New Roman"/>
          <w:sz w:val="24"/>
        </w:rPr>
        <w:t>9</w:t>
      </w:r>
      <w:r>
        <w:rPr>
          <w:rFonts w:ascii="Times New Roman" w:hAnsi="Times New Roman"/>
          <w:sz w:val="24"/>
        </w:rPr>
        <w:t>]. Contractele men</w:t>
      </w:r>
      <w:r w:rsidR="000C213F">
        <w:rPr>
          <w:rFonts w:ascii="Times New Roman" w:hAnsi="Times New Roman"/>
          <w:sz w:val="24"/>
        </w:rPr>
        <w:t>ț</w:t>
      </w:r>
      <w:r>
        <w:rPr>
          <w:rFonts w:ascii="Times New Roman" w:hAnsi="Times New Roman"/>
          <w:sz w:val="24"/>
        </w:rPr>
        <w:t>ionează un schimb de plă</w:t>
      </w:r>
      <w:r w:rsidR="000C213F">
        <w:rPr>
          <w:rFonts w:ascii="Times New Roman" w:hAnsi="Times New Roman"/>
          <w:sz w:val="24"/>
        </w:rPr>
        <w:t>ț</w:t>
      </w:r>
      <w:r>
        <w:rPr>
          <w:rFonts w:ascii="Times New Roman" w:hAnsi="Times New Roman"/>
          <w:sz w:val="24"/>
        </w:rPr>
        <w:t>i în care cel pu</w:t>
      </w:r>
      <w:r w:rsidR="000C213F">
        <w:rPr>
          <w:rFonts w:ascii="Times New Roman" w:hAnsi="Times New Roman"/>
          <w:sz w:val="24"/>
        </w:rPr>
        <w:t>ț</w:t>
      </w:r>
      <w:r>
        <w:rPr>
          <w:rFonts w:ascii="Times New Roman" w:hAnsi="Times New Roman"/>
          <w:sz w:val="24"/>
        </w:rPr>
        <w:t>in una dintre cele două păr</w:t>
      </w:r>
      <w:r w:rsidR="000C213F">
        <w:rPr>
          <w:rFonts w:ascii="Times New Roman" w:hAnsi="Times New Roman"/>
          <w:sz w:val="24"/>
        </w:rPr>
        <w:t>ț</w:t>
      </w:r>
      <w:r>
        <w:rPr>
          <w:rFonts w:ascii="Times New Roman" w:hAnsi="Times New Roman"/>
          <w:sz w:val="24"/>
        </w:rPr>
        <w:t>i este determinată de performan</w:t>
      </w:r>
      <w:r w:rsidR="000C213F">
        <w:rPr>
          <w:rFonts w:ascii="Times New Roman" w:hAnsi="Times New Roman"/>
          <w:sz w:val="24"/>
        </w:rPr>
        <w:t>ț</w:t>
      </w:r>
      <w:r>
        <w:rPr>
          <w:rFonts w:ascii="Times New Roman" w:hAnsi="Times New Roman"/>
          <w:sz w:val="24"/>
        </w:rPr>
        <w:t>a creditului de referin</w:t>
      </w:r>
      <w:r w:rsidR="000C213F">
        <w:rPr>
          <w:rFonts w:ascii="Times New Roman" w:hAnsi="Times New Roman"/>
          <w:sz w:val="24"/>
        </w:rPr>
        <w:t>ț</w:t>
      </w:r>
      <w:r>
        <w:rPr>
          <w:rFonts w:ascii="Times New Roman" w:hAnsi="Times New Roman"/>
          <w:sz w:val="24"/>
        </w:rPr>
        <w:t>ă. Plă</w:t>
      </w:r>
      <w:r w:rsidR="000C213F">
        <w:rPr>
          <w:rFonts w:ascii="Times New Roman" w:hAnsi="Times New Roman"/>
          <w:sz w:val="24"/>
        </w:rPr>
        <w:t>ț</w:t>
      </w:r>
      <w:r>
        <w:rPr>
          <w:rFonts w:ascii="Times New Roman" w:hAnsi="Times New Roman"/>
          <w:sz w:val="24"/>
        </w:rPr>
        <w:t>ile pot fi determinate de mai multe evenimente, inclusiv o nerespectare a obliga</w:t>
      </w:r>
      <w:r w:rsidR="000C213F">
        <w:rPr>
          <w:rFonts w:ascii="Times New Roman" w:hAnsi="Times New Roman"/>
          <w:sz w:val="24"/>
        </w:rPr>
        <w:t>ț</w:t>
      </w:r>
      <w:r>
        <w:rPr>
          <w:rFonts w:ascii="Times New Roman" w:hAnsi="Times New Roman"/>
          <w:sz w:val="24"/>
        </w:rPr>
        <w:t>iilor de plată, o scădere a ratingului sau o modificare stipulată a marjei de credit a activului de referin</w:t>
      </w:r>
      <w:r w:rsidR="000C213F">
        <w:rPr>
          <w:rFonts w:ascii="Times New Roman" w:hAnsi="Times New Roman"/>
          <w:sz w:val="24"/>
        </w:rPr>
        <w:t>ț</w:t>
      </w:r>
      <w:r>
        <w:rPr>
          <w:rFonts w:ascii="Times New Roman" w:hAnsi="Times New Roman"/>
          <w:sz w:val="24"/>
        </w:rPr>
        <w:t>ă. Instrumentele derivate de credit care corespund defini</w:t>
      </w:r>
      <w:r w:rsidR="000C213F">
        <w:rPr>
          <w:rFonts w:ascii="Times New Roman" w:hAnsi="Times New Roman"/>
          <w:sz w:val="24"/>
        </w:rPr>
        <w:t>ț</w:t>
      </w:r>
      <w:r>
        <w:rPr>
          <w:rFonts w:ascii="Times New Roman" w:hAnsi="Times New Roman"/>
          <w:sz w:val="24"/>
        </w:rPr>
        <w:t>iei unei garan</w:t>
      </w:r>
      <w:r w:rsidR="000C213F">
        <w:rPr>
          <w:rFonts w:ascii="Times New Roman" w:hAnsi="Times New Roman"/>
          <w:sz w:val="24"/>
        </w:rPr>
        <w:t>ț</w:t>
      </w:r>
      <w:r>
        <w:rPr>
          <w:rFonts w:ascii="Times New Roman" w:hAnsi="Times New Roman"/>
          <w:sz w:val="24"/>
        </w:rPr>
        <w:t xml:space="preserve">ii financiare de la punctul </w:t>
      </w:r>
      <w:r w:rsidRPr="004237EC">
        <w:rPr>
          <w:rFonts w:ascii="Times New Roman" w:hAnsi="Times New Roman"/>
          <w:sz w:val="24"/>
        </w:rPr>
        <w:t>114</w:t>
      </w:r>
      <w:r>
        <w:rPr>
          <w:rFonts w:ascii="Times New Roman" w:hAnsi="Times New Roman"/>
          <w:sz w:val="24"/>
        </w:rPr>
        <w:t xml:space="preserve"> din această parte a prezentei anexe se raportează numai în formularul </w:t>
      </w:r>
      <w:r w:rsidRPr="004237EC">
        <w:rPr>
          <w:rFonts w:ascii="Times New Roman" w:hAnsi="Times New Roman"/>
          <w:sz w:val="24"/>
        </w:rPr>
        <w:t>9</w:t>
      </w:r>
      <w:r>
        <w:rPr>
          <w:rFonts w:ascii="Times New Roman" w:hAnsi="Times New Roman"/>
          <w:sz w:val="24"/>
        </w:rPr>
        <w:t xml:space="preserve">;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marfă: aceste instrumente derivate sunt contracte în cazul cărora randamentul sau o parte a randamentului este legat(ă) de pre</w:t>
      </w:r>
      <w:r w:rsidR="000C213F">
        <w:rPr>
          <w:rFonts w:ascii="Times New Roman" w:hAnsi="Times New Roman"/>
          <w:sz w:val="24"/>
        </w:rPr>
        <w:t>ț</w:t>
      </w:r>
      <w:r>
        <w:rPr>
          <w:rFonts w:ascii="Times New Roman" w:hAnsi="Times New Roman"/>
          <w:sz w:val="24"/>
        </w:rPr>
        <w:t>ul sau indicele de pre</w:t>
      </w:r>
      <w:r w:rsidR="000C213F">
        <w:rPr>
          <w:rFonts w:ascii="Times New Roman" w:hAnsi="Times New Roman"/>
          <w:sz w:val="24"/>
        </w:rPr>
        <w:t>ț</w:t>
      </w:r>
      <w:r>
        <w:rPr>
          <w:rFonts w:ascii="Times New Roman" w:hAnsi="Times New Roman"/>
          <w:sz w:val="24"/>
        </w:rPr>
        <w:t xml:space="preserve"> al unor mărfuri cum ar fi un metal pre</w:t>
      </w:r>
      <w:r w:rsidR="000C213F">
        <w:rPr>
          <w:rFonts w:ascii="Times New Roman" w:hAnsi="Times New Roman"/>
          <w:sz w:val="24"/>
        </w:rPr>
        <w:t>ț</w:t>
      </w:r>
      <w:r>
        <w:rPr>
          <w:rFonts w:ascii="Times New Roman" w:hAnsi="Times New Roman"/>
          <w:sz w:val="24"/>
        </w:rPr>
        <w:t>ios (cu excep</w:t>
      </w:r>
      <w:r w:rsidR="000C213F">
        <w:rPr>
          <w:rFonts w:ascii="Times New Roman" w:hAnsi="Times New Roman"/>
          <w:sz w:val="24"/>
        </w:rPr>
        <w:t>ț</w:t>
      </w:r>
      <w:r>
        <w:rPr>
          <w:rFonts w:ascii="Times New Roman" w:hAnsi="Times New Roman"/>
          <w:sz w:val="24"/>
        </w:rPr>
        <w:t>ia aurului), petrolul, lemnul sau produsele agricole;</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altele: aceste instrumente derivate sunt oricare alte contracte derivate care nu implică o expunere la riscul de curs valutar, de rată a dobânzii, la riscul de devalorizare a ac</w:t>
      </w:r>
      <w:r w:rsidR="000C213F">
        <w:rPr>
          <w:rFonts w:ascii="Times New Roman" w:hAnsi="Times New Roman"/>
          <w:sz w:val="24"/>
        </w:rPr>
        <w:t>ț</w:t>
      </w:r>
      <w:r>
        <w:rPr>
          <w:rFonts w:ascii="Times New Roman" w:hAnsi="Times New Roman"/>
          <w:sz w:val="24"/>
        </w:rPr>
        <w:t>iunilor, la riscul de marfă sau de credit, cum ar fi instrumentele derivate climatice sau instrumentele derivate de asigurări.</w:t>
      </w:r>
    </w:p>
    <w:p w:rsidR="009569C7" w:rsidRPr="00EC4FA2" w:rsidRDefault="00A834F1" w:rsidP="009569C7">
      <w:pPr>
        <w:pStyle w:val="Baseparagraphnumbered"/>
      </w:pPr>
      <w:r>
        <w:lastRenderedPageBreak/>
        <w:t>În cazul în care un instrument derivat este influen</w:t>
      </w:r>
      <w:r w:rsidR="000C213F">
        <w:t>ț</w:t>
      </w:r>
      <w:r>
        <w:t>at de mai multe tipuri de riscuri-suport, instrumentul se alocă tipului de risc celui mai sensibil. Pentru instrumentele derivate cu expunere multiplă, în caz de incertitudine, tranzac</w:t>
      </w:r>
      <w:r w:rsidR="000C213F">
        <w:t>ț</w:t>
      </w:r>
      <w:r>
        <w:t>iile se alocă în func</w:t>
      </w:r>
      <w:r w:rsidR="000C213F">
        <w:t>ț</w:t>
      </w:r>
      <w:r>
        <w:t>ie de următoarea ordine de prioritate: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mărfuri: toate tranzac</w:t>
      </w:r>
      <w:r w:rsidR="000C213F">
        <w:rPr>
          <w:rFonts w:ascii="Times New Roman" w:hAnsi="Times New Roman"/>
          <w:sz w:val="24"/>
        </w:rPr>
        <w:t>ț</w:t>
      </w:r>
      <w:r>
        <w:rPr>
          <w:rFonts w:ascii="Times New Roman" w:hAnsi="Times New Roman"/>
          <w:sz w:val="24"/>
        </w:rPr>
        <w:t>iile cu instrumente derivate care implică o expunere la mărfuri sau la un indice de mărfuri, indiferent dacă implică sau nu o expunere comună la mărfuri sau la oricare altă categorie de risc care ar putea include riscul de curs valutar, riscul de rată a dobânzii sau riscul de devalorizare a ac</w:t>
      </w:r>
      <w:r w:rsidR="000C213F">
        <w:rPr>
          <w:rFonts w:ascii="Times New Roman" w:hAnsi="Times New Roman"/>
          <w:sz w:val="24"/>
        </w:rPr>
        <w:t>ț</w:t>
      </w:r>
      <w:r>
        <w:rPr>
          <w:rFonts w:ascii="Times New Roman" w:hAnsi="Times New Roman"/>
          <w:sz w:val="24"/>
        </w:rPr>
        <w:t>iunilor, se raportează în această categorie;</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titluri de capital: cu excep</w:t>
      </w:r>
      <w:r w:rsidR="000C213F">
        <w:rPr>
          <w:rFonts w:ascii="Times New Roman" w:hAnsi="Times New Roman"/>
          <w:sz w:val="24"/>
        </w:rPr>
        <w:t>ț</w:t>
      </w:r>
      <w:r>
        <w:rPr>
          <w:rFonts w:ascii="Times New Roman" w:hAnsi="Times New Roman"/>
          <w:sz w:val="24"/>
        </w:rPr>
        <w:t xml:space="preserve">ia contractelor cu expunere comună pe mărfuri </w:t>
      </w:r>
      <w:r w:rsidR="000C213F">
        <w:rPr>
          <w:rFonts w:ascii="Times New Roman" w:hAnsi="Times New Roman"/>
          <w:sz w:val="24"/>
        </w:rPr>
        <w:t>ș</w:t>
      </w:r>
      <w:r>
        <w:rPr>
          <w:rFonts w:ascii="Times New Roman" w:hAnsi="Times New Roman"/>
          <w:sz w:val="24"/>
        </w:rPr>
        <w:t>i pe titluri de capital, care se raportează ca mărfuri, toate tranzac</w:t>
      </w:r>
      <w:r w:rsidR="000C213F">
        <w:rPr>
          <w:rFonts w:ascii="Times New Roman" w:hAnsi="Times New Roman"/>
          <w:sz w:val="24"/>
        </w:rPr>
        <w:t>ț</w:t>
      </w:r>
      <w:r>
        <w:rPr>
          <w:rFonts w:ascii="Times New Roman" w:hAnsi="Times New Roman"/>
          <w:sz w:val="24"/>
        </w:rPr>
        <w:t>iile cu instrumente derivate corelate cu performan</w:t>
      </w:r>
      <w:r w:rsidR="000C213F">
        <w:rPr>
          <w:rFonts w:ascii="Times New Roman" w:hAnsi="Times New Roman"/>
          <w:sz w:val="24"/>
        </w:rPr>
        <w:t>ț</w:t>
      </w:r>
      <w:r>
        <w:rPr>
          <w:rFonts w:ascii="Times New Roman" w:hAnsi="Times New Roman"/>
          <w:sz w:val="24"/>
        </w:rPr>
        <w:t>a titlurilor de capital sau a indicilor titlurilor de capital se raportează în categoria titlurilor de capital. Tranzac</w:t>
      </w:r>
      <w:r w:rsidR="000C213F">
        <w:rPr>
          <w:rFonts w:ascii="Times New Roman" w:hAnsi="Times New Roman"/>
          <w:sz w:val="24"/>
        </w:rPr>
        <w:t>ț</w:t>
      </w:r>
      <w:r>
        <w:rPr>
          <w:rFonts w:ascii="Times New Roman" w:hAnsi="Times New Roman"/>
          <w:sz w:val="24"/>
        </w:rPr>
        <w:t xml:space="preserve">iile cu instrumente de capital cu expunere pe cursul de schimb sau pe rata dobânzii ar trebui incluse în această categorie;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schimb valutar </w:t>
      </w:r>
      <w:r w:rsidR="000C213F">
        <w:rPr>
          <w:rFonts w:ascii="Times New Roman" w:hAnsi="Times New Roman"/>
          <w:sz w:val="24"/>
        </w:rPr>
        <w:t>ș</w:t>
      </w:r>
      <w:r>
        <w:rPr>
          <w:rFonts w:ascii="Times New Roman" w:hAnsi="Times New Roman"/>
          <w:sz w:val="24"/>
        </w:rPr>
        <w:t>i aur: această categorie include toate tranzac</w:t>
      </w:r>
      <w:r w:rsidR="000C213F">
        <w:rPr>
          <w:rFonts w:ascii="Times New Roman" w:hAnsi="Times New Roman"/>
          <w:sz w:val="24"/>
        </w:rPr>
        <w:t>ț</w:t>
      </w:r>
      <w:r>
        <w:rPr>
          <w:rFonts w:ascii="Times New Roman" w:hAnsi="Times New Roman"/>
          <w:sz w:val="24"/>
        </w:rPr>
        <w:t>iile cu instrumente derivate (cu excep</w:t>
      </w:r>
      <w:r w:rsidR="000C213F">
        <w:rPr>
          <w:rFonts w:ascii="Times New Roman" w:hAnsi="Times New Roman"/>
          <w:sz w:val="24"/>
        </w:rPr>
        <w:t>ț</w:t>
      </w:r>
      <w:r>
        <w:rPr>
          <w:rFonts w:ascii="Times New Roman" w:hAnsi="Times New Roman"/>
          <w:sz w:val="24"/>
        </w:rPr>
        <w:t>ia celor deja raportate în categoriile privind mărfurile sau titlurile de capital) cu expunere la mai multe valute, fie că apar</w:t>
      </w:r>
      <w:r w:rsidR="000C213F">
        <w:rPr>
          <w:rFonts w:ascii="Times New Roman" w:hAnsi="Times New Roman"/>
          <w:sz w:val="24"/>
        </w:rPr>
        <w:t>ț</w:t>
      </w:r>
      <w:r>
        <w:rPr>
          <w:rFonts w:ascii="Times New Roman" w:hAnsi="Times New Roman"/>
          <w:sz w:val="24"/>
        </w:rPr>
        <w:t>in instrumentelor financiare purtătoare de dobândă, instrumentelor pe rate de schimb, cu excep</w:t>
      </w:r>
      <w:r w:rsidR="000C213F">
        <w:rPr>
          <w:rFonts w:ascii="Times New Roman" w:hAnsi="Times New Roman"/>
          <w:sz w:val="24"/>
        </w:rPr>
        <w:t>ț</w:t>
      </w:r>
      <w:r>
        <w:rPr>
          <w:rFonts w:ascii="Times New Roman" w:hAnsi="Times New Roman"/>
          <w:sz w:val="24"/>
        </w:rPr>
        <w:t>ia cazului în care swap-urile valutare încruci</w:t>
      </w:r>
      <w:r w:rsidR="000C213F">
        <w:rPr>
          <w:rFonts w:ascii="Times New Roman" w:hAnsi="Times New Roman"/>
          <w:sz w:val="24"/>
        </w:rPr>
        <w:t>ș</w:t>
      </w:r>
      <w:r>
        <w:rPr>
          <w:rFonts w:ascii="Times New Roman" w:hAnsi="Times New Roman"/>
          <w:sz w:val="24"/>
        </w:rPr>
        <w:t>ate sunt utilizate în cadrul unei opera</w:t>
      </w:r>
      <w:r w:rsidR="000C213F">
        <w:rPr>
          <w:rFonts w:ascii="Times New Roman" w:hAnsi="Times New Roman"/>
          <w:sz w:val="24"/>
        </w:rPr>
        <w:t>ț</w:t>
      </w:r>
      <w:r>
        <w:rPr>
          <w:rFonts w:ascii="Times New Roman" w:hAnsi="Times New Roman"/>
          <w:sz w:val="24"/>
        </w:rPr>
        <w:t>iuni de acoperire a unui portofoliu împotriva riscului de rată a dobânzii.</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485897552"/>
      <w:r>
        <w:t>Cuantumurile de raportat pentru instrumentele derivate</w:t>
      </w:r>
      <w:bookmarkEnd w:id="138"/>
      <w:bookmarkEnd w:id="139"/>
      <w:bookmarkEnd w:id="140"/>
      <w:bookmarkEnd w:id="141"/>
    </w:p>
    <w:p w:rsidR="009569C7" w:rsidRPr="00EC4FA2" w:rsidRDefault="00A834F1" w:rsidP="009569C7">
      <w:pPr>
        <w:pStyle w:val="Baseparagraphnumbered"/>
      </w:pPr>
      <w:r>
        <w:t>Conform IFRS, „valoarea contabilă” pentru toate instrumentele derivate (pentru acoperirea împotriva riscurilor sau destinate tranzac</w:t>
      </w:r>
      <w:r w:rsidR="000C213F">
        <w:t>ț</w:t>
      </w:r>
      <w:r>
        <w:t xml:space="preserve">ionării) este valoarea justă. Instrumentele derivate cu o valoare justă pozitivă (peste zero) sunt „active financiare”, iar instrumentele derivate cu o valoare justă negativă (sub zero) sunt „datorii financiare”. „Valoarea contabilă” se raportează separat pentru instrumentele derivate cu o valoare justă pozitivă („active financiare”) </w:t>
      </w:r>
      <w:r w:rsidR="000C213F">
        <w:t>ș</w:t>
      </w:r>
      <w:r>
        <w:t>i pentru cele cu o valoare justă negativă („datorii financiare”). La data recunoa</w:t>
      </w:r>
      <w:r w:rsidR="000C213F">
        <w:t>ș</w:t>
      </w:r>
      <w:r>
        <w:t>terii ini</w:t>
      </w:r>
      <w:r w:rsidR="000C213F">
        <w:t>ț</w:t>
      </w:r>
      <w:r>
        <w:t>iale, un instrument derivat este clasificat ca „activ financiar” sau ca „datorie financiară” în func</w:t>
      </w:r>
      <w:r w:rsidR="000C213F">
        <w:t>ț</w:t>
      </w:r>
      <w:r>
        <w:t>ie de valoarea sa justă ini</w:t>
      </w:r>
      <w:r w:rsidR="000C213F">
        <w:t>ț</w:t>
      </w:r>
      <w:r>
        <w:t>ială. Ulterior recunoa</w:t>
      </w:r>
      <w:r w:rsidR="000C213F">
        <w:t>ș</w:t>
      </w:r>
      <w:r>
        <w:t>terii ini</w:t>
      </w:r>
      <w:r w:rsidR="000C213F">
        <w:t>ț</w:t>
      </w:r>
      <w:r>
        <w:t>iale, pe măsură ce valoarea justă a unui instrument derivat cre</w:t>
      </w:r>
      <w:r w:rsidR="000C213F">
        <w:t>ș</w:t>
      </w:r>
      <w:r>
        <w:t>te sau scade, termenii de schimb pot deveni fie favorabili institu</w:t>
      </w:r>
      <w:r w:rsidR="000C213F">
        <w:t>ț</w:t>
      </w:r>
      <w:r>
        <w:t>iei (</w:t>
      </w:r>
      <w:r w:rsidR="000C213F">
        <w:t>ș</w:t>
      </w:r>
      <w:r>
        <w:t>i instrumentul derivat este clasificat ca „activ financiar”), fie defavorabili (</w:t>
      </w:r>
      <w:r w:rsidR="000C213F">
        <w:t>ș</w:t>
      </w:r>
      <w:r>
        <w:t>i instrumentul derivat este clasificat ca „datorie financiară”). Valoarea contabilă a instrumentelor derivate de acoperire împotriva riscurilor este întreaga lor valoare justă, inclusiv, după caz, componentele acestei valori juste care nu sunt desemnate ca instrumente de acoperire împotriva riscurilor.</w:t>
      </w:r>
    </w:p>
    <w:p w:rsidR="009569C7" w:rsidRPr="00EC4FA2" w:rsidRDefault="00A834F1" w:rsidP="009569C7">
      <w:pPr>
        <w:pStyle w:val="Baseparagraphnumbered"/>
      </w:pPr>
      <w:r>
        <w:t xml:space="preserve">Pe lângă valorile contabile, astfel cum sunt definite la punctul </w:t>
      </w:r>
      <w:r w:rsidRPr="004237EC">
        <w:t>27</w:t>
      </w:r>
      <w:r>
        <w:t xml:space="preserve"> din partea </w:t>
      </w:r>
      <w:r w:rsidRPr="004237EC">
        <w:t>1</w:t>
      </w:r>
      <w:r>
        <w:t xml:space="preserve"> a prezentei anexe, valorile juste se raportează de către institu</w:t>
      </w:r>
      <w:r w:rsidR="000C213F">
        <w:t>ț</w:t>
      </w:r>
      <w:r>
        <w:t>iile raportoare care aplică GAAP na</w:t>
      </w:r>
      <w:r w:rsidR="000C213F">
        <w:t>ț</w:t>
      </w:r>
      <w:r>
        <w:t>ionale bazate pe BAD pentru toate instrumentele derivate, indiferent dacă acestea trebuie înscrise în bilan</w:t>
      </w:r>
      <w:r w:rsidR="000C213F">
        <w:t>ț</w:t>
      </w:r>
      <w:r>
        <w:t xml:space="preserve"> sau în afara bilan</w:t>
      </w:r>
      <w:r w:rsidR="000C213F">
        <w:t>ț</w:t>
      </w:r>
      <w:r>
        <w:t>ului conform GAAP na</w:t>
      </w:r>
      <w:r w:rsidR="000C213F">
        <w:t>ț</w:t>
      </w:r>
      <w:r>
        <w:t>ionale bazate pe BAD.</w:t>
      </w:r>
    </w:p>
    <w:p w:rsidR="009569C7" w:rsidRPr="00EC4FA2" w:rsidRDefault="00A834F1" w:rsidP="009569C7">
      <w:pPr>
        <w:pStyle w:val="Baseparagraphnumbered"/>
        <w:ind w:left="851"/>
      </w:pPr>
      <w:r>
        <w:lastRenderedPageBreak/>
        <w:t>„Valoarea no</w:t>
      </w:r>
      <w:r w:rsidR="000C213F">
        <w:t>ț</w:t>
      </w:r>
      <w:r>
        <w:t>ională” este valoarea nominală brută a tuturor tranzac</w:t>
      </w:r>
      <w:r w:rsidR="000C213F">
        <w:t>ț</w:t>
      </w:r>
      <w:r>
        <w:t xml:space="preserve">iilor încheiate </w:t>
      </w:r>
      <w:r w:rsidR="000C213F">
        <w:t>ș</w:t>
      </w:r>
      <w:r>
        <w:t>i nedecontate încă la data de referin</w:t>
      </w:r>
      <w:r w:rsidR="000C213F">
        <w:t>ț</w:t>
      </w:r>
      <w:r>
        <w:t>ă, indiferent dacă aceste tranzac</w:t>
      </w:r>
      <w:r w:rsidR="000C213F">
        <w:t>ț</w:t>
      </w:r>
      <w:r>
        <w:t>ii conduc la înscrierea în bilan</w:t>
      </w:r>
      <w:r w:rsidR="000C213F">
        <w:t>ț</w:t>
      </w:r>
      <w:r>
        <w:t xml:space="preserve"> a unor expuneri pe instrumente derivate. În special, următoarele elemente se iau în calcul la determinarea valorii no</w:t>
      </w:r>
      <w:r w:rsidR="000C213F">
        <w:t>ț</w:t>
      </w:r>
      <w:r>
        <w:t>ionale: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pentru contractele cu valori nominale sau valori ale principalului no</w:t>
      </w:r>
      <w:r w:rsidR="000C213F">
        <w:rPr>
          <w:rFonts w:ascii="Times New Roman" w:hAnsi="Times New Roman"/>
          <w:sz w:val="24"/>
        </w:rPr>
        <w:t>ț</w:t>
      </w:r>
      <w:r>
        <w:rPr>
          <w:rFonts w:ascii="Times New Roman" w:hAnsi="Times New Roman"/>
          <w:sz w:val="24"/>
        </w:rPr>
        <w:t>ional variabile, baza pentru raportare o constituie valoarea nominală sau a principalului no</w:t>
      </w:r>
      <w:r w:rsidR="000C213F">
        <w:rPr>
          <w:rFonts w:ascii="Times New Roman" w:hAnsi="Times New Roman"/>
          <w:sz w:val="24"/>
        </w:rPr>
        <w:t>ț</w:t>
      </w:r>
      <w:r>
        <w:rPr>
          <w:rFonts w:ascii="Times New Roman" w:hAnsi="Times New Roman"/>
          <w:sz w:val="24"/>
        </w:rPr>
        <w:t>ional la data de referin</w:t>
      </w:r>
      <w:r w:rsidR="000C213F">
        <w:rPr>
          <w:rFonts w:ascii="Times New Roman" w:hAnsi="Times New Roman"/>
          <w:sz w:val="24"/>
        </w:rPr>
        <w:t>ț</w:t>
      </w:r>
      <w:r>
        <w:rPr>
          <w:rFonts w:ascii="Times New Roman" w:hAnsi="Times New Roman"/>
          <w:sz w:val="24"/>
        </w:rPr>
        <w:t>ă;</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valoarea no</w:t>
      </w:r>
      <w:r w:rsidR="000C213F">
        <w:rPr>
          <w:rFonts w:ascii="Times New Roman" w:hAnsi="Times New Roman"/>
          <w:sz w:val="24"/>
        </w:rPr>
        <w:t>ț</w:t>
      </w:r>
      <w:r>
        <w:rPr>
          <w:rFonts w:ascii="Times New Roman" w:hAnsi="Times New Roman"/>
          <w:sz w:val="24"/>
        </w:rPr>
        <w:t>ională care trebuie raportată pentru un contract pe instrumente derivate cu o componentă de multiplicare este valoarea no</w:t>
      </w:r>
      <w:r w:rsidR="000C213F">
        <w:rPr>
          <w:rFonts w:ascii="Times New Roman" w:hAnsi="Times New Roman"/>
          <w:sz w:val="24"/>
        </w:rPr>
        <w:t>ț</w:t>
      </w:r>
      <w:r>
        <w:rPr>
          <w:rFonts w:ascii="Times New Roman" w:hAnsi="Times New Roman"/>
          <w:sz w:val="24"/>
        </w:rPr>
        <w:t>ională efectivă sau valoarea nominală a contractului;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swap-uri: valoarea no</w:t>
      </w:r>
      <w:r w:rsidR="000C213F">
        <w:rPr>
          <w:rFonts w:ascii="Times New Roman" w:hAnsi="Times New Roman"/>
          <w:sz w:val="24"/>
        </w:rPr>
        <w:t>ț</w:t>
      </w:r>
      <w:r>
        <w:rPr>
          <w:rFonts w:ascii="Times New Roman" w:hAnsi="Times New Roman"/>
          <w:sz w:val="24"/>
        </w:rPr>
        <w:t>ională a unui swap este valoarea principalului activ-suport pe care se bazează schimbul de dobândă, schimbul valutar sau alte venituri sau cheltuieli;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contracte pe titluri de capital </w:t>
      </w:r>
      <w:r w:rsidR="000C213F">
        <w:rPr>
          <w:rFonts w:ascii="Times New Roman" w:hAnsi="Times New Roman"/>
          <w:sz w:val="24"/>
        </w:rPr>
        <w:t>ș</w:t>
      </w:r>
      <w:r>
        <w:rPr>
          <w:rFonts w:ascii="Times New Roman" w:hAnsi="Times New Roman"/>
          <w:sz w:val="24"/>
        </w:rPr>
        <w:t>i mărfuri: valoarea no</w:t>
      </w:r>
      <w:r w:rsidR="000C213F">
        <w:rPr>
          <w:rFonts w:ascii="Times New Roman" w:hAnsi="Times New Roman"/>
          <w:sz w:val="24"/>
        </w:rPr>
        <w:t>ț</w:t>
      </w:r>
      <w:r>
        <w:rPr>
          <w:rFonts w:ascii="Times New Roman" w:hAnsi="Times New Roman"/>
          <w:sz w:val="24"/>
        </w:rPr>
        <w:t>ională care trebuie raportată pentru un contract pe titluri de capital sau mărfuri este cantitatea aferentă mărfii sau titlului de capital contractat în vederea cumpărării sau vânzării, înmul</w:t>
      </w:r>
      <w:r w:rsidR="000C213F">
        <w:rPr>
          <w:rFonts w:ascii="Times New Roman" w:hAnsi="Times New Roman"/>
          <w:sz w:val="24"/>
        </w:rPr>
        <w:t>ț</w:t>
      </w:r>
      <w:r>
        <w:rPr>
          <w:rFonts w:ascii="Times New Roman" w:hAnsi="Times New Roman"/>
          <w:sz w:val="24"/>
        </w:rPr>
        <w:t>ită cu pre</w:t>
      </w:r>
      <w:r w:rsidR="000C213F">
        <w:rPr>
          <w:rFonts w:ascii="Times New Roman" w:hAnsi="Times New Roman"/>
          <w:sz w:val="24"/>
        </w:rPr>
        <w:t>ț</w:t>
      </w:r>
      <w:r>
        <w:rPr>
          <w:rFonts w:ascii="Times New Roman" w:hAnsi="Times New Roman"/>
          <w:sz w:val="24"/>
        </w:rPr>
        <w:t>ul din contract pentru o unitate. Valoarea no</w:t>
      </w:r>
      <w:r w:rsidR="000C213F">
        <w:rPr>
          <w:rFonts w:ascii="Times New Roman" w:hAnsi="Times New Roman"/>
          <w:sz w:val="24"/>
        </w:rPr>
        <w:t>ț</w:t>
      </w:r>
      <w:r>
        <w:rPr>
          <w:rFonts w:ascii="Times New Roman" w:hAnsi="Times New Roman"/>
          <w:sz w:val="24"/>
        </w:rPr>
        <w:t>ională care trebuie raportată pentru contractele pe mărfuri cu schimburi multiple de principal este valoarea contractuală înmul</w:t>
      </w:r>
      <w:r w:rsidR="000C213F">
        <w:rPr>
          <w:rFonts w:ascii="Times New Roman" w:hAnsi="Times New Roman"/>
          <w:sz w:val="24"/>
        </w:rPr>
        <w:t>ț</w:t>
      </w:r>
      <w:r>
        <w:rPr>
          <w:rFonts w:ascii="Times New Roman" w:hAnsi="Times New Roman"/>
          <w:sz w:val="24"/>
        </w:rPr>
        <w:t>ită cu numărul de schimburi de principal rămase în contract;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instrumente derivate de credit: valoarea contractuală care trebuie raportată pentru instrumentele derivate de credit este valoarea nominală a creditului de referin</w:t>
      </w:r>
      <w:r w:rsidR="000C213F">
        <w:rPr>
          <w:rFonts w:ascii="Times New Roman" w:hAnsi="Times New Roman"/>
          <w:sz w:val="24"/>
        </w:rPr>
        <w:t>ț</w:t>
      </w:r>
      <w:r>
        <w:rPr>
          <w:rFonts w:ascii="Times New Roman" w:hAnsi="Times New Roman"/>
          <w:sz w:val="24"/>
        </w:rPr>
        <w:t xml:space="preserve">ă relevant;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op</w:t>
      </w:r>
      <w:r w:rsidR="000C213F">
        <w:rPr>
          <w:rFonts w:ascii="Times New Roman" w:hAnsi="Times New Roman"/>
          <w:sz w:val="24"/>
        </w:rPr>
        <w:t>ț</w:t>
      </w:r>
      <w:r>
        <w:rPr>
          <w:rFonts w:ascii="Times New Roman" w:hAnsi="Times New Roman"/>
          <w:sz w:val="24"/>
        </w:rPr>
        <w:t>iunile digitale au o plată predefinită care poate fi fie o valoare monetară, fie un număr de contracte ale unui activ-suport. Valoarea no</w:t>
      </w:r>
      <w:r w:rsidR="000C213F">
        <w:rPr>
          <w:rFonts w:ascii="Times New Roman" w:hAnsi="Times New Roman"/>
          <w:sz w:val="24"/>
        </w:rPr>
        <w:t>ț</w:t>
      </w:r>
      <w:r>
        <w:rPr>
          <w:rFonts w:ascii="Times New Roman" w:hAnsi="Times New Roman"/>
          <w:sz w:val="24"/>
        </w:rPr>
        <w:t>ională pentru op</w:t>
      </w:r>
      <w:r w:rsidR="000C213F">
        <w:rPr>
          <w:rFonts w:ascii="Times New Roman" w:hAnsi="Times New Roman"/>
          <w:sz w:val="24"/>
        </w:rPr>
        <w:t>ț</w:t>
      </w:r>
      <w:r>
        <w:rPr>
          <w:rFonts w:ascii="Times New Roman" w:hAnsi="Times New Roman"/>
          <w:sz w:val="24"/>
        </w:rPr>
        <w:t>iunile digitale este definită fie ca valoarea monetară predefinită, fie ca valoarea justă a activului-suport la data de referin</w:t>
      </w:r>
      <w:r w:rsidR="000C213F">
        <w:rPr>
          <w:rFonts w:ascii="Times New Roman" w:hAnsi="Times New Roman"/>
          <w:sz w:val="24"/>
        </w:rPr>
        <w:t>ț</w:t>
      </w:r>
      <w:r>
        <w:rPr>
          <w:rFonts w:ascii="Times New Roman" w:hAnsi="Times New Roman"/>
          <w:sz w:val="24"/>
        </w:rPr>
        <w:t>ă.</w:t>
      </w:r>
    </w:p>
    <w:p w:rsidR="009569C7" w:rsidRPr="00EC4FA2" w:rsidRDefault="00A834F1" w:rsidP="009569C7">
      <w:pPr>
        <w:pStyle w:val="Baseparagraphnumbered"/>
      </w:pPr>
      <w:r>
        <w:t>Coloana „Valoarea no</w:t>
      </w:r>
      <w:r w:rsidR="000C213F">
        <w:t>ț</w:t>
      </w:r>
      <w:r>
        <w:t>ională” a instrumentelor derivate include, pentru fiecare element-rând, suma valorilor no</w:t>
      </w:r>
      <w:r w:rsidR="000C213F">
        <w:t>ț</w:t>
      </w:r>
      <w:r>
        <w:t>ionale ale tuturor contractelor la care institu</w:t>
      </w:r>
      <w:r w:rsidR="000C213F">
        <w:t>ț</w:t>
      </w:r>
      <w:r>
        <w:t>ia este contraparte, indiferent dacă instrumentele derivate sunt considerate active sau datorii în bilan</w:t>
      </w:r>
      <w:r w:rsidR="000C213F">
        <w:t>ț</w:t>
      </w:r>
      <w:r>
        <w:t xml:space="preserve"> ori nu sunt înscrise în bilan</w:t>
      </w:r>
      <w:r w:rsidR="000C213F">
        <w:t>ț</w:t>
      </w:r>
      <w:r>
        <w:t>. Toate valorile no</w:t>
      </w:r>
      <w:r w:rsidR="000C213F">
        <w:t>ț</w:t>
      </w:r>
      <w:r>
        <w:t>ionale se raportează indiferent dacă valoarea justă a instrumentelor derivate este pozitivă, negativă sau egală cu zero. Nu este permisă compensarea între valorile no</w:t>
      </w:r>
      <w:r w:rsidR="000C213F">
        <w:t>ț</w:t>
      </w:r>
      <w:r>
        <w:t>ionale.</w:t>
      </w:r>
    </w:p>
    <w:p w:rsidR="009569C7" w:rsidRPr="00EC4FA2" w:rsidRDefault="00A834F1" w:rsidP="009569C7">
      <w:pPr>
        <w:pStyle w:val="Baseparagraphnumbered"/>
      </w:pPr>
      <w:r>
        <w:t>„Valoarea no</w:t>
      </w:r>
      <w:r w:rsidR="000C213F">
        <w:t>ț</w:t>
      </w:r>
      <w:r>
        <w:t>ională” se raportează în func</w:t>
      </w:r>
      <w:r w:rsidR="000C213F">
        <w:t>ț</w:t>
      </w:r>
      <w:r>
        <w:t xml:space="preserve">ie de „total” </w:t>
      </w:r>
      <w:r w:rsidR="000C213F">
        <w:t>ș</w:t>
      </w:r>
      <w:r>
        <w:t>i de „din care: vândute” pentru elementele-rânduri: „Op</w:t>
      </w:r>
      <w:r w:rsidR="000C213F">
        <w:t>ț</w:t>
      </w:r>
      <w:r>
        <w:t>iuni extrabursiere”, „Op</w:t>
      </w:r>
      <w:r w:rsidR="000C213F">
        <w:t>ț</w:t>
      </w:r>
      <w:r>
        <w:t>iuni pe pie</w:t>
      </w:r>
      <w:r w:rsidR="000C213F">
        <w:t>ț</w:t>
      </w:r>
      <w:r>
        <w:t xml:space="preserve">e organizate”, „Credit”, „Mărfuri” </w:t>
      </w:r>
      <w:r w:rsidR="000C213F">
        <w:t>ș</w:t>
      </w:r>
      <w:r>
        <w:t>i „Altele”. Elementul „din care: vândute” include valorile no</w:t>
      </w:r>
      <w:r w:rsidR="000C213F">
        <w:t>ț</w:t>
      </w:r>
      <w:r>
        <w:t>ionale (pre</w:t>
      </w:r>
      <w:r w:rsidR="000C213F">
        <w:t>ț</w:t>
      </w:r>
      <w:r>
        <w:t xml:space="preserve"> de exercitare) ale contractelor în care contrapăr</w:t>
      </w:r>
      <w:r w:rsidR="000C213F">
        <w:t>ț</w:t>
      </w:r>
      <w:r>
        <w:t>ile (titularii op</w:t>
      </w:r>
      <w:r w:rsidR="000C213F">
        <w:t>ț</w:t>
      </w:r>
      <w:r>
        <w:t>iunilor) institu</w:t>
      </w:r>
      <w:r w:rsidR="000C213F">
        <w:t>ț</w:t>
      </w:r>
      <w:r>
        <w:t>iei (emitentul op</w:t>
      </w:r>
      <w:r w:rsidR="000C213F">
        <w:t>ț</w:t>
      </w:r>
      <w:r>
        <w:t>iunilor) au dreptul de a exercita op</w:t>
      </w:r>
      <w:r w:rsidR="000C213F">
        <w:t>ț</w:t>
      </w:r>
      <w:r>
        <w:t>iunea, iar pentru elementele legate de instrumentele derivate pe riscul de credit, valorile no</w:t>
      </w:r>
      <w:r w:rsidR="000C213F">
        <w:t>ț</w:t>
      </w:r>
      <w:r>
        <w:t>ionale ale contractelor în care institu</w:t>
      </w:r>
      <w:r w:rsidR="000C213F">
        <w:t>ț</w:t>
      </w:r>
      <w:r>
        <w:t>ia (vânzătorul de protec</w:t>
      </w:r>
      <w:r w:rsidR="000C213F">
        <w:t>ț</w:t>
      </w:r>
      <w:r>
        <w:t>ie) a vândut (oferă) protec</w:t>
      </w:r>
      <w:r w:rsidR="000C213F">
        <w:t>ț</w:t>
      </w:r>
      <w:r>
        <w:t>ie contrapăr</w:t>
      </w:r>
      <w:r w:rsidR="000C213F">
        <w:t>ț</w:t>
      </w:r>
      <w:r>
        <w:t>ilor acestora (cumpărătorii de protec</w:t>
      </w:r>
      <w:r w:rsidR="000C213F">
        <w:t>ț</w:t>
      </w:r>
      <w:r>
        <w:t>ie).</w:t>
      </w:r>
    </w:p>
    <w:p w:rsidR="009569C7" w:rsidRPr="00EC4FA2" w:rsidRDefault="00A834F1" w:rsidP="009569C7">
      <w:pPr>
        <w:pStyle w:val="Baseparagraphnumbered"/>
      </w:pPr>
      <w:r>
        <w:lastRenderedPageBreak/>
        <w:t>Alocarea unei opera</w:t>
      </w:r>
      <w:r w:rsidR="000C213F">
        <w:t>ț</w:t>
      </w:r>
      <w:r>
        <w:t>iuni în categoria „OTC” sau „pia</w:t>
      </w:r>
      <w:r w:rsidR="000C213F">
        <w:t>ț</w:t>
      </w:r>
      <w:r>
        <w:t>ă organizată” depinde de natura pie</w:t>
      </w:r>
      <w:r w:rsidR="000C213F">
        <w:t>ț</w:t>
      </w:r>
      <w:r>
        <w:t>ei pe care are loc opera</w:t>
      </w:r>
      <w:r w:rsidR="000C213F">
        <w:t>ț</w:t>
      </w:r>
      <w:r>
        <w:t xml:space="preserve">iunea, </w:t>
      </w:r>
      <w:r w:rsidR="000C213F">
        <w:t>ș</w:t>
      </w:r>
      <w:r>
        <w:t>i nu de existen</w:t>
      </w:r>
      <w:r w:rsidR="000C213F">
        <w:t>ț</w:t>
      </w:r>
      <w:r>
        <w:t>a sau nu a unei obliga</w:t>
      </w:r>
      <w:r w:rsidR="000C213F">
        <w:t>ț</w:t>
      </w:r>
      <w:r>
        <w:t>ii de compensare pentru respectiva opera</w:t>
      </w:r>
      <w:r w:rsidR="000C213F">
        <w:t>ț</w:t>
      </w:r>
      <w:r>
        <w:t>iune. O „pia</w:t>
      </w:r>
      <w:r w:rsidR="000C213F">
        <w:t>ț</w:t>
      </w:r>
      <w:r>
        <w:t>ă organizată” este o pia</w:t>
      </w:r>
      <w:r w:rsidR="000C213F">
        <w:t>ț</w:t>
      </w:r>
      <w:r>
        <w:t>ă reglementată în sensul articolului </w:t>
      </w:r>
      <w:r w:rsidRPr="004237EC">
        <w:t>4</w:t>
      </w:r>
      <w:r>
        <w:t xml:space="preserve"> punctul </w:t>
      </w:r>
      <w:r w:rsidRPr="004237EC">
        <w:t>92</w:t>
      </w:r>
      <w:r>
        <w:t xml:space="preserve"> din CRR. Prin urmare, în cazul în care o entitate raportoare încheie un contract pe instrumente derivate pe o pia</w:t>
      </w:r>
      <w:r w:rsidR="000C213F">
        <w:t>ț</w:t>
      </w:r>
      <w:r>
        <w:t xml:space="preserve">ă extrabursieră în care este obligatorie compensarea centrală, aceasta trebuie să clasifice instrumentul derivat ca „OTC”, </w:t>
      </w:r>
      <w:r w:rsidR="000C213F">
        <w:t>ș</w:t>
      </w:r>
      <w:r>
        <w:t>i nu ca „pia</w:t>
      </w:r>
      <w:r w:rsidR="000C213F">
        <w:t>ț</w:t>
      </w:r>
      <w:r>
        <w:t>ă organizată”.</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485897553"/>
      <w:r>
        <w:t>Instrumente derivate clasificate ca „instrumente de acoperire economică împotriva riscurilor”</w:t>
      </w:r>
      <w:bookmarkEnd w:id="142"/>
      <w:bookmarkEnd w:id="143"/>
      <w:bookmarkEnd w:id="144"/>
      <w:bookmarkEnd w:id="145"/>
    </w:p>
    <w:p w:rsidR="009569C7" w:rsidRPr="00EC4FA2" w:rsidRDefault="00A834F1" w:rsidP="009569C7">
      <w:pPr>
        <w:pStyle w:val="Baseparagraphnumbered"/>
      </w:pPr>
      <w:r>
        <w:t>Instrumentele derivate care sunt de</w:t>
      </w:r>
      <w:r w:rsidR="000C213F">
        <w:t>ț</w:t>
      </w:r>
      <w:r>
        <w:t xml:space="preserve">inute în scopuri de acoperire împotriva riscurilor, dar care nu îndeplinesc criteriile pentru a fi instrumente eficace de acoperire împotriva riscurilor în conformitate cu IFRS </w:t>
      </w:r>
      <w:r w:rsidRPr="004237EC">
        <w:t>9</w:t>
      </w:r>
      <w:r>
        <w:t xml:space="preserve">, cu IAS </w:t>
      </w:r>
      <w:r w:rsidRPr="004237EC">
        <w:t>39</w:t>
      </w:r>
      <w:r>
        <w:t xml:space="preserve">, în cazul în care IAS </w:t>
      </w:r>
      <w:r w:rsidRPr="004237EC">
        <w:t>39</w:t>
      </w:r>
      <w:r>
        <w:t xml:space="preserve"> se aplică pentru contabilitatea de acoperire împotriva riscurilor, sau cu cadrul contabil instituit în temeiul GAAP na</w:t>
      </w:r>
      <w:r w:rsidR="000C213F">
        <w:t>ț</w:t>
      </w:r>
      <w:r>
        <w:t xml:space="preserve">ionale bazate pe BAD se raportează în formularul </w:t>
      </w:r>
      <w:r w:rsidRPr="004237EC">
        <w:t>10</w:t>
      </w:r>
      <w:r>
        <w:t xml:space="preserve"> ca „instrumente de acoperire economică împotriva riscurilor”. Este lucru este valabil în toate cazurile următoare: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instrumentele derivate de acoperire a instrumentelor de capitaluri proprii necotate pentru care costul poate reprezenta o evaluare corespunzătoare a valorii juste;</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instrumentele derivate de credit evaluate la valoarea justă prin profit sau pierdere utilizate pentru a gestiona riscul de credit al unui instrument financiar, în totalitate sau al unei păr</w:t>
      </w:r>
      <w:r w:rsidR="000C213F">
        <w:rPr>
          <w:rFonts w:ascii="Times New Roman" w:hAnsi="Times New Roman"/>
          <w:sz w:val="24"/>
        </w:rPr>
        <w:t>ț</w:t>
      </w:r>
      <w:r>
        <w:rPr>
          <w:rFonts w:ascii="Times New Roman" w:hAnsi="Times New Roman"/>
          <w:sz w:val="24"/>
        </w:rPr>
        <w:t>i a acestuia, care este desemnat ca fiind evaluat la valoarea justă prin profit sau pierdere la recunoa</w:t>
      </w:r>
      <w:r w:rsidR="000C213F">
        <w:rPr>
          <w:rFonts w:ascii="Times New Roman" w:hAnsi="Times New Roman"/>
          <w:sz w:val="24"/>
        </w:rPr>
        <w:t>ș</w:t>
      </w:r>
      <w:r>
        <w:rPr>
          <w:rFonts w:ascii="Times New Roman" w:hAnsi="Times New Roman"/>
          <w:sz w:val="24"/>
        </w:rPr>
        <w:t>terea ini</w:t>
      </w:r>
      <w:r w:rsidR="000C213F">
        <w:rPr>
          <w:rFonts w:ascii="Times New Roman" w:hAnsi="Times New Roman"/>
          <w:sz w:val="24"/>
        </w:rPr>
        <w:t>ț</w:t>
      </w:r>
      <w:r>
        <w:rPr>
          <w:rFonts w:ascii="Times New Roman" w:hAnsi="Times New Roman"/>
          <w:sz w:val="24"/>
        </w:rPr>
        <w:t xml:space="preserve">ială sau ulterior acesteia ori atunci când este nerecunoscut în conformitate cu IFRS </w:t>
      </w:r>
      <w:r w:rsidRPr="004237EC">
        <w:rPr>
          <w:rFonts w:ascii="Times New Roman" w:hAnsi="Times New Roman"/>
          <w:sz w:val="24"/>
        </w:rPr>
        <w:t>9</w:t>
      </w:r>
      <w:r>
        <w:rPr>
          <w:rFonts w:ascii="Times New Roman" w:hAnsi="Times New Roman"/>
          <w:sz w:val="24"/>
        </w:rPr>
        <w:t xml:space="preserve"> punctul </w:t>
      </w:r>
      <w:r w:rsidRPr="004237EC">
        <w:rPr>
          <w:rFonts w:ascii="Times New Roman" w:hAnsi="Times New Roman"/>
          <w:sz w:val="24"/>
        </w:rPr>
        <w:t>6</w:t>
      </w:r>
      <w:r>
        <w:rPr>
          <w:rFonts w:ascii="Times New Roman" w:hAnsi="Times New Roman"/>
          <w:sz w:val="24"/>
        </w:rPr>
        <w:t>.</w:t>
      </w:r>
      <w:r w:rsidRPr="004237EC">
        <w:rPr>
          <w:rFonts w:ascii="Times New Roman" w:hAnsi="Times New Roman"/>
          <w:sz w:val="24"/>
        </w:rPr>
        <w:t>7</w:t>
      </w:r>
      <w:r>
        <w:rPr>
          <w:rFonts w:ascii="Times New Roman" w:hAnsi="Times New Roman"/>
          <w:sz w:val="24"/>
        </w:rPr>
        <w: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instrumentele derivate care sunt clasificate ca „de</w:t>
      </w:r>
      <w:r w:rsidR="000C213F">
        <w:rPr>
          <w:rFonts w:ascii="Times New Roman" w:hAnsi="Times New Roman"/>
          <w:sz w:val="24"/>
        </w:rPr>
        <w:t>ț</w:t>
      </w:r>
      <w:r>
        <w:rPr>
          <w:rFonts w:ascii="Times New Roman" w:hAnsi="Times New Roman"/>
          <w:sz w:val="24"/>
        </w:rPr>
        <w:t>inute în vederea tranzac</w:t>
      </w:r>
      <w:r w:rsidR="000C213F">
        <w:rPr>
          <w:rFonts w:ascii="Times New Roman" w:hAnsi="Times New Roman"/>
          <w:sz w:val="24"/>
        </w:rPr>
        <w:t>ț</w:t>
      </w:r>
      <w:r>
        <w:rPr>
          <w:rFonts w:ascii="Times New Roman" w:hAnsi="Times New Roman"/>
          <w:sz w:val="24"/>
        </w:rPr>
        <w:t xml:space="preserve">ionării” în conformitate cu IFRS </w:t>
      </w:r>
      <w:r w:rsidRPr="004237EC">
        <w:rPr>
          <w:rFonts w:ascii="Times New Roman" w:hAnsi="Times New Roman"/>
          <w:sz w:val="24"/>
        </w:rPr>
        <w:t>9</w:t>
      </w:r>
      <w:r>
        <w:rPr>
          <w:rFonts w:ascii="Times New Roman" w:hAnsi="Times New Roman"/>
          <w:sz w:val="24"/>
        </w:rPr>
        <w:t xml:space="preserve"> anexa A sau activele destinate tranzac</w:t>
      </w:r>
      <w:r w:rsidR="000C213F">
        <w:rPr>
          <w:rFonts w:ascii="Times New Roman" w:hAnsi="Times New Roman"/>
          <w:sz w:val="24"/>
        </w:rPr>
        <w:t>ț</w:t>
      </w:r>
      <w:r>
        <w:rPr>
          <w:rFonts w:ascii="Times New Roman" w:hAnsi="Times New Roman"/>
          <w:sz w:val="24"/>
        </w:rPr>
        <w:t>ionării în conformitate cu GAAP na</w:t>
      </w:r>
      <w:r w:rsidR="000C213F">
        <w:rPr>
          <w:rFonts w:ascii="Times New Roman" w:hAnsi="Times New Roman"/>
          <w:sz w:val="24"/>
        </w:rPr>
        <w:t>ț</w:t>
      </w:r>
      <w:r>
        <w:rPr>
          <w:rFonts w:ascii="Times New Roman" w:hAnsi="Times New Roman"/>
          <w:sz w:val="24"/>
        </w:rPr>
        <w:t>ionale bazate pe BAD, dar care nu fac parte din portofoliul de tranzac</w:t>
      </w:r>
      <w:r w:rsidR="000C213F">
        <w:rPr>
          <w:rFonts w:ascii="Times New Roman" w:hAnsi="Times New Roman"/>
          <w:sz w:val="24"/>
        </w:rPr>
        <w:t>ț</w:t>
      </w:r>
      <w:r>
        <w:rPr>
          <w:rFonts w:ascii="Times New Roman" w:hAnsi="Times New Roman"/>
          <w:sz w:val="24"/>
        </w:rPr>
        <w:t>ionare astfel cum este definit la articolul </w:t>
      </w:r>
      <w:r w:rsidRPr="004237EC">
        <w:rPr>
          <w:rFonts w:ascii="Times New Roman" w:hAnsi="Times New Roman"/>
          <w:sz w:val="24"/>
        </w:rPr>
        <w:t>4</w:t>
      </w:r>
      <w:r>
        <w:rPr>
          <w:rFonts w:ascii="Times New Roman" w:hAnsi="Times New Roman"/>
          <w:sz w:val="24"/>
        </w:rPr>
        <w:t xml:space="preserve"> alineatul (</w:t>
      </w:r>
      <w:r w:rsidRPr="004237EC">
        <w:rPr>
          <w:rFonts w:ascii="Times New Roman" w:hAnsi="Times New Roman"/>
          <w:sz w:val="24"/>
        </w:rPr>
        <w:t>1</w:t>
      </w:r>
      <w:r>
        <w:rPr>
          <w:rFonts w:ascii="Times New Roman" w:hAnsi="Times New Roman"/>
          <w:sz w:val="24"/>
        </w:rPr>
        <w:t xml:space="preserve">) punctul </w:t>
      </w:r>
      <w:r w:rsidRPr="004237EC">
        <w:rPr>
          <w:rFonts w:ascii="Times New Roman" w:hAnsi="Times New Roman"/>
          <w:sz w:val="24"/>
        </w:rPr>
        <w:t>86</w:t>
      </w:r>
      <w:r>
        <w:rPr>
          <w:rFonts w:ascii="Times New Roman" w:hAnsi="Times New Roman"/>
          <w:sz w:val="24"/>
        </w:rPr>
        <w:t xml:space="preserve"> din CRR. </w:t>
      </w:r>
    </w:p>
    <w:p w:rsidR="009569C7" w:rsidRPr="00EC4FA2" w:rsidRDefault="00A834F1" w:rsidP="009569C7">
      <w:pPr>
        <w:pStyle w:val="Baseparagraphnumbered"/>
      </w:pPr>
      <w:r>
        <w:t>„Instrumentele de acoperire economică împotriva riscurilor” nu includ instrumentele derivate pentru tranzac</w:t>
      </w:r>
      <w:r w:rsidR="000C213F">
        <w:t>ț</w:t>
      </w:r>
      <w:r>
        <w:t>ionarea în cont propriu.</w:t>
      </w:r>
    </w:p>
    <w:p w:rsidR="009569C7" w:rsidRPr="00EC4FA2" w:rsidRDefault="00A834F1" w:rsidP="009569C7">
      <w:pPr>
        <w:pStyle w:val="Baseparagraphnumbered"/>
      </w:pPr>
      <w:r>
        <w:t>Instrumentele derivate care corespund defini</w:t>
      </w:r>
      <w:r w:rsidR="000C213F">
        <w:t>ț</w:t>
      </w:r>
      <w:r>
        <w:t xml:space="preserve">iei „instrumentelor de acoperire economică împotriva riscurilor” se raportează separat pentru fiecare tip de risc în formularul </w:t>
      </w:r>
      <w:r w:rsidRPr="004237EC">
        <w:t>10</w:t>
      </w:r>
      <w:r>
        <w:t>.</w:t>
      </w:r>
    </w:p>
    <w:p w:rsidR="009569C7" w:rsidRPr="00EC4FA2" w:rsidRDefault="00A834F1" w:rsidP="009569C7">
      <w:pPr>
        <w:pStyle w:val="Baseparagraphnumbered"/>
      </w:pPr>
      <w:r>
        <w:t>Instrumentele derivate de credit utilizate pentru a gestiona riscul de credit al unui instrument financiar, în totalitate sau al unei păr</w:t>
      </w:r>
      <w:r w:rsidR="000C213F">
        <w:t>ț</w:t>
      </w:r>
      <w:r>
        <w:t>i a acestuia, care este desemnat ca fiind evaluat la valoarea justă prin profit sau pierdere la recunoa</w:t>
      </w:r>
      <w:r w:rsidR="000C213F">
        <w:t>ș</w:t>
      </w:r>
      <w:r>
        <w:t>terea ini</w:t>
      </w:r>
      <w:r w:rsidR="000C213F">
        <w:t>ț</w:t>
      </w:r>
      <w:r>
        <w:t xml:space="preserve">ială sau ulterior acesteia ori atunci când este nerecunoscut în conformitate cu IFRS </w:t>
      </w:r>
      <w:r w:rsidRPr="004237EC">
        <w:t>9</w:t>
      </w:r>
      <w:r>
        <w:t xml:space="preserve"> punctul </w:t>
      </w:r>
      <w:r w:rsidRPr="004237EC">
        <w:t>6</w:t>
      </w:r>
      <w:r>
        <w:t>.</w:t>
      </w:r>
      <w:r w:rsidRPr="004237EC">
        <w:t>7</w:t>
      </w:r>
      <w:r>
        <w:t xml:space="preserve"> se raportează la un rând specific din formularul </w:t>
      </w:r>
      <w:r w:rsidRPr="004237EC">
        <w:t>10</w:t>
      </w:r>
      <w:r>
        <w:t xml:space="preserve"> în cadrul riscului de credit. Alte instrumente de acoperire </w:t>
      </w:r>
      <w:r>
        <w:lastRenderedPageBreak/>
        <w:t xml:space="preserve">economică împotriva riscurilor de credit în cazul cărora entitatea raportoare nu aplică IFRS </w:t>
      </w:r>
      <w:r w:rsidRPr="004237EC">
        <w:t>9</w:t>
      </w:r>
      <w:r>
        <w:t xml:space="preserve"> punctul </w:t>
      </w:r>
      <w:r w:rsidRPr="004237EC">
        <w:t>6</w:t>
      </w:r>
      <w:r>
        <w:t>.</w:t>
      </w:r>
      <w:r w:rsidRPr="004237EC">
        <w:t>7</w:t>
      </w:r>
      <w:r>
        <w:t xml:space="preserve"> se raportează separat.</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485897554"/>
      <w:r>
        <w:t>Defalcarea instrumentelor derivate pe sectoare ale contrapăr</w:t>
      </w:r>
      <w:r w:rsidR="000C213F">
        <w:t>ț</w:t>
      </w:r>
      <w:r>
        <w:t>ilor</w:t>
      </w:r>
      <w:bookmarkEnd w:id="146"/>
      <w:bookmarkEnd w:id="147"/>
      <w:bookmarkEnd w:id="148"/>
      <w:bookmarkEnd w:id="149"/>
    </w:p>
    <w:p w:rsidR="009569C7" w:rsidRPr="00EC4FA2" w:rsidRDefault="00A834F1" w:rsidP="009569C7">
      <w:pPr>
        <w:pStyle w:val="Baseparagraphnumbered"/>
        <w:tabs>
          <w:tab w:val="left" w:pos="851"/>
        </w:tabs>
        <w:ind w:left="709"/>
      </w:pPr>
      <w:r>
        <w:t xml:space="preserve">Valoarea contabilă </w:t>
      </w:r>
      <w:r w:rsidR="000C213F">
        <w:t>ș</w:t>
      </w:r>
      <w:r>
        <w:t>i valoarea no</w:t>
      </w:r>
      <w:r w:rsidR="000C213F">
        <w:t>ț</w:t>
      </w:r>
      <w:r>
        <w:t>ională totală a instrumentelor derivate de</w:t>
      </w:r>
      <w:r w:rsidR="000C213F">
        <w:t>ț</w:t>
      </w:r>
      <w:r>
        <w:t>inute în vederea tranzac</w:t>
      </w:r>
      <w:r w:rsidR="000C213F">
        <w:t>ț</w:t>
      </w:r>
      <w:r>
        <w:t xml:space="preserve">ionării, precum </w:t>
      </w:r>
      <w:r w:rsidR="000C213F">
        <w:t>ș</w:t>
      </w:r>
      <w:r>
        <w:t>i a instrumentelor derivate de</w:t>
      </w:r>
      <w:r w:rsidR="000C213F">
        <w:t>ț</w:t>
      </w:r>
      <w:r>
        <w:t>inute în vederea contabilită</w:t>
      </w:r>
      <w:r w:rsidR="000C213F">
        <w:t>ț</w:t>
      </w:r>
      <w:r>
        <w:t>ii de acoperire împotriva riscurilor, care sunt tranzac</w:t>
      </w:r>
      <w:r w:rsidR="000C213F">
        <w:t>ț</w:t>
      </w:r>
      <w:r>
        <w:t>ionate pe pia</w:t>
      </w:r>
      <w:r w:rsidR="000C213F">
        <w:t>ț</w:t>
      </w:r>
      <w:r>
        <w:t>a extrabursieră se raportează pe contrapăr</w:t>
      </w:r>
      <w:r w:rsidR="000C213F">
        <w:t>ț</w:t>
      </w:r>
      <w:r>
        <w:t xml:space="preserve">i folosind următoarele categorii: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„institu</w:t>
      </w:r>
      <w:r w:rsidR="000C213F">
        <w:rPr>
          <w:rFonts w:ascii="Times New Roman" w:hAnsi="Times New Roman"/>
          <w:sz w:val="24"/>
        </w:rPr>
        <w:t>ț</w:t>
      </w:r>
      <w:r>
        <w:rPr>
          <w:rFonts w:ascii="Times New Roman" w:hAnsi="Times New Roman"/>
          <w:sz w:val="24"/>
        </w:rPr>
        <w:t xml:space="preserve">ii de credit”;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„alte societă</w:t>
      </w:r>
      <w:r w:rsidR="000C213F">
        <w:rPr>
          <w:rFonts w:ascii="Times New Roman" w:hAnsi="Times New Roman"/>
          <w:sz w:val="24"/>
        </w:rPr>
        <w:t>ț</w:t>
      </w:r>
      <w:r>
        <w:rPr>
          <w:rFonts w:ascii="Times New Roman" w:hAnsi="Times New Roman"/>
          <w:sz w:val="24"/>
        </w:rPr>
        <w:t xml:space="preserve">i financiare”;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„restul” cuprinzând toate celelalte contrapăr</w:t>
      </w:r>
      <w:r w:rsidR="000C213F">
        <w:rPr>
          <w:rFonts w:ascii="Times New Roman" w:hAnsi="Times New Roman"/>
          <w:sz w:val="24"/>
        </w:rPr>
        <w:t>ț</w:t>
      </w:r>
      <w:r>
        <w:rPr>
          <w:rFonts w:ascii="Times New Roman" w:hAnsi="Times New Roman"/>
          <w:sz w:val="24"/>
        </w:rPr>
        <w:t xml:space="preserve">i. </w:t>
      </w:r>
    </w:p>
    <w:p w:rsidR="009569C7" w:rsidRPr="00EC4FA2" w:rsidRDefault="00A834F1" w:rsidP="009569C7">
      <w:pPr>
        <w:pStyle w:val="Baseparagraphnumbered"/>
        <w:tabs>
          <w:tab w:val="left" w:pos="851"/>
        </w:tabs>
        <w:ind w:left="709"/>
      </w:pPr>
      <w:r>
        <w:t>Toate instrumentele derivate extrabursiere, indiferent de tipul de risc aferent acestora, sunt defalcate pe aceste contrapăr</w:t>
      </w:r>
      <w:r w:rsidR="000C213F">
        <w:t>ț</w:t>
      </w:r>
      <w:r>
        <w:t xml:space="preserve">i. </w:t>
      </w:r>
    </w:p>
    <w:p w:rsidR="009569C7" w:rsidRPr="00EC4FA2" w:rsidRDefault="00A834F1" w:rsidP="009569C7">
      <w:pPr>
        <w:pStyle w:val="sub-subtitlenumbered"/>
        <w:jc w:val="both"/>
      </w:pPr>
      <w:bookmarkStart w:id="150" w:name="_Toc467855223"/>
      <w:bookmarkStart w:id="151" w:name="_Toc485897555"/>
      <w:bookmarkStart w:id="152" w:name="_Toc362359299"/>
      <w:r>
        <w:t>Contabilitatea de acoperire împotriva riscurilor în temeiul GAAP na</w:t>
      </w:r>
      <w:r w:rsidR="000C213F">
        <w:t>ț</w:t>
      </w:r>
      <w:r>
        <w:t>ionale (</w:t>
      </w:r>
      <w:r w:rsidRPr="004237EC">
        <w:t>11</w:t>
      </w:r>
      <w:r>
        <w:t>.</w:t>
      </w:r>
      <w:r w:rsidRPr="004237EC">
        <w:t>2</w:t>
      </w:r>
      <w:r>
        <w:t>)</w:t>
      </w:r>
      <w:bookmarkEnd w:id="150"/>
      <w:bookmarkEnd w:id="151"/>
    </w:p>
    <w:p w:rsidR="009569C7" w:rsidRPr="00EC4FA2" w:rsidRDefault="00A834F1" w:rsidP="009569C7">
      <w:pPr>
        <w:pStyle w:val="Baseparagraphnumbered"/>
      </w:pPr>
      <w:r>
        <w:t>În cazul în care GAAP na</w:t>
      </w:r>
      <w:r w:rsidR="000C213F">
        <w:t>ț</w:t>
      </w:r>
      <w:r>
        <w:t>ionale în temeiul BAD impun alocarea unor instrumente derivate de acoperire împotriva riscurilor în toate categoriile de instrumente de acoperire, instrumentele derivate de acoperire împotriva riscurilor se raportează separat pentru fiecare dintre categoriile aplicabile: „acoperiri ale valorii juste împotriva riscurilor”, „acoperiri ale fluxurilor de trezorerie împotriva riscurilor”, „acoperiri evaluate la cost împotriva riscurilor”, „acoperirea împotriva riscurilor a unor investi</w:t>
      </w:r>
      <w:r w:rsidR="000C213F">
        <w:t>ț</w:t>
      </w:r>
      <w:r>
        <w:t>ii nete într-o opera</w:t>
      </w:r>
      <w:r w:rsidR="000C213F">
        <w:t>ț</w:t>
      </w:r>
      <w:r>
        <w:t xml:space="preserve">iune din străinătate”, „acoperiri ale valorii juste a unui portofoliu împotriva riscului de rată a dobânzii” </w:t>
      </w:r>
      <w:r w:rsidR="000C213F">
        <w:t>ș</w:t>
      </w:r>
      <w:r>
        <w:t>i „acoperiri ale fluxului de trezorerie al unui portofoliu împotriva riscului de rată a dobânzii”.</w:t>
      </w:r>
    </w:p>
    <w:p w:rsidR="009569C7" w:rsidRPr="00EC4FA2" w:rsidRDefault="00A834F1" w:rsidP="009569C7">
      <w:pPr>
        <w:pStyle w:val="Baseparagraphnumbered"/>
      </w:pPr>
      <w:r>
        <w:t>După caz, în conformitate cu GAAP na</w:t>
      </w:r>
      <w:r w:rsidR="000C213F">
        <w:t>ț</w:t>
      </w:r>
      <w:r>
        <w:t>ionale bazate pe BAD, „acoperirile evaluate la cost” se referă la o categorie de acoperire împotriva riscurilor în care instrumentele derivate de acoperire sunt, în general, evaluate la cost.</w:t>
      </w:r>
    </w:p>
    <w:p w:rsidR="009569C7" w:rsidRPr="00EC4FA2" w:rsidRDefault="00A834F1" w:rsidP="009569C7">
      <w:pPr>
        <w:pStyle w:val="sub-subtitlenumbered"/>
        <w:jc w:val="both"/>
      </w:pPr>
      <w:bookmarkStart w:id="153" w:name="_Toc467855224"/>
      <w:bookmarkStart w:id="154" w:name="_Toc485897556"/>
      <w:r>
        <w:t>Cuantumul care trebuie raportat pentru instrumentele nederivate de acoperire împotriva riscurilor (</w:t>
      </w:r>
      <w:r w:rsidRPr="004237EC">
        <w:t>11</w:t>
      </w:r>
      <w:r>
        <w:t>.</w:t>
      </w:r>
      <w:r w:rsidRPr="004237EC">
        <w:t>3</w:t>
      </w:r>
      <w:r>
        <w:t xml:space="preserve"> </w:t>
      </w:r>
      <w:r w:rsidR="000C213F">
        <w:t>ș</w:t>
      </w:r>
      <w:r>
        <w:t xml:space="preserve">i </w:t>
      </w:r>
      <w:r w:rsidRPr="004237EC">
        <w:t>11</w:t>
      </w:r>
      <w:r>
        <w:t>.</w:t>
      </w:r>
      <w:r w:rsidRPr="004237EC">
        <w:t>3</w:t>
      </w:r>
      <w:r>
        <w:t>.</w:t>
      </w:r>
      <w:r w:rsidRPr="004237EC">
        <w:t>1</w:t>
      </w:r>
      <w:r>
        <w:t>)</w:t>
      </w:r>
      <w:bookmarkEnd w:id="152"/>
      <w:bookmarkEnd w:id="153"/>
      <w:bookmarkEnd w:id="154"/>
    </w:p>
    <w:p w:rsidR="009569C7" w:rsidRPr="00EC4FA2" w:rsidRDefault="00A834F1" w:rsidP="009569C7">
      <w:pPr>
        <w:pStyle w:val="Baseparagraphnumbered"/>
      </w:pPr>
      <w:r>
        <w:t>Pentru instrumentele nederivate de acoperire împotriva riscurilor cuantumul care trebuie raportat este valoarea contabilă a acestora în conformitate cu normele de evaluare aplicabile pentru portofoliile contabile din care fac parte în IFRS sau în GAAP bazate pe BAD. Nu se raportează nicio „valoare no</w:t>
      </w:r>
      <w:r w:rsidR="000C213F">
        <w:t>ț</w:t>
      </w:r>
      <w:r>
        <w:t>ională” pentru instrumentele nederivate de acoperire împotriva riscurilor.</w:t>
      </w:r>
    </w:p>
    <w:p w:rsidR="009569C7" w:rsidRPr="00EC4FA2" w:rsidRDefault="00A834F1" w:rsidP="009569C7">
      <w:pPr>
        <w:pStyle w:val="sub-subtitlenumbered"/>
        <w:jc w:val="both"/>
      </w:pPr>
      <w:bookmarkStart w:id="155" w:name="_Toc467855225"/>
      <w:bookmarkStart w:id="156" w:name="_Toc485897557"/>
      <w:r>
        <w:t>Elemente acoperite în acoperiri ale valorii juste împotriva riscurilor (</w:t>
      </w:r>
      <w:r w:rsidRPr="004237EC">
        <w:t>11</w:t>
      </w:r>
      <w:r>
        <w:t>.</w:t>
      </w:r>
      <w:r w:rsidRPr="004237EC">
        <w:t>4</w:t>
      </w:r>
      <w:r>
        <w:t>)</w:t>
      </w:r>
      <w:bookmarkEnd w:id="155"/>
      <w:bookmarkEnd w:id="156"/>
    </w:p>
    <w:p w:rsidR="009569C7" w:rsidRPr="00EC4FA2" w:rsidRDefault="00A834F1" w:rsidP="009569C7">
      <w:pPr>
        <w:pStyle w:val="Baseparagraphnumbered"/>
        <w:tabs>
          <w:tab w:val="left" w:pos="851"/>
        </w:tabs>
        <w:ind w:left="709"/>
      </w:pPr>
      <w:r>
        <w:t>Valoarea contabilă a elementelor acoperite în cadrul unei opera</w:t>
      </w:r>
      <w:r w:rsidR="000C213F">
        <w:t>ț</w:t>
      </w:r>
      <w:r>
        <w:t>iuni de acoperire a valorii juste împotriva riscurilor recunoscute în situa</w:t>
      </w:r>
      <w:r w:rsidR="000C213F">
        <w:t>ț</w:t>
      </w:r>
      <w:r>
        <w:t>ia pozi</w:t>
      </w:r>
      <w:r w:rsidR="000C213F">
        <w:t>ț</w:t>
      </w:r>
      <w:r>
        <w:t xml:space="preserve">iei </w:t>
      </w:r>
      <w:r>
        <w:lastRenderedPageBreak/>
        <w:t xml:space="preserve">financiare este defalcată pe portofolii contabile </w:t>
      </w:r>
      <w:r w:rsidR="000C213F">
        <w:t>ș</w:t>
      </w:r>
      <w:r>
        <w:t xml:space="preserve">i pe tipuri de riscuri acoperite pentru activele financiare acoperite împotriva riscurilor </w:t>
      </w:r>
      <w:r w:rsidR="000C213F">
        <w:t>ș</w:t>
      </w:r>
      <w:r>
        <w:t xml:space="preserve">i pentru datoriile financiare acoperite împotriva riscurilor. În cazul în care un instrument financiar este acoperit pentru mai multe riscuri, acesta se raportează la tipul de risc în care se raportează instrumentul de acoperire împotriva riscurilor, în conformitate cu punctul </w:t>
      </w:r>
      <w:r w:rsidRPr="004237EC">
        <w:t>129</w:t>
      </w:r>
      <w:r>
        <w:t>.</w:t>
      </w:r>
      <w:r w:rsidR="004237EC">
        <w:t xml:space="preserve"> </w:t>
      </w:r>
    </w:p>
    <w:p w:rsidR="009569C7" w:rsidRPr="00EC4FA2" w:rsidRDefault="00A834F1" w:rsidP="009569C7">
      <w:pPr>
        <w:pStyle w:val="Baseparagraphnumbered"/>
      </w:pPr>
      <w:r>
        <w:t>„Microacoperirile” sunt opera</w:t>
      </w:r>
      <w:r w:rsidR="000C213F">
        <w:t>ț</w:t>
      </w:r>
      <w:r>
        <w:t xml:space="preserve">iuni de acoperire, altele decât acoperirea portofoliului împotriva riscului de rată a dobânzii, în conformitate cu IAS </w:t>
      </w:r>
      <w:r w:rsidRPr="004237EC">
        <w:t>39</w:t>
      </w:r>
      <w:r>
        <w:t xml:space="preserve"> punctul </w:t>
      </w:r>
      <w:r w:rsidRPr="004237EC">
        <w:t>89</w:t>
      </w:r>
      <w:r>
        <w:t>A. Microacoperirile includ opera</w:t>
      </w:r>
      <w:r w:rsidR="000C213F">
        <w:t>ț</w:t>
      </w:r>
      <w:r>
        <w:t>iunile de acoperire a pozi</w:t>
      </w:r>
      <w:r w:rsidR="000C213F">
        <w:t>ț</w:t>
      </w:r>
      <w:r>
        <w:t xml:space="preserve">iilor nete împotriva riscurilor în conformitate cu IFRS </w:t>
      </w:r>
      <w:r w:rsidRPr="004237EC">
        <w:t>9</w:t>
      </w:r>
      <w:r>
        <w:t xml:space="preserve"> punctul </w:t>
      </w:r>
      <w:r w:rsidRPr="004237EC">
        <w:t>6</w:t>
      </w:r>
      <w:r>
        <w:t>.</w:t>
      </w:r>
      <w:r w:rsidRPr="004237EC">
        <w:t>6</w:t>
      </w:r>
      <w:r>
        <w:t>.</w:t>
      </w:r>
    </w:p>
    <w:p w:rsidR="009569C7" w:rsidRPr="00EC4FA2" w:rsidRDefault="00A834F1" w:rsidP="009569C7">
      <w:pPr>
        <w:pStyle w:val="Baseparagraphnumbered"/>
      </w:pPr>
      <w:r>
        <w:t xml:space="preserve">„Ajustările acoperirii în cazul microacoperirilor” includ toate ajustărilor acoperirii pentru toate microacoperirile, astfel cum sunt definite la punctul </w:t>
      </w:r>
      <w:r w:rsidRPr="004237EC">
        <w:t>147</w:t>
      </w:r>
      <w:r>
        <w:t xml:space="preserve">. </w:t>
      </w:r>
    </w:p>
    <w:p w:rsidR="009569C7" w:rsidRPr="00EC4FA2" w:rsidRDefault="00A834F1" w:rsidP="009569C7">
      <w:pPr>
        <w:pStyle w:val="Baseparagraphnumbered"/>
      </w:pPr>
      <w:r>
        <w:t xml:space="preserve"> „Ajustările acoperii împotriva riscurilor incluse în valoarea contabilă a activelor/datoriilor” reprezintă valoarea cumulată a câ</w:t>
      </w:r>
      <w:r w:rsidR="000C213F">
        <w:t>ș</w:t>
      </w:r>
      <w:r>
        <w:t xml:space="preserve">tigurilor </w:t>
      </w:r>
      <w:r w:rsidR="000C213F">
        <w:t>ș</w:t>
      </w:r>
      <w:r>
        <w:t xml:space="preserve">i a pierderilor aferente elementelor acoperite împotriva riscurilor care au ajustat valoarea contabilă a acestor elemente </w:t>
      </w:r>
      <w:r w:rsidR="000C213F">
        <w:t>ș</w:t>
      </w:r>
      <w:r>
        <w:t xml:space="preserve">i au fost recunoscute în profit sau pierdere. Ajustările acoperirii în cazul elementelor acoperite împotriva riscurilor care sunt capitaluri proprii evaluate la valoarea justă prin alte elemente ale rezultatului global se raportează în formularul </w:t>
      </w:r>
      <w:r w:rsidRPr="004237EC">
        <w:t>1</w:t>
      </w:r>
      <w:r>
        <w:t>.</w:t>
      </w:r>
      <w:r w:rsidRPr="004237EC">
        <w:t>3</w:t>
      </w:r>
      <w:r>
        <w:t>. Ajustările acoperirii în cazul angajamentelor ferme nerecunoscute sau a unei păr</w:t>
      </w:r>
      <w:r w:rsidR="000C213F">
        <w:t>ț</w:t>
      </w:r>
      <w:r>
        <w:t>i a acestora nu se raportează.</w:t>
      </w:r>
    </w:p>
    <w:p w:rsidR="009569C7" w:rsidRPr="00EC4FA2" w:rsidRDefault="00A834F1" w:rsidP="009569C7">
      <w:pPr>
        <w:pStyle w:val="Baseparagraphnumbered"/>
      </w:pPr>
      <w:r>
        <w:t>„Restul ajustărilor pentru microacoperirile întrerupte, inclusiv acoperirile pozi</w:t>
      </w:r>
      <w:r w:rsidR="000C213F">
        <w:t>ț</w:t>
      </w:r>
      <w:r>
        <w:t>iilor nete” includ ajustările acoperirilor care, în urma întreruperii rela</w:t>
      </w:r>
      <w:r w:rsidR="000C213F">
        <w:t>ț</w:t>
      </w:r>
      <w:r>
        <w:t xml:space="preserve">iei de acoperire împotriva riscurilor </w:t>
      </w:r>
      <w:r w:rsidR="000C213F">
        <w:t>ș</w:t>
      </w:r>
      <w:r>
        <w:t>i a încetării ajustării elementelor acoperite împotriva riscurilor pentru câ</w:t>
      </w:r>
      <w:r w:rsidR="000C213F">
        <w:t>ș</w:t>
      </w:r>
      <w:r>
        <w:t xml:space="preserve">tigurile </w:t>
      </w:r>
      <w:r w:rsidR="000C213F">
        <w:t>ș</w:t>
      </w:r>
      <w:r>
        <w:t>i pierderile din acoperire, rămân să fie amortizate în profit sau pierdere printr-o rată a dobânzii efective recalculată pentru elementele acoperite împotriva riscurilor evaluate la costul amortizat sau la valoarea care reprezintă câ</w:t>
      </w:r>
      <w:r w:rsidR="000C213F">
        <w:t>ș</w:t>
      </w:r>
      <w:r>
        <w:t>tigul sau pierderea cumulată recunoscută anterior din acoperire în cazul activelor acoperite evaluate la valoarea justă prin alte elemente ale rezultatului global.</w:t>
      </w:r>
    </w:p>
    <w:p w:rsidR="009569C7" w:rsidRPr="00EC4FA2" w:rsidRDefault="00A834F1" w:rsidP="009569C7">
      <w:pPr>
        <w:pStyle w:val="Baseparagraphnumbered"/>
      </w:pPr>
      <w:r>
        <w:t>În cazul în care un grup de active financiare sau de datorii financiare, inclusiv un grup de active financiare sau de datorii financiare care constituie o pozi</w:t>
      </w:r>
      <w:r w:rsidR="000C213F">
        <w:t>ț</w:t>
      </w:r>
      <w:r>
        <w:t xml:space="preserve">ie netă, este eligibil ca element acoperit împotriva riscurilor, activele financiare </w:t>
      </w:r>
      <w:r w:rsidR="000C213F">
        <w:t>ș</w:t>
      </w:r>
      <w:r>
        <w:t>i datoriile financiare care constituie grupul respectiv se raportează la valoarea lor contabilă brută, înainte de compensarea între instrumentele din interiorul grupului, în „active sau datorii incluse în acoperirea unei pozi</w:t>
      </w:r>
      <w:r w:rsidR="000C213F">
        <w:t>ț</w:t>
      </w:r>
      <w:r>
        <w:t>ii nete (înainte de compensare)”.</w:t>
      </w:r>
    </w:p>
    <w:p w:rsidR="009569C7" w:rsidRPr="00EC4FA2" w:rsidRDefault="00A834F1" w:rsidP="009569C7">
      <w:pPr>
        <w:pStyle w:val="Baseparagraphnumbered"/>
      </w:pPr>
      <w:r>
        <w:t>„Elementele acoperite în cadrul unei opera</w:t>
      </w:r>
      <w:r w:rsidR="000C213F">
        <w:t>ț</w:t>
      </w:r>
      <w:r>
        <w:t xml:space="preserve">iuni de acoperire a unui portofoliu împotriva riscului de rată a dobânzii” includ activele financiare </w:t>
      </w:r>
      <w:r w:rsidR="000C213F">
        <w:t>ș</w:t>
      </w:r>
      <w:r>
        <w:t>i datoriile financiare incluse într-o acoperire a valorii juste pentru expunerea la rata dobânzii a unui portofoliu de active financiare sau de datorii financiare. Aceste instrumente financiare se raportează la valoarea lor contabilă brută, înainte de compensarea între instrumentele din interiorul portofoliului.</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485897558"/>
      <w:bookmarkEnd w:id="157"/>
      <w:bookmarkEnd w:id="158"/>
      <w:bookmarkEnd w:id="159"/>
      <w:bookmarkEnd w:id="160"/>
      <w:bookmarkEnd w:id="161"/>
      <w:r>
        <w:lastRenderedPageBreak/>
        <w:t>Varia</w:t>
      </w:r>
      <w:r w:rsidR="000C213F">
        <w:t>ț</w:t>
      </w:r>
      <w:r>
        <w:t xml:space="preserve">ia ajustărilor </w:t>
      </w:r>
      <w:r w:rsidR="000C213F">
        <w:t>ș</w:t>
      </w:r>
      <w:r>
        <w:t>i a provizioanelor pentru pierderile din credit (</w:t>
      </w:r>
      <w:r w:rsidRPr="004237EC">
        <w:t>12</w:t>
      </w:r>
      <w:r>
        <w:t>)</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485897559"/>
      <w:bookmarkEnd w:id="165"/>
      <w:bookmarkEnd w:id="166"/>
      <w:r>
        <w:t>Varia</w:t>
      </w:r>
      <w:r w:rsidR="000C213F">
        <w:t>ț</w:t>
      </w:r>
      <w:r>
        <w:t xml:space="preserve">ia ajustărilor pentru pierderile din credit </w:t>
      </w:r>
      <w:r w:rsidR="000C213F">
        <w:t>ș</w:t>
      </w:r>
      <w:r>
        <w:t>i deprecierea instrumentelor de capitaluri proprii în temeiul GAAP na</w:t>
      </w:r>
      <w:r w:rsidR="000C213F">
        <w:t>ț</w:t>
      </w:r>
      <w:r>
        <w:t>ionale bazate pe BAD (</w:t>
      </w:r>
      <w:r w:rsidRPr="004237EC">
        <w:t>12</w:t>
      </w:r>
      <w:r>
        <w:t>.</w:t>
      </w:r>
      <w:r w:rsidRPr="004237EC">
        <w:t>0</w:t>
      </w:r>
      <w:r>
        <w:t>)</w:t>
      </w:r>
      <w:bookmarkEnd w:id="167"/>
      <w:bookmarkEnd w:id="168"/>
    </w:p>
    <w:p w:rsidR="009569C7" w:rsidRPr="00EC4FA2" w:rsidRDefault="00A834F1" w:rsidP="009569C7">
      <w:pPr>
        <w:pStyle w:val="Baseparagraphnumbered"/>
      </w:pPr>
      <w:r>
        <w:t xml:space="preserve">Formularul </w:t>
      </w:r>
      <w:r w:rsidRPr="004237EC">
        <w:t>12</w:t>
      </w:r>
      <w:r>
        <w:t>.</w:t>
      </w:r>
      <w:r w:rsidRPr="004237EC">
        <w:t>0</w:t>
      </w:r>
      <w:r>
        <w:t xml:space="preserve"> con</w:t>
      </w:r>
      <w:r w:rsidR="000C213F">
        <w:t>ț</w:t>
      </w:r>
      <w:r>
        <w:t xml:space="preserve">ine o reconciliere a soldurilor de deschidere </w:t>
      </w:r>
      <w:r w:rsidR="000C213F">
        <w:t>ș</w:t>
      </w:r>
      <w:r>
        <w:t xml:space="preserve">i de închidere a contului de ajustări pentru depreciere în cazul activelor financiare evaluate prin metode bazate pe costuri, precum </w:t>
      </w:r>
      <w:r w:rsidR="000C213F">
        <w:t>ș</w:t>
      </w:r>
      <w:r>
        <w:t>i în cazul activelor financiare evaluate prin alte metode de evaluare sau la valoarea justă prin capitaluri proprii în cazul în care GAAP na</w:t>
      </w:r>
      <w:r w:rsidR="000C213F">
        <w:t>ț</w:t>
      </w:r>
      <w:r>
        <w:t>ionale bazate pe BAD impun ca activele respective să facă obiectul deprecierii. Ajustările valorii aferente activelor evaluate la valoarea mai mică dintre valoarea de achizi</w:t>
      </w:r>
      <w:r w:rsidR="000C213F">
        <w:t>ț</w:t>
      </w:r>
      <w:r>
        <w:t xml:space="preserve">ie </w:t>
      </w:r>
      <w:r w:rsidR="000C213F">
        <w:t>ș</w:t>
      </w:r>
      <w:r>
        <w:t>i valoarea de pia</w:t>
      </w:r>
      <w:r w:rsidR="000C213F">
        <w:t>ț</w:t>
      </w:r>
      <w:r>
        <w:t xml:space="preserve">ă nu se raportează în formularul </w:t>
      </w:r>
      <w:r w:rsidRPr="004237EC">
        <w:t>12</w:t>
      </w:r>
      <w:r>
        <w:t>.</w:t>
      </w:r>
      <w:r w:rsidRPr="004237EC">
        <w:t>0</w:t>
      </w:r>
      <w:r>
        <w:t xml:space="preserve">. </w:t>
      </w:r>
    </w:p>
    <w:p w:rsidR="009569C7" w:rsidRPr="00EC4FA2" w:rsidRDefault="00A834F1" w:rsidP="009569C7">
      <w:pPr>
        <w:pStyle w:val="Baseparagraphnumbered"/>
      </w:pPr>
      <w:r>
        <w:t>„Majorările datorate provizioanelor constituite pentru pierderile aferente creditelor preconizate în cursul perioadei” se raportează în cazul în care, pentru categoria principală de active sau contraparte, estimarea deprecierii aferente perioadei conduce la recunoa</w:t>
      </w:r>
      <w:r w:rsidR="000C213F">
        <w:t>ș</w:t>
      </w:r>
      <w:r>
        <w:t>terea unor cheltuieli nete; cu alte cuvinte, pentru categoria sau contrapartea dată, majorările deprecierii pentru perioada respectivă depă</w:t>
      </w:r>
      <w:r w:rsidR="000C213F">
        <w:t>ș</w:t>
      </w:r>
      <w:r>
        <w:t>esc diminuările. „Diminuările datorate reluărilor pierderilor aferente creditelor preconizate în cursul perioadei” se raportează în cazul în care, pentru categoria principală de active sau contraparte, estimarea deprecierii aferente perioadei conduce la recunoa</w:t>
      </w:r>
      <w:r w:rsidR="000C213F">
        <w:t>ș</w:t>
      </w:r>
      <w:r>
        <w:t>terea unui venit net; cu alte cuvinte, pentru categoria sau contrapartea dată, diminuările deprecierii pentru perioada respectivă depă</w:t>
      </w:r>
      <w:r w:rsidR="000C213F">
        <w:t>ș</w:t>
      </w:r>
      <w:r>
        <w:t>esc majorările.</w:t>
      </w:r>
    </w:p>
    <w:p w:rsidR="009569C7" w:rsidRPr="00EC4FA2" w:rsidRDefault="00A834F1" w:rsidP="009569C7">
      <w:pPr>
        <w:pStyle w:val="Baseparagraphnumbered"/>
      </w:pPr>
      <w:r>
        <w:t>Varia</w:t>
      </w:r>
      <w:r w:rsidR="000C213F">
        <w:t>ț</w:t>
      </w:r>
      <w:r>
        <w:t xml:space="preserve">iile cuantumurilor aferente ajustărilor datorate rambursării </w:t>
      </w:r>
      <w:r w:rsidR="000C213F">
        <w:t>ș</w:t>
      </w:r>
      <w:r>
        <w:t>i cedărilor de active financiare se raportează la „alte ajustări”. Scoaterile în afara bilan</w:t>
      </w:r>
      <w:r w:rsidR="000C213F">
        <w:t>ț</w:t>
      </w:r>
      <w:r>
        <w:t>ului se raportează în conformitate cu punctele </w:t>
      </w:r>
      <w:r w:rsidRPr="004237EC">
        <w:t>72</w:t>
      </w:r>
      <w:r>
        <w:t>-</w:t>
      </w:r>
      <w:r w:rsidRPr="004237EC">
        <w:t>74</w:t>
      </w:r>
      <w:r>
        <w:t>.</w:t>
      </w:r>
    </w:p>
    <w:p w:rsidR="009569C7" w:rsidRPr="00EC4FA2" w:rsidRDefault="00A834F1" w:rsidP="009569C7">
      <w:pPr>
        <w:pStyle w:val="sub-subtitlenumbered"/>
        <w:jc w:val="both"/>
      </w:pPr>
      <w:bookmarkStart w:id="169" w:name="_Toc467855228"/>
      <w:bookmarkStart w:id="170" w:name="_Toc485897560"/>
      <w:r>
        <w:t>Varia</w:t>
      </w:r>
      <w:r w:rsidR="000C213F">
        <w:t>ț</w:t>
      </w:r>
      <w:r>
        <w:t xml:space="preserve">ia ajustărilor </w:t>
      </w:r>
      <w:r w:rsidR="000C213F">
        <w:t>ș</w:t>
      </w:r>
      <w:r>
        <w:t>i a provizioanelor pentru pierderile din credit conform IFRS (</w:t>
      </w:r>
      <w:r w:rsidRPr="004237EC">
        <w:t>12</w:t>
      </w:r>
      <w:r>
        <w:t>.</w:t>
      </w:r>
      <w:r w:rsidRPr="004237EC">
        <w:t>1</w:t>
      </w:r>
      <w:r>
        <w:t>)</w:t>
      </w:r>
      <w:bookmarkEnd w:id="169"/>
      <w:bookmarkEnd w:id="170"/>
    </w:p>
    <w:p w:rsidR="009569C7" w:rsidRPr="00EC4FA2" w:rsidRDefault="00A834F1" w:rsidP="009569C7">
      <w:pPr>
        <w:pStyle w:val="Baseparagraphnumbered"/>
        <w:rPr>
          <w:kern w:val="32"/>
        </w:rPr>
      </w:pPr>
      <w:r>
        <w:t xml:space="preserve"> Formularul </w:t>
      </w:r>
      <w:r w:rsidRPr="004237EC">
        <w:t>12</w:t>
      </w:r>
      <w:r>
        <w:t>.</w:t>
      </w:r>
      <w:r w:rsidRPr="004237EC">
        <w:t>1</w:t>
      </w:r>
      <w:r>
        <w:t xml:space="preserve"> con</w:t>
      </w:r>
      <w:r w:rsidR="000C213F">
        <w:t>ț</w:t>
      </w:r>
      <w:r>
        <w:t xml:space="preserve">ine o reconciliere a soldurilor de deschidere </w:t>
      </w:r>
      <w:r w:rsidR="000C213F">
        <w:t>ș</w:t>
      </w:r>
      <w:r>
        <w:t xml:space="preserve">i de închidere a contului de ajustări pentru depreciere în cazul activelor financiare evaluate la costul amortizat </w:t>
      </w:r>
      <w:r w:rsidR="000C213F">
        <w:t>ș</w:t>
      </w:r>
      <w:r>
        <w:t xml:space="preserve">i la valoarea justă prin alte elemente ale rezultatului global, defalcate pe etape de depreciere, pe instrumente </w:t>
      </w:r>
      <w:r w:rsidR="000C213F">
        <w:t>ș</w:t>
      </w:r>
      <w:r>
        <w:t>i pe contrapăr</w:t>
      </w:r>
      <w:r w:rsidR="000C213F">
        <w:t>ț</w:t>
      </w:r>
      <w:r>
        <w:t>i.</w:t>
      </w:r>
      <w:r w:rsidR="004237EC">
        <w:t xml:space="preserve"> </w:t>
      </w:r>
    </w:p>
    <w:p w:rsidR="009569C7" w:rsidRPr="00EC4FA2" w:rsidRDefault="00A834F1" w:rsidP="009569C7">
      <w:pPr>
        <w:pStyle w:val="Baseparagraphnumbered"/>
        <w:rPr>
          <w:kern w:val="32"/>
        </w:rPr>
      </w:pPr>
      <w:r>
        <w:t>Provizioanele pentru expunerile extrabilan</w:t>
      </w:r>
      <w:r w:rsidR="000C213F">
        <w:t>ț</w:t>
      </w:r>
      <w:r>
        <w:t>iere care fac obiectul dispozi</w:t>
      </w:r>
      <w:r w:rsidR="000C213F">
        <w:t>ț</w:t>
      </w:r>
      <w:r>
        <w:t xml:space="preserve">iilor privind deprecierea din IFRS </w:t>
      </w:r>
      <w:r w:rsidRPr="004237EC">
        <w:t>9</w:t>
      </w:r>
      <w:r>
        <w:t xml:space="preserve"> se raportează în func</w:t>
      </w:r>
      <w:r w:rsidR="000C213F">
        <w:t>ț</w:t>
      </w:r>
      <w:r>
        <w:t>ie de etapele de depreciere. Deprecierile angajamentelor de creditare se raportează ca provizioane numai în cazul în care nu sunt considerate împreună cu deprecierile activelor din bilan</w:t>
      </w:r>
      <w:r w:rsidR="000C213F">
        <w:t>ț</w:t>
      </w:r>
      <w:r>
        <w:t xml:space="preserve">, în conformitate cu IFRS </w:t>
      </w:r>
      <w:r w:rsidRPr="004237EC">
        <w:t>9</w:t>
      </w:r>
      <w:r>
        <w:t xml:space="preserve"> – IFRS </w:t>
      </w:r>
      <w:r w:rsidRPr="004237EC">
        <w:t>7</w:t>
      </w:r>
      <w:r>
        <w:t xml:space="preserve"> punctul B</w:t>
      </w:r>
      <w:r w:rsidRPr="004237EC">
        <w:t>8</w:t>
      </w:r>
      <w:r>
        <w:t xml:space="preserve">E </w:t>
      </w:r>
      <w:r w:rsidR="000C213F">
        <w:t>ș</w:t>
      </w:r>
      <w:r>
        <w:t xml:space="preserve">i cu punctul </w:t>
      </w:r>
      <w:r w:rsidRPr="004237EC">
        <w:t>108</w:t>
      </w:r>
      <w:r>
        <w:t xml:space="preserve"> din prezenta parte. Varia</w:t>
      </w:r>
      <w:r w:rsidR="000C213F">
        <w:t>ț</w:t>
      </w:r>
      <w:r>
        <w:t xml:space="preserve">iile provizioanelor pentru angajamentele </w:t>
      </w:r>
      <w:r w:rsidR="000C213F">
        <w:t>ș</w:t>
      </w:r>
      <w:r>
        <w:t>i garan</w:t>
      </w:r>
      <w:r w:rsidR="000C213F">
        <w:t>ț</w:t>
      </w:r>
      <w:r>
        <w:t xml:space="preserve">iile financiare evaluate în conformitate cu IAS </w:t>
      </w:r>
      <w:r w:rsidRPr="004237EC">
        <w:t>37</w:t>
      </w:r>
      <w:r>
        <w:t xml:space="preserve"> </w:t>
      </w:r>
      <w:r w:rsidR="000C213F">
        <w:t>ș</w:t>
      </w:r>
      <w:r>
        <w:t>i pentru garan</w:t>
      </w:r>
      <w:r w:rsidR="000C213F">
        <w:t>ț</w:t>
      </w:r>
      <w:r>
        <w:t xml:space="preserve">iile financiare tratate drept contracte de asigurare în conformitate cu IFRS </w:t>
      </w:r>
      <w:r w:rsidRPr="004237EC">
        <w:t>4</w:t>
      </w:r>
      <w:r>
        <w:t xml:space="preserve"> nu se raportează în acest formular, ci în formularul </w:t>
      </w:r>
      <w:r w:rsidRPr="004237EC">
        <w:t>43</w:t>
      </w:r>
      <w:r>
        <w:t xml:space="preserve">. Modificările valorii juste datorate riscului de credit aferent angajamentelor </w:t>
      </w:r>
      <w:r w:rsidR="000C213F">
        <w:t>ș</w:t>
      </w:r>
      <w:r>
        <w:t>i garan</w:t>
      </w:r>
      <w:r w:rsidR="000C213F">
        <w:t>ț</w:t>
      </w:r>
      <w:r>
        <w:t xml:space="preserve">iilor financiare evaluate la valoarea justă prin profit sau pierdere în </w:t>
      </w:r>
      <w:r>
        <w:lastRenderedPageBreak/>
        <w:t xml:space="preserve">conformitate cu IFRS </w:t>
      </w:r>
      <w:r w:rsidRPr="004237EC">
        <w:t>9</w:t>
      </w:r>
      <w:r>
        <w:t xml:space="preserve"> nu se raportează în acest formular, ci la elementul „câ</w:t>
      </w:r>
      <w:r w:rsidR="000C213F">
        <w:t>ș</w:t>
      </w:r>
      <w:r>
        <w:t xml:space="preserve">tiguri sau (−) pierderi aferente activelor </w:t>
      </w:r>
      <w:r w:rsidR="000C213F">
        <w:t>ș</w:t>
      </w:r>
      <w:r>
        <w:t xml:space="preserve">i datoriilor financiare desemnate la valoarea justă prin profit sau pierdere – net”, în conformitate cu punctul </w:t>
      </w:r>
      <w:r w:rsidRPr="004237EC">
        <w:t>50</w:t>
      </w:r>
      <w:r>
        <w:t xml:space="preserve"> din prezenta parte.</w:t>
      </w:r>
    </w:p>
    <w:p w:rsidR="009569C7" w:rsidRPr="00EC4FA2" w:rsidRDefault="00A834F1" w:rsidP="009569C7">
      <w:pPr>
        <w:pStyle w:val="Baseparagraphnumbered"/>
        <w:rPr>
          <w:kern w:val="32"/>
        </w:rPr>
      </w:pPr>
      <w:r>
        <w:t xml:space="preserve">Elementele „din care: ajustări evaluate la nivel colectiv” </w:t>
      </w:r>
      <w:r w:rsidR="000C213F">
        <w:t>ș</w:t>
      </w:r>
      <w:r>
        <w:t>i „din care: ajustări evaluate individual” includ varia</w:t>
      </w:r>
      <w:r w:rsidR="000C213F">
        <w:t>ț</w:t>
      </w:r>
      <w:r>
        <w:t xml:space="preserve">iile valorii cumulate a deprecierii aferentă activelor financiare care au fost evaluate la nivel colectiv sau, respectiv, la nivel individual. </w:t>
      </w:r>
    </w:p>
    <w:p w:rsidR="009569C7" w:rsidRPr="00EC4FA2" w:rsidRDefault="00A834F1" w:rsidP="009569C7">
      <w:pPr>
        <w:pStyle w:val="Baseparagraphnumbered"/>
      </w:pPr>
      <w:r>
        <w:t xml:space="preserve">„Majorările datorate emiterii </w:t>
      </w:r>
      <w:r w:rsidR="000C213F">
        <w:t>ș</w:t>
      </w:r>
      <w:r>
        <w:t>i achizi</w:t>
      </w:r>
      <w:r w:rsidR="000C213F">
        <w:t>ț</w:t>
      </w:r>
      <w:r>
        <w:t>iei” includ cuantumul majorărilor aferente pierderilor preconizate contabilizate la recunoa</w:t>
      </w:r>
      <w:r w:rsidR="000C213F">
        <w:t>ș</w:t>
      </w:r>
      <w:r>
        <w:t>terea ini</w:t>
      </w:r>
      <w:r w:rsidR="000C213F">
        <w:t>ț</w:t>
      </w:r>
      <w:r>
        <w:t>ială a activelor financiare ini</w:t>
      </w:r>
      <w:r w:rsidR="000C213F">
        <w:t>ț</w:t>
      </w:r>
      <w:r>
        <w:t>iate sau achizi</w:t>
      </w:r>
      <w:r w:rsidR="000C213F">
        <w:t>ț</w:t>
      </w:r>
      <w:r>
        <w:t>ionate. Această majorare a ajustării se raportează la prima dată de referin</w:t>
      </w:r>
      <w:r w:rsidR="000C213F">
        <w:t>ț</w:t>
      </w:r>
      <w:r>
        <w:t>ă a raportării după ini</w:t>
      </w:r>
      <w:r w:rsidR="000C213F">
        <w:t>ț</w:t>
      </w:r>
      <w:r>
        <w:t>ierea sau achizi</w:t>
      </w:r>
      <w:r w:rsidR="000C213F">
        <w:t>ț</w:t>
      </w:r>
      <w:r>
        <w:t>ionarea activelor financiare respective. Majorările sau diminuările aferente pierderilor preconizate pentru aceste active financiare după recunoa</w:t>
      </w:r>
      <w:r w:rsidR="000C213F">
        <w:t>ș</w:t>
      </w:r>
      <w:r>
        <w:t>terea lor ini</w:t>
      </w:r>
      <w:r w:rsidR="000C213F">
        <w:t>ț</w:t>
      </w:r>
      <w:r>
        <w:t>ială se raportează în alte coloane, după caz. Activele ini</w:t>
      </w:r>
      <w:r w:rsidR="000C213F">
        <w:t>ț</w:t>
      </w:r>
      <w:r>
        <w:t>iate sau achizi</w:t>
      </w:r>
      <w:r w:rsidR="000C213F">
        <w:t>ț</w:t>
      </w:r>
      <w:r>
        <w:t>ionate includ active care rezultă din tragerea angajamentelor extrabilan</w:t>
      </w:r>
      <w:r w:rsidR="000C213F">
        <w:t>ț</w:t>
      </w:r>
      <w:r>
        <w:t>iere date.</w:t>
      </w:r>
    </w:p>
    <w:p w:rsidR="009569C7" w:rsidRPr="00EC4FA2" w:rsidRDefault="00A834F1" w:rsidP="009569C7">
      <w:pPr>
        <w:pStyle w:val="Baseparagraphnumbered"/>
      </w:pPr>
      <w:r>
        <w:t>„Diminuările datorate derecunoa</w:t>
      </w:r>
      <w:r w:rsidR="000C213F">
        <w:t>ș</w:t>
      </w:r>
      <w:r>
        <w:t>terii” includ cuantumul modificărilor aferente pierderilor preconizate datorate activelor financiare derecunoscute în totalitate în perioada de raportare pentru alte motive decât scoaterea în afara bilan</w:t>
      </w:r>
      <w:r w:rsidR="000C213F">
        <w:t>ț</w:t>
      </w:r>
      <w:r>
        <w:t>ului, printre care se numără transferurile către ter</w:t>
      </w:r>
      <w:r w:rsidR="000C213F">
        <w:t>ț</w:t>
      </w:r>
      <w:r>
        <w:t>i sau expirarea drepturilor contractuale ca urmare a rambursării integrale, a cesiunii activelor financiare respective sau a transferului acestora în alt portofoliu contabil. Varia</w:t>
      </w:r>
      <w:r w:rsidR="000C213F">
        <w:t>ț</w:t>
      </w:r>
      <w:r>
        <w:t>ia ajustării este recunoscută în această coloană la prima dată de referin</w:t>
      </w:r>
      <w:r w:rsidR="000C213F">
        <w:t>ț</w:t>
      </w:r>
      <w:r>
        <w:t>ă a raportării ca urmare a rambursării, cesiunii sau transferului. Pentru expunerile extrabilan</w:t>
      </w:r>
      <w:r w:rsidR="000C213F">
        <w:t>ț</w:t>
      </w:r>
      <w:r>
        <w:t>iere acest element include, de asemenea, diminuările deprecierii ca urmare a transformării elementului extrabilan</w:t>
      </w:r>
      <w:r w:rsidR="000C213F">
        <w:t>ț</w:t>
      </w:r>
      <w:r>
        <w:t>ier în activ bilan</w:t>
      </w:r>
      <w:r w:rsidR="000C213F">
        <w:t>ț</w:t>
      </w:r>
      <w:r>
        <w:t>ier.</w:t>
      </w:r>
    </w:p>
    <w:p w:rsidR="009569C7" w:rsidRPr="00EC4FA2" w:rsidRDefault="00A834F1" w:rsidP="009569C7">
      <w:pPr>
        <w:pStyle w:val="Baseparagraphnumbered"/>
      </w:pPr>
      <w:r>
        <w:t>„Varia</w:t>
      </w:r>
      <w:r w:rsidR="000C213F">
        <w:t>ț</w:t>
      </w:r>
      <w:r>
        <w:t>iile datorate modificării riscului de credit (net)” includ valoarea netă a varia</w:t>
      </w:r>
      <w:r w:rsidR="000C213F">
        <w:t>ț</w:t>
      </w:r>
      <w:r>
        <w:t>iilor aferente pierderilor preconizate la sfâr</w:t>
      </w:r>
      <w:r w:rsidR="000C213F">
        <w:t>ș</w:t>
      </w:r>
      <w:r>
        <w:t>itul perioadei de raportare din cauza unei cre</w:t>
      </w:r>
      <w:r w:rsidR="000C213F">
        <w:t>ș</w:t>
      </w:r>
      <w:r>
        <w:t>teri sau diminuări a riscului de credit după recunoa</w:t>
      </w:r>
      <w:r w:rsidR="000C213F">
        <w:t>ș</w:t>
      </w:r>
      <w:r>
        <w:t>terea ini</w:t>
      </w:r>
      <w:r w:rsidR="000C213F">
        <w:t>ț</w:t>
      </w:r>
      <w:r>
        <w:t xml:space="preserve">ială, indiferent dacă acestea au condus la un transfer al activului financiar la o altă etapă. Impactul asupra ajustării provocat de majorarea sau diminuarea valorii activelor financiare ca urmare a veniturilor din dobânzi acumulate </w:t>
      </w:r>
      <w:r w:rsidR="000C213F">
        <w:t>ș</w:t>
      </w:r>
      <w:r>
        <w:t xml:space="preserve">i plătite se raportează în această coloană. Acest element cuprinde, de asemenea, impactul trecerii timpului asupra pierderilor preconizate în conformitate cu IFRS </w:t>
      </w:r>
      <w:r w:rsidRPr="004237EC">
        <w:t>9</w:t>
      </w:r>
      <w:r>
        <w:t xml:space="preserve"> punctul </w:t>
      </w:r>
      <w:r w:rsidRPr="004237EC">
        <w:t>5</w:t>
      </w:r>
      <w:r>
        <w:t>.</w:t>
      </w:r>
      <w:r w:rsidRPr="004237EC">
        <w:t>4</w:t>
      </w:r>
      <w:r>
        <w:t>.</w:t>
      </w:r>
      <w:r w:rsidRPr="004237EC">
        <w:t>1</w:t>
      </w:r>
      <w:r>
        <w:t xml:space="preserve"> literele (a) </w:t>
      </w:r>
      <w:r w:rsidR="000C213F">
        <w:t>ș</w:t>
      </w:r>
      <w:r>
        <w:t xml:space="preserve">i (b). Modificările estimărilor datorate actualizărilor sau revizuirii parametrilor de risc, precum </w:t>
      </w:r>
      <w:r w:rsidR="000C213F">
        <w:t>ș</w:t>
      </w:r>
      <w:r>
        <w:t>i modificările datelor economice previzionale se raportează, de asemenea, în această coloană. Modificările pierderilor preconizate ca urmare a rambursării par</w:t>
      </w:r>
      <w:r w:rsidR="000C213F">
        <w:t>ț</w:t>
      </w:r>
      <w:r>
        <w:t>iale a unor expuneri în tran</w:t>
      </w:r>
      <w:r w:rsidR="000C213F">
        <w:t>ș</w:t>
      </w:r>
      <w:r>
        <w:t>e se raportează în această coloană, cu excep</w:t>
      </w:r>
      <w:r w:rsidR="000C213F">
        <w:t>ț</w:t>
      </w:r>
      <w:r>
        <w:t>ia ultimei tran</w:t>
      </w:r>
      <w:r w:rsidR="000C213F">
        <w:t>ș</w:t>
      </w:r>
      <w:r>
        <w:t>e, care se raportează în coloana „diminuări datorate derecunoa</w:t>
      </w:r>
      <w:r w:rsidR="000C213F">
        <w:t>ș</w:t>
      </w:r>
      <w:r>
        <w:t>terii”.</w:t>
      </w:r>
    </w:p>
    <w:p w:rsidR="009569C7" w:rsidRPr="00EC4FA2" w:rsidRDefault="00A834F1" w:rsidP="009569C7">
      <w:pPr>
        <w:pStyle w:val="Baseparagraphnumbered"/>
      </w:pPr>
      <w:r>
        <w:t>Toate modificările pierderilor din credit preconizate aferente expunerilor reînnoibile se raportează la „varia</w:t>
      </w:r>
      <w:r w:rsidR="000C213F">
        <w:t>ț</w:t>
      </w:r>
      <w:r>
        <w:t xml:space="preserve">ii datorate modificării riscului </w:t>
      </w:r>
      <w:r>
        <w:lastRenderedPageBreak/>
        <w:t>de credit (net)”, cu excep</w:t>
      </w:r>
      <w:r w:rsidR="000C213F">
        <w:t>ț</w:t>
      </w:r>
      <w:r>
        <w:t>ia modificărilor legate de scoaterile în afara bilan</w:t>
      </w:r>
      <w:r w:rsidR="000C213F">
        <w:t>ț</w:t>
      </w:r>
      <w:r>
        <w:t xml:space="preserve">ului </w:t>
      </w:r>
      <w:r w:rsidR="000C213F">
        <w:t>ș</w:t>
      </w:r>
      <w:r>
        <w:t>i de actualizările metodologiei folosite de institu</w:t>
      </w:r>
      <w:r w:rsidR="000C213F">
        <w:t>ț</w:t>
      </w:r>
      <w:r>
        <w:t>ie pentru estimarea pierderilor din credit. Expunerile reînnoibile sunt cele în cazul cărora soldurile clien</w:t>
      </w:r>
      <w:r w:rsidR="000C213F">
        <w:t>ț</w:t>
      </w:r>
      <w:r>
        <w:t>ilor pot fluctua în func</w:t>
      </w:r>
      <w:r w:rsidR="000C213F">
        <w:t>ț</w:t>
      </w:r>
      <w:r>
        <w:t xml:space="preserve">ie de decizia acestora de a împrumuta </w:t>
      </w:r>
      <w:r w:rsidR="000C213F">
        <w:t>ș</w:t>
      </w:r>
      <w:r>
        <w:t>i de a rambursa până la o limită stabilită de institu</w:t>
      </w:r>
      <w:r w:rsidR="000C213F">
        <w:t>ț</w:t>
      </w:r>
      <w:r>
        <w:t>ie.</w:t>
      </w:r>
    </w:p>
    <w:p w:rsidR="009569C7" w:rsidRPr="00EC4FA2" w:rsidRDefault="00A834F1" w:rsidP="009569C7">
      <w:pPr>
        <w:pStyle w:val="Baseparagraphnumbered"/>
      </w:pPr>
      <w:r>
        <w:t>„Varia</w:t>
      </w:r>
      <w:r w:rsidR="000C213F">
        <w:t>ț</w:t>
      </w:r>
      <w:r>
        <w:t>iile datorate actualizării metodologiei de estimare a institu</w:t>
      </w:r>
      <w:r w:rsidR="000C213F">
        <w:t>ț</w:t>
      </w:r>
      <w:r>
        <w:t>iei (net)” includ varia</w:t>
      </w:r>
      <w:r w:rsidR="000C213F">
        <w:t>ț</w:t>
      </w:r>
      <w:r>
        <w:t>iile datorate actualizărilor metodologiei institu</w:t>
      </w:r>
      <w:r w:rsidR="000C213F">
        <w:t>ț</w:t>
      </w:r>
      <w:r>
        <w:t xml:space="preserve">iei pentru estimarea pierderilor preconizate datorate schimbărilor intervenite în modelele existente sau stabilirii unor noi modele utilizate pentru estimarea deprecierii. Actualizările metodologice cuprind, de asemenea, impactul adoptării unor noi standarde. Schimbările metodologiei care impun ca un activ să treacă la o altă etapă de depreciere sunt considerate o schimbare de model în totalitate. Modificările estimărilor datorate actualizărilor sau revizuirii parametrilor de risc, precum </w:t>
      </w:r>
      <w:r w:rsidR="000C213F">
        <w:t>ș</w:t>
      </w:r>
      <w:r>
        <w:t>i modificările datelor economice previzionale nu se raportează în această coloană.</w:t>
      </w:r>
    </w:p>
    <w:p w:rsidR="009569C7" w:rsidRPr="00EC4FA2" w:rsidRDefault="00A834F1" w:rsidP="009569C7">
      <w:pPr>
        <w:pStyle w:val="Baseparagraphnumbered"/>
      </w:pPr>
      <w:r>
        <w:t xml:space="preserve">Raportarea modificărilor intervenite în pierderile preconizate aferente activelor modificate [IFRS </w:t>
      </w:r>
      <w:r w:rsidRPr="004237EC">
        <w:t>9</w:t>
      </w:r>
      <w:r>
        <w:t xml:space="preserve"> punctul </w:t>
      </w:r>
      <w:r w:rsidRPr="004237EC">
        <w:t>5</w:t>
      </w:r>
      <w:r>
        <w:t>.</w:t>
      </w:r>
      <w:r w:rsidRPr="004237EC">
        <w:t>4</w:t>
      </w:r>
      <w:r>
        <w:t>.</w:t>
      </w:r>
      <w:r w:rsidRPr="004237EC">
        <w:t>3</w:t>
      </w:r>
      <w:r>
        <w:t xml:space="preserve"> </w:t>
      </w:r>
      <w:r w:rsidR="000C213F">
        <w:t>ș</w:t>
      </w:r>
      <w:r>
        <w:t>i anexa A] depinde de caracteristica modificării în conformitate cu următoarele dispozi</w:t>
      </w:r>
      <w:r w:rsidR="000C213F">
        <w:t>ț</w:t>
      </w:r>
      <w:r>
        <w:t xml:space="preserve">ii: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în cazul în care modificarea în cauză duce la derecunoa</w:t>
      </w:r>
      <w:r w:rsidR="000C213F">
        <w:rPr>
          <w:rFonts w:ascii="Times New Roman" w:hAnsi="Times New Roman"/>
          <w:sz w:val="24"/>
        </w:rPr>
        <w:t>ș</w:t>
      </w:r>
      <w:r>
        <w:rPr>
          <w:rFonts w:ascii="Times New Roman" w:hAnsi="Times New Roman"/>
          <w:sz w:val="24"/>
        </w:rPr>
        <w:t>terea par</w:t>
      </w:r>
      <w:r w:rsidR="000C213F">
        <w:rPr>
          <w:rFonts w:ascii="Times New Roman" w:hAnsi="Times New Roman"/>
          <w:sz w:val="24"/>
        </w:rPr>
        <w:t>ț</w:t>
      </w:r>
      <w:r>
        <w:rPr>
          <w:rFonts w:ascii="Times New Roman" w:hAnsi="Times New Roman"/>
          <w:sz w:val="24"/>
        </w:rPr>
        <w:t>ială sau totală a unui activ ca urmare a unei scoateri în afara bilan</w:t>
      </w:r>
      <w:r w:rsidR="000C213F">
        <w:rPr>
          <w:rFonts w:ascii="Times New Roman" w:hAnsi="Times New Roman"/>
          <w:sz w:val="24"/>
        </w:rPr>
        <w:t>ț</w:t>
      </w:r>
      <w:r>
        <w:rPr>
          <w:rFonts w:ascii="Times New Roman" w:hAnsi="Times New Roman"/>
          <w:sz w:val="24"/>
        </w:rPr>
        <w:t>ului, în sensul defini</w:t>
      </w:r>
      <w:r w:rsidR="000C213F">
        <w:rPr>
          <w:rFonts w:ascii="Times New Roman" w:hAnsi="Times New Roman"/>
          <w:sz w:val="24"/>
        </w:rPr>
        <w:t>ț</w:t>
      </w:r>
      <w:r>
        <w:rPr>
          <w:rFonts w:ascii="Times New Roman" w:hAnsi="Times New Roman"/>
          <w:sz w:val="24"/>
        </w:rPr>
        <w:t xml:space="preserve">iei de la punctul </w:t>
      </w:r>
      <w:r w:rsidRPr="004237EC">
        <w:rPr>
          <w:rFonts w:ascii="Times New Roman" w:hAnsi="Times New Roman"/>
          <w:sz w:val="24"/>
        </w:rPr>
        <w:t>74</w:t>
      </w:r>
      <w:r>
        <w:rPr>
          <w:rFonts w:ascii="Times New Roman" w:hAnsi="Times New Roman"/>
          <w:sz w:val="24"/>
        </w:rPr>
        <w:t>, impactul asupra pierderilor preconizate ca urmare a acestei derecunoa</w:t>
      </w:r>
      <w:r w:rsidR="000C213F">
        <w:rPr>
          <w:rFonts w:ascii="Times New Roman" w:hAnsi="Times New Roman"/>
          <w:sz w:val="24"/>
        </w:rPr>
        <w:t>ș</w:t>
      </w:r>
      <w:r>
        <w:rPr>
          <w:rFonts w:ascii="Times New Roman" w:hAnsi="Times New Roman"/>
          <w:sz w:val="24"/>
        </w:rPr>
        <w:t>teri se raportează la „diminuarea contului de ajustări pentru depreciere datorată sumelor scoase în afara bilan</w:t>
      </w:r>
      <w:r w:rsidR="000C213F">
        <w:rPr>
          <w:rFonts w:ascii="Times New Roman" w:hAnsi="Times New Roman"/>
          <w:sz w:val="24"/>
        </w:rPr>
        <w:t>ț</w:t>
      </w:r>
      <w:r>
        <w:rPr>
          <w:rFonts w:ascii="Times New Roman" w:hAnsi="Times New Roman"/>
          <w:sz w:val="24"/>
        </w:rPr>
        <w:t xml:space="preserve">ului”, iar orice alt impact al modificării asupra pierderilor din credit preconizate se raportează în alte coloane corespunzătoare;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în cazul în care modificarea în cauză duce la derecunoa</w:t>
      </w:r>
      <w:r w:rsidR="000C213F">
        <w:rPr>
          <w:rFonts w:ascii="Times New Roman" w:hAnsi="Times New Roman"/>
          <w:sz w:val="24"/>
        </w:rPr>
        <w:t>ș</w:t>
      </w:r>
      <w:r>
        <w:rPr>
          <w:rFonts w:ascii="Times New Roman" w:hAnsi="Times New Roman"/>
          <w:sz w:val="24"/>
        </w:rPr>
        <w:t>terea completă a unui activ din alte motive decât o scoatere în afara bilan</w:t>
      </w:r>
      <w:r w:rsidR="000C213F">
        <w:rPr>
          <w:rFonts w:ascii="Times New Roman" w:hAnsi="Times New Roman"/>
          <w:sz w:val="24"/>
        </w:rPr>
        <w:t>ț</w:t>
      </w:r>
      <w:r>
        <w:rPr>
          <w:rFonts w:ascii="Times New Roman" w:hAnsi="Times New Roman"/>
          <w:sz w:val="24"/>
        </w:rPr>
        <w:t>ului, în sensul defini</w:t>
      </w:r>
      <w:r w:rsidR="000C213F">
        <w:rPr>
          <w:rFonts w:ascii="Times New Roman" w:hAnsi="Times New Roman"/>
          <w:sz w:val="24"/>
        </w:rPr>
        <w:t>ț</w:t>
      </w:r>
      <w:r>
        <w:rPr>
          <w:rFonts w:ascii="Times New Roman" w:hAnsi="Times New Roman"/>
          <w:sz w:val="24"/>
        </w:rPr>
        <w:t xml:space="preserve">iei de la punctul </w:t>
      </w:r>
      <w:r w:rsidRPr="004237EC">
        <w:rPr>
          <w:rFonts w:ascii="Times New Roman" w:hAnsi="Times New Roman"/>
          <w:sz w:val="24"/>
        </w:rPr>
        <w:t>74</w:t>
      </w:r>
      <w:r>
        <w:rPr>
          <w:rFonts w:ascii="Times New Roman" w:hAnsi="Times New Roman"/>
          <w:sz w:val="24"/>
        </w:rPr>
        <w:t xml:space="preserve">, </w:t>
      </w:r>
      <w:r w:rsidR="000C213F">
        <w:rPr>
          <w:rFonts w:ascii="Times New Roman" w:hAnsi="Times New Roman"/>
          <w:sz w:val="24"/>
        </w:rPr>
        <w:t>ș</w:t>
      </w:r>
      <w:r>
        <w:rPr>
          <w:rFonts w:ascii="Times New Roman" w:hAnsi="Times New Roman"/>
          <w:sz w:val="24"/>
        </w:rPr>
        <w:t>i la înlocuirea sa cu un activ nou, impactul modificării asupra pierderilor din credit preconizate se raportează la „varia</w:t>
      </w:r>
      <w:r w:rsidR="000C213F">
        <w:rPr>
          <w:rFonts w:ascii="Times New Roman" w:hAnsi="Times New Roman"/>
          <w:sz w:val="24"/>
        </w:rPr>
        <w:t>ț</w:t>
      </w:r>
      <w:r>
        <w:rPr>
          <w:rFonts w:ascii="Times New Roman" w:hAnsi="Times New Roman"/>
          <w:sz w:val="24"/>
        </w:rPr>
        <w:t>ii datorate derecunoa</w:t>
      </w:r>
      <w:r w:rsidR="000C213F">
        <w:rPr>
          <w:rFonts w:ascii="Times New Roman" w:hAnsi="Times New Roman"/>
          <w:sz w:val="24"/>
        </w:rPr>
        <w:t>ș</w:t>
      </w:r>
      <w:r>
        <w:rPr>
          <w:rFonts w:ascii="Times New Roman" w:hAnsi="Times New Roman"/>
          <w:sz w:val="24"/>
        </w:rPr>
        <w:t xml:space="preserve">terii” pentru modificările survenite ca urmare a activului derecunoscut </w:t>
      </w:r>
      <w:r w:rsidR="000C213F">
        <w:rPr>
          <w:rFonts w:ascii="Times New Roman" w:hAnsi="Times New Roman"/>
          <w:sz w:val="24"/>
        </w:rPr>
        <w:t>ș</w:t>
      </w:r>
      <w:r>
        <w:rPr>
          <w:rFonts w:ascii="Times New Roman" w:hAnsi="Times New Roman"/>
          <w:sz w:val="24"/>
        </w:rPr>
        <w:t>i la „majorări datorate ini</w:t>
      </w:r>
      <w:r w:rsidR="000C213F">
        <w:rPr>
          <w:rFonts w:ascii="Times New Roman" w:hAnsi="Times New Roman"/>
          <w:sz w:val="24"/>
        </w:rPr>
        <w:t>ț</w:t>
      </w:r>
      <w:r>
        <w:rPr>
          <w:rFonts w:ascii="Times New Roman" w:hAnsi="Times New Roman"/>
          <w:sz w:val="24"/>
        </w:rPr>
        <w:t xml:space="preserve">ierii </w:t>
      </w:r>
      <w:r w:rsidR="000C213F">
        <w:rPr>
          <w:rFonts w:ascii="Times New Roman" w:hAnsi="Times New Roman"/>
          <w:sz w:val="24"/>
        </w:rPr>
        <w:t>ș</w:t>
      </w:r>
      <w:r>
        <w:rPr>
          <w:rFonts w:ascii="Times New Roman" w:hAnsi="Times New Roman"/>
          <w:sz w:val="24"/>
        </w:rPr>
        <w:t>i achizi</w:t>
      </w:r>
      <w:r w:rsidR="000C213F">
        <w:rPr>
          <w:rFonts w:ascii="Times New Roman" w:hAnsi="Times New Roman"/>
          <w:sz w:val="24"/>
        </w:rPr>
        <w:t>ț</w:t>
      </w:r>
      <w:r>
        <w:rPr>
          <w:rFonts w:ascii="Times New Roman" w:hAnsi="Times New Roman"/>
          <w:sz w:val="24"/>
        </w:rPr>
        <w:t>iei” pentru modificările survenite ca urmare a activului modificat recunoscut recent. Derecunoa</w:t>
      </w:r>
      <w:r w:rsidR="000C213F">
        <w:rPr>
          <w:rFonts w:ascii="Times New Roman" w:hAnsi="Times New Roman"/>
          <w:sz w:val="24"/>
        </w:rPr>
        <w:t>ș</w:t>
      </w:r>
      <w:r>
        <w:rPr>
          <w:rFonts w:ascii="Times New Roman" w:hAnsi="Times New Roman"/>
          <w:sz w:val="24"/>
        </w:rPr>
        <w:t>terea din alte motive decât scoaterile în afara bilan</w:t>
      </w:r>
      <w:r w:rsidR="000C213F">
        <w:rPr>
          <w:rFonts w:ascii="Times New Roman" w:hAnsi="Times New Roman"/>
          <w:sz w:val="24"/>
        </w:rPr>
        <w:t>ț</w:t>
      </w:r>
      <w:r>
        <w:rPr>
          <w:rFonts w:ascii="Times New Roman" w:hAnsi="Times New Roman"/>
          <w:sz w:val="24"/>
        </w:rPr>
        <w:t>ului include derecunoa</w:t>
      </w:r>
      <w:r w:rsidR="000C213F">
        <w:rPr>
          <w:rFonts w:ascii="Times New Roman" w:hAnsi="Times New Roman"/>
          <w:sz w:val="24"/>
        </w:rPr>
        <w:t>ș</w:t>
      </w:r>
      <w:r>
        <w:rPr>
          <w:rFonts w:ascii="Times New Roman" w:hAnsi="Times New Roman"/>
          <w:sz w:val="24"/>
        </w:rPr>
        <w:t>terea în cazul în care condi</w:t>
      </w:r>
      <w:r w:rsidR="000C213F">
        <w:rPr>
          <w:rFonts w:ascii="Times New Roman" w:hAnsi="Times New Roman"/>
          <w:sz w:val="24"/>
        </w:rPr>
        <w:t>ț</w:t>
      </w:r>
      <w:r>
        <w:rPr>
          <w:rFonts w:ascii="Times New Roman" w:hAnsi="Times New Roman"/>
          <w:sz w:val="24"/>
        </w:rPr>
        <w:t>iile pentru activele modificate au făcut obiectul unor modificări substan</w:t>
      </w:r>
      <w:r w:rsidR="000C213F">
        <w:rPr>
          <w:rFonts w:ascii="Times New Roman" w:hAnsi="Times New Roman"/>
          <w:sz w:val="24"/>
        </w:rPr>
        <w:t>ț</w:t>
      </w:r>
      <w:r>
        <w:rPr>
          <w:rFonts w:ascii="Times New Roman" w:hAnsi="Times New Roman"/>
          <w:sz w:val="24"/>
        </w:rPr>
        <w:t xml:space="preserve">iale;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în cazul în care modificarea nu are drept rezultat derecunoa</w:t>
      </w:r>
      <w:r w:rsidR="000C213F">
        <w:rPr>
          <w:rFonts w:ascii="Times New Roman" w:hAnsi="Times New Roman"/>
          <w:sz w:val="24"/>
        </w:rPr>
        <w:t>ș</w:t>
      </w:r>
      <w:r>
        <w:rPr>
          <w:rFonts w:ascii="Times New Roman" w:hAnsi="Times New Roman"/>
          <w:sz w:val="24"/>
        </w:rPr>
        <w:t>terea activului modificat în totalitate sau a unei păr</w:t>
      </w:r>
      <w:r w:rsidR="000C213F">
        <w:rPr>
          <w:rFonts w:ascii="Times New Roman" w:hAnsi="Times New Roman"/>
          <w:sz w:val="24"/>
        </w:rPr>
        <w:t>ț</w:t>
      </w:r>
      <w:r>
        <w:rPr>
          <w:rFonts w:ascii="Times New Roman" w:hAnsi="Times New Roman"/>
          <w:sz w:val="24"/>
        </w:rPr>
        <w:t>i a acestuia, impactul său asupra pierderilor preconizate se raportează la „varia</w:t>
      </w:r>
      <w:r w:rsidR="000C213F">
        <w:rPr>
          <w:rFonts w:ascii="Times New Roman" w:hAnsi="Times New Roman"/>
          <w:sz w:val="24"/>
        </w:rPr>
        <w:t>ț</w:t>
      </w:r>
      <w:r>
        <w:rPr>
          <w:rFonts w:ascii="Times New Roman" w:hAnsi="Times New Roman"/>
          <w:sz w:val="24"/>
        </w:rPr>
        <w:t>ii datorate modificărilor fără derecunoa</w:t>
      </w:r>
      <w:r w:rsidR="000C213F">
        <w:rPr>
          <w:rFonts w:ascii="Times New Roman" w:hAnsi="Times New Roman"/>
          <w:sz w:val="24"/>
        </w:rPr>
        <w:t>ș</w:t>
      </w:r>
      <w:r>
        <w:rPr>
          <w:rFonts w:ascii="Times New Roman" w:hAnsi="Times New Roman"/>
          <w:sz w:val="24"/>
        </w:rPr>
        <w:t>tere”.</w:t>
      </w:r>
      <w:r w:rsidR="004237EC">
        <w:rPr>
          <w:rFonts w:ascii="Times New Roman" w:hAnsi="Times New Roman"/>
          <w:sz w:val="24"/>
        </w:rPr>
        <w:t xml:space="preserve"> </w:t>
      </w:r>
    </w:p>
    <w:p w:rsidR="009569C7" w:rsidRPr="00EC4FA2" w:rsidRDefault="00A834F1" w:rsidP="009569C7">
      <w:pPr>
        <w:pStyle w:val="Baseparagraphnumbered"/>
      </w:pPr>
      <w:r>
        <w:t>Scoaterile în afara bilan</w:t>
      </w:r>
      <w:r w:rsidR="000C213F">
        <w:t>ț</w:t>
      </w:r>
      <w:r>
        <w:t xml:space="preserve">ului se raportează în conformitate cu punctele </w:t>
      </w:r>
      <w:r w:rsidRPr="004237EC">
        <w:t>72</w:t>
      </w:r>
      <w:r>
        <w:t>-</w:t>
      </w:r>
      <w:r w:rsidRPr="004237EC">
        <w:t>74</w:t>
      </w:r>
      <w:r>
        <w:t xml:space="preserve"> din această parte a prezentei anexe </w:t>
      </w:r>
      <w:r w:rsidR="000C213F">
        <w:t>ș</w:t>
      </w:r>
      <w:r>
        <w:t>i în conformitate cu următoarele dispozi</w:t>
      </w:r>
      <w:r w:rsidR="000C213F">
        <w:t>ț</w:t>
      </w:r>
      <w:r>
        <w:t xml:space="preserve">ii: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în cazul în care un instrument de datorie este derecunoscut par</w:t>
      </w:r>
      <w:r w:rsidR="000C213F">
        <w:rPr>
          <w:rFonts w:ascii="Times New Roman" w:hAnsi="Times New Roman"/>
          <w:sz w:val="24"/>
        </w:rPr>
        <w:t>ț</w:t>
      </w:r>
      <w:r>
        <w:rPr>
          <w:rFonts w:ascii="Times New Roman" w:hAnsi="Times New Roman"/>
          <w:sz w:val="24"/>
        </w:rPr>
        <w:t>ial sau în totalitate pentru că nu există a</w:t>
      </w:r>
      <w:r w:rsidR="000C213F">
        <w:rPr>
          <w:rFonts w:ascii="Times New Roman" w:hAnsi="Times New Roman"/>
          <w:sz w:val="24"/>
        </w:rPr>
        <w:t>ș</w:t>
      </w:r>
      <w:r>
        <w:rPr>
          <w:rFonts w:ascii="Times New Roman" w:hAnsi="Times New Roman"/>
          <w:sz w:val="24"/>
        </w:rPr>
        <w:t xml:space="preserve">teptări rezonabile de recuperare, diminuarea ajustării pentru pierdere raportată ca urmare a sumelor scoase </w:t>
      </w:r>
      <w:r>
        <w:rPr>
          <w:rFonts w:ascii="Times New Roman" w:hAnsi="Times New Roman"/>
          <w:sz w:val="24"/>
        </w:rPr>
        <w:lastRenderedPageBreak/>
        <w:t>în afara bilan</w:t>
      </w:r>
      <w:r w:rsidR="000C213F">
        <w:rPr>
          <w:rFonts w:ascii="Times New Roman" w:hAnsi="Times New Roman"/>
          <w:sz w:val="24"/>
        </w:rPr>
        <w:t>ț</w:t>
      </w:r>
      <w:r>
        <w:rPr>
          <w:rFonts w:ascii="Times New Roman" w:hAnsi="Times New Roman"/>
          <w:sz w:val="24"/>
        </w:rPr>
        <w:t>ului se raportează la: „diminuarea contului de ajustări pentru depreciere datorată sumelor scoase în afara bilan</w:t>
      </w:r>
      <w:r w:rsidR="000C213F">
        <w:rPr>
          <w:rFonts w:ascii="Times New Roman" w:hAnsi="Times New Roman"/>
          <w:sz w:val="24"/>
        </w:rPr>
        <w:t>ț</w:t>
      </w:r>
      <w:r>
        <w:rPr>
          <w:rFonts w:ascii="Times New Roman" w:hAnsi="Times New Roman"/>
          <w:sz w:val="24"/>
        </w:rPr>
        <w:t>ului”;</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„Sume scoase în afara bilan</w:t>
      </w:r>
      <w:r w:rsidR="000C213F">
        <w:rPr>
          <w:rFonts w:ascii="Times New Roman" w:hAnsi="Times New Roman"/>
          <w:sz w:val="24"/>
        </w:rPr>
        <w:t>ț</w:t>
      </w:r>
      <w:r>
        <w:rPr>
          <w:rFonts w:ascii="Times New Roman" w:hAnsi="Times New Roman"/>
          <w:sz w:val="24"/>
        </w:rPr>
        <w:t>ului care sunt înscrise direct în situa</w:t>
      </w:r>
      <w:r w:rsidR="000C213F">
        <w:rPr>
          <w:rFonts w:ascii="Times New Roman" w:hAnsi="Times New Roman"/>
          <w:sz w:val="24"/>
        </w:rPr>
        <w:t>ț</w:t>
      </w:r>
      <w:r>
        <w:rPr>
          <w:rFonts w:ascii="Times New Roman" w:hAnsi="Times New Roman"/>
          <w:sz w:val="24"/>
        </w:rPr>
        <w:t>ia profitului sau pierderii” sunt cuantumurile aferente activelor financiare scoase în afara bilan</w:t>
      </w:r>
      <w:r w:rsidR="000C213F">
        <w:rPr>
          <w:rFonts w:ascii="Times New Roman" w:hAnsi="Times New Roman"/>
          <w:sz w:val="24"/>
        </w:rPr>
        <w:t>ț</w:t>
      </w:r>
      <w:r>
        <w:rPr>
          <w:rFonts w:ascii="Times New Roman" w:hAnsi="Times New Roman"/>
          <w:sz w:val="24"/>
        </w:rPr>
        <w:t>ului în decursul perioadei de raportare care depă</w:t>
      </w:r>
      <w:r w:rsidR="000C213F">
        <w:rPr>
          <w:rFonts w:ascii="Times New Roman" w:hAnsi="Times New Roman"/>
          <w:sz w:val="24"/>
        </w:rPr>
        <w:t>ș</w:t>
      </w:r>
      <w:r>
        <w:rPr>
          <w:rFonts w:ascii="Times New Roman" w:hAnsi="Times New Roman"/>
          <w:sz w:val="24"/>
        </w:rPr>
        <w:t>esc orice cont de ajustări pentru depreciere aferent activelor financiare respective la data derecunoa</w:t>
      </w:r>
      <w:r w:rsidR="000C213F">
        <w:rPr>
          <w:rFonts w:ascii="Times New Roman" w:hAnsi="Times New Roman"/>
          <w:sz w:val="24"/>
        </w:rPr>
        <w:t>ș</w:t>
      </w:r>
      <w:r>
        <w:rPr>
          <w:rFonts w:ascii="Times New Roman" w:hAnsi="Times New Roman"/>
          <w:sz w:val="24"/>
        </w:rPr>
        <w:t>terii. Acestea includ toate sumele scoase în afara bilan</w:t>
      </w:r>
      <w:r w:rsidR="000C213F">
        <w:rPr>
          <w:rFonts w:ascii="Times New Roman" w:hAnsi="Times New Roman"/>
          <w:sz w:val="24"/>
        </w:rPr>
        <w:t>ț</w:t>
      </w:r>
      <w:r>
        <w:rPr>
          <w:rFonts w:ascii="Times New Roman" w:hAnsi="Times New Roman"/>
          <w:sz w:val="24"/>
        </w:rPr>
        <w:t xml:space="preserve">ului în decursul perioadei de raportare, </w:t>
      </w:r>
      <w:r w:rsidR="000C213F">
        <w:rPr>
          <w:rFonts w:ascii="Times New Roman" w:hAnsi="Times New Roman"/>
          <w:sz w:val="24"/>
        </w:rPr>
        <w:t>ș</w:t>
      </w:r>
      <w:r>
        <w:rPr>
          <w:rFonts w:ascii="Times New Roman" w:hAnsi="Times New Roman"/>
          <w:sz w:val="24"/>
        </w:rPr>
        <w:t xml:space="preserve">i nu numai pe cele care fac încă obiectul unei măsuri de executare. </w:t>
      </w:r>
    </w:p>
    <w:p w:rsidR="009569C7" w:rsidRPr="00EC4FA2" w:rsidRDefault="00A834F1" w:rsidP="009569C7">
      <w:pPr>
        <w:pStyle w:val="Baseparagraphnumbered"/>
      </w:pPr>
      <w:r>
        <w:t>„Alte ajustări” cuprind orice cuantum care nu a fost raportat în coloanele precedente, inclusiv, printre altele, ajustările aferente pierderilor preconizate cauzate de diferen</w:t>
      </w:r>
      <w:r w:rsidR="000C213F">
        <w:t>ț</w:t>
      </w:r>
      <w:r>
        <w:t>ele de curs valutar în cazul în care aceasta este în concordan</w:t>
      </w:r>
      <w:r w:rsidR="000C213F">
        <w:t>ț</w:t>
      </w:r>
      <w:r>
        <w:t xml:space="preserve">ă cu raportarea impactului schimbului valutar în formularul </w:t>
      </w:r>
      <w:r w:rsidRPr="004237EC">
        <w:t>2</w:t>
      </w:r>
      <w:r>
        <w:t>.</w:t>
      </w:r>
      <w:r w:rsidR="004237EC">
        <w:t xml:space="preserve"> </w:t>
      </w:r>
    </w:p>
    <w:p w:rsidR="009569C7" w:rsidRPr="00EC4FA2" w:rsidRDefault="00A834F1" w:rsidP="009569C7">
      <w:pPr>
        <w:pStyle w:val="sub-subtitlenumbered"/>
        <w:jc w:val="both"/>
      </w:pPr>
      <w:bookmarkStart w:id="171" w:name="_Toc467855229"/>
      <w:bookmarkStart w:id="172" w:name="_Toc485897561"/>
      <w:r>
        <w:t>Transferuri între etapele deprecierii (prezentarea valorii brute) (</w:t>
      </w:r>
      <w:r w:rsidRPr="004237EC">
        <w:t>12</w:t>
      </w:r>
      <w:r>
        <w:t>.</w:t>
      </w:r>
      <w:r w:rsidRPr="004237EC">
        <w:t>2</w:t>
      </w:r>
      <w:r>
        <w:t>)</w:t>
      </w:r>
      <w:bookmarkEnd w:id="171"/>
      <w:bookmarkEnd w:id="172"/>
    </w:p>
    <w:p w:rsidR="009569C7" w:rsidRPr="00EC4FA2" w:rsidRDefault="00A834F1" w:rsidP="009569C7">
      <w:pPr>
        <w:pStyle w:val="Baseparagraphnumbered"/>
      </w:pPr>
      <w:r>
        <w:t xml:space="preserve">În formularul </w:t>
      </w:r>
      <w:r w:rsidRPr="004237EC">
        <w:t>12</w:t>
      </w:r>
      <w:r>
        <w:t>.</w:t>
      </w:r>
      <w:r w:rsidRPr="004237EC">
        <w:t>2</w:t>
      </w:r>
      <w:r>
        <w:t xml:space="preserve"> se raportează valoarea contabilă brută pentru activele financiare, iar pentru expunerile extrabilan</w:t>
      </w:r>
      <w:r w:rsidR="000C213F">
        <w:t>ț</w:t>
      </w:r>
      <w:r>
        <w:t>iere cărora li se aplică dispozi</w:t>
      </w:r>
      <w:r w:rsidR="000C213F">
        <w:t>ț</w:t>
      </w:r>
      <w:r>
        <w:t xml:space="preserve">iile privind deprecierea din IFRS </w:t>
      </w:r>
      <w:r w:rsidRPr="004237EC">
        <w:t>9</w:t>
      </w:r>
      <w:r>
        <w:t xml:space="preserve"> se raportează valoarea nominală care a fost transferată între etapele de depreciere în cursul perioadei de raportare. </w:t>
      </w:r>
    </w:p>
    <w:p w:rsidR="009569C7" w:rsidRPr="00EC4FA2" w:rsidRDefault="00A834F1" w:rsidP="009569C7">
      <w:pPr>
        <w:pStyle w:val="Baseparagraphnumbered"/>
      </w:pPr>
      <w:r>
        <w:t>Se raportează numai valoarea contabilă brută sau valoarea nominală a activelor financiare sau a expunerilor extrabilan</w:t>
      </w:r>
      <w:r w:rsidR="000C213F">
        <w:t>ț</w:t>
      </w:r>
      <w:r>
        <w:t>iere care sunt într-o altă etapă de depreciere la data de referin</w:t>
      </w:r>
      <w:r w:rsidR="000C213F">
        <w:t>ț</w:t>
      </w:r>
      <w:r>
        <w:t>ă a raportării decât erau la începutul exerci</w:t>
      </w:r>
      <w:r w:rsidR="000C213F">
        <w:t>ț</w:t>
      </w:r>
      <w:r>
        <w:t>iului financiar sau la recunoa</w:t>
      </w:r>
      <w:r w:rsidR="000C213F">
        <w:t>ș</w:t>
      </w:r>
      <w:r>
        <w:t>terea lor ini</w:t>
      </w:r>
      <w:r w:rsidR="000C213F">
        <w:t>ț</w:t>
      </w:r>
      <w:r>
        <w:t>ială. Pentru expunerile bilan</w:t>
      </w:r>
      <w:r w:rsidR="000C213F">
        <w:t>ț</w:t>
      </w:r>
      <w:r>
        <w:t xml:space="preserve">iere în cazul cărora deprecierea raportată în formularul </w:t>
      </w:r>
      <w:r w:rsidRPr="004237EC">
        <w:t>12</w:t>
      </w:r>
      <w:r>
        <w:t>.</w:t>
      </w:r>
      <w:r w:rsidRPr="004237EC">
        <w:t>1</w:t>
      </w:r>
      <w:r>
        <w:t xml:space="preserve"> include o componentă extrabilan</w:t>
      </w:r>
      <w:r w:rsidR="000C213F">
        <w:t>ț</w:t>
      </w:r>
      <w:r>
        <w:t xml:space="preserve">ieră [IFRS </w:t>
      </w:r>
      <w:r w:rsidRPr="004237EC">
        <w:t>9</w:t>
      </w:r>
      <w:r>
        <w:t xml:space="preserve"> punctul </w:t>
      </w:r>
      <w:r w:rsidRPr="004237EC">
        <w:t>5</w:t>
      </w:r>
      <w:r>
        <w:t>.</w:t>
      </w:r>
      <w:r w:rsidRPr="004237EC">
        <w:t>5</w:t>
      </w:r>
      <w:r>
        <w:t>.</w:t>
      </w:r>
      <w:r w:rsidRPr="004237EC">
        <w:t>20</w:t>
      </w:r>
      <w:r>
        <w:t xml:space="preserve"> </w:t>
      </w:r>
      <w:r w:rsidR="000C213F">
        <w:t>ș</w:t>
      </w:r>
      <w:r>
        <w:t xml:space="preserve">i IFRS </w:t>
      </w:r>
      <w:r w:rsidRPr="004237EC">
        <w:t>7</w:t>
      </w:r>
      <w:r>
        <w:t xml:space="preserve"> punctul B</w:t>
      </w:r>
      <w:r w:rsidRPr="004237EC">
        <w:t>8</w:t>
      </w:r>
      <w:r>
        <w:t>E] se ia în considerare modificarea etapei pentru componenta bilan</w:t>
      </w:r>
      <w:r w:rsidR="000C213F">
        <w:t>ț</w:t>
      </w:r>
      <w:r>
        <w:t xml:space="preserve">ieră </w:t>
      </w:r>
      <w:r w:rsidR="000C213F">
        <w:t>ș</w:t>
      </w:r>
      <w:r>
        <w:t>i pentru cea extrabilan</w:t>
      </w:r>
      <w:r w:rsidR="000C213F">
        <w:t>ț</w:t>
      </w:r>
      <w:r>
        <w:t>ieră.</w:t>
      </w:r>
    </w:p>
    <w:p w:rsidR="009569C7" w:rsidRPr="00EC4FA2" w:rsidRDefault="00A834F1" w:rsidP="009569C7">
      <w:pPr>
        <w:pStyle w:val="Baseparagraphnumbered"/>
      </w:pPr>
      <w:r>
        <w:t>Pentru raportarea transferurilor care au avut loc în cursul exerci</w:t>
      </w:r>
      <w:r w:rsidR="000C213F">
        <w:t>ț</w:t>
      </w:r>
      <w:r>
        <w:t>iului financiar, activele financiare sau expunerile extrabilan</w:t>
      </w:r>
      <w:r w:rsidR="000C213F">
        <w:t>ț</w:t>
      </w:r>
      <w:r>
        <w:t>iere care au schimbat de mai multe ori etapa de depreciere de la începutul exerci</w:t>
      </w:r>
      <w:r w:rsidR="000C213F">
        <w:t>ț</w:t>
      </w:r>
      <w:r>
        <w:t>iului financiar sau de la recunoa</w:t>
      </w:r>
      <w:r w:rsidR="000C213F">
        <w:t>ș</w:t>
      </w:r>
      <w:r>
        <w:t>terea lor ini</w:t>
      </w:r>
      <w:r w:rsidR="000C213F">
        <w:t>ț</w:t>
      </w:r>
      <w:r>
        <w:t>ială se raportează ca fiind transferate din etapa de depreciere la deschiderea exerci</w:t>
      </w:r>
      <w:r w:rsidR="000C213F">
        <w:t>ț</w:t>
      </w:r>
      <w:r>
        <w:t>iului financiar sau la recunoa</w:t>
      </w:r>
      <w:r w:rsidR="000C213F">
        <w:t>ș</w:t>
      </w:r>
      <w:r>
        <w:t>terea lor ini</w:t>
      </w:r>
      <w:r w:rsidR="000C213F">
        <w:t>ț</w:t>
      </w:r>
      <w:r>
        <w:t>ială în etapa de depreciere în care au fost incluse la data de referin</w:t>
      </w:r>
      <w:r w:rsidR="000C213F">
        <w:t>ț</w:t>
      </w:r>
      <w:r>
        <w:t>ă a raportării.</w:t>
      </w:r>
    </w:p>
    <w:p w:rsidR="009569C7" w:rsidRPr="00EC4FA2" w:rsidRDefault="00A834F1" w:rsidP="009569C7">
      <w:pPr>
        <w:pStyle w:val="Baseparagraphnumbered"/>
      </w:pPr>
      <w:r>
        <w:t xml:space="preserve">Valoarea contabilă brută sau valoarea nominală care trebuie raportată în formularul </w:t>
      </w:r>
      <w:r w:rsidRPr="004237EC">
        <w:t>12</w:t>
      </w:r>
      <w:r>
        <w:t>.</w:t>
      </w:r>
      <w:r w:rsidRPr="004237EC">
        <w:t>2</w:t>
      </w:r>
      <w:r>
        <w:t xml:space="preserve"> este valoarea contabilă brută sau valoarea nominală la data raportării, indiferent dacă această valoare a fost mai mare sau mai mică la data transferului.</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485897562"/>
      <w:bookmarkStart w:id="176" w:name="_Toc361844229"/>
      <w:r>
        <w:t>Garan</w:t>
      </w:r>
      <w:r w:rsidR="000C213F">
        <w:t>ț</w:t>
      </w:r>
      <w:r>
        <w:t xml:space="preserve">ii reale </w:t>
      </w:r>
      <w:r w:rsidR="000C213F">
        <w:t>ș</w:t>
      </w:r>
      <w:r>
        <w:t>i garan</w:t>
      </w:r>
      <w:r w:rsidR="000C213F">
        <w:t>ț</w:t>
      </w:r>
      <w:r>
        <w:t>ii primite (</w:t>
      </w:r>
      <w:r w:rsidRPr="004237EC">
        <w:t>13</w:t>
      </w:r>
      <w:r>
        <w:t>)</w:t>
      </w:r>
      <w:bookmarkEnd w:id="173"/>
      <w:bookmarkEnd w:id="174"/>
      <w:bookmarkEnd w:id="175"/>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485897563"/>
      <w:bookmarkEnd w:id="176"/>
      <w:r>
        <w:t>Defalcarea garan</w:t>
      </w:r>
      <w:r w:rsidR="000C213F">
        <w:t>ț</w:t>
      </w:r>
      <w:r>
        <w:t xml:space="preserve">iilor reale </w:t>
      </w:r>
      <w:r w:rsidR="000C213F">
        <w:t>ș</w:t>
      </w:r>
      <w:r>
        <w:t>i a garan</w:t>
      </w:r>
      <w:r w:rsidR="000C213F">
        <w:t>ț</w:t>
      </w:r>
      <w:r>
        <w:t>iilor în func</w:t>
      </w:r>
      <w:r w:rsidR="000C213F">
        <w:t>ț</w:t>
      </w:r>
      <w:r>
        <w:t xml:space="preserve">ie de credite </w:t>
      </w:r>
      <w:r w:rsidR="000C213F">
        <w:t>ș</w:t>
      </w:r>
      <w:r>
        <w:t>i avansuri, altele decât cele de</w:t>
      </w:r>
      <w:r w:rsidR="000C213F">
        <w:t>ț</w:t>
      </w:r>
      <w:r>
        <w:t>inute în vederea tranzac</w:t>
      </w:r>
      <w:r w:rsidR="000C213F">
        <w:t>ț</w:t>
      </w:r>
      <w:r>
        <w:t>ionării (</w:t>
      </w:r>
      <w:r w:rsidRPr="004237EC">
        <w:t>13</w:t>
      </w:r>
      <w:r>
        <w:t>.</w:t>
      </w:r>
      <w:r w:rsidRPr="004237EC">
        <w:t>1</w:t>
      </w:r>
      <w:r>
        <w:t>)</w:t>
      </w:r>
      <w:bookmarkEnd w:id="177"/>
      <w:bookmarkEnd w:id="178"/>
      <w:bookmarkEnd w:id="179"/>
      <w:bookmarkEnd w:id="180"/>
    </w:p>
    <w:p w:rsidR="009569C7" w:rsidRPr="00EC4FA2" w:rsidRDefault="00A834F1" w:rsidP="009569C7">
      <w:pPr>
        <w:pStyle w:val="Baseparagraphnumbered"/>
        <w:tabs>
          <w:tab w:val="left" w:pos="851"/>
        </w:tabs>
        <w:ind w:left="709"/>
      </w:pPr>
      <w:r>
        <w:t>Garan</w:t>
      </w:r>
      <w:r w:rsidR="000C213F">
        <w:t>ț</w:t>
      </w:r>
      <w:r>
        <w:t xml:space="preserve">iile reale </w:t>
      </w:r>
      <w:r w:rsidR="000C213F">
        <w:t>ș</w:t>
      </w:r>
      <w:r>
        <w:t>i garan</w:t>
      </w:r>
      <w:r w:rsidR="000C213F">
        <w:t>ț</w:t>
      </w:r>
      <w:r>
        <w:t xml:space="preserve">iile aferente creditelor </w:t>
      </w:r>
      <w:r w:rsidR="000C213F">
        <w:t>ș</w:t>
      </w:r>
      <w:r>
        <w:t>i avansurilor, indiferent de forma lor juridică, se raportează în func</w:t>
      </w:r>
      <w:r w:rsidR="000C213F">
        <w:t>ț</w:t>
      </w:r>
      <w:r>
        <w:t xml:space="preserve">ie de tipul de gaj: credite garantate cu </w:t>
      </w:r>
      <w:r>
        <w:lastRenderedPageBreak/>
        <w:t xml:space="preserve">bunuri imobile </w:t>
      </w:r>
      <w:r w:rsidR="000C213F">
        <w:t>ș</w:t>
      </w:r>
      <w:r>
        <w:t xml:space="preserve">i alte credite garantate, precum </w:t>
      </w:r>
      <w:r w:rsidR="000C213F">
        <w:t>ș</w:t>
      </w:r>
      <w:r>
        <w:t>i în func</w:t>
      </w:r>
      <w:r w:rsidR="000C213F">
        <w:t>ț</w:t>
      </w:r>
      <w:r>
        <w:t>ie de garan</w:t>
      </w:r>
      <w:r w:rsidR="000C213F">
        <w:t>ț</w:t>
      </w:r>
      <w:r>
        <w:t xml:space="preserve">iile financiare primite. Creditele </w:t>
      </w:r>
      <w:r w:rsidR="000C213F">
        <w:t>ș</w:t>
      </w:r>
      <w:r>
        <w:t>i avansurile sunt defalcate în func</w:t>
      </w:r>
      <w:r w:rsidR="000C213F">
        <w:t>ț</w:t>
      </w:r>
      <w:r>
        <w:t xml:space="preserve">ie de contraparte </w:t>
      </w:r>
      <w:r w:rsidR="000C213F">
        <w:t>ș</w:t>
      </w:r>
      <w:r>
        <w:t xml:space="preserve">i scop. </w:t>
      </w:r>
    </w:p>
    <w:p w:rsidR="009569C7" w:rsidRPr="00EC4FA2" w:rsidRDefault="00A834F1" w:rsidP="009569C7">
      <w:pPr>
        <w:pStyle w:val="Baseparagraphnumbered"/>
        <w:tabs>
          <w:tab w:val="left" w:pos="851"/>
        </w:tabs>
        <w:ind w:left="709"/>
      </w:pPr>
      <w:r>
        <w:t xml:space="preserve">În formularul </w:t>
      </w:r>
      <w:r w:rsidRPr="004237EC">
        <w:t>13</w:t>
      </w:r>
      <w:r>
        <w:t>.</w:t>
      </w:r>
      <w:r w:rsidRPr="004237EC">
        <w:t>1</w:t>
      </w:r>
      <w:r>
        <w:t>, se raportează „valoarea maximă a garan</w:t>
      </w:r>
      <w:r w:rsidR="000C213F">
        <w:t>ț</w:t>
      </w:r>
      <w:r>
        <w:t>iei reale sau a garan</w:t>
      </w:r>
      <w:r w:rsidR="000C213F">
        <w:t>ț</w:t>
      </w:r>
      <w:r>
        <w:t>iei care poate fi luată în considerare”. Suma valorilor garan</w:t>
      </w:r>
      <w:r w:rsidR="000C213F">
        <w:t>ț</w:t>
      </w:r>
      <w:r>
        <w:t xml:space="preserve">iei financiare </w:t>
      </w:r>
      <w:r w:rsidR="000C213F">
        <w:t>ș</w:t>
      </w:r>
      <w:r>
        <w:t>i/sau ale garan</w:t>
      </w:r>
      <w:r w:rsidR="000C213F">
        <w:t>ț</w:t>
      </w:r>
      <w:r>
        <w:t xml:space="preserve">iei reale, indicată în coloanele aferente din formularul </w:t>
      </w:r>
      <w:r w:rsidRPr="004237EC">
        <w:t>13</w:t>
      </w:r>
      <w:r>
        <w:t>.</w:t>
      </w:r>
      <w:r w:rsidRPr="004237EC">
        <w:t>1</w:t>
      </w:r>
      <w:r>
        <w:t>, nu trebuie să depă</w:t>
      </w:r>
      <w:r w:rsidR="000C213F">
        <w:t>ș</w:t>
      </w:r>
      <w:r>
        <w:t xml:space="preserve">ească valoarea contabilă a creditului asociat. </w:t>
      </w:r>
    </w:p>
    <w:p w:rsidR="009569C7" w:rsidRPr="00EC4FA2" w:rsidRDefault="00A834F1" w:rsidP="009569C7">
      <w:pPr>
        <w:pStyle w:val="Baseparagraphnumbered"/>
        <w:tabs>
          <w:tab w:val="left" w:pos="851"/>
        </w:tabs>
        <w:ind w:left="709"/>
      </w:pPr>
      <w:r>
        <w:t xml:space="preserve">Pentru raportarea creditelor </w:t>
      </w:r>
      <w:r w:rsidR="000C213F">
        <w:t>ș</w:t>
      </w:r>
      <w:r>
        <w:t>i a avansurilor în func</w:t>
      </w:r>
      <w:r w:rsidR="000C213F">
        <w:t>ț</w:t>
      </w:r>
      <w:r>
        <w:t>ie de tipul de gaj, se utilizează următoarele defini</w:t>
      </w:r>
      <w:r w:rsidR="000C213F">
        <w:t>ț</w:t>
      </w:r>
      <w:r>
        <w:t>ii: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în cadrul categoriei „credite garantate cu bunuri imobile”, subcategoria „reziden</w:t>
      </w:r>
      <w:r w:rsidR="000C213F">
        <w:rPr>
          <w:rFonts w:ascii="Times New Roman" w:hAnsi="Times New Roman"/>
          <w:sz w:val="24"/>
        </w:rPr>
        <w:t>ț</w:t>
      </w:r>
      <w:r>
        <w:rPr>
          <w:rFonts w:ascii="Times New Roman" w:hAnsi="Times New Roman"/>
          <w:sz w:val="24"/>
        </w:rPr>
        <w:t>iale” include creditele garantate cu bunuri imobile reziden</w:t>
      </w:r>
      <w:r w:rsidR="000C213F">
        <w:rPr>
          <w:rFonts w:ascii="Times New Roman" w:hAnsi="Times New Roman"/>
          <w:sz w:val="24"/>
        </w:rPr>
        <w:t>ț</w:t>
      </w:r>
      <w:r>
        <w:rPr>
          <w:rFonts w:ascii="Times New Roman" w:hAnsi="Times New Roman"/>
          <w:sz w:val="24"/>
        </w:rPr>
        <w:t>iale, iar subcategoria „comerciale” include creditele garantate cu alte bunuri imobile decât cele reziden</w:t>
      </w:r>
      <w:r w:rsidR="000C213F">
        <w:rPr>
          <w:rFonts w:ascii="Times New Roman" w:hAnsi="Times New Roman"/>
          <w:sz w:val="24"/>
        </w:rPr>
        <w:t>ț</w:t>
      </w:r>
      <w:r>
        <w:rPr>
          <w:rFonts w:ascii="Times New Roman" w:hAnsi="Times New Roman"/>
          <w:sz w:val="24"/>
        </w:rPr>
        <w:t xml:space="preserve">iale, inclusiv birouri </w:t>
      </w:r>
      <w:r w:rsidR="000C213F">
        <w:rPr>
          <w:rFonts w:ascii="Times New Roman" w:hAnsi="Times New Roman"/>
          <w:sz w:val="24"/>
        </w:rPr>
        <w:t>ș</w:t>
      </w:r>
      <w:r>
        <w:rPr>
          <w:rFonts w:ascii="Times New Roman" w:hAnsi="Times New Roman"/>
          <w:sz w:val="24"/>
        </w:rPr>
        <w:t>i spa</w:t>
      </w:r>
      <w:r w:rsidR="000C213F">
        <w:rPr>
          <w:rFonts w:ascii="Times New Roman" w:hAnsi="Times New Roman"/>
          <w:sz w:val="24"/>
        </w:rPr>
        <w:t>ț</w:t>
      </w:r>
      <w:r>
        <w:rPr>
          <w:rFonts w:ascii="Times New Roman" w:hAnsi="Times New Roman"/>
          <w:sz w:val="24"/>
        </w:rPr>
        <w:t xml:space="preserve">ii comerciale </w:t>
      </w:r>
      <w:r w:rsidR="000C213F">
        <w:rPr>
          <w:rFonts w:ascii="Times New Roman" w:hAnsi="Times New Roman"/>
          <w:sz w:val="24"/>
        </w:rPr>
        <w:t>ș</w:t>
      </w:r>
      <w:r>
        <w:rPr>
          <w:rFonts w:ascii="Times New Roman" w:hAnsi="Times New Roman"/>
          <w:sz w:val="24"/>
        </w:rPr>
        <w:t>i alte tipuri de bunuri imobile comerciale. Pentru a stabili dacă garan</w:t>
      </w:r>
      <w:r w:rsidR="000C213F">
        <w:rPr>
          <w:rFonts w:ascii="Times New Roman" w:hAnsi="Times New Roman"/>
          <w:sz w:val="24"/>
        </w:rPr>
        <w:t>ț</w:t>
      </w:r>
      <w:r>
        <w:rPr>
          <w:rFonts w:ascii="Times New Roman" w:hAnsi="Times New Roman"/>
          <w:sz w:val="24"/>
        </w:rPr>
        <w:t>iile reale sunt sub formă de bunuri imobile reziden</w:t>
      </w:r>
      <w:r w:rsidR="000C213F">
        <w:rPr>
          <w:rFonts w:ascii="Times New Roman" w:hAnsi="Times New Roman"/>
          <w:sz w:val="24"/>
        </w:rPr>
        <w:t>ț</w:t>
      </w:r>
      <w:r>
        <w:rPr>
          <w:rFonts w:ascii="Times New Roman" w:hAnsi="Times New Roman"/>
          <w:sz w:val="24"/>
        </w:rPr>
        <w:t>iale sau comerciale se respectă dispozi</w:t>
      </w:r>
      <w:r w:rsidR="000C213F">
        <w:rPr>
          <w:rFonts w:ascii="Times New Roman" w:hAnsi="Times New Roman"/>
          <w:sz w:val="24"/>
        </w:rPr>
        <w:t>ț</w:t>
      </w:r>
      <w:r>
        <w:rPr>
          <w:rFonts w:ascii="Times New Roman" w:hAnsi="Times New Roman"/>
          <w:sz w:val="24"/>
        </w:rPr>
        <w:t>iile 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în cadrul categoriei „alte credite garantate”, subcategoria „numerar [instrumente de datorie emise]” include: (a) depozite ale institu</w:t>
      </w:r>
      <w:r w:rsidR="000C213F">
        <w:rPr>
          <w:rFonts w:ascii="Times New Roman" w:hAnsi="Times New Roman"/>
          <w:sz w:val="24"/>
        </w:rPr>
        <w:t>ț</w:t>
      </w:r>
      <w:r>
        <w:rPr>
          <w:rFonts w:ascii="Times New Roman" w:hAnsi="Times New Roman"/>
          <w:sz w:val="24"/>
        </w:rPr>
        <w:t>iei raportoare care au fost constituite drept garan</w:t>
      </w:r>
      <w:r w:rsidR="000C213F">
        <w:rPr>
          <w:rFonts w:ascii="Times New Roman" w:hAnsi="Times New Roman"/>
          <w:sz w:val="24"/>
        </w:rPr>
        <w:t>ț</w:t>
      </w:r>
      <w:r>
        <w:rPr>
          <w:rFonts w:ascii="Times New Roman" w:hAnsi="Times New Roman"/>
          <w:sz w:val="24"/>
        </w:rPr>
        <w:t xml:space="preserve">ii reale pentru un împrumut </w:t>
      </w:r>
      <w:r w:rsidR="000C213F">
        <w:rPr>
          <w:rFonts w:ascii="Times New Roman" w:hAnsi="Times New Roman"/>
          <w:sz w:val="24"/>
        </w:rPr>
        <w:t>ș</w:t>
      </w:r>
      <w:r>
        <w:rPr>
          <w:rFonts w:ascii="Times New Roman" w:hAnsi="Times New Roman"/>
          <w:sz w:val="24"/>
        </w:rPr>
        <w:t>i (b) titluri de datorie emise de institu</w:t>
      </w:r>
      <w:r w:rsidR="000C213F">
        <w:rPr>
          <w:rFonts w:ascii="Times New Roman" w:hAnsi="Times New Roman"/>
          <w:sz w:val="24"/>
        </w:rPr>
        <w:t>ț</w:t>
      </w:r>
      <w:r>
        <w:rPr>
          <w:rFonts w:ascii="Times New Roman" w:hAnsi="Times New Roman"/>
          <w:sz w:val="24"/>
        </w:rPr>
        <w:t>ia raportoare care au fost constituite drept garan</w:t>
      </w:r>
      <w:r w:rsidR="000C213F">
        <w:rPr>
          <w:rFonts w:ascii="Times New Roman" w:hAnsi="Times New Roman"/>
          <w:sz w:val="24"/>
        </w:rPr>
        <w:t>ț</w:t>
      </w:r>
      <w:r>
        <w:rPr>
          <w:rFonts w:ascii="Times New Roman" w:hAnsi="Times New Roman"/>
          <w:sz w:val="24"/>
        </w:rPr>
        <w:t>ii reale pentru un împrumut. Categoria „restul” include gajuri pe alte titluri emise de către orice parte ter</w:t>
      </w:r>
      <w:r w:rsidR="000C213F">
        <w:rPr>
          <w:rFonts w:ascii="Times New Roman" w:hAnsi="Times New Roman"/>
          <w:sz w:val="24"/>
        </w:rPr>
        <w:t>ț</w:t>
      </w:r>
      <w:r>
        <w:rPr>
          <w:rFonts w:ascii="Times New Roman" w:hAnsi="Times New Roman"/>
          <w:sz w:val="24"/>
        </w:rPr>
        <w:t>ă sau gajuri pe alte active;</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categoria „garan</w:t>
      </w:r>
      <w:r w:rsidR="000C213F">
        <w:rPr>
          <w:rFonts w:ascii="Times New Roman" w:hAnsi="Times New Roman"/>
          <w:sz w:val="24"/>
        </w:rPr>
        <w:t>ț</w:t>
      </w:r>
      <w:r>
        <w:rPr>
          <w:rFonts w:ascii="Times New Roman" w:hAnsi="Times New Roman"/>
          <w:sz w:val="24"/>
        </w:rPr>
        <w:t xml:space="preserve">ii financiare primite” include contractele care, în conformitate cu punctul </w:t>
      </w:r>
      <w:r w:rsidRPr="004237EC">
        <w:rPr>
          <w:rFonts w:ascii="Times New Roman" w:hAnsi="Times New Roman"/>
          <w:sz w:val="24"/>
        </w:rPr>
        <w:t>114</w:t>
      </w:r>
      <w:r>
        <w:rPr>
          <w:rFonts w:ascii="Times New Roman" w:hAnsi="Times New Roman"/>
          <w:sz w:val="24"/>
        </w:rPr>
        <w:t xml:space="preserve"> din această parte a prezentei anexe, impun emitentului să efectueze plă</w:t>
      </w:r>
      <w:r w:rsidR="000C213F">
        <w:rPr>
          <w:rFonts w:ascii="Times New Roman" w:hAnsi="Times New Roman"/>
          <w:sz w:val="24"/>
        </w:rPr>
        <w:t>ț</w:t>
      </w:r>
      <w:r>
        <w:rPr>
          <w:rFonts w:ascii="Times New Roman" w:hAnsi="Times New Roman"/>
          <w:sz w:val="24"/>
        </w:rPr>
        <w:t>i specificate pentru a rambursa institu</w:t>
      </w:r>
      <w:r w:rsidR="000C213F">
        <w:rPr>
          <w:rFonts w:ascii="Times New Roman" w:hAnsi="Times New Roman"/>
          <w:sz w:val="24"/>
        </w:rPr>
        <w:t>ț</w:t>
      </w:r>
      <w:r>
        <w:rPr>
          <w:rFonts w:ascii="Times New Roman" w:hAnsi="Times New Roman"/>
          <w:sz w:val="24"/>
        </w:rPr>
        <w:t>iei o pierdere pe care aceasta o suportă din cauza faptului că un anumit debitor nu î</w:t>
      </w:r>
      <w:r w:rsidR="000C213F">
        <w:rPr>
          <w:rFonts w:ascii="Times New Roman" w:hAnsi="Times New Roman"/>
          <w:sz w:val="24"/>
        </w:rPr>
        <w:t>ș</w:t>
      </w:r>
      <w:r>
        <w:rPr>
          <w:rFonts w:ascii="Times New Roman" w:hAnsi="Times New Roman"/>
          <w:sz w:val="24"/>
        </w:rPr>
        <w:t>i îndepline</w:t>
      </w:r>
      <w:r w:rsidR="000C213F">
        <w:rPr>
          <w:rFonts w:ascii="Times New Roman" w:hAnsi="Times New Roman"/>
          <w:sz w:val="24"/>
        </w:rPr>
        <w:t>ș</w:t>
      </w:r>
      <w:r>
        <w:rPr>
          <w:rFonts w:ascii="Times New Roman" w:hAnsi="Times New Roman"/>
          <w:sz w:val="24"/>
        </w:rPr>
        <w:t>te obliga</w:t>
      </w:r>
      <w:r w:rsidR="000C213F">
        <w:rPr>
          <w:rFonts w:ascii="Times New Roman" w:hAnsi="Times New Roman"/>
          <w:sz w:val="24"/>
        </w:rPr>
        <w:t>ț</w:t>
      </w:r>
      <w:r>
        <w:rPr>
          <w:rFonts w:ascii="Times New Roman" w:hAnsi="Times New Roman"/>
          <w:sz w:val="24"/>
        </w:rPr>
        <w:t>ia de plată la scaden</w:t>
      </w:r>
      <w:r w:rsidR="000C213F">
        <w:rPr>
          <w:rFonts w:ascii="Times New Roman" w:hAnsi="Times New Roman"/>
          <w:sz w:val="24"/>
        </w:rPr>
        <w:t>ț</w:t>
      </w:r>
      <w:r>
        <w:rPr>
          <w:rFonts w:ascii="Times New Roman" w:hAnsi="Times New Roman"/>
          <w:sz w:val="24"/>
        </w:rPr>
        <w:t>ă în conformitate cu termenele ini</w:t>
      </w:r>
      <w:r w:rsidR="000C213F">
        <w:rPr>
          <w:rFonts w:ascii="Times New Roman" w:hAnsi="Times New Roman"/>
          <w:sz w:val="24"/>
        </w:rPr>
        <w:t>ț</w:t>
      </w:r>
      <w:r>
        <w:rPr>
          <w:rFonts w:ascii="Times New Roman" w:hAnsi="Times New Roman"/>
          <w:sz w:val="24"/>
        </w:rPr>
        <w:t>iale sau modificate ale unui instrument de datorie.</w:t>
      </w:r>
    </w:p>
    <w:p w:rsidR="009569C7" w:rsidRPr="00EC4FA2" w:rsidRDefault="00A834F1" w:rsidP="009569C7">
      <w:pPr>
        <w:pStyle w:val="Baseparagraphnumbered"/>
      </w:pPr>
      <w:r>
        <w:t xml:space="preserve">Pentru credite </w:t>
      </w:r>
      <w:r w:rsidR="000C213F">
        <w:t>ș</w:t>
      </w:r>
      <w:r>
        <w:t>i avansuri care au simultan mai multe tipuri de garan</w:t>
      </w:r>
      <w:r w:rsidR="000C213F">
        <w:t>ț</w:t>
      </w:r>
      <w:r>
        <w:t>ii reale sau garan</w:t>
      </w:r>
      <w:r w:rsidR="000C213F">
        <w:t>ț</w:t>
      </w:r>
      <w:r>
        <w:t>ii, „valoarea maximă a garan</w:t>
      </w:r>
      <w:r w:rsidR="000C213F">
        <w:t>ț</w:t>
      </w:r>
      <w:r>
        <w:t>iei reale/garan</w:t>
      </w:r>
      <w:r w:rsidR="000C213F">
        <w:t>ț</w:t>
      </w:r>
      <w:r>
        <w:t>iei care poate fi luată în considerare” se alocă în func</w:t>
      </w:r>
      <w:r w:rsidR="000C213F">
        <w:t>ț</w:t>
      </w:r>
      <w:r>
        <w:t>ie de calitatea acesteia începând cu cea mai bună calitate. Pentru creditele garantate cu bunuri imobile, garan</w:t>
      </w:r>
      <w:r w:rsidR="000C213F">
        <w:t>ț</w:t>
      </w:r>
      <w:r>
        <w:t>iile reale sub formă de bunuri imobile sunt întotdeauna raportate mai întâi, indiferent de calitatea lor fa</w:t>
      </w:r>
      <w:r w:rsidR="000C213F">
        <w:t>ț</w:t>
      </w:r>
      <w:r>
        <w:t>ă de alte tipuri de garan</w:t>
      </w:r>
      <w:r w:rsidR="000C213F">
        <w:t>ț</w:t>
      </w:r>
      <w:r>
        <w:t>ii reale. În cazul în care „valoarea maximă a garan</w:t>
      </w:r>
      <w:r w:rsidR="000C213F">
        <w:t>ț</w:t>
      </w:r>
      <w:r>
        <w:t>iei reale/garan</w:t>
      </w:r>
      <w:r w:rsidR="000C213F">
        <w:t>ț</w:t>
      </w:r>
      <w:r>
        <w:t>iei care poate fi luată în considerare” depă</w:t>
      </w:r>
      <w:r w:rsidR="000C213F">
        <w:t>ș</w:t>
      </w:r>
      <w:r>
        <w:t>e</w:t>
      </w:r>
      <w:r w:rsidR="000C213F">
        <w:t>ș</w:t>
      </w:r>
      <w:r>
        <w:t>te valoarea garan</w:t>
      </w:r>
      <w:r w:rsidR="000C213F">
        <w:t>ț</w:t>
      </w:r>
      <w:r>
        <w:t>iilor reale sub forma bunurilor imobile, valoarea rămasă se alocă altor tipuri de garan</w:t>
      </w:r>
      <w:r w:rsidR="000C213F">
        <w:t>ț</w:t>
      </w:r>
      <w:r>
        <w:t xml:space="preserve">ii reale </w:t>
      </w:r>
      <w:r w:rsidR="000C213F">
        <w:t>ș</w:t>
      </w:r>
      <w:r>
        <w:t>i garan</w:t>
      </w:r>
      <w:r w:rsidR="000C213F">
        <w:t>ț</w:t>
      </w:r>
      <w:r>
        <w:t>ii, în func</w:t>
      </w:r>
      <w:r w:rsidR="000C213F">
        <w:t>ț</w:t>
      </w:r>
      <w:r>
        <w:t xml:space="preserve">ie de calitatea acesteia începând cu cea mai bună calitate. </w:t>
      </w:r>
    </w:p>
    <w:p w:rsidR="009569C7" w:rsidRPr="00EC4FA2" w:rsidRDefault="00A834F1" w:rsidP="004237EC">
      <w:pPr>
        <w:pStyle w:val="sub-subtitlenumbered"/>
        <w:pageBreakBefore/>
        <w:ind w:left="788" w:hanging="431"/>
        <w:jc w:val="both"/>
      </w:pPr>
      <w:bookmarkStart w:id="181" w:name="_Toc361844231"/>
      <w:bookmarkStart w:id="182" w:name="_Toc362359302"/>
      <w:bookmarkStart w:id="183" w:name="_Toc467855232"/>
      <w:bookmarkStart w:id="184" w:name="_Toc485897564"/>
      <w:r>
        <w:lastRenderedPageBreak/>
        <w:t>Active ob</w:t>
      </w:r>
      <w:r w:rsidR="000C213F">
        <w:t>ț</w:t>
      </w:r>
      <w:r>
        <w:t>inute în cursul perioadei prin intrarea în posesia garan</w:t>
      </w:r>
      <w:r w:rsidR="000C213F">
        <w:t>ț</w:t>
      </w:r>
      <w:r>
        <w:t>iilor reale de</w:t>
      </w:r>
      <w:r w:rsidR="000C213F">
        <w:t>ț</w:t>
      </w:r>
      <w:r>
        <w:t>inute [de</w:t>
      </w:r>
      <w:r w:rsidR="000C213F">
        <w:t>ț</w:t>
      </w:r>
      <w:r>
        <w:t>inute la data raportării] (</w:t>
      </w:r>
      <w:r w:rsidRPr="004237EC">
        <w:t>13</w:t>
      </w:r>
      <w:r>
        <w:t>.</w:t>
      </w:r>
      <w:r w:rsidRPr="004237EC">
        <w:t>2</w:t>
      </w:r>
      <w:r>
        <w:t>)</w:t>
      </w:r>
      <w:bookmarkEnd w:id="181"/>
      <w:bookmarkEnd w:id="182"/>
      <w:bookmarkEnd w:id="183"/>
      <w:bookmarkEnd w:id="184"/>
    </w:p>
    <w:p w:rsidR="009569C7" w:rsidRPr="00EC4FA2" w:rsidRDefault="00A834F1" w:rsidP="009569C7">
      <w:pPr>
        <w:pStyle w:val="Baseparagraphnumbered"/>
        <w:tabs>
          <w:tab w:val="left" w:pos="851"/>
        </w:tabs>
        <w:ind w:left="709"/>
      </w:pPr>
      <w:r>
        <w:t>Acest formular include valoarea contabilă a garan</w:t>
      </w:r>
      <w:r w:rsidR="000C213F">
        <w:t>ț</w:t>
      </w:r>
      <w:r>
        <w:t>iei reale care a fost ob</w:t>
      </w:r>
      <w:r w:rsidR="000C213F">
        <w:t>ț</w:t>
      </w:r>
      <w:r>
        <w:t xml:space="preserve">inută între începutul </w:t>
      </w:r>
      <w:r w:rsidR="000C213F">
        <w:t>ș</w:t>
      </w:r>
      <w:r>
        <w:t>i sfâr</w:t>
      </w:r>
      <w:r w:rsidR="000C213F">
        <w:t>ș</w:t>
      </w:r>
      <w:r>
        <w:t>itul perioadei de referin</w:t>
      </w:r>
      <w:r w:rsidR="000C213F">
        <w:t>ț</w:t>
      </w:r>
      <w:r>
        <w:t xml:space="preserve">ă </w:t>
      </w:r>
      <w:r w:rsidR="000C213F">
        <w:t>ș</w:t>
      </w:r>
      <w:r>
        <w:t>i care a rămas recunoscută în bilan</w:t>
      </w:r>
      <w:r w:rsidR="000C213F">
        <w:t>ț</w:t>
      </w:r>
      <w:r>
        <w:t xml:space="preserve"> la data de referin</w:t>
      </w:r>
      <w:r w:rsidR="000C213F">
        <w:t>ț</w:t>
      </w:r>
      <w:r>
        <w:t xml:space="preserve">ă.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485897565"/>
      <w:r>
        <w:t>Active ob</w:t>
      </w:r>
      <w:r w:rsidR="000C213F">
        <w:t>ț</w:t>
      </w:r>
      <w:r>
        <w:t>inute prin intrarea în posesia garan</w:t>
      </w:r>
      <w:r w:rsidR="000C213F">
        <w:t>ț</w:t>
      </w:r>
      <w:r>
        <w:t>iilor reale de</w:t>
      </w:r>
      <w:r w:rsidR="000C213F">
        <w:t>ț</w:t>
      </w:r>
      <w:r>
        <w:t>inute [active corporale], valoarea cumulată (</w:t>
      </w:r>
      <w:r w:rsidRPr="004237EC">
        <w:t>13</w:t>
      </w:r>
      <w:r>
        <w:t>.</w:t>
      </w:r>
      <w:r w:rsidRPr="004237EC">
        <w:t>3</w:t>
      </w:r>
      <w:r>
        <w:t>)</w:t>
      </w:r>
      <w:bookmarkEnd w:id="185"/>
      <w:bookmarkEnd w:id="186"/>
      <w:bookmarkEnd w:id="187"/>
      <w:bookmarkEnd w:id="188"/>
    </w:p>
    <w:p w:rsidR="009569C7" w:rsidRPr="00EC4FA2" w:rsidRDefault="00A834F1" w:rsidP="009569C7">
      <w:pPr>
        <w:pStyle w:val="Baseparagraphnumbered"/>
        <w:tabs>
          <w:tab w:val="left" w:pos="851"/>
        </w:tabs>
        <w:ind w:left="709"/>
      </w:pPr>
      <w:r>
        <w:t>„Executare silită [active corporale]” este valoarea contabilă cumulată a activelor corporale ob</w:t>
      </w:r>
      <w:r w:rsidR="000C213F">
        <w:t>ț</w:t>
      </w:r>
      <w:r>
        <w:t>inute prin intrarea în posesia garan</w:t>
      </w:r>
      <w:r w:rsidR="000C213F">
        <w:t>ț</w:t>
      </w:r>
      <w:r>
        <w:t>iei reale care rămâne recunoscută în bilan</w:t>
      </w:r>
      <w:r w:rsidR="000C213F">
        <w:t>ț</w:t>
      </w:r>
      <w:r>
        <w:t xml:space="preserve"> la data de referin</w:t>
      </w:r>
      <w:r w:rsidR="000C213F">
        <w:t>ț</w:t>
      </w:r>
      <w:r>
        <w:t>ă excluzându-le pe cele clasificate ca „imobilizări corporale”.</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485897566"/>
      <w:r>
        <w:t>Ierarhia valorii juste</w:t>
      </w:r>
      <w:bookmarkEnd w:id="189"/>
      <w:r>
        <w:t>: instrumente financiare evaluate la valoarea justă (</w:t>
      </w:r>
      <w:r w:rsidRPr="004237EC">
        <w:t>14</w:t>
      </w:r>
      <w:r>
        <w:t>)</w:t>
      </w:r>
      <w:bookmarkEnd w:id="190"/>
      <w:bookmarkEnd w:id="191"/>
      <w:bookmarkEnd w:id="192"/>
      <w:bookmarkEnd w:id="193"/>
    </w:p>
    <w:p w:rsidR="009569C7" w:rsidRPr="00EC4FA2" w:rsidRDefault="00A834F1" w:rsidP="009569C7">
      <w:pPr>
        <w:pStyle w:val="Baseparagraphnumbered"/>
        <w:tabs>
          <w:tab w:val="left" w:pos="851"/>
        </w:tabs>
        <w:ind w:left="709"/>
      </w:pPr>
      <w:r>
        <w:t>Institu</w:t>
      </w:r>
      <w:r w:rsidR="000C213F">
        <w:t>ț</w:t>
      </w:r>
      <w:r>
        <w:t xml:space="preserve">iile raportează valoarea instrumentelor financiare evaluate la valoarea justă conform ierarhiei prevăzute în IFRS </w:t>
      </w:r>
      <w:r w:rsidRPr="004237EC">
        <w:t>13</w:t>
      </w:r>
      <w:r>
        <w:t xml:space="preserve"> punctul </w:t>
      </w:r>
      <w:r w:rsidRPr="004237EC">
        <w:t>72</w:t>
      </w:r>
      <w:r>
        <w:t>. În cazul în care GAAP na</w:t>
      </w:r>
      <w:r w:rsidR="000C213F">
        <w:t>ț</w:t>
      </w:r>
      <w:r>
        <w:t>ionale bazate pe BAD impun, de asemenea, alocarea activelor evaluate la valoarea justă între diferite niveluri ale valorii juste, institu</w:t>
      </w:r>
      <w:r w:rsidR="000C213F">
        <w:t>ț</w:t>
      </w:r>
      <w:r>
        <w:t>iile care aplică GAAP na</w:t>
      </w:r>
      <w:r w:rsidR="000C213F">
        <w:t>ț</w:t>
      </w:r>
      <w:r>
        <w:t>ionale raportează, de asemenea, acest formular.</w:t>
      </w:r>
    </w:p>
    <w:p w:rsidR="009569C7" w:rsidRPr="00EC4FA2" w:rsidRDefault="00A834F1" w:rsidP="009569C7">
      <w:pPr>
        <w:pStyle w:val="Baseparagraphnumbered"/>
        <w:ind w:left="709" w:hanging="283"/>
      </w:pPr>
      <w:r>
        <w:t>„Modificarea valorii juste în cursul perioadei” include câ</w:t>
      </w:r>
      <w:r w:rsidR="000C213F">
        <w:t>ș</w:t>
      </w:r>
      <w:r>
        <w:t xml:space="preserve">tigurile sau pierderile din reevaluările efectuate în conformitate cu IFRS </w:t>
      </w:r>
      <w:r w:rsidRPr="004237EC">
        <w:t>9</w:t>
      </w:r>
      <w:r>
        <w:t xml:space="preserve">, IFRS </w:t>
      </w:r>
      <w:r w:rsidRPr="004237EC">
        <w:t>13</w:t>
      </w:r>
      <w:r>
        <w:t xml:space="preserve"> sau GAAP na</w:t>
      </w:r>
      <w:r w:rsidR="000C213F">
        <w:t>ț</w:t>
      </w:r>
      <w:r>
        <w:t>ionale, după caz, în cursul perioadei în ceea ce prive</w:t>
      </w:r>
      <w:r w:rsidR="000C213F">
        <w:t>ș</w:t>
      </w:r>
      <w:r>
        <w:t>te instrumentele care continuă să existe la data raportării. Astfel de câ</w:t>
      </w:r>
      <w:r w:rsidR="000C213F">
        <w:t>ș</w:t>
      </w:r>
      <w:r>
        <w:t xml:space="preserve">tiguri </w:t>
      </w:r>
      <w:r w:rsidR="000C213F">
        <w:t>ș</w:t>
      </w:r>
      <w:r>
        <w:t>i pierderi se raportează astfel cum sunt incluse în situa</w:t>
      </w:r>
      <w:r w:rsidR="000C213F">
        <w:t>ț</w:t>
      </w:r>
      <w:r>
        <w:t>ia profitului sau pierderii sau, după caz, în situa</w:t>
      </w:r>
      <w:r w:rsidR="000C213F">
        <w:t>ț</w:t>
      </w:r>
      <w:r>
        <w:t>ia rezultatului global; astfel, valorile raportate sunt cele de dinaintea impozitării.</w:t>
      </w:r>
    </w:p>
    <w:p w:rsidR="009569C7" w:rsidRPr="00EC4FA2" w:rsidRDefault="00A834F1" w:rsidP="009569C7">
      <w:pPr>
        <w:pStyle w:val="Baseparagraphnumbered"/>
        <w:tabs>
          <w:tab w:val="left" w:pos="851"/>
        </w:tabs>
        <w:ind w:left="709"/>
      </w:pPr>
      <w:r>
        <w:t>„Modificarea cumulată a valorii juste înainte de impozitare” include cuantumul câ</w:t>
      </w:r>
      <w:r w:rsidR="000C213F">
        <w:t>ș</w:t>
      </w:r>
      <w:r>
        <w:t>tigurilor sau pierderilor din reevaluările instrumentelor cumulate de la recunoa</w:t>
      </w:r>
      <w:r w:rsidR="000C213F">
        <w:t>ș</w:t>
      </w:r>
      <w:r>
        <w:t>terea ini</w:t>
      </w:r>
      <w:r w:rsidR="000C213F">
        <w:t>ț</w:t>
      </w:r>
      <w:r>
        <w:t>ială până la data de referin</w:t>
      </w:r>
      <w:r w:rsidR="000C213F">
        <w:t>ț</w:t>
      </w:r>
      <w:r>
        <w:t>ă.</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485897567"/>
      <w:r>
        <w:t>Derecunoa</w:t>
      </w:r>
      <w:r w:rsidR="000C213F">
        <w:t>ș</w:t>
      </w:r>
      <w:r>
        <w:t xml:space="preserve">tere </w:t>
      </w:r>
      <w:r w:rsidR="000C213F">
        <w:t>ș</w:t>
      </w:r>
      <w:r>
        <w:t>i datorii financiare asociate activelor financiare transferate (</w:t>
      </w:r>
      <w:r w:rsidRPr="004237EC">
        <w:t>15</w:t>
      </w:r>
      <w:r>
        <w:t>)</w:t>
      </w:r>
      <w:bookmarkEnd w:id="194"/>
      <w:bookmarkEnd w:id="195"/>
      <w:bookmarkEnd w:id="196"/>
      <w:bookmarkEnd w:id="197"/>
    </w:p>
    <w:p w:rsidR="009569C7" w:rsidRPr="00EC4FA2" w:rsidRDefault="00A834F1" w:rsidP="009569C7">
      <w:pPr>
        <w:pStyle w:val="Baseparagraphnumbered"/>
        <w:tabs>
          <w:tab w:val="left" w:pos="851"/>
        </w:tabs>
        <w:ind w:left="709"/>
      </w:pPr>
      <w:r>
        <w:t xml:space="preserve">Formularul </w:t>
      </w:r>
      <w:r w:rsidRPr="004237EC">
        <w:t>15</w:t>
      </w:r>
      <w:r>
        <w:t xml:space="preserve"> include informa</w:t>
      </w:r>
      <w:r w:rsidR="000C213F">
        <w:t>ț</w:t>
      </w:r>
      <w:r>
        <w:t>ii privind activele financiare transferate, din care o parte sau toate nu se califică pentru derecunoa</w:t>
      </w:r>
      <w:r w:rsidR="000C213F">
        <w:t>ș</w:t>
      </w:r>
      <w:r>
        <w:t xml:space="preserve">tere, precum </w:t>
      </w:r>
      <w:r w:rsidR="000C213F">
        <w:t>ș</w:t>
      </w:r>
      <w:r>
        <w:t>i activele financiare derecunoscute în totalitate, pentru care institu</w:t>
      </w:r>
      <w:r w:rsidR="000C213F">
        <w:t>ț</w:t>
      </w:r>
      <w:r>
        <w:t>ia re</w:t>
      </w:r>
      <w:r w:rsidR="000C213F">
        <w:t>ț</w:t>
      </w:r>
      <w:r>
        <w:t xml:space="preserve">ine drepturi legate de administrare. </w:t>
      </w:r>
    </w:p>
    <w:p w:rsidR="009569C7" w:rsidRPr="00EC4FA2" w:rsidRDefault="00A834F1" w:rsidP="009569C7">
      <w:pPr>
        <w:pStyle w:val="Baseparagraphnumbered"/>
        <w:tabs>
          <w:tab w:val="left" w:pos="851"/>
        </w:tabs>
        <w:ind w:left="709"/>
      </w:pPr>
      <w:r>
        <w:t>Datoriile asociate se raportează în func</w:t>
      </w:r>
      <w:r w:rsidR="000C213F">
        <w:t>ț</w:t>
      </w:r>
      <w:r>
        <w:t xml:space="preserve">ie de portofoliul în care activele financiare transferate asociate au fost incluse în activ, </w:t>
      </w:r>
      <w:r w:rsidR="000C213F">
        <w:t>ș</w:t>
      </w:r>
      <w:r>
        <w:t>i nu în func</w:t>
      </w:r>
      <w:r w:rsidR="000C213F">
        <w:t>ț</w:t>
      </w:r>
      <w:r>
        <w:t>ie de portofoliul în care au fost incluse în sec</w:t>
      </w:r>
      <w:r w:rsidR="000C213F">
        <w:t>ț</w:t>
      </w:r>
      <w:r>
        <w:t>iunea de datorii a bilan</w:t>
      </w:r>
      <w:r w:rsidR="000C213F">
        <w:t>ț</w:t>
      </w:r>
      <w:r>
        <w:t xml:space="preserve">ului. </w:t>
      </w:r>
      <w:bookmarkStart w:id="198" w:name="_Toc119725774"/>
      <w:bookmarkEnd w:id="198"/>
    </w:p>
    <w:p w:rsidR="009569C7" w:rsidRPr="00EC4FA2" w:rsidRDefault="00A834F1" w:rsidP="009569C7">
      <w:pPr>
        <w:pStyle w:val="Baseparagraphnumbered"/>
      </w:pPr>
      <w:r>
        <w:t>Coloana „Valori derecunoscute în scopuri de capital” include valoarea contabilă a activelor financiare recunoscute în scopuri contabile, dar derecunoscute în scopuri pruden</w:t>
      </w:r>
      <w:r w:rsidR="000C213F">
        <w:t>ț</w:t>
      </w:r>
      <w:r>
        <w:t>iale deoarece institu</w:t>
      </w:r>
      <w:r w:rsidR="000C213F">
        <w:t>ț</w:t>
      </w:r>
      <w:r>
        <w:t>ia le tratează ca pozi</w:t>
      </w:r>
      <w:r w:rsidR="000C213F">
        <w:t>ț</w:t>
      </w:r>
      <w:r>
        <w:t xml:space="preserve">ii </w:t>
      </w:r>
      <w:r>
        <w:lastRenderedPageBreak/>
        <w:t xml:space="preserve">din securitizare în scopuri de capital, în conformitate cu articolele </w:t>
      </w:r>
      <w:r w:rsidRPr="004237EC">
        <w:t>109</w:t>
      </w:r>
      <w:r>
        <w:t xml:space="preserve">, </w:t>
      </w:r>
      <w:r w:rsidRPr="004237EC">
        <w:t>243</w:t>
      </w:r>
      <w:r>
        <w:t xml:space="preserve"> </w:t>
      </w:r>
      <w:r w:rsidR="000C213F">
        <w:t>ș</w:t>
      </w:r>
      <w:r>
        <w:t xml:space="preserve">i </w:t>
      </w:r>
      <w:r w:rsidRPr="004237EC">
        <w:t>244</w:t>
      </w:r>
      <w:r>
        <w:t xml:space="preserve"> din CRR. </w:t>
      </w:r>
    </w:p>
    <w:p w:rsidR="009569C7" w:rsidRPr="00EC4FA2" w:rsidRDefault="00A834F1" w:rsidP="009569C7">
      <w:pPr>
        <w:pStyle w:val="Baseparagraphnumbered"/>
      </w:pPr>
      <w:r>
        <w:t>„Acordurile de răscumpărare” („repo”) sunt tranzac</w:t>
      </w:r>
      <w:r w:rsidR="000C213F">
        <w:t>ț</w:t>
      </w:r>
      <w:r>
        <w:t>ii în care institu</w:t>
      </w:r>
      <w:r w:rsidR="000C213F">
        <w:t>ț</w:t>
      </w:r>
      <w:r>
        <w:t>ia prime</w:t>
      </w:r>
      <w:r w:rsidR="000C213F">
        <w:t>ș</w:t>
      </w:r>
      <w:r>
        <w:t>te numerar în schimbul unor active financiare vândute la un anumit pre</w:t>
      </w:r>
      <w:r w:rsidR="000C213F">
        <w:t>ț</w:t>
      </w:r>
      <w:r>
        <w:t>, cu angajamentul răscumpărării acelora</w:t>
      </w:r>
      <w:r w:rsidR="000C213F">
        <w:t>ș</w:t>
      </w:r>
      <w:r>
        <w:t>i active (sau a unora identice) la un pre</w:t>
      </w:r>
      <w:r w:rsidR="000C213F">
        <w:t>ț</w:t>
      </w:r>
      <w:r>
        <w:t xml:space="preserve"> fix la o dată ulterioară specificată. Tranzac</w:t>
      </w:r>
      <w:r w:rsidR="000C213F">
        <w:t>ț</w:t>
      </w:r>
      <w:r>
        <w:t>iile care implică transferul temporar de aur, garantate cu numerar, se consideră, de asemenea, „acorduri de răscumpărare” („repo”). Cuantumurile primite de institu</w:t>
      </w:r>
      <w:r w:rsidR="000C213F">
        <w:t>ț</w:t>
      </w:r>
      <w:r>
        <w:t>ie în schimbul activelor financiare transferate către o parte ter</w:t>
      </w:r>
      <w:r w:rsidR="000C213F">
        <w:t>ț</w:t>
      </w:r>
      <w:r>
        <w:t>ă („cumpărător temporar”) se clasifică la „acorduri de răscumpărare” în cazul în care există un angajament de inversare a opera</w:t>
      </w:r>
      <w:r w:rsidR="000C213F">
        <w:t>ț</w:t>
      </w:r>
      <w:r>
        <w:t xml:space="preserve">iunii, </w:t>
      </w:r>
      <w:r w:rsidR="000C213F">
        <w:t>ș</w:t>
      </w:r>
      <w:r>
        <w:t>i nu doar o op</w:t>
      </w:r>
      <w:r w:rsidR="000C213F">
        <w:t>ț</w:t>
      </w:r>
      <w:r>
        <w:t>iune în acest sens. Acordurile de răscumpărare includ, de asemenea, opera</w:t>
      </w:r>
      <w:r w:rsidR="000C213F">
        <w:t>ț</w:t>
      </w:r>
      <w:r>
        <w:t>iunile de tip repo care pot cuprinde:</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sumele primite în schimbul titlurilor de valoare transferate temporar unui ter</w:t>
      </w:r>
      <w:r w:rsidR="000C213F">
        <w:rPr>
          <w:rFonts w:ascii="Times New Roman" w:hAnsi="Times New Roman"/>
          <w:sz w:val="24"/>
        </w:rPr>
        <w:t>ț</w:t>
      </w:r>
      <w:r>
        <w:rPr>
          <w:rFonts w:ascii="Times New Roman" w:hAnsi="Times New Roman"/>
          <w:sz w:val="24"/>
        </w:rPr>
        <w:t xml:space="preserve"> sub forma unor împrumuturi de titluri de valoare garantate cu numerar;</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sumele primite în schimbul titlurilor de valoare transferate temporar unui ter</w:t>
      </w:r>
      <w:r w:rsidR="000C213F">
        <w:rPr>
          <w:rFonts w:ascii="Times New Roman" w:hAnsi="Times New Roman"/>
          <w:sz w:val="24"/>
        </w:rPr>
        <w:t>ț</w:t>
      </w:r>
      <w:r>
        <w:rPr>
          <w:rFonts w:ascii="Times New Roman" w:hAnsi="Times New Roman"/>
          <w:sz w:val="24"/>
        </w:rPr>
        <w:t xml:space="preserve"> sub forma unui contract de vânzare/răscumpărare.</w:t>
      </w:r>
    </w:p>
    <w:p w:rsidR="009569C7" w:rsidRPr="00EC4FA2" w:rsidRDefault="00A834F1" w:rsidP="009569C7">
      <w:pPr>
        <w:pStyle w:val="Baseparagraphnumbered"/>
        <w:tabs>
          <w:tab w:val="left" w:pos="851"/>
        </w:tabs>
        <w:ind w:left="709"/>
      </w:pPr>
      <w:r>
        <w:t xml:space="preserve">„Acorduri de răscumpărare” („repo”) </w:t>
      </w:r>
      <w:r w:rsidR="000C213F">
        <w:t>ș</w:t>
      </w:r>
      <w:r>
        <w:t>i „credite acordate în cadrul opera</w:t>
      </w:r>
      <w:r w:rsidR="000C213F">
        <w:t>ț</w:t>
      </w:r>
      <w:r>
        <w:t>iunilor reverse repo” („reverse repo”) presupun numerar primit sau dat cu împrumut de către institu</w:t>
      </w:r>
      <w:r w:rsidR="000C213F">
        <w:t>ț</w:t>
      </w:r>
      <w:r>
        <w:t xml:space="preserve">ie. </w:t>
      </w:r>
    </w:p>
    <w:p w:rsidR="009569C7" w:rsidRPr="00EC4FA2" w:rsidRDefault="00A834F1" w:rsidP="009569C7">
      <w:pPr>
        <w:pStyle w:val="Baseparagraphnumbered"/>
        <w:tabs>
          <w:tab w:val="left" w:pos="851"/>
        </w:tabs>
        <w:ind w:left="709"/>
      </w:pPr>
      <w:r>
        <w:t>În cadrul unei tranzac</w:t>
      </w:r>
      <w:r w:rsidR="000C213F">
        <w:t>ț</w:t>
      </w:r>
      <w:r>
        <w:t>ii de securitizare, în cazul în care activele financiare transferate sunt derecunoscute, institu</w:t>
      </w:r>
      <w:r w:rsidR="000C213F">
        <w:t>ț</w:t>
      </w:r>
      <w:r>
        <w:t>iile declară câ</w:t>
      </w:r>
      <w:r w:rsidR="000C213F">
        <w:t>ș</w:t>
      </w:r>
      <w:r>
        <w:t>tigurile (pierderile) generate de elementul din cadrul situa</w:t>
      </w:r>
      <w:r w:rsidR="000C213F">
        <w:t>ț</w:t>
      </w:r>
      <w:r>
        <w:t xml:space="preserve">iei veniturilor </w:t>
      </w:r>
      <w:r w:rsidR="000C213F">
        <w:t>ș</w:t>
      </w:r>
      <w:r>
        <w:t>i cheltuielilor care corespunde „portofoliului contabil” în care activele financiare au fost incluse anterior derecunoa</w:t>
      </w:r>
      <w:r w:rsidR="000C213F">
        <w:t>ș</w:t>
      </w:r>
      <w:r>
        <w:t>terii acestora.</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485897568"/>
      <w:bookmarkStart w:id="213" w:name="_Toc246770626"/>
      <w:bookmarkEnd w:id="199"/>
      <w:bookmarkEnd w:id="200"/>
      <w:bookmarkEnd w:id="201"/>
      <w:bookmarkEnd w:id="202"/>
      <w:bookmarkEnd w:id="203"/>
      <w:bookmarkEnd w:id="204"/>
      <w:bookmarkEnd w:id="205"/>
      <w:bookmarkEnd w:id="206"/>
      <w:bookmarkEnd w:id="207"/>
      <w:r>
        <w:t>Defalcarea anumitor elemente din situa</w:t>
      </w:r>
      <w:r w:rsidR="000C213F">
        <w:t>ț</w:t>
      </w:r>
      <w:r>
        <w:t>ia</w:t>
      </w:r>
      <w:bookmarkEnd w:id="208"/>
      <w:r>
        <w:t xml:space="preserve"> profitului sau pierderii (</w:t>
      </w:r>
      <w:r w:rsidRPr="004237EC">
        <w:t>16</w:t>
      </w:r>
      <w:r>
        <w:t>)</w:t>
      </w:r>
      <w:bookmarkEnd w:id="209"/>
      <w:bookmarkEnd w:id="210"/>
      <w:bookmarkEnd w:id="211"/>
      <w:bookmarkEnd w:id="212"/>
    </w:p>
    <w:p w:rsidR="009569C7" w:rsidRPr="00EC4FA2" w:rsidRDefault="00A834F1" w:rsidP="009569C7">
      <w:pPr>
        <w:pStyle w:val="Baseparagraphnumbered"/>
        <w:tabs>
          <w:tab w:val="left" w:pos="851"/>
        </w:tabs>
        <w:ind w:left="709"/>
      </w:pPr>
      <w:r>
        <w:t>Pentru anumite elemente din situa</w:t>
      </w:r>
      <w:r w:rsidR="000C213F">
        <w:t>ț</w:t>
      </w:r>
      <w:r>
        <w:t xml:space="preserve">ia veniturilor </w:t>
      </w:r>
      <w:r w:rsidR="000C213F">
        <w:t>ș</w:t>
      </w:r>
      <w:r>
        <w:t>i cheltuielilor se raportează defalcări suplimentare ale câ</w:t>
      </w:r>
      <w:r w:rsidR="000C213F">
        <w:t>ș</w:t>
      </w:r>
      <w:r>
        <w:t xml:space="preserve">tigurilor (sau veniturilor) </w:t>
      </w:r>
      <w:r w:rsidR="000C213F">
        <w:t>ș</w:t>
      </w:r>
      <w:r>
        <w:t xml:space="preserve">i pierderilor (sau cheltuielilor).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485897569"/>
      <w:r>
        <w:t xml:space="preserve">Venituri </w:t>
      </w:r>
      <w:r w:rsidR="000C213F">
        <w:t>ș</w:t>
      </w:r>
      <w:r>
        <w:t xml:space="preserve">i cheltuieli cu dobânzile, defalcate pe instrumente </w:t>
      </w:r>
      <w:r w:rsidR="000C213F">
        <w:t>ș</w:t>
      </w:r>
      <w:r>
        <w:t>i sectoare ale contrapăr</w:t>
      </w:r>
      <w:r w:rsidR="000C213F">
        <w:t>ț</w:t>
      </w:r>
      <w:r>
        <w:t>ilor (</w:t>
      </w:r>
      <w:r w:rsidRPr="004237EC">
        <w:t>16</w:t>
      </w:r>
      <w:r>
        <w:t>.</w:t>
      </w:r>
      <w:r w:rsidRPr="004237EC">
        <w:t>1</w:t>
      </w:r>
      <w:r>
        <w:t>)</w:t>
      </w:r>
      <w:bookmarkEnd w:id="214"/>
      <w:bookmarkEnd w:id="215"/>
      <w:bookmarkEnd w:id="216"/>
      <w:bookmarkEnd w:id="217"/>
    </w:p>
    <w:p w:rsidR="009569C7" w:rsidRPr="00EC4FA2" w:rsidRDefault="00A834F1" w:rsidP="009569C7">
      <w:pPr>
        <w:pStyle w:val="Baseparagraphnumbered"/>
        <w:tabs>
          <w:tab w:val="left" w:pos="851"/>
        </w:tabs>
        <w:ind w:left="709" w:hanging="283"/>
      </w:pPr>
      <w:r>
        <w:t>Veniturile din dobânzi sunt defalcate în conformitate cu următoarele două elemente: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 xml:space="preserve">venituri din dobânzi aferente activelor financiare </w:t>
      </w:r>
      <w:r w:rsidR="000C213F">
        <w:rPr>
          <w:rFonts w:ascii="Times New Roman" w:hAnsi="Times New Roman"/>
          <w:sz w:val="24"/>
        </w:rPr>
        <w:t>ș</w:t>
      </w:r>
      <w:r>
        <w:rPr>
          <w:rFonts w:ascii="Times New Roman" w:hAnsi="Times New Roman"/>
          <w:sz w:val="24"/>
        </w:rPr>
        <w:t>i altor active;</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venituri din dobânzi aferente datoriilor financiare cu o rată a dobânzii efective negative.</w:t>
      </w:r>
    </w:p>
    <w:p w:rsidR="009569C7" w:rsidRPr="00EC4FA2" w:rsidRDefault="00A834F1" w:rsidP="009569C7">
      <w:pPr>
        <w:pStyle w:val="Baseparagraphnumbered"/>
      </w:pPr>
      <w:r>
        <w:t>Cheltuielile cu dobânzile sunt defalcate în conformitate cu următoarele două elemente:</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lastRenderedPageBreak/>
        <w:t xml:space="preserve">cheltuieli cu dobânzile aferente datoriilor financiare </w:t>
      </w:r>
      <w:r w:rsidR="000C213F">
        <w:rPr>
          <w:rFonts w:ascii="Times New Roman" w:hAnsi="Times New Roman"/>
          <w:sz w:val="24"/>
        </w:rPr>
        <w:t>ș</w:t>
      </w:r>
      <w:r>
        <w:rPr>
          <w:rFonts w:ascii="Times New Roman" w:hAnsi="Times New Roman"/>
          <w:sz w:val="24"/>
        </w:rPr>
        <w:t>i altor datorii;</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cheltuieli cu dobânzile aferente activelor financiare cu o rată a dobânzii efective negative.</w:t>
      </w:r>
    </w:p>
    <w:p w:rsidR="009569C7" w:rsidRPr="00EC4FA2" w:rsidRDefault="00A834F1" w:rsidP="009569C7">
      <w:pPr>
        <w:pStyle w:val="Baseparagraphnumbered"/>
        <w:tabs>
          <w:tab w:val="left" w:pos="851"/>
        </w:tabs>
        <w:ind w:left="709" w:hanging="283"/>
      </w:pPr>
      <w:r>
        <w:t xml:space="preserve">Veniturile din dobânzi aferente activelor financiare </w:t>
      </w:r>
      <w:r w:rsidR="000C213F">
        <w:t>ș</w:t>
      </w:r>
      <w:r>
        <w:t>i datoriilor financiare cu o rată a dobânzii efective negative includ veniturile din dobânzi aferente instrumentelor derivate de</w:t>
      </w:r>
      <w:r w:rsidR="000C213F">
        <w:t>ț</w:t>
      </w:r>
      <w:r>
        <w:t>inute în vederea tranzac</w:t>
      </w:r>
      <w:r w:rsidR="000C213F">
        <w:t>ț</w:t>
      </w:r>
      <w:r>
        <w:t xml:space="preserve">ionării, titlurilor de datorie </w:t>
      </w:r>
      <w:r w:rsidR="000C213F">
        <w:t>ș</w:t>
      </w:r>
      <w:r>
        <w:t xml:space="preserve">i creditelor </w:t>
      </w:r>
      <w:r w:rsidR="000C213F">
        <w:t>ș</w:t>
      </w:r>
      <w:r>
        <w:t xml:space="preserve">i avansurilor, precum </w:t>
      </w:r>
      <w:r w:rsidR="000C213F">
        <w:t>ș</w:t>
      </w:r>
      <w:r>
        <w:t xml:space="preserve">i depozitelor, titlurilor de datorie emise </w:t>
      </w:r>
      <w:r w:rsidR="000C213F">
        <w:t>ș</w:t>
      </w:r>
      <w:r>
        <w:t xml:space="preserve">i altor datorii financiare cu o rată a dobânzii efective negative. </w:t>
      </w:r>
    </w:p>
    <w:p w:rsidR="009569C7" w:rsidRPr="00EC4FA2" w:rsidRDefault="00A834F1" w:rsidP="009569C7">
      <w:pPr>
        <w:pStyle w:val="Baseparagraphnumbered"/>
      </w:pPr>
      <w:r>
        <w:t xml:space="preserve">Cheltuielile cu dobânzile aferente datoriilor financiare </w:t>
      </w:r>
      <w:r w:rsidR="000C213F">
        <w:t>ș</w:t>
      </w:r>
      <w:r>
        <w:t>i activelor financiare cu o rată a dobânzii efective negative includ cheltuielile cu dobânzile aferente instrumentelor derivate de</w:t>
      </w:r>
      <w:r w:rsidR="000C213F">
        <w:t>ț</w:t>
      </w:r>
      <w:r>
        <w:t>inute în vederea tranzac</w:t>
      </w:r>
      <w:r w:rsidR="000C213F">
        <w:t>ț</w:t>
      </w:r>
      <w:r>
        <w:t xml:space="preserve">ionării, depozitelor, titlurilor de datorie emise </w:t>
      </w:r>
      <w:r w:rsidR="000C213F">
        <w:t>ș</w:t>
      </w:r>
      <w:r>
        <w:t xml:space="preserve">i altor datorii financiare, precum </w:t>
      </w:r>
      <w:r w:rsidR="000C213F">
        <w:t>ș</w:t>
      </w:r>
      <w:r>
        <w:t xml:space="preserve">i titlurilor de datorie </w:t>
      </w:r>
      <w:r w:rsidR="000C213F">
        <w:t>ș</w:t>
      </w:r>
      <w:r>
        <w:t xml:space="preserve">i creditelor </w:t>
      </w:r>
      <w:r w:rsidR="000C213F">
        <w:t>ș</w:t>
      </w:r>
      <w:r>
        <w:t xml:space="preserve">i avansurilor cu o rată a dobânzii efective negative. </w:t>
      </w:r>
    </w:p>
    <w:p w:rsidR="009569C7" w:rsidRPr="00EC4FA2" w:rsidRDefault="00A834F1" w:rsidP="009569C7">
      <w:pPr>
        <w:pStyle w:val="Baseparagraphnumbered"/>
      </w:pPr>
      <w:r>
        <w:t xml:space="preserve">În sensul formularului </w:t>
      </w:r>
      <w:r w:rsidRPr="004237EC">
        <w:t>16</w:t>
      </w:r>
      <w:r>
        <w:t>.</w:t>
      </w:r>
      <w:r w:rsidRPr="004237EC">
        <w:t>1</w:t>
      </w:r>
      <w:r>
        <w:t>, pozi</w:t>
      </w:r>
      <w:r w:rsidR="000C213F">
        <w:t>ț</w:t>
      </w:r>
      <w:r>
        <w:t>iile scurte sunt luate în considerare în cadrul altor datorii financiare. Toate instrumentele din diferitele portofolii sunt luate în considerare, cu excep</w:t>
      </w:r>
      <w:r w:rsidR="000C213F">
        <w:t>ț</w:t>
      </w:r>
      <w:r>
        <w:t xml:space="preserve">ia celor incluse la elementele „Instrumente derivate – contabilitatea de acoperire împotriva riscurilor” neutilizate pentru acoperirea împotriva riscului ratei dobânzii. </w:t>
      </w:r>
    </w:p>
    <w:p w:rsidR="009569C7" w:rsidRPr="00EC4FA2" w:rsidRDefault="00A834F1" w:rsidP="009569C7">
      <w:pPr>
        <w:pStyle w:val="Baseparagraphnumbered"/>
      </w:pPr>
      <w:r>
        <w:t xml:space="preserve">„Instrumentele derivate – contabilitatea de acoperire împotriva riscurilor, riscul de rată a dobânzii” includ venituri din dobânzi </w:t>
      </w:r>
      <w:r w:rsidR="000C213F">
        <w:t>ș</w:t>
      </w:r>
      <w:r>
        <w:t>i cheltuieli cu dobânzile aferente instrumentelor acoperite împotriva riscurilor în cazul în care elementele acoperite generează dobânzi.</w:t>
      </w:r>
      <w:r w:rsidR="004237EC">
        <w:t xml:space="preserve"> </w:t>
      </w:r>
    </w:p>
    <w:p w:rsidR="009569C7" w:rsidRPr="00EC4FA2" w:rsidRDefault="00A834F1" w:rsidP="009569C7">
      <w:pPr>
        <w:pStyle w:val="Baseparagraphnumbered"/>
      </w:pPr>
      <w:r>
        <w:t>În cazul în care se utilizează pre</w:t>
      </w:r>
      <w:r w:rsidR="000C213F">
        <w:t>ț</w:t>
      </w:r>
      <w:r>
        <w:t>ul curat, dobânda aferentă instrumentelor derivate de</w:t>
      </w:r>
      <w:r w:rsidR="000C213F">
        <w:t>ț</w:t>
      </w:r>
      <w:r>
        <w:t>inute în vederea tranzac</w:t>
      </w:r>
      <w:r w:rsidR="000C213F">
        <w:t>ț</w:t>
      </w:r>
      <w:r>
        <w:t>ionării include cuantumurile asociate respectivelor instrumente derivate de</w:t>
      </w:r>
      <w:r w:rsidR="000C213F">
        <w:t>ț</w:t>
      </w:r>
      <w:r>
        <w:t>inute în vederea tranzac</w:t>
      </w:r>
      <w:r w:rsidR="000C213F">
        <w:t>ț</w:t>
      </w:r>
      <w:r>
        <w:t xml:space="preserve">ionării care se califică ca „instrumente de acoperire economică împotriva riscurilor” care sunt incluse ca venituri din dobânzi sau cheltuieli cu dobânzile pentru a corecta veniturile </w:t>
      </w:r>
      <w:r w:rsidR="000C213F">
        <w:t>ș</w:t>
      </w:r>
      <w:r>
        <w:t>i cheltuielile instrumentelor financiare acoperite împotriva riscurilor din punct de vedere economic, însă nu din punct de vedere contabil. În acest caz, veniturile din dobânzi aferente instrumentelor derivate de acoperire economică împotriva riscurilor se raportează separat în cadrul veniturilor provenite din instrumente derivate destinate tranzac</w:t>
      </w:r>
      <w:r w:rsidR="000C213F">
        <w:t>ț</w:t>
      </w:r>
      <w:r>
        <w:t>ionării. Ca dobânzi aferente instrumentelor derivate de</w:t>
      </w:r>
      <w:r w:rsidR="000C213F">
        <w:t>ț</w:t>
      </w:r>
      <w:r>
        <w:t>inute în vederea tranzac</w:t>
      </w:r>
      <w:r w:rsidR="000C213F">
        <w:t>ț</w:t>
      </w:r>
      <w:r>
        <w:t xml:space="preserve">ionării se raportează </w:t>
      </w:r>
      <w:r w:rsidR="000C213F">
        <w:t>ș</w:t>
      </w:r>
      <w:r>
        <w:t>i onorariile e</w:t>
      </w:r>
      <w:r w:rsidR="000C213F">
        <w:t>ș</w:t>
      </w:r>
      <w:r>
        <w:t>alonate pe durata de via</w:t>
      </w:r>
      <w:r w:rsidR="000C213F">
        <w:t>ț</w:t>
      </w:r>
      <w:r>
        <w:t>ă a instrumentului sau plă</w:t>
      </w:r>
      <w:r w:rsidR="000C213F">
        <w:t>ț</w:t>
      </w:r>
      <w:r>
        <w:t>ile compensatorii în ceea ce prive</w:t>
      </w:r>
      <w:r w:rsidR="000C213F">
        <w:t>ș</w:t>
      </w:r>
      <w:r>
        <w:t xml:space="preserve">te instrumentele derivate de credit evaluate la valoarea justă </w:t>
      </w:r>
      <w:r w:rsidR="000C213F">
        <w:t>ș</w:t>
      </w:r>
      <w:r>
        <w:t>i utilizate pentru a gestiona riscul de credit al unui instrument financiar, în totalitate sau al unei păr</w:t>
      </w:r>
      <w:r w:rsidR="000C213F">
        <w:t>ț</w:t>
      </w:r>
      <w:r>
        <w:t>i a acestuia, care este desemnat la valoarea justă cu această ocazie.</w:t>
      </w:r>
    </w:p>
    <w:p w:rsidR="009569C7" w:rsidRPr="00EC4FA2" w:rsidRDefault="00A834F1" w:rsidP="009569C7">
      <w:pPr>
        <w:pStyle w:val="Baseparagraphnumbered"/>
      </w:pPr>
      <w:r>
        <w:t>Conform IFRS, „din care: venituri din dobânzi aferente activelor financiare depreciate” înseamnă venituri din dobânzi aferente activelor financiare depreciate, inclusiv activelor financiare depreciate achizi</w:t>
      </w:r>
      <w:r w:rsidR="000C213F">
        <w:t>ț</w:t>
      </w:r>
      <w:r>
        <w:t>ionate sau ini</w:t>
      </w:r>
      <w:r w:rsidR="000C213F">
        <w:t>ț</w:t>
      </w:r>
      <w:r>
        <w:t>iate. Conform GAAP na</w:t>
      </w:r>
      <w:r w:rsidR="000C213F">
        <w:t>ț</w:t>
      </w:r>
      <w:r>
        <w:t xml:space="preserve">ionale bazate pe BAD, acest element include </w:t>
      </w:r>
      <w:r>
        <w:lastRenderedPageBreak/>
        <w:t>veniturile din dobânzi aferente activelor depreciate cu o ajustare pentru depreciere specifică sau generală aferentă riscului de credit.</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485897570"/>
      <w:r>
        <w:t>Câ</w:t>
      </w:r>
      <w:r w:rsidR="000C213F">
        <w:t>ș</w:t>
      </w:r>
      <w:r>
        <w:t>tiguri sau pierderi din derecunoa</w:t>
      </w:r>
      <w:r w:rsidR="000C213F">
        <w:t>ș</w:t>
      </w:r>
      <w:r>
        <w:t xml:space="preserve">terea activelor </w:t>
      </w:r>
      <w:r w:rsidR="000C213F">
        <w:t>ș</w:t>
      </w:r>
      <w:r>
        <w:t>i a datoriilor financiare, care nu sunt evaluate la valoarea justă prin profit sau pierdere, clasificate pe instrumente (</w:t>
      </w:r>
      <w:r w:rsidRPr="004237EC">
        <w:t>16</w:t>
      </w:r>
      <w:r>
        <w:t>.</w:t>
      </w:r>
      <w:r w:rsidRPr="004237EC">
        <w:t>2</w:t>
      </w:r>
      <w:r>
        <w:t>)</w:t>
      </w:r>
      <w:bookmarkEnd w:id="218"/>
      <w:bookmarkEnd w:id="219"/>
      <w:bookmarkEnd w:id="220"/>
      <w:bookmarkEnd w:id="221"/>
    </w:p>
    <w:p w:rsidR="009569C7" w:rsidRPr="00EC4FA2" w:rsidRDefault="00A834F1" w:rsidP="009569C7">
      <w:pPr>
        <w:pStyle w:val="Baseparagraphnumbered"/>
        <w:tabs>
          <w:tab w:val="left" w:pos="851"/>
        </w:tabs>
        <w:ind w:left="709"/>
      </w:pPr>
      <w:r>
        <w:t>Câ</w:t>
      </w:r>
      <w:r w:rsidR="000C213F">
        <w:t>ș</w:t>
      </w:r>
      <w:r>
        <w:t xml:space="preserve">tigurile </w:t>
      </w:r>
      <w:r w:rsidR="000C213F">
        <w:t>ș</w:t>
      </w:r>
      <w:r>
        <w:t>i pierderile din derecunoa</w:t>
      </w:r>
      <w:r w:rsidR="000C213F">
        <w:t>ș</w:t>
      </w:r>
      <w:r>
        <w:t xml:space="preserve">terea activelor financiare </w:t>
      </w:r>
      <w:r w:rsidR="000C213F">
        <w:t>ș</w:t>
      </w:r>
      <w:r>
        <w:t xml:space="preserve">i a datoriilor financiare care nu au fost evaluate la valoarea justă prin profit sau pierdere sunt defalcate pe tipuri de instrumente financiare </w:t>
      </w:r>
      <w:r w:rsidR="000C213F">
        <w:t>ș</w:t>
      </w:r>
      <w:r>
        <w:t>i pe portofolii contabile. Pentru fiecare element, se raportează câ</w:t>
      </w:r>
      <w:r w:rsidR="000C213F">
        <w:t>ș</w:t>
      </w:r>
      <w:r>
        <w:t>tigul sau pierderea netă realizată rezultată din tranzac</w:t>
      </w:r>
      <w:r w:rsidR="000C213F">
        <w:t>ț</w:t>
      </w:r>
      <w:r>
        <w:t>ia derecunoscută. Cuantumul net reprezintă diferen</w:t>
      </w:r>
      <w:r w:rsidR="000C213F">
        <w:t>ț</w:t>
      </w:r>
      <w:r>
        <w:t>a dintre câ</w:t>
      </w:r>
      <w:r w:rsidR="000C213F">
        <w:t>ș</w:t>
      </w:r>
      <w:r>
        <w:t xml:space="preserve">tigurile realizate </w:t>
      </w:r>
      <w:r w:rsidR="000C213F">
        <w:t>ș</w:t>
      </w:r>
      <w:r>
        <w:t>i pierderile realizate.</w:t>
      </w:r>
    </w:p>
    <w:p w:rsidR="009569C7" w:rsidRPr="00EC4FA2" w:rsidRDefault="00A834F1" w:rsidP="009569C7">
      <w:pPr>
        <w:pStyle w:val="Baseparagraphnumbered"/>
      </w:pPr>
      <w:r>
        <w:t xml:space="preserve">Formularul </w:t>
      </w:r>
      <w:r w:rsidRPr="004237EC">
        <w:t>16</w:t>
      </w:r>
      <w:r>
        <w:t>.</w:t>
      </w:r>
      <w:r w:rsidRPr="004237EC">
        <w:t>2</w:t>
      </w:r>
      <w:r>
        <w:t xml:space="preserve"> se aplică în conformitate cu IFRS pentru activele </w:t>
      </w:r>
      <w:r w:rsidR="000C213F">
        <w:t>ș</w:t>
      </w:r>
      <w:r>
        <w:t xml:space="preserve">i datoriile financiare evaluate la costul amortizat, precum </w:t>
      </w:r>
      <w:r w:rsidR="000C213F">
        <w:t>ș</w:t>
      </w:r>
      <w:r>
        <w:t>i pentru instrumentele de datorie evaluate la valoarea justă prin alte elemente ale rezultatului global. Conform GAAP na</w:t>
      </w:r>
      <w:r w:rsidR="000C213F">
        <w:t>ț</w:t>
      </w:r>
      <w:r>
        <w:t xml:space="preserve">ionale bazate pe BAD, formularul </w:t>
      </w:r>
      <w:r w:rsidRPr="004237EC">
        <w:t>16</w:t>
      </w:r>
      <w:r>
        <w:t>.</w:t>
      </w:r>
      <w:r w:rsidRPr="004237EC">
        <w:t>2</w:t>
      </w:r>
      <w:r>
        <w:t xml:space="preserve"> se aplică pentru activele financiare evaluate prin metoda bazată pe costuri, la valoarea justă prin capitaluri proprii </w:t>
      </w:r>
      <w:r w:rsidR="000C213F">
        <w:t>ș</w:t>
      </w:r>
      <w:r>
        <w:t>i în conformitate cu alte metode de evaluare, cum ar fi valoarea mai mică dintre valoarea de achizi</w:t>
      </w:r>
      <w:r w:rsidR="000C213F">
        <w:t>ț</w:t>
      </w:r>
      <w:r>
        <w:t xml:space="preserve">ie </w:t>
      </w:r>
      <w:r w:rsidR="000C213F">
        <w:t>ș</w:t>
      </w:r>
      <w:r>
        <w:t>i valoarea de pia</w:t>
      </w:r>
      <w:r w:rsidR="000C213F">
        <w:t>ț</w:t>
      </w:r>
      <w:r>
        <w:t>ă. Câ</w:t>
      </w:r>
      <w:r w:rsidR="000C213F">
        <w:t>ș</w:t>
      </w:r>
      <w:r>
        <w:t xml:space="preserve">tigurile </w:t>
      </w:r>
      <w:r w:rsidR="000C213F">
        <w:t>ș</w:t>
      </w:r>
      <w:r>
        <w:t>i pierderile din instrumentele financiare clasificate ca fiind destinate tranzac</w:t>
      </w:r>
      <w:r w:rsidR="000C213F">
        <w:t>ț</w:t>
      </w:r>
      <w:r>
        <w:t>ionării în conformitate cu GAAP na</w:t>
      </w:r>
      <w:r w:rsidR="000C213F">
        <w:t>ț</w:t>
      </w:r>
      <w:r>
        <w:t>ionale relevante bazate pe BAD nu se raportează în acest formular, indiferent de regulile de evaluare aplicabile acestor instrumente.</w:t>
      </w:r>
    </w:p>
    <w:p w:rsidR="009569C7" w:rsidRPr="00EC4FA2" w:rsidRDefault="00A834F1" w:rsidP="009569C7">
      <w:pPr>
        <w:pStyle w:val="sub-subtitlenumbered"/>
        <w:jc w:val="both"/>
      </w:pPr>
      <w:bookmarkStart w:id="222" w:name="_Toc361844238"/>
      <w:bookmarkStart w:id="223" w:name="_Toc362359309"/>
      <w:bookmarkStart w:id="224" w:name="_Toc467855239"/>
      <w:bookmarkStart w:id="225" w:name="_Toc485897571"/>
      <w:r>
        <w:t>Câ</w:t>
      </w:r>
      <w:r w:rsidR="000C213F">
        <w:t>ș</w:t>
      </w:r>
      <w:r>
        <w:t xml:space="preserve">tiguri sau pierderi aferente activelor </w:t>
      </w:r>
      <w:r w:rsidR="000C213F">
        <w:t>ș</w:t>
      </w:r>
      <w:r>
        <w:t>i datoriilor financiare de</w:t>
      </w:r>
      <w:r w:rsidR="000C213F">
        <w:t>ț</w:t>
      </w:r>
      <w:r>
        <w:t>inute în vederea tranzac</w:t>
      </w:r>
      <w:r w:rsidR="000C213F">
        <w:t>ț</w:t>
      </w:r>
      <w:r>
        <w:t>ionării, clasificate pe instrumente (</w:t>
      </w:r>
      <w:r w:rsidRPr="004237EC">
        <w:t>16</w:t>
      </w:r>
      <w:r>
        <w:t>.</w:t>
      </w:r>
      <w:r w:rsidRPr="004237EC">
        <w:t>3</w:t>
      </w:r>
      <w:r>
        <w:t>)</w:t>
      </w:r>
      <w:bookmarkEnd w:id="222"/>
      <w:bookmarkEnd w:id="223"/>
      <w:bookmarkEnd w:id="224"/>
      <w:bookmarkEnd w:id="225"/>
    </w:p>
    <w:p w:rsidR="009569C7" w:rsidRPr="00EC4FA2" w:rsidRDefault="00A834F1" w:rsidP="009569C7">
      <w:pPr>
        <w:pStyle w:val="Baseparagraphnumbered"/>
        <w:tabs>
          <w:tab w:val="left" w:pos="851"/>
        </w:tabs>
        <w:ind w:left="709"/>
      </w:pPr>
      <w:r>
        <w:t>Câ</w:t>
      </w:r>
      <w:r w:rsidR="000C213F">
        <w:t>ș</w:t>
      </w:r>
      <w:r>
        <w:t xml:space="preserve">tigurile sau pierderile din active </w:t>
      </w:r>
      <w:r w:rsidR="000C213F">
        <w:t>ș</w:t>
      </w:r>
      <w:r>
        <w:t>i datorii financiare de</w:t>
      </w:r>
      <w:r w:rsidR="000C213F">
        <w:t>ț</w:t>
      </w:r>
      <w:r>
        <w:t>inute în vederea tranzac</w:t>
      </w:r>
      <w:r w:rsidR="000C213F">
        <w:t>ț</w:t>
      </w:r>
      <w:r>
        <w:t xml:space="preserve">ionării sunt defalcate pe tipuri de instrumente; fiecare element din defalcare reprezintă cuantumul net realizat </w:t>
      </w:r>
      <w:r w:rsidR="000C213F">
        <w:t>ș</w:t>
      </w:r>
      <w:r>
        <w:t>i nerealizat (câ</w:t>
      </w:r>
      <w:r w:rsidR="000C213F">
        <w:t>ș</w:t>
      </w:r>
      <w:r>
        <w:t>tiguri minus pierderi) al instrumentului financiar.</w:t>
      </w:r>
    </w:p>
    <w:p w:rsidR="009569C7" w:rsidRPr="00EC4FA2" w:rsidRDefault="00A834F1" w:rsidP="009569C7">
      <w:pPr>
        <w:pStyle w:val="Baseparagraphnumbered"/>
      </w:pPr>
      <w:r>
        <w:t>Câ</w:t>
      </w:r>
      <w:r w:rsidR="000C213F">
        <w:t>ș</w:t>
      </w:r>
      <w:r>
        <w:t xml:space="preserve">tigurile </w:t>
      </w:r>
      <w:r w:rsidR="000C213F">
        <w:t>ș</w:t>
      </w:r>
      <w:r>
        <w:t>i pierderile din tranzac</w:t>
      </w:r>
      <w:r w:rsidR="000C213F">
        <w:t>ț</w:t>
      </w:r>
      <w:r>
        <w:t>ionarea în valută pe pia</w:t>
      </w:r>
      <w:r w:rsidR="000C213F">
        <w:t>ț</w:t>
      </w:r>
      <w:r>
        <w:t>a la vedere, cu excep</w:t>
      </w:r>
      <w:r w:rsidR="000C213F">
        <w:t>ț</w:t>
      </w:r>
      <w:r>
        <w:t xml:space="preserve">ia schimbului de bancnote </w:t>
      </w:r>
      <w:r w:rsidR="000C213F">
        <w:t>ș</w:t>
      </w:r>
      <w:r>
        <w:t>i monede străine, sunt de asemenea incluse la câ</w:t>
      </w:r>
      <w:r w:rsidR="000C213F">
        <w:t>ș</w:t>
      </w:r>
      <w:r>
        <w:t xml:space="preserve">tiguri </w:t>
      </w:r>
      <w:r w:rsidR="000C213F">
        <w:t>ș</w:t>
      </w:r>
      <w:r>
        <w:t>i pierderi din tranzac</w:t>
      </w:r>
      <w:r w:rsidR="000C213F">
        <w:t>ț</w:t>
      </w:r>
      <w:r>
        <w:t>ionare. Câ</w:t>
      </w:r>
      <w:r w:rsidR="000C213F">
        <w:t>ș</w:t>
      </w:r>
      <w:r>
        <w:t xml:space="preserve">tigurile </w:t>
      </w:r>
      <w:r w:rsidR="000C213F">
        <w:t>ș</w:t>
      </w:r>
      <w:r>
        <w:t>i pierderile din tranzac</w:t>
      </w:r>
      <w:r w:rsidR="000C213F">
        <w:t>ț</w:t>
      </w:r>
      <w:r>
        <w:t>ionarea sau din derecunoa</w:t>
      </w:r>
      <w:r w:rsidR="000C213F">
        <w:t>ș</w:t>
      </w:r>
      <w:r>
        <w:t xml:space="preserve">terea </w:t>
      </w:r>
      <w:r w:rsidR="000C213F">
        <w:t>ș</w:t>
      </w:r>
      <w:r>
        <w:t>i reevaluarea de metale pre</w:t>
      </w:r>
      <w:r w:rsidR="000C213F">
        <w:t>ț</w:t>
      </w:r>
      <w:r>
        <w:t>ioase nu sunt incluse la câ</w:t>
      </w:r>
      <w:r w:rsidR="000C213F">
        <w:t>ș</w:t>
      </w:r>
      <w:r>
        <w:t xml:space="preserve">tiguri </w:t>
      </w:r>
      <w:r w:rsidR="000C213F">
        <w:t>ș</w:t>
      </w:r>
      <w:r>
        <w:t>i pierderi din tranzac</w:t>
      </w:r>
      <w:r w:rsidR="000C213F">
        <w:t>ț</w:t>
      </w:r>
      <w:r>
        <w:t>ionare, ci la „alte venituri de exploatare” sau la „alte cheltuieli de func</w:t>
      </w:r>
      <w:r w:rsidR="000C213F">
        <w:t>ț</w:t>
      </w:r>
      <w:r>
        <w:t xml:space="preserve">ionare”, în conformitate cu punctul </w:t>
      </w:r>
      <w:r w:rsidRPr="004237EC">
        <w:t>316</w:t>
      </w:r>
      <w:r>
        <w:t xml:space="preserve"> din prezenta parte.</w:t>
      </w:r>
    </w:p>
    <w:p w:rsidR="009569C7" w:rsidRPr="00EC4FA2" w:rsidRDefault="00A834F1" w:rsidP="009569C7">
      <w:pPr>
        <w:pStyle w:val="Baseparagraphnumbered"/>
      </w:pPr>
      <w:r>
        <w:t>Elementul „din care: instrumente de acoperire economică împotriva riscurilor cu utilizarea op</w:t>
      </w:r>
      <w:r w:rsidR="000C213F">
        <w:t>ț</w:t>
      </w:r>
      <w:r>
        <w:t>iunii de evaluare la valoarea justă” include numai câ</w:t>
      </w:r>
      <w:r w:rsidR="000C213F">
        <w:t>ș</w:t>
      </w:r>
      <w:r>
        <w:t xml:space="preserve">tigurile </w:t>
      </w:r>
      <w:r w:rsidR="000C213F">
        <w:t>ș</w:t>
      </w:r>
      <w:r>
        <w:t xml:space="preserve">i pierderile din instrumentele derivate de credit evaluate la valoarea justă prin profit sau pierdere </w:t>
      </w:r>
      <w:r w:rsidR="000C213F">
        <w:t>ș</w:t>
      </w:r>
      <w:r>
        <w:t>i utilizate pentru a gestiona riscul de credit al unui instrument financiar, în totalitate sau al unei păr</w:t>
      </w:r>
      <w:r w:rsidR="000C213F">
        <w:t>ț</w:t>
      </w:r>
      <w:r>
        <w:t xml:space="preserve">i a acestuia, care este desemnat la valoarea justă prin profit sau pierdere cu această ocazie, în conformitate cu IFRS </w:t>
      </w:r>
      <w:r w:rsidRPr="004237EC">
        <w:t>9</w:t>
      </w:r>
      <w:r>
        <w:t xml:space="preserve"> punctul </w:t>
      </w:r>
      <w:r w:rsidRPr="004237EC">
        <w:t>6</w:t>
      </w:r>
      <w:r>
        <w:t>.</w:t>
      </w:r>
      <w:r w:rsidRPr="004237EC">
        <w:t>7</w:t>
      </w:r>
      <w:r>
        <w:t>. Câ</w:t>
      </w:r>
      <w:r w:rsidR="000C213F">
        <w:t>ș</w:t>
      </w:r>
      <w:r>
        <w:t xml:space="preserve">tigurile sau pierderile rezultate din reclasificarea activelor financiare din portofoliul contabil la costul amortizat în portofoliul contabil la valoarea justă prin profit sau pierdere ori în </w:t>
      </w:r>
      <w:r>
        <w:lastRenderedPageBreak/>
        <w:t>portofoliul de</w:t>
      </w:r>
      <w:r w:rsidR="000C213F">
        <w:t>ț</w:t>
      </w:r>
      <w:r>
        <w:t>inut în vederea tranzac</w:t>
      </w:r>
      <w:r w:rsidR="000C213F">
        <w:t>ț</w:t>
      </w:r>
      <w:r>
        <w:t xml:space="preserve">ionării [IFRS </w:t>
      </w:r>
      <w:r w:rsidRPr="004237EC">
        <w:t>9</w:t>
      </w:r>
      <w:r>
        <w:t xml:space="preserve"> punctul </w:t>
      </w:r>
      <w:r w:rsidRPr="004237EC">
        <w:t>5</w:t>
      </w:r>
      <w:r>
        <w:t>.</w:t>
      </w:r>
      <w:r w:rsidRPr="004237EC">
        <w:t>6</w:t>
      </w:r>
      <w:r>
        <w:t>.</w:t>
      </w:r>
      <w:r w:rsidRPr="004237EC">
        <w:t>2</w:t>
      </w:r>
      <w:r>
        <w:t>] se raportează la „din care: câ</w:t>
      </w:r>
      <w:r w:rsidR="000C213F">
        <w:t>ș</w:t>
      </w:r>
      <w:r>
        <w:t xml:space="preserve">tiguri </w:t>
      </w:r>
      <w:r w:rsidR="000C213F">
        <w:t>ș</w:t>
      </w:r>
      <w:r>
        <w:t>i pierderi rezultate din reclasificarea activelor la costul amortizat”.</w:t>
      </w:r>
    </w:p>
    <w:p w:rsidR="009569C7" w:rsidRPr="00EC4FA2" w:rsidRDefault="00A834F1" w:rsidP="009569C7">
      <w:pPr>
        <w:pStyle w:val="sub-subtitlenumbered"/>
        <w:jc w:val="both"/>
      </w:pPr>
      <w:bookmarkStart w:id="226" w:name="_Toc361844239"/>
      <w:bookmarkStart w:id="227" w:name="_Toc362359310"/>
      <w:bookmarkStart w:id="228" w:name="_Toc467855240"/>
      <w:bookmarkStart w:id="229" w:name="_Toc485897572"/>
      <w:r>
        <w:t>Câ</w:t>
      </w:r>
      <w:r w:rsidR="000C213F">
        <w:t>ș</w:t>
      </w:r>
      <w:r>
        <w:t xml:space="preserve">tiguri sau pierderi aferente activelor </w:t>
      </w:r>
      <w:r w:rsidR="000C213F">
        <w:t>ș</w:t>
      </w:r>
      <w:r>
        <w:t>i datoriilor financiare de</w:t>
      </w:r>
      <w:r w:rsidR="000C213F">
        <w:t>ț</w:t>
      </w:r>
      <w:r>
        <w:t>inute în vederea tranzac</w:t>
      </w:r>
      <w:r w:rsidR="000C213F">
        <w:t>ț</w:t>
      </w:r>
      <w:r>
        <w:t>ionării, defalcate pe tipuri de riscuri (</w:t>
      </w:r>
      <w:r w:rsidRPr="004237EC">
        <w:t>16</w:t>
      </w:r>
      <w:r>
        <w:t>.</w:t>
      </w:r>
      <w:r w:rsidRPr="004237EC">
        <w:t>4</w:t>
      </w:r>
      <w:r>
        <w:t>)</w:t>
      </w:r>
      <w:bookmarkEnd w:id="226"/>
      <w:bookmarkEnd w:id="227"/>
      <w:bookmarkEnd w:id="228"/>
      <w:bookmarkEnd w:id="229"/>
    </w:p>
    <w:p w:rsidR="009569C7" w:rsidRPr="00EC4FA2" w:rsidRDefault="00A834F1" w:rsidP="009569C7">
      <w:pPr>
        <w:pStyle w:val="Baseparagraphnumbered"/>
        <w:tabs>
          <w:tab w:val="left" w:pos="851"/>
        </w:tabs>
        <w:ind w:left="709"/>
      </w:pPr>
      <w:r>
        <w:t>Câ</w:t>
      </w:r>
      <w:r w:rsidR="000C213F">
        <w:t>ș</w:t>
      </w:r>
      <w:r>
        <w:t xml:space="preserve">tigurile </w:t>
      </w:r>
      <w:r w:rsidR="000C213F">
        <w:t>ș</w:t>
      </w:r>
      <w:r>
        <w:t xml:space="preserve">i pierderile aferente activelor financiare </w:t>
      </w:r>
      <w:r w:rsidR="000C213F">
        <w:t>ș</w:t>
      </w:r>
      <w:r>
        <w:t>i datoriilor financiare de</w:t>
      </w:r>
      <w:r w:rsidR="000C213F">
        <w:t>ț</w:t>
      </w:r>
      <w:r>
        <w:t>inute în vederea tranzac</w:t>
      </w:r>
      <w:r w:rsidR="000C213F">
        <w:t>ț</w:t>
      </w:r>
      <w:r>
        <w:t xml:space="preserve">ionării sunt, de asemenea, defalcate pe tipuri de riscuri; fiecare element din defalcare reprezintă cuantumul net realizat </w:t>
      </w:r>
      <w:r w:rsidR="000C213F">
        <w:t>ș</w:t>
      </w:r>
      <w:r>
        <w:t>i nerealizat (câ</w:t>
      </w:r>
      <w:r w:rsidR="000C213F">
        <w:t>ș</w:t>
      </w:r>
      <w:r>
        <w:t xml:space="preserve">tiguri minus pierderi) al riscului-suport (rată a dobânzii, titluri de capital, curs de schimb valutar, credit, mărfuri </w:t>
      </w:r>
      <w:r w:rsidR="000C213F">
        <w:t>ș</w:t>
      </w:r>
      <w:r>
        <w:t>i altele) asociat expunerii, inclusiv instrumentele derivate asociate. Câ</w:t>
      </w:r>
      <w:r w:rsidR="000C213F">
        <w:t>ș</w:t>
      </w:r>
      <w:r>
        <w:t xml:space="preserve">tigurile </w:t>
      </w:r>
      <w:r w:rsidR="000C213F">
        <w:t>ș</w:t>
      </w:r>
      <w:r>
        <w:t>i pierderile din diferen</w:t>
      </w:r>
      <w:r w:rsidR="000C213F">
        <w:t>ț</w:t>
      </w:r>
      <w:r>
        <w:t>ele de curs valutar se includ la elementul unde sunt incluse celelalte câ</w:t>
      </w:r>
      <w:r w:rsidR="000C213F">
        <w:t>ș</w:t>
      </w:r>
      <w:r>
        <w:t xml:space="preserve">tiguri </w:t>
      </w:r>
      <w:r w:rsidR="000C213F">
        <w:t>ș</w:t>
      </w:r>
      <w:r>
        <w:t>i pierderi rezultate din instrumentul convertit. Câ</w:t>
      </w:r>
      <w:r w:rsidR="000C213F">
        <w:t>ș</w:t>
      </w:r>
      <w:r>
        <w:t xml:space="preserve">tigurile </w:t>
      </w:r>
      <w:r w:rsidR="000C213F">
        <w:t>ș</w:t>
      </w:r>
      <w:r>
        <w:t xml:space="preserve">i pierderile aferente activelor financiare </w:t>
      </w:r>
      <w:r w:rsidR="000C213F">
        <w:t>ș</w:t>
      </w:r>
      <w:r>
        <w:t>i datoriilor financiare, altele decât instrumentele derivate, se includ în categoriile de riscuri după cum urmează:</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rata dobânzii: incluzând tranzac</w:t>
      </w:r>
      <w:r w:rsidR="000C213F">
        <w:rPr>
          <w:rFonts w:ascii="Times New Roman" w:hAnsi="Times New Roman"/>
          <w:sz w:val="24"/>
        </w:rPr>
        <w:t>ț</w:t>
      </w:r>
      <w:r>
        <w:rPr>
          <w:rFonts w:ascii="Times New Roman" w:hAnsi="Times New Roman"/>
          <w:sz w:val="24"/>
        </w:rPr>
        <w:t xml:space="preserve">ionarea de credite </w:t>
      </w:r>
      <w:r w:rsidR="000C213F">
        <w:rPr>
          <w:rFonts w:ascii="Times New Roman" w:hAnsi="Times New Roman"/>
          <w:sz w:val="24"/>
        </w:rPr>
        <w:t>ș</w:t>
      </w:r>
      <w:r>
        <w:rPr>
          <w:rFonts w:ascii="Times New Roman" w:hAnsi="Times New Roman"/>
          <w:sz w:val="24"/>
        </w:rPr>
        <w:t xml:space="preserve">i avansuri, depozite </w:t>
      </w:r>
      <w:r w:rsidR="000C213F">
        <w:rPr>
          <w:rFonts w:ascii="Times New Roman" w:hAnsi="Times New Roman"/>
          <w:sz w:val="24"/>
        </w:rPr>
        <w:t>ș</w:t>
      </w:r>
      <w:r>
        <w:rPr>
          <w:rFonts w:ascii="Times New Roman" w:hAnsi="Times New Roman"/>
          <w:sz w:val="24"/>
        </w:rPr>
        <w:t>i titluri de datorie (de</w:t>
      </w:r>
      <w:r w:rsidR="000C213F">
        <w:rPr>
          <w:rFonts w:ascii="Times New Roman" w:hAnsi="Times New Roman"/>
          <w:sz w:val="24"/>
        </w:rPr>
        <w:t>ț</w:t>
      </w:r>
      <w:r>
        <w:rPr>
          <w:rFonts w:ascii="Times New Roman" w:hAnsi="Times New Roman"/>
          <w:sz w:val="24"/>
        </w:rPr>
        <w:t>inute sau emise);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capitaluri proprii; incluzând tranzac</w:t>
      </w:r>
      <w:r w:rsidR="000C213F">
        <w:rPr>
          <w:rFonts w:ascii="Times New Roman" w:hAnsi="Times New Roman"/>
          <w:sz w:val="24"/>
        </w:rPr>
        <w:t>ț</w:t>
      </w:r>
      <w:r>
        <w:rPr>
          <w:rFonts w:ascii="Times New Roman" w:hAnsi="Times New Roman"/>
          <w:sz w:val="24"/>
        </w:rPr>
        <w:t>ionarea de ac</w:t>
      </w:r>
      <w:r w:rsidR="000C213F">
        <w:rPr>
          <w:rFonts w:ascii="Times New Roman" w:hAnsi="Times New Roman"/>
          <w:sz w:val="24"/>
        </w:rPr>
        <w:t>ț</w:t>
      </w:r>
      <w:r>
        <w:rPr>
          <w:rFonts w:ascii="Times New Roman" w:hAnsi="Times New Roman"/>
          <w:sz w:val="24"/>
        </w:rPr>
        <w:t xml:space="preserve">iuni, titluri de participare ale OPCVM </w:t>
      </w:r>
      <w:r w:rsidR="000C213F">
        <w:rPr>
          <w:rFonts w:ascii="Times New Roman" w:hAnsi="Times New Roman"/>
          <w:sz w:val="24"/>
        </w:rPr>
        <w:t>ș</w:t>
      </w:r>
      <w:r>
        <w:rPr>
          <w:rFonts w:ascii="Times New Roman" w:hAnsi="Times New Roman"/>
          <w:sz w:val="24"/>
        </w:rPr>
        <w:t>i alte instrumente de capitaluri proprii;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tranzac</w:t>
      </w:r>
      <w:r w:rsidR="000C213F">
        <w:rPr>
          <w:rFonts w:ascii="Times New Roman" w:hAnsi="Times New Roman"/>
          <w:sz w:val="24"/>
        </w:rPr>
        <w:t>ț</w:t>
      </w:r>
      <w:r>
        <w:rPr>
          <w:rFonts w:ascii="Times New Roman" w:hAnsi="Times New Roman"/>
          <w:sz w:val="24"/>
        </w:rPr>
        <w:t>ionare valutară: incluzând exclusiv tranzac</w:t>
      </w:r>
      <w:r w:rsidR="000C213F">
        <w:rPr>
          <w:rFonts w:ascii="Times New Roman" w:hAnsi="Times New Roman"/>
          <w:sz w:val="24"/>
        </w:rPr>
        <w:t>ț</w:t>
      </w:r>
      <w:r>
        <w:rPr>
          <w:rFonts w:ascii="Times New Roman" w:hAnsi="Times New Roman"/>
          <w:sz w:val="24"/>
        </w:rPr>
        <w:t>ionarea pe valute;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riscul de credit: incluzând tranzac</w:t>
      </w:r>
      <w:r w:rsidR="000C213F">
        <w:rPr>
          <w:rFonts w:ascii="Times New Roman" w:hAnsi="Times New Roman"/>
          <w:sz w:val="24"/>
        </w:rPr>
        <w:t>ț</w:t>
      </w:r>
      <w:r>
        <w:rPr>
          <w:rFonts w:ascii="Times New Roman" w:hAnsi="Times New Roman"/>
          <w:sz w:val="24"/>
        </w:rPr>
        <w:t>ionarea de instrumente de tipul credit link note;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mărfuri: acest element include numai instrumentele derivate deoarece câ</w:t>
      </w:r>
      <w:r w:rsidR="000C213F">
        <w:rPr>
          <w:rFonts w:ascii="Times New Roman" w:hAnsi="Times New Roman"/>
          <w:sz w:val="24"/>
        </w:rPr>
        <w:t>ș</w:t>
      </w:r>
      <w:r>
        <w:rPr>
          <w:rFonts w:ascii="Times New Roman" w:hAnsi="Times New Roman"/>
          <w:sz w:val="24"/>
        </w:rPr>
        <w:t xml:space="preserve">tigurile </w:t>
      </w:r>
      <w:r w:rsidR="000C213F">
        <w:rPr>
          <w:rFonts w:ascii="Times New Roman" w:hAnsi="Times New Roman"/>
          <w:sz w:val="24"/>
        </w:rPr>
        <w:t>ș</w:t>
      </w:r>
      <w:r>
        <w:rPr>
          <w:rFonts w:ascii="Times New Roman" w:hAnsi="Times New Roman"/>
          <w:sz w:val="24"/>
        </w:rPr>
        <w:t>i pierderile aferente mărfurilor de</w:t>
      </w:r>
      <w:r w:rsidR="000C213F">
        <w:rPr>
          <w:rFonts w:ascii="Times New Roman" w:hAnsi="Times New Roman"/>
          <w:sz w:val="24"/>
        </w:rPr>
        <w:t>ț</w:t>
      </w:r>
      <w:r>
        <w:rPr>
          <w:rFonts w:ascii="Times New Roman" w:hAnsi="Times New Roman"/>
          <w:sz w:val="24"/>
        </w:rPr>
        <w:t>inute în vederea tranzac</w:t>
      </w:r>
      <w:r w:rsidR="000C213F">
        <w:rPr>
          <w:rFonts w:ascii="Times New Roman" w:hAnsi="Times New Roman"/>
          <w:sz w:val="24"/>
        </w:rPr>
        <w:t>ț</w:t>
      </w:r>
      <w:r>
        <w:rPr>
          <w:rFonts w:ascii="Times New Roman" w:hAnsi="Times New Roman"/>
          <w:sz w:val="24"/>
        </w:rPr>
        <w:t xml:space="preserve">ionării se raportează la „alte venituri de exploatare” sau la „alte cheltuieli de exploatare”, în conformitate cu punctul </w:t>
      </w:r>
      <w:r w:rsidRPr="004237EC">
        <w:rPr>
          <w:rFonts w:ascii="Times New Roman" w:hAnsi="Times New Roman"/>
          <w:sz w:val="24"/>
        </w:rPr>
        <w:t>316</w:t>
      </w:r>
      <w:r>
        <w:rPr>
          <w:rFonts w:ascii="Times New Roman" w:hAnsi="Times New Roman"/>
          <w:sz w:val="24"/>
        </w:rPr>
        <w:t xml:space="preserve"> din prezenta parte;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altele: incluzând tranzac</w:t>
      </w:r>
      <w:r w:rsidR="000C213F">
        <w:rPr>
          <w:rFonts w:ascii="Times New Roman" w:hAnsi="Times New Roman"/>
          <w:sz w:val="24"/>
        </w:rPr>
        <w:t>ț</w:t>
      </w:r>
      <w:r>
        <w:rPr>
          <w:rFonts w:ascii="Times New Roman" w:hAnsi="Times New Roman"/>
          <w:sz w:val="24"/>
        </w:rPr>
        <w:t>ionarea de instrumente financiare care nu pot fi clasificate la alte elemente.</w:t>
      </w:r>
    </w:p>
    <w:p w:rsidR="009569C7" w:rsidRPr="00EC4FA2" w:rsidRDefault="00A834F1" w:rsidP="009569C7">
      <w:pPr>
        <w:pStyle w:val="sub-subtitlenumbered"/>
        <w:jc w:val="both"/>
      </w:pPr>
      <w:bookmarkStart w:id="230" w:name="_Toc467855241"/>
      <w:bookmarkStart w:id="231" w:name="_Toc485897573"/>
      <w:r>
        <w:t>Câ</w:t>
      </w:r>
      <w:r w:rsidR="000C213F">
        <w:t>ș</w:t>
      </w:r>
      <w:r>
        <w:t>tiguri sau pierderi aferente activelor financiare nedestinate tranzac</w:t>
      </w:r>
      <w:r w:rsidR="000C213F">
        <w:t>ț</w:t>
      </w:r>
      <w:r>
        <w:t>ionării, evaluate obligatoriu la valoarea justă prin profit sau pierdere, defalcate pe instrumente (</w:t>
      </w:r>
      <w:r w:rsidRPr="004237EC">
        <w:t>16</w:t>
      </w:r>
      <w:r>
        <w:t>.</w:t>
      </w:r>
      <w:r w:rsidRPr="004237EC">
        <w:t>4</w:t>
      </w:r>
      <w:r>
        <w:t>.</w:t>
      </w:r>
      <w:r w:rsidRPr="004237EC">
        <w:t>1</w:t>
      </w:r>
      <w:r>
        <w:t>)</w:t>
      </w:r>
      <w:bookmarkEnd w:id="230"/>
      <w:bookmarkEnd w:id="231"/>
    </w:p>
    <w:p w:rsidR="009569C7" w:rsidRPr="00EC4FA2" w:rsidRDefault="00A834F1" w:rsidP="009569C7">
      <w:pPr>
        <w:pStyle w:val="Baseparagraphnumbered"/>
        <w:tabs>
          <w:tab w:val="left" w:pos="851"/>
        </w:tabs>
        <w:ind w:left="709"/>
      </w:pPr>
      <w:r>
        <w:t>Câ</w:t>
      </w:r>
      <w:r w:rsidR="000C213F">
        <w:t>ș</w:t>
      </w:r>
      <w:r>
        <w:t xml:space="preserve">tigurile </w:t>
      </w:r>
      <w:r w:rsidR="000C213F">
        <w:t>ș</w:t>
      </w:r>
      <w:r>
        <w:t>i pierderile aferente activelor financiare nedestinate tranzac</w:t>
      </w:r>
      <w:r w:rsidR="000C213F">
        <w:t>ț</w:t>
      </w:r>
      <w:r>
        <w:t xml:space="preserve">ionării, evaluate obligatoriu la valoarea justă prin profit sau pierdere sunt defalcate pe tipuri de instrumente; fiecare element din defalcare reprezintă cuantumul net realizat </w:t>
      </w:r>
      <w:r w:rsidR="000C213F">
        <w:t>ș</w:t>
      </w:r>
      <w:r>
        <w:t>i nerealizat (câ</w:t>
      </w:r>
      <w:r w:rsidR="000C213F">
        <w:t>ș</w:t>
      </w:r>
      <w:r>
        <w:t>tiguri minus pierderi) al instrumentului financiar.</w:t>
      </w:r>
    </w:p>
    <w:p w:rsidR="009569C7" w:rsidRPr="00EC4FA2" w:rsidRDefault="00A834F1" w:rsidP="009569C7">
      <w:pPr>
        <w:pStyle w:val="Baseparagraphnumbered"/>
        <w:tabs>
          <w:tab w:val="left" w:pos="567"/>
        </w:tabs>
      </w:pPr>
      <w:r>
        <w:t>Câ</w:t>
      </w:r>
      <w:r w:rsidR="000C213F">
        <w:t>ș</w:t>
      </w:r>
      <w:r>
        <w:t>tigurile sau pierderile rezultate din reclasificarea activelor financiare din portofoliul contabil la costul amortizat în portofoliul contabil al activelor financiare nedestinate tranzac</w:t>
      </w:r>
      <w:r w:rsidR="000C213F">
        <w:t>ț</w:t>
      </w:r>
      <w:r>
        <w:t xml:space="preserve">ionării, evaluate obligatoriu la valoarea justă prin profit sau pierdere [IFRS </w:t>
      </w:r>
      <w:r w:rsidRPr="004237EC">
        <w:t>9</w:t>
      </w:r>
      <w:r>
        <w:t xml:space="preserve"> punctul </w:t>
      </w:r>
      <w:r w:rsidRPr="004237EC">
        <w:t>5</w:t>
      </w:r>
      <w:r>
        <w:t>.</w:t>
      </w:r>
      <w:r w:rsidRPr="004237EC">
        <w:t>6</w:t>
      </w:r>
      <w:r>
        <w:t>.</w:t>
      </w:r>
      <w:r w:rsidRPr="004237EC">
        <w:t>2</w:t>
      </w:r>
      <w:r>
        <w:t xml:space="preserve">] se raportează la </w:t>
      </w:r>
      <w:r>
        <w:lastRenderedPageBreak/>
        <w:t>„din care: câ</w:t>
      </w:r>
      <w:r w:rsidR="000C213F">
        <w:t>ș</w:t>
      </w:r>
      <w:r>
        <w:t xml:space="preserve">tiguri </w:t>
      </w:r>
      <w:r w:rsidR="000C213F">
        <w:t>ș</w:t>
      </w:r>
      <w:r>
        <w:t>i pierderi rezultate din reclasificarea activelor la costul amortizat”.</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485897574"/>
      <w:r>
        <w:t>Câ</w:t>
      </w:r>
      <w:r w:rsidR="000C213F">
        <w:t>ș</w:t>
      </w:r>
      <w:r>
        <w:t xml:space="preserve">tiguri sau pierderi aferente activelor </w:t>
      </w:r>
      <w:r w:rsidR="000C213F">
        <w:t>ș</w:t>
      </w:r>
      <w:r>
        <w:t>i datoriilor financiare desemnate la valoarea justă prin profit sau pierdere, defalcate pe instrumente (</w:t>
      </w:r>
      <w:r w:rsidRPr="004237EC">
        <w:t>16</w:t>
      </w:r>
      <w:r>
        <w:t>.</w:t>
      </w:r>
      <w:r w:rsidRPr="004237EC">
        <w:t>5</w:t>
      </w:r>
      <w:r>
        <w:t>)</w:t>
      </w:r>
      <w:bookmarkEnd w:id="232"/>
      <w:bookmarkEnd w:id="233"/>
      <w:bookmarkEnd w:id="234"/>
      <w:bookmarkEnd w:id="235"/>
    </w:p>
    <w:p w:rsidR="009569C7" w:rsidRPr="00EC4FA2" w:rsidRDefault="00A834F1" w:rsidP="009569C7">
      <w:pPr>
        <w:pStyle w:val="Baseparagraphnumbered"/>
        <w:tabs>
          <w:tab w:val="left" w:pos="851"/>
        </w:tabs>
        <w:ind w:left="709"/>
      </w:pPr>
      <w:r>
        <w:t>Câ</w:t>
      </w:r>
      <w:r w:rsidR="000C213F">
        <w:t>ș</w:t>
      </w:r>
      <w:r>
        <w:t xml:space="preserve">tigurile </w:t>
      </w:r>
      <w:r w:rsidR="000C213F">
        <w:t>ș</w:t>
      </w:r>
      <w:r>
        <w:t xml:space="preserve">i pierderile aferente activelor </w:t>
      </w:r>
      <w:r w:rsidR="000C213F">
        <w:t>ș</w:t>
      </w:r>
      <w:r>
        <w:t>i datoriilor financiare desemnate la valoarea justă prin profit sau pierdere sunt defalcate pe tipuri de instrumente. Institu</w:t>
      </w:r>
      <w:r w:rsidR="000C213F">
        <w:t>ț</w:t>
      </w:r>
      <w:r>
        <w:t>iile raportează câ</w:t>
      </w:r>
      <w:r w:rsidR="000C213F">
        <w:t>ș</w:t>
      </w:r>
      <w:r>
        <w:t xml:space="preserve">tigurile sau pierderile nete realizate </w:t>
      </w:r>
      <w:r w:rsidR="000C213F">
        <w:t>ș</w:t>
      </w:r>
      <w:r>
        <w:t xml:space="preserve">i nerealizate </w:t>
      </w:r>
      <w:r w:rsidR="000C213F">
        <w:t>ș</w:t>
      </w:r>
      <w:r>
        <w:t>i cuantumul modificării valorii juste a datoriilor financiare în cursul perioadei ca urmare a modificărilor riscului de credit (riscul de credit propriu al împrumutatului sau al emitentului) în cazul în care propriul risc de credit nu se raportează în cadrul altor elemente ale rezultatului global.</w:t>
      </w:r>
    </w:p>
    <w:p w:rsidR="009569C7" w:rsidRPr="00EC4FA2" w:rsidRDefault="00A834F1" w:rsidP="009569C7">
      <w:pPr>
        <w:pStyle w:val="Baseparagraphnumbered"/>
      </w:pPr>
      <w:r>
        <w:t>În cazul în care un instrument de credit derivat evaluat la valoarea justă este utilizat pentru a gestiona riscul de credit al unui instrument financiar, în totalitate sau al unei păr</w:t>
      </w:r>
      <w:r w:rsidR="000C213F">
        <w:t>ț</w:t>
      </w:r>
      <w:r>
        <w:t>i a acestuia, care este desemnat la valoarea justă prin profit sau pierdere cu această ocazie, câ</w:t>
      </w:r>
      <w:r w:rsidR="000C213F">
        <w:t>ș</w:t>
      </w:r>
      <w:r>
        <w:t>tigurile sau pierderile aferente instrumentului financiar la această desemnare se raportează la „din care: câ</w:t>
      </w:r>
      <w:r w:rsidR="000C213F">
        <w:t>ș</w:t>
      </w:r>
      <w:r>
        <w:t xml:space="preserve">tiguri sau (–) pierderi la desemnarea activelor </w:t>
      </w:r>
      <w:r w:rsidR="000C213F">
        <w:t>ș</w:t>
      </w:r>
      <w:r>
        <w:t>i datoriilor financiare ca fiind evaluate la valoarea justă prin profit sau pierdere în scopuri de acoperire împotriva riscurilor – net”. Câ</w:t>
      </w:r>
      <w:r w:rsidR="000C213F">
        <w:t>ș</w:t>
      </w:r>
      <w:r>
        <w:t>tigurile sau pierderile ulterioare ale valorii juste aferente acestor instrumente financiare se raportează la „din care: câ</w:t>
      </w:r>
      <w:r w:rsidR="000C213F">
        <w:t>ș</w:t>
      </w:r>
      <w:r>
        <w:t xml:space="preserve">tiguri sau (–) pierderi după desemnarea activelor </w:t>
      </w:r>
      <w:r w:rsidR="000C213F">
        <w:t>ș</w:t>
      </w:r>
      <w:r>
        <w:t>i datoriilor financiare ca fiind evaluate la valoarea justă prin profit sau pierdere în scopuri de acoperire împotriva riscurilor – net”.</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485897575"/>
      <w:r>
        <w:t>Câ</w:t>
      </w:r>
      <w:r w:rsidR="000C213F">
        <w:t>ș</w:t>
      </w:r>
      <w:r>
        <w:t>tiguri sau pierderi din contabilitatea de acoperire împotriva riscurilor (</w:t>
      </w:r>
      <w:r w:rsidRPr="004237EC">
        <w:t>16</w:t>
      </w:r>
      <w:r>
        <w:t>.</w:t>
      </w:r>
      <w:r w:rsidRPr="004237EC">
        <w:t>6</w:t>
      </w:r>
      <w:r>
        <w:t>)</w:t>
      </w:r>
      <w:bookmarkEnd w:id="236"/>
      <w:bookmarkEnd w:id="237"/>
      <w:bookmarkEnd w:id="238"/>
      <w:bookmarkEnd w:id="239"/>
    </w:p>
    <w:p w:rsidR="009569C7" w:rsidRPr="00EC4FA2" w:rsidRDefault="00A834F1" w:rsidP="009569C7">
      <w:pPr>
        <w:pStyle w:val="Baseparagraphnumbered"/>
      </w:pPr>
      <w:r>
        <w:t>Toate câ</w:t>
      </w:r>
      <w:r w:rsidR="000C213F">
        <w:t>ș</w:t>
      </w:r>
      <w:r>
        <w:t xml:space="preserve">tigurile </w:t>
      </w:r>
      <w:r w:rsidR="000C213F">
        <w:t>ș</w:t>
      </w:r>
      <w:r>
        <w:t>i pierderile din contabilitatea de acoperire împotriva riscurilor, cu excep</w:t>
      </w:r>
      <w:r w:rsidR="000C213F">
        <w:t>ț</w:t>
      </w:r>
      <w:r>
        <w:t>ia veniturilor din dobânzi sau a cheltuielilor cu dobânzile în cazul în care se utilizează pre</w:t>
      </w:r>
      <w:r w:rsidR="000C213F">
        <w:t>ț</w:t>
      </w:r>
      <w:r>
        <w:t xml:space="preserve">ul curat, sunt defalcate pe tipuri de contabilitate de acoperire împotriva riscurilor: acoperirea valorii juste, acoperirea fluxurilor de numerar </w:t>
      </w:r>
      <w:r w:rsidR="000C213F">
        <w:t>ș</w:t>
      </w:r>
      <w:r>
        <w:t>i acoperirea investi</w:t>
      </w:r>
      <w:r w:rsidR="000C213F">
        <w:t>ț</w:t>
      </w:r>
      <w:r>
        <w:t>iilor nete în opera</w:t>
      </w:r>
      <w:r w:rsidR="000C213F">
        <w:t>ț</w:t>
      </w:r>
      <w:r>
        <w:t>iuni din străinătate. Câ</w:t>
      </w:r>
      <w:r w:rsidR="000C213F">
        <w:t>ș</w:t>
      </w:r>
      <w:r>
        <w:t xml:space="preserve">tigurile </w:t>
      </w:r>
      <w:r w:rsidR="000C213F">
        <w:t>ș</w:t>
      </w:r>
      <w:r>
        <w:t xml:space="preserve">i pierderile aferente acoperirii valorii juste sunt repartizate între instrumentul de acoperire </w:t>
      </w:r>
      <w:r w:rsidR="000C213F">
        <w:t>ș</w:t>
      </w:r>
      <w:r>
        <w:t>i elementul acoperit. Câ</w:t>
      </w:r>
      <w:r w:rsidR="000C213F">
        <w:t>ș</w:t>
      </w:r>
      <w:r>
        <w:t xml:space="preserve">tigurile </w:t>
      </w:r>
      <w:r w:rsidR="000C213F">
        <w:t>ș</w:t>
      </w:r>
      <w:r>
        <w:t>i pierderile aferente instrumentelor de acoperire împotriva riscurilor nu includ câ</w:t>
      </w:r>
      <w:r w:rsidR="000C213F">
        <w:t>ș</w:t>
      </w:r>
      <w:r>
        <w:t xml:space="preserve">tigurile </w:t>
      </w:r>
      <w:r w:rsidR="000C213F">
        <w:t>ș</w:t>
      </w:r>
      <w:r>
        <w:t xml:space="preserve">i pierderile legate de elemente ale instrumentelor de acoperire împotriva riscurilor care nu sunt desemnate ca instrumente de acoperire împotriva riscurilor în conformitate cu IFRS </w:t>
      </w:r>
      <w:r w:rsidRPr="004237EC">
        <w:t>9</w:t>
      </w:r>
      <w:r>
        <w:t xml:space="preserve"> punctul </w:t>
      </w:r>
      <w:r w:rsidRPr="004237EC">
        <w:t>6</w:t>
      </w:r>
      <w:r>
        <w:t>.</w:t>
      </w:r>
      <w:r w:rsidRPr="004237EC">
        <w:t>2</w:t>
      </w:r>
      <w:r>
        <w:t>.</w:t>
      </w:r>
      <w:r w:rsidRPr="004237EC">
        <w:t>4</w:t>
      </w:r>
      <w:r>
        <w:t xml:space="preserve">. Aceste instrumente nedesemnate de acoperire împotriva riscurilor se raportează în conformitate cu punctul </w:t>
      </w:r>
      <w:r w:rsidRPr="004237EC">
        <w:t>60</w:t>
      </w:r>
      <w:r>
        <w:t xml:space="preserve"> din prezenta parte. Câ</w:t>
      </w:r>
      <w:r w:rsidR="000C213F">
        <w:t>ș</w:t>
      </w:r>
      <w:r>
        <w:t xml:space="preserve">tigurile </w:t>
      </w:r>
      <w:r w:rsidR="000C213F">
        <w:t>ș</w:t>
      </w:r>
      <w:r>
        <w:t>i pierderile rezultate din contabilitatea de acoperire împotriva riscurilor includ, de asemenea, câ</w:t>
      </w:r>
      <w:r w:rsidR="000C213F">
        <w:t>ș</w:t>
      </w:r>
      <w:r>
        <w:t xml:space="preserve">tigurile </w:t>
      </w:r>
      <w:r w:rsidR="000C213F">
        <w:t>ș</w:t>
      </w:r>
      <w:r>
        <w:t>i pierderile aferente opera</w:t>
      </w:r>
      <w:r w:rsidR="000C213F">
        <w:t>ț</w:t>
      </w:r>
      <w:r>
        <w:t>iunilor de acoperire a unui grup de elemente cu pozi</w:t>
      </w:r>
      <w:r w:rsidR="000C213F">
        <w:t>ț</w:t>
      </w:r>
      <w:r>
        <w:t>ii de compensare a riscurilor (opera</w:t>
      </w:r>
      <w:r w:rsidR="000C213F">
        <w:t>ț</w:t>
      </w:r>
      <w:r>
        <w:t>iuni de acoperire a unei pozi</w:t>
      </w:r>
      <w:r w:rsidR="000C213F">
        <w:t>ț</w:t>
      </w:r>
      <w:r>
        <w:t xml:space="preserve">ii nete). </w:t>
      </w:r>
    </w:p>
    <w:p w:rsidR="009569C7" w:rsidRPr="00EC4FA2" w:rsidRDefault="00A834F1" w:rsidP="009569C7">
      <w:pPr>
        <w:pStyle w:val="Baseparagraphnumbered"/>
      </w:pPr>
      <w:r>
        <w:t>„Modificările valorii juste a elementelor acoperite împotriva riscurilor atribuibile riscului acoperit” includ, de asemenea, câ</w:t>
      </w:r>
      <w:r w:rsidR="000C213F">
        <w:t>ș</w:t>
      </w:r>
      <w:r>
        <w:t xml:space="preserve">tigurile </w:t>
      </w:r>
      <w:r w:rsidR="000C213F">
        <w:t>ș</w:t>
      </w:r>
      <w:r>
        <w:t xml:space="preserve">i pierderile </w:t>
      </w:r>
      <w:r>
        <w:lastRenderedPageBreak/>
        <w:t xml:space="preserve">aferente elementelor acoperite împotriva riscurilor în cazul în care elementele respective sunt instrumente de datorie evaluate la valoarea justă prin alte elemente ale rezultatului global în conformitate cu IFRS </w:t>
      </w:r>
      <w:r w:rsidRPr="004237EC">
        <w:t>9</w:t>
      </w:r>
      <w:r>
        <w:t xml:space="preserve"> punctul </w:t>
      </w:r>
      <w:r w:rsidRPr="004237EC">
        <w:t>4</w:t>
      </w:r>
      <w:r>
        <w:t>.</w:t>
      </w:r>
      <w:r w:rsidRPr="004237EC">
        <w:t>1</w:t>
      </w:r>
      <w:r>
        <w:t>.</w:t>
      </w:r>
      <w:r w:rsidRPr="004237EC">
        <w:t>2</w:t>
      </w:r>
      <w:r>
        <w:t xml:space="preserve">A [IFRS </w:t>
      </w:r>
      <w:r w:rsidRPr="004237EC">
        <w:t>9</w:t>
      </w:r>
      <w:r>
        <w:t xml:space="preserve"> punctul </w:t>
      </w:r>
      <w:r w:rsidRPr="004237EC">
        <w:t>6</w:t>
      </w:r>
      <w:r>
        <w:t>.</w:t>
      </w:r>
      <w:r w:rsidRPr="004237EC">
        <w:t>5</w:t>
      </w:r>
      <w:r>
        <w:t>.</w:t>
      </w:r>
      <w:r w:rsidRPr="004237EC">
        <w:t>8</w:t>
      </w:r>
      <w:r>
        <w:t>].</w:t>
      </w:r>
    </w:p>
    <w:p w:rsidR="009569C7" w:rsidRPr="00EC4FA2" w:rsidRDefault="00A834F1" w:rsidP="009569C7">
      <w:pPr>
        <w:pStyle w:val="Baseparagraphnumbered"/>
      </w:pPr>
      <w:r>
        <w:t>Conform GAAP na</w:t>
      </w:r>
      <w:r w:rsidR="000C213F">
        <w:t>ț</w:t>
      </w:r>
      <w:r>
        <w:t>ionale bazate pe BAD, defalcarea pe tipuri de acoperire împotriva riscurilor, astfel cum este prevăzută în acest formular, se raportează în măsura în care defalcarea este compatibilă cu cerin</w:t>
      </w:r>
      <w:r w:rsidR="000C213F">
        <w:t>ț</w:t>
      </w:r>
      <w:r>
        <w:t>ele contabile aplicabile.</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485897576"/>
      <w:r>
        <w:rPr>
          <w:caps/>
        </w:rPr>
        <w:t>D</w:t>
      </w:r>
      <w:r>
        <w:t>eprecierea activelor nefinanciare (</w:t>
      </w:r>
      <w:r w:rsidRPr="004237EC">
        <w:t>16</w:t>
      </w:r>
      <w:r>
        <w:t>.</w:t>
      </w:r>
      <w:r w:rsidRPr="004237EC">
        <w:t>7</w:t>
      </w:r>
      <w:r>
        <w:t>)</w:t>
      </w:r>
      <w:bookmarkEnd w:id="240"/>
      <w:bookmarkEnd w:id="241"/>
      <w:bookmarkEnd w:id="242"/>
      <w:bookmarkEnd w:id="243"/>
    </w:p>
    <w:p w:rsidR="009569C7" w:rsidRPr="00EC4FA2" w:rsidRDefault="00A834F1" w:rsidP="009569C7">
      <w:pPr>
        <w:pStyle w:val="Baseparagraphnumbered"/>
        <w:tabs>
          <w:tab w:val="left" w:pos="851"/>
        </w:tabs>
        <w:ind w:left="709"/>
      </w:pPr>
      <w:r>
        <w:t>„Cre</w:t>
      </w:r>
      <w:r w:rsidR="000C213F">
        <w:t>ș</w:t>
      </w:r>
      <w:r>
        <w:t>terile” se raportează în cazul în care, pentru portofoliul contabil sau categoria principală de active, estimarea deprecierii aferente perioadei conduce la recunoa</w:t>
      </w:r>
      <w:r w:rsidR="000C213F">
        <w:t>ș</w:t>
      </w:r>
      <w:r>
        <w:t>terea unor cheltuieli nete. „Reluările” se raportează în cazul în care, pentru portofoliul contabil sau categoria principală de active, estimarea deprecierii aferente perioadei conduce la recunoa</w:t>
      </w:r>
      <w:r w:rsidR="000C213F">
        <w:t>ș</w:t>
      </w:r>
      <w:r>
        <w:t>terea unor venituri nete.</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485897577"/>
      <w:r>
        <w:t xml:space="preserve">Reconciliere între perimetrul de consolidare contabil </w:t>
      </w:r>
      <w:r w:rsidR="000C213F">
        <w:t>ș</w:t>
      </w:r>
      <w:r>
        <w:t>i perimetrul de consolidare CRR (</w:t>
      </w:r>
      <w:r w:rsidRPr="004237EC">
        <w:t>17</w:t>
      </w:r>
      <w:r>
        <w:t>)</w:t>
      </w:r>
      <w:bookmarkEnd w:id="244"/>
      <w:bookmarkEnd w:id="245"/>
      <w:bookmarkEnd w:id="246"/>
      <w:bookmarkEnd w:id="247"/>
    </w:p>
    <w:p w:rsidR="009569C7" w:rsidRPr="00EC4FA2" w:rsidRDefault="00A834F1" w:rsidP="009569C7">
      <w:pPr>
        <w:pStyle w:val="Baseparagraphnumbered"/>
        <w:tabs>
          <w:tab w:val="left" w:pos="851"/>
        </w:tabs>
        <w:ind w:left="709"/>
      </w:pPr>
      <w:r>
        <w:t xml:space="preserve">„Perimetrul de consolidare contabil” include valoarea contabilă a activelor, datoriilor </w:t>
      </w:r>
      <w:r w:rsidR="000C213F">
        <w:t>ș</w:t>
      </w:r>
      <w:r>
        <w:t xml:space="preserve">i capitalurilor proprii, precum </w:t>
      </w:r>
      <w:r w:rsidR="000C213F">
        <w:t>ș</w:t>
      </w:r>
      <w:r>
        <w:t>i valorile nominale ale expunerilor extrabilan</w:t>
      </w:r>
      <w:r w:rsidR="000C213F">
        <w:t>ț</w:t>
      </w:r>
      <w:r>
        <w:t>iere ob</w:t>
      </w:r>
      <w:r w:rsidR="000C213F">
        <w:t>ț</w:t>
      </w:r>
      <w:r>
        <w:t xml:space="preserve">inute folosindu-se perimetrul de consolidare contabil, </w:t>
      </w:r>
      <w:r w:rsidR="000C213F">
        <w:t>ș</w:t>
      </w:r>
      <w:r>
        <w:t>i anume, incluzând în consolidare filiale care sunt societă</w:t>
      </w:r>
      <w:r w:rsidR="000C213F">
        <w:t>ț</w:t>
      </w:r>
      <w:r>
        <w:t xml:space="preserve">i de asigurări </w:t>
      </w:r>
      <w:r w:rsidR="000C213F">
        <w:t>ș</w:t>
      </w:r>
      <w:r>
        <w:t>i societă</w:t>
      </w:r>
      <w:r w:rsidR="000C213F">
        <w:t>ț</w:t>
      </w:r>
      <w:r>
        <w:t>i nefinanciare. Institu</w:t>
      </w:r>
      <w:r w:rsidR="000C213F">
        <w:t>ț</w:t>
      </w:r>
      <w:r>
        <w:t>iile transmit raportări privind filialele, asocierile în participa</w:t>
      </w:r>
      <w:r w:rsidR="000C213F">
        <w:t>ț</w:t>
      </w:r>
      <w:r>
        <w:t xml:space="preserve">ie </w:t>
      </w:r>
      <w:r w:rsidR="000C213F">
        <w:t>ș</w:t>
      </w:r>
      <w:r>
        <w:t>i entită</w:t>
      </w:r>
      <w:r w:rsidR="000C213F">
        <w:t>ț</w:t>
      </w:r>
      <w:r>
        <w:t>ile asociate folosind aceea</w:t>
      </w:r>
      <w:r w:rsidR="000C213F">
        <w:t>ș</w:t>
      </w:r>
      <w:r>
        <w:t xml:space="preserve">i metodă ca </w:t>
      </w:r>
      <w:r w:rsidR="000C213F">
        <w:t>ș</w:t>
      </w:r>
      <w:r>
        <w:t>i în situa</w:t>
      </w:r>
      <w:r w:rsidR="000C213F">
        <w:t>ț</w:t>
      </w:r>
      <w:r>
        <w:t>iile financiare.</w:t>
      </w:r>
    </w:p>
    <w:p w:rsidR="009569C7" w:rsidRPr="00EC4FA2" w:rsidRDefault="00A834F1" w:rsidP="009569C7">
      <w:pPr>
        <w:pStyle w:val="Baseparagraphnumbered"/>
        <w:tabs>
          <w:tab w:val="left" w:pos="851"/>
        </w:tabs>
        <w:ind w:left="709"/>
      </w:pPr>
      <w:r>
        <w:t>În acest formular, elementul „investi</w:t>
      </w:r>
      <w:r w:rsidR="000C213F">
        <w:t>ț</w:t>
      </w:r>
      <w:r>
        <w:t>ii în filiale, asocieri în participa</w:t>
      </w:r>
      <w:r w:rsidR="000C213F">
        <w:t>ț</w:t>
      </w:r>
      <w:r>
        <w:t xml:space="preserve">ie </w:t>
      </w:r>
      <w:r w:rsidR="000C213F">
        <w:t>ș</w:t>
      </w:r>
      <w:r>
        <w:t>i entită</w:t>
      </w:r>
      <w:r w:rsidR="000C213F">
        <w:t>ț</w:t>
      </w:r>
      <w:r>
        <w:t xml:space="preserve">i asociate” nu include filialele deoarece, conform perimetrului de consolidare contabil, toate filialele sunt consolidate prin metoda consolidării globale. </w:t>
      </w:r>
    </w:p>
    <w:p w:rsidR="009569C7" w:rsidRPr="00EC4FA2" w:rsidRDefault="00A834F1" w:rsidP="009569C7">
      <w:pPr>
        <w:pStyle w:val="Baseparagraphnumbered"/>
        <w:tabs>
          <w:tab w:val="left" w:pos="851"/>
        </w:tabs>
        <w:ind w:left="709"/>
      </w:pPr>
      <w:r>
        <w:t xml:space="preserve">„Activele asociate contractelor de asigurare </w:t>
      </w:r>
      <w:r w:rsidR="000C213F">
        <w:t>ș</w:t>
      </w:r>
      <w:r>
        <w:t xml:space="preserve">i de reasigurare” includ activele din cadrul contractelor de reasigurare cedate, precum </w:t>
      </w:r>
      <w:r w:rsidR="000C213F">
        <w:t>ș</w:t>
      </w:r>
      <w:r>
        <w:t xml:space="preserve">i, dacă este cazul, activele aferente contractelor de asigurare </w:t>
      </w:r>
      <w:r w:rsidR="000C213F">
        <w:t>ș</w:t>
      </w:r>
      <w:r>
        <w:t>i de reasigurare emise.</w:t>
      </w:r>
    </w:p>
    <w:p w:rsidR="009569C7" w:rsidRPr="00EC4FA2" w:rsidRDefault="00A834F1" w:rsidP="009569C7">
      <w:pPr>
        <w:pStyle w:val="Baseparagraphnumbered"/>
        <w:tabs>
          <w:tab w:val="left" w:pos="851"/>
        </w:tabs>
        <w:ind w:left="709"/>
      </w:pPr>
      <w:r>
        <w:t xml:space="preserve">„Datoriile asociate contractelor de asigurare </w:t>
      </w:r>
      <w:r w:rsidR="000C213F">
        <w:t>ș</w:t>
      </w:r>
      <w:r>
        <w:t xml:space="preserve">i de reasigurare” includ datoriile aferente contractelor de asigurare </w:t>
      </w:r>
      <w:r w:rsidR="000C213F">
        <w:t>ș</w:t>
      </w:r>
      <w:r>
        <w:t>i de reasigurare emise.</w:t>
      </w:r>
    </w:p>
    <w:p w:rsidR="009569C7" w:rsidRPr="00EC4FA2" w:rsidRDefault="00A834F1" w:rsidP="009569C7">
      <w:pPr>
        <w:pStyle w:val="subtitlenumbered"/>
        <w:jc w:val="both"/>
      </w:pPr>
      <w:bookmarkStart w:id="248" w:name="_Toc467855246"/>
      <w:bookmarkStart w:id="249" w:name="_Toc485897578"/>
      <w:r>
        <w:t>Expuneri neperformante (</w:t>
      </w:r>
      <w:r w:rsidRPr="004237EC">
        <w:t>18</w:t>
      </w:r>
      <w:r>
        <w:t>)</w:t>
      </w:r>
      <w:bookmarkEnd w:id="248"/>
      <w:bookmarkEnd w:id="249"/>
    </w:p>
    <w:p w:rsidR="009569C7" w:rsidRPr="00EC4FA2" w:rsidRDefault="00A834F1" w:rsidP="009569C7">
      <w:pPr>
        <w:pStyle w:val="Baseparagraphnumbered"/>
        <w:tabs>
          <w:tab w:val="left" w:pos="851"/>
        </w:tabs>
        <w:ind w:left="709"/>
      </w:pPr>
      <w:r>
        <w:t xml:space="preserve">În sensul formularului </w:t>
      </w:r>
      <w:r w:rsidRPr="004237EC">
        <w:t>18</w:t>
      </w:r>
      <w:r>
        <w:t>, expunerile neperformante sunt cele care îndeplinesc oricare dintre următoarele criterii:</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sunt expuneri semnificative cu scaden</w:t>
      </w:r>
      <w:r w:rsidR="000C213F">
        <w:rPr>
          <w:rFonts w:ascii="Times New Roman" w:hAnsi="Times New Roman"/>
          <w:sz w:val="24"/>
        </w:rPr>
        <w:t>ț</w:t>
      </w:r>
      <w:r>
        <w:rPr>
          <w:rFonts w:ascii="Times New Roman" w:hAnsi="Times New Roman"/>
          <w:sz w:val="24"/>
        </w:rPr>
        <w:t>a depă</w:t>
      </w:r>
      <w:r w:rsidR="000C213F">
        <w:rPr>
          <w:rFonts w:ascii="Times New Roman" w:hAnsi="Times New Roman"/>
          <w:sz w:val="24"/>
        </w:rPr>
        <w:t>ș</w:t>
      </w:r>
      <w:r>
        <w:rPr>
          <w:rFonts w:ascii="Times New Roman" w:hAnsi="Times New Roman"/>
          <w:sz w:val="24"/>
        </w:rPr>
        <w:t xml:space="preserve">ită cu peste </w:t>
      </w:r>
      <w:r w:rsidRPr="004237EC">
        <w:rPr>
          <w:rFonts w:ascii="Times New Roman" w:hAnsi="Times New Roman"/>
          <w:sz w:val="24"/>
        </w:rPr>
        <w:t>90</w:t>
      </w:r>
      <w:r>
        <w:rPr>
          <w:rFonts w:ascii="Times New Roman" w:hAnsi="Times New Roman"/>
          <w:sz w:val="24"/>
        </w:rPr>
        <w:t xml:space="preserve"> de zile;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se consideră că, în lipsa executării garan</w:t>
      </w:r>
      <w:r w:rsidR="000C213F">
        <w:rPr>
          <w:rFonts w:ascii="Times New Roman" w:hAnsi="Times New Roman"/>
          <w:sz w:val="24"/>
        </w:rPr>
        <w:t>ț</w:t>
      </w:r>
      <w:r>
        <w:rPr>
          <w:rFonts w:ascii="Times New Roman" w:hAnsi="Times New Roman"/>
          <w:sz w:val="24"/>
        </w:rPr>
        <w:t>iei reale, este improbabil ca debitorul să î</w:t>
      </w:r>
      <w:r w:rsidR="000C213F">
        <w:rPr>
          <w:rFonts w:ascii="Times New Roman" w:hAnsi="Times New Roman"/>
          <w:sz w:val="24"/>
        </w:rPr>
        <w:t>ș</w:t>
      </w:r>
      <w:r>
        <w:rPr>
          <w:rFonts w:ascii="Times New Roman" w:hAnsi="Times New Roman"/>
          <w:sz w:val="24"/>
        </w:rPr>
        <w:t>i achite integral obliga</w:t>
      </w:r>
      <w:r w:rsidR="000C213F">
        <w:rPr>
          <w:rFonts w:ascii="Times New Roman" w:hAnsi="Times New Roman"/>
          <w:sz w:val="24"/>
        </w:rPr>
        <w:t>ț</w:t>
      </w:r>
      <w:r>
        <w:rPr>
          <w:rFonts w:ascii="Times New Roman" w:hAnsi="Times New Roman"/>
          <w:sz w:val="24"/>
        </w:rPr>
        <w:t>iile din credite, indiferent de existen</w:t>
      </w:r>
      <w:r w:rsidR="000C213F">
        <w:rPr>
          <w:rFonts w:ascii="Times New Roman" w:hAnsi="Times New Roman"/>
          <w:sz w:val="24"/>
        </w:rPr>
        <w:t>ț</w:t>
      </w:r>
      <w:r>
        <w:rPr>
          <w:rFonts w:ascii="Times New Roman" w:hAnsi="Times New Roman"/>
          <w:sz w:val="24"/>
        </w:rPr>
        <w:t xml:space="preserve">a oricărei sume restante sau de numărul de zile de întârziere la plată. </w:t>
      </w:r>
    </w:p>
    <w:p w:rsidR="009569C7" w:rsidRPr="00EC4FA2" w:rsidRDefault="00A834F1" w:rsidP="009569C7">
      <w:pPr>
        <w:pStyle w:val="Baseparagraphnumbered"/>
        <w:tabs>
          <w:tab w:val="left" w:pos="851"/>
        </w:tabs>
        <w:ind w:left="709"/>
      </w:pPr>
      <w:r>
        <w:lastRenderedPageBreak/>
        <w:t xml:space="preserve">Această calificare ca expuneri neperformante se aplică fără a se aduce atingere clasificării unei expuneri ca fiind în stare de nerambursare în scopuri de reglementare, în conformitate cu articolul </w:t>
      </w:r>
      <w:r w:rsidRPr="004237EC">
        <w:t>178</w:t>
      </w:r>
      <w:r>
        <w:t xml:space="preserve"> din CRR, sau ca fiind depreciată în scopuri contabile, în conformitate cu cadrul contabil aplicabil. </w:t>
      </w:r>
    </w:p>
    <w:p w:rsidR="009569C7" w:rsidRPr="00EC4FA2" w:rsidRDefault="00A834F1" w:rsidP="009569C7">
      <w:pPr>
        <w:pStyle w:val="Baseparagraphnumbered"/>
        <w:tabs>
          <w:tab w:val="left" w:pos="851"/>
        </w:tabs>
        <w:ind w:left="709"/>
      </w:pPr>
      <w:r>
        <w:t xml:space="preserve">Expunerile care se consideră că sunt în stare de nerambursare în conformitate cu articolul </w:t>
      </w:r>
      <w:r w:rsidRPr="004237EC">
        <w:t>178</w:t>
      </w:r>
      <w:r>
        <w:t xml:space="preserve"> din CRR </w:t>
      </w:r>
      <w:r w:rsidR="000C213F">
        <w:t>ș</w:t>
      </w:r>
      <w:r>
        <w:t xml:space="preserve">i expunerile care s-a constatat că sunt depreciate în conformitate cu cadrul contabil aplicabil sunt considerate întotdeauna expuneri neperformante. Conform IFRS, în sensul formularului </w:t>
      </w:r>
      <w:r w:rsidRPr="004237EC">
        <w:t>18</w:t>
      </w:r>
      <w:r>
        <w:t xml:space="preserve">, expunerile depreciate sunt cele care au fost considerate depreciate (etapa </w:t>
      </w:r>
      <w:r w:rsidRPr="004237EC">
        <w:t>3</w:t>
      </w:r>
      <w:r>
        <w:t>), inclusiv activele achizi</w:t>
      </w:r>
      <w:r w:rsidR="000C213F">
        <w:t>ț</w:t>
      </w:r>
      <w:r>
        <w:t>ionate sau ini</w:t>
      </w:r>
      <w:r w:rsidR="000C213F">
        <w:t>ț</w:t>
      </w:r>
      <w:r>
        <w:t xml:space="preserve">iate, depreciate ca urmare a riscului de credit. Expunerile incluse în alte etape de depreciere decât etapa </w:t>
      </w:r>
      <w:r w:rsidRPr="004237EC">
        <w:t>3</w:t>
      </w:r>
      <w:r>
        <w:t xml:space="preserve"> sunt considerate neperformante în cazul în care îndeplinesc criteriile necesare pentru a fi considerate neperformante. </w:t>
      </w:r>
    </w:p>
    <w:p w:rsidR="009569C7" w:rsidRPr="00EC4FA2" w:rsidRDefault="00A834F1" w:rsidP="009569C7">
      <w:pPr>
        <w:pStyle w:val="Baseparagraphnumbered"/>
        <w:tabs>
          <w:tab w:val="left" w:pos="851"/>
        </w:tabs>
        <w:ind w:left="709"/>
      </w:pPr>
      <w:r>
        <w:t xml:space="preserve">Expunerile se clasifică la cuantumul lor total </w:t>
      </w:r>
      <w:r w:rsidR="000C213F">
        <w:t>ș</w:t>
      </w:r>
      <w:r>
        <w:t xml:space="preserve">i fără a </w:t>
      </w:r>
      <w:r w:rsidR="000C213F">
        <w:t>ț</w:t>
      </w:r>
      <w:r>
        <w:t>ine seama de existen</w:t>
      </w:r>
      <w:r w:rsidR="000C213F">
        <w:t>ț</w:t>
      </w:r>
      <w:r>
        <w:t>a vreunei garan</w:t>
      </w:r>
      <w:r w:rsidR="000C213F">
        <w:t>ț</w:t>
      </w:r>
      <w:r>
        <w:t>ii reale. Importan</w:t>
      </w:r>
      <w:r w:rsidR="000C213F">
        <w:t>ț</w:t>
      </w:r>
      <w:r>
        <w:t xml:space="preserve">a se evaluează în conformitate cu articolul </w:t>
      </w:r>
      <w:r w:rsidRPr="004237EC">
        <w:t>178</w:t>
      </w:r>
      <w:r>
        <w:t xml:space="preserve"> din CRR.</w:t>
      </w:r>
    </w:p>
    <w:p w:rsidR="009569C7" w:rsidRPr="00EC4FA2" w:rsidRDefault="00A834F1" w:rsidP="009569C7">
      <w:pPr>
        <w:pStyle w:val="Baseparagraphnumbered"/>
        <w:tabs>
          <w:tab w:val="left" w:pos="851"/>
        </w:tabs>
        <w:ind w:left="709"/>
      </w:pPr>
      <w:r>
        <w:t xml:space="preserve">În sensul formularului </w:t>
      </w:r>
      <w:r w:rsidRPr="004237EC">
        <w:t>18</w:t>
      </w:r>
      <w:r>
        <w:t xml:space="preserve">, termenul „expuneri” include toate instrumentele de datorie (titluri de datorie, credite </w:t>
      </w:r>
      <w:r w:rsidR="000C213F">
        <w:t>ș</w:t>
      </w:r>
      <w:r>
        <w:t xml:space="preserve">i avansuri, inclusiv soldurile de numerar la bănci centrale </w:t>
      </w:r>
      <w:r w:rsidR="000C213F">
        <w:t>ș</w:t>
      </w:r>
      <w:r>
        <w:t xml:space="preserve">i alte depozite la vedere) </w:t>
      </w:r>
      <w:r w:rsidR="000C213F">
        <w:t>ș</w:t>
      </w:r>
      <w:r>
        <w:t>i expunerile extrabilan</w:t>
      </w:r>
      <w:r w:rsidR="000C213F">
        <w:t>ț</w:t>
      </w:r>
      <w:r>
        <w:t>iere, cu excep</w:t>
      </w:r>
      <w:r w:rsidR="000C213F">
        <w:t>ț</w:t>
      </w:r>
      <w:r>
        <w:t>ia acelor expuneri de</w:t>
      </w:r>
      <w:r w:rsidR="000C213F">
        <w:t>ț</w:t>
      </w:r>
      <w:r>
        <w:t>inute în vederea tranzac</w:t>
      </w:r>
      <w:r w:rsidR="000C213F">
        <w:t>ț</w:t>
      </w:r>
      <w:r>
        <w:t xml:space="preserve">ionării. </w:t>
      </w:r>
    </w:p>
    <w:p w:rsidR="009569C7" w:rsidRPr="00EC4FA2" w:rsidRDefault="00A834F1" w:rsidP="009569C7">
      <w:pPr>
        <w:pStyle w:val="Baseparagraphnumbered"/>
        <w:tabs>
          <w:tab w:val="left" w:pos="851"/>
        </w:tabs>
        <w:ind w:left="709"/>
      </w:pPr>
      <w:r>
        <w:t>Instrumentele de datorie sunt incluse în următo</w:t>
      </w:r>
      <w:r w:rsidR="00843C86">
        <w:t>arele portofolii contabile: (a) </w:t>
      </w:r>
      <w:bookmarkStart w:id="250" w:name="_GoBack"/>
      <w:bookmarkEnd w:id="250"/>
      <w:r>
        <w:t xml:space="preserve">instrumente de datorie la cost sau la costul amortizat, (b) instrumente de datorie la valoarea justă prin alte elemente ale rezultatului global sau prin capitaluri proprii care fac obiectul deprecierii </w:t>
      </w:r>
      <w:r w:rsidR="000C213F">
        <w:t>ș</w:t>
      </w:r>
      <w:r>
        <w:t xml:space="preserve">i (c) instrumente de datorie la LOCOM strictă sau la valoarea justă prin profit sau pierdere ori prin capitaluri proprii care nu fac obiectul deprecierii, în conformitate cu criteriile de la punctul </w:t>
      </w:r>
      <w:r w:rsidRPr="004237EC">
        <w:t>233</w:t>
      </w:r>
      <w:r>
        <w:t xml:space="preserve"> din prezenta parte. Fiecare categorie este defalcată pe instrumente </w:t>
      </w:r>
      <w:r w:rsidR="000C213F">
        <w:t>ș</w:t>
      </w:r>
      <w:r>
        <w:t>i pe contrapăr</w:t>
      </w:r>
      <w:r w:rsidR="000C213F">
        <w:t>ț</w:t>
      </w:r>
      <w:r>
        <w:t xml:space="preserve">i. </w:t>
      </w:r>
    </w:p>
    <w:p w:rsidR="009569C7" w:rsidRPr="00EC4FA2" w:rsidRDefault="00A834F1" w:rsidP="009569C7">
      <w:pPr>
        <w:pStyle w:val="Baseparagraphnumbered"/>
        <w:tabs>
          <w:tab w:val="left" w:pos="851"/>
        </w:tabs>
        <w:ind w:left="709"/>
      </w:pPr>
      <w:r>
        <w:t xml:space="preserve">Conform IFRS </w:t>
      </w:r>
      <w:r w:rsidR="000C213F">
        <w:t>ș</w:t>
      </w:r>
      <w:r>
        <w:t>i GAAP na</w:t>
      </w:r>
      <w:r w:rsidR="000C213F">
        <w:t>ț</w:t>
      </w:r>
      <w:r>
        <w:t>ionale relevante bazate pe BAD, expunerile extrabilan</w:t>
      </w:r>
      <w:r w:rsidR="000C213F">
        <w:t>ț</w:t>
      </w:r>
      <w:r>
        <w:t xml:space="preserve">iere cuprind următoarele elemente revocabile </w:t>
      </w:r>
      <w:r w:rsidR="000C213F">
        <w:t>ș</w:t>
      </w:r>
      <w:r>
        <w:t xml:space="preserve">i irevocabile: </w:t>
      </w:r>
    </w:p>
    <w:p w:rsidR="009569C7" w:rsidRPr="00EC4FA2" w:rsidRDefault="00A834F1" w:rsidP="009569C7">
      <w:pPr>
        <w:pStyle w:val="Text1"/>
        <w:numPr>
          <w:ilvl w:val="1"/>
          <w:numId w:val="40"/>
        </w:numPr>
        <w:ind w:left="1134" w:hanging="425"/>
      </w:pPr>
      <w:r>
        <w:t>angajamente de creditare date;</w:t>
      </w:r>
    </w:p>
    <w:p w:rsidR="009569C7" w:rsidRPr="00EC4FA2" w:rsidRDefault="00A834F1" w:rsidP="009569C7">
      <w:pPr>
        <w:pStyle w:val="Text1"/>
        <w:numPr>
          <w:ilvl w:val="1"/>
          <w:numId w:val="40"/>
        </w:numPr>
        <w:ind w:left="1134" w:hanging="425"/>
      </w:pPr>
      <w:r>
        <w:t>garan</w:t>
      </w:r>
      <w:r w:rsidR="000C213F">
        <w:t>ț</w:t>
      </w:r>
      <w:r>
        <w:t>ii financiare date;</w:t>
      </w:r>
    </w:p>
    <w:p w:rsidR="009569C7" w:rsidRPr="00EC4FA2" w:rsidRDefault="00A834F1" w:rsidP="009569C7">
      <w:pPr>
        <w:pStyle w:val="Text1"/>
        <w:numPr>
          <w:ilvl w:val="1"/>
          <w:numId w:val="40"/>
        </w:numPr>
        <w:ind w:left="1134" w:hanging="425"/>
      </w:pPr>
      <w:r>
        <w:t>alte angajamente date.</w:t>
      </w:r>
    </w:p>
    <w:p w:rsidR="009569C7" w:rsidRPr="00EC4FA2" w:rsidRDefault="00A834F1" w:rsidP="009569C7">
      <w:pPr>
        <w:pStyle w:val="Baseparagraphnumbered"/>
      </w:pPr>
      <w:r>
        <w:t>Instrumentele de datorie clasificate ca fiind de</w:t>
      </w:r>
      <w:r w:rsidR="000C213F">
        <w:t>ț</w:t>
      </w:r>
      <w:r>
        <w:t xml:space="preserve">inute în vederea vânzării în conformitate cu IFRS </w:t>
      </w:r>
      <w:r w:rsidRPr="004237EC">
        <w:t>5</w:t>
      </w:r>
      <w:r>
        <w:t xml:space="preserve"> se raportează separat. </w:t>
      </w:r>
    </w:p>
    <w:p w:rsidR="009569C7" w:rsidRPr="00EC4FA2" w:rsidRDefault="00A834F1" w:rsidP="009569C7">
      <w:pPr>
        <w:pStyle w:val="Baseparagraphnumbered"/>
      </w:pPr>
      <w:r>
        <w:t xml:space="preserve">În formularul </w:t>
      </w:r>
      <w:r w:rsidRPr="004237EC">
        <w:t>18</w:t>
      </w:r>
      <w:r>
        <w:t xml:space="preserve"> pentru instrumentele de datorie, „valoarea contabilă brută” se raportează astfel cum este definită la punctul </w:t>
      </w:r>
      <w:r w:rsidRPr="004237EC">
        <w:t>34</w:t>
      </w:r>
      <w:r>
        <w:t xml:space="preserve"> din partea </w:t>
      </w:r>
      <w:r w:rsidRPr="004237EC">
        <w:t>1</w:t>
      </w:r>
      <w:r>
        <w:t xml:space="preserve"> a prezentei anexe. Pentru expunerile extrabilan</w:t>
      </w:r>
      <w:r w:rsidR="000C213F">
        <w:t>ț</w:t>
      </w:r>
      <w:r>
        <w:t xml:space="preserve">iere, se raportează valoarea nominală, astfel cum este definită la punctul </w:t>
      </w:r>
      <w:r w:rsidRPr="004237EC">
        <w:t>118</w:t>
      </w:r>
      <w:r>
        <w:t xml:space="preserve"> din această parte a prezentei anexe.</w:t>
      </w:r>
    </w:p>
    <w:p w:rsidR="009569C7" w:rsidRPr="00EC4FA2" w:rsidRDefault="00A834F1" w:rsidP="009569C7">
      <w:pPr>
        <w:pStyle w:val="Baseparagraphnumbered"/>
      </w:pPr>
      <w:r>
        <w:lastRenderedPageBreak/>
        <w:t xml:space="preserve">În sensul formularului </w:t>
      </w:r>
      <w:r w:rsidRPr="004237EC">
        <w:t>18</w:t>
      </w:r>
      <w:r>
        <w:t>, o expunere este „restantă” atunci când îndepline</w:t>
      </w:r>
      <w:r w:rsidR="000C213F">
        <w:t>ș</w:t>
      </w:r>
      <w:r>
        <w:t xml:space="preserve">te criteriile de la punctul </w:t>
      </w:r>
      <w:r w:rsidRPr="004237EC">
        <w:t>96</w:t>
      </w:r>
      <w:r>
        <w:t xml:space="preserve"> din prezenta parte.</w:t>
      </w:r>
    </w:p>
    <w:p w:rsidR="009569C7" w:rsidRPr="00EC4FA2" w:rsidRDefault="00A834F1" w:rsidP="009569C7">
      <w:pPr>
        <w:pStyle w:val="Baseparagraphnumbered"/>
        <w:tabs>
          <w:tab w:val="left" w:pos="851"/>
        </w:tabs>
        <w:ind w:left="709"/>
      </w:pPr>
      <w:r>
        <w:t xml:space="preserve"> În sensul formularului </w:t>
      </w:r>
      <w:r w:rsidRPr="004237EC">
        <w:t>18</w:t>
      </w:r>
      <w:r>
        <w:t xml:space="preserve">, „debitor” înseamnă un debitor în sensul articolului </w:t>
      </w:r>
      <w:r w:rsidRPr="004237EC">
        <w:t>178</w:t>
      </w:r>
      <w:r>
        <w:t xml:space="preserve"> din CRR.</w:t>
      </w:r>
    </w:p>
    <w:p w:rsidR="009569C7" w:rsidRPr="00EC4FA2" w:rsidRDefault="00A834F1" w:rsidP="009569C7">
      <w:pPr>
        <w:pStyle w:val="Baseparagraphnumbered"/>
        <w:tabs>
          <w:tab w:val="left" w:pos="851"/>
        </w:tabs>
        <w:ind w:left="709"/>
      </w:pPr>
      <w:r>
        <w:t xml:space="preserve"> Se consideră că un angajament constituie o expunere neperformantă la valoarea sa nominală în cazul în care, retras sau utilizat în alt mod, acesta ar duce la expuneri care riscă să nu fie restituite în întregime fără executarea garan</w:t>
      </w:r>
      <w:r w:rsidR="000C213F">
        <w:t>ț</w:t>
      </w:r>
      <w:r>
        <w:t xml:space="preserve">iilor reale. </w:t>
      </w:r>
    </w:p>
    <w:p w:rsidR="009569C7" w:rsidRPr="00EC4FA2" w:rsidRDefault="00A834F1" w:rsidP="009569C7">
      <w:pPr>
        <w:pStyle w:val="Baseparagraphnumbered"/>
        <w:tabs>
          <w:tab w:val="left" w:pos="851"/>
        </w:tabs>
        <w:ind w:left="709"/>
      </w:pPr>
      <w:r>
        <w:t xml:space="preserve"> Se consideră că garan</w:t>
      </w:r>
      <w:r w:rsidR="000C213F">
        <w:t>ț</w:t>
      </w:r>
      <w:r>
        <w:t>iile financiare date constituie expuneri neperformante la valoarea lor nominală în cazul în care există riscul ca garan</w:t>
      </w:r>
      <w:r w:rsidR="000C213F">
        <w:t>ț</w:t>
      </w:r>
      <w:r>
        <w:t>ia financiară să fie exercitată de beneficiarul garan</w:t>
      </w:r>
      <w:r w:rsidR="000C213F">
        <w:t>ț</w:t>
      </w:r>
      <w:r>
        <w:t>iei, inclusiv, în special, în cazul în care expunerea garantată suport îndepline</w:t>
      </w:r>
      <w:r w:rsidR="000C213F">
        <w:t>ș</w:t>
      </w:r>
      <w:r>
        <w:t>te criteriile pentru a fi considerată drept neperformantă, men</w:t>
      </w:r>
      <w:r w:rsidR="000C213F">
        <w:t>ț</w:t>
      </w:r>
      <w:r>
        <w:t xml:space="preserve">ionate la punctul </w:t>
      </w:r>
      <w:r w:rsidRPr="004237EC">
        <w:t>213</w:t>
      </w:r>
      <w:r>
        <w:t>. În cazul în care suma datorată beneficiarului garan</w:t>
      </w:r>
      <w:r w:rsidR="000C213F">
        <w:t>ț</w:t>
      </w:r>
      <w:r>
        <w:t>iei în temeiul contractului de garan</w:t>
      </w:r>
      <w:r w:rsidR="000C213F">
        <w:t>ț</w:t>
      </w:r>
      <w:r>
        <w:t>ie financiară este restantă, institu</w:t>
      </w:r>
      <w:r w:rsidR="000C213F">
        <w:t>ț</w:t>
      </w:r>
      <w:r>
        <w:t>ia raportoare evaluează dacă suma de încasat rezultată îndepline</w:t>
      </w:r>
      <w:r w:rsidR="000C213F">
        <w:t>ș</w:t>
      </w:r>
      <w:r>
        <w:t>te criteriile privind expunerile neperformante.</w:t>
      </w:r>
    </w:p>
    <w:p w:rsidR="009569C7" w:rsidRPr="00EC4FA2" w:rsidRDefault="00A834F1" w:rsidP="009569C7">
      <w:pPr>
        <w:pStyle w:val="Baseparagraphnumbered"/>
        <w:tabs>
          <w:tab w:val="left" w:pos="851"/>
        </w:tabs>
        <w:ind w:left="709"/>
      </w:pPr>
      <w:r>
        <w:t xml:space="preserve"> Expunerile clasificate drept neperformante în conformitate cu punctul </w:t>
      </w:r>
      <w:r w:rsidRPr="004237EC">
        <w:t>213</w:t>
      </w:r>
      <w:r>
        <w:t xml:space="preserve"> sunt clasificate fie ca neperformante pe bază individuală („pe baza tranzac</w:t>
      </w:r>
      <w:r w:rsidR="000C213F">
        <w:t>ț</w:t>
      </w:r>
      <w:r>
        <w:t>iei”), fie ca neperformante pentru expunerea globală fa</w:t>
      </w:r>
      <w:r w:rsidR="000C213F">
        <w:t>ț</w:t>
      </w:r>
      <w:r>
        <w:t>ă de un anumit debitor („pe baza debitorului”). Pentru clasificarea expunerilor neperformante pe bază individuală sau fa</w:t>
      </w:r>
      <w:r w:rsidR="000C213F">
        <w:t>ț</w:t>
      </w:r>
      <w:r>
        <w:t xml:space="preserve">ă de un anumit debitor, se utilizează următoarele abordări în materie de clasificare pentru diferitele tipuri de expuneri neperformante: </w:t>
      </w:r>
    </w:p>
    <w:p w:rsidR="009569C7" w:rsidRPr="00EC4FA2" w:rsidRDefault="00A834F1" w:rsidP="009569C7">
      <w:pPr>
        <w:pStyle w:val="Text1"/>
        <w:numPr>
          <w:ilvl w:val="2"/>
          <w:numId w:val="40"/>
        </w:numPr>
        <w:ind w:left="1134" w:hanging="425"/>
      </w:pPr>
      <w:r>
        <w:t xml:space="preserve">pentru expunerile neperformante clasificate ca fiind în stare de nerambursare în conformitate cu articolul </w:t>
      </w:r>
      <w:r w:rsidRPr="004237EC">
        <w:t>178</w:t>
      </w:r>
      <w:r>
        <w:t xml:space="preserve"> din CRR, se aplică abordarea în materie de clasificare prevăzută la articolul respectiv; </w:t>
      </w:r>
    </w:p>
    <w:p w:rsidR="009569C7" w:rsidRPr="00EC4FA2" w:rsidRDefault="00A834F1" w:rsidP="009569C7">
      <w:pPr>
        <w:pStyle w:val="Text1"/>
        <w:numPr>
          <w:ilvl w:val="2"/>
          <w:numId w:val="40"/>
        </w:numPr>
        <w:ind w:left="1134" w:hanging="425"/>
      </w:pPr>
      <w:r>
        <w:t>pentru expunerile care sunt clasificate drept neperformante din cauza deprecierii, în conformitate cu cadrul contabil aplicabil, se aplică criteriile de recunoa</w:t>
      </w:r>
      <w:r w:rsidR="000C213F">
        <w:t>ș</w:t>
      </w:r>
      <w:r>
        <w:t>tere a deprecierii în conformitate cu cadrul contabil aplicabil;</w:t>
      </w:r>
    </w:p>
    <w:p w:rsidR="009569C7" w:rsidRPr="00EC4FA2" w:rsidRDefault="00A834F1" w:rsidP="009569C7">
      <w:pPr>
        <w:pStyle w:val="Text1"/>
        <w:numPr>
          <w:ilvl w:val="2"/>
          <w:numId w:val="40"/>
        </w:numPr>
        <w:ind w:left="1134" w:hanging="425"/>
      </w:pPr>
      <w:r>
        <w:t>pentru alte expuneri neperformante care nu sunt clasificate nici ca fiind în stare de nerambursare, nici ca fiind depreciate, se aplică dispozi</w:t>
      </w:r>
      <w:r w:rsidR="000C213F">
        <w:t>ț</w:t>
      </w:r>
      <w:r>
        <w:t xml:space="preserve">iile de la articolul </w:t>
      </w:r>
      <w:r w:rsidRPr="004237EC">
        <w:t>178</w:t>
      </w:r>
      <w:r>
        <w:t xml:space="preserve"> din CRR pentru expunerile aflate în stare de nerambursare. </w:t>
      </w:r>
    </w:p>
    <w:p w:rsidR="009569C7" w:rsidRPr="00EC4FA2" w:rsidRDefault="00A834F1" w:rsidP="009569C7">
      <w:pPr>
        <w:pStyle w:val="Baseparagraphnumbered"/>
        <w:tabs>
          <w:tab w:val="left" w:pos="851"/>
        </w:tabs>
        <w:ind w:left="709"/>
      </w:pPr>
      <w:r>
        <w:t xml:space="preserve"> În cazul în care o institu</w:t>
      </w:r>
      <w:r w:rsidR="000C213F">
        <w:t>ț</w:t>
      </w:r>
      <w:r>
        <w:t>ie are expuneri bilan</w:t>
      </w:r>
      <w:r w:rsidR="000C213F">
        <w:t>ț</w:t>
      </w:r>
      <w:r>
        <w:t>iere fa</w:t>
      </w:r>
      <w:r w:rsidR="000C213F">
        <w:t>ț</w:t>
      </w:r>
      <w:r>
        <w:t xml:space="preserve">ă de un debitor care sunt restante de mai mult de </w:t>
      </w:r>
      <w:r w:rsidRPr="004237EC">
        <w:t>90</w:t>
      </w:r>
      <w:r>
        <w:t xml:space="preserve"> de zile </w:t>
      </w:r>
      <w:r w:rsidR="000C213F">
        <w:t>ș</w:t>
      </w:r>
      <w:r>
        <w:t xml:space="preserve">i valoarea contabilă brută a expunerilor restante reprezintă mai mult de </w:t>
      </w:r>
      <w:r w:rsidRPr="004237EC">
        <w:t>20</w:t>
      </w:r>
      <w:r>
        <w:t xml:space="preserve"> % din valoarea contabilă brută a tuturor expunerilor bilan</w:t>
      </w:r>
      <w:r w:rsidR="000C213F">
        <w:t>ț</w:t>
      </w:r>
      <w:r>
        <w:t>iere fa</w:t>
      </w:r>
      <w:r w:rsidR="000C213F">
        <w:t>ț</w:t>
      </w:r>
      <w:r>
        <w:t>ă de debitorul respectiv, toate expunerile bilan</w:t>
      </w:r>
      <w:r w:rsidR="000C213F">
        <w:t>ț</w:t>
      </w:r>
      <w:r>
        <w:t xml:space="preserve">iere </w:t>
      </w:r>
      <w:r w:rsidR="000C213F">
        <w:t>ș</w:t>
      </w:r>
      <w:r>
        <w:t>i extrabilan</w:t>
      </w:r>
      <w:r w:rsidR="000C213F">
        <w:t>ț</w:t>
      </w:r>
      <w:r>
        <w:t>iere fa</w:t>
      </w:r>
      <w:r w:rsidR="000C213F">
        <w:t>ț</w:t>
      </w:r>
      <w:r>
        <w:t>ă de debitorul respectiv sunt considerate ca fiind neperformante. În cazul în care un debitor apar</w:t>
      </w:r>
      <w:r w:rsidR="000C213F">
        <w:t>ț</w:t>
      </w:r>
      <w:r>
        <w:t xml:space="preserve">ine unui grup, se evaluează necesitatea de a considera </w:t>
      </w:r>
      <w:r w:rsidR="000C213F">
        <w:t>ș</w:t>
      </w:r>
      <w:r>
        <w:t>i expunerile fa</w:t>
      </w:r>
      <w:r w:rsidR="000C213F">
        <w:t>ț</w:t>
      </w:r>
      <w:r>
        <w:t>ă de alte entită</w:t>
      </w:r>
      <w:r w:rsidR="000C213F">
        <w:t>ț</w:t>
      </w:r>
      <w:r>
        <w:t xml:space="preserve">i ale grupului ca fiind expuneri neperformante, dacă acestea nu sunt deja considerate ca fiind depreciate sau aflate în stare de nerambursare în conformitate cu articolul </w:t>
      </w:r>
      <w:r w:rsidRPr="004237EC">
        <w:t>178</w:t>
      </w:r>
      <w:r>
        <w:t xml:space="preserve"> din CRR, cu excep</w:t>
      </w:r>
      <w:r w:rsidR="000C213F">
        <w:t>ț</w:t>
      </w:r>
      <w:r>
        <w:t>ia expunerilor care fac obiectul unor litigii izolate, care nu sunt legate de solvabilitatea contrapăr</w:t>
      </w:r>
      <w:r w:rsidR="000C213F">
        <w:t>ț</w:t>
      </w:r>
      <w:r>
        <w:t xml:space="preserve">ii. </w:t>
      </w:r>
    </w:p>
    <w:p w:rsidR="009569C7" w:rsidRPr="00EC4FA2" w:rsidRDefault="00A834F1" w:rsidP="009569C7">
      <w:pPr>
        <w:pStyle w:val="Baseparagraphnumbered"/>
      </w:pPr>
      <w:r>
        <w:lastRenderedPageBreak/>
        <w:t>Se consideră că expunerile încetează să fie neperformante în cazul în care sunt îndeplinite toate condi</w:t>
      </w:r>
      <w:r w:rsidR="000C213F">
        <w:t>ț</w:t>
      </w:r>
      <w:r>
        <w:t>iile următoare:</w:t>
      </w:r>
    </w:p>
    <w:p w:rsidR="009569C7" w:rsidRPr="00EC4FA2" w:rsidRDefault="00A834F1" w:rsidP="009569C7">
      <w:pPr>
        <w:pStyle w:val="Text1"/>
        <w:numPr>
          <w:ilvl w:val="1"/>
          <w:numId w:val="41"/>
        </w:numPr>
        <w:tabs>
          <w:tab w:val="left" w:pos="1276"/>
        </w:tabs>
        <w:ind w:left="1134" w:hanging="426"/>
      </w:pPr>
      <w:r>
        <w:t>expunerea îndepline</w:t>
      </w:r>
      <w:r w:rsidR="000C213F">
        <w:t>ș</w:t>
      </w:r>
      <w:r>
        <w:t>te criteriile aplicate de institu</w:t>
      </w:r>
      <w:r w:rsidR="000C213F">
        <w:t>ț</w:t>
      </w:r>
      <w:r>
        <w:t xml:space="preserve">ia raportoare pentru încetarea clasificării ca expuneri depreciate sau aflate în stare de nerambursare în conformitate cu cadrul contabil aplicabil </w:t>
      </w:r>
      <w:r w:rsidR="000C213F">
        <w:t>ș</w:t>
      </w:r>
      <w:r>
        <w:t>i, respectiv, cu articolul </w:t>
      </w:r>
      <w:r w:rsidRPr="004237EC">
        <w:t>178</w:t>
      </w:r>
      <w:r>
        <w:t xml:space="preserve"> din CRR;</w:t>
      </w:r>
    </w:p>
    <w:p w:rsidR="009569C7" w:rsidRPr="00EC4FA2" w:rsidRDefault="00A834F1" w:rsidP="009569C7">
      <w:pPr>
        <w:pStyle w:val="Text1"/>
        <w:numPr>
          <w:ilvl w:val="1"/>
          <w:numId w:val="41"/>
        </w:numPr>
        <w:tabs>
          <w:tab w:val="left" w:pos="1276"/>
        </w:tabs>
        <w:ind w:left="1134" w:hanging="426"/>
      </w:pPr>
      <w:r>
        <w:t>situa</w:t>
      </w:r>
      <w:r w:rsidR="000C213F">
        <w:t>ț</w:t>
      </w:r>
      <w:r>
        <w:t>ia debitorului s-a îmbunătă</w:t>
      </w:r>
      <w:r w:rsidR="000C213F">
        <w:t>ț</w:t>
      </w:r>
      <w:r>
        <w:t>it într-o asemenea măsură încât este probabil să se efectueze rambursarea integrală, în conformitate cu condi</w:t>
      </w:r>
      <w:r w:rsidR="000C213F">
        <w:t>ț</w:t>
      </w:r>
      <w:r>
        <w:t>iile ini</w:t>
      </w:r>
      <w:r w:rsidR="000C213F">
        <w:t>ț</w:t>
      </w:r>
      <w:r>
        <w:t>iale sau, după caz, cu condi</w:t>
      </w:r>
      <w:r w:rsidR="000C213F">
        <w:t>ț</w:t>
      </w:r>
      <w:r>
        <w:t>iile modificate;</w:t>
      </w:r>
    </w:p>
    <w:p w:rsidR="009569C7" w:rsidRPr="00EC4FA2" w:rsidRDefault="00A834F1" w:rsidP="009569C7">
      <w:pPr>
        <w:pStyle w:val="Text1"/>
        <w:numPr>
          <w:ilvl w:val="1"/>
          <w:numId w:val="41"/>
        </w:numPr>
        <w:tabs>
          <w:tab w:val="left" w:pos="1276"/>
        </w:tabs>
        <w:ind w:left="1134" w:hanging="426"/>
      </w:pPr>
      <w:r>
        <w:t xml:space="preserve">debitorul nu are nicio sumă restantă de peste </w:t>
      </w:r>
      <w:r w:rsidRPr="004237EC">
        <w:t>90</w:t>
      </w:r>
      <w:r>
        <w:t xml:space="preserve"> de zile. </w:t>
      </w:r>
    </w:p>
    <w:p w:rsidR="009569C7" w:rsidRPr="00EC4FA2" w:rsidRDefault="00A834F1" w:rsidP="009569C7">
      <w:pPr>
        <w:pStyle w:val="Baseparagraphnumbered"/>
      </w:pPr>
      <w:r>
        <w:t>O expunere este clasificată în continuare drept neperformantă în cazul în care nu sunt îndeplinite condi</w:t>
      </w:r>
      <w:r w:rsidR="000C213F">
        <w:t>ț</w:t>
      </w:r>
      <w:r>
        <w:t xml:space="preserve">iile prevăzute la punctul </w:t>
      </w:r>
      <w:r w:rsidRPr="004237EC">
        <w:t>228</w:t>
      </w:r>
      <w:r>
        <w:t xml:space="preserve"> literele (a), (b) </w:t>
      </w:r>
      <w:r w:rsidR="000C213F">
        <w:t>ș</w:t>
      </w:r>
      <w:r>
        <w:t>i (c) din această parte a prezentei anexe, chiar dacă expunerea a îndeplinit deja criteriile aplicate de institu</w:t>
      </w:r>
      <w:r w:rsidR="000C213F">
        <w:t>ț</w:t>
      </w:r>
      <w:r>
        <w:t xml:space="preserve">ia raportoare pentru încetarea clasificării ca expuneri depreciate sau aflate în stare de nerambursare în conformitate cu cadrul contabil aplicabil </w:t>
      </w:r>
      <w:r w:rsidR="000C213F">
        <w:t>ș</w:t>
      </w:r>
      <w:r>
        <w:t xml:space="preserve">i, respectiv, cu articolul </w:t>
      </w:r>
      <w:r w:rsidRPr="004237EC">
        <w:t>178</w:t>
      </w:r>
      <w:r>
        <w:t xml:space="preserve"> din CRR. </w:t>
      </w:r>
    </w:p>
    <w:p w:rsidR="009569C7" w:rsidRPr="00EC4FA2" w:rsidRDefault="00A834F1" w:rsidP="009569C7">
      <w:pPr>
        <w:pStyle w:val="Baseparagraphnumbered"/>
      </w:pPr>
      <w:r>
        <w:t>Clasificarea unei expuneri neperformante drept activ imobilizat de</w:t>
      </w:r>
      <w:r w:rsidR="000C213F">
        <w:t>ț</w:t>
      </w:r>
      <w:r>
        <w:t xml:space="preserve">inut în vederea vânzării în conformitate cu IFRS </w:t>
      </w:r>
      <w:r w:rsidRPr="004237EC">
        <w:t>5</w:t>
      </w:r>
      <w:r>
        <w:t xml:space="preserve"> nu întrerupe clasificarea expunerii drept expunere neperformantă.</w:t>
      </w:r>
    </w:p>
    <w:p w:rsidR="009569C7" w:rsidRPr="00EC4FA2" w:rsidRDefault="00A834F1" w:rsidP="009569C7">
      <w:pPr>
        <w:pStyle w:val="Baseparagraphnumbered"/>
        <w:tabs>
          <w:tab w:val="left" w:pos="851"/>
        </w:tabs>
        <w:ind w:left="709"/>
      </w:pPr>
      <w:r>
        <w:t xml:space="preserve"> Prin aplicarea de măsuri de restructurare datorată dificultă</w:t>
      </w:r>
      <w:r w:rsidR="000C213F">
        <w:t>ț</w:t>
      </w:r>
      <w:r>
        <w:t>ilor financiare unei expuneri neperformante nu se întrerupe statutul acestei expuneri drept neperformantă. În cazul în care expunerile sunt neperformante cu măsuri de restructurare datorată dificultă</w:t>
      </w:r>
      <w:r w:rsidR="000C213F">
        <w:t>ț</w:t>
      </w:r>
      <w:r>
        <w:t>ilor financiare, astfel cum se men</w:t>
      </w:r>
      <w:r w:rsidR="000C213F">
        <w:t>ț</w:t>
      </w:r>
      <w:r>
        <w:t xml:space="preserve">ionează la punctul </w:t>
      </w:r>
      <w:r w:rsidRPr="004237EC">
        <w:t>262</w:t>
      </w:r>
      <w:r>
        <w:t>, se consideră că expunerile respective nu mai sunt neperformante atunci când sunt îndeplinite toate condi</w:t>
      </w:r>
      <w:r w:rsidR="000C213F">
        <w:t>ț</w:t>
      </w:r>
      <w:r>
        <w:t>iile următoare:</w:t>
      </w:r>
    </w:p>
    <w:p w:rsidR="009569C7" w:rsidRPr="00EC4FA2" w:rsidRDefault="00A834F1" w:rsidP="009569C7">
      <w:pPr>
        <w:pStyle w:val="Text1"/>
        <w:numPr>
          <w:ilvl w:val="0"/>
          <w:numId w:val="51"/>
        </w:numPr>
        <w:ind w:left="1134"/>
      </w:pPr>
      <w:r>
        <w:t>expunerile nu sunt considerate depreciate sau în stare de nerambursare de institu</w:t>
      </w:r>
      <w:r w:rsidR="000C213F">
        <w:t>ț</w:t>
      </w:r>
      <w:r>
        <w:t xml:space="preserve">ia raportoare în conformitate cu cadrul contabil aplicabil </w:t>
      </w:r>
      <w:r w:rsidR="000C213F">
        <w:t>ș</w:t>
      </w:r>
      <w:r>
        <w:t>i, respectiv, cu articolul </w:t>
      </w:r>
      <w:r w:rsidRPr="004237EC">
        <w:t>178</w:t>
      </w:r>
      <w:r>
        <w:t xml:space="preserve"> din CRR; </w:t>
      </w:r>
    </w:p>
    <w:p w:rsidR="009569C7" w:rsidRPr="00EC4FA2" w:rsidRDefault="00A834F1" w:rsidP="009569C7">
      <w:pPr>
        <w:pStyle w:val="Text1"/>
        <w:numPr>
          <w:ilvl w:val="0"/>
          <w:numId w:val="51"/>
        </w:numPr>
        <w:ind w:left="1134"/>
      </w:pPr>
      <w:r>
        <w:t>a trecut un an de la momentul cel mai recent dintre momentul în care au fost aplicate măsurile de restructurare datorată dificultă</w:t>
      </w:r>
      <w:r w:rsidR="000C213F">
        <w:t>ț</w:t>
      </w:r>
      <w:r>
        <w:t xml:space="preserve">ilor financiare </w:t>
      </w:r>
      <w:r w:rsidR="000C213F">
        <w:t>ș</w:t>
      </w:r>
      <w:r>
        <w:t>i momentul în care expunerile au fost clasificate drept neperformante;</w:t>
      </w:r>
    </w:p>
    <w:p w:rsidR="009569C7" w:rsidRPr="00EC4FA2" w:rsidRDefault="00A834F1" w:rsidP="009569C7">
      <w:pPr>
        <w:pStyle w:val="Text1"/>
        <w:numPr>
          <w:ilvl w:val="0"/>
          <w:numId w:val="51"/>
        </w:numPr>
        <w:ind w:left="1134"/>
      </w:pPr>
      <w:r>
        <w:t>nu există, în urma măsurilor de restructurare datorată dificultă</w:t>
      </w:r>
      <w:r w:rsidR="000C213F">
        <w:t>ț</w:t>
      </w:r>
      <w:r>
        <w:t xml:space="preserve">ilor financiare, nicio sumă restantă </w:t>
      </w:r>
      <w:r w:rsidR="000C213F">
        <w:t>ș</w:t>
      </w:r>
      <w:r>
        <w:t>i nicio preocupare legată de rambursarea integrală a expunerii în conformitate cu condi</w:t>
      </w:r>
      <w:r w:rsidR="000C213F">
        <w:t>ț</w:t>
      </w:r>
      <w:r>
        <w:t>iile ulterioare măsurilor de restructurare datorată dificultă</w:t>
      </w:r>
      <w:r w:rsidR="000C213F">
        <w:t>ț</w:t>
      </w:r>
      <w:r>
        <w:t>ilor financiare. Absen</w:t>
      </w:r>
      <w:r w:rsidR="000C213F">
        <w:t>ț</w:t>
      </w:r>
      <w:r>
        <w:t>a preocupărilor în acest sens se determină după o analiză a situa</w:t>
      </w:r>
      <w:r w:rsidR="000C213F">
        <w:t>ț</w:t>
      </w:r>
      <w:r>
        <w:t>iei financiare a debitorului, efectuată de către institu</w:t>
      </w:r>
      <w:r w:rsidR="000C213F">
        <w:t>ț</w:t>
      </w:r>
      <w:r>
        <w:t>ie. Se poate considera că nu mai există preocupări în cazul în care debitorul a plătit, prin intermediul plă</w:t>
      </w:r>
      <w:r w:rsidR="000C213F">
        <w:t>ț</w:t>
      </w:r>
      <w:r>
        <w:t>ilor sale periodice în conformitate cu condi</w:t>
      </w:r>
      <w:r w:rsidR="000C213F">
        <w:t>ț</w:t>
      </w:r>
      <w:r>
        <w:t>iile posterioare măsurilor de restructurare datorată dificultă</w:t>
      </w:r>
      <w:r w:rsidR="000C213F">
        <w:t>ț</w:t>
      </w:r>
      <w:r>
        <w:t>ilor financiare, un total egal cu suma care era anterior restantă (în cazul în care existau sume restante) sau care a fost anulată (în cazul în care nu existau sume restante), în conformitate cu măsurile de restructurare datorată dificultă</w:t>
      </w:r>
      <w:r w:rsidR="000C213F">
        <w:t>ț</w:t>
      </w:r>
      <w:r>
        <w:t xml:space="preserve">ilor financiare, sau debitorul </w:t>
      </w:r>
      <w:r w:rsidR="000C213F">
        <w:t>ș</w:t>
      </w:r>
      <w:r>
        <w:t>i-</w:t>
      </w:r>
      <w:r>
        <w:lastRenderedPageBreak/>
        <w:t>a demonstrat în alt mod capacitatea de a se conforma condi</w:t>
      </w:r>
      <w:r w:rsidR="000C213F">
        <w:t>ț</w:t>
      </w:r>
      <w:r>
        <w:t>iilor posterioare măsurilor de restructurare datorată dificultă</w:t>
      </w:r>
      <w:r w:rsidR="000C213F">
        <w:t>ț</w:t>
      </w:r>
      <w:r>
        <w:t xml:space="preserve">ilor financiare. </w:t>
      </w:r>
    </w:p>
    <w:p w:rsidR="009569C7" w:rsidRPr="00EC4FA2" w:rsidRDefault="00A834F1" w:rsidP="009569C7">
      <w:pPr>
        <w:pStyle w:val="Text1"/>
        <w:ind w:left="709" w:firstLine="1"/>
      </w:pPr>
      <w:r>
        <w:t>Condi</w:t>
      </w:r>
      <w:r w:rsidR="000C213F">
        <w:t>ț</w:t>
      </w:r>
      <w:r>
        <w:t>iile de ie</w:t>
      </w:r>
      <w:r w:rsidR="000C213F">
        <w:t>ș</w:t>
      </w:r>
      <w:r>
        <w:t>ire specifice men</w:t>
      </w:r>
      <w:r w:rsidR="000C213F">
        <w:t>ț</w:t>
      </w:r>
      <w:r>
        <w:t xml:space="preserve">ionate la literele (a), (b) </w:t>
      </w:r>
      <w:r w:rsidR="000C213F">
        <w:t>ș</w:t>
      </w:r>
      <w:r>
        <w:t>i (c) se aplică în plus fa</w:t>
      </w:r>
      <w:r w:rsidR="000C213F">
        <w:t>ț</w:t>
      </w:r>
      <w:r>
        <w:t>ă de criteriile aplicate de institu</w:t>
      </w:r>
      <w:r w:rsidR="000C213F">
        <w:t>ț</w:t>
      </w:r>
      <w:r>
        <w:t xml:space="preserve">iile raportoare pentru expunerile depreciate </w:t>
      </w:r>
      <w:r w:rsidR="000C213F">
        <w:t>ș</w:t>
      </w:r>
      <w:r>
        <w:t xml:space="preserve">i cele în stare de nerambursare, în conformitate cu cadrul contabil aplicabil </w:t>
      </w:r>
      <w:r w:rsidR="000C213F">
        <w:t>ș</w:t>
      </w:r>
      <w:r>
        <w:t xml:space="preserve">i, respectiv, cu articolul </w:t>
      </w:r>
      <w:r w:rsidRPr="004237EC">
        <w:t>178</w:t>
      </w:r>
      <w:r>
        <w:t xml:space="preserve"> din CRR.</w:t>
      </w:r>
    </w:p>
    <w:p w:rsidR="009569C7" w:rsidRPr="00EC4FA2" w:rsidRDefault="00A834F1" w:rsidP="009569C7">
      <w:pPr>
        <w:pStyle w:val="Baseparagraphnumbered"/>
        <w:tabs>
          <w:tab w:val="left" w:pos="851"/>
        </w:tabs>
        <w:ind w:left="709"/>
      </w:pPr>
      <w:r>
        <w:t>În cazul în care condi</w:t>
      </w:r>
      <w:r w:rsidR="000C213F">
        <w:t>ț</w:t>
      </w:r>
      <w:r>
        <w:t>iile men</w:t>
      </w:r>
      <w:r w:rsidR="000C213F">
        <w:t>ț</w:t>
      </w:r>
      <w:r>
        <w:t xml:space="preserve">ionate la punctul </w:t>
      </w:r>
      <w:r w:rsidRPr="004237EC">
        <w:t>231</w:t>
      </w:r>
      <w:r>
        <w:t xml:space="preserve"> din această parte a prezentei anexe nu sunt îndeplinite la sfâr</w:t>
      </w:r>
      <w:r w:rsidR="000C213F">
        <w:t>ș</w:t>
      </w:r>
      <w:r>
        <w:t>itul perioadei de un an men</w:t>
      </w:r>
      <w:r w:rsidR="000C213F">
        <w:t>ț</w:t>
      </w:r>
      <w:r>
        <w:t>ionată la punctul respectiv litera (b), expunerea este identificată în continuare drept expunere neperformantă restructurată în urma dificultă</w:t>
      </w:r>
      <w:r w:rsidR="000C213F">
        <w:t>ț</w:t>
      </w:r>
      <w:r>
        <w:t>ilor financiare, până la îndeplinirea tuturor condi</w:t>
      </w:r>
      <w:r w:rsidR="000C213F">
        <w:t>ț</w:t>
      </w:r>
      <w:r>
        <w:t>iilor. Condi</w:t>
      </w:r>
      <w:r w:rsidR="000C213F">
        <w:t>ț</w:t>
      </w:r>
      <w:r>
        <w:t>iile se evaluează cu o frecven</w:t>
      </w:r>
      <w:r w:rsidR="000C213F">
        <w:t>ț</w:t>
      </w:r>
      <w:r>
        <w:t>ă cel pu</w:t>
      </w:r>
      <w:r w:rsidR="000C213F">
        <w:t>ț</w:t>
      </w:r>
      <w:r>
        <w:t>in trimestrială.</w:t>
      </w:r>
    </w:p>
    <w:p w:rsidR="009569C7" w:rsidRPr="00EC4FA2" w:rsidRDefault="00A834F1" w:rsidP="00152278">
      <w:pPr>
        <w:pStyle w:val="Baseparagraphnumbered"/>
      </w:pPr>
      <w:r>
        <w:t xml:space="preserve">Portofoliile contabile în conformitate cu IFRS, enumerate la punctul </w:t>
      </w:r>
      <w:r w:rsidRPr="004237EC">
        <w:t>15</w:t>
      </w:r>
      <w:r>
        <w:t xml:space="preserve"> din partea </w:t>
      </w:r>
      <w:r w:rsidRPr="004237EC">
        <w:t>1</w:t>
      </w:r>
      <w:r>
        <w:t xml:space="preserve"> a prezentei anexe </w:t>
      </w:r>
      <w:r w:rsidR="000C213F">
        <w:t>ș</w:t>
      </w:r>
      <w:r>
        <w:t>i în conformitate cu GAAP na</w:t>
      </w:r>
      <w:r w:rsidR="000C213F">
        <w:t>ț</w:t>
      </w:r>
      <w:r>
        <w:t xml:space="preserve">ionale relevante bazate pe BAD, enumerate la punctul </w:t>
      </w:r>
      <w:r w:rsidRPr="004237EC">
        <w:t>16</w:t>
      </w:r>
      <w:r>
        <w:t xml:space="preserve"> din partea </w:t>
      </w:r>
      <w:r w:rsidRPr="004237EC">
        <w:t>1</w:t>
      </w:r>
      <w:r>
        <w:t xml:space="preserve"> a prezentei anexe se raportează după cum urmează în formularul </w:t>
      </w:r>
      <w:r w:rsidRPr="004237EC">
        <w:t>18</w:t>
      </w:r>
      <w:r>
        <w:t xml:space="preserve">: </w:t>
      </w:r>
    </w:p>
    <w:p w:rsidR="009569C7" w:rsidRPr="00EC4FA2" w:rsidRDefault="00A834F1" w:rsidP="009569C7">
      <w:pPr>
        <w:pStyle w:val="Baseparagraphnumbered"/>
        <w:numPr>
          <w:ilvl w:val="0"/>
          <w:numId w:val="0"/>
        </w:numPr>
        <w:ind w:left="1134" w:hanging="425"/>
      </w:pPr>
      <w:r>
        <w:t>(a) „instrumentele de datorie la cost sau la costul amortizat” cuprind instrumentele de datorie incluse în oricare dintre următoarele elemente:</w:t>
      </w:r>
    </w:p>
    <w:p w:rsidR="009569C7" w:rsidRPr="00EC4FA2" w:rsidRDefault="00A834F1" w:rsidP="009569C7">
      <w:pPr>
        <w:pStyle w:val="Baseparagraphnumbered"/>
        <w:numPr>
          <w:ilvl w:val="0"/>
          <w:numId w:val="0"/>
        </w:numPr>
        <w:ind w:left="1440"/>
      </w:pPr>
      <w:r>
        <w:t>(i) „active financiare la costul amortizat” (IFRS);</w:t>
      </w:r>
    </w:p>
    <w:p w:rsidR="009569C7" w:rsidRPr="00EC4FA2" w:rsidRDefault="00A834F1" w:rsidP="009569C7">
      <w:pPr>
        <w:pStyle w:val="Baseparagraphnumbered"/>
        <w:numPr>
          <w:ilvl w:val="0"/>
          <w:numId w:val="0"/>
        </w:numPr>
        <w:ind w:left="1440"/>
      </w:pPr>
      <w:r>
        <w:t>(ii) „active financiare nederivate nedestinate tranzac</w:t>
      </w:r>
      <w:r w:rsidR="000C213F">
        <w:t>ț</w:t>
      </w:r>
      <w:r>
        <w:t>ionării, evaluate printr-o metodă bazată pe costuri”, inclusiv instrumente de datorie evaluate la LOCOM moderată (GAAP na</w:t>
      </w:r>
      <w:r w:rsidR="000C213F">
        <w:t>ț</w:t>
      </w:r>
      <w:r>
        <w:t>ionale bazate pe BAD);</w:t>
      </w:r>
    </w:p>
    <w:p w:rsidR="009569C7" w:rsidRPr="00EC4FA2" w:rsidRDefault="00A834F1" w:rsidP="009569C7">
      <w:pPr>
        <w:pStyle w:val="Baseparagraphnumbered"/>
        <w:numPr>
          <w:ilvl w:val="0"/>
          <w:numId w:val="0"/>
        </w:numPr>
        <w:ind w:left="1440"/>
      </w:pPr>
      <w:r>
        <w:t>(iii) „alte active financiare nederivate nedestinate tranzac</w:t>
      </w:r>
      <w:r w:rsidR="000C213F">
        <w:t>ț</w:t>
      </w:r>
      <w:r>
        <w:t>ionării”, cu excep</w:t>
      </w:r>
      <w:r w:rsidR="000C213F">
        <w:t>ț</w:t>
      </w:r>
      <w:r>
        <w:t>ia instrumentelor de datorie evaluate la LOCOM strictă (GAAP na</w:t>
      </w:r>
      <w:r w:rsidR="000C213F">
        <w:t>ț</w:t>
      </w:r>
      <w:r>
        <w:t xml:space="preserve">ionale bazate pe BAD); </w:t>
      </w:r>
    </w:p>
    <w:p w:rsidR="009569C7" w:rsidRPr="00EC4FA2" w:rsidRDefault="00A834F1" w:rsidP="009569C7">
      <w:pPr>
        <w:pStyle w:val="Baseparagraphnumbered"/>
        <w:numPr>
          <w:ilvl w:val="0"/>
          <w:numId w:val="0"/>
        </w:numPr>
        <w:ind w:left="1134" w:hanging="425"/>
      </w:pPr>
      <w:r>
        <w:t>(b) „instrumentele de datorie la valoarea justă prin alte elemente ale rezultatului global sau prin capitaluri proprii care fac obiectul deprecierii” cuprind instrumentele de datorie incluse în oricare dintre următoarele elemente:</w:t>
      </w:r>
    </w:p>
    <w:p w:rsidR="009569C7" w:rsidRPr="00EC4FA2" w:rsidRDefault="00A834F1" w:rsidP="009569C7">
      <w:pPr>
        <w:pStyle w:val="Baseparagraphnumbered"/>
        <w:numPr>
          <w:ilvl w:val="0"/>
          <w:numId w:val="0"/>
        </w:numPr>
        <w:ind w:left="1440"/>
      </w:pPr>
      <w:r>
        <w:t>(i) „active financiare evaluate la valoarea justă prin alte elemente ale rezultatului global” (IFRS);</w:t>
      </w:r>
    </w:p>
    <w:p w:rsidR="009569C7" w:rsidRPr="00EC4FA2" w:rsidRDefault="00A834F1" w:rsidP="009569C7">
      <w:pPr>
        <w:pStyle w:val="Baseparagraphnumbered"/>
        <w:numPr>
          <w:ilvl w:val="0"/>
          <w:numId w:val="0"/>
        </w:numPr>
        <w:ind w:left="1440"/>
      </w:pPr>
      <w:r>
        <w:t>(ii) „active financiare nederivate nedestinate tranzac</w:t>
      </w:r>
      <w:r w:rsidR="000C213F">
        <w:t>ț</w:t>
      </w:r>
      <w:r>
        <w:t>ionării, evaluate la valoarea justă prin capitaluri proprii”, în cazul în care instrumentele din această categorie de evaluare pot face obiectul deprecierii în conformitate cu cadrul contabil aplicabil instituit în temeiul GAAP na</w:t>
      </w:r>
      <w:r w:rsidR="000C213F">
        <w:t>ț</w:t>
      </w:r>
      <w:r>
        <w:t>ionale bazate pe BAD;</w:t>
      </w:r>
    </w:p>
    <w:p w:rsidR="009569C7" w:rsidRPr="00EC4FA2" w:rsidRDefault="00A834F1" w:rsidP="009569C7">
      <w:pPr>
        <w:pStyle w:val="Baseparagraphnumbered"/>
        <w:numPr>
          <w:ilvl w:val="0"/>
          <w:numId w:val="0"/>
        </w:numPr>
        <w:ind w:left="1134" w:hanging="425"/>
      </w:pPr>
      <w:r>
        <w:t>(c) „instrumentele de datorie la LOCOM strictă sau la valoarea justă prin profit sau pierdere ori prin capitaluri proprii fără a face obiectul deprecierii” cuprind instrumentele de datorie incluse în oricare dintre următoarele elemente:</w:t>
      </w:r>
    </w:p>
    <w:p w:rsidR="009569C7" w:rsidRPr="00EC4FA2" w:rsidRDefault="00A834F1" w:rsidP="009569C7">
      <w:pPr>
        <w:pStyle w:val="Baseparagraphnumbered"/>
        <w:numPr>
          <w:ilvl w:val="0"/>
          <w:numId w:val="0"/>
        </w:numPr>
        <w:ind w:left="1418"/>
      </w:pPr>
      <w:r>
        <w:lastRenderedPageBreak/>
        <w:t>(i) „active financiare nedestinate tranzac</w:t>
      </w:r>
      <w:r w:rsidR="000C213F">
        <w:t>ț</w:t>
      </w:r>
      <w:r>
        <w:t>ionării, evaluate obligatoriu la valoarea justă prin profit sau pierdere” (IFRS);</w:t>
      </w:r>
    </w:p>
    <w:p w:rsidR="009569C7" w:rsidRPr="00EC4FA2" w:rsidRDefault="00A834F1" w:rsidP="009569C7">
      <w:pPr>
        <w:pStyle w:val="Baseparagraphnumbered"/>
        <w:numPr>
          <w:ilvl w:val="0"/>
          <w:numId w:val="0"/>
        </w:numPr>
        <w:ind w:left="1418"/>
      </w:pPr>
      <w:r>
        <w:t>(ii) „active financiare desemnate la valoarea justă prin profit sau pierdere” (IFRS);</w:t>
      </w:r>
    </w:p>
    <w:p w:rsidR="009569C7" w:rsidRPr="00EC4FA2" w:rsidRDefault="00A834F1" w:rsidP="009569C7">
      <w:pPr>
        <w:pStyle w:val="Baseparagraphnumbered"/>
        <w:numPr>
          <w:ilvl w:val="0"/>
          <w:numId w:val="0"/>
        </w:numPr>
        <w:ind w:left="1418"/>
      </w:pPr>
      <w:r>
        <w:t>(iii) „active financiare nederivate nedestinate tranzac</w:t>
      </w:r>
      <w:r w:rsidR="000C213F">
        <w:t>ț</w:t>
      </w:r>
      <w:r>
        <w:t>ionării, evaluate la valoarea justă prin profit sau pierdere” (GAAP na</w:t>
      </w:r>
      <w:r w:rsidR="000C213F">
        <w:t>ț</w:t>
      </w:r>
      <w:r>
        <w:t>ionale bazate pe BAD);</w:t>
      </w:r>
    </w:p>
    <w:p w:rsidR="009569C7" w:rsidRPr="00EC4FA2" w:rsidRDefault="00A834F1" w:rsidP="009569C7">
      <w:pPr>
        <w:pStyle w:val="Baseparagraphnumbered"/>
        <w:numPr>
          <w:ilvl w:val="0"/>
          <w:numId w:val="0"/>
        </w:numPr>
        <w:ind w:left="1418"/>
      </w:pPr>
      <w:r>
        <w:t>(iv) „alte active financiare nederivate nedestinate tranzac</w:t>
      </w:r>
      <w:r w:rsidR="000C213F">
        <w:t>ț</w:t>
      </w:r>
      <w:r>
        <w:t>ionării” în cazul în care instrumentele de datorie sunt evaluate la LOCOM strictă (GAAP na</w:t>
      </w:r>
      <w:r w:rsidR="000C213F">
        <w:t>ț</w:t>
      </w:r>
      <w:r>
        <w:t>ionale bazate pe BAD);</w:t>
      </w:r>
    </w:p>
    <w:p w:rsidR="009569C7" w:rsidRPr="00EC4FA2" w:rsidRDefault="00A834F1" w:rsidP="009569C7">
      <w:pPr>
        <w:pStyle w:val="Baseparagraphnumbered"/>
        <w:numPr>
          <w:ilvl w:val="0"/>
          <w:numId w:val="0"/>
        </w:numPr>
        <w:ind w:left="1418"/>
      </w:pPr>
      <w:r>
        <w:t>(v) „active financiare nederivate nedestinate tranzac</w:t>
      </w:r>
      <w:r w:rsidR="000C213F">
        <w:t>ț</w:t>
      </w:r>
      <w:r>
        <w:t>ionării, evaluate la valoarea justă prin capitaluri proprii”, în cazul în care instrumentele de datorie din această categorie de evaluare nu fac obiectul deprecierii în conformitate cu cadrul contabil aplicabil instituit în temeiul GAAP na</w:t>
      </w:r>
      <w:r w:rsidR="000C213F">
        <w:t>ț</w:t>
      </w:r>
      <w:r>
        <w:t>ionale bazate pe BAD.</w:t>
      </w:r>
    </w:p>
    <w:p w:rsidR="009569C7" w:rsidRPr="00EC4FA2" w:rsidRDefault="00A834F1" w:rsidP="009569C7">
      <w:pPr>
        <w:pStyle w:val="Baseparagraphnumbered"/>
      </w:pPr>
      <w:r>
        <w:t>În cazul în care IFRS sau GAAP na</w:t>
      </w:r>
      <w:r w:rsidR="000C213F">
        <w:t>ț</w:t>
      </w:r>
      <w:r>
        <w:t xml:space="preserve">ionale relevante bazate pe BAD prevăd desemnarea angajamentelor la valoarea justă prin profit sau pierdere, valoarea contabilă a oricăror active care rezultă din această desemnare </w:t>
      </w:r>
      <w:r w:rsidR="000C213F">
        <w:t>ș</w:t>
      </w:r>
      <w:r>
        <w:t>i din evaluarea la valoarea justă se raportează la „active financiare desemnate la valoarea justă prin profit sau pierdere” (IFRS) sau la „active financiare nederivate nedestinate tranzac</w:t>
      </w:r>
      <w:r w:rsidR="000C213F">
        <w:t>ț</w:t>
      </w:r>
      <w:r>
        <w:t>ionării, evaluate la valoarea justă prin profit sau pierdere” (GAAP na</w:t>
      </w:r>
      <w:r w:rsidR="000C213F">
        <w:t>ț</w:t>
      </w:r>
      <w:r>
        <w:t>ionale bazate pe BAD). Valoarea contabilă a oricăror datorii care rezultă din această desemnare nu se raportează în formularul F</w:t>
      </w:r>
      <w:r w:rsidRPr="004237EC">
        <w:t>18</w:t>
      </w:r>
      <w:r>
        <w:t>. Valoarea no</w:t>
      </w:r>
      <w:r w:rsidR="000C213F">
        <w:t>ț</w:t>
      </w:r>
      <w:r>
        <w:t xml:space="preserve">ională a tuturor angajamentelor desemnate la valoarea justă prin profit sau pierdere se raportează în formularul </w:t>
      </w:r>
      <w:r w:rsidRPr="004237EC">
        <w:t>9</w:t>
      </w:r>
      <w:r>
        <w:t>.</w:t>
      </w:r>
    </w:p>
    <w:p w:rsidR="009569C7" w:rsidRPr="00EC4FA2" w:rsidRDefault="00A834F1" w:rsidP="009569C7">
      <w:pPr>
        <w:pStyle w:val="Baseparagraphnumbered"/>
        <w:tabs>
          <w:tab w:val="left" w:pos="851"/>
        </w:tabs>
        <w:ind w:left="709"/>
      </w:pPr>
      <w:r>
        <w:t xml:space="preserve">Expunerile restante se raportează separat, în cadrul categoriilor performante </w:t>
      </w:r>
      <w:r w:rsidR="000C213F">
        <w:t>ș</w:t>
      </w:r>
      <w:r>
        <w:t xml:space="preserve">i neperformante la cuantumul lor total, astfel cum este definit la punctul </w:t>
      </w:r>
      <w:r w:rsidRPr="004237EC">
        <w:t>96</w:t>
      </w:r>
      <w:r>
        <w:t xml:space="preserve"> din prezenta parte. Expunerile care sunt restante de mai mult de </w:t>
      </w:r>
      <w:r w:rsidRPr="004237EC">
        <w:t>90</w:t>
      </w:r>
      <w:r>
        <w:t xml:space="preserve"> de zile, dar care nu sunt semnificative în conformitate cu articolul </w:t>
      </w:r>
      <w:r w:rsidRPr="004237EC">
        <w:t>178</w:t>
      </w:r>
      <w:r>
        <w:t xml:space="preserve"> din CRR se raportează în cadrul expunerilor performante la „restante &gt; </w:t>
      </w:r>
      <w:r w:rsidRPr="004237EC">
        <w:t>30</w:t>
      </w:r>
      <w:r>
        <w:t xml:space="preserve"> de zile &lt;= </w:t>
      </w:r>
      <w:r w:rsidRPr="004237EC">
        <w:t>90</w:t>
      </w:r>
      <w:r>
        <w:t xml:space="preserve"> de zile”.</w:t>
      </w:r>
    </w:p>
    <w:p w:rsidR="009569C7" w:rsidRPr="00EC4FA2" w:rsidRDefault="00A834F1" w:rsidP="009569C7">
      <w:pPr>
        <w:pStyle w:val="Baseparagraphnumbered"/>
        <w:tabs>
          <w:tab w:val="left" w:pos="851"/>
        </w:tabs>
        <w:ind w:left="709"/>
      </w:pPr>
      <w:r>
        <w:t>Expunerile neperformante se raportează defalcate în func</w:t>
      </w:r>
      <w:r w:rsidR="000C213F">
        <w:t>ț</w:t>
      </w:r>
      <w:r>
        <w:t xml:space="preserve">ie de intervalele de timp de întârziere la plată. Expunerile care nu sunt restante sau sunt restante cu </w:t>
      </w:r>
      <w:r w:rsidRPr="004237EC">
        <w:t>90</w:t>
      </w:r>
      <w:r>
        <w:t xml:space="preserve"> de zile sau mai pu</w:t>
      </w:r>
      <w:r w:rsidR="000C213F">
        <w:t>ț</w:t>
      </w:r>
      <w:r>
        <w:t>in, dar, cu toate acestea, sunt identificate drept neperformante din cauza probabilită</w:t>
      </w:r>
      <w:r w:rsidR="000C213F">
        <w:t>ț</w:t>
      </w:r>
      <w:r>
        <w:t xml:space="preserve">ii de a nu fi rambursate integral se raportează într-o coloană specifică. Expunerile care prezintă atât sume restante, cât </w:t>
      </w:r>
      <w:r w:rsidR="000C213F">
        <w:t>ș</w:t>
      </w:r>
      <w:r>
        <w:t>i probabilitatea de a nu fi rambursate integral se alocă în func</w:t>
      </w:r>
      <w:r w:rsidR="000C213F">
        <w:t>ț</w:t>
      </w:r>
      <w:r>
        <w:t xml:space="preserve">ie de intervalele de timp de întârziere la plată, în conformitate cu numărul de zile de întârziere la plată. </w:t>
      </w:r>
    </w:p>
    <w:p w:rsidR="009569C7" w:rsidRPr="00EC4FA2" w:rsidRDefault="00A834F1" w:rsidP="004237EC">
      <w:pPr>
        <w:pStyle w:val="Baseparagraphnumbered"/>
        <w:keepNext/>
        <w:tabs>
          <w:tab w:val="left" w:pos="851"/>
        </w:tabs>
        <w:ind w:left="709" w:hanging="357"/>
      </w:pPr>
      <w:r>
        <w:lastRenderedPageBreak/>
        <w:t>Următoarele expuneri sunt identificate în coloane separate:</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 xml:space="preserve">expunerile care sunt considerate depreciate în conformitate cu cadrul contabil aplicabil; conform IFRS, cuantumul activelor depreciate ca urmare a riscului de credit (etapa </w:t>
      </w:r>
      <w:r w:rsidRPr="004237EC">
        <w:rPr>
          <w:rFonts w:ascii="Times New Roman" w:hAnsi="Times New Roman"/>
          <w:sz w:val="24"/>
        </w:rPr>
        <w:t>3</w:t>
      </w:r>
      <w:r>
        <w:rPr>
          <w:rFonts w:ascii="Times New Roman" w:hAnsi="Times New Roman"/>
          <w:sz w:val="24"/>
        </w:rPr>
        <w:t>), inclusiv activele achizi</w:t>
      </w:r>
      <w:r w:rsidR="000C213F">
        <w:rPr>
          <w:rFonts w:ascii="Times New Roman" w:hAnsi="Times New Roman"/>
          <w:sz w:val="24"/>
        </w:rPr>
        <w:t>ț</w:t>
      </w:r>
      <w:r>
        <w:rPr>
          <w:rFonts w:ascii="Times New Roman" w:hAnsi="Times New Roman"/>
          <w:sz w:val="24"/>
        </w:rPr>
        <w:t>ionate sau ini</w:t>
      </w:r>
      <w:r w:rsidR="000C213F">
        <w:rPr>
          <w:rFonts w:ascii="Times New Roman" w:hAnsi="Times New Roman"/>
          <w:sz w:val="24"/>
        </w:rPr>
        <w:t>ț</w:t>
      </w:r>
      <w:r>
        <w:rPr>
          <w:rFonts w:ascii="Times New Roman" w:hAnsi="Times New Roman"/>
          <w:sz w:val="24"/>
        </w:rPr>
        <w:t>iate, depreciate ca urmare a riscului de credit, se raportează în această coloană;</w:t>
      </w:r>
    </w:p>
    <w:p w:rsidR="009569C7" w:rsidRPr="00EC4FA2" w:rsidRDefault="00A834F1" w:rsidP="009569C7">
      <w:pPr>
        <w:pStyle w:val="Text1"/>
        <w:numPr>
          <w:ilvl w:val="0"/>
          <w:numId w:val="44"/>
        </w:numPr>
        <w:ind w:left="1134"/>
      </w:pPr>
      <w:r>
        <w:t xml:space="preserve">expunerile care se consideră că sunt în stare de nerambursare în conformitate cu articolul </w:t>
      </w:r>
      <w:r w:rsidRPr="004237EC">
        <w:t>178</w:t>
      </w:r>
      <w:r>
        <w:t xml:space="preserve"> din CRR. </w:t>
      </w:r>
    </w:p>
    <w:p w:rsidR="009569C7" w:rsidRPr="00EC4FA2" w:rsidRDefault="00A834F1" w:rsidP="009569C7">
      <w:pPr>
        <w:pStyle w:val="Baseparagraphnumbered"/>
        <w:tabs>
          <w:tab w:val="left" w:pos="851"/>
        </w:tabs>
        <w:ind w:left="709"/>
      </w:pPr>
      <w:r>
        <w:t xml:space="preserve">Cifrele corespunzătoare elementului „depreciere cumulată, modificările negative cumulate ale valorii juste datorate riscului de credit </w:t>
      </w:r>
      <w:r w:rsidR="000C213F">
        <w:t>ș</w:t>
      </w:r>
      <w:r>
        <w:t xml:space="preserve">i provizioane” se raportează în conformitate cu punctele </w:t>
      </w:r>
      <w:r w:rsidRPr="004237EC">
        <w:t>11</w:t>
      </w:r>
      <w:r>
        <w:t xml:space="preserve">, </w:t>
      </w:r>
      <w:r w:rsidRPr="004237EC">
        <w:t>69</w:t>
      </w:r>
      <w:r>
        <w:t>-</w:t>
      </w:r>
      <w:r w:rsidRPr="004237EC">
        <w:t>71</w:t>
      </w:r>
      <w:r>
        <w:t xml:space="preserve">, </w:t>
      </w:r>
      <w:r w:rsidRPr="004237EC">
        <w:t>106</w:t>
      </w:r>
      <w:r>
        <w:t xml:space="preserve"> </w:t>
      </w:r>
      <w:r w:rsidR="000C213F">
        <w:t>ș</w:t>
      </w:r>
      <w:r>
        <w:t xml:space="preserve">i </w:t>
      </w:r>
      <w:r w:rsidRPr="004237EC">
        <w:t>110</w:t>
      </w:r>
      <w:r>
        <w:t xml:space="preserve"> din prezenta parte. </w:t>
      </w:r>
    </w:p>
    <w:p w:rsidR="009569C7" w:rsidRPr="00EC4FA2" w:rsidRDefault="00A834F1" w:rsidP="009569C7">
      <w:pPr>
        <w:pStyle w:val="Baseparagraphnumbered"/>
        <w:tabs>
          <w:tab w:val="left" w:pos="851"/>
        </w:tabs>
        <w:ind w:left="709"/>
      </w:pPr>
      <w:r>
        <w:t>Informa</w:t>
      </w:r>
      <w:r w:rsidR="000C213F">
        <w:t>ț</w:t>
      </w:r>
      <w:r>
        <w:t>iile privind garan</w:t>
      </w:r>
      <w:r w:rsidR="000C213F">
        <w:t>ț</w:t>
      </w:r>
      <w:r>
        <w:t>iile reale de</w:t>
      </w:r>
      <w:r w:rsidR="000C213F">
        <w:t>ț</w:t>
      </w:r>
      <w:r>
        <w:t xml:space="preserve">inute </w:t>
      </w:r>
      <w:r w:rsidR="000C213F">
        <w:t>ș</w:t>
      </w:r>
      <w:r>
        <w:t>i garan</w:t>
      </w:r>
      <w:r w:rsidR="000C213F">
        <w:t>ț</w:t>
      </w:r>
      <w:r>
        <w:t>iile primite cu privire la expunerile neperformante se raportează separat. Cuantumurile raportate pentru garan</w:t>
      </w:r>
      <w:r w:rsidR="000C213F">
        <w:t>ț</w:t>
      </w:r>
      <w:r>
        <w:t xml:space="preserve">iile reale primite </w:t>
      </w:r>
      <w:r w:rsidR="000C213F">
        <w:t>ș</w:t>
      </w:r>
      <w:r>
        <w:t>i garan</w:t>
      </w:r>
      <w:r w:rsidR="000C213F">
        <w:t>ț</w:t>
      </w:r>
      <w:r>
        <w:t xml:space="preserve">iile primite se calculează în conformitate cu punctele </w:t>
      </w:r>
      <w:r w:rsidRPr="004237EC">
        <w:t>172</w:t>
      </w:r>
      <w:r>
        <w:t xml:space="preserve"> </w:t>
      </w:r>
      <w:r w:rsidR="000C213F">
        <w:t>ș</w:t>
      </w:r>
      <w:r>
        <w:t xml:space="preserve">i </w:t>
      </w:r>
      <w:r w:rsidRPr="004237EC">
        <w:t>174</w:t>
      </w:r>
      <w:r>
        <w:t xml:space="preserve"> din prezenta parte. Suma cuantumurilor raportate atât pentru garan</w:t>
      </w:r>
      <w:r w:rsidR="000C213F">
        <w:t>ț</w:t>
      </w:r>
      <w:r>
        <w:t xml:space="preserve">iile reale, cât </w:t>
      </w:r>
      <w:r w:rsidR="000C213F">
        <w:t>ș</w:t>
      </w:r>
      <w:r>
        <w:t>i pentru garan</w:t>
      </w:r>
      <w:r w:rsidR="000C213F">
        <w:t>ț</w:t>
      </w:r>
      <w:r>
        <w:t>ii este limitată la valoarea contabilă sau la valoarea nominală a expunerii aferente.</w:t>
      </w:r>
    </w:p>
    <w:p w:rsidR="009569C7" w:rsidRPr="00EC4FA2" w:rsidRDefault="00A834F1" w:rsidP="009569C7">
      <w:pPr>
        <w:pStyle w:val="subtitlenumbered"/>
        <w:jc w:val="both"/>
      </w:pPr>
      <w:bookmarkStart w:id="251" w:name="_Toc467855247"/>
      <w:bookmarkStart w:id="252" w:name="_Toc485897579"/>
      <w:r>
        <w:t>Expuneri restructurate în urma dificultă</w:t>
      </w:r>
      <w:r w:rsidR="000C213F">
        <w:t>ț</w:t>
      </w:r>
      <w:r>
        <w:t>ilor financiare (</w:t>
      </w:r>
      <w:r w:rsidRPr="004237EC">
        <w:t>19</w:t>
      </w:r>
      <w:r>
        <w:t>)</w:t>
      </w:r>
      <w:bookmarkEnd w:id="251"/>
      <w:bookmarkEnd w:id="252"/>
    </w:p>
    <w:p w:rsidR="009569C7" w:rsidRPr="00EC4FA2" w:rsidRDefault="00A834F1" w:rsidP="009569C7">
      <w:pPr>
        <w:pStyle w:val="Baseparagraphnumbered"/>
        <w:tabs>
          <w:tab w:val="left" w:pos="851"/>
        </w:tabs>
        <w:ind w:left="709"/>
      </w:pPr>
      <w:r>
        <w:t xml:space="preserve"> În sensul formularului </w:t>
      </w:r>
      <w:r w:rsidRPr="004237EC">
        <w:t>19</w:t>
      </w:r>
      <w:r>
        <w:t>, expunerile restructurate în urma dificultă</w:t>
      </w:r>
      <w:r w:rsidR="000C213F">
        <w:t>ț</w:t>
      </w:r>
      <w:r>
        <w:t>ilor financiare sunt contracte de datorie pentru care s-au aplicat măsuri de restructurare datorată dificultă</w:t>
      </w:r>
      <w:r w:rsidR="000C213F">
        <w:t>ț</w:t>
      </w:r>
      <w:r>
        <w:t>ilor financiare. Măsurile de restructurare datorată dificultă</w:t>
      </w:r>
      <w:r w:rsidR="000C213F">
        <w:t>ț</w:t>
      </w:r>
      <w:r>
        <w:t>ilor financiare constau în concesii fa</w:t>
      </w:r>
      <w:r w:rsidR="000C213F">
        <w:t>ț</w:t>
      </w:r>
      <w:r>
        <w:t>ă de un debitor care se confruntă sau urmează să se confrunte cu dificultă</w:t>
      </w:r>
      <w:r w:rsidR="000C213F">
        <w:t>ț</w:t>
      </w:r>
      <w:r>
        <w:t>i în îndeplinirea angajamentelor sale financiare („dificultă</w:t>
      </w:r>
      <w:r w:rsidR="000C213F">
        <w:t>ț</w:t>
      </w:r>
      <w:r>
        <w:t>i financiare”).</w:t>
      </w:r>
    </w:p>
    <w:p w:rsidR="009569C7" w:rsidRPr="00EC4FA2" w:rsidRDefault="00A834F1" w:rsidP="009569C7">
      <w:pPr>
        <w:pStyle w:val="Baseparagraphnumbered"/>
        <w:tabs>
          <w:tab w:val="left" w:pos="851"/>
        </w:tabs>
        <w:ind w:left="709"/>
      </w:pPr>
      <w:r>
        <w:t xml:space="preserve"> În sensul formularului </w:t>
      </w:r>
      <w:r w:rsidRPr="004237EC">
        <w:t>19</w:t>
      </w:r>
      <w:r>
        <w:t xml:space="preserve">, o concesie poate duce la o pierdere pentru creditor </w:t>
      </w:r>
      <w:r w:rsidR="000C213F">
        <w:t>ș</w:t>
      </w:r>
      <w:r>
        <w:t>i se referă la una dintre următoarele ac</w:t>
      </w:r>
      <w:r w:rsidR="000C213F">
        <w:t>ț</w:t>
      </w:r>
      <w:r>
        <w:t>iuni:</w:t>
      </w:r>
    </w:p>
    <w:p w:rsidR="009569C7" w:rsidRPr="00EC4FA2" w:rsidRDefault="00A834F1" w:rsidP="009569C7">
      <w:pPr>
        <w:pStyle w:val="Text1"/>
        <w:numPr>
          <w:ilvl w:val="1"/>
          <w:numId w:val="42"/>
        </w:numPr>
        <w:ind w:left="1134"/>
      </w:pPr>
      <w:r>
        <w:t>o modificare a clauzelor anterioare ale unui contract pe care debitorul este considerat în imposibilitatea de le respecta din cauza dificultă</w:t>
      </w:r>
      <w:r w:rsidR="000C213F">
        <w:t>ț</w:t>
      </w:r>
      <w:r>
        <w:t>ilor sale financiare („datorie problematică”) care îi reduc acestuia capacitatea de a-</w:t>
      </w:r>
      <w:r w:rsidR="000C213F">
        <w:t>ș</w:t>
      </w:r>
      <w:r>
        <w:t>i onora obliga</w:t>
      </w:r>
      <w:r w:rsidR="000C213F">
        <w:t>ț</w:t>
      </w:r>
      <w:r>
        <w:t xml:space="preserve">iile financiare, </w:t>
      </w:r>
      <w:r w:rsidR="000C213F">
        <w:t>ș</w:t>
      </w:r>
      <w:r>
        <w:t>i la care nu s-ar fi recurs dacă debitorul nu s-ar fi confruntat cu dificultă</w:t>
      </w:r>
      <w:r w:rsidR="000C213F">
        <w:t>ț</w:t>
      </w:r>
      <w:r>
        <w:t>i financiare;</w:t>
      </w:r>
    </w:p>
    <w:p w:rsidR="009569C7" w:rsidRPr="00EC4FA2" w:rsidRDefault="00A834F1" w:rsidP="009569C7">
      <w:pPr>
        <w:pStyle w:val="Text1"/>
        <w:numPr>
          <w:ilvl w:val="1"/>
          <w:numId w:val="42"/>
        </w:numPr>
        <w:ind w:left="1134"/>
      </w:pPr>
      <w:r>
        <w:t>o refinan</w:t>
      </w:r>
      <w:r w:rsidR="000C213F">
        <w:t>ț</w:t>
      </w:r>
      <w:r>
        <w:t>are totală sau par</w:t>
      </w:r>
      <w:r w:rsidR="000C213F">
        <w:t>ț</w:t>
      </w:r>
      <w:r>
        <w:t>ială a contractului de datorie problematic, care nu ar fi fost acordată dacă debitorul nu s-ar fi confruntat cu dificultă</w:t>
      </w:r>
      <w:r w:rsidR="000C213F">
        <w:t>ț</w:t>
      </w:r>
      <w:r>
        <w:t>i financiare.</w:t>
      </w:r>
    </w:p>
    <w:p w:rsidR="009569C7" w:rsidRPr="00EC4FA2" w:rsidRDefault="00A834F1" w:rsidP="009569C7">
      <w:pPr>
        <w:pStyle w:val="Baseparagraphnumbered"/>
        <w:tabs>
          <w:tab w:val="left" w:pos="851"/>
        </w:tabs>
        <w:ind w:left="709"/>
      </w:pPr>
      <w:r>
        <w:t xml:space="preserve"> Printre dovezile unei concesii se numără cel pu</w:t>
      </w:r>
      <w:r w:rsidR="000C213F">
        <w:t>ț</w:t>
      </w:r>
      <w:r>
        <w:t>in una dintre următoarele:</w:t>
      </w:r>
    </w:p>
    <w:p w:rsidR="009569C7" w:rsidRPr="00EC4FA2" w:rsidRDefault="00A834F1" w:rsidP="009569C7">
      <w:pPr>
        <w:pStyle w:val="Text1"/>
        <w:numPr>
          <w:ilvl w:val="0"/>
          <w:numId w:val="43"/>
        </w:numPr>
        <w:ind w:left="1134"/>
      </w:pPr>
      <w:r>
        <w:t>o diferen</w:t>
      </w:r>
      <w:r w:rsidR="000C213F">
        <w:t>ț</w:t>
      </w:r>
      <w:r>
        <w:t xml:space="preserve">ă în favoarea debitorului între clauzele contractuale modificate </w:t>
      </w:r>
      <w:r w:rsidR="000C213F">
        <w:t>ș</w:t>
      </w:r>
      <w:r>
        <w:t>i clauzele anterioare ale contractului;</w:t>
      </w:r>
    </w:p>
    <w:p w:rsidR="009569C7" w:rsidRPr="00EC4FA2" w:rsidRDefault="00A834F1" w:rsidP="009569C7">
      <w:pPr>
        <w:pStyle w:val="Text1"/>
        <w:numPr>
          <w:ilvl w:val="0"/>
          <w:numId w:val="43"/>
        </w:numPr>
        <w:ind w:left="1134"/>
      </w:pPr>
      <w:r>
        <w:lastRenderedPageBreak/>
        <w:t>includerea într-un contract modificat a unor clauze mai favorabile decât cele pe care le-ar fi putut ob</w:t>
      </w:r>
      <w:r w:rsidR="000C213F">
        <w:t>ț</w:t>
      </w:r>
      <w:r>
        <w:t>ine al</w:t>
      </w:r>
      <w:r w:rsidR="000C213F">
        <w:t>ț</w:t>
      </w:r>
      <w:r>
        <w:t>i debitori cu un profil de risc similar de la aceea</w:t>
      </w:r>
      <w:r w:rsidR="000C213F">
        <w:t>ș</w:t>
      </w:r>
      <w:r>
        <w:t>i institu</w:t>
      </w:r>
      <w:r w:rsidR="000C213F">
        <w:t>ț</w:t>
      </w:r>
      <w:r>
        <w:t xml:space="preserve">ie la momentul respectiv. </w:t>
      </w:r>
    </w:p>
    <w:p w:rsidR="009569C7" w:rsidRPr="00EC4FA2" w:rsidRDefault="00A834F1" w:rsidP="009569C7">
      <w:pPr>
        <w:pStyle w:val="Baseparagraphnumbered"/>
        <w:tabs>
          <w:tab w:val="left" w:pos="851"/>
        </w:tabs>
        <w:ind w:left="709"/>
      </w:pPr>
      <w:r>
        <w:t xml:space="preserve"> Exercitarea unor clauze care, în cazul în care sunt utilizate în mod discre</w:t>
      </w:r>
      <w:r w:rsidR="000C213F">
        <w:t>ț</w:t>
      </w:r>
      <w:r>
        <w:t>ionar de către debitor, îi permit acestuia să modifice clauzele contractului („clauze implicite de restructurare datorată dificultă</w:t>
      </w:r>
      <w:r w:rsidR="000C213F">
        <w:t>ț</w:t>
      </w:r>
      <w:r>
        <w:t xml:space="preserve">ilor financiare” – </w:t>
      </w:r>
      <w:r>
        <w:rPr>
          <w:i/>
        </w:rPr>
        <w:t>embedded forbearance clauses</w:t>
      </w:r>
      <w:r>
        <w:t>) este considerată o concesie în cazul în care institu</w:t>
      </w:r>
      <w:r w:rsidR="000C213F">
        <w:t>ț</w:t>
      </w:r>
      <w:r>
        <w:t>ia aprobă execu</w:t>
      </w:r>
      <w:r w:rsidR="000C213F">
        <w:t>ț</w:t>
      </w:r>
      <w:r>
        <w:t xml:space="preserve">ia clauzelor respective </w:t>
      </w:r>
      <w:r w:rsidR="000C213F">
        <w:t>ș</w:t>
      </w:r>
      <w:r>
        <w:t>i concluzionează că debitorul se confruntă cu dificultă</w:t>
      </w:r>
      <w:r w:rsidR="000C213F">
        <w:t>ț</w:t>
      </w:r>
      <w:r>
        <w:t xml:space="preserve">i financiare. </w:t>
      </w:r>
    </w:p>
    <w:p w:rsidR="009569C7" w:rsidRPr="00EC4FA2" w:rsidRDefault="00A834F1" w:rsidP="00152278">
      <w:pPr>
        <w:pStyle w:val="Baseparagraphnumbered"/>
      </w:pPr>
      <w:r>
        <w:t xml:space="preserve">În sensul anexelor III </w:t>
      </w:r>
      <w:r w:rsidR="000C213F">
        <w:t>ș</w:t>
      </w:r>
      <w:r>
        <w:t xml:space="preserve">i IV, precum </w:t>
      </w:r>
      <w:r w:rsidR="000C213F">
        <w:t>ș</w:t>
      </w:r>
      <w:r>
        <w:t>i al prezentei anexe, „refinan</w:t>
      </w:r>
      <w:r w:rsidR="000C213F">
        <w:t>ț</w:t>
      </w:r>
      <w:r>
        <w:t>are” înseamnă utilizarea unor contracte de datorie pentru a asigura plata totală sau par</w:t>
      </w:r>
      <w:r w:rsidR="000C213F">
        <w:t>ț</w:t>
      </w:r>
      <w:r>
        <w:t xml:space="preserve">ială a altor contracte de datorie ale căror clauze actuale debitorul nu este în măsură să le respecte. </w:t>
      </w:r>
    </w:p>
    <w:p w:rsidR="009569C7" w:rsidRPr="00EC4FA2" w:rsidRDefault="00A834F1" w:rsidP="009569C7">
      <w:pPr>
        <w:pStyle w:val="Baseparagraphnumbered"/>
        <w:tabs>
          <w:tab w:val="left" w:pos="851"/>
        </w:tabs>
        <w:ind w:left="709"/>
      </w:pPr>
      <w:r>
        <w:t xml:space="preserve">În sensul formularului </w:t>
      </w:r>
      <w:r w:rsidRPr="004237EC">
        <w:t>19</w:t>
      </w:r>
      <w:r>
        <w:t>, „debitorul” include toate entită</w:t>
      </w:r>
      <w:r w:rsidR="000C213F">
        <w:t>ț</w:t>
      </w:r>
      <w:r>
        <w:t xml:space="preserve">ile juridice din grupul debitorului care sunt incluse în perimetrul de consolidare contabil </w:t>
      </w:r>
      <w:r w:rsidR="000C213F">
        <w:t>ș</w:t>
      </w:r>
      <w:r>
        <w:t xml:space="preserve">i persoanele fizice care controlează grupul respectiv. </w:t>
      </w:r>
    </w:p>
    <w:p w:rsidR="009569C7" w:rsidRPr="00EC4FA2" w:rsidRDefault="00A834F1" w:rsidP="009569C7">
      <w:pPr>
        <w:pStyle w:val="Baseparagraphnumbered"/>
      </w:pPr>
      <w:r>
        <w:t xml:space="preserve">În sensul formularului </w:t>
      </w:r>
      <w:r w:rsidRPr="004237EC">
        <w:t>19</w:t>
      </w:r>
      <w:r>
        <w:t xml:space="preserve">, „datoria” include creditele </w:t>
      </w:r>
      <w:r w:rsidR="000C213F">
        <w:t>ș</w:t>
      </w:r>
      <w:r>
        <w:t xml:space="preserve">i avansurile (care includ, de asemenea, soldurile de numerar la bănci centrale </w:t>
      </w:r>
      <w:r w:rsidR="000C213F">
        <w:t>ș</w:t>
      </w:r>
      <w:r>
        <w:t xml:space="preserve">i alte depozite la vedere), titlurile de datorie </w:t>
      </w:r>
      <w:r w:rsidR="000C213F">
        <w:t>ș</w:t>
      </w:r>
      <w:r>
        <w:t xml:space="preserve">i angajamentele de creditare revocabile </w:t>
      </w:r>
      <w:r w:rsidR="000C213F">
        <w:t>ș</w:t>
      </w:r>
      <w:r>
        <w:t xml:space="preserve">i irevocabile acordate, inclusiv angajamentele de creditare desemnate la valoarea justă prin profit </w:t>
      </w:r>
      <w:r w:rsidR="000C213F">
        <w:t>ș</w:t>
      </w:r>
      <w:r>
        <w:t>i pierdere care sunt active la data raportării. „Datoria” exclude expunerile de</w:t>
      </w:r>
      <w:r w:rsidR="000C213F">
        <w:t>ț</w:t>
      </w:r>
      <w:r>
        <w:t>inute în vederea tranzac</w:t>
      </w:r>
      <w:r w:rsidR="000C213F">
        <w:t>ț</w:t>
      </w:r>
      <w:r>
        <w:t xml:space="preserve">ionării. </w:t>
      </w:r>
    </w:p>
    <w:p w:rsidR="009569C7" w:rsidRPr="00EC4FA2" w:rsidRDefault="00A834F1" w:rsidP="009569C7">
      <w:pPr>
        <w:pStyle w:val="Baseparagraphnumbered"/>
      </w:pPr>
      <w:r>
        <w:t xml:space="preserve">„Datoria” include, de asemenea, credite </w:t>
      </w:r>
      <w:r w:rsidR="000C213F">
        <w:t>ș</w:t>
      </w:r>
      <w:r>
        <w:t xml:space="preserve">i avansuri, precum </w:t>
      </w:r>
      <w:r w:rsidR="000C213F">
        <w:t>ș</w:t>
      </w:r>
      <w:r>
        <w:t xml:space="preserve">i titluri de datorie clasificate ca active imobilizate </w:t>
      </w:r>
      <w:r w:rsidR="000C213F">
        <w:t>ș</w:t>
      </w:r>
      <w:r>
        <w:t>i grupuri destinate cedării, clasificate drept de</w:t>
      </w:r>
      <w:r w:rsidR="000C213F">
        <w:t>ț</w:t>
      </w:r>
      <w:r>
        <w:t xml:space="preserve">inute în vederea vânzării în conformitate cu IFRS </w:t>
      </w:r>
      <w:r w:rsidRPr="004237EC">
        <w:t>5</w:t>
      </w:r>
      <w:r>
        <w:t>.</w:t>
      </w:r>
    </w:p>
    <w:p w:rsidR="009569C7" w:rsidRPr="00EC4FA2" w:rsidRDefault="00A834F1" w:rsidP="009569C7">
      <w:pPr>
        <w:pStyle w:val="Baseparagraphnumbered"/>
        <w:tabs>
          <w:tab w:val="left" w:pos="851"/>
        </w:tabs>
        <w:ind w:left="709"/>
      </w:pPr>
      <w:r>
        <w:t xml:space="preserve"> În sensul formularului </w:t>
      </w:r>
      <w:r w:rsidRPr="004237EC">
        <w:t>19</w:t>
      </w:r>
      <w:r>
        <w:t>, „expunere” are acela</w:t>
      </w:r>
      <w:r w:rsidR="000C213F">
        <w:t>ș</w:t>
      </w:r>
      <w:r>
        <w:t>i în</w:t>
      </w:r>
      <w:r w:rsidR="000C213F">
        <w:t>ț</w:t>
      </w:r>
      <w:r>
        <w:t xml:space="preserve">eles cu cel al termenului „datorie” de la punctul </w:t>
      </w:r>
      <w:r w:rsidRPr="004237EC">
        <w:t>247</w:t>
      </w:r>
      <w:r>
        <w:t xml:space="preserve"> din prezenta parte. </w:t>
      </w:r>
    </w:p>
    <w:p w:rsidR="009569C7" w:rsidRPr="00EC4FA2" w:rsidRDefault="00A834F1" w:rsidP="00152278">
      <w:pPr>
        <w:pStyle w:val="Baseparagraphnumbered"/>
      </w:pPr>
      <w:r>
        <w:t xml:space="preserve">Portofoliile contabile în conformitate cu IFRS, enumerate la punctul </w:t>
      </w:r>
      <w:r w:rsidRPr="004237EC">
        <w:t>15</w:t>
      </w:r>
      <w:r>
        <w:t xml:space="preserve"> din partea </w:t>
      </w:r>
      <w:r w:rsidRPr="004237EC">
        <w:t>1</w:t>
      </w:r>
      <w:r>
        <w:t xml:space="preserve"> a prezentei anexe </w:t>
      </w:r>
      <w:r w:rsidR="000C213F">
        <w:t>ș</w:t>
      </w:r>
      <w:r>
        <w:t>i în conformitate cu GAAP na</w:t>
      </w:r>
      <w:r w:rsidR="000C213F">
        <w:t>ț</w:t>
      </w:r>
      <w:r>
        <w:t xml:space="preserve">ionale relevante bazate pe BAD, enumerate la punctul </w:t>
      </w:r>
      <w:r w:rsidRPr="004237EC">
        <w:t>16</w:t>
      </w:r>
      <w:r>
        <w:t xml:space="preserve"> din partea </w:t>
      </w:r>
      <w:r w:rsidRPr="004237EC">
        <w:t>1</w:t>
      </w:r>
      <w:r>
        <w:t xml:space="preserve"> a prezentei anexe se raportează în formularul </w:t>
      </w:r>
      <w:r w:rsidRPr="004237EC">
        <w:t>19</w:t>
      </w:r>
      <w:r>
        <w:t>, astfel cum se define</w:t>
      </w:r>
      <w:r w:rsidR="000C213F">
        <w:t>ș</w:t>
      </w:r>
      <w:r>
        <w:t xml:space="preserve">te la punctul </w:t>
      </w:r>
      <w:r w:rsidRPr="004237EC">
        <w:t>233</w:t>
      </w:r>
      <w:r>
        <w:t xml:space="preserve"> din prezenta parte. </w:t>
      </w:r>
    </w:p>
    <w:p w:rsidR="009569C7" w:rsidRPr="00EC4FA2" w:rsidRDefault="00A834F1" w:rsidP="009569C7">
      <w:pPr>
        <w:pStyle w:val="Baseparagraphnumbered"/>
        <w:tabs>
          <w:tab w:val="left" w:pos="851"/>
        </w:tabs>
        <w:ind w:left="709"/>
      </w:pPr>
      <w:r>
        <w:t xml:space="preserve">În sensul formularului </w:t>
      </w:r>
      <w:r w:rsidRPr="004237EC">
        <w:t>19</w:t>
      </w:r>
      <w:r>
        <w:t>, „institu</w:t>
      </w:r>
      <w:r w:rsidR="000C213F">
        <w:t>ț</w:t>
      </w:r>
      <w:r>
        <w:t>ie” înseamnă institu</w:t>
      </w:r>
      <w:r w:rsidR="000C213F">
        <w:t>ț</w:t>
      </w:r>
      <w:r>
        <w:t>ia care a aplicat măsurile de restructurare datorată dificultă</w:t>
      </w:r>
      <w:r w:rsidR="000C213F">
        <w:t>ț</w:t>
      </w:r>
      <w:r>
        <w:t>ilor financiare.</w:t>
      </w:r>
    </w:p>
    <w:p w:rsidR="009569C7" w:rsidRPr="00EC4FA2" w:rsidRDefault="00A834F1" w:rsidP="009569C7">
      <w:pPr>
        <w:pStyle w:val="Baseparagraphnumbered"/>
        <w:tabs>
          <w:tab w:val="left" w:pos="851"/>
        </w:tabs>
        <w:ind w:left="709"/>
      </w:pPr>
      <w:r>
        <w:t xml:space="preserve">În formularul </w:t>
      </w:r>
      <w:r w:rsidRPr="004237EC">
        <w:t>19</w:t>
      </w:r>
      <w:r>
        <w:t xml:space="preserve"> pentru „datorie”, „valoarea contabilă brută” se raportează astfel cum este definită la punctul </w:t>
      </w:r>
      <w:r w:rsidRPr="004237EC">
        <w:t>34</w:t>
      </w:r>
      <w:r>
        <w:t xml:space="preserve"> din partea </w:t>
      </w:r>
      <w:r w:rsidRPr="004237EC">
        <w:t>1</w:t>
      </w:r>
      <w:r>
        <w:t xml:space="preserve"> a prezentei anexe. Pentru angajamentele de creditare care sunt expuneri extrabilan</w:t>
      </w:r>
      <w:r w:rsidR="000C213F">
        <w:t>ț</w:t>
      </w:r>
      <w:r>
        <w:t xml:space="preserve">iere, se raportează valoarea nominală, astfel cum este definită la punctul </w:t>
      </w:r>
      <w:r w:rsidRPr="004237EC">
        <w:t>118</w:t>
      </w:r>
      <w:r>
        <w:t xml:space="preserve"> din această parte a prezentei anexe.</w:t>
      </w:r>
    </w:p>
    <w:p w:rsidR="009569C7" w:rsidRPr="00EC4FA2" w:rsidRDefault="00A834F1" w:rsidP="009569C7">
      <w:pPr>
        <w:pStyle w:val="Baseparagraphnumbered"/>
      </w:pPr>
      <w:r>
        <w:t>Expunerile sunt considerate expuneri restructurate în urma dificultă</w:t>
      </w:r>
      <w:r w:rsidR="000C213F">
        <w:t>ț</w:t>
      </w:r>
      <w:r>
        <w:t xml:space="preserve">ilor financiare în cazul în care s-a acordat o concesie, indiferent dacă </w:t>
      </w:r>
      <w:r>
        <w:lastRenderedPageBreak/>
        <w:t xml:space="preserve">o sumă este restantă sau indiferent de clasificarea expunerilor ca fiind depreciate, în conformitate cu cadrul contabil aplicabil, sau ca fiind în stare de nerambursare, în conformitate cu articolul </w:t>
      </w:r>
      <w:r w:rsidRPr="004237EC">
        <w:t>178</w:t>
      </w:r>
      <w:r>
        <w:t xml:space="preserve"> din CRR. Expunerile nu sunt tratate ca expuneri restructurate în urma dificultă</w:t>
      </w:r>
      <w:r w:rsidR="000C213F">
        <w:t>ț</w:t>
      </w:r>
      <w:r>
        <w:t>ilor financiare atunci când debitorul nu se confruntă cu dificultă</w:t>
      </w:r>
      <w:r w:rsidR="000C213F">
        <w:t>ț</w:t>
      </w:r>
      <w:r>
        <w:t xml:space="preserve">i financiare. Conform IFRS, activele financiare modificate [IFRS </w:t>
      </w:r>
      <w:r w:rsidRPr="004237EC">
        <w:t>9</w:t>
      </w:r>
      <w:r>
        <w:t xml:space="preserve"> punctul </w:t>
      </w:r>
      <w:r w:rsidRPr="004237EC">
        <w:t>5</w:t>
      </w:r>
      <w:r>
        <w:t>.</w:t>
      </w:r>
      <w:r w:rsidRPr="004237EC">
        <w:t>4</w:t>
      </w:r>
      <w:r>
        <w:t>.</w:t>
      </w:r>
      <w:r w:rsidRPr="004237EC">
        <w:t>3</w:t>
      </w:r>
      <w:r>
        <w:t xml:space="preserve"> </w:t>
      </w:r>
      <w:r w:rsidR="000C213F">
        <w:t>ș</w:t>
      </w:r>
      <w:r>
        <w:t>i anexa A] se tratează ca expunere restructurată în urma dificultă</w:t>
      </w:r>
      <w:r w:rsidR="000C213F">
        <w:t>ț</w:t>
      </w:r>
      <w:r>
        <w:t>ilor financiare cu condi</w:t>
      </w:r>
      <w:r w:rsidR="000C213F">
        <w:t>ț</w:t>
      </w:r>
      <w:r>
        <w:t xml:space="preserve">ia să se fi efectuat o concesie, astfel cum este definită la punctele </w:t>
      </w:r>
      <w:r w:rsidRPr="004237EC">
        <w:t>240</w:t>
      </w:r>
      <w:r>
        <w:t xml:space="preserve"> </w:t>
      </w:r>
      <w:r w:rsidR="000C213F">
        <w:t>ș</w:t>
      </w:r>
      <w:r>
        <w:t xml:space="preserve">i </w:t>
      </w:r>
      <w:r w:rsidRPr="004237EC">
        <w:t>241</w:t>
      </w:r>
      <w:r>
        <w:t xml:space="preserve"> din această parte a prezentei anexe, indiferent de impactul modificării asupra varia</w:t>
      </w:r>
      <w:r w:rsidR="000C213F">
        <w:t>ț</w:t>
      </w:r>
      <w:r>
        <w:t>iei riscului de credit aferent activului financiar după recunoa</w:t>
      </w:r>
      <w:r w:rsidR="000C213F">
        <w:t>ș</w:t>
      </w:r>
      <w:r>
        <w:t>terea ini</w:t>
      </w:r>
      <w:r w:rsidR="000C213F">
        <w:t>ț</w:t>
      </w:r>
      <w:r>
        <w:t>ială. Se consideră că au fost aplicate măsuri de restructurare datorată dificultă</w:t>
      </w:r>
      <w:r w:rsidR="000C213F">
        <w:t>ț</w:t>
      </w:r>
      <w:r>
        <w:t>ilor financiare în oricare din următoarele situa</w:t>
      </w:r>
      <w:r w:rsidR="000C213F">
        <w:t>ț</w:t>
      </w:r>
      <w:r>
        <w:t>ii:</w:t>
      </w:r>
    </w:p>
    <w:p w:rsidR="009569C7" w:rsidRPr="00EC4FA2" w:rsidRDefault="00A834F1" w:rsidP="009569C7">
      <w:pPr>
        <w:pStyle w:val="Text1"/>
        <w:numPr>
          <w:ilvl w:val="1"/>
          <w:numId w:val="45"/>
        </w:numPr>
        <w:ind w:left="1134" w:hanging="425"/>
      </w:pPr>
      <w:r>
        <w:t>un contract modificat a fost clasificat drept neperformant înainte de modificare sau ar fi considerat neperformant în absen</w:t>
      </w:r>
      <w:r w:rsidR="000C213F">
        <w:t>ț</w:t>
      </w:r>
      <w:r>
        <w:t>a modificării;</w:t>
      </w:r>
    </w:p>
    <w:p w:rsidR="009569C7" w:rsidRPr="00EC4FA2" w:rsidRDefault="00A834F1" w:rsidP="009569C7">
      <w:pPr>
        <w:pStyle w:val="Text1"/>
        <w:numPr>
          <w:ilvl w:val="1"/>
          <w:numId w:val="45"/>
        </w:numPr>
        <w:ind w:left="1134" w:hanging="425"/>
      </w:pPr>
      <w:r>
        <w:t>modificarea unui contract implică o anulare totală sau par</w:t>
      </w:r>
      <w:r w:rsidR="000C213F">
        <w:t>ț</w:t>
      </w:r>
      <w:r>
        <w:t>ială a datoriei prin scoaterea unor elemente în afara bilan</w:t>
      </w:r>
      <w:r w:rsidR="000C213F">
        <w:t>ț</w:t>
      </w:r>
      <w:r>
        <w:t>ului;</w:t>
      </w:r>
    </w:p>
    <w:p w:rsidR="009569C7" w:rsidRPr="00EC4FA2" w:rsidRDefault="00A834F1" w:rsidP="009569C7">
      <w:pPr>
        <w:pStyle w:val="Text1"/>
        <w:numPr>
          <w:ilvl w:val="1"/>
          <w:numId w:val="45"/>
        </w:numPr>
        <w:ind w:left="1134" w:hanging="425"/>
      </w:pPr>
      <w:r>
        <w:t>institu</w:t>
      </w:r>
      <w:r w:rsidR="000C213F">
        <w:t>ț</w:t>
      </w:r>
      <w:r>
        <w:t>ia aprobă utilizarea clauzelor implicite de restructurare datorată dificultă</w:t>
      </w:r>
      <w:r w:rsidR="000C213F">
        <w:t>ț</w:t>
      </w:r>
      <w:r>
        <w:t>ilor financiare pentru un debitor care este neperformant sau care ar fi considerat drept neperformant în lipsa utilizării acestor clauze;</w:t>
      </w:r>
    </w:p>
    <w:p w:rsidR="009569C7" w:rsidRPr="00EC4FA2" w:rsidRDefault="00A834F1" w:rsidP="009569C7">
      <w:pPr>
        <w:pStyle w:val="Text1"/>
        <w:numPr>
          <w:ilvl w:val="1"/>
          <w:numId w:val="45"/>
        </w:numPr>
        <w:ind w:left="1134" w:hanging="425"/>
      </w:pPr>
      <w:r>
        <w:t>simultan cu acordarea unei concesii pentru o datorie suplimentară de către institu</w:t>
      </w:r>
      <w:r w:rsidR="000C213F">
        <w:t>ț</w:t>
      </w:r>
      <w:r>
        <w:t>ie sau într-un moment apropiat în timp de o astfel de concesie, debitorul a efectuat plă</w:t>
      </w:r>
      <w:r w:rsidR="000C213F">
        <w:t>ț</w:t>
      </w:r>
      <w:r>
        <w:t>ile principalului sau ale dobânzilor pentru un alt contract cu institu</w:t>
      </w:r>
      <w:r w:rsidR="000C213F">
        <w:t>ț</w:t>
      </w:r>
      <w:r>
        <w:t>ia, care a fost clasificat drept neperformant sau care, în absen</w:t>
      </w:r>
      <w:r w:rsidR="000C213F">
        <w:t>ț</w:t>
      </w:r>
      <w:r>
        <w:t>a refinan</w:t>
      </w:r>
      <w:r w:rsidR="000C213F">
        <w:t>ț</w:t>
      </w:r>
      <w:r>
        <w:t>ării, ar fi clasificat drept neperformant.</w:t>
      </w:r>
    </w:p>
    <w:p w:rsidR="009569C7" w:rsidRPr="00EC4FA2" w:rsidRDefault="00A834F1" w:rsidP="009569C7">
      <w:pPr>
        <w:pStyle w:val="Baseparagraphnumbered"/>
        <w:tabs>
          <w:tab w:val="left" w:pos="851"/>
        </w:tabs>
        <w:ind w:left="709"/>
      </w:pPr>
      <w:r>
        <w:t>O modificare care implică rambursări efectuate prin intrarea în posesia garan</w:t>
      </w:r>
      <w:r w:rsidR="000C213F">
        <w:t>ț</w:t>
      </w:r>
      <w:r>
        <w:t>iilor reale este tratată ca o măsură de restructurare datorată dificultă</w:t>
      </w:r>
      <w:r w:rsidR="000C213F">
        <w:t>ț</w:t>
      </w:r>
      <w:r>
        <w:t>ilor financiare în cazul în care această modificare reprezintă o concesie.</w:t>
      </w:r>
    </w:p>
    <w:p w:rsidR="009569C7" w:rsidRPr="00EC4FA2" w:rsidRDefault="00A834F1" w:rsidP="009569C7">
      <w:pPr>
        <w:pStyle w:val="Baseparagraphnumbered"/>
        <w:tabs>
          <w:tab w:val="left" w:pos="851"/>
        </w:tabs>
        <w:ind w:left="709"/>
      </w:pPr>
      <w:r>
        <w:t>Există o prezum</w:t>
      </w:r>
      <w:r w:rsidR="000C213F">
        <w:t>ț</w:t>
      </w:r>
      <w:r>
        <w:t>ie relativă conform căreia s-a aplicat o măsură de restructurare datorată dificultă</w:t>
      </w:r>
      <w:r w:rsidR="000C213F">
        <w:t>ț</w:t>
      </w:r>
      <w:r>
        <w:t>ilor financiare în oricare din următoarele circumstan</w:t>
      </w:r>
      <w:r w:rsidR="000C213F">
        <w:t>ț</w:t>
      </w:r>
      <w:r>
        <w:t>e:</w:t>
      </w:r>
    </w:p>
    <w:p w:rsidR="009569C7" w:rsidRPr="00EC4FA2" w:rsidRDefault="00A834F1" w:rsidP="009569C7">
      <w:pPr>
        <w:pStyle w:val="Text1"/>
        <w:numPr>
          <w:ilvl w:val="0"/>
          <w:numId w:val="47"/>
        </w:numPr>
        <w:ind w:left="1134" w:hanging="425"/>
      </w:pPr>
      <w:r>
        <w:t>contractul modificat a fost restant în totalitate sau par</w:t>
      </w:r>
      <w:r w:rsidR="000C213F">
        <w:t>ț</w:t>
      </w:r>
      <w:r>
        <w:t xml:space="preserve">ial cu peste </w:t>
      </w:r>
      <w:r w:rsidRPr="004237EC">
        <w:t>30</w:t>
      </w:r>
      <w:r>
        <w:t xml:space="preserve"> de zile (fără a fi neperformant) cel pu</w:t>
      </w:r>
      <w:r w:rsidR="000C213F">
        <w:t>ț</w:t>
      </w:r>
      <w:r>
        <w:t xml:space="preserve">in o dată în cursul celor trei luni anterioare modificării sale sau ar fi restant cu peste </w:t>
      </w:r>
      <w:r w:rsidRPr="004237EC">
        <w:t>30</w:t>
      </w:r>
      <w:r>
        <w:t xml:space="preserve"> de zile, în totalitate sau par</w:t>
      </w:r>
      <w:r w:rsidR="000C213F">
        <w:t>ț</w:t>
      </w:r>
      <w:r>
        <w:t xml:space="preserve">ial, în lipsa modificării; </w:t>
      </w:r>
    </w:p>
    <w:p w:rsidR="009569C7" w:rsidRPr="00EC4FA2" w:rsidRDefault="00A834F1" w:rsidP="009569C7">
      <w:pPr>
        <w:pStyle w:val="Text1"/>
        <w:numPr>
          <w:ilvl w:val="0"/>
          <w:numId w:val="47"/>
        </w:numPr>
        <w:ind w:left="1134" w:hanging="425"/>
      </w:pPr>
      <w:r>
        <w:t>simultan cu concesia pentru o datorie suplimentară de către institu</w:t>
      </w:r>
      <w:r w:rsidR="000C213F">
        <w:t>ț</w:t>
      </w:r>
      <w:r>
        <w:t>ie sau într-un moment apropiat în timp de o astfel de concesie, debitorul a efectuat plă</w:t>
      </w:r>
      <w:r w:rsidR="000C213F">
        <w:t>ț</w:t>
      </w:r>
      <w:r>
        <w:t>ile principalului sau ale dobânzilor pentru un alt contract cu institu</w:t>
      </w:r>
      <w:r w:rsidR="000C213F">
        <w:t>ț</w:t>
      </w:r>
      <w:r>
        <w:t>ia, care a fost în totalitate sau par</w:t>
      </w:r>
      <w:r w:rsidR="000C213F">
        <w:t>ț</w:t>
      </w:r>
      <w:r>
        <w:t xml:space="preserve">ial restant cu peste </w:t>
      </w:r>
      <w:r w:rsidRPr="004237EC">
        <w:t>30</w:t>
      </w:r>
      <w:r>
        <w:t xml:space="preserve"> de zile cel pu</w:t>
      </w:r>
      <w:r w:rsidR="000C213F">
        <w:t>ț</w:t>
      </w:r>
      <w:r>
        <w:t>in o dată în cursul celor trei luni anterioare refinan</w:t>
      </w:r>
      <w:r w:rsidR="000C213F">
        <w:t>ț</w:t>
      </w:r>
      <w:r>
        <w:t>ării sale;</w:t>
      </w:r>
    </w:p>
    <w:p w:rsidR="009569C7" w:rsidRPr="00EC4FA2" w:rsidRDefault="00A834F1" w:rsidP="009569C7">
      <w:pPr>
        <w:pStyle w:val="Text1"/>
        <w:numPr>
          <w:ilvl w:val="0"/>
          <w:numId w:val="47"/>
        </w:numPr>
        <w:ind w:left="1134" w:hanging="425"/>
      </w:pPr>
      <w:r>
        <w:t>institu</w:t>
      </w:r>
      <w:r w:rsidR="000C213F">
        <w:t>ț</w:t>
      </w:r>
      <w:r>
        <w:t>ia aprobă utilizarea clauzelor implicite de restructurare datorată dificultă</w:t>
      </w:r>
      <w:r w:rsidR="000C213F">
        <w:t>ț</w:t>
      </w:r>
      <w:r>
        <w:t xml:space="preserve">ilor financiare pentru debitorii care înregistrează întârzieri la plată de </w:t>
      </w:r>
      <w:r w:rsidRPr="004237EC">
        <w:t>30</w:t>
      </w:r>
      <w:r>
        <w:t xml:space="preserve"> de zile sau debitorii care ar înregistra astfel de întârzieri de </w:t>
      </w:r>
      <w:r w:rsidRPr="004237EC">
        <w:t>30</w:t>
      </w:r>
      <w:r>
        <w:t xml:space="preserve"> de zile în lipsa exercitării acestor clauze.</w:t>
      </w:r>
    </w:p>
    <w:p w:rsidR="009569C7" w:rsidRPr="00EC4FA2" w:rsidRDefault="00A834F1" w:rsidP="009569C7">
      <w:pPr>
        <w:pStyle w:val="Baseparagraphnumbered"/>
        <w:tabs>
          <w:tab w:val="left" w:pos="851"/>
        </w:tabs>
        <w:ind w:left="709"/>
      </w:pPr>
      <w:r>
        <w:lastRenderedPageBreak/>
        <w:t>Dificultă</w:t>
      </w:r>
      <w:r w:rsidR="000C213F">
        <w:t>ț</w:t>
      </w:r>
      <w:r>
        <w:t>ile financiare se evaluează la nivelul debitorului, astfel cum se men</w:t>
      </w:r>
      <w:r w:rsidR="000C213F">
        <w:t>ț</w:t>
      </w:r>
      <w:r>
        <w:t xml:space="preserve">ionează la punctul </w:t>
      </w:r>
      <w:r w:rsidRPr="004237EC">
        <w:t>245</w:t>
      </w:r>
      <w:r>
        <w:t>. Numai expunerile cărora li s-au aplicat măsuri de restructurare datorată dificultă</w:t>
      </w:r>
      <w:r w:rsidR="000C213F">
        <w:t>ț</w:t>
      </w:r>
      <w:r>
        <w:t>ilor financiare sunt identificate ca expuneri restructurate în urma dificultă</w:t>
      </w:r>
      <w:r w:rsidR="000C213F">
        <w:t>ț</w:t>
      </w:r>
      <w:r>
        <w:t>ilor financiare.</w:t>
      </w:r>
    </w:p>
    <w:p w:rsidR="009569C7" w:rsidRPr="00EC4FA2" w:rsidRDefault="00A834F1" w:rsidP="009569C7">
      <w:pPr>
        <w:pStyle w:val="Baseparagraphnumbered"/>
        <w:tabs>
          <w:tab w:val="left" w:pos="851"/>
        </w:tabs>
        <w:ind w:left="709"/>
      </w:pPr>
      <w:r>
        <w:t>Expunerile restructurate în urma dificultă</w:t>
      </w:r>
      <w:r w:rsidR="000C213F">
        <w:t>ț</w:t>
      </w:r>
      <w:r>
        <w:t xml:space="preserve">ilor financiare se includ în categoria expunerilor neperformante sau în cea a expunerilor performante în conformitate cu punctele </w:t>
      </w:r>
      <w:r w:rsidRPr="004237EC">
        <w:t>213</w:t>
      </w:r>
      <w:r>
        <w:t>-</w:t>
      </w:r>
      <w:r w:rsidRPr="004237EC">
        <w:t>224</w:t>
      </w:r>
      <w:r>
        <w:t xml:space="preserve"> </w:t>
      </w:r>
      <w:r w:rsidR="000C213F">
        <w:t>ș</w:t>
      </w:r>
      <w:r>
        <w:t xml:space="preserve">i </w:t>
      </w:r>
      <w:r w:rsidRPr="004237EC">
        <w:t>260</w:t>
      </w:r>
      <w:r>
        <w:t xml:space="preserve"> din prezenta parte. Clasificarea ca expunere restructurată în urma dificultă</w:t>
      </w:r>
      <w:r w:rsidR="000C213F">
        <w:t>ț</w:t>
      </w:r>
      <w:r>
        <w:t>ilor financiare încetează în cazul în care sunt îndeplinite toate condi</w:t>
      </w:r>
      <w:r w:rsidR="000C213F">
        <w:t>ț</w:t>
      </w:r>
      <w:r>
        <w:t>iile de mai jos:</w:t>
      </w:r>
    </w:p>
    <w:p w:rsidR="009569C7" w:rsidRPr="00EC4FA2" w:rsidRDefault="00A834F1" w:rsidP="009569C7">
      <w:pPr>
        <w:pStyle w:val="Text1"/>
        <w:numPr>
          <w:ilvl w:val="0"/>
          <w:numId w:val="46"/>
        </w:numPr>
        <w:ind w:left="1134" w:hanging="425"/>
      </w:pPr>
      <w:r>
        <w:t>expunerea restructurată în urma dificultă</w:t>
      </w:r>
      <w:r w:rsidR="000C213F">
        <w:t>ț</w:t>
      </w:r>
      <w:r>
        <w:t>ilor financiare este considerată drept performantă, inclusiv în cazul în care a fost reclasificată din categoria expunerilor neperformante după ce analiza situa</w:t>
      </w:r>
      <w:r w:rsidR="000C213F">
        <w:t>ț</w:t>
      </w:r>
      <w:r>
        <w:t>iei financiare a debitorului a arătat că aceasta nu mai îndepline</w:t>
      </w:r>
      <w:r w:rsidR="000C213F">
        <w:t>ș</w:t>
      </w:r>
      <w:r>
        <w:t>te condi</w:t>
      </w:r>
      <w:r w:rsidR="000C213F">
        <w:t>ț</w:t>
      </w:r>
      <w:r>
        <w:t>iile pentru a fi considerată neperformantă;</w:t>
      </w:r>
    </w:p>
    <w:p w:rsidR="009569C7" w:rsidRPr="00EC4FA2" w:rsidRDefault="00A834F1" w:rsidP="009569C7">
      <w:pPr>
        <w:pStyle w:val="Text1"/>
        <w:numPr>
          <w:ilvl w:val="0"/>
          <w:numId w:val="46"/>
        </w:numPr>
        <w:ind w:left="1134" w:hanging="425"/>
      </w:pPr>
      <w:r>
        <w:t>a trecut o perioadă de minimum doi ani de la data la care expunerea restructurată în urma dificultă</w:t>
      </w:r>
      <w:r w:rsidR="000C213F">
        <w:t>ț</w:t>
      </w:r>
      <w:r>
        <w:t>ilor financiare a fost considerată ca fiind performantă („perioadă de probă”);</w:t>
      </w:r>
    </w:p>
    <w:p w:rsidR="009569C7" w:rsidRPr="00EC4FA2" w:rsidRDefault="00A834F1" w:rsidP="009569C7">
      <w:pPr>
        <w:pStyle w:val="Text1"/>
        <w:numPr>
          <w:ilvl w:val="0"/>
          <w:numId w:val="46"/>
        </w:numPr>
        <w:ind w:left="1134" w:hanging="425"/>
      </w:pPr>
      <w:r>
        <w:t>pe parcursul a cel pu</w:t>
      </w:r>
      <w:r w:rsidR="000C213F">
        <w:t>ț</w:t>
      </w:r>
      <w:r>
        <w:t>in jumătate din perioada de probă, s-au efectuat plă</w:t>
      </w:r>
      <w:r w:rsidR="000C213F">
        <w:t>ț</w:t>
      </w:r>
      <w:r>
        <w:t xml:space="preserve">i periodice a căror valoare agregată a principalului sau a dobânzii nu este neglijabilă; </w:t>
      </w:r>
    </w:p>
    <w:p w:rsidR="009569C7" w:rsidRPr="00EC4FA2" w:rsidRDefault="00A834F1" w:rsidP="009569C7">
      <w:pPr>
        <w:pStyle w:val="Text1"/>
        <w:numPr>
          <w:ilvl w:val="0"/>
          <w:numId w:val="46"/>
        </w:numPr>
        <w:ind w:left="1134" w:hanging="425"/>
      </w:pPr>
      <w:r>
        <w:t>niciuna dintre expunerile fa</w:t>
      </w:r>
      <w:r w:rsidR="000C213F">
        <w:t>ț</w:t>
      </w:r>
      <w:r>
        <w:t xml:space="preserve">ă de debitor nu este restantă cu peste </w:t>
      </w:r>
      <w:r w:rsidRPr="004237EC">
        <w:t>30</w:t>
      </w:r>
      <w:r>
        <w:t xml:space="preserve"> de zile la sfâr</w:t>
      </w:r>
      <w:r w:rsidR="000C213F">
        <w:t>ș</w:t>
      </w:r>
      <w:r>
        <w:t xml:space="preserve">itul perioadei de probă. </w:t>
      </w:r>
    </w:p>
    <w:p w:rsidR="009569C7" w:rsidRPr="00EC4FA2" w:rsidRDefault="00A834F1" w:rsidP="009569C7">
      <w:pPr>
        <w:pStyle w:val="Baseparagraphnumbered"/>
        <w:tabs>
          <w:tab w:val="left" w:pos="851"/>
        </w:tabs>
        <w:ind w:left="709"/>
      </w:pPr>
      <w:r>
        <w:t>În cazul în care condi</w:t>
      </w:r>
      <w:r w:rsidR="000C213F">
        <w:t>ț</w:t>
      </w:r>
      <w:r>
        <w:t>iile men</w:t>
      </w:r>
      <w:r w:rsidR="000C213F">
        <w:t>ț</w:t>
      </w:r>
      <w:r>
        <w:t xml:space="preserve">ionate la punctul </w:t>
      </w:r>
      <w:r w:rsidRPr="004237EC">
        <w:t>256</w:t>
      </w:r>
      <w:r>
        <w:t xml:space="preserve"> nu sunt îndeplinite la sfâr</w:t>
      </w:r>
      <w:r w:rsidR="000C213F">
        <w:t>ș</w:t>
      </w:r>
      <w:r>
        <w:t>itul perioadei de probă, expunerea este identificată în continuare drept expunere performantă restructurată în urma dificultă</w:t>
      </w:r>
      <w:r w:rsidR="000C213F">
        <w:t>ț</w:t>
      </w:r>
      <w:r>
        <w:t>ilor financiare, supusă unei perioade de probă până la îndeplinirea tuturor condi</w:t>
      </w:r>
      <w:r w:rsidR="000C213F">
        <w:t>ț</w:t>
      </w:r>
      <w:r>
        <w:t>iilor. Condi</w:t>
      </w:r>
      <w:r w:rsidR="000C213F">
        <w:t>ț</w:t>
      </w:r>
      <w:r>
        <w:t>iile se evaluează cel pu</w:t>
      </w:r>
      <w:r w:rsidR="000C213F">
        <w:t>ț</w:t>
      </w:r>
      <w:r>
        <w:t>in cu o frecven</w:t>
      </w:r>
      <w:r w:rsidR="000C213F">
        <w:t>ț</w:t>
      </w:r>
      <w:r>
        <w:t xml:space="preserve">ă trimestrială. </w:t>
      </w:r>
    </w:p>
    <w:p w:rsidR="009569C7" w:rsidRPr="00EC4FA2" w:rsidRDefault="00A834F1" w:rsidP="009569C7">
      <w:pPr>
        <w:pStyle w:val="Baseparagraphnumbered"/>
        <w:tabs>
          <w:tab w:val="left" w:pos="851"/>
        </w:tabs>
        <w:ind w:left="709"/>
      </w:pPr>
      <w:r>
        <w:t>Expunerile restructurate în urma dificultă</w:t>
      </w:r>
      <w:r w:rsidR="000C213F">
        <w:t>ț</w:t>
      </w:r>
      <w:r>
        <w:t>ilor financiare care sunt clasificate drept active imobilizate de</w:t>
      </w:r>
      <w:r w:rsidR="000C213F">
        <w:t>ț</w:t>
      </w:r>
      <w:r>
        <w:t xml:space="preserve">inute în vederea vânzării în conformitate cu IFRS </w:t>
      </w:r>
      <w:r w:rsidRPr="004237EC">
        <w:t>5</w:t>
      </w:r>
      <w:r>
        <w:t xml:space="preserve"> continuă să fie clasificate drept expuneri restructurate în urma dificultă</w:t>
      </w:r>
      <w:r w:rsidR="000C213F">
        <w:t>ț</w:t>
      </w:r>
      <w:r>
        <w:t>ilor financiare.</w:t>
      </w:r>
    </w:p>
    <w:p w:rsidR="009569C7" w:rsidRPr="00EC4FA2" w:rsidRDefault="00A834F1" w:rsidP="009569C7">
      <w:pPr>
        <w:pStyle w:val="Baseparagraphnumbered"/>
        <w:tabs>
          <w:tab w:val="left" w:pos="851"/>
        </w:tabs>
        <w:ind w:left="709"/>
      </w:pPr>
      <w:r>
        <w:t>O expunere restructurată în urma dificultă</w:t>
      </w:r>
      <w:r w:rsidR="000C213F">
        <w:t>ț</w:t>
      </w:r>
      <w:r>
        <w:t>ilor financiare poate fi considerată performantă de la data la care s-au aplicat măsuri de restructurare datorată dificultă</w:t>
      </w:r>
      <w:r w:rsidR="000C213F">
        <w:t>ț</w:t>
      </w:r>
      <w:r>
        <w:t>ilor financiare, în cazul în care sunt îndeplinite ambele condi</w:t>
      </w:r>
      <w:r w:rsidR="000C213F">
        <w:t>ț</w:t>
      </w:r>
      <w:r>
        <w:t>ii următoare:</w:t>
      </w:r>
    </w:p>
    <w:p w:rsidR="009569C7" w:rsidRPr="00EC4FA2" w:rsidRDefault="00A834F1" w:rsidP="009569C7">
      <w:pPr>
        <w:pStyle w:val="Text1"/>
        <w:numPr>
          <w:ilvl w:val="0"/>
          <w:numId w:val="48"/>
        </w:numPr>
        <w:ind w:left="1134" w:hanging="425"/>
      </w:pPr>
      <w:r>
        <w:t>aplicarea măsurilor de restructurare respective nu a dus la clasificarea expunerii drept neperformantă;</w:t>
      </w:r>
    </w:p>
    <w:p w:rsidR="009569C7" w:rsidRPr="00EC4FA2" w:rsidRDefault="00A834F1" w:rsidP="009569C7">
      <w:pPr>
        <w:pStyle w:val="Text1"/>
        <w:numPr>
          <w:ilvl w:val="0"/>
          <w:numId w:val="48"/>
        </w:numPr>
        <w:ind w:left="1134" w:hanging="425"/>
      </w:pPr>
      <w:r>
        <w:t>expunerea nu a fost considerată drept expunere neperformantă la data la care au fost aplicate măsurile de restructurare datorată dificultă</w:t>
      </w:r>
      <w:r w:rsidR="000C213F">
        <w:t>ț</w:t>
      </w:r>
      <w:r>
        <w:t xml:space="preserve">ilor financiare. </w:t>
      </w:r>
    </w:p>
    <w:p w:rsidR="009569C7" w:rsidRPr="00EC4FA2" w:rsidRDefault="00A834F1" w:rsidP="009569C7">
      <w:pPr>
        <w:pStyle w:val="Baseparagraphnumbered"/>
        <w:tabs>
          <w:tab w:val="left" w:pos="851"/>
        </w:tabs>
        <w:ind w:left="709"/>
      </w:pPr>
      <w:r>
        <w:t>În cazul în care se aplică măsuri suplimentare de restructurare datorată dificultă</w:t>
      </w:r>
      <w:r w:rsidR="000C213F">
        <w:t>ț</w:t>
      </w:r>
      <w:r>
        <w:t xml:space="preserve">ilor financiare unei expuneri performante restructurate în urma </w:t>
      </w:r>
      <w:r>
        <w:lastRenderedPageBreak/>
        <w:t>dificultă</w:t>
      </w:r>
      <w:r w:rsidR="000C213F">
        <w:t>ț</w:t>
      </w:r>
      <w:r>
        <w:t xml:space="preserve">ilor financiare </w:t>
      </w:r>
      <w:r w:rsidR="000C213F">
        <w:t>ș</w:t>
      </w:r>
      <w:r>
        <w:t xml:space="preserve">i supuse unei perioade de probă care a fost reclasificată din categoria expunerilor neperformante sau dacă expunerea devine restantă cu peste </w:t>
      </w:r>
      <w:r w:rsidRPr="004237EC">
        <w:t>30</w:t>
      </w:r>
      <w:r>
        <w:t xml:space="preserve"> de zile, ea va fi clasificată drept neperformantă. </w:t>
      </w:r>
    </w:p>
    <w:p w:rsidR="009569C7" w:rsidRPr="00EC4FA2" w:rsidRDefault="00A834F1" w:rsidP="009569C7">
      <w:pPr>
        <w:pStyle w:val="Baseparagraphnumbered"/>
        <w:tabs>
          <w:tab w:val="left" w:pos="851"/>
        </w:tabs>
        <w:ind w:left="709"/>
      </w:pPr>
      <w:r>
        <w:t>„Expunerile performante cu măsuri de restructurare datorată dificultă</w:t>
      </w:r>
      <w:r w:rsidR="000C213F">
        <w:t>ț</w:t>
      </w:r>
      <w:r>
        <w:t>ilor financiare” (expuneri performante restructurate în urma dificultă</w:t>
      </w:r>
      <w:r w:rsidR="000C213F">
        <w:t>ț</w:t>
      </w:r>
      <w:r>
        <w:t>ilor financiare) cuprind expunerile restructurate în urma dificultă</w:t>
      </w:r>
      <w:r w:rsidR="000C213F">
        <w:t>ț</w:t>
      </w:r>
      <w:r>
        <w:t>ilor financiare care nu îndeplinesc condi</w:t>
      </w:r>
      <w:r w:rsidR="000C213F">
        <w:t>ț</w:t>
      </w:r>
      <w:r>
        <w:t xml:space="preserve">iile necesare pentru a fi considerate drept neperformante </w:t>
      </w:r>
      <w:r w:rsidR="000C213F">
        <w:t>ș</w:t>
      </w:r>
      <w:r>
        <w:t>i sunt incluse în categoria expunerilor performante. Expunerile performante restructurate în urma dificultă</w:t>
      </w:r>
      <w:r w:rsidR="000C213F">
        <w:t>ț</w:t>
      </w:r>
      <w:r>
        <w:t xml:space="preserve">ilor financiare sunt supuse unei perioade de probă în conformitate cu punctul </w:t>
      </w:r>
      <w:r w:rsidRPr="004237EC">
        <w:t>256</w:t>
      </w:r>
      <w:r>
        <w:t xml:space="preserve">, inclusiv în cazul în care se aplică punctul </w:t>
      </w:r>
      <w:r w:rsidRPr="004237EC">
        <w:t>259</w:t>
      </w:r>
      <w:r>
        <w:t>. Expunerile performante restructurate în urma dificultă</w:t>
      </w:r>
      <w:r w:rsidR="000C213F">
        <w:t>ț</w:t>
      </w:r>
      <w:r>
        <w:t xml:space="preserve">ilor financiare supuse unei perioade de probă </w:t>
      </w:r>
      <w:r w:rsidR="000C213F">
        <w:t>ș</w:t>
      </w:r>
      <w:r>
        <w:t>i care au fost reclasificate din categoria expunerilor neperformante se raportează separat în cadrul expunerilor performante cu măsuri de restructurare datorată dificultă</w:t>
      </w:r>
      <w:r w:rsidR="000C213F">
        <w:t>ț</w:t>
      </w:r>
      <w:r>
        <w:t>ilor financiare, în coloana „din care: expuneri performante restructurate în urma dificultă</w:t>
      </w:r>
      <w:r w:rsidR="000C213F">
        <w:t>ț</w:t>
      </w:r>
      <w:r>
        <w:t xml:space="preserve">ilor financiare supuse unei perioade de probă, reclasificate din expuneri neperformante”. </w:t>
      </w:r>
    </w:p>
    <w:p w:rsidR="009569C7" w:rsidRPr="00EC4FA2" w:rsidRDefault="00A834F1" w:rsidP="009569C7">
      <w:pPr>
        <w:pStyle w:val="Baseparagraphnumbered"/>
        <w:tabs>
          <w:tab w:val="left" w:pos="851"/>
        </w:tabs>
        <w:ind w:left="709"/>
      </w:pPr>
      <w:r>
        <w:t>„Expunerile neperformante cu măsuri de restructurare datorată dificultă</w:t>
      </w:r>
      <w:r w:rsidR="000C213F">
        <w:t>ț</w:t>
      </w:r>
      <w:r>
        <w:t>ilor financiare” (expuneri neperformante restructurate în urma dificultă</w:t>
      </w:r>
      <w:r w:rsidR="000C213F">
        <w:t>ț</w:t>
      </w:r>
      <w:r>
        <w:t>ilor financiare) cuprind expunerile restructurate în urma dificultă</w:t>
      </w:r>
      <w:r w:rsidR="000C213F">
        <w:t>ț</w:t>
      </w:r>
      <w:r>
        <w:t>ilor financiare care îndeplinesc condi</w:t>
      </w:r>
      <w:r w:rsidR="000C213F">
        <w:t>ț</w:t>
      </w:r>
      <w:r>
        <w:t xml:space="preserve">iile necesare pentru a fi considerate drept neperformante </w:t>
      </w:r>
      <w:r w:rsidR="000C213F">
        <w:t>ș</w:t>
      </w:r>
      <w:r>
        <w:t>i sunt incluse în categoria expunerilor neperformante. Aceste expuneri neperformante restructurate în urma dificultă</w:t>
      </w:r>
      <w:r w:rsidR="000C213F">
        <w:t>ț</w:t>
      </w:r>
      <w:r>
        <w:t xml:space="preserve">ilor financiare includ următoarele: </w:t>
      </w:r>
    </w:p>
    <w:p w:rsidR="009569C7" w:rsidRPr="00EC4FA2" w:rsidRDefault="00A834F1" w:rsidP="009569C7">
      <w:pPr>
        <w:pStyle w:val="Text1"/>
        <w:numPr>
          <w:ilvl w:val="0"/>
          <w:numId w:val="49"/>
        </w:numPr>
        <w:ind w:left="1134" w:hanging="425"/>
      </w:pPr>
      <w:r>
        <w:t>expunerile care au devenit neperformante în urma aplicării măsurilor de restructurare datorată dificultă</w:t>
      </w:r>
      <w:r w:rsidR="000C213F">
        <w:t>ț</w:t>
      </w:r>
      <w:r>
        <w:t xml:space="preserve">ilor financiare; </w:t>
      </w:r>
    </w:p>
    <w:p w:rsidR="009569C7" w:rsidRPr="00EC4FA2" w:rsidRDefault="00A834F1" w:rsidP="009569C7">
      <w:pPr>
        <w:pStyle w:val="Text1"/>
        <w:numPr>
          <w:ilvl w:val="0"/>
          <w:numId w:val="49"/>
        </w:numPr>
        <w:ind w:left="1134" w:hanging="425"/>
      </w:pPr>
      <w:r>
        <w:t>expunerile care erau neperformante înainte de aplicarea măsurilor de restructurare datorată dificultă</w:t>
      </w:r>
      <w:r w:rsidR="000C213F">
        <w:t>ț</w:t>
      </w:r>
      <w:r>
        <w:t>ilor financiare;</w:t>
      </w:r>
      <w:r w:rsidR="004237EC">
        <w:t xml:space="preserve"> </w:t>
      </w:r>
    </w:p>
    <w:p w:rsidR="009569C7" w:rsidRPr="00EC4FA2" w:rsidRDefault="00A834F1" w:rsidP="009569C7">
      <w:pPr>
        <w:pStyle w:val="Text1"/>
        <w:numPr>
          <w:ilvl w:val="0"/>
          <w:numId w:val="49"/>
        </w:numPr>
        <w:ind w:left="1134" w:hanging="425"/>
      </w:pPr>
      <w:r>
        <w:t>expunerile restructurate în urma dificultă</w:t>
      </w:r>
      <w:r w:rsidR="000C213F">
        <w:t>ț</w:t>
      </w:r>
      <w:r>
        <w:t xml:space="preserve">ilor financiare care au fost reclasificate din categoria expunerilor performante, inclusiv expunerile reclasificate în conformitate cu punctul </w:t>
      </w:r>
      <w:r w:rsidRPr="004237EC">
        <w:t>260</w:t>
      </w:r>
      <w:r>
        <w:t xml:space="preserve">. </w:t>
      </w:r>
    </w:p>
    <w:p w:rsidR="009569C7" w:rsidRPr="00EC4FA2" w:rsidRDefault="00A834F1" w:rsidP="009569C7">
      <w:pPr>
        <w:pStyle w:val="Baseparagraphnumbered"/>
        <w:tabs>
          <w:tab w:val="left" w:pos="851"/>
        </w:tabs>
        <w:ind w:left="709"/>
      </w:pPr>
      <w:r>
        <w:t>În cazul în care măsurile de restructurare datorată dificultă</w:t>
      </w:r>
      <w:r w:rsidR="000C213F">
        <w:t>ț</w:t>
      </w:r>
      <w:r>
        <w:t xml:space="preserve">ilor financiare se aplică </w:t>
      </w:r>
      <w:r w:rsidR="000C213F">
        <w:t>ș</w:t>
      </w:r>
      <w:r>
        <w:t>i expunerilor care erau neperformante înainte de extinderea măsurilor de restructurare datorată dificultă</w:t>
      </w:r>
      <w:r w:rsidR="000C213F">
        <w:t>ț</w:t>
      </w:r>
      <w:r>
        <w:t>ilor financiare, valoarea acestor expuneri restructurate în urma dificultă</w:t>
      </w:r>
      <w:r w:rsidR="000C213F">
        <w:t>ț</w:t>
      </w:r>
      <w:r>
        <w:t>ilor financiare este identificată separat în coloana „din care: restructurarea expunerilor neperformante înainte de aplicarea măsurilor de restructurare datorată dificultă</w:t>
      </w:r>
      <w:r w:rsidR="000C213F">
        <w:t>ț</w:t>
      </w:r>
      <w:r>
        <w:t>ilor financiare”.</w:t>
      </w:r>
    </w:p>
    <w:p w:rsidR="009569C7" w:rsidRPr="00EC4FA2" w:rsidRDefault="00A834F1" w:rsidP="009569C7">
      <w:pPr>
        <w:pStyle w:val="Baseparagraphnumbered"/>
        <w:tabs>
          <w:tab w:val="left" w:pos="851"/>
        </w:tabs>
        <w:ind w:left="709"/>
      </w:pPr>
      <w:r>
        <w:t>Următoarele expuneri neperformante cu măsuri de restructurare datorată dificultă</w:t>
      </w:r>
      <w:r w:rsidR="000C213F">
        <w:t>ț</w:t>
      </w:r>
      <w:r>
        <w:t>ilor financiare sunt identificate în coloane separate:</w:t>
      </w:r>
    </w:p>
    <w:p w:rsidR="009569C7" w:rsidRPr="00EC4FA2" w:rsidRDefault="00A834F1" w:rsidP="009569C7">
      <w:pPr>
        <w:pStyle w:val="Text1"/>
        <w:numPr>
          <w:ilvl w:val="0"/>
          <w:numId w:val="50"/>
        </w:numPr>
        <w:ind w:left="1134" w:hanging="425"/>
      </w:pPr>
      <w:r>
        <w:t xml:space="preserve">expunerile care sunt considerate depreciate în conformitate cu cadrul contabil aplicabil. Conform IFRS, cuantumul activelor depreciate ca urmare a riscului de credit (etapa </w:t>
      </w:r>
      <w:r w:rsidRPr="004237EC">
        <w:t>3</w:t>
      </w:r>
      <w:r>
        <w:t>), inclusiv activele achizi</w:t>
      </w:r>
      <w:r w:rsidR="000C213F">
        <w:t>ț</w:t>
      </w:r>
      <w:r>
        <w:t>ionate sau ini</w:t>
      </w:r>
      <w:r w:rsidR="000C213F">
        <w:t>ț</w:t>
      </w:r>
      <w:r>
        <w:t>iate ca urmare a riscului de credit, se raportează în această coloană;</w:t>
      </w:r>
    </w:p>
    <w:p w:rsidR="009569C7" w:rsidRPr="00EC4FA2" w:rsidRDefault="00A834F1" w:rsidP="009569C7">
      <w:pPr>
        <w:pStyle w:val="Text1"/>
        <w:numPr>
          <w:ilvl w:val="0"/>
          <w:numId w:val="50"/>
        </w:numPr>
        <w:ind w:left="1134" w:hanging="425"/>
      </w:pPr>
      <w:r>
        <w:lastRenderedPageBreak/>
        <w:t xml:space="preserve">expunerile care se consideră că sunt în stare de nerambursare în conformitate cu articolul </w:t>
      </w:r>
      <w:r w:rsidRPr="004237EC">
        <w:t>178</w:t>
      </w:r>
      <w:r>
        <w:t xml:space="preserve"> din CRR.</w:t>
      </w:r>
    </w:p>
    <w:p w:rsidR="009569C7" w:rsidRPr="00EC4FA2" w:rsidRDefault="00A834F1" w:rsidP="009569C7">
      <w:pPr>
        <w:pStyle w:val="Baseparagraphnumbered"/>
        <w:tabs>
          <w:tab w:val="left" w:pos="851"/>
        </w:tabs>
        <w:ind w:left="709"/>
      </w:pPr>
      <w:r>
        <w:t>Coloana „Refinan</w:t>
      </w:r>
      <w:r w:rsidR="000C213F">
        <w:t>ț</w:t>
      </w:r>
      <w:r>
        <w:t>are” cuprinde valoarea contabilă brută a noului contract („datorie în curs de refinan</w:t>
      </w:r>
      <w:r w:rsidR="000C213F">
        <w:t>ț</w:t>
      </w:r>
      <w:r>
        <w:t>are”), acordată în cadrul unei opera</w:t>
      </w:r>
      <w:r w:rsidR="000C213F">
        <w:t>ț</w:t>
      </w:r>
      <w:r>
        <w:t>iuni de refinan</w:t>
      </w:r>
      <w:r w:rsidR="000C213F">
        <w:t>ț</w:t>
      </w:r>
      <w:r>
        <w:t>are care se califică drept măsură de restructurare datorată dificultă</w:t>
      </w:r>
      <w:r w:rsidR="000C213F">
        <w:t>ț</w:t>
      </w:r>
      <w:r>
        <w:t xml:space="preserve">ilor financiare, precum </w:t>
      </w:r>
      <w:r w:rsidR="000C213F">
        <w:t>ș</w:t>
      </w:r>
      <w:r>
        <w:t xml:space="preserve">i valoarea contabilă brută a vechiului contract rambursat care este încă restantă. </w:t>
      </w:r>
    </w:p>
    <w:p w:rsidR="009569C7" w:rsidRPr="00EC4FA2" w:rsidRDefault="00A834F1" w:rsidP="009569C7">
      <w:pPr>
        <w:pStyle w:val="Baseparagraphnumbered"/>
        <w:tabs>
          <w:tab w:val="left" w:pos="851"/>
        </w:tabs>
        <w:ind w:left="709"/>
      </w:pPr>
      <w:r>
        <w:t>Expunerile restructurate în urma dificultă</w:t>
      </w:r>
      <w:r w:rsidR="000C213F">
        <w:t>ț</w:t>
      </w:r>
      <w:r>
        <w:t xml:space="preserve">ilor financiare care combină modificări </w:t>
      </w:r>
      <w:r w:rsidR="000C213F">
        <w:t>ș</w:t>
      </w:r>
      <w:r>
        <w:t>i refinan</w:t>
      </w:r>
      <w:r w:rsidR="000C213F">
        <w:t>ț</w:t>
      </w:r>
      <w:r>
        <w:t xml:space="preserve">ări se alocă coloanei „Instrumente cu modificări ale termenilor </w:t>
      </w:r>
      <w:r w:rsidR="000C213F">
        <w:t>ș</w:t>
      </w:r>
      <w:r>
        <w:t>i condi</w:t>
      </w:r>
      <w:r w:rsidR="000C213F">
        <w:t>ț</w:t>
      </w:r>
      <w:r>
        <w:t>iilor lor” sau coloanei „Refinan</w:t>
      </w:r>
      <w:r w:rsidR="000C213F">
        <w:t>ț</w:t>
      </w:r>
      <w:r>
        <w:t>are”, în func</w:t>
      </w:r>
      <w:r w:rsidR="000C213F">
        <w:t>ț</w:t>
      </w:r>
      <w:r>
        <w:t>ie de măsura care are cel mai mare impact asupra fluxurilor de trezorerie. Refinan</w:t>
      </w:r>
      <w:r w:rsidR="000C213F">
        <w:t>ț</w:t>
      </w:r>
      <w:r>
        <w:t>area de către un grup de bănci se raportează în coloana „Refinan</w:t>
      </w:r>
      <w:r w:rsidR="000C213F">
        <w:t>ț</w:t>
      </w:r>
      <w:r>
        <w:t>are” la cuantumul total al datoriei în curs de refinan</w:t>
      </w:r>
      <w:r w:rsidR="000C213F">
        <w:t>ț</w:t>
      </w:r>
      <w:r>
        <w:t>are furnizate de institu</w:t>
      </w:r>
      <w:r w:rsidR="000C213F">
        <w:t>ț</w:t>
      </w:r>
      <w:r>
        <w:t>ia raportoare sau al datoriei refinan</w:t>
      </w:r>
      <w:r w:rsidR="000C213F">
        <w:t>ț</w:t>
      </w:r>
      <w:r>
        <w:t>ate încă restantă la institu</w:t>
      </w:r>
      <w:r w:rsidR="000C213F">
        <w:t>ț</w:t>
      </w:r>
      <w:r>
        <w:t>ia raportoare. Regruparea mai multor datorii într-o nouă datorie se raportează drept modificare, cu excep</w:t>
      </w:r>
      <w:r w:rsidR="000C213F">
        <w:t>ț</w:t>
      </w:r>
      <w:r>
        <w:t>ia cazului în care există, de asemenea, o opera</w:t>
      </w:r>
      <w:r w:rsidR="000C213F">
        <w:t>ț</w:t>
      </w:r>
      <w:r>
        <w:t>iune de refinan</w:t>
      </w:r>
      <w:r w:rsidR="000C213F">
        <w:t>ț</w:t>
      </w:r>
      <w:r>
        <w:t>are care are un impact mai mare asupra fluxurilor de numerar. În cazul în care restructurarea datorată dificultă</w:t>
      </w:r>
      <w:r w:rsidR="000C213F">
        <w:t>ț</w:t>
      </w:r>
      <w:r>
        <w:t xml:space="preserve">ilor financiare prin modificarea termenilor </w:t>
      </w:r>
      <w:r w:rsidR="000C213F">
        <w:t>ș</w:t>
      </w:r>
      <w:r>
        <w:t>i condi</w:t>
      </w:r>
      <w:r w:rsidR="000C213F">
        <w:t>ț</w:t>
      </w:r>
      <w:r>
        <w:t>iilor unei expuneri problematice conduce la derecunoa</w:t>
      </w:r>
      <w:r w:rsidR="000C213F">
        <w:t>ș</w:t>
      </w:r>
      <w:r>
        <w:t xml:space="preserve">terea sa </w:t>
      </w:r>
      <w:r w:rsidR="000C213F">
        <w:t>ș</w:t>
      </w:r>
      <w:r>
        <w:t>i la recunoa</w:t>
      </w:r>
      <w:r w:rsidR="000C213F">
        <w:t>ș</w:t>
      </w:r>
      <w:r>
        <w:t>terea unei noi expuneri, noua expunere este tratată drept datorie restructurată în urma dificultă</w:t>
      </w:r>
      <w:r w:rsidR="000C213F">
        <w:t>ț</w:t>
      </w:r>
      <w:r>
        <w:t>ilor financiare.</w:t>
      </w:r>
    </w:p>
    <w:p w:rsidR="009569C7" w:rsidRPr="00EC4FA2" w:rsidRDefault="00A834F1" w:rsidP="009569C7">
      <w:pPr>
        <w:pStyle w:val="Baseparagraphnumbered"/>
        <w:tabs>
          <w:tab w:val="left" w:pos="851"/>
        </w:tabs>
        <w:ind w:left="709"/>
      </w:pPr>
      <w:r>
        <w:t xml:space="preserve">Deprecierea cumulată, modificările negative cumulate ale valorii juste datorate riscului de credit </w:t>
      </w:r>
      <w:r w:rsidR="000C213F">
        <w:t>ș</w:t>
      </w:r>
      <w:r>
        <w:t xml:space="preserve">i provizioanele se raportează în conformitate cu punctele </w:t>
      </w:r>
      <w:r w:rsidRPr="004237EC">
        <w:t>11</w:t>
      </w:r>
      <w:r>
        <w:t xml:space="preserve">, </w:t>
      </w:r>
      <w:r w:rsidRPr="004237EC">
        <w:t>69</w:t>
      </w:r>
      <w:r>
        <w:t>-</w:t>
      </w:r>
      <w:r w:rsidRPr="004237EC">
        <w:t>71</w:t>
      </w:r>
      <w:r>
        <w:t xml:space="preserve">, </w:t>
      </w:r>
      <w:r w:rsidRPr="004237EC">
        <w:t>106</w:t>
      </w:r>
      <w:r>
        <w:t xml:space="preserve"> </w:t>
      </w:r>
      <w:r w:rsidR="000C213F">
        <w:t>ș</w:t>
      </w:r>
      <w:r>
        <w:t xml:space="preserve">i </w:t>
      </w:r>
      <w:r w:rsidRPr="004237EC">
        <w:t>110</w:t>
      </w:r>
      <w:r>
        <w:t xml:space="preserve"> din prezenta parte.</w:t>
      </w:r>
      <w:r w:rsidR="004237EC">
        <w:t xml:space="preserve"> </w:t>
      </w:r>
    </w:p>
    <w:p w:rsidR="009569C7" w:rsidRPr="00EC4FA2" w:rsidRDefault="00A834F1" w:rsidP="009569C7">
      <w:pPr>
        <w:pStyle w:val="Baseparagraphnumbered"/>
        <w:tabs>
          <w:tab w:val="left" w:pos="851"/>
        </w:tabs>
        <w:ind w:left="709"/>
      </w:pPr>
      <w:r>
        <w:t>Garan</w:t>
      </w:r>
      <w:r w:rsidR="000C213F">
        <w:t>ț</w:t>
      </w:r>
      <w:r>
        <w:t xml:space="preserve">iile reale </w:t>
      </w:r>
      <w:r w:rsidR="000C213F">
        <w:t>ș</w:t>
      </w:r>
      <w:r>
        <w:t>i garan</w:t>
      </w:r>
      <w:r w:rsidR="000C213F">
        <w:t>ț</w:t>
      </w:r>
      <w:r>
        <w:t>iile primite pentru expunerile cu măsuri de restructurare datorată dificultă</w:t>
      </w:r>
      <w:r w:rsidR="000C213F">
        <w:t>ț</w:t>
      </w:r>
      <w:r>
        <w:t>ilor financiare se raportează pentru toate expunerile cu măsuri de restructurare datorată dificultă</w:t>
      </w:r>
      <w:r w:rsidR="000C213F">
        <w:t>ț</w:t>
      </w:r>
      <w:r>
        <w:t>ilor financiare, indiferent dacă expunerile sunt performante sau neperformante. Cuantumurile raportate pentru garan</w:t>
      </w:r>
      <w:r w:rsidR="000C213F">
        <w:t>ț</w:t>
      </w:r>
      <w:r>
        <w:t xml:space="preserve">iile reale primite </w:t>
      </w:r>
      <w:r w:rsidR="000C213F">
        <w:t>ș</w:t>
      </w:r>
      <w:r>
        <w:t>i garan</w:t>
      </w:r>
      <w:r w:rsidR="000C213F">
        <w:t>ț</w:t>
      </w:r>
      <w:r>
        <w:t xml:space="preserve">iile primite se calculează în conformitate cu punctele </w:t>
      </w:r>
      <w:r w:rsidRPr="004237EC">
        <w:t>172</w:t>
      </w:r>
      <w:r>
        <w:t xml:space="preserve"> </w:t>
      </w:r>
      <w:r w:rsidR="000C213F">
        <w:t>ș</w:t>
      </w:r>
      <w:r>
        <w:t xml:space="preserve">i </w:t>
      </w:r>
      <w:r w:rsidRPr="004237EC">
        <w:t>174</w:t>
      </w:r>
      <w:r>
        <w:t xml:space="preserve"> din prezenta parte. Suma cuantumurilor raportate atât pentru garan</w:t>
      </w:r>
      <w:r w:rsidR="000C213F">
        <w:t>ț</w:t>
      </w:r>
      <w:r>
        <w:t xml:space="preserve">iile reale, cât </w:t>
      </w:r>
      <w:r w:rsidR="000C213F">
        <w:t>ș</w:t>
      </w:r>
      <w:r>
        <w:t>i pentru garan</w:t>
      </w:r>
      <w:r w:rsidR="000C213F">
        <w:t>ț</w:t>
      </w:r>
      <w:r>
        <w:t>ii este limitată la valoarea contabilă a expunerii aferente.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897580"/>
      <w:r>
        <w:t>Repartizarea geografică</w:t>
      </w:r>
      <w:bookmarkEnd w:id="213"/>
      <w:r>
        <w:t xml:space="preserve"> (</w:t>
      </w:r>
      <w:r w:rsidRPr="004237EC">
        <w:t>20</w:t>
      </w:r>
      <w:r>
        <w:t>)</w:t>
      </w:r>
      <w:bookmarkEnd w:id="253"/>
      <w:bookmarkEnd w:id="254"/>
      <w:bookmarkEnd w:id="255"/>
      <w:bookmarkEnd w:id="256"/>
    </w:p>
    <w:p w:rsidR="009569C7" w:rsidRPr="00EC4FA2" w:rsidRDefault="00A834F1" w:rsidP="009569C7">
      <w:pPr>
        <w:pStyle w:val="Baseparagraphnumbered"/>
      </w:pPr>
      <w:r>
        <w:t xml:space="preserve">Formularul </w:t>
      </w:r>
      <w:r w:rsidRPr="004237EC">
        <w:t>20</w:t>
      </w:r>
      <w:r>
        <w:t xml:space="preserve"> se raportează atunci când institu</w:t>
      </w:r>
      <w:r w:rsidR="000C213F">
        <w:t>ț</w:t>
      </w:r>
      <w:r>
        <w:t>ia depă</w:t>
      </w:r>
      <w:r w:rsidR="000C213F">
        <w:t>ș</w:t>
      </w:r>
      <w:r>
        <w:t>e</w:t>
      </w:r>
      <w:r w:rsidR="000C213F">
        <w:t>ș</w:t>
      </w:r>
      <w:r>
        <w:t xml:space="preserve">te pragul descris la articolul </w:t>
      </w:r>
      <w:r w:rsidRPr="004237EC">
        <w:t>5</w:t>
      </w:r>
      <w:r>
        <w:t xml:space="preserve"> alineatul (</w:t>
      </w:r>
      <w:r w:rsidRPr="004237EC">
        <w:t>1</w:t>
      </w:r>
      <w:r>
        <w:t xml:space="preserve">) litera (a) punctul (iv) din prezentul regulament. </w:t>
      </w:r>
    </w:p>
    <w:p w:rsidR="009569C7" w:rsidRPr="00EC4FA2" w:rsidRDefault="00A834F1" w:rsidP="009569C7">
      <w:pPr>
        <w:pStyle w:val="sub-subtitlenumbered"/>
        <w:jc w:val="both"/>
      </w:pPr>
      <w:bookmarkStart w:id="257" w:name="_Toc467855249"/>
      <w:bookmarkStart w:id="258" w:name="_Toc485897581"/>
      <w:r>
        <w:t>Repartizarea geografică în func</w:t>
      </w:r>
      <w:r w:rsidR="000C213F">
        <w:t>ț</w:t>
      </w:r>
      <w:r>
        <w:t>ie de localizarea activită</w:t>
      </w:r>
      <w:r w:rsidR="000C213F">
        <w:t>ț</w:t>
      </w:r>
      <w:r>
        <w:t>ilor (</w:t>
      </w:r>
      <w:r w:rsidRPr="004237EC">
        <w:t>20</w:t>
      </w:r>
      <w:r>
        <w:t>.</w:t>
      </w:r>
      <w:r w:rsidRPr="004237EC">
        <w:t>1</w:t>
      </w:r>
      <w:r>
        <w:t>-</w:t>
      </w:r>
      <w:r w:rsidRPr="004237EC">
        <w:t>20</w:t>
      </w:r>
      <w:r>
        <w:t>.</w:t>
      </w:r>
      <w:r w:rsidRPr="004237EC">
        <w:t>3</w:t>
      </w:r>
      <w:r>
        <w:t>)</w:t>
      </w:r>
      <w:bookmarkEnd w:id="257"/>
      <w:bookmarkEnd w:id="258"/>
    </w:p>
    <w:p w:rsidR="009569C7" w:rsidRPr="00EC4FA2" w:rsidRDefault="00A834F1" w:rsidP="009569C7">
      <w:pPr>
        <w:pStyle w:val="Baseparagraphnumbered"/>
      </w:pPr>
      <w:r>
        <w:t>Repartizarea geografică în func</w:t>
      </w:r>
      <w:r w:rsidR="000C213F">
        <w:t>ț</w:t>
      </w:r>
      <w:r>
        <w:t>ie de localizarea activită</w:t>
      </w:r>
      <w:r w:rsidR="000C213F">
        <w:t>ț</w:t>
      </w:r>
      <w:r>
        <w:t xml:space="preserve">ilor în formularele </w:t>
      </w:r>
      <w:r w:rsidRPr="004237EC">
        <w:t>20</w:t>
      </w:r>
      <w:r>
        <w:t>.</w:t>
      </w:r>
      <w:r w:rsidRPr="004237EC">
        <w:t>1</w:t>
      </w:r>
      <w:r>
        <w:t>-</w:t>
      </w:r>
      <w:r w:rsidRPr="004237EC">
        <w:t>20</w:t>
      </w:r>
      <w:r>
        <w:t>.</w:t>
      </w:r>
      <w:r w:rsidRPr="004237EC">
        <w:t>3</w:t>
      </w:r>
      <w:r>
        <w:t xml:space="preserve"> face diferen</w:t>
      </w:r>
      <w:r w:rsidR="000C213F">
        <w:t>ț</w:t>
      </w:r>
      <w:r>
        <w:t>a între „activită</w:t>
      </w:r>
      <w:r w:rsidR="000C213F">
        <w:t>ț</w:t>
      </w:r>
      <w:r>
        <w:t xml:space="preserve">i interne” </w:t>
      </w:r>
      <w:r w:rsidR="000C213F">
        <w:t>ș</w:t>
      </w:r>
      <w:r>
        <w:t>i „activită</w:t>
      </w:r>
      <w:r w:rsidR="000C213F">
        <w:t>ț</w:t>
      </w:r>
      <w:r>
        <w:t>i, altele decât cele interne”. În sensul prezentei păr</w:t>
      </w:r>
      <w:r w:rsidR="000C213F">
        <w:t>ț</w:t>
      </w:r>
      <w:r>
        <w:t>i, „localizare” înseamnă jurisdic</w:t>
      </w:r>
      <w:r w:rsidR="000C213F">
        <w:t>ț</w:t>
      </w:r>
      <w:r>
        <w:t>ia în care este înregistrată entitatea juridică care a recunoscut activul sau datoria corespunzătoare; în cazul sucursalelor, aceasta înseamnă jurisdic</w:t>
      </w:r>
      <w:r w:rsidR="000C213F">
        <w:t>ț</w:t>
      </w:r>
      <w:r>
        <w:t>ia în care sucursala î</w:t>
      </w:r>
      <w:r w:rsidR="000C213F">
        <w:t>ș</w:t>
      </w:r>
      <w:r>
        <w:t>i are re</w:t>
      </w:r>
      <w:r w:rsidR="000C213F">
        <w:t>ș</w:t>
      </w:r>
      <w:r>
        <w:t>edin</w:t>
      </w:r>
      <w:r w:rsidR="000C213F">
        <w:t>ț</w:t>
      </w:r>
      <w:r>
        <w:t xml:space="preserve">a. În acest sens, „interne” include </w:t>
      </w:r>
      <w:r>
        <w:lastRenderedPageBreak/>
        <w:t>activită</w:t>
      </w:r>
      <w:r w:rsidR="000C213F">
        <w:t>ț</w:t>
      </w:r>
      <w:r>
        <w:t>ile recunoscute în statul membru unde este localizată institu</w:t>
      </w:r>
      <w:r w:rsidR="000C213F">
        <w:t>ț</w:t>
      </w:r>
      <w:r>
        <w:t>ia raportoare.</w:t>
      </w:r>
    </w:p>
    <w:p w:rsidR="009569C7" w:rsidRPr="00EC4FA2" w:rsidRDefault="00A834F1" w:rsidP="009569C7">
      <w:pPr>
        <w:pStyle w:val="sub-subtitlenumbered"/>
        <w:jc w:val="both"/>
      </w:pPr>
      <w:bookmarkStart w:id="259" w:name="_Toc467855250"/>
      <w:bookmarkStart w:id="260" w:name="_Toc485897582"/>
      <w:r>
        <w:t>Repartizarea geografică în func</w:t>
      </w:r>
      <w:r w:rsidR="000C213F">
        <w:t>ț</w:t>
      </w:r>
      <w:r>
        <w:t>ie de locul de re</w:t>
      </w:r>
      <w:r w:rsidR="000C213F">
        <w:t>ș</w:t>
      </w:r>
      <w:r>
        <w:t>edin</w:t>
      </w:r>
      <w:r w:rsidR="000C213F">
        <w:t>ț</w:t>
      </w:r>
      <w:r>
        <w:t>ă al contrapăr</w:t>
      </w:r>
      <w:r w:rsidR="000C213F">
        <w:t>ț</w:t>
      </w:r>
      <w:r>
        <w:t>ii (</w:t>
      </w:r>
      <w:r w:rsidRPr="004237EC">
        <w:t>20</w:t>
      </w:r>
      <w:r>
        <w:t>.</w:t>
      </w:r>
      <w:r w:rsidRPr="004237EC">
        <w:t>4</w:t>
      </w:r>
      <w:r>
        <w:t>-</w:t>
      </w:r>
      <w:r w:rsidRPr="004237EC">
        <w:t>20</w:t>
      </w:r>
      <w:r>
        <w:t>.</w:t>
      </w:r>
      <w:r w:rsidRPr="004237EC">
        <w:t>7</w:t>
      </w:r>
      <w:r>
        <w:t>)</w:t>
      </w:r>
      <w:bookmarkEnd w:id="259"/>
      <w:bookmarkEnd w:id="260"/>
    </w:p>
    <w:p w:rsidR="009569C7" w:rsidRPr="00EC4FA2" w:rsidRDefault="00A834F1" w:rsidP="009569C7">
      <w:pPr>
        <w:pStyle w:val="Baseparagraphnumbered"/>
      </w:pPr>
      <w:r>
        <w:t xml:space="preserve">Formularele </w:t>
      </w:r>
      <w:r w:rsidRPr="004237EC">
        <w:t>20</w:t>
      </w:r>
      <w:r>
        <w:t>.</w:t>
      </w:r>
      <w:r w:rsidRPr="004237EC">
        <w:t>4</w:t>
      </w:r>
      <w:r>
        <w:t>-</w:t>
      </w:r>
      <w:r w:rsidRPr="004237EC">
        <w:t>20</w:t>
      </w:r>
      <w:r>
        <w:t>.</w:t>
      </w:r>
      <w:r w:rsidRPr="004237EC">
        <w:t>7</w:t>
      </w:r>
      <w:r>
        <w:t xml:space="preserve"> con</w:t>
      </w:r>
      <w:r w:rsidR="000C213F">
        <w:t>ț</w:t>
      </w:r>
      <w:r>
        <w:t>in informa</w:t>
      </w:r>
      <w:r w:rsidR="000C213F">
        <w:t>ț</w:t>
      </w:r>
      <w:r>
        <w:t xml:space="preserve">ii „pentru fiecare </w:t>
      </w:r>
      <w:r w:rsidR="000C213F">
        <w:t>ț</w:t>
      </w:r>
      <w:r>
        <w:t>ară” pe baza re</w:t>
      </w:r>
      <w:r w:rsidR="000C213F">
        <w:t>ș</w:t>
      </w:r>
      <w:r>
        <w:t>edin</w:t>
      </w:r>
      <w:r w:rsidR="000C213F">
        <w:t>ț</w:t>
      </w:r>
      <w:r>
        <w:t>ei contrapăr</w:t>
      </w:r>
      <w:r w:rsidR="000C213F">
        <w:t>ț</w:t>
      </w:r>
      <w:r>
        <w:t xml:space="preserve">ii imediate, astfel cum au fost definite la punctul </w:t>
      </w:r>
      <w:r w:rsidRPr="004237EC">
        <w:t>43</w:t>
      </w:r>
      <w:r>
        <w:t xml:space="preserve"> din partea </w:t>
      </w:r>
      <w:r w:rsidRPr="004237EC">
        <w:t>1</w:t>
      </w:r>
      <w:r>
        <w:t xml:space="preserve"> a prezentei anexe. Repartizarea furnizată include expunerile sau datoriile aferente reziden</w:t>
      </w:r>
      <w:r w:rsidR="000C213F">
        <w:t>ț</w:t>
      </w:r>
      <w:r>
        <w:t xml:space="preserve">ilor din fiecare </w:t>
      </w:r>
      <w:r w:rsidR="000C213F">
        <w:t>ț</w:t>
      </w:r>
      <w:r>
        <w:t>ară străină în care institu</w:t>
      </w:r>
      <w:r w:rsidR="000C213F">
        <w:t>ț</w:t>
      </w:r>
      <w:r>
        <w:t>ia de</w:t>
      </w:r>
      <w:r w:rsidR="000C213F">
        <w:t>ț</w:t>
      </w:r>
      <w:r>
        <w:t>ine expuneri. Expunerile sau datoriile fa</w:t>
      </w:r>
      <w:r w:rsidR="000C213F">
        <w:t>ț</w:t>
      </w:r>
      <w:r>
        <w:t>ă de organiza</w:t>
      </w:r>
      <w:r w:rsidR="000C213F">
        <w:t>ț</w:t>
      </w:r>
      <w:r>
        <w:t>iile interna</w:t>
      </w:r>
      <w:r w:rsidR="000C213F">
        <w:t>ț</w:t>
      </w:r>
      <w:r>
        <w:t xml:space="preserve">ionale </w:t>
      </w:r>
      <w:r w:rsidR="000C213F">
        <w:t>ș</w:t>
      </w:r>
      <w:r>
        <w:t xml:space="preserve">i băncile multilaterale de dezvoltare nu se încadrează la </w:t>
      </w:r>
      <w:r w:rsidR="000C213F">
        <w:t>ț</w:t>
      </w:r>
      <w:r>
        <w:t>ara de re</w:t>
      </w:r>
      <w:r w:rsidR="000C213F">
        <w:t>ș</w:t>
      </w:r>
      <w:r>
        <w:t>edin</w:t>
      </w:r>
      <w:r w:rsidR="000C213F">
        <w:t>ț</w:t>
      </w:r>
      <w:r>
        <w:t>ă a institu</w:t>
      </w:r>
      <w:r w:rsidR="000C213F">
        <w:t>ț</w:t>
      </w:r>
      <w:r>
        <w:t xml:space="preserve">iei, ci la zona geografică „Alte </w:t>
      </w:r>
      <w:r w:rsidR="000C213F">
        <w:t>ț</w:t>
      </w:r>
      <w:r>
        <w:t>ări”.</w:t>
      </w:r>
    </w:p>
    <w:p w:rsidR="009569C7" w:rsidRPr="00EC4FA2" w:rsidRDefault="00A834F1" w:rsidP="009569C7">
      <w:pPr>
        <w:pStyle w:val="Baseparagraphnumbered"/>
      </w:pPr>
      <w:r>
        <w:t>„Instrumentele derivate” se referă atât la instrumentele derivate destinate tranzac</w:t>
      </w:r>
      <w:r w:rsidR="000C213F">
        <w:t>ț</w:t>
      </w:r>
      <w:r>
        <w:t xml:space="preserve">ionării, inclusiv instrumentele de acoperire economică împotriva riscurilor, cât </w:t>
      </w:r>
      <w:r w:rsidR="000C213F">
        <w:t>ș</w:t>
      </w:r>
      <w:r>
        <w:t xml:space="preserve">i la instrumentele derivate de acoperire împotriva riscurilor conform IFRS </w:t>
      </w:r>
      <w:r w:rsidR="000C213F">
        <w:t>ș</w:t>
      </w:r>
      <w:r>
        <w:t xml:space="preserve">i conform GAAP, raportate în formularele </w:t>
      </w:r>
      <w:r w:rsidRPr="004237EC">
        <w:t>10</w:t>
      </w:r>
      <w:r>
        <w:t xml:space="preserve"> </w:t>
      </w:r>
      <w:r w:rsidR="000C213F">
        <w:t>ș</w:t>
      </w:r>
      <w:r>
        <w:t xml:space="preserve">i </w:t>
      </w:r>
      <w:r w:rsidRPr="004237EC">
        <w:t>11</w:t>
      </w:r>
      <w:r>
        <w:t xml:space="preserve">. </w:t>
      </w:r>
    </w:p>
    <w:p w:rsidR="009569C7" w:rsidRPr="00EC4FA2" w:rsidRDefault="00A834F1" w:rsidP="009569C7">
      <w:pPr>
        <w:pStyle w:val="Baseparagraphnumbered"/>
      </w:pPr>
      <w:r>
        <w:t>Activele de</w:t>
      </w:r>
      <w:r w:rsidR="000C213F">
        <w:t>ț</w:t>
      </w:r>
      <w:r>
        <w:t>inute în vederea tranzac</w:t>
      </w:r>
      <w:r w:rsidR="000C213F">
        <w:t>ț</w:t>
      </w:r>
      <w:r>
        <w:t xml:space="preserve">ionării conform IFRS </w:t>
      </w:r>
      <w:r w:rsidR="000C213F">
        <w:t>ș</w:t>
      </w:r>
      <w:r>
        <w:t>i activele destinate tranzac</w:t>
      </w:r>
      <w:r w:rsidR="000C213F">
        <w:t>ț</w:t>
      </w:r>
      <w:r>
        <w:t>ionării conform GAAP sunt identificate separat. Activele financiare care fac obiectul deprecierii au acela</w:t>
      </w:r>
      <w:r w:rsidR="000C213F">
        <w:t>ș</w:t>
      </w:r>
      <w:r>
        <w:t>i în</w:t>
      </w:r>
      <w:r w:rsidR="000C213F">
        <w:t>ț</w:t>
      </w:r>
      <w:r>
        <w:t xml:space="preserve">eles ca la punctul </w:t>
      </w:r>
      <w:r w:rsidRPr="004237EC">
        <w:t>93</w:t>
      </w:r>
      <w:r>
        <w:t xml:space="preserve"> din prezenta parte. Activele evaluate la LOCOM cărora li s-au aplicat ajustări de valoare ca urmare a riscului de credit se consideră depreciate.</w:t>
      </w:r>
    </w:p>
    <w:p w:rsidR="009569C7" w:rsidRPr="00EC4FA2" w:rsidRDefault="00A834F1" w:rsidP="009569C7">
      <w:pPr>
        <w:pStyle w:val="Baseparagraphnumbered"/>
      </w:pPr>
      <w:r>
        <w:t xml:space="preserve">În formularele </w:t>
      </w:r>
      <w:r w:rsidRPr="004237EC">
        <w:t>20</w:t>
      </w:r>
      <w:r>
        <w:t>.</w:t>
      </w:r>
      <w:r w:rsidRPr="004237EC">
        <w:t>4</w:t>
      </w:r>
      <w:r>
        <w:t xml:space="preserve"> </w:t>
      </w:r>
      <w:r w:rsidR="000C213F">
        <w:t>ș</w:t>
      </w:r>
      <w:r>
        <w:t xml:space="preserve">i </w:t>
      </w:r>
      <w:r w:rsidRPr="004237EC">
        <w:t>20</w:t>
      </w:r>
      <w:r>
        <w:t>.</w:t>
      </w:r>
      <w:r w:rsidRPr="004237EC">
        <w:t>7</w:t>
      </w:r>
      <w:r>
        <w:t xml:space="preserve">, „deprecierea cumulată” </w:t>
      </w:r>
      <w:r w:rsidR="000C213F">
        <w:t>ș</w:t>
      </w:r>
      <w:r>
        <w:t>i „modificările negative cumulate ale valorii juste datorate riscului de credit pentru expunerile neperformante” se raportează conform defini</w:t>
      </w:r>
      <w:r w:rsidR="000C213F">
        <w:t>ț</w:t>
      </w:r>
      <w:r>
        <w:t xml:space="preserve">iilor de la punctele </w:t>
      </w:r>
      <w:r w:rsidRPr="004237EC">
        <w:t>69</w:t>
      </w:r>
      <w:r>
        <w:t>-</w:t>
      </w:r>
      <w:r w:rsidRPr="004237EC">
        <w:t>71</w:t>
      </w:r>
      <w:r>
        <w:t xml:space="preserve"> din prezenta parte.</w:t>
      </w:r>
    </w:p>
    <w:p w:rsidR="009569C7" w:rsidRPr="00EC4FA2" w:rsidRDefault="00A834F1" w:rsidP="009569C7">
      <w:pPr>
        <w:pStyle w:val="Baseparagraphnumbered"/>
      </w:pPr>
      <w:r>
        <w:t xml:space="preserve">În formularul </w:t>
      </w:r>
      <w:r w:rsidRPr="004237EC">
        <w:t>20</w:t>
      </w:r>
      <w:r>
        <w:t>.</w:t>
      </w:r>
      <w:r w:rsidRPr="004237EC">
        <w:t>4</w:t>
      </w:r>
      <w:r>
        <w:t xml:space="preserve"> pentru instrumentele de datorie, „valoarea contabilă brută” se raportează astfel cum este definită la punctul </w:t>
      </w:r>
      <w:r w:rsidRPr="004237EC">
        <w:t>34</w:t>
      </w:r>
      <w:r>
        <w:t xml:space="preserve"> din partea </w:t>
      </w:r>
      <w:r w:rsidRPr="004237EC">
        <w:t>1</w:t>
      </w:r>
      <w:r>
        <w:t xml:space="preserve"> a prezentei anexe. Pentru instrumentele derivate </w:t>
      </w:r>
      <w:r w:rsidR="000C213F">
        <w:t>ș</w:t>
      </w:r>
      <w:r>
        <w:t>i instrumentele de capitaluri proprii, valoarea de raportat este valoarea contabilă. În coloana „din care: neperformante”, instrumentele de datorie se raportează conform defini</w:t>
      </w:r>
      <w:r w:rsidR="000C213F">
        <w:t>ț</w:t>
      </w:r>
      <w:r>
        <w:t xml:space="preserve">iilor de la punctele </w:t>
      </w:r>
      <w:r w:rsidRPr="004237EC">
        <w:t>213</w:t>
      </w:r>
      <w:r>
        <w:t>-</w:t>
      </w:r>
      <w:r w:rsidRPr="004237EC">
        <w:t>232</w:t>
      </w:r>
      <w:r>
        <w:t xml:space="preserve"> din prezenta parte. Restructurarea datoriilor în urma dificultă</w:t>
      </w:r>
      <w:r w:rsidR="000C213F">
        <w:t>ț</w:t>
      </w:r>
      <w:r>
        <w:t xml:space="preserve">ilor financiare cuprinde toate contractele de „datorie” în sensul formularului </w:t>
      </w:r>
      <w:r w:rsidRPr="004237EC">
        <w:t>19</w:t>
      </w:r>
      <w:r>
        <w:t>, cărora li se aplică măsurile de restructurare datorată dificultă</w:t>
      </w:r>
      <w:r w:rsidR="000C213F">
        <w:t>ț</w:t>
      </w:r>
      <w:r>
        <w:t xml:space="preserve">ilor financiare, astfel cum sunt definite la punctele </w:t>
      </w:r>
      <w:r w:rsidRPr="004237EC">
        <w:t>240</w:t>
      </w:r>
      <w:r>
        <w:t>-</w:t>
      </w:r>
      <w:r w:rsidRPr="004237EC">
        <w:t>255</w:t>
      </w:r>
      <w:r>
        <w:t xml:space="preserve"> din prezenta parte. </w:t>
      </w:r>
    </w:p>
    <w:p w:rsidR="009569C7" w:rsidRPr="00EC4FA2" w:rsidRDefault="00A834F1" w:rsidP="009569C7">
      <w:pPr>
        <w:pStyle w:val="Baseparagraphnumbered"/>
      </w:pPr>
      <w:r>
        <w:t xml:space="preserve">În formularul </w:t>
      </w:r>
      <w:r w:rsidRPr="004237EC">
        <w:t>20</w:t>
      </w:r>
      <w:r>
        <w:t>.</w:t>
      </w:r>
      <w:r w:rsidRPr="004237EC">
        <w:t>5</w:t>
      </w:r>
      <w:r>
        <w:t xml:space="preserve">, „provizioanele pentru angajamente </w:t>
      </w:r>
      <w:r w:rsidR="000C213F">
        <w:t>ș</w:t>
      </w:r>
      <w:r>
        <w:t>i garan</w:t>
      </w:r>
      <w:r w:rsidR="000C213F">
        <w:t>ț</w:t>
      </w:r>
      <w:r>
        <w:t xml:space="preserve">ii date” includ provizioanele evaluate conform IAS </w:t>
      </w:r>
      <w:r w:rsidRPr="004237EC">
        <w:t>37</w:t>
      </w:r>
      <w:r>
        <w:t>, pierderile din credit aferente garan</w:t>
      </w:r>
      <w:r w:rsidR="000C213F">
        <w:t>ț</w:t>
      </w:r>
      <w:r>
        <w:t xml:space="preserve">iilor financiare tratate drept contracte de asigurare conform IFRS </w:t>
      </w:r>
      <w:r w:rsidRPr="004237EC">
        <w:t>4</w:t>
      </w:r>
      <w:r>
        <w:t xml:space="preserve">, precum </w:t>
      </w:r>
      <w:r w:rsidR="000C213F">
        <w:t>ș</w:t>
      </w:r>
      <w:r>
        <w:t xml:space="preserve">i provizioanele pentru angajamentele de creditare </w:t>
      </w:r>
      <w:r w:rsidR="000C213F">
        <w:t>ș</w:t>
      </w:r>
      <w:r>
        <w:t>i garan</w:t>
      </w:r>
      <w:r w:rsidR="000C213F">
        <w:t>ț</w:t>
      </w:r>
      <w:r>
        <w:t>iile financiare conform dispozi</w:t>
      </w:r>
      <w:r w:rsidR="000C213F">
        <w:t>ț</w:t>
      </w:r>
      <w:r>
        <w:t xml:space="preserve">iilor privind deprecierea din IFRS </w:t>
      </w:r>
      <w:r w:rsidRPr="004237EC">
        <w:t>9</w:t>
      </w:r>
      <w:r>
        <w:t xml:space="preserve"> </w:t>
      </w:r>
      <w:r w:rsidR="000C213F">
        <w:t>ș</w:t>
      </w:r>
      <w:r>
        <w:t xml:space="preserve">i provizioanele pentru angajamente </w:t>
      </w:r>
      <w:r w:rsidR="000C213F">
        <w:t>ș</w:t>
      </w:r>
      <w:r>
        <w:t>i garan</w:t>
      </w:r>
      <w:r w:rsidR="000C213F">
        <w:t>ț</w:t>
      </w:r>
      <w:r>
        <w:t>ii potrivit GAAP na</w:t>
      </w:r>
      <w:r w:rsidR="000C213F">
        <w:t>ț</w:t>
      </w:r>
      <w:r>
        <w:t xml:space="preserve">ionale bazate pe BAD, în conformitate cu punctul </w:t>
      </w:r>
      <w:r w:rsidRPr="004237EC">
        <w:t>11</w:t>
      </w:r>
      <w:r>
        <w:t xml:space="preserve"> din prezenta parte.</w:t>
      </w:r>
    </w:p>
    <w:p w:rsidR="009569C7" w:rsidRPr="00EC4FA2" w:rsidRDefault="00A834F1" w:rsidP="009569C7">
      <w:pPr>
        <w:pStyle w:val="Baseparagraphnumbered"/>
      </w:pPr>
      <w:r>
        <w:t xml:space="preserve">În formularul </w:t>
      </w:r>
      <w:r w:rsidRPr="004237EC">
        <w:t>20</w:t>
      </w:r>
      <w:r>
        <w:t>.</w:t>
      </w:r>
      <w:r w:rsidRPr="004237EC">
        <w:t>7</w:t>
      </w:r>
      <w:r>
        <w:t xml:space="preserve">, creditele </w:t>
      </w:r>
      <w:r w:rsidR="000C213F">
        <w:t>ș</w:t>
      </w:r>
      <w:r>
        <w:t>i avansurile nede</w:t>
      </w:r>
      <w:r w:rsidR="000C213F">
        <w:t>ț</w:t>
      </w:r>
      <w:r>
        <w:t>inute în vederea tranzac</w:t>
      </w:r>
      <w:r w:rsidR="000C213F">
        <w:t>ț</w:t>
      </w:r>
      <w:r>
        <w:t xml:space="preserve">ionării se raportează împreună cu clasificarea pe coduri NACE </w:t>
      </w:r>
      <w:r>
        <w:lastRenderedPageBreak/>
        <w:t xml:space="preserve">„pentru fiecare </w:t>
      </w:r>
      <w:r w:rsidR="000C213F">
        <w:t>ț</w:t>
      </w:r>
      <w:r>
        <w:t>ară”. Codurile NACE se raportează începând cu primul nivel de dezagregare (pe „sec</w:t>
      </w:r>
      <w:r w:rsidR="000C213F">
        <w:t>ț</w:t>
      </w:r>
      <w:r>
        <w:t xml:space="preserve">iuni”). Creditele </w:t>
      </w:r>
      <w:r w:rsidR="000C213F">
        <w:t>ș</w:t>
      </w:r>
      <w:r>
        <w:t>i avansurile care fac obiectul deprecierii se referă la acelea</w:t>
      </w:r>
      <w:r w:rsidR="000C213F">
        <w:t>ș</w:t>
      </w:r>
      <w:r>
        <w:t xml:space="preserve">i portofolii, astfel cum se prevede la punctul </w:t>
      </w:r>
      <w:r w:rsidRPr="004237EC">
        <w:t>93</w:t>
      </w:r>
      <w:r>
        <w:t xml:space="preserve"> din prezenta parte.</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485897583"/>
      <w:bookmarkStart w:id="267" w:name="_Toc246770636"/>
      <w:bookmarkEnd w:id="261"/>
      <w:bookmarkEnd w:id="262"/>
      <w:r>
        <w:t xml:space="preserve">Active corporale </w:t>
      </w:r>
      <w:r w:rsidR="000C213F">
        <w:t>ș</w:t>
      </w:r>
      <w:r>
        <w:t>i necorporale: active care fac obiectul unui contract de leasing opera</w:t>
      </w:r>
      <w:r w:rsidR="000C213F">
        <w:t>ț</w:t>
      </w:r>
      <w:r>
        <w:t>ional (</w:t>
      </w:r>
      <w:r w:rsidRPr="004237EC">
        <w:t>21</w:t>
      </w:r>
      <w:r>
        <w:t>)</w:t>
      </w:r>
      <w:bookmarkEnd w:id="263"/>
      <w:bookmarkEnd w:id="264"/>
      <w:bookmarkEnd w:id="265"/>
      <w:bookmarkEnd w:id="266"/>
    </w:p>
    <w:p w:rsidR="009569C7" w:rsidRPr="00EC4FA2" w:rsidRDefault="00A834F1" w:rsidP="009569C7">
      <w:pPr>
        <w:pStyle w:val="Baseparagraphnumbered"/>
      </w:pPr>
      <w:r>
        <w:t xml:space="preserve">În scopul calculării pragului prevăzut la articolul </w:t>
      </w:r>
      <w:r w:rsidRPr="004237EC">
        <w:t>9</w:t>
      </w:r>
      <w:r>
        <w:t xml:space="preserve"> litera (e) din prezentul regulament, activele corporale oferite în sistem de leasing de către institu</w:t>
      </w:r>
      <w:r w:rsidR="000C213F">
        <w:t>ț</w:t>
      </w:r>
      <w:r>
        <w:t>ie (locator) unor păr</w:t>
      </w:r>
      <w:r w:rsidR="000C213F">
        <w:t>ț</w:t>
      </w:r>
      <w:r>
        <w:t>i ter</w:t>
      </w:r>
      <w:r w:rsidR="000C213F">
        <w:t>ț</w:t>
      </w:r>
      <w:r>
        <w:t>e în cadrul unor acorduri care se califică drept contracte de leasing opera</w:t>
      </w:r>
      <w:r w:rsidR="000C213F">
        <w:t>ț</w:t>
      </w:r>
      <w:r>
        <w:t>ional conform cadrului contabil relevant se împart la totalul activelor corporale.</w:t>
      </w:r>
    </w:p>
    <w:p w:rsidR="009569C7" w:rsidRPr="00EC4FA2" w:rsidRDefault="00A834F1" w:rsidP="009569C7">
      <w:pPr>
        <w:pStyle w:val="Baseparagraphnumbered"/>
      </w:pPr>
      <w:r>
        <w:t>Conform IFRS, activele care au fost oferite în sistem de leasing de către institu</w:t>
      </w:r>
      <w:r w:rsidR="000C213F">
        <w:t>ț</w:t>
      </w:r>
      <w:r>
        <w:t>ie (ca locator) unor păr</w:t>
      </w:r>
      <w:r w:rsidR="000C213F">
        <w:t>ț</w:t>
      </w:r>
      <w:r>
        <w:t>i ter</w:t>
      </w:r>
      <w:r w:rsidR="000C213F">
        <w:t>ț</w:t>
      </w:r>
      <w:r>
        <w:t>e în cadrul unor contracte de leasing opera</w:t>
      </w:r>
      <w:r w:rsidR="000C213F">
        <w:t>ț</w:t>
      </w:r>
      <w:r>
        <w:t>ional se raportează defalcate pe metode de evaluare.</w:t>
      </w:r>
    </w:p>
    <w:p w:rsidR="009569C7" w:rsidRPr="00EC4FA2" w:rsidRDefault="00A834F1" w:rsidP="009569C7">
      <w:pPr>
        <w:pStyle w:val="subtitlenumbered"/>
        <w:jc w:val="both"/>
      </w:pPr>
      <w:bookmarkStart w:id="268" w:name="_Toc362359317"/>
      <w:bookmarkStart w:id="269" w:name="_Toc467855252"/>
      <w:bookmarkStart w:id="270" w:name="_Toc485897584"/>
      <w:bookmarkStart w:id="271" w:name="_Toc361844246"/>
      <w:bookmarkStart w:id="272" w:name="_Toc244498341"/>
      <w:bookmarkStart w:id="273" w:name="_Toc244500572"/>
      <w:bookmarkStart w:id="274" w:name="_Toc246770631"/>
      <w:r>
        <w:t>Func</w:t>
      </w:r>
      <w:r w:rsidR="000C213F">
        <w:t>ț</w:t>
      </w:r>
      <w:r>
        <w:t xml:space="preserve">ii aferente serviciilor de administrare a activelor, de custodie </w:t>
      </w:r>
      <w:r w:rsidR="000C213F">
        <w:t>ș</w:t>
      </w:r>
      <w:r>
        <w:t>i altor servicii (</w:t>
      </w:r>
      <w:r w:rsidRPr="004237EC">
        <w:t>22</w:t>
      </w:r>
      <w:r>
        <w:t>)</w:t>
      </w:r>
      <w:bookmarkEnd w:id="268"/>
      <w:bookmarkEnd w:id="269"/>
      <w:bookmarkEnd w:id="270"/>
    </w:p>
    <w:bookmarkEnd w:id="271"/>
    <w:p w:rsidR="009569C7" w:rsidRPr="00EC4FA2" w:rsidRDefault="00A834F1" w:rsidP="009569C7">
      <w:pPr>
        <w:pStyle w:val="Baseparagraphnumbered"/>
      </w:pPr>
      <w:r>
        <w:t xml:space="preserve">În scopul calculării pragului de la articolul </w:t>
      </w:r>
      <w:r w:rsidRPr="004237EC">
        <w:t>9</w:t>
      </w:r>
      <w:r>
        <w:t xml:space="preserve"> litera (f) din prezentul regulament, cuantumul „veniturilor nete din onorarii </w:t>
      </w:r>
      <w:r w:rsidR="000C213F">
        <w:t>ș</w:t>
      </w:r>
      <w:r>
        <w:t>i comisioane” este valoarea absolută a diferen</w:t>
      </w:r>
      <w:r w:rsidR="000C213F">
        <w:t>ț</w:t>
      </w:r>
      <w:r>
        <w:t xml:space="preserve">ei dintre „venituri din onorarii </w:t>
      </w:r>
      <w:r w:rsidR="000C213F">
        <w:t>ș</w:t>
      </w:r>
      <w:r>
        <w:t xml:space="preserve">i comisioane” </w:t>
      </w:r>
      <w:r w:rsidR="000C213F">
        <w:t>ș</w:t>
      </w:r>
      <w:r>
        <w:t xml:space="preserve">i „cheltuieli cu onorarii </w:t>
      </w:r>
      <w:r w:rsidR="000C213F">
        <w:t>ș</w:t>
      </w:r>
      <w:r>
        <w:t>i comisioane”. În acelea</w:t>
      </w:r>
      <w:r w:rsidR="000C213F">
        <w:t>ș</w:t>
      </w:r>
      <w:r>
        <w:t>i scopuri, cuantumul „dobânzii nete” este valoarea absolută a diferen</w:t>
      </w:r>
      <w:r w:rsidR="000C213F">
        <w:t>ț</w:t>
      </w:r>
      <w:r>
        <w:t xml:space="preserve">ei dintre „venituri din dobânzi” </w:t>
      </w:r>
      <w:r w:rsidR="000C213F">
        <w:t>ș</w:t>
      </w:r>
      <w:r>
        <w:t>i „cheltuieli cu dobânzile”.</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897585"/>
      <w:r>
        <w:t xml:space="preserve">Venituri </w:t>
      </w:r>
      <w:r w:rsidR="000C213F">
        <w:t>ș</w:t>
      </w:r>
      <w:r>
        <w:t xml:space="preserve">i cheltuieli cu onorarii </w:t>
      </w:r>
      <w:r w:rsidR="000C213F">
        <w:t>ș</w:t>
      </w:r>
      <w:r>
        <w:t>i comisioane</w:t>
      </w:r>
      <w:bookmarkEnd w:id="272"/>
      <w:bookmarkEnd w:id="273"/>
      <w:bookmarkEnd w:id="274"/>
      <w:r>
        <w:t>, defalcate pe activită</w:t>
      </w:r>
      <w:r w:rsidR="000C213F">
        <w:t>ț</w:t>
      </w:r>
      <w:r>
        <w:t>i (</w:t>
      </w:r>
      <w:r w:rsidRPr="004237EC">
        <w:t>22</w:t>
      </w:r>
      <w:r>
        <w:t>.</w:t>
      </w:r>
      <w:r w:rsidRPr="004237EC">
        <w:t>1</w:t>
      </w:r>
      <w:r>
        <w:t>)</w:t>
      </w:r>
      <w:bookmarkEnd w:id="275"/>
      <w:bookmarkEnd w:id="276"/>
      <w:bookmarkEnd w:id="277"/>
      <w:bookmarkEnd w:id="278"/>
    </w:p>
    <w:p w:rsidR="009569C7" w:rsidRPr="00EC4FA2" w:rsidRDefault="00A834F1" w:rsidP="009569C7">
      <w:pPr>
        <w:pStyle w:val="Baseparagraphnumbered"/>
      </w:pPr>
      <w:r>
        <w:t xml:space="preserve">Veniturile din onorarii </w:t>
      </w:r>
      <w:r w:rsidR="000C213F">
        <w:t>ș</w:t>
      </w:r>
      <w:r>
        <w:t xml:space="preserve">i comisioane </w:t>
      </w:r>
      <w:r w:rsidR="000C213F">
        <w:t>ș</w:t>
      </w:r>
      <w:r>
        <w:t xml:space="preserve">i cheltuielile cu onorariile </w:t>
      </w:r>
      <w:r w:rsidR="000C213F">
        <w:t>ș</w:t>
      </w:r>
      <w:r>
        <w:t>i comisioanele se raportează pe tipuri de activită</w:t>
      </w:r>
      <w:r w:rsidR="000C213F">
        <w:t>ț</w:t>
      </w:r>
      <w:r>
        <w:t xml:space="preserve">i. Conform IFRS, acest formular include alte venituri din onorarii </w:t>
      </w:r>
      <w:r w:rsidR="000C213F">
        <w:t>ș</w:t>
      </w:r>
      <w:r>
        <w:t xml:space="preserve">i comisioane </w:t>
      </w:r>
      <w:r w:rsidR="000C213F">
        <w:t>ș</w:t>
      </w:r>
      <w:r>
        <w:t xml:space="preserve">i alte cheltuieli cu onorariile </w:t>
      </w:r>
      <w:r w:rsidR="000C213F">
        <w:t>ș</w:t>
      </w:r>
      <w:r>
        <w:t xml:space="preserve">i comisioanele decât următoarele două: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cuantumurile luate în considerare pentru calcularea dobânzii efective a instrumentelor financiare [IFRS </w:t>
      </w:r>
      <w:r w:rsidRPr="004237EC">
        <w:rPr>
          <w:rFonts w:ascii="Times New Roman" w:hAnsi="Times New Roman"/>
          <w:sz w:val="24"/>
        </w:rPr>
        <w:t>7</w:t>
      </w:r>
      <w:r>
        <w:rPr>
          <w:rFonts w:ascii="Times New Roman" w:hAnsi="Times New Roman"/>
          <w:sz w:val="24"/>
        </w:rPr>
        <w:t xml:space="preserve"> punctul </w:t>
      </w:r>
      <w:r w:rsidRPr="004237EC">
        <w:rPr>
          <w:rFonts w:ascii="Times New Roman" w:hAnsi="Times New Roman"/>
          <w:sz w:val="24"/>
        </w:rPr>
        <w:t>20</w:t>
      </w:r>
      <w:r>
        <w:rPr>
          <w:rFonts w:ascii="Times New Roman" w:hAnsi="Times New Roman"/>
          <w:sz w:val="24"/>
        </w:rPr>
        <w:t xml:space="preserve"> litera (c)];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cuantumurile rezultate din instrumente financiare care sunt evaluate la valoarea justă prin profit sau pierdere [IFRS </w:t>
      </w:r>
      <w:r w:rsidRPr="004237EC">
        <w:rPr>
          <w:rFonts w:ascii="Times New Roman" w:hAnsi="Times New Roman"/>
          <w:sz w:val="24"/>
        </w:rPr>
        <w:t>7</w:t>
      </w:r>
      <w:r>
        <w:rPr>
          <w:rFonts w:ascii="Times New Roman" w:hAnsi="Times New Roman"/>
          <w:sz w:val="24"/>
        </w:rPr>
        <w:t xml:space="preserve"> punctul </w:t>
      </w:r>
      <w:r w:rsidRPr="004237EC">
        <w:rPr>
          <w:rFonts w:ascii="Times New Roman" w:hAnsi="Times New Roman"/>
          <w:sz w:val="24"/>
        </w:rPr>
        <w:t>20</w:t>
      </w:r>
      <w:r>
        <w:rPr>
          <w:rFonts w:ascii="Times New Roman" w:hAnsi="Times New Roman"/>
          <w:sz w:val="24"/>
        </w:rPr>
        <w:t xml:space="preserve"> litera (c) punctul (i)]. </w:t>
      </w:r>
    </w:p>
    <w:p w:rsidR="009569C7" w:rsidRPr="00EC4FA2" w:rsidRDefault="00A834F1" w:rsidP="009569C7">
      <w:pPr>
        <w:pStyle w:val="Baseparagraphnumbered"/>
      </w:pPr>
      <w:r>
        <w:t>Costurile de tranzac</w:t>
      </w:r>
      <w:r w:rsidR="000C213F">
        <w:t>ț</w:t>
      </w:r>
      <w:r>
        <w:t>ionare direct atribuibile achizi</w:t>
      </w:r>
      <w:r w:rsidR="000C213F">
        <w:t>ț</w:t>
      </w:r>
      <w:r>
        <w:t>ionării sau emisiunii de instrumente financiare care nu au fost evaluate la valoarea justă prin profit sau pierdere nu sunt incluse; acestea fac parte din valoarea ini</w:t>
      </w:r>
      <w:r w:rsidR="000C213F">
        <w:t>ț</w:t>
      </w:r>
      <w:r>
        <w:t>ială de achizi</w:t>
      </w:r>
      <w:r w:rsidR="000C213F">
        <w:t>ț</w:t>
      </w:r>
      <w:r>
        <w:t xml:space="preserve">ie/emisiune a instrumentelor </w:t>
      </w:r>
      <w:r w:rsidR="000C213F">
        <w:t>ș</w:t>
      </w:r>
      <w:r>
        <w:t>i sunt amortizate prin profit sau pierdere în cursul duratei de via</w:t>
      </w:r>
      <w:r w:rsidR="000C213F">
        <w:t>ț</w:t>
      </w:r>
      <w:r>
        <w:t xml:space="preserve">ă reziduale a acestora folosindu-se rata efectivă a dobânzii [a se vedea IFRS </w:t>
      </w:r>
      <w:r w:rsidRPr="004237EC">
        <w:t>9</w:t>
      </w:r>
      <w:r>
        <w:t xml:space="preserve"> punctul </w:t>
      </w:r>
      <w:r w:rsidRPr="004237EC">
        <w:t>5</w:t>
      </w:r>
      <w:r>
        <w:t>.</w:t>
      </w:r>
      <w:r w:rsidRPr="004237EC">
        <w:t>1</w:t>
      </w:r>
      <w:r>
        <w:t>.</w:t>
      </w:r>
      <w:r w:rsidRPr="004237EC">
        <w:t>1</w:t>
      </w:r>
      <w:r>
        <w:t>].</w:t>
      </w:r>
    </w:p>
    <w:p w:rsidR="009569C7" w:rsidRPr="00EC4FA2" w:rsidRDefault="00A834F1" w:rsidP="009569C7">
      <w:pPr>
        <w:pStyle w:val="Baseparagraphnumbered"/>
      </w:pPr>
      <w:r>
        <w:t>Conform IFRS, costurile de tranzac</w:t>
      </w:r>
      <w:r w:rsidR="000C213F">
        <w:t>ț</w:t>
      </w:r>
      <w:r>
        <w:t>ionare direct atribuibile achizi</w:t>
      </w:r>
      <w:r w:rsidR="000C213F">
        <w:t>ț</w:t>
      </w:r>
      <w:r>
        <w:t>ionării sau emisiunii de instrumente financiare care au fost evaluate la valoarea justă prin profit sau pierdere sunt incluse ca parte din „câ</w:t>
      </w:r>
      <w:r w:rsidR="000C213F">
        <w:t>ș</w:t>
      </w:r>
      <w:r>
        <w:t xml:space="preserve">tigurile sau </w:t>
      </w:r>
      <w:r>
        <w:lastRenderedPageBreak/>
        <w:t xml:space="preserve">pierderile aferente activelor </w:t>
      </w:r>
      <w:r w:rsidR="000C213F">
        <w:t>ș</w:t>
      </w:r>
      <w:r>
        <w:t>i datoriilor financiare de</w:t>
      </w:r>
      <w:r w:rsidR="000C213F">
        <w:t>ț</w:t>
      </w:r>
      <w:r>
        <w:t>inute în vederea tranzac</w:t>
      </w:r>
      <w:r w:rsidR="000C213F">
        <w:t>ț</w:t>
      </w:r>
      <w:r>
        <w:t>ionării – net”, din „câ</w:t>
      </w:r>
      <w:r w:rsidR="000C213F">
        <w:t>ș</w:t>
      </w:r>
      <w:r>
        <w:t>tigurile sau pierderile aferente activelor financiare nedestinate tranzac</w:t>
      </w:r>
      <w:r w:rsidR="000C213F">
        <w:t>ț</w:t>
      </w:r>
      <w:r>
        <w:t xml:space="preserve">ionării, evaluate obligatoriu la valoarea justă prin profit sau pierdere – net” </w:t>
      </w:r>
      <w:r w:rsidR="000C213F">
        <w:t>ș</w:t>
      </w:r>
      <w:r>
        <w:t>i din „câ</w:t>
      </w:r>
      <w:r w:rsidR="000C213F">
        <w:t>ș</w:t>
      </w:r>
      <w:r>
        <w:t xml:space="preserve">tigurile sau pierderile aferente activelor </w:t>
      </w:r>
      <w:r w:rsidR="000C213F">
        <w:t>ș</w:t>
      </w:r>
      <w:r>
        <w:t>i datoriilor financiare desemnate la valoarea justă prin profit sau pierdere – net”, în func</w:t>
      </w:r>
      <w:r w:rsidR="000C213F">
        <w:t>ț</w:t>
      </w:r>
      <w:r>
        <w:t>ie de portofoliul contabil în care sunt clasificate. Acestea nu fac parte din valoarea ini</w:t>
      </w:r>
      <w:r w:rsidR="000C213F">
        <w:t>ț</w:t>
      </w:r>
      <w:r>
        <w:t>ială de achizi</w:t>
      </w:r>
      <w:r w:rsidR="000C213F">
        <w:t>ț</w:t>
      </w:r>
      <w:r>
        <w:t xml:space="preserve">ie sau de emisiune a instrumentelor respective </w:t>
      </w:r>
      <w:r w:rsidR="000C213F">
        <w:t>ș</w:t>
      </w:r>
      <w:r>
        <w:t>i sunt recunoscute imediat în profit sau pierdere.</w:t>
      </w:r>
    </w:p>
    <w:p w:rsidR="009569C7" w:rsidRPr="00EC4FA2" w:rsidRDefault="00A834F1" w:rsidP="009569C7">
      <w:pPr>
        <w:pStyle w:val="Baseparagraphnumbered"/>
      </w:pPr>
      <w:r>
        <w:t>Institu</w:t>
      </w:r>
      <w:r w:rsidR="000C213F">
        <w:t>ț</w:t>
      </w:r>
      <w:r>
        <w:t xml:space="preserve">iile raportează veniturile din onorarii </w:t>
      </w:r>
      <w:r w:rsidR="000C213F">
        <w:t>ș</w:t>
      </w:r>
      <w:r>
        <w:t xml:space="preserve">i comisioane </w:t>
      </w:r>
      <w:r w:rsidR="000C213F">
        <w:t>ș</w:t>
      </w:r>
      <w:r>
        <w:t xml:space="preserve">i cheltuielile cu onorariile </w:t>
      </w:r>
      <w:r w:rsidR="000C213F">
        <w:t>ș</w:t>
      </w:r>
      <w:r>
        <w:t xml:space="preserve">i comisioanele conform următoarelor criterii: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„Titluri. Emisiuni” includ onorariile </w:t>
      </w:r>
      <w:r w:rsidR="000C213F">
        <w:rPr>
          <w:rFonts w:ascii="Times New Roman" w:hAnsi="Times New Roman"/>
          <w:sz w:val="24"/>
        </w:rPr>
        <w:t>ș</w:t>
      </w:r>
      <w:r>
        <w:rPr>
          <w:rFonts w:ascii="Times New Roman" w:hAnsi="Times New Roman"/>
          <w:sz w:val="24"/>
        </w:rPr>
        <w:t>i comisioanele primite pentru implicarea în ini</w:t>
      </w:r>
      <w:r w:rsidR="000C213F">
        <w:rPr>
          <w:rFonts w:ascii="Times New Roman" w:hAnsi="Times New Roman"/>
          <w:sz w:val="24"/>
        </w:rPr>
        <w:t>ț</w:t>
      </w:r>
      <w:r>
        <w:rPr>
          <w:rFonts w:ascii="Times New Roman" w:hAnsi="Times New Roman"/>
          <w:sz w:val="24"/>
        </w:rPr>
        <w:t>ierea sau emisiunea de titluri care nu au fost ini</w:t>
      </w:r>
      <w:r w:rsidR="000C213F">
        <w:rPr>
          <w:rFonts w:ascii="Times New Roman" w:hAnsi="Times New Roman"/>
          <w:sz w:val="24"/>
        </w:rPr>
        <w:t>ț</w:t>
      </w:r>
      <w:r>
        <w:rPr>
          <w:rFonts w:ascii="Times New Roman" w:hAnsi="Times New Roman"/>
          <w:sz w:val="24"/>
        </w:rPr>
        <w:t>iate sau emise de către institu</w:t>
      </w:r>
      <w:r w:rsidR="000C213F">
        <w:rPr>
          <w:rFonts w:ascii="Times New Roman" w:hAnsi="Times New Roman"/>
          <w:sz w:val="24"/>
        </w:rPr>
        <w:t>ț</w:t>
      </w:r>
      <w:r>
        <w:rPr>
          <w:rFonts w:ascii="Times New Roman" w:hAnsi="Times New Roman"/>
          <w:sz w:val="24"/>
        </w:rPr>
        <w:t>ie;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„Titluri. Ordine de transfer” includ onorariile </w:t>
      </w:r>
      <w:r w:rsidR="000C213F">
        <w:rPr>
          <w:rFonts w:ascii="Times New Roman" w:hAnsi="Times New Roman"/>
          <w:sz w:val="24"/>
        </w:rPr>
        <w:t>ș</w:t>
      </w:r>
      <w:r>
        <w:rPr>
          <w:rFonts w:ascii="Times New Roman" w:hAnsi="Times New Roman"/>
          <w:sz w:val="24"/>
        </w:rPr>
        <w:t xml:space="preserve">i comisioanele generate de primirea, transmiterea </w:t>
      </w:r>
      <w:r w:rsidR="000C213F">
        <w:rPr>
          <w:rFonts w:ascii="Times New Roman" w:hAnsi="Times New Roman"/>
          <w:sz w:val="24"/>
        </w:rPr>
        <w:t>ș</w:t>
      </w:r>
      <w:r>
        <w:rPr>
          <w:rFonts w:ascii="Times New Roman" w:hAnsi="Times New Roman"/>
          <w:sz w:val="24"/>
        </w:rPr>
        <w:t>i executarea în numele clien</w:t>
      </w:r>
      <w:r w:rsidR="000C213F">
        <w:rPr>
          <w:rFonts w:ascii="Times New Roman" w:hAnsi="Times New Roman"/>
          <w:sz w:val="24"/>
        </w:rPr>
        <w:t>ț</w:t>
      </w:r>
      <w:r>
        <w:rPr>
          <w:rFonts w:ascii="Times New Roman" w:hAnsi="Times New Roman"/>
          <w:sz w:val="24"/>
        </w:rPr>
        <w:t>ilor a ordinelor de cumpărare sau de vânzare de titluri;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„Titluri. Altele” includ onorariile </w:t>
      </w:r>
      <w:r w:rsidR="000C213F">
        <w:rPr>
          <w:rFonts w:ascii="Times New Roman" w:hAnsi="Times New Roman"/>
          <w:sz w:val="24"/>
        </w:rPr>
        <w:t>ș</w:t>
      </w:r>
      <w:r>
        <w:rPr>
          <w:rFonts w:ascii="Times New Roman" w:hAnsi="Times New Roman"/>
          <w:sz w:val="24"/>
        </w:rPr>
        <w:t>i comisioanele generate de institu</w:t>
      </w:r>
      <w:r w:rsidR="000C213F">
        <w:rPr>
          <w:rFonts w:ascii="Times New Roman" w:hAnsi="Times New Roman"/>
          <w:sz w:val="24"/>
        </w:rPr>
        <w:t>ț</w:t>
      </w:r>
      <w:r>
        <w:rPr>
          <w:rFonts w:ascii="Times New Roman" w:hAnsi="Times New Roman"/>
          <w:sz w:val="24"/>
        </w:rPr>
        <w:t>ia care furnizează alte servicii asociate unor titluri care nu au fost ini</w:t>
      </w:r>
      <w:r w:rsidR="000C213F">
        <w:rPr>
          <w:rFonts w:ascii="Times New Roman" w:hAnsi="Times New Roman"/>
          <w:sz w:val="24"/>
        </w:rPr>
        <w:t>ț</w:t>
      </w:r>
      <w:r>
        <w:rPr>
          <w:rFonts w:ascii="Times New Roman" w:hAnsi="Times New Roman"/>
          <w:sz w:val="24"/>
        </w:rPr>
        <w:t>iate sau emise de către institu</w:t>
      </w:r>
      <w:r w:rsidR="000C213F">
        <w:rPr>
          <w:rFonts w:ascii="Times New Roman" w:hAnsi="Times New Roman"/>
          <w:sz w:val="24"/>
        </w:rPr>
        <w:t>ț</w:t>
      </w:r>
      <w:r>
        <w:rPr>
          <w:rFonts w:ascii="Times New Roman" w:hAnsi="Times New Roman"/>
          <w:sz w:val="24"/>
        </w:rPr>
        <w:t>ie;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„Compensare </w:t>
      </w:r>
      <w:r w:rsidR="000C213F">
        <w:rPr>
          <w:rFonts w:ascii="Times New Roman" w:hAnsi="Times New Roman"/>
          <w:sz w:val="24"/>
        </w:rPr>
        <w:t>ș</w:t>
      </w:r>
      <w:r>
        <w:rPr>
          <w:rFonts w:ascii="Times New Roman" w:hAnsi="Times New Roman"/>
          <w:sz w:val="24"/>
        </w:rPr>
        <w:t xml:space="preserve">i decontare” include veniturile (sau cheltuielile) din onorarii </w:t>
      </w:r>
      <w:r w:rsidR="000C213F">
        <w:rPr>
          <w:rFonts w:ascii="Times New Roman" w:hAnsi="Times New Roman"/>
          <w:sz w:val="24"/>
        </w:rPr>
        <w:t>ș</w:t>
      </w:r>
      <w:r>
        <w:rPr>
          <w:rFonts w:ascii="Times New Roman" w:hAnsi="Times New Roman"/>
          <w:sz w:val="24"/>
        </w:rPr>
        <w:t>i comisioane generate de (sau percepute de la) institu</w:t>
      </w:r>
      <w:r w:rsidR="000C213F">
        <w:rPr>
          <w:rFonts w:ascii="Times New Roman" w:hAnsi="Times New Roman"/>
          <w:sz w:val="24"/>
        </w:rPr>
        <w:t>ț</w:t>
      </w:r>
      <w:r>
        <w:rPr>
          <w:rFonts w:ascii="Times New Roman" w:hAnsi="Times New Roman"/>
          <w:sz w:val="24"/>
        </w:rPr>
        <w:t>ie atunci când participă la facilită</w:t>
      </w:r>
      <w:r w:rsidR="000C213F">
        <w:rPr>
          <w:rFonts w:ascii="Times New Roman" w:hAnsi="Times New Roman"/>
          <w:sz w:val="24"/>
        </w:rPr>
        <w:t>ț</w:t>
      </w:r>
      <w:r>
        <w:rPr>
          <w:rFonts w:ascii="Times New Roman" w:hAnsi="Times New Roman"/>
          <w:sz w:val="24"/>
        </w:rPr>
        <w:t xml:space="preserve">ile de compensare </w:t>
      </w:r>
      <w:r w:rsidR="000C213F">
        <w:rPr>
          <w:rFonts w:ascii="Times New Roman" w:hAnsi="Times New Roman"/>
          <w:sz w:val="24"/>
        </w:rPr>
        <w:t>ș</w:t>
      </w:r>
      <w:r>
        <w:rPr>
          <w:rFonts w:ascii="Times New Roman" w:hAnsi="Times New Roman"/>
          <w:sz w:val="24"/>
        </w:rPr>
        <w:t>i de decontare cu contrapartea;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„Administrarea activelor”, „Custodie”, „Servicii administrative centrale pentru organismele de plasament colectiv”, „Tranzac</w:t>
      </w:r>
      <w:r w:rsidR="000C213F">
        <w:rPr>
          <w:rFonts w:ascii="Times New Roman" w:hAnsi="Times New Roman"/>
          <w:sz w:val="24"/>
        </w:rPr>
        <w:t>ț</w:t>
      </w:r>
      <w:r>
        <w:rPr>
          <w:rFonts w:ascii="Times New Roman" w:hAnsi="Times New Roman"/>
          <w:sz w:val="24"/>
        </w:rPr>
        <w:t xml:space="preserve">ii fiduciare”, „Servicii de plată” includ veniturile (sau cheltuielile) din onorarii </w:t>
      </w:r>
      <w:r w:rsidR="000C213F">
        <w:rPr>
          <w:rFonts w:ascii="Times New Roman" w:hAnsi="Times New Roman"/>
          <w:sz w:val="24"/>
        </w:rPr>
        <w:t>ș</w:t>
      </w:r>
      <w:r>
        <w:rPr>
          <w:rFonts w:ascii="Times New Roman" w:hAnsi="Times New Roman"/>
          <w:sz w:val="24"/>
        </w:rPr>
        <w:t>i comisioane generate de (sau percepute de la) de institu</w:t>
      </w:r>
      <w:r w:rsidR="000C213F">
        <w:rPr>
          <w:rFonts w:ascii="Times New Roman" w:hAnsi="Times New Roman"/>
          <w:sz w:val="24"/>
        </w:rPr>
        <w:t>ț</w:t>
      </w:r>
      <w:r>
        <w:rPr>
          <w:rFonts w:ascii="Times New Roman" w:hAnsi="Times New Roman"/>
          <w:sz w:val="24"/>
        </w:rPr>
        <w:t>ie în cazul în care furnizează astfel de servicii;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„Finan</w:t>
      </w:r>
      <w:r w:rsidR="000C213F">
        <w:rPr>
          <w:rFonts w:ascii="Times New Roman" w:hAnsi="Times New Roman"/>
          <w:sz w:val="24"/>
        </w:rPr>
        <w:t>ț</w:t>
      </w:r>
      <w:r>
        <w:rPr>
          <w:rFonts w:ascii="Times New Roman" w:hAnsi="Times New Roman"/>
          <w:sz w:val="24"/>
        </w:rPr>
        <w:t xml:space="preserve">are structurată” include onorariile </w:t>
      </w:r>
      <w:r w:rsidR="000C213F">
        <w:rPr>
          <w:rFonts w:ascii="Times New Roman" w:hAnsi="Times New Roman"/>
          <w:sz w:val="24"/>
        </w:rPr>
        <w:t>ș</w:t>
      </w:r>
      <w:r>
        <w:rPr>
          <w:rFonts w:ascii="Times New Roman" w:hAnsi="Times New Roman"/>
          <w:sz w:val="24"/>
        </w:rPr>
        <w:t>i comisioanele primite pentru implicarea în ini</w:t>
      </w:r>
      <w:r w:rsidR="000C213F">
        <w:rPr>
          <w:rFonts w:ascii="Times New Roman" w:hAnsi="Times New Roman"/>
          <w:sz w:val="24"/>
        </w:rPr>
        <w:t>ț</w:t>
      </w:r>
      <w:r>
        <w:rPr>
          <w:rFonts w:ascii="Times New Roman" w:hAnsi="Times New Roman"/>
          <w:sz w:val="24"/>
        </w:rPr>
        <w:t>ierea sau emisiunea de instrumente financiare, altele decât titlurile ini</w:t>
      </w:r>
      <w:r w:rsidR="000C213F">
        <w:rPr>
          <w:rFonts w:ascii="Times New Roman" w:hAnsi="Times New Roman"/>
          <w:sz w:val="24"/>
        </w:rPr>
        <w:t>ț</w:t>
      </w:r>
      <w:r>
        <w:rPr>
          <w:rFonts w:ascii="Times New Roman" w:hAnsi="Times New Roman"/>
          <w:sz w:val="24"/>
        </w:rPr>
        <w:t>iate sau emise de către institu</w:t>
      </w:r>
      <w:r w:rsidR="000C213F">
        <w:rPr>
          <w:rFonts w:ascii="Times New Roman" w:hAnsi="Times New Roman"/>
          <w:sz w:val="24"/>
        </w:rPr>
        <w:t>ț</w:t>
      </w:r>
      <w:r>
        <w:rPr>
          <w:rFonts w:ascii="Times New Roman" w:hAnsi="Times New Roman"/>
          <w:sz w:val="24"/>
        </w:rPr>
        <w:t xml:space="preserve">ie;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comisioanele din „activită</w:t>
      </w:r>
      <w:r w:rsidR="000C213F">
        <w:rPr>
          <w:rFonts w:ascii="Times New Roman" w:hAnsi="Times New Roman"/>
          <w:sz w:val="24"/>
        </w:rPr>
        <w:t>ț</w:t>
      </w:r>
      <w:r>
        <w:rPr>
          <w:rFonts w:ascii="Times New Roman" w:hAnsi="Times New Roman"/>
          <w:sz w:val="24"/>
        </w:rPr>
        <w:t>i de administrare a creditelor” includ, în ceea ce prive</w:t>
      </w:r>
      <w:r w:rsidR="000C213F">
        <w:rPr>
          <w:rFonts w:ascii="Times New Roman" w:hAnsi="Times New Roman"/>
          <w:sz w:val="24"/>
        </w:rPr>
        <w:t>ș</w:t>
      </w:r>
      <w:r>
        <w:rPr>
          <w:rFonts w:ascii="Times New Roman" w:hAnsi="Times New Roman"/>
          <w:sz w:val="24"/>
        </w:rPr>
        <w:t xml:space="preserve">te veniturile, veniturile din onorarii </w:t>
      </w:r>
      <w:r w:rsidR="000C213F">
        <w:rPr>
          <w:rFonts w:ascii="Times New Roman" w:hAnsi="Times New Roman"/>
          <w:sz w:val="24"/>
        </w:rPr>
        <w:t>ș</w:t>
      </w:r>
      <w:r>
        <w:rPr>
          <w:rFonts w:ascii="Times New Roman" w:hAnsi="Times New Roman"/>
          <w:sz w:val="24"/>
        </w:rPr>
        <w:t>i comisioane generate de institu</w:t>
      </w:r>
      <w:r w:rsidR="000C213F">
        <w:rPr>
          <w:rFonts w:ascii="Times New Roman" w:hAnsi="Times New Roman"/>
          <w:sz w:val="24"/>
        </w:rPr>
        <w:t>ț</w:t>
      </w:r>
      <w:r>
        <w:rPr>
          <w:rFonts w:ascii="Times New Roman" w:hAnsi="Times New Roman"/>
          <w:sz w:val="24"/>
        </w:rPr>
        <w:t xml:space="preserve">ia care oferă servicii de administrare a creditelor </w:t>
      </w:r>
      <w:r w:rsidR="000C213F">
        <w:rPr>
          <w:rFonts w:ascii="Times New Roman" w:hAnsi="Times New Roman"/>
          <w:sz w:val="24"/>
        </w:rPr>
        <w:t>ș</w:t>
      </w:r>
      <w:r>
        <w:rPr>
          <w:rFonts w:ascii="Times New Roman" w:hAnsi="Times New Roman"/>
          <w:sz w:val="24"/>
        </w:rPr>
        <w:t>i, în ceea ce prive</w:t>
      </w:r>
      <w:r w:rsidR="000C213F">
        <w:rPr>
          <w:rFonts w:ascii="Times New Roman" w:hAnsi="Times New Roman"/>
          <w:sz w:val="24"/>
        </w:rPr>
        <w:t>ș</w:t>
      </w:r>
      <w:r>
        <w:rPr>
          <w:rFonts w:ascii="Times New Roman" w:hAnsi="Times New Roman"/>
          <w:sz w:val="24"/>
        </w:rPr>
        <w:t xml:space="preserve">te cheltuielile, cheltuielile cu onorarii </w:t>
      </w:r>
      <w:r w:rsidR="000C213F">
        <w:rPr>
          <w:rFonts w:ascii="Times New Roman" w:hAnsi="Times New Roman"/>
          <w:sz w:val="24"/>
        </w:rPr>
        <w:t>ș</w:t>
      </w:r>
      <w:r>
        <w:rPr>
          <w:rFonts w:ascii="Times New Roman" w:hAnsi="Times New Roman"/>
          <w:sz w:val="24"/>
        </w:rPr>
        <w:t>i comisioane percepute institu</w:t>
      </w:r>
      <w:r w:rsidR="000C213F">
        <w:rPr>
          <w:rFonts w:ascii="Times New Roman" w:hAnsi="Times New Roman"/>
          <w:sz w:val="24"/>
        </w:rPr>
        <w:t>ț</w:t>
      </w:r>
      <w:r>
        <w:rPr>
          <w:rFonts w:ascii="Times New Roman" w:hAnsi="Times New Roman"/>
          <w:sz w:val="24"/>
        </w:rPr>
        <w:t>iei de către furnizorii de servicii de administrare a creditelor;</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„Angajamente de creditare date” </w:t>
      </w:r>
      <w:r w:rsidR="000C213F">
        <w:rPr>
          <w:rFonts w:ascii="Times New Roman" w:hAnsi="Times New Roman"/>
          <w:sz w:val="24"/>
        </w:rPr>
        <w:t>ș</w:t>
      </w:r>
      <w:r>
        <w:rPr>
          <w:rFonts w:ascii="Times New Roman" w:hAnsi="Times New Roman"/>
          <w:sz w:val="24"/>
        </w:rPr>
        <w:t>i „Garan</w:t>
      </w:r>
      <w:r w:rsidR="000C213F">
        <w:rPr>
          <w:rFonts w:ascii="Times New Roman" w:hAnsi="Times New Roman"/>
          <w:sz w:val="24"/>
        </w:rPr>
        <w:t>ț</w:t>
      </w:r>
      <w:r>
        <w:rPr>
          <w:rFonts w:ascii="Times New Roman" w:hAnsi="Times New Roman"/>
          <w:sz w:val="24"/>
        </w:rPr>
        <w:t xml:space="preserve">ii financiare date” includ cuantumul, recunoscut ca venit aferent perioadei, al amortizării onorariilor </w:t>
      </w:r>
      <w:r w:rsidR="000C213F">
        <w:rPr>
          <w:rFonts w:ascii="Times New Roman" w:hAnsi="Times New Roman"/>
          <w:sz w:val="24"/>
        </w:rPr>
        <w:t>ș</w:t>
      </w:r>
      <w:r>
        <w:rPr>
          <w:rFonts w:ascii="Times New Roman" w:hAnsi="Times New Roman"/>
          <w:sz w:val="24"/>
        </w:rPr>
        <w:t>i comisioanelor pentru aceste activită</w:t>
      </w:r>
      <w:r w:rsidR="000C213F">
        <w:rPr>
          <w:rFonts w:ascii="Times New Roman" w:hAnsi="Times New Roman"/>
          <w:sz w:val="24"/>
        </w:rPr>
        <w:t>ț</w:t>
      </w:r>
      <w:r>
        <w:rPr>
          <w:rFonts w:ascii="Times New Roman" w:hAnsi="Times New Roman"/>
          <w:sz w:val="24"/>
        </w:rPr>
        <w:t>i recunoscute ini</w:t>
      </w:r>
      <w:r w:rsidR="000C213F">
        <w:rPr>
          <w:rFonts w:ascii="Times New Roman" w:hAnsi="Times New Roman"/>
          <w:sz w:val="24"/>
        </w:rPr>
        <w:t>ț</w:t>
      </w:r>
      <w:r>
        <w:rPr>
          <w:rFonts w:ascii="Times New Roman" w:hAnsi="Times New Roman"/>
          <w:sz w:val="24"/>
        </w:rPr>
        <w:t>ial ca „alte datorii”;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„Angajamente de creditare primite” </w:t>
      </w:r>
      <w:r w:rsidR="000C213F">
        <w:rPr>
          <w:rFonts w:ascii="Times New Roman" w:hAnsi="Times New Roman"/>
          <w:sz w:val="24"/>
        </w:rPr>
        <w:t>ș</w:t>
      </w:r>
      <w:r>
        <w:rPr>
          <w:rFonts w:ascii="Times New Roman" w:hAnsi="Times New Roman"/>
          <w:sz w:val="24"/>
        </w:rPr>
        <w:t>i „Garan</w:t>
      </w:r>
      <w:r w:rsidR="000C213F">
        <w:rPr>
          <w:rFonts w:ascii="Times New Roman" w:hAnsi="Times New Roman"/>
          <w:sz w:val="24"/>
        </w:rPr>
        <w:t>ț</w:t>
      </w:r>
      <w:r>
        <w:rPr>
          <w:rFonts w:ascii="Times New Roman" w:hAnsi="Times New Roman"/>
          <w:sz w:val="24"/>
        </w:rPr>
        <w:t xml:space="preserve">ii financiare primite” includ onorariile </w:t>
      </w:r>
      <w:r w:rsidR="000C213F">
        <w:rPr>
          <w:rFonts w:ascii="Times New Roman" w:hAnsi="Times New Roman"/>
          <w:sz w:val="24"/>
        </w:rPr>
        <w:t>ș</w:t>
      </w:r>
      <w:r>
        <w:rPr>
          <w:rFonts w:ascii="Times New Roman" w:hAnsi="Times New Roman"/>
          <w:sz w:val="24"/>
        </w:rPr>
        <w:t>i comisioanele recunoscute drept cheltuieli de către institu</w:t>
      </w:r>
      <w:r w:rsidR="000C213F">
        <w:rPr>
          <w:rFonts w:ascii="Times New Roman" w:hAnsi="Times New Roman"/>
          <w:sz w:val="24"/>
        </w:rPr>
        <w:t>ț</w:t>
      </w:r>
      <w:r>
        <w:rPr>
          <w:rFonts w:ascii="Times New Roman" w:hAnsi="Times New Roman"/>
          <w:sz w:val="24"/>
        </w:rPr>
        <w:t>ie în cursul perioadei, ca o consecin</w:t>
      </w:r>
      <w:r w:rsidR="000C213F">
        <w:rPr>
          <w:rFonts w:ascii="Times New Roman" w:hAnsi="Times New Roman"/>
          <w:sz w:val="24"/>
        </w:rPr>
        <w:t>ț</w:t>
      </w:r>
      <w:r>
        <w:rPr>
          <w:rFonts w:ascii="Times New Roman" w:hAnsi="Times New Roman"/>
          <w:sz w:val="24"/>
        </w:rPr>
        <w:t xml:space="preserve">ă a valorii percepute de către contrapartea </w:t>
      </w:r>
      <w:r>
        <w:rPr>
          <w:rFonts w:ascii="Times New Roman" w:hAnsi="Times New Roman"/>
          <w:sz w:val="24"/>
        </w:rPr>
        <w:lastRenderedPageBreak/>
        <w:t>care a dat angajamentul de creditare sau care a acordat garan</w:t>
      </w:r>
      <w:r w:rsidR="000C213F">
        <w:rPr>
          <w:rFonts w:ascii="Times New Roman" w:hAnsi="Times New Roman"/>
          <w:sz w:val="24"/>
        </w:rPr>
        <w:t>ț</w:t>
      </w:r>
      <w:r>
        <w:rPr>
          <w:rFonts w:ascii="Times New Roman" w:hAnsi="Times New Roman"/>
          <w:sz w:val="24"/>
        </w:rPr>
        <w:t>ia financiară recunoscută ini</w:t>
      </w:r>
      <w:r w:rsidR="000C213F">
        <w:rPr>
          <w:rFonts w:ascii="Times New Roman" w:hAnsi="Times New Roman"/>
          <w:sz w:val="24"/>
        </w:rPr>
        <w:t>ț</w:t>
      </w:r>
      <w:r>
        <w:rPr>
          <w:rFonts w:ascii="Times New Roman" w:hAnsi="Times New Roman"/>
          <w:sz w:val="24"/>
        </w:rPr>
        <w:t xml:space="preserve">ial drept „alte active”;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„Altele” includ alte venituri (cheltuieli) din onorarii </w:t>
      </w:r>
      <w:r w:rsidR="000C213F">
        <w:rPr>
          <w:rFonts w:ascii="Times New Roman" w:hAnsi="Times New Roman"/>
          <w:sz w:val="24"/>
        </w:rPr>
        <w:t>ș</w:t>
      </w:r>
      <w:r>
        <w:rPr>
          <w:rFonts w:ascii="Times New Roman" w:hAnsi="Times New Roman"/>
          <w:sz w:val="24"/>
        </w:rPr>
        <w:t>i comisioane generate (percepute) de institu</w:t>
      </w:r>
      <w:r w:rsidR="000C213F">
        <w:rPr>
          <w:rFonts w:ascii="Times New Roman" w:hAnsi="Times New Roman"/>
          <w:sz w:val="24"/>
        </w:rPr>
        <w:t>ț</w:t>
      </w:r>
      <w:r>
        <w:rPr>
          <w:rFonts w:ascii="Times New Roman" w:hAnsi="Times New Roman"/>
          <w:sz w:val="24"/>
        </w:rPr>
        <w:t>ie, cum ar fi cele derivate din „alte angajamente”, din servicii de schimb valutar (cum ar fi schimbul de bancnote sau monede străine) sau din furnizarea (primirea) de consultan</w:t>
      </w:r>
      <w:r w:rsidR="000C213F">
        <w:rPr>
          <w:rFonts w:ascii="Times New Roman" w:hAnsi="Times New Roman"/>
          <w:sz w:val="24"/>
        </w:rPr>
        <w:t>ț</w:t>
      </w:r>
      <w:r>
        <w:rPr>
          <w:rFonts w:ascii="Times New Roman" w:hAnsi="Times New Roman"/>
          <w:sz w:val="24"/>
        </w:rPr>
        <w:t xml:space="preserve">ă </w:t>
      </w:r>
      <w:r w:rsidR="000C213F">
        <w:rPr>
          <w:rFonts w:ascii="Times New Roman" w:hAnsi="Times New Roman"/>
          <w:sz w:val="24"/>
        </w:rPr>
        <w:t>ș</w:t>
      </w:r>
      <w:r>
        <w:rPr>
          <w:rFonts w:ascii="Times New Roman" w:hAnsi="Times New Roman"/>
          <w:sz w:val="24"/>
        </w:rPr>
        <w:t>i alte servicii pe bază de onorarii.</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897586"/>
      <w:r>
        <w:t>Active implicate în serviciile furnizate (</w:t>
      </w:r>
      <w:r w:rsidRPr="004237EC">
        <w:t>22</w:t>
      </w:r>
      <w:r>
        <w:t>.</w:t>
      </w:r>
      <w:r w:rsidRPr="004237EC">
        <w:t>2</w:t>
      </w:r>
      <w:r>
        <w:t>)</w:t>
      </w:r>
      <w:bookmarkEnd w:id="279"/>
      <w:bookmarkEnd w:id="280"/>
      <w:bookmarkEnd w:id="281"/>
      <w:bookmarkEnd w:id="282"/>
    </w:p>
    <w:p w:rsidR="009569C7" w:rsidRPr="00EC4FA2" w:rsidRDefault="00A834F1" w:rsidP="009569C7">
      <w:pPr>
        <w:pStyle w:val="Baseparagraphnumbered"/>
      </w:pPr>
      <w:r>
        <w:t>Activită</w:t>
      </w:r>
      <w:r w:rsidR="000C213F">
        <w:t>ț</w:t>
      </w:r>
      <w:r>
        <w:t>ile legate de administrarea activelor, func</w:t>
      </w:r>
      <w:r w:rsidR="000C213F">
        <w:t>ț</w:t>
      </w:r>
      <w:r>
        <w:t xml:space="preserve">iile de custodie </w:t>
      </w:r>
      <w:r w:rsidR="000C213F">
        <w:t>ș</w:t>
      </w:r>
      <w:r>
        <w:t>i alte servicii furnizate de institu</w:t>
      </w:r>
      <w:r w:rsidR="000C213F">
        <w:t>ț</w:t>
      </w:r>
      <w:r>
        <w:t>ie se raportează folosind următoarele defini</w:t>
      </w:r>
      <w:r w:rsidR="000C213F">
        <w:t>ț</w:t>
      </w:r>
      <w:r>
        <w:t>ii: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„Administrarea activelor” se referă la activele care apar</w:t>
      </w:r>
      <w:r w:rsidR="000C213F">
        <w:rPr>
          <w:rFonts w:ascii="Times New Roman" w:hAnsi="Times New Roman"/>
          <w:sz w:val="24"/>
        </w:rPr>
        <w:t>ț</w:t>
      </w:r>
      <w:r>
        <w:rPr>
          <w:rFonts w:ascii="Times New Roman" w:hAnsi="Times New Roman"/>
          <w:sz w:val="24"/>
        </w:rPr>
        <w:t>in direct clien</w:t>
      </w:r>
      <w:r w:rsidR="000C213F">
        <w:rPr>
          <w:rFonts w:ascii="Times New Roman" w:hAnsi="Times New Roman"/>
          <w:sz w:val="24"/>
        </w:rPr>
        <w:t>ț</w:t>
      </w:r>
      <w:r>
        <w:rPr>
          <w:rFonts w:ascii="Times New Roman" w:hAnsi="Times New Roman"/>
          <w:sz w:val="24"/>
        </w:rPr>
        <w:t>ilor, pentru care institu</w:t>
      </w:r>
      <w:r w:rsidR="000C213F">
        <w:rPr>
          <w:rFonts w:ascii="Times New Roman" w:hAnsi="Times New Roman"/>
          <w:sz w:val="24"/>
        </w:rPr>
        <w:t>ț</w:t>
      </w:r>
      <w:r>
        <w:rPr>
          <w:rFonts w:ascii="Times New Roman" w:hAnsi="Times New Roman"/>
          <w:sz w:val="24"/>
        </w:rPr>
        <w:t>ia oferă servicii de administrare. „Administrarea activelor” se raportează pe tipuri de clien</w:t>
      </w:r>
      <w:r w:rsidR="000C213F">
        <w:rPr>
          <w:rFonts w:ascii="Times New Roman" w:hAnsi="Times New Roman"/>
          <w:sz w:val="24"/>
        </w:rPr>
        <w:t>ț</w:t>
      </w:r>
      <w:r>
        <w:rPr>
          <w:rFonts w:ascii="Times New Roman" w:hAnsi="Times New Roman"/>
          <w:sz w:val="24"/>
        </w:rPr>
        <w:t>i: organisme de plasament colectiv, fonduri de pensii, portofolii de clien</w:t>
      </w:r>
      <w:r w:rsidR="000C213F">
        <w:rPr>
          <w:rFonts w:ascii="Times New Roman" w:hAnsi="Times New Roman"/>
          <w:sz w:val="24"/>
        </w:rPr>
        <w:t>ț</w:t>
      </w:r>
      <w:r>
        <w:rPr>
          <w:rFonts w:ascii="Times New Roman" w:hAnsi="Times New Roman"/>
          <w:sz w:val="24"/>
        </w:rPr>
        <w:t>i administrate discre</w:t>
      </w:r>
      <w:r w:rsidR="000C213F">
        <w:rPr>
          <w:rFonts w:ascii="Times New Roman" w:hAnsi="Times New Roman"/>
          <w:sz w:val="24"/>
        </w:rPr>
        <w:t>ț</w:t>
      </w:r>
      <w:r>
        <w:rPr>
          <w:rFonts w:ascii="Times New Roman" w:hAnsi="Times New Roman"/>
          <w:sz w:val="24"/>
        </w:rPr>
        <w:t xml:space="preserve">ionar </w:t>
      </w:r>
      <w:r w:rsidR="000C213F">
        <w:rPr>
          <w:rFonts w:ascii="Times New Roman" w:hAnsi="Times New Roman"/>
          <w:sz w:val="24"/>
        </w:rPr>
        <w:t>ș</w:t>
      </w:r>
      <w:r>
        <w:rPr>
          <w:rFonts w:ascii="Times New Roman" w:hAnsi="Times New Roman"/>
          <w:sz w:val="24"/>
        </w:rPr>
        <w:t>i alte vehicule investi</w:t>
      </w:r>
      <w:r w:rsidR="000C213F">
        <w:rPr>
          <w:rFonts w:ascii="Times New Roman" w:hAnsi="Times New Roman"/>
          <w:sz w:val="24"/>
        </w:rPr>
        <w:t>ț</w:t>
      </w:r>
      <w:r>
        <w:rPr>
          <w:rFonts w:ascii="Times New Roman" w:hAnsi="Times New Roman"/>
          <w:sz w:val="24"/>
        </w:rPr>
        <w:t xml:space="preserve">ionale;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„Active în custodie” se referă la serviciile de conservare </w:t>
      </w:r>
      <w:r w:rsidR="000C213F">
        <w:rPr>
          <w:rFonts w:ascii="Times New Roman" w:hAnsi="Times New Roman"/>
          <w:sz w:val="24"/>
        </w:rPr>
        <w:t>ș</w:t>
      </w:r>
      <w:r>
        <w:rPr>
          <w:rFonts w:ascii="Times New Roman" w:hAnsi="Times New Roman"/>
          <w:sz w:val="24"/>
        </w:rPr>
        <w:t>i de administrare a instrumentelor financiare furnizate de institu</w:t>
      </w:r>
      <w:r w:rsidR="000C213F">
        <w:rPr>
          <w:rFonts w:ascii="Times New Roman" w:hAnsi="Times New Roman"/>
          <w:sz w:val="24"/>
        </w:rPr>
        <w:t>ț</w:t>
      </w:r>
      <w:r>
        <w:rPr>
          <w:rFonts w:ascii="Times New Roman" w:hAnsi="Times New Roman"/>
          <w:sz w:val="24"/>
        </w:rPr>
        <w:t>ie în contul clien</w:t>
      </w:r>
      <w:r w:rsidR="000C213F">
        <w:rPr>
          <w:rFonts w:ascii="Times New Roman" w:hAnsi="Times New Roman"/>
          <w:sz w:val="24"/>
        </w:rPr>
        <w:t>ț</w:t>
      </w:r>
      <w:r>
        <w:rPr>
          <w:rFonts w:ascii="Times New Roman" w:hAnsi="Times New Roman"/>
          <w:sz w:val="24"/>
        </w:rPr>
        <w:t xml:space="preserve">ilor </w:t>
      </w:r>
      <w:r w:rsidR="000C213F">
        <w:rPr>
          <w:rFonts w:ascii="Times New Roman" w:hAnsi="Times New Roman"/>
          <w:sz w:val="24"/>
        </w:rPr>
        <w:t>ș</w:t>
      </w:r>
      <w:r>
        <w:rPr>
          <w:rFonts w:ascii="Times New Roman" w:hAnsi="Times New Roman"/>
          <w:sz w:val="24"/>
        </w:rPr>
        <w:t xml:space="preserve">i la serviciile conexe serviciilor de custodie, cum ar fi administrarea numerarului </w:t>
      </w:r>
      <w:r w:rsidR="000C213F">
        <w:rPr>
          <w:rFonts w:ascii="Times New Roman" w:hAnsi="Times New Roman"/>
          <w:sz w:val="24"/>
        </w:rPr>
        <w:t>ș</w:t>
      </w:r>
      <w:r>
        <w:rPr>
          <w:rFonts w:ascii="Times New Roman" w:hAnsi="Times New Roman"/>
          <w:sz w:val="24"/>
        </w:rPr>
        <w:t>i a garan</w:t>
      </w:r>
      <w:r w:rsidR="000C213F">
        <w:rPr>
          <w:rFonts w:ascii="Times New Roman" w:hAnsi="Times New Roman"/>
          <w:sz w:val="24"/>
        </w:rPr>
        <w:t>ț</w:t>
      </w:r>
      <w:r>
        <w:rPr>
          <w:rFonts w:ascii="Times New Roman" w:hAnsi="Times New Roman"/>
          <w:sz w:val="24"/>
        </w:rPr>
        <w:t>iilor reale. „Active în custodie” se raportează pe tipuri de clien</w:t>
      </w:r>
      <w:r w:rsidR="000C213F">
        <w:rPr>
          <w:rFonts w:ascii="Times New Roman" w:hAnsi="Times New Roman"/>
          <w:sz w:val="24"/>
        </w:rPr>
        <w:t>ț</w:t>
      </w:r>
      <w:r>
        <w:rPr>
          <w:rFonts w:ascii="Times New Roman" w:hAnsi="Times New Roman"/>
          <w:sz w:val="24"/>
        </w:rPr>
        <w:t>i pentru care institu</w:t>
      </w:r>
      <w:r w:rsidR="000C213F">
        <w:rPr>
          <w:rFonts w:ascii="Times New Roman" w:hAnsi="Times New Roman"/>
          <w:sz w:val="24"/>
        </w:rPr>
        <w:t>ț</w:t>
      </w:r>
      <w:r>
        <w:rPr>
          <w:rFonts w:ascii="Times New Roman" w:hAnsi="Times New Roman"/>
          <w:sz w:val="24"/>
        </w:rPr>
        <w:t>ia păstrează activele, făcându-se distinc</w:t>
      </w:r>
      <w:r w:rsidR="000C213F">
        <w:rPr>
          <w:rFonts w:ascii="Times New Roman" w:hAnsi="Times New Roman"/>
          <w:sz w:val="24"/>
        </w:rPr>
        <w:t>ț</w:t>
      </w:r>
      <w:r>
        <w:rPr>
          <w:rFonts w:ascii="Times New Roman" w:hAnsi="Times New Roman"/>
          <w:sz w:val="24"/>
        </w:rPr>
        <w:t xml:space="preserve">ia între organismele de plasament colectiv </w:t>
      </w:r>
      <w:r w:rsidR="000C213F">
        <w:rPr>
          <w:rFonts w:ascii="Times New Roman" w:hAnsi="Times New Roman"/>
          <w:sz w:val="24"/>
        </w:rPr>
        <w:t>ș</w:t>
      </w:r>
      <w:r>
        <w:rPr>
          <w:rFonts w:ascii="Times New Roman" w:hAnsi="Times New Roman"/>
          <w:sz w:val="24"/>
        </w:rPr>
        <w:t>i al</w:t>
      </w:r>
      <w:r w:rsidR="000C213F">
        <w:rPr>
          <w:rFonts w:ascii="Times New Roman" w:hAnsi="Times New Roman"/>
          <w:sz w:val="24"/>
        </w:rPr>
        <w:t>ț</w:t>
      </w:r>
      <w:r>
        <w:rPr>
          <w:rFonts w:ascii="Times New Roman" w:hAnsi="Times New Roman"/>
          <w:sz w:val="24"/>
        </w:rPr>
        <w:t>ii. Elementul „din care: încredin</w:t>
      </w:r>
      <w:r w:rsidR="000C213F">
        <w:rPr>
          <w:rFonts w:ascii="Times New Roman" w:hAnsi="Times New Roman"/>
          <w:sz w:val="24"/>
        </w:rPr>
        <w:t>ț</w:t>
      </w:r>
      <w:r>
        <w:rPr>
          <w:rFonts w:ascii="Times New Roman" w:hAnsi="Times New Roman"/>
          <w:sz w:val="24"/>
        </w:rPr>
        <w:t>ate altor entită</w:t>
      </w:r>
      <w:r w:rsidR="000C213F">
        <w:rPr>
          <w:rFonts w:ascii="Times New Roman" w:hAnsi="Times New Roman"/>
          <w:sz w:val="24"/>
        </w:rPr>
        <w:t>ț</w:t>
      </w:r>
      <w:r>
        <w:rPr>
          <w:rFonts w:ascii="Times New Roman" w:hAnsi="Times New Roman"/>
          <w:sz w:val="24"/>
        </w:rPr>
        <w:t>i” se referă la cuantumul activelor incluse în activele aflate în custodie a căror custodie efectivă a fost acordată de către institu</w:t>
      </w:r>
      <w:r w:rsidR="000C213F">
        <w:rPr>
          <w:rFonts w:ascii="Times New Roman" w:hAnsi="Times New Roman"/>
          <w:sz w:val="24"/>
        </w:rPr>
        <w:t>ț</w:t>
      </w:r>
      <w:r>
        <w:rPr>
          <w:rFonts w:ascii="Times New Roman" w:hAnsi="Times New Roman"/>
          <w:sz w:val="24"/>
        </w:rPr>
        <w:t>ie altor entită</w:t>
      </w:r>
      <w:r w:rsidR="000C213F">
        <w:rPr>
          <w:rFonts w:ascii="Times New Roman" w:hAnsi="Times New Roman"/>
          <w:sz w:val="24"/>
        </w:rPr>
        <w:t>ț</w:t>
      </w:r>
      <w:r>
        <w:rPr>
          <w:rFonts w:ascii="Times New Roman" w:hAnsi="Times New Roman"/>
          <w:sz w:val="24"/>
        </w:rPr>
        <w:t>i;</w:t>
      </w:r>
      <w:r w:rsidR="004237EC">
        <w:rPr>
          <w:rFonts w:ascii="Times New Roman" w:hAnsi="Times New Roman"/>
          <w:sz w:val="24"/>
        </w:rP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„Servicii administrative centrale pentru plasamente colective” se referă la serviciile administrative furnizate de către institu</w:t>
      </w:r>
      <w:r w:rsidR="000C213F">
        <w:rPr>
          <w:rFonts w:ascii="Times New Roman" w:hAnsi="Times New Roman"/>
          <w:sz w:val="24"/>
        </w:rPr>
        <w:t>ț</w:t>
      </w:r>
      <w:r>
        <w:rPr>
          <w:rFonts w:ascii="Times New Roman" w:hAnsi="Times New Roman"/>
          <w:sz w:val="24"/>
        </w:rPr>
        <w:t xml:space="preserve">ie organismelor de plasament colectiv. Acestea includ, printre altele, serviciile de agent de transfer, de compilare a documentelor contabile, de elaborare a prospectului, a rapoartelor financiare </w:t>
      </w:r>
      <w:r w:rsidR="000C213F">
        <w:rPr>
          <w:rFonts w:ascii="Times New Roman" w:hAnsi="Times New Roman"/>
          <w:sz w:val="24"/>
        </w:rPr>
        <w:t>ș</w:t>
      </w:r>
      <w:r>
        <w:rPr>
          <w:rFonts w:ascii="Times New Roman" w:hAnsi="Times New Roman"/>
          <w:sz w:val="24"/>
        </w:rPr>
        <w:t>i a altor documente destinate investitorilor, de efectuare a coresponden</w:t>
      </w:r>
      <w:r w:rsidR="000C213F">
        <w:rPr>
          <w:rFonts w:ascii="Times New Roman" w:hAnsi="Times New Roman"/>
          <w:sz w:val="24"/>
        </w:rPr>
        <w:t>ț</w:t>
      </w:r>
      <w:r>
        <w:rPr>
          <w:rFonts w:ascii="Times New Roman" w:hAnsi="Times New Roman"/>
          <w:sz w:val="24"/>
        </w:rPr>
        <w:t xml:space="preserve">ei prin distribuirea rapoartelor financiare </w:t>
      </w:r>
      <w:r w:rsidR="000C213F">
        <w:rPr>
          <w:rFonts w:ascii="Times New Roman" w:hAnsi="Times New Roman"/>
          <w:sz w:val="24"/>
        </w:rPr>
        <w:t>ș</w:t>
      </w:r>
      <w:r>
        <w:rPr>
          <w:rFonts w:ascii="Times New Roman" w:hAnsi="Times New Roman"/>
          <w:sz w:val="24"/>
        </w:rPr>
        <w:t xml:space="preserve">i a tuturor celorlalte documente destinate investitorilor, de efectuare a emisiunilor </w:t>
      </w:r>
      <w:r w:rsidR="000C213F">
        <w:rPr>
          <w:rFonts w:ascii="Times New Roman" w:hAnsi="Times New Roman"/>
          <w:sz w:val="24"/>
        </w:rPr>
        <w:t>ș</w:t>
      </w:r>
      <w:r>
        <w:rPr>
          <w:rFonts w:ascii="Times New Roman" w:hAnsi="Times New Roman"/>
          <w:sz w:val="24"/>
        </w:rPr>
        <w:t xml:space="preserve">i a răscumpărărilor </w:t>
      </w:r>
      <w:r w:rsidR="000C213F">
        <w:rPr>
          <w:rFonts w:ascii="Times New Roman" w:hAnsi="Times New Roman"/>
          <w:sz w:val="24"/>
        </w:rPr>
        <w:t>ș</w:t>
      </w:r>
      <w:r>
        <w:rPr>
          <w:rFonts w:ascii="Times New Roman" w:hAnsi="Times New Roman"/>
          <w:sz w:val="24"/>
        </w:rPr>
        <w:t xml:space="preserve">i de </w:t>
      </w:r>
      <w:r w:rsidR="000C213F">
        <w:rPr>
          <w:rFonts w:ascii="Times New Roman" w:hAnsi="Times New Roman"/>
          <w:sz w:val="24"/>
        </w:rPr>
        <w:t>ț</w:t>
      </w:r>
      <w:r>
        <w:rPr>
          <w:rFonts w:ascii="Times New Roman" w:hAnsi="Times New Roman"/>
          <w:sz w:val="24"/>
        </w:rPr>
        <w:t>inere a eviden</w:t>
      </w:r>
      <w:r w:rsidR="000C213F">
        <w:rPr>
          <w:rFonts w:ascii="Times New Roman" w:hAnsi="Times New Roman"/>
          <w:sz w:val="24"/>
        </w:rPr>
        <w:t>ț</w:t>
      </w:r>
      <w:r>
        <w:rPr>
          <w:rFonts w:ascii="Times New Roman" w:hAnsi="Times New Roman"/>
          <w:sz w:val="24"/>
        </w:rPr>
        <w:t xml:space="preserve">ei investitorilor, precum </w:t>
      </w:r>
      <w:r w:rsidR="000C213F">
        <w:rPr>
          <w:rFonts w:ascii="Times New Roman" w:hAnsi="Times New Roman"/>
          <w:sz w:val="24"/>
        </w:rPr>
        <w:t>ș</w:t>
      </w:r>
      <w:r>
        <w:rPr>
          <w:rFonts w:ascii="Times New Roman" w:hAnsi="Times New Roman"/>
          <w:sz w:val="24"/>
        </w:rPr>
        <w:t>i de calculare a valorii nete a activelor;</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„Tranzac</w:t>
      </w:r>
      <w:r w:rsidR="000C213F">
        <w:rPr>
          <w:rFonts w:ascii="Times New Roman" w:hAnsi="Times New Roman"/>
          <w:sz w:val="24"/>
        </w:rPr>
        <w:t>ț</w:t>
      </w:r>
      <w:r>
        <w:rPr>
          <w:rFonts w:ascii="Times New Roman" w:hAnsi="Times New Roman"/>
          <w:sz w:val="24"/>
        </w:rPr>
        <w:t>ii fiduciare” se referă la activită</w:t>
      </w:r>
      <w:r w:rsidR="000C213F">
        <w:rPr>
          <w:rFonts w:ascii="Times New Roman" w:hAnsi="Times New Roman"/>
          <w:sz w:val="24"/>
        </w:rPr>
        <w:t>ț</w:t>
      </w:r>
      <w:r>
        <w:rPr>
          <w:rFonts w:ascii="Times New Roman" w:hAnsi="Times New Roman"/>
          <w:sz w:val="24"/>
        </w:rPr>
        <w:t>ile în care institu</w:t>
      </w:r>
      <w:r w:rsidR="000C213F">
        <w:rPr>
          <w:rFonts w:ascii="Times New Roman" w:hAnsi="Times New Roman"/>
          <w:sz w:val="24"/>
        </w:rPr>
        <w:t>ț</w:t>
      </w:r>
      <w:r>
        <w:rPr>
          <w:rFonts w:ascii="Times New Roman" w:hAnsi="Times New Roman"/>
          <w:sz w:val="24"/>
        </w:rPr>
        <w:t>ia ac</w:t>
      </w:r>
      <w:r w:rsidR="000C213F">
        <w:rPr>
          <w:rFonts w:ascii="Times New Roman" w:hAnsi="Times New Roman"/>
          <w:sz w:val="24"/>
        </w:rPr>
        <w:t>ț</w:t>
      </w:r>
      <w:r>
        <w:rPr>
          <w:rFonts w:ascii="Times New Roman" w:hAnsi="Times New Roman"/>
          <w:sz w:val="24"/>
        </w:rPr>
        <w:t xml:space="preserve">ionează în nume propriu, dar în contul </w:t>
      </w:r>
      <w:r w:rsidR="000C213F">
        <w:rPr>
          <w:rFonts w:ascii="Times New Roman" w:hAnsi="Times New Roman"/>
          <w:sz w:val="24"/>
        </w:rPr>
        <w:t>ș</w:t>
      </w:r>
      <w:r>
        <w:rPr>
          <w:rFonts w:ascii="Times New Roman" w:hAnsi="Times New Roman"/>
          <w:sz w:val="24"/>
        </w:rPr>
        <w:t>i pe riscul clien</w:t>
      </w:r>
      <w:r w:rsidR="000C213F">
        <w:rPr>
          <w:rFonts w:ascii="Times New Roman" w:hAnsi="Times New Roman"/>
          <w:sz w:val="24"/>
        </w:rPr>
        <w:t>ț</w:t>
      </w:r>
      <w:r>
        <w:rPr>
          <w:rFonts w:ascii="Times New Roman" w:hAnsi="Times New Roman"/>
          <w:sz w:val="24"/>
        </w:rPr>
        <w:t>ilor săi. În mod frecvent, în tranzac</w:t>
      </w:r>
      <w:r w:rsidR="000C213F">
        <w:rPr>
          <w:rFonts w:ascii="Times New Roman" w:hAnsi="Times New Roman"/>
          <w:sz w:val="24"/>
        </w:rPr>
        <w:t>ț</w:t>
      </w:r>
      <w:r>
        <w:rPr>
          <w:rFonts w:ascii="Times New Roman" w:hAnsi="Times New Roman"/>
          <w:sz w:val="24"/>
        </w:rPr>
        <w:t>iile fiduciare, institu</w:t>
      </w:r>
      <w:r w:rsidR="000C213F">
        <w:rPr>
          <w:rFonts w:ascii="Times New Roman" w:hAnsi="Times New Roman"/>
          <w:sz w:val="24"/>
        </w:rPr>
        <w:t>ț</w:t>
      </w:r>
      <w:r>
        <w:rPr>
          <w:rFonts w:ascii="Times New Roman" w:hAnsi="Times New Roman"/>
          <w:sz w:val="24"/>
        </w:rPr>
        <w:t>ia furnizează servicii, cum ar fi servicii de administrare a activelor aflate în custodie, unei entită</w:t>
      </w:r>
      <w:r w:rsidR="000C213F">
        <w:rPr>
          <w:rFonts w:ascii="Times New Roman" w:hAnsi="Times New Roman"/>
          <w:sz w:val="24"/>
        </w:rPr>
        <w:t>ț</w:t>
      </w:r>
      <w:r>
        <w:rPr>
          <w:rFonts w:ascii="Times New Roman" w:hAnsi="Times New Roman"/>
          <w:sz w:val="24"/>
        </w:rPr>
        <w:t>i structurate, sau servicii de administrare a portofoliilor pe bază discre</w:t>
      </w:r>
      <w:r w:rsidR="000C213F">
        <w:rPr>
          <w:rFonts w:ascii="Times New Roman" w:hAnsi="Times New Roman"/>
          <w:sz w:val="24"/>
        </w:rPr>
        <w:t>ț</w:t>
      </w:r>
      <w:r>
        <w:rPr>
          <w:rFonts w:ascii="Times New Roman" w:hAnsi="Times New Roman"/>
          <w:sz w:val="24"/>
        </w:rPr>
        <w:t>ionară. Toate tranzac</w:t>
      </w:r>
      <w:r w:rsidR="000C213F">
        <w:rPr>
          <w:rFonts w:ascii="Times New Roman" w:hAnsi="Times New Roman"/>
          <w:sz w:val="24"/>
        </w:rPr>
        <w:t>ț</w:t>
      </w:r>
      <w:r>
        <w:rPr>
          <w:rFonts w:ascii="Times New Roman" w:hAnsi="Times New Roman"/>
          <w:sz w:val="24"/>
        </w:rPr>
        <w:t>iile fiduciare se raportează exclusiv la acest element, indiferent dacă institu</w:t>
      </w:r>
      <w:r w:rsidR="000C213F">
        <w:rPr>
          <w:rFonts w:ascii="Times New Roman" w:hAnsi="Times New Roman"/>
          <w:sz w:val="24"/>
        </w:rPr>
        <w:t>ț</w:t>
      </w:r>
      <w:r>
        <w:rPr>
          <w:rFonts w:ascii="Times New Roman" w:hAnsi="Times New Roman"/>
          <w:sz w:val="24"/>
        </w:rPr>
        <w:t xml:space="preserve">ia furnizează </w:t>
      </w:r>
      <w:r w:rsidR="000C213F">
        <w:rPr>
          <w:rFonts w:ascii="Times New Roman" w:hAnsi="Times New Roman"/>
          <w:sz w:val="24"/>
        </w:rPr>
        <w:t>ș</w:t>
      </w:r>
      <w:r>
        <w:rPr>
          <w:rFonts w:ascii="Times New Roman" w:hAnsi="Times New Roman"/>
          <w:sz w:val="24"/>
        </w:rPr>
        <w:t>i alte servicii;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„Servicii de plată” se referă la colectarea în numele clien</w:t>
      </w:r>
      <w:r w:rsidR="000C213F">
        <w:rPr>
          <w:rFonts w:ascii="Times New Roman" w:hAnsi="Times New Roman"/>
          <w:sz w:val="24"/>
        </w:rPr>
        <w:t>ț</w:t>
      </w:r>
      <w:r>
        <w:rPr>
          <w:rFonts w:ascii="Times New Roman" w:hAnsi="Times New Roman"/>
          <w:sz w:val="24"/>
        </w:rPr>
        <w:t>ilor a plă</w:t>
      </w:r>
      <w:r w:rsidR="000C213F">
        <w:rPr>
          <w:rFonts w:ascii="Times New Roman" w:hAnsi="Times New Roman"/>
          <w:sz w:val="24"/>
        </w:rPr>
        <w:t>ț</w:t>
      </w:r>
      <w:r>
        <w:rPr>
          <w:rFonts w:ascii="Times New Roman" w:hAnsi="Times New Roman"/>
          <w:sz w:val="24"/>
        </w:rPr>
        <w:t>ilor generate de instrumentele de datorie care nu sunt recunoscute în bilan</w:t>
      </w:r>
      <w:r w:rsidR="000C213F">
        <w:rPr>
          <w:rFonts w:ascii="Times New Roman" w:hAnsi="Times New Roman"/>
          <w:sz w:val="24"/>
        </w:rPr>
        <w:t>ț</w:t>
      </w:r>
      <w:r>
        <w:rPr>
          <w:rFonts w:ascii="Times New Roman" w:hAnsi="Times New Roman"/>
          <w:sz w:val="24"/>
        </w:rPr>
        <w:t>ul institu</w:t>
      </w:r>
      <w:r w:rsidR="000C213F">
        <w:rPr>
          <w:rFonts w:ascii="Times New Roman" w:hAnsi="Times New Roman"/>
          <w:sz w:val="24"/>
        </w:rPr>
        <w:t>ț</w:t>
      </w:r>
      <w:r>
        <w:rPr>
          <w:rFonts w:ascii="Times New Roman" w:hAnsi="Times New Roman"/>
          <w:sz w:val="24"/>
        </w:rPr>
        <w:t xml:space="preserve">iei </w:t>
      </w:r>
      <w:r w:rsidR="000C213F">
        <w:rPr>
          <w:rFonts w:ascii="Times New Roman" w:hAnsi="Times New Roman"/>
          <w:sz w:val="24"/>
        </w:rPr>
        <w:t>ș</w:t>
      </w:r>
      <w:r>
        <w:rPr>
          <w:rFonts w:ascii="Times New Roman" w:hAnsi="Times New Roman"/>
          <w:sz w:val="24"/>
        </w:rPr>
        <w:t>i nici nu au fost ini</w:t>
      </w:r>
      <w:r w:rsidR="000C213F">
        <w:rPr>
          <w:rFonts w:ascii="Times New Roman" w:hAnsi="Times New Roman"/>
          <w:sz w:val="24"/>
        </w:rPr>
        <w:t>ț</w:t>
      </w:r>
      <w:r>
        <w:rPr>
          <w:rFonts w:ascii="Times New Roman" w:hAnsi="Times New Roman"/>
          <w:sz w:val="24"/>
        </w:rPr>
        <w:t>iate de aceasta;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„Resurse ale clien</w:t>
      </w:r>
      <w:r w:rsidR="000C213F">
        <w:rPr>
          <w:rFonts w:ascii="Times New Roman" w:hAnsi="Times New Roman"/>
          <w:sz w:val="24"/>
        </w:rPr>
        <w:t>ț</w:t>
      </w:r>
      <w:r>
        <w:rPr>
          <w:rFonts w:ascii="Times New Roman" w:hAnsi="Times New Roman"/>
          <w:sz w:val="24"/>
        </w:rPr>
        <w:t>ilor distribuite, dar neadministrate” se referă la produsele emise de entită</w:t>
      </w:r>
      <w:r w:rsidR="000C213F">
        <w:rPr>
          <w:rFonts w:ascii="Times New Roman" w:hAnsi="Times New Roman"/>
          <w:sz w:val="24"/>
        </w:rPr>
        <w:t>ț</w:t>
      </w:r>
      <w:r>
        <w:rPr>
          <w:rFonts w:ascii="Times New Roman" w:hAnsi="Times New Roman"/>
          <w:sz w:val="24"/>
        </w:rPr>
        <w:t>i din afara grupului pruden</w:t>
      </w:r>
      <w:r w:rsidR="000C213F">
        <w:rPr>
          <w:rFonts w:ascii="Times New Roman" w:hAnsi="Times New Roman"/>
          <w:sz w:val="24"/>
        </w:rPr>
        <w:t>ț</w:t>
      </w:r>
      <w:r>
        <w:rPr>
          <w:rFonts w:ascii="Times New Roman" w:hAnsi="Times New Roman"/>
          <w:sz w:val="24"/>
        </w:rPr>
        <w:t>ial pe care institu</w:t>
      </w:r>
      <w:r w:rsidR="000C213F">
        <w:rPr>
          <w:rFonts w:ascii="Times New Roman" w:hAnsi="Times New Roman"/>
          <w:sz w:val="24"/>
        </w:rPr>
        <w:t>ț</w:t>
      </w:r>
      <w:r>
        <w:rPr>
          <w:rFonts w:ascii="Times New Roman" w:hAnsi="Times New Roman"/>
          <w:sz w:val="24"/>
        </w:rPr>
        <w:t xml:space="preserve">ia </w:t>
      </w:r>
      <w:r>
        <w:rPr>
          <w:rFonts w:ascii="Times New Roman" w:hAnsi="Times New Roman"/>
          <w:sz w:val="24"/>
        </w:rPr>
        <w:lastRenderedPageBreak/>
        <w:t>le-a distribuit clien</w:t>
      </w:r>
      <w:r w:rsidR="000C213F">
        <w:rPr>
          <w:rFonts w:ascii="Times New Roman" w:hAnsi="Times New Roman"/>
          <w:sz w:val="24"/>
        </w:rPr>
        <w:t>ț</w:t>
      </w:r>
      <w:r>
        <w:rPr>
          <w:rFonts w:ascii="Times New Roman" w:hAnsi="Times New Roman"/>
          <w:sz w:val="24"/>
        </w:rPr>
        <w:t>ilor săi actuali. Acest element se raportează pe tipuri de produse;</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„Cuantumul activelor implicate în serviciile furnizate” include cuantumul activelor în legătură cu care institu</w:t>
      </w:r>
      <w:r w:rsidR="000C213F">
        <w:rPr>
          <w:rFonts w:ascii="Times New Roman" w:hAnsi="Times New Roman"/>
          <w:sz w:val="24"/>
        </w:rPr>
        <w:t>ț</w:t>
      </w:r>
      <w:r>
        <w:rPr>
          <w:rFonts w:ascii="Times New Roman" w:hAnsi="Times New Roman"/>
          <w:sz w:val="24"/>
        </w:rPr>
        <w:t>ia ac</w:t>
      </w:r>
      <w:r w:rsidR="000C213F">
        <w:rPr>
          <w:rFonts w:ascii="Times New Roman" w:hAnsi="Times New Roman"/>
          <w:sz w:val="24"/>
        </w:rPr>
        <w:t>ț</w:t>
      </w:r>
      <w:r>
        <w:rPr>
          <w:rFonts w:ascii="Times New Roman" w:hAnsi="Times New Roman"/>
          <w:sz w:val="24"/>
        </w:rPr>
        <w:t>ionează, folosind valoarea justă. Alte metode de evaluare, inclusiv cele bazate pe valoarea nominală, pot fi folosite în cazul în care valoarea justă nu este disponibilă. În cazurile în care institu</w:t>
      </w:r>
      <w:r w:rsidR="000C213F">
        <w:rPr>
          <w:rFonts w:ascii="Times New Roman" w:hAnsi="Times New Roman"/>
          <w:sz w:val="24"/>
        </w:rPr>
        <w:t>ț</w:t>
      </w:r>
      <w:r>
        <w:rPr>
          <w:rFonts w:ascii="Times New Roman" w:hAnsi="Times New Roman"/>
          <w:sz w:val="24"/>
        </w:rPr>
        <w:t>ia furnizează servicii unor entită</w:t>
      </w:r>
      <w:r w:rsidR="000C213F">
        <w:rPr>
          <w:rFonts w:ascii="Times New Roman" w:hAnsi="Times New Roman"/>
          <w:sz w:val="24"/>
        </w:rPr>
        <w:t>ț</w:t>
      </w:r>
      <w:r>
        <w:rPr>
          <w:rFonts w:ascii="Times New Roman" w:hAnsi="Times New Roman"/>
          <w:sz w:val="24"/>
        </w:rPr>
        <w:t>i precum organismele de plasament colectiv sau fondurile de pensii, activele în cauză pot fi raportate la valoarea la care entită</w:t>
      </w:r>
      <w:r w:rsidR="000C213F">
        <w:rPr>
          <w:rFonts w:ascii="Times New Roman" w:hAnsi="Times New Roman"/>
          <w:sz w:val="24"/>
        </w:rPr>
        <w:t>ț</w:t>
      </w:r>
      <w:r>
        <w:rPr>
          <w:rFonts w:ascii="Times New Roman" w:hAnsi="Times New Roman"/>
          <w:sz w:val="24"/>
        </w:rPr>
        <w:t>ile respective raportează activele în propriile bilan</w:t>
      </w:r>
      <w:r w:rsidR="000C213F">
        <w:rPr>
          <w:rFonts w:ascii="Times New Roman" w:hAnsi="Times New Roman"/>
          <w:sz w:val="24"/>
        </w:rPr>
        <w:t>ț</w:t>
      </w:r>
      <w:r>
        <w:rPr>
          <w:rFonts w:ascii="Times New Roman" w:hAnsi="Times New Roman"/>
          <w:sz w:val="24"/>
        </w:rPr>
        <w:t>uri. Valorile raportate includ dobânda acumulată, dacă este cazul.</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897587"/>
      <w:r>
        <w:t>Interese în entită</w:t>
      </w:r>
      <w:r w:rsidR="000C213F">
        <w:t>ț</w:t>
      </w:r>
      <w:r>
        <w:t>i structurate neconsolidate (</w:t>
      </w:r>
      <w:r w:rsidRPr="004237EC">
        <w:t>30</w:t>
      </w:r>
      <w:r>
        <w:t>)</w:t>
      </w:r>
      <w:bookmarkEnd w:id="283"/>
      <w:bookmarkEnd w:id="284"/>
      <w:bookmarkEnd w:id="285"/>
      <w:bookmarkEnd w:id="286"/>
    </w:p>
    <w:p w:rsidR="009569C7" w:rsidRPr="00EC4FA2" w:rsidRDefault="00A834F1" w:rsidP="009569C7">
      <w:pPr>
        <w:pStyle w:val="Baseparagraphnumbered"/>
      </w:pPr>
      <w:r>
        <w:t xml:space="preserve">În sensul anexelor III </w:t>
      </w:r>
      <w:r w:rsidR="000C213F">
        <w:t>ș</w:t>
      </w:r>
      <w:r>
        <w:t xml:space="preserve">i IV, precum </w:t>
      </w:r>
      <w:r w:rsidR="000C213F">
        <w:t>ș</w:t>
      </w:r>
      <w:r>
        <w:t xml:space="preserve">i al prezentei anexe, „sprijin de lichiditate tras” înseamnă suma dintre valoarea contabilă a creditelor </w:t>
      </w:r>
      <w:r w:rsidR="000C213F">
        <w:t>ș</w:t>
      </w:r>
      <w:r>
        <w:t>i a avansurilor acordate unor entită</w:t>
      </w:r>
      <w:r w:rsidR="000C213F">
        <w:t>ț</w:t>
      </w:r>
      <w:r>
        <w:t xml:space="preserve">i structurate neconsolidate </w:t>
      </w:r>
      <w:r w:rsidR="000C213F">
        <w:t>ș</w:t>
      </w:r>
      <w:r>
        <w:t>i valoarea contabilă a titlurilor de datorie de</w:t>
      </w:r>
      <w:r w:rsidR="000C213F">
        <w:t>ț</w:t>
      </w:r>
      <w:r>
        <w:t>inute care au fost emise de către entită</w:t>
      </w:r>
      <w:r w:rsidR="000C213F">
        <w:t>ț</w:t>
      </w:r>
      <w:r>
        <w:t>ile structurate neconsolidate.</w:t>
      </w:r>
    </w:p>
    <w:p w:rsidR="009569C7" w:rsidRPr="00EC4FA2" w:rsidRDefault="00A834F1" w:rsidP="009569C7">
      <w:pPr>
        <w:pStyle w:val="Baseparagraphnumbered"/>
      </w:pPr>
      <w:r>
        <w:t>„Pierderile suportate de institu</w:t>
      </w:r>
      <w:r w:rsidR="000C213F">
        <w:t>ț</w:t>
      </w:r>
      <w:r>
        <w:t xml:space="preserve">ia raportoare în perioada curentă” includ pierderile cauzate de depreciere </w:t>
      </w:r>
      <w:r w:rsidR="000C213F">
        <w:t>ș</w:t>
      </w:r>
      <w:r>
        <w:t>i orice alte pierderi suportate în cursul perioadei de raportare de către o institu</w:t>
      </w:r>
      <w:r w:rsidR="000C213F">
        <w:t>ț</w:t>
      </w:r>
      <w:r>
        <w:t>ie raportoare cu privire la interesele de</w:t>
      </w:r>
      <w:r w:rsidR="000C213F">
        <w:t>ț</w:t>
      </w:r>
      <w:r>
        <w:t>inute în entită</w:t>
      </w:r>
      <w:r w:rsidR="000C213F">
        <w:t>ț</w:t>
      </w:r>
      <w:r>
        <w:t>i structurate neconsolidate.</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897588"/>
      <w:r>
        <w:t>Pă</w:t>
      </w:r>
      <w:bookmarkEnd w:id="267"/>
      <w:r>
        <w:t>r</w:t>
      </w:r>
      <w:r w:rsidR="000C213F">
        <w:t>ț</w:t>
      </w:r>
      <w:r>
        <w:t>i afiliate (</w:t>
      </w:r>
      <w:r w:rsidRPr="004237EC">
        <w:t>31</w:t>
      </w:r>
      <w:r>
        <w:t>)</w:t>
      </w:r>
      <w:bookmarkEnd w:id="287"/>
      <w:bookmarkEnd w:id="288"/>
      <w:bookmarkEnd w:id="289"/>
      <w:bookmarkEnd w:id="290"/>
    </w:p>
    <w:p w:rsidR="009569C7" w:rsidRPr="00EC4FA2" w:rsidRDefault="00A834F1" w:rsidP="009569C7">
      <w:pPr>
        <w:pStyle w:val="Baseparagraphnumbered"/>
      </w:pPr>
      <w:r>
        <w:t>Institu</w:t>
      </w:r>
      <w:r w:rsidR="000C213F">
        <w:t>ț</w:t>
      </w:r>
      <w:r>
        <w:t xml:space="preserve">iile raportează cuantumurile </w:t>
      </w:r>
      <w:r w:rsidR="000C213F">
        <w:t>ș</w:t>
      </w:r>
      <w:r>
        <w:t>i/sau tranzac</w:t>
      </w:r>
      <w:r w:rsidR="000C213F">
        <w:t>ț</w:t>
      </w:r>
      <w:r>
        <w:t>iile aferente bilan</w:t>
      </w:r>
      <w:r w:rsidR="000C213F">
        <w:t>ț</w:t>
      </w:r>
      <w:r>
        <w:t xml:space="preserve">ului </w:t>
      </w:r>
      <w:r w:rsidR="000C213F">
        <w:t>ș</w:t>
      </w:r>
      <w:r>
        <w:t>i expunerile extrabilan</w:t>
      </w:r>
      <w:r w:rsidR="000C213F">
        <w:t>ț</w:t>
      </w:r>
      <w:r>
        <w:t xml:space="preserve">iere atunci când contrapartea este o parte afiliată în conformitate cu IAS </w:t>
      </w:r>
      <w:r w:rsidRPr="004237EC">
        <w:t>24</w:t>
      </w:r>
      <w:r>
        <w:t xml:space="preserve">. </w:t>
      </w:r>
    </w:p>
    <w:p w:rsidR="009569C7" w:rsidRPr="00EC4FA2" w:rsidRDefault="00A834F1" w:rsidP="009569C7">
      <w:pPr>
        <w:pStyle w:val="Baseparagraphnumbered"/>
      </w:pPr>
      <w:r>
        <w:t>Tranzac</w:t>
      </w:r>
      <w:r w:rsidR="000C213F">
        <w:t>ț</w:t>
      </w:r>
      <w:r>
        <w:t xml:space="preserve">iile intragrup </w:t>
      </w:r>
      <w:r w:rsidR="000C213F">
        <w:t>ș</w:t>
      </w:r>
      <w:r>
        <w:t>i soldurile intragrup ale grupului pruden</w:t>
      </w:r>
      <w:r w:rsidR="000C213F">
        <w:t>ț</w:t>
      </w:r>
      <w:r>
        <w:t xml:space="preserve">ial sunt eliminate. La „Filiale </w:t>
      </w:r>
      <w:r w:rsidR="000C213F">
        <w:t>ș</w:t>
      </w:r>
      <w:r>
        <w:t>i alte entită</w:t>
      </w:r>
      <w:r w:rsidR="000C213F">
        <w:t>ț</w:t>
      </w:r>
      <w:r>
        <w:t>i din acela</w:t>
      </w:r>
      <w:r w:rsidR="000C213F">
        <w:t>ș</w:t>
      </w:r>
      <w:r>
        <w:t>i grup”, institu</w:t>
      </w:r>
      <w:r w:rsidR="000C213F">
        <w:t>ț</w:t>
      </w:r>
      <w:r>
        <w:t xml:space="preserve">iile includ soldurile </w:t>
      </w:r>
      <w:r w:rsidR="000C213F">
        <w:t>ș</w:t>
      </w:r>
      <w:r>
        <w:t>i tranzac</w:t>
      </w:r>
      <w:r w:rsidR="000C213F">
        <w:t>ț</w:t>
      </w:r>
      <w:r>
        <w:t>iile aferente filialelor care nu au fost eliminate, fie pentru că filialele nu sunt consolidate prin metoda consolidării globale conform perimetrului de consolidare pruden</w:t>
      </w:r>
      <w:r w:rsidR="000C213F">
        <w:t>ț</w:t>
      </w:r>
      <w:r>
        <w:t xml:space="preserve">ial, fie pentru că, în conformitate cu articolul </w:t>
      </w:r>
      <w:r w:rsidRPr="004237EC">
        <w:t>19</w:t>
      </w:r>
      <w:r>
        <w:t xml:space="preserve"> din CRR, filialele sunt excluse din perimetrul de consolidare pruden</w:t>
      </w:r>
      <w:r w:rsidR="000C213F">
        <w:t>ț</w:t>
      </w:r>
      <w:r>
        <w:t>ial pentru că sunt neglijabile sau întrucât, pentru institu</w:t>
      </w:r>
      <w:r w:rsidR="000C213F">
        <w:t>ț</w:t>
      </w:r>
      <w:r>
        <w:t>iile care fac parte dintr-un grup mai extins, filialele apar</w:t>
      </w:r>
      <w:r w:rsidR="000C213F">
        <w:t>ț</w:t>
      </w:r>
      <w:r>
        <w:t>in societă</w:t>
      </w:r>
      <w:r w:rsidR="000C213F">
        <w:t>ț</w:t>
      </w:r>
      <w:r>
        <w:t xml:space="preserve">ii-mamă de cel mai înalt rang, </w:t>
      </w:r>
      <w:r w:rsidR="000C213F">
        <w:t>ș</w:t>
      </w:r>
      <w:r>
        <w:t>i nu institu</w:t>
      </w:r>
      <w:r w:rsidR="000C213F">
        <w:t>ț</w:t>
      </w:r>
      <w:r>
        <w:t>iei în cauză. La „Asocia</w:t>
      </w:r>
      <w:r w:rsidR="000C213F">
        <w:t>ț</w:t>
      </w:r>
      <w:r>
        <w:t xml:space="preserve">i </w:t>
      </w:r>
      <w:r w:rsidR="000C213F">
        <w:t>ș</w:t>
      </w:r>
      <w:r>
        <w:t>i asocieri în participa</w:t>
      </w:r>
      <w:r w:rsidR="000C213F">
        <w:t>ț</w:t>
      </w:r>
      <w:r>
        <w:t>ie”, institu</w:t>
      </w:r>
      <w:r w:rsidR="000C213F">
        <w:t>ț</w:t>
      </w:r>
      <w:r>
        <w:t>iile includ păr</w:t>
      </w:r>
      <w:r w:rsidR="000C213F">
        <w:t>ț</w:t>
      </w:r>
      <w:r>
        <w:t xml:space="preserve">ile din solduri </w:t>
      </w:r>
      <w:r w:rsidR="000C213F">
        <w:t>ș</w:t>
      </w:r>
      <w:r>
        <w:t>i din tranzac</w:t>
      </w:r>
      <w:r w:rsidR="000C213F">
        <w:t>ț</w:t>
      </w:r>
      <w:r>
        <w:t>iile cu asocieri în participa</w:t>
      </w:r>
      <w:r w:rsidR="000C213F">
        <w:t>ț</w:t>
      </w:r>
      <w:r>
        <w:t xml:space="preserve">ie </w:t>
      </w:r>
      <w:r w:rsidR="000C213F">
        <w:t>ș</w:t>
      </w:r>
      <w:r>
        <w:t>i entită</w:t>
      </w:r>
      <w:r w:rsidR="000C213F">
        <w:t>ț</w:t>
      </w:r>
      <w:r>
        <w:t>i asociate din grupul de care apar</w:t>
      </w:r>
      <w:r w:rsidR="000C213F">
        <w:t>ț</w:t>
      </w:r>
      <w:r>
        <w:t>ine entitatea care nu au fost eliminate în cazul în care se aplică metoda consolidării propor</w:t>
      </w:r>
      <w:r w:rsidR="000C213F">
        <w:t>ț</w:t>
      </w:r>
      <w:r>
        <w:t>ionale.</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897589"/>
      <w:r>
        <w:t>Păr</w:t>
      </w:r>
      <w:r w:rsidR="000C213F">
        <w:t>ț</w:t>
      </w:r>
      <w:r>
        <w:t xml:space="preserve">i afiliate: sume de plătit </w:t>
      </w:r>
      <w:r w:rsidR="000C213F">
        <w:t>ș</w:t>
      </w:r>
      <w:r>
        <w:t>i sume de încasat (</w:t>
      </w:r>
      <w:r w:rsidRPr="004237EC">
        <w:t>31</w:t>
      </w:r>
      <w:r>
        <w:t>.</w:t>
      </w:r>
      <w:r w:rsidRPr="004237EC">
        <w:t>1</w:t>
      </w:r>
      <w:r>
        <w:t>)</w:t>
      </w:r>
      <w:bookmarkEnd w:id="291"/>
      <w:bookmarkEnd w:id="292"/>
      <w:bookmarkEnd w:id="293"/>
      <w:bookmarkEnd w:id="294"/>
    </w:p>
    <w:p w:rsidR="009569C7" w:rsidRPr="00EC4FA2" w:rsidRDefault="00A834F1" w:rsidP="009569C7">
      <w:pPr>
        <w:pStyle w:val="Baseparagraphnumbered"/>
      </w:pPr>
      <w:r>
        <w:t>Pentru „Angajamente de creditare, garan</w:t>
      </w:r>
      <w:r w:rsidR="000C213F">
        <w:t>ț</w:t>
      </w:r>
      <w:r>
        <w:t xml:space="preserve">ii financiare </w:t>
      </w:r>
      <w:r w:rsidR="000C213F">
        <w:t>ș</w:t>
      </w:r>
      <w:r>
        <w:t xml:space="preserve">i alte angajamente primite”, cuantumurile care se raportează reprezintă suma dintre „valoarea nominală” a creditelor </w:t>
      </w:r>
      <w:r w:rsidR="000C213F">
        <w:t>ș</w:t>
      </w:r>
      <w:r>
        <w:t xml:space="preserve">i a altor angajamente primite </w:t>
      </w:r>
      <w:r w:rsidR="000C213F">
        <w:t>ș</w:t>
      </w:r>
      <w:r>
        <w:t>i „valoarea maximă a garan</w:t>
      </w:r>
      <w:r w:rsidR="000C213F">
        <w:t>ț</w:t>
      </w:r>
      <w:r>
        <w:t>iei care poate fi luată în considerare” pentru garan</w:t>
      </w:r>
      <w:r w:rsidR="000C213F">
        <w:t>ț</w:t>
      </w:r>
      <w:r>
        <w:t>iile financiare primite, conform defini</w:t>
      </w:r>
      <w:r w:rsidR="000C213F">
        <w:t>ț</w:t>
      </w:r>
      <w:r>
        <w:t xml:space="preserve">iei de la punctul </w:t>
      </w:r>
      <w:r w:rsidRPr="004237EC">
        <w:t>119</w:t>
      </w:r>
      <w:r>
        <w:t xml:space="preserve"> din prezenta parte.</w:t>
      </w:r>
    </w:p>
    <w:p w:rsidR="009569C7" w:rsidRPr="00EC4FA2" w:rsidRDefault="00A834F1" w:rsidP="009569C7">
      <w:pPr>
        <w:pStyle w:val="Baseparagraphnumbered"/>
      </w:pPr>
      <w:r>
        <w:lastRenderedPageBreak/>
        <w:t xml:space="preserve">„Deprecierea cumulată </w:t>
      </w:r>
      <w:r w:rsidR="000C213F">
        <w:t>ș</w:t>
      </w:r>
      <w:r>
        <w:t>i modificările negative cumulate ale valorii juste datorate riscului de credit pentru expunerile neperformante” se raportează conform defini</w:t>
      </w:r>
      <w:r w:rsidR="000C213F">
        <w:t>ț</w:t>
      </w:r>
      <w:r>
        <w:t xml:space="preserve">iilor de la punctele </w:t>
      </w:r>
      <w:r w:rsidRPr="004237EC">
        <w:t>69</w:t>
      </w:r>
      <w:r>
        <w:t>-</w:t>
      </w:r>
      <w:r w:rsidRPr="004237EC">
        <w:t>71</w:t>
      </w:r>
      <w:r>
        <w:t xml:space="preserve"> din prezenta parte numai pentru expunerile neperformante. „Provizioanele privind expunerile extrabilan</w:t>
      </w:r>
      <w:r w:rsidR="000C213F">
        <w:t>ț</w:t>
      </w:r>
      <w:r>
        <w:t xml:space="preserve">iere neperformante” includ provizioanele, astfel cum sunt definite la punctele </w:t>
      </w:r>
      <w:r w:rsidRPr="004237EC">
        <w:t>11</w:t>
      </w:r>
      <w:r>
        <w:t xml:space="preserve">, </w:t>
      </w:r>
      <w:r w:rsidRPr="004237EC">
        <w:t>106</w:t>
      </w:r>
      <w:r>
        <w:t xml:space="preserve"> </w:t>
      </w:r>
      <w:r w:rsidR="000C213F">
        <w:t>ș</w:t>
      </w:r>
      <w:r>
        <w:t xml:space="preserve">i </w:t>
      </w:r>
      <w:r w:rsidRPr="004237EC">
        <w:t>111</w:t>
      </w:r>
      <w:r>
        <w:t xml:space="preserve"> din prezenta parte, pentru expunerile care sunt neperformante în conformitate cu punctele </w:t>
      </w:r>
      <w:r w:rsidRPr="004237EC">
        <w:t>213</w:t>
      </w:r>
      <w:r>
        <w:t>-</w:t>
      </w:r>
      <w:r w:rsidRPr="004237EC">
        <w:t>239</w:t>
      </w:r>
      <w:r>
        <w:t xml:space="preserve"> din prezenta parte.</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97590"/>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Păr</w:t>
      </w:r>
      <w:r w:rsidR="000C213F">
        <w:t>ț</w:t>
      </w:r>
      <w:r>
        <w:t xml:space="preserve">i afiliate: cheltuieli </w:t>
      </w:r>
      <w:r w:rsidR="000C213F">
        <w:t>ș</w:t>
      </w:r>
      <w:r>
        <w:t>i venituri generate de tranzac</w:t>
      </w:r>
      <w:r w:rsidR="000C213F">
        <w:t>ț</w:t>
      </w:r>
      <w:r>
        <w:t>ii (</w:t>
      </w:r>
      <w:r w:rsidRPr="004237EC">
        <w:t>31</w:t>
      </w:r>
      <w:r>
        <w:t>.</w:t>
      </w:r>
      <w:r w:rsidRPr="004237EC">
        <w:t>2</w:t>
      </w:r>
      <w:r>
        <w:t>)</w:t>
      </w:r>
      <w:bookmarkEnd w:id="310"/>
      <w:bookmarkEnd w:id="311"/>
      <w:bookmarkEnd w:id="312"/>
      <w:bookmarkEnd w:id="313"/>
    </w:p>
    <w:p w:rsidR="009569C7" w:rsidRPr="00EC4FA2" w:rsidRDefault="00A834F1" w:rsidP="009569C7">
      <w:pPr>
        <w:pStyle w:val="Baseparagraphnumbered"/>
      </w:pPr>
      <w:r>
        <w:t>„Câ</w:t>
      </w:r>
      <w:r w:rsidR="000C213F">
        <w:t>ș</w:t>
      </w:r>
      <w:r>
        <w:t>tigurile sau pierderile din derecunoa</w:t>
      </w:r>
      <w:r w:rsidR="000C213F">
        <w:t>ș</w:t>
      </w:r>
      <w:r>
        <w:t>terea altor active decât cele financiare” includ toate câ</w:t>
      </w:r>
      <w:r w:rsidR="000C213F">
        <w:t>ș</w:t>
      </w:r>
      <w:r>
        <w:t xml:space="preserve">tigurile </w:t>
      </w:r>
      <w:r w:rsidR="000C213F">
        <w:t>ș</w:t>
      </w:r>
      <w:r>
        <w:t>i pierderile din derecunoa</w:t>
      </w:r>
      <w:r w:rsidR="000C213F">
        <w:t>ș</w:t>
      </w:r>
      <w:r>
        <w:t>terea activelor nefinanciare generate de tranzac</w:t>
      </w:r>
      <w:r w:rsidR="000C213F">
        <w:t>ț</w:t>
      </w:r>
      <w:r>
        <w:t>iile cu păr</w:t>
      </w:r>
      <w:r w:rsidR="000C213F">
        <w:t>ț</w:t>
      </w:r>
      <w:r>
        <w:t>i afiliate. Acest element include câ</w:t>
      </w:r>
      <w:r w:rsidR="000C213F">
        <w:t>ș</w:t>
      </w:r>
      <w:r>
        <w:t xml:space="preserve">tigurile </w:t>
      </w:r>
      <w:r w:rsidR="000C213F">
        <w:t>ș</w:t>
      </w:r>
      <w:r>
        <w:t>i pierderile din derecunoa</w:t>
      </w:r>
      <w:r w:rsidR="000C213F">
        <w:t>ș</w:t>
      </w:r>
      <w:r>
        <w:t>terea activelor nefinanciare care au fost generate de tranzac</w:t>
      </w:r>
      <w:r w:rsidR="000C213F">
        <w:t>ț</w:t>
      </w:r>
      <w:r>
        <w:t>iile cu păr</w:t>
      </w:r>
      <w:r w:rsidR="000C213F">
        <w:t>ț</w:t>
      </w:r>
      <w:r>
        <w:t xml:space="preserve">i afiliate </w:t>
      </w:r>
      <w:r w:rsidR="000C213F">
        <w:t>ș</w:t>
      </w:r>
      <w:r>
        <w:t>i care fac parte din oricare dintre următoarele elemente-rânduri din „situa</w:t>
      </w:r>
      <w:r w:rsidR="000C213F">
        <w:t>ț</w:t>
      </w:r>
      <w:r>
        <w:t xml:space="preserve">ia profitului sau pierderii”: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„câ</w:t>
      </w:r>
      <w:r w:rsidR="000C213F">
        <w:rPr>
          <w:rFonts w:ascii="Times New Roman" w:hAnsi="Times New Roman"/>
          <w:sz w:val="24"/>
        </w:rPr>
        <w:t>ș</w:t>
      </w:r>
      <w:r>
        <w:rPr>
          <w:rFonts w:ascii="Times New Roman" w:hAnsi="Times New Roman"/>
          <w:sz w:val="24"/>
        </w:rPr>
        <w:t>tiguri sau pierderi din derecunoa</w:t>
      </w:r>
      <w:r w:rsidR="000C213F">
        <w:rPr>
          <w:rFonts w:ascii="Times New Roman" w:hAnsi="Times New Roman"/>
          <w:sz w:val="24"/>
        </w:rPr>
        <w:t>ș</w:t>
      </w:r>
      <w:r>
        <w:rPr>
          <w:rFonts w:ascii="Times New Roman" w:hAnsi="Times New Roman"/>
          <w:sz w:val="24"/>
        </w:rPr>
        <w:t>terea investi</w:t>
      </w:r>
      <w:r w:rsidR="000C213F">
        <w:rPr>
          <w:rFonts w:ascii="Times New Roman" w:hAnsi="Times New Roman"/>
          <w:sz w:val="24"/>
        </w:rPr>
        <w:t>ț</w:t>
      </w:r>
      <w:r>
        <w:rPr>
          <w:rFonts w:ascii="Times New Roman" w:hAnsi="Times New Roman"/>
          <w:sz w:val="24"/>
        </w:rPr>
        <w:t>iilor în filiale, asocieri în participa</w:t>
      </w:r>
      <w:r w:rsidR="000C213F">
        <w:rPr>
          <w:rFonts w:ascii="Times New Roman" w:hAnsi="Times New Roman"/>
          <w:sz w:val="24"/>
        </w:rPr>
        <w:t>ț</w:t>
      </w:r>
      <w:r>
        <w:rPr>
          <w:rFonts w:ascii="Times New Roman" w:hAnsi="Times New Roman"/>
          <w:sz w:val="24"/>
        </w:rPr>
        <w:t xml:space="preserve">ie </w:t>
      </w:r>
      <w:r w:rsidR="000C213F">
        <w:rPr>
          <w:rFonts w:ascii="Times New Roman" w:hAnsi="Times New Roman"/>
          <w:sz w:val="24"/>
        </w:rPr>
        <w:t>ș</w:t>
      </w:r>
      <w:r>
        <w:rPr>
          <w:rFonts w:ascii="Times New Roman" w:hAnsi="Times New Roman"/>
          <w:sz w:val="24"/>
        </w:rPr>
        <w:t>i entită</w:t>
      </w:r>
      <w:r w:rsidR="000C213F">
        <w:rPr>
          <w:rFonts w:ascii="Times New Roman" w:hAnsi="Times New Roman"/>
          <w:sz w:val="24"/>
        </w:rPr>
        <w:t>ț</w:t>
      </w:r>
      <w:r>
        <w:rPr>
          <w:rFonts w:ascii="Times New Roman" w:hAnsi="Times New Roman"/>
          <w:sz w:val="24"/>
        </w:rPr>
        <w:t>i asociate”, în cazul în care raportarea se efectuează conform GAAP na</w:t>
      </w:r>
      <w:r w:rsidR="000C213F">
        <w:rPr>
          <w:rFonts w:ascii="Times New Roman" w:hAnsi="Times New Roman"/>
          <w:sz w:val="24"/>
        </w:rPr>
        <w:t>ț</w:t>
      </w:r>
      <w:r>
        <w:rPr>
          <w:rFonts w:ascii="Times New Roman" w:hAnsi="Times New Roman"/>
          <w:sz w:val="24"/>
        </w:rPr>
        <w:t>ionale bazate pe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„câ</w:t>
      </w:r>
      <w:r w:rsidR="000C213F">
        <w:rPr>
          <w:rFonts w:ascii="Times New Roman" w:hAnsi="Times New Roman"/>
          <w:sz w:val="24"/>
        </w:rPr>
        <w:t>ș</w:t>
      </w:r>
      <w:r>
        <w:rPr>
          <w:rFonts w:ascii="Times New Roman" w:hAnsi="Times New Roman"/>
          <w:sz w:val="24"/>
        </w:rPr>
        <w:t>tiguri sau pierderi din derecunoa</w:t>
      </w:r>
      <w:r w:rsidR="000C213F">
        <w:rPr>
          <w:rFonts w:ascii="Times New Roman" w:hAnsi="Times New Roman"/>
          <w:sz w:val="24"/>
        </w:rPr>
        <w:t>ș</w:t>
      </w:r>
      <w:r>
        <w:rPr>
          <w:rFonts w:ascii="Times New Roman" w:hAnsi="Times New Roman"/>
          <w:sz w:val="24"/>
        </w:rPr>
        <w:t xml:space="preserve">terea activelor nefinanciare”;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„profitul sau pierderea din active imobilizate </w:t>
      </w:r>
      <w:r w:rsidR="000C213F">
        <w:rPr>
          <w:rFonts w:ascii="Times New Roman" w:hAnsi="Times New Roman"/>
          <w:sz w:val="24"/>
        </w:rPr>
        <w:t>ș</w:t>
      </w:r>
      <w:r>
        <w:rPr>
          <w:rFonts w:ascii="Times New Roman" w:hAnsi="Times New Roman"/>
          <w:sz w:val="24"/>
        </w:rPr>
        <w:t>i grupuri destinate cedării, clasificate drept de</w:t>
      </w:r>
      <w:r w:rsidR="000C213F">
        <w:rPr>
          <w:rFonts w:ascii="Times New Roman" w:hAnsi="Times New Roman"/>
          <w:sz w:val="24"/>
        </w:rPr>
        <w:t>ț</w:t>
      </w:r>
      <w:r>
        <w:rPr>
          <w:rFonts w:ascii="Times New Roman" w:hAnsi="Times New Roman"/>
          <w:sz w:val="24"/>
        </w:rPr>
        <w:t>inute în vederea vânzării, care nu pot fi considerate activită</w:t>
      </w:r>
      <w:r w:rsidR="000C213F">
        <w:rPr>
          <w:rFonts w:ascii="Times New Roman" w:hAnsi="Times New Roman"/>
          <w:sz w:val="24"/>
        </w:rPr>
        <w:t>ț</w:t>
      </w:r>
      <w:r>
        <w:rPr>
          <w:rFonts w:ascii="Times New Roman" w:hAnsi="Times New Roman"/>
          <w:sz w:val="24"/>
        </w:rPr>
        <w:t xml:space="preserve">i întrerupte”;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 sau pierdere din activită</w:t>
      </w:r>
      <w:r w:rsidR="000C213F">
        <w:rPr>
          <w:rFonts w:ascii="Times New Roman" w:hAnsi="Times New Roman"/>
          <w:sz w:val="24"/>
        </w:rPr>
        <w:t>ț</w:t>
      </w:r>
      <w:r>
        <w:rPr>
          <w:rFonts w:ascii="Times New Roman" w:hAnsi="Times New Roman"/>
          <w:sz w:val="24"/>
        </w:rPr>
        <w:t>i întrerupte după impozitare”.</w:t>
      </w:r>
    </w:p>
    <w:p w:rsidR="009569C7" w:rsidRPr="00EC4FA2" w:rsidRDefault="00A834F1" w:rsidP="009569C7">
      <w:pPr>
        <w:pStyle w:val="Baseparagraphnumbered"/>
      </w:pPr>
      <w:r>
        <w:t xml:space="preserve">„Deprecierea sau (–) reluarea pierderilor cauzate de deprecierea expunerilor neperformante” include pierderile din depreciere, astfel cum sunt definite la punctele </w:t>
      </w:r>
      <w:r w:rsidRPr="004237EC">
        <w:t>51</w:t>
      </w:r>
      <w:r>
        <w:t>-</w:t>
      </w:r>
      <w:r w:rsidRPr="004237EC">
        <w:t>53</w:t>
      </w:r>
      <w:r>
        <w:t xml:space="preserve"> din prezenta parte, pentru expunerile care sunt neperformante în conformitate cu punctele </w:t>
      </w:r>
      <w:r w:rsidRPr="004237EC">
        <w:t>213</w:t>
      </w:r>
      <w:r>
        <w:t>-</w:t>
      </w:r>
      <w:r w:rsidRPr="004237EC">
        <w:t>239</w:t>
      </w:r>
      <w:r>
        <w:t xml:space="preserve"> din prezenta parte. „Provizioanele sau (–) reluările de provizioane pentru expunerile neperformante” includ provizioanele, astfel cum sunt definite la punctul </w:t>
      </w:r>
      <w:r w:rsidRPr="004237EC">
        <w:t>50</w:t>
      </w:r>
      <w:r>
        <w:t xml:space="preserve"> din prezenta parte, pentru expunerile extrabilan</w:t>
      </w:r>
      <w:r w:rsidR="000C213F">
        <w:t>ț</w:t>
      </w:r>
      <w:r>
        <w:t xml:space="preserve">iere care sunt neperformante în conformitate cu punctele </w:t>
      </w:r>
      <w:r w:rsidRPr="004237EC">
        <w:t>213</w:t>
      </w:r>
      <w:r>
        <w:t>-</w:t>
      </w:r>
      <w:r w:rsidRPr="004237EC">
        <w:t>239</w:t>
      </w:r>
      <w:r>
        <w:t xml:space="preserve"> din prezenta parte.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485897591"/>
      <w:bookmarkStart w:id="317" w:name="_Toc361844253"/>
      <w:r>
        <w:t>Structura grupului (</w:t>
      </w:r>
      <w:r w:rsidRPr="004237EC">
        <w:t>40</w:t>
      </w:r>
      <w:r>
        <w:t>)</w:t>
      </w:r>
      <w:bookmarkEnd w:id="314"/>
      <w:bookmarkEnd w:id="315"/>
      <w:bookmarkEnd w:id="316"/>
    </w:p>
    <w:bookmarkEnd w:id="317"/>
    <w:p w:rsidR="009569C7" w:rsidRPr="00EC4FA2" w:rsidRDefault="00A834F1" w:rsidP="009569C7">
      <w:pPr>
        <w:pStyle w:val="Baseparagraphnumbered"/>
      </w:pPr>
      <w:r>
        <w:t>Institu</w:t>
      </w:r>
      <w:r w:rsidR="000C213F">
        <w:t>ț</w:t>
      </w:r>
      <w:r>
        <w:t>iile furnizează la data raportării informa</w:t>
      </w:r>
      <w:r w:rsidR="000C213F">
        <w:t>ț</w:t>
      </w:r>
      <w:r>
        <w:t>ii detaliate privind filialele, asocierile în participa</w:t>
      </w:r>
      <w:r w:rsidR="000C213F">
        <w:t>ț</w:t>
      </w:r>
      <w:r>
        <w:t xml:space="preserve">ie </w:t>
      </w:r>
      <w:r w:rsidR="000C213F">
        <w:t>ș</w:t>
      </w:r>
      <w:r>
        <w:t>i entită</w:t>
      </w:r>
      <w:r w:rsidR="000C213F">
        <w:t>ț</w:t>
      </w:r>
      <w:r>
        <w:t>ile asociate consolidate integral sau propor</w:t>
      </w:r>
      <w:r w:rsidR="000C213F">
        <w:t>ț</w:t>
      </w:r>
      <w:r>
        <w:t xml:space="preserve">ional în perimetrul de consolidare contabil, precum </w:t>
      </w:r>
      <w:r w:rsidR="000C213F">
        <w:t>ș</w:t>
      </w:r>
      <w:r>
        <w:t>i privind entită</w:t>
      </w:r>
      <w:r w:rsidR="000C213F">
        <w:t>ț</w:t>
      </w:r>
      <w:r>
        <w:t>ile raportate ca „investi</w:t>
      </w:r>
      <w:r w:rsidR="000C213F">
        <w:t>ț</w:t>
      </w:r>
      <w:r>
        <w:t>ii în filiale, asocieri în participa</w:t>
      </w:r>
      <w:r w:rsidR="000C213F">
        <w:t>ț</w:t>
      </w:r>
      <w:r>
        <w:t xml:space="preserve">ie </w:t>
      </w:r>
      <w:r w:rsidR="000C213F">
        <w:t>ș</w:t>
      </w:r>
      <w:r>
        <w:t>i entită</w:t>
      </w:r>
      <w:r w:rsidR="000C213F">
        <w:t>ț</w:t>
      </w:r>
      <w:r>
        <w:t xml:space="preserve">i asociate” în conformitate cu punctul </w:t>
      </w:r>
      <w:r w:rsidRPr="004237EC">
        <w:t>4</w:t>
      </w:r>
      <w:r>
        <w:t xml:space="preserve"> din prezenta parte, inclusiv entită</w:t>
      </w:r>
      <w:r w:rsidR="000C213F">
        <w:t>ț</w:t>
      </w:r>
      <w:r>
        <w:t>ile în care investi</w:t>
      </w:r>
      <w:r w:rsidR="000C213F">
        <w:t>ț</w:t>
      </w:r>
      <w:r>
        <w:t>iile sunt de</w:t>
      </w:r>
      <w:r w:rsidR="000C213F">
        <w:t>ț</w:t>
      </w:r>
      <w:r>
        <w:t xml:space="preserve">inute în vederea vânzării conform IFRS </w:t>
      </w:r>
      <w:r w:rsidRPr="004237EC">
        <w:t>5</w:t>
      </w:r>
      <w:r>
        <w:t>. Sunt incluse în raport toate entită</w:t>
      </w:r>
      <w:r w:rsidR="000C213F">
        <w:t>ț</w:t>
      </w:r>
      <w:r>
        <w:t>ile, indiferent de activitatea pe care o desfă</w:t>
      </w:r>
      <w:r w:rsidR="000C213F">
        <w:t>ș</w:t>
      </w:r>
      <w:r>
        <w:t xml:space="preserve">oară. </w:t>
      </w:r>
    </w:p>
    <w:p w:rsidR="009569C7" w:rsidRPr="00EC4FA2" w:rsidRDefault="00A834F1" w:rsidP="009569C7">
      <w:pPr>
        <w:pStyle w:val="Baseparagraphnumbered"/>
      </w:pPr>
      <w:r>
        <w:t xml:space="preserve"> Instrumentele de capitaluri proprii care nu îndeplinesc criteriile pentru a fi clasificate drept investi</w:t>
      </w:r>
      <w:r w:rsidR="000C213F">
        <w:t>ț</w:t>
      </w:r>
      <w:r>
        <w:t>ii în filiale, asocieri în participa</w:t>
      </w:r>
      <w:r w:rsidR="000C213F">
        <w:t>ț</w:t>
      </w:r>
      <w:r>
        <w:t xml:space="preserve">ie </w:t>
      </w:r>
      <w:r w:rsidR="000C213F">
        <w:t>ș</w:t>
      </w:r>
      <w:r>
        <w:t>i entită</w:t>
      </w:r>
      <w:r w:rsidR="000C213F">
        <w:t>ț</w:t>
      </w:r>
      <w:r>
        <w:t xml:space="preserve">i asociate </w:t>
      </w:r>
      <w:r w:rsidR="000C213F">
        <w:t>ș</w:t>
      </w:r>
      <w:r>
        <w:t>i ac</w:t>
      </w:r>
      <w:r w:rsidR="000C213F">
        <w:t>ț</w:t>
      </w:r>
      <w:r>
        <w:t>iunile proprii de</w:t>
      </w:r>
      <w:r w:rsidR="000C213F">
        <w:t>ț</w:t>
      </w:r>
      <w:r>
        <w:t>inute de institu</w:t>
      </w:r>
      <w:r w:rsidR="000C213F">
        <w:t>ț</w:t>
      </w:r>
      <w:r>
        <w:t>ia raportoare („ac</w:t>
      </w:r>
      <w:r w:rsidR="000C213F">
        <w:t>ț</w:t>
      </w:r>
      <w:r>
        <w:t>iuni de trezorerie”) sunt excluse din domeniul de aplicare al acestui formular.</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897592"/>
      <w:r>
        <w:lastRenderedPageBreak/>
        <w:t>Structura grupului: „entitate cu entitate” (</w:t>
      </w:r>
      <w:r w:rsidRPr="004237EC">
        <w:t>40</w:t>
      </w:r>
      <w:r>
        <w:t>.</w:t>
      </w:r>
      <w:r w:rsidRPr="004237EC">
        <w:t>1</w:t>
      </w:r>
      <w:r>
        <w:t>)</w:t>
      </w:r>
      <w:bookmarkEnd w:id="318"/>
      <w:bookmarkEnd w:id="319"/>
      <w:bookmarkEnd w:id="320"/>
      <w:bookmarkEnd w:id="321"/>
    </w:p>
    <w:p w:rsidR="009569C7" w:rsidRPr="00EC4FA2" w:rsidRDefault="00A834F1" w:rsidP="009569C7">
      <w:pPr>
        <w:pStyle w:val="Baseparagraphnumbered"/>
      </w:pPr>
      <w:r>
        <w:t>Următoarele informa</w:t>
      </w:r>
      <w:r w:rsidR="000C213F">
        <w:t>ț</w:t>
      </w:r>
      <w:r>
        <w:t xml:space="preserve">ii se raportează în baza unei abordări „entitate cu entitate” </w:t>
      </w:r>
      <w:r w:rsidR="000C213F">
        <w:t>ș</w:t>
      </w:r>
      <w:r>
        <w:t xml:space="preserve">i, în sensul anexelor III </w:t>
      </w:r>
      <w:r w:rsidR="000C213F">
        <w:t>ș</w:t>
      </w:r>
      <w:r>
        <w:t xml:space="preserve">i IV, precum </w:t>
      </w:r>
      <w:r w:rsidR="000C213F">
        <w:t>ș</w:t>
      </w:r>
      <w:r>
        <w:t>i în sensul prezentei anexe, se aplică următoarele defini</w:t>
      </w:r>
      <w:r w:rsidR="000C213F">
        <w:t>ț</w:t>
      </w:r>
      <w:r>
        <w:t>ii: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„codul LEI” include codul LEI al entită</w:t>
      </w:r>
      <w:r w:rsidR="000C213F">
        <w:rPr>
          <w:rFonts w:ascii="Times New Roman" w:hAnsi="Times New Roman"/>
          <w:sz w:val="24"/>
        </w:rPr>
        <w:t>ț</w:t>
      </w:r>
      <w:r>
        <w:rPr>
          <w:rFonts w:ascii="Times New Roman" w:hAnsi="Times New Roman"/>
          <w:sz w:val="24"/>
        </w:rPr>
        <w:t>ii în care s-a investit. În cazul în care există un cod LEI pentru entitatea în care s-a investit, acesta se raportează;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„codul entită</w:t>
      </w:r>
      <w:r w:rsidR="000C213F">
        <w:rPr>
          <w:rFonts w:ascii="Times New Roman" w:hAnsi="Times New Roman"/>
          <w:sz w:val="24"/>
        </w:rPr>
        <w:t>ț</w:t>
      </w:r>
      <w:r>
        <w:rPr>
          <w:rFonts w:ascii="Times New Roman" w:hAnsi="Times New Roman"/>
          <w:sz w:val="24"/>
        </w:rPr>
        <w:t>ii” include codul de identificare a entită</w:t>
      </w:r>
      <w:r w:rsidR="000C213F">
        <w:rPr>
          <w:rFonts w:ascii="Times New Roman" w:hAnsi="Times New Roman"/>
          <w:sz w:val="24"/>
        </w:rPr>
        <w:t>ț</w:t>
      </w:r>
      <w:r>
        <w:rPr>
          <w:rFonts w:ascii="Times New Roman" w:hAnsi="Times New Roman"/>
          <w:sz w:val="24"/>
        </w:rPr>
        <w:t>ii în care s-a investit. Acest cod al entită</w:t>
      </w:r>
      <w:r w:rsidR="000C213F">
        <w:rPr>
          <w:rFonts w:ascii="Times New Roman" w:hAnsi="Times New Roman"/>
          <w:sz w:val="24"/>
        </w:rPr>
        <w:t>ț</w:t>
      </w:r>
      <w:r>
        <w:rPr>
          <w:rFonts w:ascii="Times New Roman" w:hAnsi="Times New Roman"/>
          <w:sz w:val="24"/>
        </w:rPr>
        <w:t xml:space="preserve">ii este un număr de identificare a rândului </w:t>
      </w:r>
      <w:r w:rsidR="000C213F">
        <w:rPr>
          <w:rFonts w:ascii="Times New Roman" w:hAnsi="Times New Roman"/>
          <w:sz w:val="24"/>
        </w:rPr>
        <w:t>ș</w:t>
      </w:r>
      <w:r>
        <w:rPr>
          <w:rFonts w:ascii="Times New Roman" w:hAnsi="Times New Roman"/>
          <w:sz w:val="24"/>
        </w:rPr>
        <w:t xml:space="preserve">i este unic pentru fiecare rând din formularul </w:t>
      </w:r>
      <w:r w:rsidRPr="004237EC">
        <w:rPr>
          <w:rFonts w:ascii="Times New Roman" w:hAnsi="Times New Roman"/>
          <w:sz w:val="24"/>
        </w:rPr>
        <w:t>40</w:t>
      </w:r>
      <w:r>
        <w:rPr>
          <w:rFonts w:ascii="Times New Roman" w:hAnsi="Times New Roman"/>
          <w:sz w:val="24"/>
        </w:rPr>
        <w:t>.</w:t>
      </w:r>
      <w:r w:rsidRPr="004237EC">
        <w:rPr>
          <w:rFonts w:ascii="Times New Roman" w:hAnsi="Times New Roman"/>
          <w:sz w:val="24"/>
        </w:rPr>
        <w:t>1</w:t>
      </w:r>
      <w:r>
        <w:rPr>
          <w:rFonts w:ascii="Times New Roman" w:hAnsi="Times New Roman"/>
          <w:sz w:val="24"/>
        </w:rPr>
        <w: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„denumirea entită</w:t>
      </w:r>
      <w:r w:rsidR="000C213F">
        <w:rPr>
          <w:rFonts w:ascii="Times New Roman" w:hAnsi="Times New Roman"/>
          <w:sz w:val="24"/>
        </w:rPr>
        <w:t>ț</w:t>
      </w:r>
      <w:r>
        <w:rPr>
          <w:rFonts w:ascii="Times New Roman" w:hAnsi="Times New Roman"/>
          <w:sz w:val="24"/>
        </w:rPr>
        <w:t>ii” include denumirea entită</w:t>
      </w:r>
      <w:r w:rsidR="000C213F">
        <w:rPr>
          <w:rFonts w:ascii="Times New Roman" w:hAnsi="Times New Roman"/>
          <w:sz w:val="24"/>
        </w:rPr>
        <w:t>ț</w:t>
      </w:r>
      <w:r>
        <w:rPr>
          <w:rFonts w:ascii="Times New Roman" w:hAnsi="Times New Roman"/>
          <w:sz w:val="24"/>
        </w:rPr>
        <w:t>ii în care s-a investit;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„data intrării” înseamnă data la care entitatea în care s-a investit a intrat în „perimetrul de consolidare al grupului”;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„capitalul social al entită</w:t>
      </w:r>
      <w:r w:rsidR="000C213F">
        <w:rPr>
          <w:rFonts w:ascii="Times New Roman" w:hAnsi="Times New Roman"/>
          <w:sz w:val="24"/>
        </w:rPr>
        <w:t>ț</w:t>
      </w:r>
      <w:r>
        <w:rPr>
          <w:rFonts w:ascii="Times New Roman" w:hAnsi="Times New Roman"/>
          <w:sz w:val="24"/>
        </w:rPr>
        <w:t>ii în care s-a investit” înseamnă cuantumul total al capitalului emis de entitatea în care s-a investit la data de referin</w:t>
      </w:r>
      <w:r w:rsidR="000C213F">
        <w:rPr>
          <w:rFonts w:ascii="Times New Roman" w:hAnsi="Times New Roman"/>
          <w:sz w:val="24"/>
        </w:rPr>
        <w:t>ț</w:t>
      </w:r>
      <w:r>
        <w:rPr>
          <w:rFonts w:ascii="Times New Roman" w:hAnsi="Times New Roman"/>
          <w:sz w:val="24"/>
        </w:rPr>
        <w:t>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„capitaluri proprii ale entită</w:t>
      </w:r>
      <w:r w:rsidR="000C213F">
        <w:rPr>
          <w:rFonts w:ascii="Times New Roman" w:hAnsi="Times New Roman"/>
          <w:sz w:val="24"/>
        </w:rPr>
        <w:t>ț</w:t>
      </w:r>
      <w:r>
        <w:rPr>
          <w:rFonts w:ascii="Times New Roman" w:hAnsi="Times New Roman"/>
          <w:sz w:val="24"/>
        </w:rPr>
        <w:t>ii în care s-a investit”, „active totale ale entită</w:t>
      </w:r>
      <w:r w:rsidR="000C213F">
        <w:rPr>
          <w:rFonts w:ascii="Times New Roman" w:hAnsi="Times New Roman"/>
          <w:sz w:val="24"/>
        </w:rPr>
        <w:t>ț</w:t>
      </w:r>
      <w:r>
        <w:rPr>
          <w:rFonts w:ascii="Times New Roman" w:hAnsi="Times New Roman"/>
          <w:sz w:val="24"/>
        </w:rPr>
        <w:t xml:space="preserve">ii în care s-a investit” </w:t>
      </w:r>
      <w:r w:rsidR="000C213F">
        <w:rPr>
          <w:rFonts w:ascii="Times New Roman" w:hAnsi="Times New Roman"/>
          <w:sz w:val="24"/>
        </w:rPr>
        <w:t>ș</w:t>
      </w:r>
      <w:r>
        <w:rPr>
          <w:rFonts w:ascii="Times New Roman" w:hAnsi="Times New Roman"/>
          <w:sz w:val="24"/>
        </w:rPr>
        <w:t>i „profit (sau pierdere) al (a) entită</w:t>
      </w:r>
      <w:r w:rsidR="000C213F">
        <w:rPr>
          <w:rFonts w:ascii="Times New Roman" w:hAnsi="Times New Roman"/>
          <w:sz w:val="24"/>
        </w:rPr>
        <w:t>ț</w:t>
      </w:r>
      <w:r>
        <w:rPr>
          <w:rFonts w:ascii="Times New Roman" w:hAnsi="Times New Roman"/>
          <w:sz w:val="24"/>
        </w:rPr>
        <w:t>ii în care s-a investit” includ cuantumurile acestor elemente din ultimele situa</w:t>
      </w:r>
      <w:r w:rsidR="000C213F">
        <w:rPr>
          <w:rFonts w:ascii="Times New Roman" w:hAnsi="Times New Roman"/>
          <w:sz w:val="24"/>
        </w:rPr>
        <w:t>ț</w:t>
      </w:r>
      <w:r>
        <w:rPr>
          <w:rFonts w:ascii="Times New Roman" w:hAnsi="Times New Roman"/>
          <w:sz w:val="24"/>
        </w:rPr>
        <w:t>ii financiare ale entită</w:t>
      </w:r>
      <w:r w:rsidR="000C213F">
        <w:rPr>
          <w:rFonts w:ascii="Times New Roman" w:hAnsi="Times New Roman"/>
          <w:sz w:val="24"/>
        </w:rPr>
        <w:t>ț</w:t>
      </w:r>
      <w:r>
        <w:rPr>
          <w:rFonts w:ascii="Times New Roman" w:hAnsi="Times New Roman"/>
          <w:sz w:val="24"/>
        </w:rPr>
        <w:t>ii în care s-a investit;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„re</w:t>
      </w:r>
      <w:r w:rsidR="000C213F">
        <w:rPr>
          <w:rFonts w:ascii="Times New Roman" w:hAnsi="Times New Roman"/>
          <w:sz w:val="24"/>
        </w:rPr>
        <w:t>ș</w:t>
      </w:r>
      <w:r>
        <w:rPr>
          <w:rFonts w:ascii="Times New Roman" w:hAnsi="Times New Roman"/>
          <w:sz w:val="24"/>
        </w:rPr>
        <w:t>edin</w:t>
      </w:r>
      <w:r w:rsidR="000C213F">
        <w:rPr>
          <w:rFonts w:ascii="Times New Roman" w:hAnsi="Times New Roman"/>
          <w:sz w:val="24"/>
        </w:rPr>
        <w:t>ț</w:t>
      </w:r>
      <w:r>
        <w:rPr>
          <w:rFonts w:ascii="Times New Roman" w:hAnsi="Times New Roman"/>
          <w:sz w:val="24"/>
        </w:rPr>
        <w:t>a entită</w:t>
      </w:r>
      <w:r w:rsidR="000C213F">
        <w:rPr>
          <w:rFonts w:ascii="Times New Roman" w:hAnsi="Times New Roman"/>
          <w:sz w:val="24"/>
        </w:rPr>
        <w:t>ț</w:t>
      </w:r>
      <w:r>
        <w:rPr>
          <w:rFonts w:ascii="Times New Roman" w:hAnsi="Times New Roman"/>
          <w:sz w:val="24"/>
        </w:rPr>
        <w:t xml:space="preserve">ii în care s-a investit” înseamnă </w:t>
      </w:r>
      <w:r w:rsidR="000C213F">
        <w:rPr>
          <w:rFonts w:ascii="Times New Roman" w:hAnsi="Times New Roman"/>
          <w:sz w:val="24"/>
        </w:rPr>
        <w:t>ț</w:t>
      </w:r>
      <w:r>
        <w:rPr>
          <w:rFonts w:ascii="Times New Roman" w:hAnsi="Times New Roman"/>
          <w:sz w:val="24"/>
        </w:rPr>
        <w:t>ara de re</w:t>
      </w:r>
      <w:r w:rsidR="000C213F">
        <w:rPr>
          <w:rFonts w:ascii="Times New Roman" w:hAnsi="Times New Roman"/>
          <w:sz w:val="24"/>
        </w:rPr>
        <w:t>ș</w:t>
      </w:r>
      <w:r>
        <w:rPr>
          <w:rFonts w:ascii="Times New Roman" w:hAnsi="Times New Roman"/>
          <w:sz w:val="24"/>
        </w:rPr>
        <w:t>edin</w:t>
      </w:r>
      <w:r w:rsidR="000C213F">
        <w:rPr>
          <w:rFonts w:ascii="Times New Roman" w:hAnsi="Times New Roman"/>
          <w:sz w:val="24"/>
        </w:rPr>
        <w:t>ț</w:t>
      </w:r>
      <w:r>
        <w:rPr>
          <w:rFonts w:ascii="Times New Roman" w:hAnsi="Times New Roman"/>
          <w:sz w:val="24"/>
        </w:rPr>
        <w:t>ă a entită</w:t>
      </w:r>
      <w:r w:rsidR="000C213F">
        <w:rPr>
          <w:rFonts w:ascii="Times New Roman" w:hAnsi="Times New Roman"/>
          <w:sz w:val="24"/>
        </w:rPr>
        <w:t>ț</w:t>
      </w:r>
      <w:r>
        <w:rPr>
          <w:rFonts w:ascii="Times New Roman" w:hAnsi="Times New Roman"/>
          <w:sz w:val="24"/>
        </w:rPr>
        <w:t xml:space="preserve">ii în care s-a investit;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„sectorul entită</w:t>
      </w:r>
      <w:r w:rsidR="000C213F">
        <w:rPr>
          <w:rFonts w:ascii="Times New Roman" w:hAnsi="Times New Roman"/>
          <w:sz w:val="24"/>
        </w:rPr>
        <w:t>ț</w:t>
      </w:r>
      <w:r>
        <w:rPr>
          <w:rFonts w:ascii="Times New Roman" w:hAnsi="Times New Roman"/>
          <w:sz w:val="24"/>
        </w:rPr>
        <w:t>ii în care s-a investit” înseamnă sectorul contrapăr</w:t>
      </w:r>
      <w:r w:rsidR="000C213F">
        <w:rPr>
          <w:rFonts w:ascii="Times New Roman" w:hAnsi="Times New Roman"/>
          <w:sz w:val="24"/>
        </w:rPr>
        <w:t>ț</w:t>
      </w:r>
      <w:r>
        <w:rPr>
          <w:rFonts w:ascii="Times New Roman" w:hAnsi="Times New Roman"/>
          <w:sz w:val="24"/>
        </w:rPr>
        <w:t xml:space="preserve">ii, astfel cum este definit la punctul </w:t>
      </w:r>
      <w:r w:rsidRPr="004237EC">
        <w:rPr>
          <w:rFonts w:ascii="Times New Roman" w:hAnsi="Times New Roman"/>
          <w:sz w:val="24"/>
        </w:rPr>
        <w:t>42</w:t>
      </w:r>
      <w:r>
        <w:rPr>
          <w:rFonts w:ascii="Times New Roman" w:hAnsi="Times New Roman"/>
          <w:sz w:val="24"/>
        </w:rPr>
        <w:t xml:space="preserve"> din partea </w:t>
      </w:r>
      <w:r w:rsidRPr="004237EC">
        <w:rPr>
          <w:rFonts w:ascii="Times New Roman" w:hAnsi="Times New Roman"/>
          <w:sz w:val="24"/>
        </w:rPr>
        <w:t>1</w:t>
      </w:r>
      <w:r>
        <w:rPr>
          <w:rFonts w:ascii="Times New Roman" w:hAnsi="Times New Roman"/>
          <w:sz w:val="24"/>
        </w:rPr>
        <w:t xml:space="preserve"> a prezentei anexe;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„codul NACE” se furnizează pe baza activită</w:t>
      </w:r>
      <w:r w:rsidR="000C213F">
        <w:rPr>
          <w:rFonts w:ascii="Times New Roman" w:hAnsi="Times New Roman"/>
          <w:sz w:val="24"/>
        </w:rPr>
        <w:t>ț</w:t>
      </w:r>
      <w:r>
        <w:rPr>
          <w:rFonts w:ascii="Times New Roman" w:hAnsi="Times New Roman"/>
          <w:sz w:val="24"/>
        </w:rPr>
        <w:t>ii principale a entită</w:t>
      </w:r>
      <w:r w:rsidR="000C213F">
        <w:rPr>
          <w:rFonts w:ascii="Times New Roman" w:hAnsi="Times New Roman"/>
          <w:sz w:val="24"/>
        </w:rPr>
        <w:t>ț</w:t>
      </w:r>
      <w:r>
        <w:rPr>
          <w:rFonts w:ascii="Times New Roman" w:hAnsi="Times New Roman"/>
          <w:sz w:val="24"/>
        </w:rPr>
        <w:t>ii în care s-a investit. Pentru societă</w:t>
      </w:r>
      <w:r w:rsidR="000C213F">
        <w:rPr>
          <w:rFonts w:ascii="Times New Roman" w:hAnsi="Times New Roman"/>
          <w:sz w:val="24"/>
        </w:rPr>
        <w:t>ț</w:t>
      </w:r>
      <w:r>
        <w:rPr>
          <w:rFonts w:ascii="Times New Roman" w:hAnsi="Times New Roman"/>
          <w:sz w:val="24"/>
        </w:rPr>
        <w:t>ile nefinanciare, codurile NACE se raportează începând cu primul nivel de dezagregare (pe „sec</w:t>
      </w:r>
      <w:r w:rsidR="000C213F">
        <w:rPr>
          <w:rFonts w:ascii="Times New Roman" w:hAnsi="Times New Roman"/>
          <w:sz w:val="24"/>
        </w:rPr>
        <w:t>ț</w:t>
      </w:r>
      <w:r>
        <w:rPr>
          <w:rFonts w:ascii="Times New Roman" w:hAnsi="Times New Roman"/>
          <w:sz w:val="24"/>
        </w:rPr>
        <w:t>iuni”); pentru societă</w:t>
      </w:r>
      <w:r w:rsidR="000C213F">
        <w:rPr>
          <w:rFonts w:ascii="Times New Roman" w:hAnsi="Times New Roman"/>
          <w:sz w:val="24"/>
        </w:rPr>
        <w:t>ț</w:t>
      </w:r>
      <w:r>
        <w:rPr>
          <w:rFonts w:ascii="Times New Roman" w:hAnsi="Times New Roman"/>
          <w:sz w:val="24"/>
        </w:rPr>
        <w:t>ile financiare, codurile NACE se raportează cu un grad de detaliere cu două niveluri (pe „divizii”);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„participa</w:t>
      </w:r>
      <w:r w:rsidR="000C213F">
        <w:rPr>
          <w:rFonts w:ascii="Times New Roman" w:hAnsi="Times New Roman"/>
          <w:sz w:val="24"/>
        </w:rPr>
        <w:t>ț</w:t>
      </w:r>
      <w:r>
        <w:rPr>
          <w:rFonts w:ascii="Times New Roman" w:hAnsi="Times New Roman"/>
          <w:sz w:val="24"/>
        </w:rPr>
        <w:t>ii cumulate în capitalurile proprii (%)” reprezintă procentul de instrumente de participa</w:t>
      </w:r>
      <w:r w:rsidR="000C213F">
        <w:rPr>
          <w:rFonts w:ascii="Times New Roman" w:hAnsi="Times New Roman"/>
          <w:sz w:val="24"/>
        </w:rPr>
        <w:t>ț</w:t>
      </w:r>
      <w:r>
        <w:rPr>
          <w:rFonts w:ascii="Times New Roman" w:hAnsi="Times New Roman"/>
          <w:sz w:val="24"/>
        </w:rPr>
        <w:t>ie de</w:t>
      </w:r>
      <w:r w:rsidR="000C213F">
        <w:rPr>
          <w:rFonts w:ascii="Times New Roman" w:hAnsi="Times New Roman"/>
          <w:sz w:val="24"/>
        </w:rPr>
        <w:t>ț</w:t>
      </w:r>
      <w:r>
        <w:rPr>
          <w:rFonts w:ascii="Times New Roman" w:hAnsi="Times New Roman"/>
          <w:sz w:val="24"/>
        </w:rPr>
        <w:t>inute de institu</w:t>
      </w:r>
      <w:r w:rsidR="000C213F">
        <w:rPr>
          <w:rFonts w:ascii="Times New Roman" w:hAnsi="Times New Roman"/>
          <w:sz w:val="24"/>
        </w:rPr>
        <w:t>ț</w:t>
      </w:r>
      <w:r>
        <w:rPr>
          <w:rFonts w:ascii="Times New Roman" w:hAnsi="Times New Roman"/>
          <w:sz w:val="24"/>
        </w:rPr>
        <w:t>ie la data de referin</w:t>
      </w:r>
      <w:r w:rsidR="000C213F">
        <w:rPr>
          <w:rFonts w:ascii="Times New Roman" w:hAnsi="Times New Roman"/>
          <w:sz w:val="24"/>
        </w:rPr>
        <w:t>ț</w:t>
      </w:r>
      <w:r>
        <w:rPr>
          <w:rFonts w:ascii="Times New Roman" w:hAnsi="Times New Roman"/>
          <w:sz w:val="24"/>
        </w:rPr>
        <w:t xml:space="preserve">ă;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„drepturi de vot (%)” înseamnă procentul de drepturi de vot asociat instrumentelor de participa</w:t>
      </w:r>
      <w:r w:rsidR="000C213F">
        <w:rPr>
          <w:rFonts w:ascii="Times New Roman" w:hAnsi="Times New Roman"/>
          <w:sz w:val="24"/>
        </w:rPr>
        <w:t>ț</w:t>
      </w:r>
      <w:r>
        <w:rPr>
          <w:rFonts w:ascii="Times New Roman" w:hAnsi="Times New Roman"/>
          <w:sz w:val="24"/>
        </w:rPr>
        <w:t>ie de</w:t>
      </w:r>
      <w:r w:rsidR="000C213F">
        <w:rPr>
          <w:rFonts w:ascii="Times New Roman" w:hAnsi="Times New Roman"/>
          <w:sz w:val="24"/>
        </w:rPr>
        <w:t>ț</w:t>
      </w:r>
      <w:r>
        <w:rPr>
          <w:rFonts w:ascii="Times New Roman" w:hAnsi="Times New Roman"/>
          <w:sz w:val="24"/>
        </w:rPr>
        <w:t>inute de institu</w:t>
      </w:r>
      <w:r w:rsidR="000C213F">
        <w:rPr>
          <w:rFonts w:ascii="Times New Roman" w:hAnsi="Times New Roman"/>
          <w:sz w:val="24"/>
        </w:rPr>
        <w:t>ț</w:t>
      </w:r>
      <w:r>
        <w:rPr>
          <w:rFonts w:ascii="Times New Roman" w:hAnsi="Times New Roman"/>
          <w:sz w:val="24"/>
        </w:rPr>
        <w:t>ie la data de referin</w:t>
      </w:r>
      <w:r w:rsidR="000C213F">
        <w:rPr>
          <w:rFonts w:ascii="Times New Roman" w:hAnsi="Times New Roman"/>
          <w:sz w:val="24"/>
        </w:rPr>
        <w:t>ț</w:t>
      </w:r>
      <w:r>
        <w:rPr>
          <w:rFonts w:ascii="Times New Roman" w:hAnsi="Times New Roman"/>
          <w:sz w:val="24"/>
        </w:rPr>
        <w:t xml:space="preserve">ă;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„structura grupului [rela</w:t>
      </w:r>
      <w:r w:rsidR="000C213F">
        <w:rPr>
          <w:rFonts w:ascii="Times New Roman" w:hAnsi="Times New Roman"/>
          <w:sz w:val="24"/>
        </w:rPr>
        <w:t>ț</w:t>
      </w:r>
      <w:r>
        <w:rPr>
          <w:rFonts w:ascii="Times New Roman" w:hAnsi="Times New Roman"/>
          <w:sz w:val="24"/>
        </w:rPr>
        <w:t>ie]” indică rela</w:t>
      </w:r>
      <w:r w:rsidR="000C213F">
        <w:rPr>
          <w:rFonts w:ascii="Times New Roman" w:hAnsi="Times New Roman"/>
          <w:sz w:val="24"/>
        </w:rPr>
        <w:t>ț</w:t>
      </w:r>
      <w:r>
        <w:rPr>
          <w:rFonts w:ascii="Times New Roman" w:hAnsi="Times New Roman"/>
          <w:sz w:val="24"/>
        </w:rPr>
        <w:t xml:space="preserve">ia dintre societatea-mamă de cel mai înalt rang </w:t>
      </w:r>
      <w:r w:rsidR="000C213F">
        <w:rPr>
          <w:rFonts w:ascii="Times New Roman" w:hAnsi="Times New Roman"/>
          <w:sz w:val="24"/>
        </w:rPr>
        <w:t>ș</w:t>
      </w:r>
      <w:r>
        <w:rPr>
          <w:rFonts w:ascii="Times New Roman" w:hAnsi="Times New Roman"/>
          <w:sz w:val="24"/>
        </w:rPr>
        <w:t>i entitatea în care s-a investit (societate-mamă sau entitate cu control comun asupra institu</w:t>
      </w:r>
      <w:r w:rsidR="000C213F">
        <w:rPr>
          <w:rFonts w:ascii="Times New Roman" w:hAnsi="Times New Roman"/>
          <w:sz w:val="24"/>
        </w:rPr>
        <w:t>ț</w:t>
      </w:r>
      <w:r>
        <w:rPr>
          <w:rFonts w:ascii="Times New Roman" w:hAnsi="Times New Roman"/>
          <w:sz w:val="24"/>
        </w:rPr>
        <w:t>iei raportoare, filială, asociere în participa</w:t>
      </w:r>
      <w:r w:rsidR="000C213F">
        <w:rPr>
          <w:rFonts w:ascii="Times New Roman" w:hAnsi="Times New Roman"/>
          <w:sz w:val="24"/>
        </w:rPr>
        <w:t>ț</w:t>
      </w:r>
      <w:r>
        <w:rPr>
          <w:rFonts w:ascii="Times New Roman" w:hAnsi="Times New Roman"/>
          <w:sz w:val="24"/>
        </w:rPr>
        <w:t>ie sau entitate asociată);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„tratament contabil [grup contabil]” indică rela</w:t>
      </w:r>
      <w:r w:rsidR="000C213F">
        <w:rPr>
          <w:rFonts w:ascii="Times New Roman" w:hAnsi="Times New Roman"/>
          <w:sz w:val="24"/>
        </w:rPr>
        <w:t>ț</w:t>
      </w:r>
      <w:r>
        <w:rPr>
          <w:rFonts w:ascii="Times New Roman" w:hAnsi="Times New Roman"/>
          <w:sz w:val="24"/>
        </w:rPr>
        <w:t xml:space="preserve">ia dintre tratamentul contabil </w:t>
      </w:r>
      <w:r w:rsidR="000C213F">
        <w:rPr>
          <w:rFonts w:ascii="Times New Roman" w:hAnsi="Times New Roman"/>
          <w:sz w:val="24"/>
        </w:rPr>
        <w:t>ș</w:t>
      </w:r>
      <w:r>
        <w:rPr>
          <w:rFonts w:ascii="Times New Roman" w:hAnsi="Times New Roman"/>
          <w:sz w:val="24"/>
        </w:rPr>
        <w:t>i perimetrul de consolidare contabil (metoda consolidării globale, a consolidării propor</w:t>
      </w:r>
      <w:r w:rsidR="000C213F">
        <w:rPr>
          <w:rFonts w:ascii="Times New Roman" w:hAnsi="Times New Roman"/>
          <w:sz w:val="24"/>
        </w:rPr>
        <w:t>ț</w:t>
      </w:r>
      <w:r>
        <w:rPr>
          <w:rFonts w:ascii="Times New Roman" w:hAnsi="Times New Roman"/>
          <w:sz w:val="24"/>
        </w:rPr>
        <w:t>ionale, metoda punerii în echivalen</w:t>
      </w:r>
      <w:r w:rsidR="000C213F">
        <w:rPr>
          <w:rFonts w:ascii="Times New Roman" w:hAnsi="Times New Roman"/>
          <w:sz w:val="24"/>
        </w:rPr>
        <w:t>ț</w:t>
      </w:r>
      <w:r>
        <w:rPr>
          <w:rFonts w:ascii="Times New Roman" w:hAnsi="Times New Roman"/>
          <w:sz w:val="24"/>
        </w:rPr>
        <w:t>ă sau o altă metodă);</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„tratament contabil [grup CRR]” indică rela</w:t>
      </w:r>
      <w:r w:rsidR="000C213F">
        <w:rPr>
          <w:rFonts w:ascii="Times New Roman" w:hAnsi="Times New Roman"/>
          <w:sz w:val="24"/>
        </w:rPr>
        <w:t>ț</w:t>
      </w:r>
      <w:r>
        <w:rPr>
          <w:rFonts w:ascii="Times New Roman" w:hAnsi="Times New Roman"/>
          <w:sz w:val="24"/>
        </w:rPr>
        <w:t xml:space="preserve">ia dintre tratamentul contabil </w:t>
      </w:r>
      <w:r w:rsidR="000C213F">
        <w:rPr>
          <w:rFonts w:ascii="Times New Roman" w:hAnsi="Times New Roman"/>
          <w:sz w:val="24"/>
        </w:rPr>
        <w:t>ș</w:t>
      </w:r>
      <w:r>
        <w:rPr>
          <w:rFonts w:ascii="Times New Roman" w:hAnsi="Times New Roman"/>
          <w:sz w:val="24"/>
        </w:rPr>
        <w:t xml:space="preserve">i perimetrul de consolidare CRR (metoda consolidării globale, a </w:t>
      </w:r>
      <w:r>
        <w:rPr>
          <w:rFonts w:ascii="Times New Roman" w:hAnsi="Times New Roman"/>
          <w:sz w:val="24"/>
        </w:rPr>
        <w:lastRenderedPageBreak/>
        <w:t>consolidării propor</w:t>
      </w:r>
      <w:r w:rsidR="000C213F">
        <w:rPr>
          <w:rFonts w:ascii="Times New Roman" w:hAnsi="Times New Roman"/>
          <w:sz w:val="24"/>
        </w:rPr>
        <w:t>ț</w:t>
      </w:r>
      <w:r>
        <w:rPr>
          <w:rFonts w:ascii="Times New Roman" w:hAnsi="Times New Roman"/>
          <w:sz w:val="24"/>
        </w:rPr>
        <w:t>ionale, metoda punerii în echivalen</w:t>
      </w:r>
      <w:r w:rsidR="000C213F">
        <w:rPr>
          <w:rFonts w:ascii="Times New Roman" w:hAnsi="Times New Roman"/>
          <w:sz w:val="24"/>
        </w:rPr>
        <w:t>ț</w:t>
      </w:r>
      <w:r>
        <w:rPr>
          <w:rFonts w:ascii="Times New Roman" w:hAnsi="Times New Roman"/>
          <w:sz w:val="24"/>
        </w:rPr>
        <w:t xml:space="preserve">ă sau o altă metodă);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„valoarea contabilă” înseamnă valorile raportate în bilan</w:t>
      </w:r>
      <w:r w:rsidR="000C213F">
        <w:rPr>
          <w:rFonts w:ascii="Times New Roman" w:hAnsi="Times New Roman"/>
          <w:sz w:val="24"/>
        </w:rPr>
        <w:t>ț</w:t>
      </w:r>
      <w:r>
        <w:rPr>
          <w:rFonts w:ascii="Times New Roman" w:hAnsi="Times New Roman"/>
          <w:sz w:val="24"/>
        </w:rPr>
        <w:t>ul institu</w:t>
      </w:r>
      <w:r w:rsidR="000C213F">
        <w:rPr>
          <w:rFonts w:ascii="Times New Roman" w:hAnsi="Times New Roman"/>
          <w:sz w:val="24"/>
        </w:rPr>
        <w:t>ț</w:t>
      </w:r>
      <w:r>
        <w:rPr>
          <w:rFonts w:ascii="Times New Roman" w:hAnsi="Times New Roman"/>
          <w:sz w:val="24"/>
        </w:rPr>
        <w:t>iei pentru entitatea în care s-a investit, care nu sunt consolidate prin metoda consolidării globale sau propor</w:t>
      </w:r>
      <w:r w:rsidR="000C213F">
        <w:rPr>
          <w:rFonts w:ascii="Times New Roman" w:hAnsi="Times New Roman"/>
          <w:sz w:val="24"/>
        </w:rPr>
        <w:t>ț</w:t>
      </w:r>
      <w:r>
        <w:rPr>
          <w:rFonts w:ascii="Times New Roman" w:hAnsi="Times New Roman"/>
          <w:sz w:val="24"/>
        </w:rPr>
        <w:t xml:space="preserve">ionale;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„costul de achizi</w:t>
      </w:r>
      <w:r w:rsidR="000C213F">
        <w:rPr>
          <w:rFonts w:ascii="Times New Roman" w:hAnsi="Times New Roman"/>
          <w:sz w:val="24"/>
        </w:rPr>
        <w:t>ț</w:t>
      </w:r>
      <w:r>
        <w:rPr>
          <w:rFonts w:ascii="Times New Roman" w:hAnsi="Times New Roman"/>
          <w:sz w:val="24"/>
        </w:rPr>
        <w:t>ie” înseamnă suma plătită de investitori;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„legătura, în ceea ce prive</w:t>
      </w:r>
      <w:r w:rsidR="000C213F">
        <w:rPr>
          <w:rFonts w:ascii="Times New Roman" w:hAnsi="Times New Roman"/>
          <w:sz w:val="24"/>
        </w:rPr>
        <w:t>ș</w:t>
      </w:r>
      <w:r>
        <w:rPr>
          <w:rFonts w:ascii="Times New Roman" w:hAnsi="Times New Roman"/>
          <w:sz w:val="24"/>
        </w:rPr>
        <w:t>te fondul comercial, cu entitatea în care s-a investit” înseamnă cuantumul fondului comercial raportat în bilan</w:t>
      </w:r>
      <w:r w:rsidR="000C213F">
        <w:rPr>
          <w:rFonts w:ascii="Times New Roman" w:hAnsi="Times New Roman"/>
          <w:sz w:val="24"/>
        </w:rPr>
        <w:t>ț</w:t>
      </w:r>
      <w:r>
        <w:rPr>
          <w:rFonts w:ascii="Times New Roman" w:hAnsi="Times New Roman"/>
          <w:sz w:val="24"/>
        </w:rPr>
        <w:t>ul consolidat al institu</w:t>
      </w:r>
      <w:r w:rsidR="000C213F">
        <w:rPr>
          <w:rFonts w:ascii="Times New Roman" w:hAnsi="Times New Roman"/>
          <w:sz w:val="24"/>
        </w:rPr>
        <w:t>ț</w:t>
      </w:r>
      <w:r>
        <w:rPr>
          <w:rFonts w:ascii="Times New Roman" w:hAnsi="Times New Roman"/>
          <w:sz w:val="24"/>
        </w:rPr>
        <w:t>iei raportoare pentru entitatea în care s-a investit la elementele „fond comercial” sau „investi</w:t>
      </w:r>
      <w:r w:rsidR="000C213F">
        <w:rPr>
          <w:rFonts w:ascii="Times New Roman" w:hAnsi="Times New Roman"/>
          <w:sz w:val="24"/>
        </w:rPr>
        <w:t>ț</w:t>
      </w:r>
      <w:r>
        <w:rPr>
          <w:rFonts w:ascii="Times New Roman" w:hAnsi="Times New Roman"/>
          <w:sz w:val="24"/>
        </w:rPr>
        <w:t>ii în filiale, asocieri în participa</w:t>
      </w:r>
      <w:r w:rsidR="000C213F">
        <w:rPr>
          <w:rFonts w:ascii="Times New Roman" w:hAnsi="Times New Roman"/>
          <w:sz w:val="24"/>
        </w:rPr>
        <w:t>ț</w:t>
      </w:r>
      <w:r>
        <w:rPr>
          <w:rFonts w:ascii="Times New Roman" w:hAnsi="Times New Roman"/>
          <w:sz w:val="24"/>
        </w:rPr>
        <w:t xml:space="preserve">ie </w:t>
      </w:r>
      <w:r w:rsidR="000C213F">
        <w:rPr>
          <w:rFonts w:ascii="Times New Roman" w:hAnsi="Times New Roman"/>
          <w:sz w:val="24"/>
        </w:rPr>
        <w:t>ș</w:t>
      </w:r>
      <w:r>
        <w:rPr>
          <w:rFonts w:ascii="Times New Roman" w:hAnsi="Times New Roman"/>
          <w:sz w:val="24"/>
        </w:rPr>
        <w:t>i entită</w:t>
      </w:r>
      <w:r w:rsidR="000C213F">
        <w:rPr>
          <w:rFonts w:ascii="Times New Roman" w:hAnsi="Times New Roman"/>
          <w:sz w:val="24"/>
        </w:rPr>
        <w:t>ț</w:t>
      </w:r>
      <w:r>
        <w:rPr>
          <w:rFonts w:ascii="Times New Roman" w:hAnsi="Times New Roman"/>
          <w:sz w:val="24"/>
        </w:rPr>
        <w:t>i asociate”;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„valoarea justă a plasamentelor pentru care există cota</w:t>
      </w:r>
      <w:r w:rsidR="000C213F">
        <w:rPr>
          <w:rFonts w:ascii="Times New Roman" w:hAnsi="Times New Roman"/>
          <w:sz w:val="24"/>
        </w:rPr>
        <w:t>ț</w:t>
      </w:r>
      <w:r>
        <w:rPr>
          <w:rFonts w:ascii="Times New Roman" w:hAnsi="Times New Roman"/>
          <w:sz w:val="24"/>
        </w:rPr>
        <w:t>ii de pre</w:t>
      </w:r>
      <w:r w:rsidR="000C213F">
        <w:rPr>
          <w:rFonts w:ascii="Times New Roman" w:hAnsi="Times New Roman"/>
          <w:sz w:val="24"/>
        </w:rPr>
        <w:t>ț</w:t>
      </w:r>
      <w:r>
        <w:rPr>
          <w:rFonts w:ascii="Times New Roman" w:hAnsi="Times New Roman"/>
          <w:sz w:val="24"/>
        </w:rPr>
        <w:t xml:space="preserve"> publicate” înseamnă pre</w:t>
      </w:r>
      <w:r w:rsidR="000C213F">
        <w:rPr>
          <w:rFonts w:ascii="Times New Roman" w:hAnsi="Times New Roman"/>
          <w:sz w:val="24"/>
        </w:rPr>
        <w:t>ț</w:t>
      </w:r>
      <w:r>
        <w:rPr>
          <w:rFonts w:ascii="Times New Roman" w:hAnsi="Times New Roman"/>
          <w:sz w:val="24"/>
        </w:rPr>
        <w:t>ul la data de referin</w:t>
      </w:r>
      <w:r w:rsidR="000C213F">
        <w:rPr>
          <w:rFonts w:ascii="Times New Roman" w:hAnsi="Times New Roman"/>
          <w:sz w:val="24"/>
        </w:rPr>
        <w:t>ț</w:t>
      </w:r>
      <w:r>
        <w:rPr>
          <w:rFonts w:ascii="Times New Roman" w:hAnsi="Times New Roman"/>
          <w:sz w:val="24"/>
        </w:rPr>
        <w:t>ă; aceasta se furnizează numai dacă instrumentele sunt cotate.</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897593"/>
      <w:r>
        <w:t>Structura grupului: „instrument cu instrument” (</w:t>
      </w:r>
      <w:r w:rsidRPr="004237EC">
        <w:t>40</w:t>
      </w:r>
      <w:r>
        <w:t>.</w:t>
      </w:r>
      <w:r w:rsidRPr="004237EC">
        <w:t>2</w:t>
      </w:r>
      <w:r>
        <w:t>)</w:t>
      </w:r>
      <w:bookmarkEnd w:id="322"/>
      <w:bookmarkEnd w:id="323"/>
      <w:bookmarkEnd w:id="324"/>
      <w:bookmarkEnd w:id="325"/>
    </w:p>
    <w:p w:rsidR="009569C7" w:rsidRPr="00EC4FA2" w:rsidRDefault="00A834F1" w:rsidP="009569C7">
      <w:pPr>
        <w:pStyle w:val="Baseparagraphnumbered"/>
      </w:pPr>
      <w:r>
        <w:t>Următoarele informa</w:t>
      </w:r>
      <w:r w:rsidR="000C213F">
        <w:t>ț</w:t>
      </w:r>
      <w:r>
        <w:t>ii se raportează în baza unei abordări „instrument cu instrument”: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„codul titlului” include codul ISIN al titlului. Pentru titlurile care nu au atribuit un cod ISIN, acesta include un alt cod care identifică în mod unic titlul; „codul titlului” </w:t>
      </w:r>
      <w:r w:rsidR="000C213F">
        <w:rPr>
          <w:rFonts w:ascii="Times New Roman" w:hAnsi="Times New Roman"/>
          <w:sz w:val="24"/>
        </w:rPr>
        <w:t>ș</w:t>
      </w:r>
      <w:r>
        <w:rPr>
          <w:rFonts w:ascii="Times New Roman" w:hAnsi="Times New Roman"/>
          <w:sz w:val="24"/>
        </w:rPr>
        <w:t>i „codul societă</w:t>
      </w:r>
      <w:r w:rsidR="000C213F">
        <w:rPr>
          <w:rFonts w:ascii="Times New Roman" w:hAnsi="Times New Roman"/>
          <w:sz w:val="24"/>
        </w:rPr>
        <w:t>ț</w:t>
      </w:r>
      <w:r>
        <w:rPr>
          <w:rFonts w:ascii="Times New Roman" w:hAnsi="Times New Roman"/>
          <w:sz w:val="24"/>
        </w:rPr>
        <w:t xml:space="preserve">ii holding” sunt un număr compozit de identificare a rândului </w:t>
      </w:r>
      <w:r w:rsidR="000C213F">
        <w:rPr>
          <w:rFonts w:ascii="Times New Roman" w:hAnsi="Times New Roman"/>
          <w:sz w:val="24"/>
        </w:rPr>
        <w:t>ș</w:t>
      </w:r>
      <w:r>
        <w:rPr>
          <w:rFonts w:ascii="Times New Roman" w:hAnsi="Times New Roman"/>
          <w:sz w:val="24"/>
        </w:rPr>
        <w:t xml:space="preserve">i împreună sunt unice pentru fiecare rând din formularul </w:t>
      </w:r>
      <w:r w:rsidRPr="004237EC">
        <w:rPr>
          <w:rFonts w:ascii="Times New Roman" w:hAnsi="Times New Roman"/>
          <w:sz w:val="24"/>
        </w:rPr>
        <w:t>40</w:t>
      </w:r>
      <w:r>
        <w:rPr>
          <w:rFonts w:ascii="Times New Roman" w:hAnsi="Times New Roman"/>
          <w:sz w:val="24"/>
        </w:rPr>
        <w:t>.</w:t>
      </w:r>
      <w:r w:rsidRPr="004237EC">
        <w:rPr>
          <w:rFonts w:ascii="Times New Roman" w:hAnsi="Times New Roman"/>
          <w:sz w:val="24"/>
        </w:rPr>
        <w:t>2</w:t>
      </w:r>
      <w:r>
        <w:rPr>
          <w:rFonts w:ascii="Times New Roman" w:hAnsi="Times New Roman"/>
          <w:sz w:val="24"/>
        </w:rPr>
        <w: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„codul societă</w:t>
      </w:r>
      <w:r w:rsidR="000C213F">
        <w:rPr>
          <w:rFonts w:ascii="Times New Roman" w:hAnsi="Times New Roman"/>
          <w:sz w:val="24"/>
        </w:rPr>
        <w:t>ț</w:t>
      </w:r>
      <w:r>
        <w:rPr>
          <w:rFonts w:ascii="Times New Roman" w:hAnsi="Times New Roman"/>
          <w:sz w:val="24"/>
        </w:rPr>
        <w:t>ii holding” este codul de identificare a entită</w:t>
      </w:r>
      <w:r w:rsidR="000C213F">
        <w:rPr>
          <w:rFonts w:ascii="Times New Roman" w:hAnsi="Times New Roman"/>
          <w:sz w:val="24"/>
        </w:rPr>
        <w:t>ț</w:t>
      </w:r>
      <w:r>
        <w:rPr>
          <w:rFonts w:ascii="Times New Roman" w:hAnsi="Times New Roman"/>
          <w:sz w:val="24"/>
        </w:rPr>
        <w:t>ii din cadrul grupului care de</w:t>
      </w:r>
      <w:r w:rsidR="000C213F">
        <w:rPr>
          <w:rFonts w:ascii="Times New Roman" w:hAnsi="Times New Roman"/>
          <w:sz w:val="24"/>
        </w:rPr>
        <w:t>ț</w:t>
      </w:r>
      <w:r>
        <w:rPr>
          <w:rFonts w:ascii="Times New Roman" w:hAnsi="Times New Roman"/>
          <w:sz w:val="24"/>
        </w:rPr>
        <w:t>ine investi</w:t>
      </w:r>
      <w:r w:rsidR="000C213F">
        <w:rPr>
          <w:rFonts w:ascii="Times New Roman" w:hAnsi="Times New Roman"/>
          <w:sz w:val="24"/>
        </w:rPr>
        <w:t>ț</w:t>
      </w:r>
      <w:r>
        <w:rPr>
          <w:rFonts w:ascii="Times New Roman" w:hAnsi="Times New Roman"/>
          <w:sz w:val="24"/>
        </w:rPr>
        <w:t>ia. „codul LEI al societă</w:t>
      </w:r>
      <w:r w:rsidR="000C213F">
        <w:rPr>
          <w:rFonts w:ascii="Times New Roman" w:hAnsi="Times New Roman"/>
          <w:sz w:val="24"/>
        </w:rPr>
        <w:t>ț</w:t>
      </w:r>
      <w:r>
        <w:rPr>
          <w:rFonts w:ascii="Times New Roman" w:hAnsi="Times New Roman"/>
          <w:sz w:val="24"/>
        </w:rPr>
        <w:t>ii holding” include codul LEI al societă</w:t>
      </w:r>
      <w:r w:rsidR="000C213F">
        <w:rPr>
          <w:rFonts w:ascii="Times New Roman" w:hAnsi="Times New Roman"/>
          <w:sz w:val="24"/>
        </w:rPr>
        <w:t>ț</w:t>
      </w:r>
      <w:r>
        <w:rPr>
          <w:rFonts w:ascii="Times New Roman" w:hAnsi="Times New Roman"/>
          <w:sz w:val="24"/>
        </w:rPr>
        <w:t>ii care de</w:t>
      </w:r>
      <w:r w:rsidR="000C213F">
        <w:rPr>
          <w:rFonts w:ascii="Times New Roman" w:hAnsi="Times New Roman"/>
          <w:sz w:val="24"/>
        </w:rPr>
        <w:t>ț</w:t>
      </w:r>
      <w:r>
        <w:rPr>
          <w:rFonts w:ascii="Times New Roman" w:hAnsi="Times New Roman"/>
          <w:sz w:val="24"/>
        </w:rPr>
        <w:t>ine titlul. În cazul în care există un cod LEI pentru societatea holding, acesta se raportează;</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„codul entită</w:t>
      </w:r>
      <w:r w:rsidR="000C213F">
        <w:rPr>
          <w:rFonts w:ascii="Times New Roman" w:hAnsi="Times New Roman"/>
          <w:sz w:val="24"/>
        </w:rPr>
        <w:t>ț</w:t>
      </w:r>
      <w:r>
        <w:rPr>
          <w:rFonts w:ascii="Times New Roman" w:hAnsi="Times New Roman"/>
          <w:sz w:val="24"/>
        </w:rPr>
        <w:t>ii”, „participa</w:t>
      </w:r>
      <w:r w:rsidR="000C213F">
        <w:rPr>
          <w:rFonts w:ascii="Times New Roman" w:hAnsi="Times New Roman"/>
          <w:sz w:val="24"/>
        </w:rPr>
        <w:t>ț</w:t>
      </w:r>
      <w:r>
        <w:rPr>
          <w:rFonts w:ascii="Times New Roman" w:hAnsi="Times New Roman"/>
          <w:sz w:val="24"/>
        </w:rPr>
        <w:t xml:space="preserve">ii cumulate în capitalurile proprii (%)”, „valoarea contabilă” </w:t>
      </w:r>
      <w:r w:rsidR="000C213F">
        <w:rPr>
          <w:rFonts w:ascii="Times New Roman" w:hAnsi="Times New Roman"/>
          <w:sz w:val="24"/>
        </w:rPr>
        <w:t>ș</w:t>
      </w:r>
      <w:r>
        <w:rPr>
          <w:rFonts w:ascii="Times New Roman" w:hAnsi="Times New Roman"/>
          <w:sz w:val="24"/>
        </w:rPr>
        <w:t>i „costuri de achizi</w:t>
      </w:r>
      <w:r w:rsidR="000C213F">
        <w:rPr>
          <w:rFonts w:ascii="Times New Roman" w:hAnsi="Times New Roman"/>
          <w:sz w:val="24"/>
        </w:rPr>
        <w:t>ț</w:t>
      </w:r>
      <w:r>
        <w:rPr>
          <w:rFonts w:ascii="Times New Roman" w:hAnsi="Times New Roman"/>
          <w:sz w:val="24"/>
        </w:rPr>
        <w:t>ie” sunt definite mai sus. Cuantumurile corespund titlului de</w:t>
      </w:r>
      <w:r w:rsidR="000C213F">
        <w:rPr>
          <w:rFonts w:ascii="Times New Roman" w:hAnsi="Times New Roman"/>
          <w:sz w:val="24"/>
        </w:rPr>
        <w:t>ț</w:t>
      </w:r>
      <w:r>
        <w:rPr>
          <w:rFonts w:ascii="Times New Roman" w:hAnsi="Times New Roman"/>
          <w:sz w:val="24"/>
        </w:rPr>
        <w:t>inut de societatea holding asociată.</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897594"/>
      <w:r>
        <w:t>Valoarea justă (</w:t>
      </w:r>
      <w:r w:rsidRPr="004237EC">
        <w:t>41</w:t>
      </w:r>
      <w:r>
        <w:t>)</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897595"/>
      <w:r>
        <w:t>Ierarhia valorii juste: instrumente financiare la costul amortizat (</w:t>
      </w:r>
      <w:r w:rsidRPr="004237EC">
        <w:t>41</w:t>
      </w:r>
      <w:r>
        <w:t>.</w:t>
      </w:r>
      <w:r w:rsidRPr="004237EC">
        <w:t>1</w:t>
      </w:r>
      <w:r>
        <w:t>)</w:t>
      </w:r>
      <w:bookmarkEnd w:id="330"/>
      <w:bookmarkEnd w:id="331"/>
      <w:bookmarkEnd w:id="332"/>
      <w:bookmarkEnd w:id="333"/>
      <w:r>
        <w:t xml:space="preserve"> </w:t>
      </w:r>
    </w:p>
    <w:p w:rsidR="009569C7" w:rsidRPr="00EC4FA2" w:rsidRDefault="00A834F1" w:rsidP="009569C7">
      <w:pPr>
        <w:pStyle w:val="Baseparagraphnumbered"/>
      </w:pPr>
      <w:r>
        <w:t>Informa</w:t>
      </w:r>
      <w:r w:rsidR="000C213F">
        <w:t>ț</w:t>
      </w:r>
      <w:r>
        <w:t xml:space="preserve">iile privind valoarea justă a instrumentelor financiare evaluate la costul amortizat, utilizând ierarhia prevăzută în IFRS </w:t>
      </w:r>
      <w:r w:rsidRPr="004237EC">
        <w:t>13</w:t>
      </w:r>
      <w:r>
        <w:t xml:space="preserve"> punctele </w:t>
      </w:r>
      <w:r w:rsidRPr="004237EC">
        <w:t>72</w:t>
      </w:r>
      <w:r>
        <w:t xml:space="preserve">, </w:t>
      </w:r>
      <w:r w:rsidRPr="004237EC">
        <w:t>76</w:t>
      </w:r>
      <w:r>
        <w:t xml:space="preserve">, </w:t>
      </w:r>
      <w:r w:rsidRPr="004237EC">
        <w:t>81</w:t>
      </w:r>
      <w:r>
        <w:t xml:space="preserve"> </w:t>
      </w:r>
      <w:r w:rsidR="000C213F">
        <w:t>ș</w:t>
      </w:r>
      <w:r>
        <w:t xml:space="preserve">i </w:t>
      </w:r>
      <w:r w:rsidRPr="004237EC">
        <w:t>86</w:t>
      </w:r>
      <w:r>
        <w:t>, se raportează în acest formular. În cazul în care GAAP na</w:t>
      </w:r>
      <w:r w:rsidR="000C213F">
        <w:t>ț</w:t>
      </w:r>
      <w:r>
        <w:t>ionale bazate pe BAD impun, de asemenea, alocarea activelor evaluate la valoarea justă între diferite niveluri ale valorii juste, institu</w:t>
      </w:r>
      <w:r w:rsidR="000C213F">
        <w:t>ț</w:t>
      </w:r>
      <w:r>
        <w:t>iile care aplică GAAP na</w:t>
      </w:r>
      <w:r w:rsidR="000C213F">
        <w:t>ț</w:t>
      </w:r>
      <w:r>
        <w:t>ionale raportează, de asemenea, acest formular.</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897596"/>
      <w:r>
        <w:t>Utilizarea op</w:t>
      </w:r>
      <w:r w:rsidR="000C213F">
        <w:t>ț</w:t>
      </w:r>
      <w:r>
        <w:t>iunii de evaluare la valoarea justă (</w:t>
      </w:r>
      <w:r w:rsidRPr="004237EC">
        <w:t>41</w:t>
      </w:r>
      <w:r>
        <w:t>.</w:t>
      </w:r>
      <w:r w:rsidRPr="004237EC">
        <w:t>2</w:t>
      </w:r>
      <w:r>
        <w:t>)</w:t>
      </w:r>
      <w:bookmarkEnd w:id="334"/>
      <w:bookmarkEnd w:id="335"/>
      <w:bookmarkEnd w:id="336"/>
      <w:bookmarkEnd w:id="337"/>
    </w:p>
    <w:p w:rsidR="009569C7" w:rsidRPr="00EC4FA2" w:rsidRDefault="00A834F1" w:rsidP="009569C7">
      <w:pPr>
        <w:pStyle w:val="Baseparagraphnumbered"/>
      </w:pPr>
      <w:r>
        <w:t>În acest formular se raportează informa</w:t>
      </w:r>
      <w:r w:rsidR="000C213F">
        <w:t>ț</w:t>
      </w:r>
      <w:r>
        <w:t>iile privind utilizarea op</w:t>
      </w:r>
      <w:r w:rsidR="000C213F">
        <w:t>ț</w:t>
      </w:r>
      <w:r>
        <w:t xml:space="preserve">iunii de evaluare la valoarea justă pentru activele </w:t>
      </w:r>
      <w:r w:rsidR="000C213F">
        <w:t>ș</w:t>
      </w:r>
      <w:r>
        <w:t xml:space="preserve">i datoriile financiare desemnate la valoarea justă prin profit sau pierdere. </w:t>
      </w:r>
    </w:p>
    <w:p w:rsidR="009569C7" w:rsidRPr="00EC4FA2" w:rsidRDefault="00A834F1" w:rsidP="009569C7">
      <w:pPr>
        <w:pStyle w:val="Baseparagraphnumbered"/>
      </w:pPr>
      <w:r>
        <w:lastRenderedPageBreak/>
        <w:t>„Contractele hibride” includ pentru datorii valoarea contabilă a instrumentelor financiare hibride clasificate, în ansamblul lor, în aceste portofolii contabile; cu alte cuvinte, sunt incluse integral instrumentele hibride neseparate.</w:t>
      </w:r>
    </w:p>
    <w:p w:rsidR="009569C7" w:rsidRPr="00EC4FA2" w:rsidRDefault="00A834F1" w:rsidP="009569C7">
      <w:pPr>
        <w:pStyle w:val="Baseparagraphnumbered"/>
      </w:pPr>
      <w:r>
        <w:t xml:space="preserve">„Riscul de credit gestionat” include valoarea contabilă a instrumentelor care sunt desemnate la valoarea justă prin profit sau pierdere cu ocazia acoperirii lor împotriva riscului de credit prin instrumentele derivate de credit evaluate la valoarea justă prin profit sau pierdere, în conformitate cu IFRS </w:t>
      </w:r>
      <w:r w:rsidRPr="004237EC">
        <w:t>9</w:t>
      </w:r>
      <w:r>
        <w:t xml:space="preserve"> punctul </w:t>
      </w:r>
      <w:r w:rsidRPr="004237EC">
        <w:t>6</w:t>
      </w:r>
      <w:r>
        <w:t>.</w:t>
      </w:r>
      <w:r w:rsidRPr="004237EC">
        <w:t>7</w:t>
      </w:r>
      <w:r>
        <w:t xml:space="preserve">.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897597"/>
      <w:r>
        <w:t xml:space="preserve">Active corporale </w:t>
      </w:r>
      <w:r w:rsidR="000C213F">
        <w:t>ș</w:t>
      </w:r>
      <w:r>
        <w:t>i necorporale: valoarea contabilă în func</w:t>
      </w:r>
      <w:r w:rsidR="000C213F">
        <w:t>ț</w:t>
      </w:r>
      <w:r>
        <w:t>ie de metoda de evaluare (</w:t>
      </w:r>
      <w:r w:rsidRPr="004237EC">
        <w:t>42</w:t>
      </w:r>
      <w:r>
        <w:t>)</w:t>
      </w:r>
      <w:bookmarkEnd w:id="338"/>
      <w:bookmarkEnd w:id="339"/>
      <w:bookmarkEnd w:id="340"/>
      <w:bookmarkEnd w:id="341"/>
    </w:p>
    <w:p w:rsidR="009569C7" w:rsidRPr="00EC4FA2" w:rsidRDefault="00A834F1" w:rsidP="009569C7">
      <w:pPr>
        <w:pStyle w:val="Baseparagraphnumbered"/>
      </w:pPr>
      <w:r>
        <w:t xml:space="preserve"> „Imobilizări corporale”, „investi</w:t>
      </w:r>
      <w:r w:rsidR="000C213F">
        <w:t>ț</w:t>
      </w:r>
      <w:r>
        <w:t xml:space="preserve">ii imobiliare” </w:t>
      </w:r>
      <w:r w:rsidR="000C213F">
        <w:t>ș</w:t>
      </w:r>
      <w:r>
        <w:t>i „alte active necorporale” se raportează în func</w:t>
      </w:r>
      <w:r w:rsidR="000C213F">
        <w:t>ț</w:t>
      </w:r>
      <w:r>
        <w:t>ie de criteriile utilizate pentru evaluarea acestora.</w:t>
      </w:r>
    </w:p>
    <w:p w:rsidR="009569C7" w:rsidRPr="00EC4FA2" w:rsidRDefault="00A834F1" w:rsidP="009569C7">
      <w:pPr>
        <w:pStyle w:val="Baseparagraphnumbered"/>
      </w:pPr>
      <w:r>
        <w:t>„Alte active necorporale” includ toate activele necorporale, cu excep</w:t>
      </w:r>
      <w:r w:rsidR="000C213F">
        <w:t>ț</w:t>
      </w:r>
      <w:r>
        <w:t>ia fondului comercial.</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897598"/>
      <w:r>
        <w:t>Provizioane (</w:t>
      </w:r>
      <w:r w:rsidRPr="004237EC">
        <w:t>43</w:t>
      </w:r>
      <w:r>
        <w:t>)</w:t>
      </w:r>
      <w:bookmarkEnd w:id="342"/>
      <w:bookmarkEnd w:id="343"/>
      <w:bookmarkEnd w:id="344"/>
      <w:bookmarkEnd w:id="345"/>
    </w:p>
    <w:p w:rsidR="009569C7" w:rsidRPr="00EC4FA2" w:rsidRDefault="00A834F1" w:rsidP="009569C7">
      <w:pPr>
        <w:pStyle w:val="Baseparagraphnumbered"/>
      </w:pPr>
      <w:r>
        <w:t xml:space="preserve">Acest formular include reconcilierea dintre valoarea contabilă a elementului „provizioane” la începutul </w:t>
      </w:r>
      <w:r w:rsidR="000C213F">
        <w:t>ș</w:t>
      </w:r>
      <w:r>
        <w:t>i la sfâr</w:t>
      </w:r>
      <w:r w:rsidR="000C213F">
        <w:t>ș</w:t>
      </w:r>
      <w:r>
        <w:t>itul perioadei, în func</w:t>
      </w:r>
      <w:r w:rsidR="000C213F">
        <w:t>ț</w:t>
      </w:r>
      <w:r>
        <w:t>ie de natura varia</w:t>
      </w:r>
      <w:r w:rsidR="000C213F">
        <w:t>ț</w:t>
      </w:r>
      <w:r>
        <w:t>iei, cu excep</w:t>
      </w:r>
      <w:r w:rsidR="000C213F">
        <w:t>ț</w:t>
      </w:r>
      <w:r>
        <w:t xml:space="preserve">ia provizioanelor evaluate conform IFRS </w:t>
      </w:r>
      <w:r w:rsidRPr="004237EC">
        <w:t>9</w:t>
      </w:r>
      <w:r>
        <w:t xml:space="preserve"> care se raportează, în schimb, în formularul </w:t>
      </w:r>
      <w:r w:rsidRPr="004237EC">
        <w:t>12</w:t>
      </w:r>
      <w:r>
        <w:t>.</w:t>
      </w:r>
    </w:p>
    <w:p w:rsidR="009569C7" w:rsidRPr="00EC4FA2" w:rsidRDefault="00A834F1" w:rsidP="009569C7">
      <w:pPr>
        <w:pStyle w:val="Baseparagraphnumbered"/>
      </w:pPr>
      <w:r>
        <w:t xml:space="preserve">„Alte angajamente </w:t>
      </w:r>
      <w:r w:rsidR="000C213F">
        <w:t>ș</w:t>
      </w:r>
      <w:r>
        <w:t>i garan</w:t>
      </w:r>
      <w:r w:rsidR="000C213F">
        <w:t>ț</w:t>
      </w:r>
      <w:r>
        <w:t xml:space="preserve">ii date evaluate conform IAS </w:t>
      </w:r>
      <w:r w:rsidRPr="004237EC">
        <w:t>37</w:t>
      </w:r>
      <w:r>
        <w:t xml:space="preserve"> </w:t>
      </w:r>
      <w:r w:rsidR="000C213F">
        <w:t>ș</w:t>
      </w:r>
      <w:r>
        <w:t>i garan</w:t>
      </w:r>
      <w:r w:rsidR="000C213F">
        <w:t>ț</w:t>
      </w:r>
      <w:r>
        <w:t xml:space="preserve">ii date evaluate conform IFRS </w:t>
      </w:r>
      <w:r w:rsidRPr="004237EC">
        <w:t>4</w:t>
      </w:r>
      <w:r>
        <w:t xml:space="preserve">” includ provizioanele evaluate conform IAS </w:t>
      </w:r>
      <w:r w:rsidRPr="004237EC">
        <w:t>37</w:t>
      </w:r>
      <w:r>
        <w:t xml:space="preserve"> </w:t>
      </w:r>
      <w:r w:rsidR="000C213F">
        <w:t>ș</w:t>
      </w:r>
      <w:r>
        <w:t>i pierderile din credit aferente garan</w:t>
      </w:r>
      <w:r w:rsidR="000C213F">
        <w:t>ț</w:t>
      </w:r>
      <w:r>
        <w:t xml:space="preserve">iilor financiare tratate drept contracte de asigurare conform IFRS </w:t>
      </w:r>
      <w:r w:rsidRPr="004237EC">
        <w:t>4</w:t>
      </w:r>
      <w:r>
        <w:t xml:space="preserve">.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897599"/>
      <w:r>
        <w:t xml:space="preserve">Planuri de beneficii determinate </w:t>
      </w:r>
      <w:r w:rsidR="000C213F">
        <w:t>ș</w:t>
      </w:r>
      <w:r>
        <w:t>i beneficiile angaja</w:t>
      </w:r>
      <w:r w:rsidR="000C213F">
        <w:t>ț</w:t>
      </w:r>
      <w:r>
        <w:t>ilor (</w:t>
      </w:r>
      <w:r w:rsidRPr="004237EC">
        <w:t>44</w:t>
      </w:r>
      <w:r>
        <w:t>)</w:t>
      </w:r>
      <w:bookmarkEnd w:id="346"/>
      <w:bookmarkEnd w:id="347"/>
      <w:bookmarkEnd w:id="348"/>
      <w:bookmarkEnd w:id="349"/>
    </w:p>
    <w:p w:rsidR="009569C7" w:rsidRPr="00EC4FA2" w:rsidRDefault="00A834F1" w:rsidP="009569C7">
      <w:pPr>
        <w:pStyle w:val="Baseparagraphnumbered"/>
      </w:pPr>
      <w:r>
        <w:t>Aceste formulare includ informa</w:t>
      </w:r>
      <w:r w:rsidR="000C213F">
        <w:t>ț</w:t>
      </w:r>
      <w:r>
        <w:t>iile cumulate ale tuturor planurilor de beneficii determinate ale institu</w:t>
      </w:r>
      <w:r w:rsidR="000C213F">
        <w:t>ț</w:t>
      </w:r>
      <w:r>
        <w:t>iei. În cazul în care există mai multe planuri de beneficii determinate, se raportează valoarea agregată a tuturor planurilor.</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897600"/>
      <w:r>
        <w:t xml:space="preserve">Componentele activelor </w:t>
      </w:r>
      <w:r w:rsidR="000C213F">
        <w:t>ș</w:t>
      </w:r>
      <w:r>
        <w:t>i datoriilor nete ale planului de beneficii determinate (</w:t>
      </w:r>
      <w:r w:rsidRPr="004237EC">
        <w:t>44</w:t>
      </w:r>
      <w:r>
        <w:t>.</w:t>
      </w:r>
      <w:r w:rsidRPr="004237EC">
        <w:t>1</w:t>
      </w:r>
      <w:r>
        <w:t>)</w:t>
      </w:r>
      <w:bookmarkEnd w:id="350"/>
      <w:bookmarkEnd w:id="351"/>
      <w:bookmarkEnd w:id="352"/>
      <w:bookmarkEnd w:id="353"/>
    </w:p>
    <w:p w:rsidR="009569C7" w:rsidRPr="00EC4FA2" w:rsidRDefault="00A834F1" w:rsidP="009569C7">
      <w:pPr>
        <w:pStyle w:val="Baseparagraphnumbered"/>
      </w:pPr>
      <w:r>
        <w:t xml:space="preserve">Formularul referitor la componentele activelor </w:t>
      </w:r>
      <w:r w:rsidR="000C213F">
        <w:t>ș</w:t>
      </w:r>
      <w:r>
        <w:t xml:space="preserve">i datoriilor nete ale planului de beneficii determinate indică reconcilierea valorii actualizate cumulate a tuturor datoriilor (activelor) nete aferente beneficiilor determinate, precum </w:t>
      </w:r>
      <w:r w:rsidR="000C213F">
        <w:t>ș</w:t>
      </w:r>
      <w:r>
        <w:t xml:space="preserve">i drepturile de rambursare [IAS </w:t>
      </w:r>
      <w:r w:rsidRPr="004237EC">
        <w:t>19</w:t>
      </w:r>
      <w:r>
        <w:t xml:space="preserve"> punctul </w:t>
      </w:r>
      <w:r w:rsidRPr="004237EC">
        <w:t>140</w:t>
      </w:r>
      <w:r>
        <w:t xml:space="preserve"> literele (a) </w:t>
      </w:r>
      <w:r w:rsidR="000C213F">
        <w:t>ș</w:t>
      </w:r>
      <w:r>
        <w:t>i (b)].</w:t>
      </w:r>
    </w:p>
    <w:p w:rsidR="009569C7" w:rsidRPr="00EC4FA2" w:rsidRDefault="00A834F1" w:rsidP="009569C7">
      <w:pPr>
        <w:pStyle w:val="Baseparagraphnumbered"/>
      </w:pPr>
      <w:r>
        <w:t>„Activele nete aferente beneficiilor determinate” includ, în cazul unui surplus, cuantumurile excedentare care sunt recunoscute în bilan</w:t>
      </w:r>
      <w:r w:rsidR="000C213F">
        <w:t>ț</w:t>
      </w:r>
      <w:r>
        <w:t xml:space="preserve"> în măsura în care acestea nu sunt afectate de limitele prevăzute în IAS </w:t>
      </w:r>
      <w:r w:rsidRPr="004237EC">
        <w:t>19</w:t>
      </w:r>
      <w:r>
        <w:t xml:space="preserve"> punctul </w:t>
      </w:r>
      <w:r w:rsidRPr="004237EC">
        <w:t>63</w:t>
      </w:r>
      <w:r>
        <w:t xml:space="preserve">. Cuantumul acestui element </w:t>
      </w:r>
      <w:r w:rsidR="000C213F">
        <w:t>ș</w:t>
      </w:r>
      <w:r>
        <w:t xml:space="preserve">i cuantumul recunoscut la elementul </w:t>
      </w:r>
      <w:r>
        <w:lastRenderedPageBreak/>
        <w:t>memorandum „valoarea justă a oricărui drept de rambursare recunoscut drept activ” sunt incluse la elementul „alte active” din bilan</w:t>
      </w:r>
      <w:r w:rsidR="000C213F">
        <w:t>ț</w:t>
      </w:r>
      <w:r>
        <w:t xml:space="preserve">.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897601"/>
      <w:r>
        <w:t>Varia</w:t>
      </w:r>
      <w:r w:rsidR="000C213F">
        <w:t>ț</w:t>
      </w:r>
      <w:r>
        <w:t>ii ale obliga</w:t>
      </w:r>
      <w:r w:rsidR="000C213F">
        <w:t>ț</w:t>
      </w:r>
      <w:r>
        <w:t>iilor aferente beneficiilor determinate (</w:t>
      </w:r>
      <w:r w:rsidRPr="004237EC">
        <w:t>44</w:t>
      </w:r>
      <w:r>
        <w:t>.</w:t>
      </w:r>
      <w:r w:rsidRPr="004237EC">
        <w:t>2</w:t>
      </w:r>
      <w:r>
        <w:t>)</w:t>
      </w:r>
      <w:bookmarkEnd w:id="354"/>
      <w:bookmarkEnd w:id="355"/>
      <w:bookmarkEnd w:id="356"/>
      <w:bookmarkEnd w:id="357"/>
    </w:p>
    <w:p w:rsidR="009569C7" w:rsidRPr="00EC4FA2" w:rsidRDefault="00A834F1" w:rsidP="009569C7">
      <w:pPr>
        <w:pStyle w:val="Baseparagraphnumbered"/>
      </w:pPr>
      <w:r>
        <w:t>Formularul referitor la varia</w:t>
      </w:r>
      <w:r w:rsidR="000C213F">
        <w:t>ț</w:t>
      </w:r>
      <w:r>
        <w:t>iile obliga</w:t>
      </w:r>
      <w:r w:rsidR="000C213F">
        <w:t>ț</w:t>
      </w:r>
      <w:r>
        <w:t xml:space="preserve">iilor aferente beneficiilor determinate indică reconcilierea dintre soldul de deschidere </w:t>
      </w:r>
      <w:r w:rsidR="000C213F">
        <w:t>ș</w:t>
      </w:r>
      <w:r>
        <w:t>i cel de închidere al valorii actualizate cumulate a tuturor obliga</w:t>
      </w:r>
      <w:r w:rsidR="000C213F">
        <w:t>ț</w:t>
      </w:r>
      <w:r>
        <w:t>iilor aferente beneficiilor determinate ale institu</w:t>
      </w:r>
      <w:r w:rsidR="000C213F">
        <w:t>ț</w:t>
      </w:r>
      <w:r>
        <w:t xml:space="preserve">iei. Efectele diferitelor elemente enumerate în IAS </w:t>
      </w:r>
      <w:r w:rsidRPr="004237EC">
        <w:t>19</w:t>
      </w:r>
      <w:r>
        <w:t xml:space="preserve"> punctul </w:t>
      </w:r>
      <w:r w:rsidRPr="004237EC">
        <w:t>141</w:t>
      </w:r>
      <w:r>
        <w:t xml:space="preserve"> aferente perioadei sunt prezentate separat.</w:t>
      </w:r>
    </w:p>
    <w:p w:rsidR="009569C7" w:rsidRPr="00EC4FA2" w:rsidRDefault="00A834F1" w:rsidP="009569C7">
      <w:pPr>
        <w:pStyle w:val="Baseparagraphnumbered"/>
      </w:pPr>
      <w:r>
        <w:t>Cuantumul „soldului de închidere [valoare actualizată]” din formularul pentru varia</w:t>
      </w:r>
      <w:r w:rsidR="000C213F">
        <w:t>ț</w:t>
      </w:r>
      <w:r>
        <w:t>iile obliga</w:t>
      </w:r>
      <w:r w:rsidR="000C213F">
        <w:t>ț</w:t>
      </w:r>
      <w:r>
        <w:t>iilor aferente beneficiilor determinate este egal cu „valoarea actualizată a obliga</w:t>
      </w:r>
      <w:r w:rsidR="000C213F">
        <w:t>ț</w:t>
      </w:r>
      <w:r>
        <w:t>iilor aferente beneficiilor determinate”.</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897602"/>
      <w:r>
        <w:t>Elemente memorandum [aferente cheltuielilor cu personalul] (</w:t>
      </w:r>
      <w:r w:rsidRPr="004237EC">
        <w:t>44</w:t>
      </w:r>
      <w:r>
        <w:t>.</w:t>
      </w:r>
      <w:r w:rsidRPr="004237EC">
        <w:t>3</w:t>
      </w:r>
      <w:r>
        <w:t>)</w:t>
      </w:r>
      <w:bookmarkEnd w:id="358"/>
      <w:bookmarkEnd w:id="359"/>
      <w:bookmarkEnd w:id="360"/>
      <w:bookmarkEnd w:id="361"/>
    </w:p>
    <w:p w:rsidR="009569C7" w:rsidRPr="00EC4FA2" w:rsidRDefault="00A834F1" w:rsidP="009569C7">
      <w:pPr>
        <w:pStyle w:val="Baseparagraphnumbered"/>
      </w:pPr>
      <w:r>
        <w:t>Pentru raportarea elementelor memorandum privind cheltuielile cu personalul, se folosesc următoarele defini</w:t>
      </w:r>
      <w:r w:rsidR="000C213F">
        <w:t>ț</w:t>
      </w:r>
      <w:r>
        <w:t xml:space="preserve">ii: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„pensiile </w:t>
      </w:r>
      <w:r w:rsidR="000C213F">
        <w:rPr>
          <w:rFonts w:ascii="Times New Roman" w:hAnsi="Times New Roman"/>
          <w:sz w:val="24"/>
        </w:rPr>
        <w:t>ș</w:t>
      </w:r>
      <w:r>
        <w:rPr>
          <w:rFonts w:ascii="Times New Roman" w:hAnsi="Times New Roman"/>
          <w:sz w:val="24"/>
        </w:rPr>
        <w:t>i cheltuielile similare” includ cuantumul recunoscut în cursul perioadei ca reprezentând cheltuieli de personal pentru toate obliga</w:t>
      </w:r>
      <w:r w:rsidR="000C213F">
        <w:rPr>
          <w:rFonts w:ascii="Times New Roman" w:hAnsi="Times New Roman"/>
          <w:sz w:val="24"/>
        </w:rPr>
        <w:t>ț</w:t>
      </w:r>
      <w:r>
        <w:rPr>
          <w:rFonts w:ascii="Times New Roman" w:hAnsi="Times New Roman"/>
          <w:sz w:val="24"/>
        </w:rPr>
        <w:t>iile aferente beneficiilor post-angajare (atât planurile de contribu</w:t>
      </w:r>
      <w:r w:rsidR="000C213F">
        <w:rPr>
          <w:rFonts w:ascii="Times New Roman" w:hAnsi="Times New Roman"/>
          <w:sz w:val="24"/>
        </w:rPr>
        <w:t>ț</w:t>
      </w:r>
      <w:r>
        <w:rPr>
          <w:rFonts w:ascii="Times New Roman" w:hAnsi="Times New Roman"/>
          <w:sz w:val="24"/>
        </w:rPr>
        <w:t xml:space="preserve">ii determinate, cât </w:t>
      </w:r>
      <w:r w:rsidR="000C213F">
        <w:rPr>
          <w:rFonts w:ascii="Times New Roman" w:hAnsi="Times New Roman"/>
          <w:sz w:val="24"/>
        </w:rPr>
        <w:t>ș</w:t>
      </w:r>
      <w:r>
        <w:rPr>
          <w:rFonts w:ascii="Times New Roman" w:hAnsi="Times New Roman"/>
          <w:sz w:val="24"/>
        </w:rPr>
        <w:t xml:space="preserve">i planurile de beneficii determinate) </w:t>
      </w:r>
      <w:r w:rsidR="000C213F">
        <w:rPr>
          <w:rFonts w:ascii="Times New Roman" w:hAnsi="Times New Roman"/>
          <w:sz w:val="24"/>
        </w:rPr>
        <w:t>ș</w:t>
      </w:r>
      <w:r>
        <w:rPr>
          <w:rFonts w:ascii="Times New Roman" w:hAnsi="Times New Roman"/>
          <w:sz w:val="24"/>
        </w:rPr>
        <w:t>i contribu</w:t>
      </w:r>
      <w:r w:rsidR="000C213F">
        <w:rPr>
          <w:rFonts w:ascii="Times New Roman" w:hAnsi="Times New Roman"/>
          <w:sz w:val="24"/>
        </w:rPr>
        <w:t>ț</w:t>
      </w:r>
      <w:r>
        <w:rPr>
          <w:rFonts w:ascii="Times New Roman" w:hAnsi="Times New Roman"/>
          <w:sz w:val="24"/>
        </w:rPr>
        <w:t xml:space="preserve">ii la fondurile de asigurări sociale;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„plă</w:t>
      </w:r>
      <w:r w:rsidR="000C213F">
        <w:rPr>
          <w:rFonts w:ascii="Times New Roman" w:hAnsi="Times New Roman"/>
          <w:sz w:val="24"/>
        </w:rPr>
        <w:t>ț</w:t>
      </w:r>
      <w:r>
        <w:rPr>
          <w:rFonts w:ascii="Times New Roman" w:hAnsi="Times New Roman"/>
          <w:sz w:val="24"/>
        </w:rPr>
        <w:t>ile pe bază de ac</w:t>
      </w:r>
      <w:r w:rsidR="000C213F">
        <w:rPr>
          <w:rFonts w:ascii="Times New Roman" w:hAnsi="Times New Roman"/>
          <w:sz w:val="24"/>
        </w:rPr>
        <w:t>ț</w:t>
      </w:r>
      <w:r>
        <w:rPr>
          <w:rFonts w:ascii="Times New Roman" w:hAnsi="Times New Roman"/>
          <w:sz w:val="24"/>
        </w:rPr>
        <w:t>iuni” includ cuantumul recunoscut în cursul perioadei ca reprezentând cheltuieli cu personalul pentru plă</w:t>
      </w:r>
      <w:r w:rsidR="000C213F">
        <w:rPr>
          <w:rFonts w:ascii="Times New Roman" w:hAnsi="Times New Roman"/>
          <w:sz w:val="24"/>
        </w:rPr>
        <w:t>ț</w:t>
      </w:r>
      <w:r>
        <w:rPr>
          <w:rFonts w:ascii="Times New Roman" w:hAnsi="Times New Roman"/>
          <w:sz w:val="24"/>
        </w:rPr>
        <w:t>ile pe bază de ac</w:t>
      </w:r>
      <w:r w:rsidR="000C213F">
        <w:rPr>
          <w:rFonts w:ascii="Times New Roman" w:hAnsi="Times New Roman"/>
          <w:sz w:val="24"/>
        </w:rPr>
        <w:t>ț</w:t>
      </w:r>
      <w:r>
        <w:rPr>
          <w:rFonts w:ascii="Times New Roman" w:hAnsi="Times New Roman"/>
          <w:sz w:val="24"/>
        </w:rPr>
        <w:t xml:space="preserve">iuni.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897603"/>
      <w:r>
        <w:t>Defalcarea anumitor elemente din situa</w:t>
      </w:r>
      <w:r w:rsidR="000C213F">
        <w:t>ț</w:t>
      </w:r>
      <w:r>
        <w:t>ia profitului sau pierderii (</w:t>
      </w:r>
      <w:r w:rsidRPr="004237EC">
        <w:t>45</w:t>
      </w:r>
      <w:r>
        <w:t>)</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485897604"/>
      <w:bookmarkStart w:id="368" w:name="_Toc361844267"/>
      <w:bookmarkStart w:id="369" w:name="_Toc362359338"/>
      <w:r>
        <w:t>Câ</w:t>
      </w:r>
      <w:r w:rsidR="000C213F">
        <w:t>ș</w:t>
      </w:r>
      <w:r>
        <w:t xml:space="preserve">tiguri sau pierderi aferente activelor </w:t>
      </w:r>
      <w:r w:rsidR="000C213F">
        <w:t>ș</w:t>
      </w:r>
      <w:r>
        <w:t>i datoriilor financiare desemnate la valoarea justă prin profit sau pierdere, defalcate pe portofolii contabile (</w:t>
      </w:r>
      <w:r w:rsidRPr="004237EC">
        <w:t>45</w:t>
      </w:r>
      <w:r>
        <w:t>.</w:t>
      </w:r>
      <w:r w:rsidRPr="004237EC">
        <w:t>1</w:t>
      </w:r>
      <w:r>
        <w:t>)</w:t>
      </w:r>
      <w:bookmarkEnd w:id="366"/>
      <w:bookmarkEnd w:id="367"/>
    </w:p>
    <w:p w:rsidR="009569C7" w:rsidRPr="00EC4FA2" w:rsidRDefault="00A834F1" w:rsidP="009569C7">
      <w:pPr>
        <w:pStyle w:val="Baseparagraphnumbered"/>
      </w:pPr>
      <w:r>
        <w:t>„Datoriile financiare desemnate la valoarea justă prin profit sau pierdere” includ numai câ</w:t>
      </w:r>
      <w:r w:rsidR="000C213F">
        <w:t>ș</w:t>
      </w:r>
      <w:r>
        <w:t xml:space="preserve">tigurile </w:t>
      </w:r>
      <w:r w:rsidR="000C213F">
        <w:t>ș</w:t>
      </w:r>
      <w:r>
        <w:t>i pierderile cauzate de modificarea propriului risc de credit al emiten</w:t>
      </w:r>
      <w:r w:rsidR="000C213F">
        <w:t>ț</w:t>
      </w:r>
      <w:r>
        <w:t>ilor de datorii desemnate la valoarea justă prin profit sau pierdere dacă institu</w:t>
      </w:r>
      <w:r w:rsidR="000C213F">
        <w:t>ț</w:t>
      </w:r>
      <w:r>
        <w:t>ia raportoare a ales să le recunoască în profit sau pierdere deoarece o recunoa</w:t>
      </w:r>
      <w:r w:rsidR="000C213F">
        <w:t>ș</w:t>
      </w:r>
      <w:r>
        <w:t>tere în alte elemente ale rezultatului global ar crea sau ar amplifica o necorelare contabilă.</w:t>
      </w:r>
    </w:p>
    <w:p w:rsidR="009569C7" w:rsidRPr="00EC4FA2" w:rsidRDefault="00A834F1" w:rsidP="009569C7">
      <w:pPr>
        <w:pStyle w:val="sub-subtitlenumbered"/>
        <w:jc w:val="both"/>
      </w:pPr>
      <w:bookmarkStart w:id="370" w:name="_Toc467855273"/>
      <w:bookmarkStart w:id="371" w:name="_Toc485897605"/>
      <w:r>
        <w:t>Câ</w:t>
      </w:r>
      <w:r w:rsidR="000C213F">
        <w:t>ș</w:t>
      </w:r>
      <w:r>
        <w:t>tiguri sau pierderi din derecunoa</w:t>
      </w:r>
      <w:r w:rsidR="000C213F">
        <w:t>ș</w:t>
      </w:r>
      <w:r>
        <w:t>terea activelor nefinanciare (</w:t>
      </w:r>
      <w:r w:rsidRPr="004237EC">
        <w:t>45</w:t>
      </w:r>
      <w:r>
        <w:t>.</w:t>
      </w:r>
      <w:r w:rsidRPr="004237EC">
        <w:t>2</w:t>
      </w:r>
      <w:r>
        <w:t>)</w:t>
      </w:r>
      <w:bookmarkEnd w:id="368"/>
      <w:bookmarkEnd w:id="369"/>
      <w:bookmarkEnd w:id="370"/>
      <w:bookmarkEnd w:id="371"/>
    </w:p>
    <w:p w:rsidR="009569C7" w:rsidRPr="00EC4FA2" w:rsidRDefault="00A834F1" w:rsidP="009569C7">
      <w:pPr>
        <w:pStyle w:val="Baseparagraphnumbered"/>
      </w:pPr>
      <w:r>
        <w:t>„Câ</w:t>
      </w:r>
      <w:r w:rsidR="000C213F">
        <w:t>ș</w:t>
      </w:r>
      <w:r>
        <w:t>tigurile sau pierderile din derecunoa</w:t>
      </w:r>
      <w:r w:rsidR="000C213F">
        <w:t>ș</w:t>
      </w:r>
      <w:r>
        <w:t>terea activelor nefinanciare” sunt defalcate pe tipuri de active; fiecare element-rând include câ</w:t>
      </w:r>
      <w:r w:rsidR="000C213F">
        <w:t>ș</w:t>
      </w:r>
      <w:r>
        <w:t xml:space="preserve">tigul sau pierderea legată de activul care a fost derecunoscut. „Alte active” includ alte active corporale, active necorporale </w:t>
      </w:r>
      <w:r w:rsidR="000C213F">
        <w:t>ș</w:t>
      </w:r>
      <w:r>
        <w:t>i investi</w:t>
      </w:r>
      <w:r w:rsidR="000C213F">
        <w:t>ț</w:t>
      </w:r>
      <w:r>
        <w:t>ii care nu au fost raportate în altă parte.</w:t>
      </w:r>
      <w:r w:rsidR="004237EC">
        <w:t xml:space="preserve"> </w:t>
      </w:r>
    </w:p>
    <w:p w:rsidR="009569C7" w:rsidRPr="00EC4FA2" w:rsidRDefault="00A834F1" w:rsidP="004237EC">
      <w:pPr>
        <w:pStyle w:val="sub-subtitlenumbered"/>
        <w:keepNext/>
        <w:ind w:left="788" w:hanging="431"/>
        <w:jc w:val="both"/>
      </w:pPr>
      <w:bookmarkStart w:id="372" w:name="_Toc361844268"/>
      <w:bookmarkStart w:id="373" w:name="_Toc362359339"/>
      <w:bookmarkStart w:id="374" w:name="_Toc467855274"/>
      <w:bookmarkStart w:id="375" w:name="_Toc485897606"/>
      <w:r>
        <w:lastRenderedPageBreak/>
        <w:t xml:space="preserve">Alte venituri </w:t>
      </w:r>
      <w:r w:rsidR="000C213F">
        <w:t>ș</w:t>
      </w:r>
      <w:r>
        <w:t>i cheltuieli de exploatare (</w:t>
      </w:r>
      <w:r w:rsidRPr="004237EC">
        <w:t>45</w:t>
      </w:r>
      <w:r>
        <w:t>.</w:t>
      </w:r>
      <w:r w:rsidRPr="004237EC">
        <w:t>3</w:t>
      </w:r>
      <w:r>
        <w:t>)</w:t>
      </w:r>
      <w:bookmarkEnd w:id="372"/>
      <w:bookmarkEnd w:id="373"/>
      <w:bookmarkEnd w:id="374"/>
      <w:bookmarkEnd w:id="375"/>
    </w:p>
    <w:p w:rsidR="009569C7" w:rsidRPr="00EC4FA2" w:rsidRDefault="00A834F1" w:rsidP="009569C7">
      <w:pPr>
        <w:pStyle w:val="Baseparagraphnumbered"/>
      </w:pPr>
      <w:r>
        <w:t xml:space="preserve">Alte venituri </w:t>
      </w:r>
      <w:r w:rsidR="000C213F">
        <w:t>ș</w:t>
      </w:r>
      <w:r>
        <w:t>i cheltuieli de exploatare sunt defalcate în func</w:t>
      </w:r>
      <w:r w:rsidR="000C213F">
        <w:t>ț</w:t>
      </w:r>
      <w:r>
        <w:t xml:space="preserve">ie de următoarele elemente: ajustări ale valorii juste a activelor corporale evaluate folosind modelul valorii juste; venituri din închiriere </w:t>
      </w:r>
      <w:r w:rsidR="000C213F">
        <w:t>ș</w:t>
      </w:r>
      <w:r>
        <w:t>i cheltuieli de exploatare directe din investi</w:t>
      </w:r>
      <w:r w:rsidR="000C213F">
        <w:t>ț</w:t>
      </w:r>
      <w:r>
        <w:t xml:space="preserve">ii imobiliare; venituri </w:t>
      </w:r>
      <w:r w:rsidR="000C213F">
        <w:t>ș</w:t>
      </w:r>
      <w:r>
        <w:t>i cheltuieli aferente contractelor de leasing opera</w:t>
      </w:r>
      <w:r w:rsidR="000C213F">
        <w:t>ț</w:t>
      </w:r>
      <w:r>
        <w:t>ional, altele decât investi</w:t>
      </w:r>
      <w:r w:rsidR="000C213F">
        <w:t>ț</w:t>
      </w:r>
      <w:r>
        <w:t xml:space="preserve">iile imobiliare </w:t>
      </w:r>
      <w:r w:rsidR="000C213F">
        <w:t>ș</w:t>
      </w:r>
      <w:r>
        <w:t xml:space="preserve">i restul veniturilor </w:t>
      </w:r>
      <w:r w:rsidR="000C213F">
        <w:t>ș</w:t>
      </w:r>
      <w:r>
        <w:t xml:space="preserve">i cheltuielilor de exploatare. </w:t>
      </w:r>
    </w:p>
    <w:p w:rsidR="009569C7" w:rsidRPr="00EC4FA2" w:rsidRDefault="00A834F1" w:rsidP="009569C7">
      <w:pPr>
        <w:pStyle w:val="Baseparagraphnumbered"/>
      </w:pPr>
      <w:r>
        <w:t>„Contractele de leasing opera</w:t>
      </w:r>
      <w:r w:rsidR="000C213F">
        <w:t>ț</w:t>
      </w:r>
      <w:r>
        <w:t>ional, altele decât investi</w:t>
      </w:r>
      <w:r w:rsidR="000C213F">
        <w:t>ț</w:t>
      </w:r>
      <w:r>
        <w:t>iile imobiliare” include, la coloana „Venituri”, randamentul ob</w:t>
      </w:r>
      <w:r w:rsidR="000C213F">
        <w:t>ț</w:t>
      </w:r>
      <w:r>
        <w:t>inut, iar la coloana „Cheltuieli”, costurile suportate de institu</w:t>
      </w:r>
      <w:r w:rsidR="000C213F">
        <w:t>ț</w:t>
      </w:r>
      <w:r>
        <w:t>ie în calitate de locator în activită</w:t>
      </w:r>
      <w:r w:rsidR="000C213F">
        <w:t>ț</w:t>
      </w:r>
      <w:r>
        <w:t>ile sale de leasing opera</w:t>
      </w:r>
      <w:r w:rsidR="000C213F">
        <w:t>ț</w:t>
      </w:r>
      <w:r>
        <w:t>ional, altele decât cele cu active clasificate ca investi</w:t>
      </w:r>
      <w:r w:rsidR="000C213F">
        <w:t>ț</w:t>
      </w:r>
      <w:r>
        <w:t>ii imobiliare. Costurile pentru institu</w:t>
      </w:r>
      <w:r w:rsidR="000C213F">
        <w:t>ț</w:t>
      </w:r>
      <w:r>
        <w:t>ie în calitate de locatar sunt incluse la elementul „alte cheltuieli administrative”.</w:t>
      </w:r>
    </w:p>
    <w:p w:rsidR="009569C7" w:rsidRPr="00EC4FA2" w:rsidRDefault="00A834F1" w:rsidP="009569C7">
      <w:pPr>
        <w:pStyle w:val="Baseparagraphnumbered"/>
      </w:pPr>
      <w:r>
        <w:t>Câ</w:t>
      </w:r>
      <w:r w:rsidR="000C213F">
        <w:t>ș</w:t>
      </w:r>
      <w:r>
        <w:t>tigurile sau pierderile din derecunoa</w:t>
      </w:r>
      <w:r w:rsidR="000C213F">
        <w:t>ș</w:t>
      </w:r>
      <w:r>
        <w:t xml:space="preserve">tere </w:t>
      </w:r>
      <w:r w:rsidR="000C213F">
        <w:t>ș</w:t>
      </w:r>
      <w:r>
        <w:t>i reevaluările de</w:t>
      </w:r>
      <w:r w:rsidR="000C213F">
        <w:t>ț</w:t>
      </w:r>
      <w:r>
        <w:t>inerilor de aur, de alte metale pre</w:t>
      </w:r>
      <w:r w:rsidR="000C213F">
        <w:t>ț</w:t>
      </w:r>
      <w:r>
        <w:t xml:space="preserve">ioase </w:t>
      </w:r>
      <w:r w:rsidR="000C213F">
        <w:t>ș</w:t>
      </w:r>
      <w:r>
        <w:t>i de alte mărfuri evaluate la valoarea justă minus costurile generate de vânzare se raportează printre elementele incluse la „Alte venituri de exploatare. Altele” sau „Alte cheltuieli de exploatare. Altele”.</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897607"/>
      <w:r>
        <w:t>Situa</w:t>
      </w:r>
      <w:r w:rsidR="000C213F">
        <w:t>ț</w:t>
      </w:r>
      <w:r>
        <w:t xml:space="preserve">ia modificărilor capitalurilor proprii </w:t>
      </w:r>
      <w:bookmarkEnd w:id="376"/>
      <w:r>
        <w:t>(</w:t>
      </w:r>
      <w:r w:rsidRPr="004237EC">
        <w:t>46</w:t>
      </w:r>
      <w:r>
        <w:t>)</w:t>
      </w:r>
      <w:bookmarkEnd w:id="377"/>
      <w:bookmarkEnd w:id="378"/>
      <w:bookmarkEnd w:id="379"/>
      <w:bookmarkEnd w:id="380"/>
    </w:p>
    <w:p w:rsidR="009569C7" w:rsidRPr="00EC4FA2" w:rsidRDefault="00A834F1" w:rsidP="009569C7">
      <w:pPr>
        <w:pStyle w:val="Baseparagraphnumbered"/>
      </w:pPr>
      <w:r>
        <w:t>Situa</w:t>
      </w:r>
      <w:r w:rsidR="000C213F">
        <w:t>ț</w:t>
      </w:r>
      <w:r>
        <w:t xml:space="preserve">ia modificărilor capitalurilor proprii prezintă reconcilierea dintre valoarea contabilă la începutul perioadei (sold de deschidere) </w:t>
      </w:r>
      <w:r w:rsidR="000C213F">
        <w:t>ș</w:t>
      </w:r>
      <w:r>
        <w:t>i la sfâr</w:t>
      </w:r>
      <w:r w:rsidR="000C213F">
        <w:t>ș</w:t>
      </w:r>
      <w:r>
        <w:t>itul perioadei (sold de închidere) pentru fiecare componentă de capitaluri proprii.</w:t>
      </w:r>
    </w:p>
    <w:p w:rsidR="009569C7" w:rsidRPr="00EC4FA2" w:rsidRDefault="00A834F1" w:rsidP="009569C7">
      <w:pPr>
        <w:pStyle w:val="Baseparagraphnumbered"/>
        <w:rPr>
          <w:caps/>
        </w:rPr>
      </w:pPr>
      <w:r>
        <w:t>„Transferurile între componentele capitalurilor proprii” includ toate cuantumurile transferate în cadrul capitalurilor proprii, inclusiv câ</w:t>
      </w:r>
      <w:r w:rsidR="000C213F">
        <w:t>ș</w:t>
      </w:r>
      <w:r>
        <w:t xml:space="preserve">tigurile </w:t>
      </w:r>
      <w:r w:rsidR="000C213F">
        <w:t>ș</w:t>
      </w:r>
      <w:r>
        <w:t xml:space="preserve">i pierderile datorate riscului de credit propriu al datoriilor desemnate la valoarea justă prin profit sau pierdere </w:t>
      </w:r>
      <w:r w:rsidR="000C213F">
        <w:t>ș</w:t>
      </w:r>
      <w:r>
        <w:t>i modificările valorii juste cumulate aferente instrumentelor de capitaluri proprii evaluate la valoarea justă prin alte elemente ale rezultatului global care sunt transferate către alte componente ale capitalurilor proprii la derecunoa</w:t>
      </w:r>
      <w:r w:rsidR="000C213F">
        <w:t>ș</w:t>
      </w:r>
      <w:r>
        <w:t xml:space="preserve">tere.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 xml:space="preserve">PARTEA </w:t>
      </w:r>
      <w:r w:rsidRPr="004237EC">
        <w:rPr>
          <w:rFonts w:ascii="Times New Roman" w:hAnsi="Times New Roman"/>
          <w:b/>
          <w:sz w:val="24"/>
        </w:rPr>
        <w:t>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897608"/>
      <w:r>
        <w:t>Coresponden</w:t>
      </w:r>
      <w:r w:rsidR="000C213F">
        <w:t>ț</w:t>
      </w:r>
      <w:r>
        <w:t xml:space="preserve">a dintre clasele de expuneri </w:t>
      </w:r>
      <w:r w:rsidR="000C213F">
        <w:t>ș</w:t>
      </w:r>
      <w:r>
        <w:t>i sectoarele contrapăr</w:t>
      </w:r>
      <w:r w:rsidR="000C213F">
        <w:t>ț</w:t>
      </w:r>
      <w:r>
        <w:t>ilor</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Tabelele </w:t>
      </w:r>
      <w:r w:rsidRPr="004237EC">
        <w:t>2</w:t>
      </w:r>
      <w:r>
        <w:t xml:space="preserve"> </w:t>
      </w:r>
      <w:r w:rsidR="000C213F">
        <w:t>ș</w:t>
      </w:r>
      <w:r>
        <w:t xml:space="preserve">i </w:t>
      </w:r>
      <w:r w:rsidRPr="004237EC">
        <w:t>3</w:t>
      </w:r>
      <w:r>
        <w:t xml:space="preserve"> pun în coresponden</w:t>
      </w:r>
      <w:r w:rsidR="000C213F">
        <w:t>ț</w:t>
      </w:r>
      <w:r>
        <w:t>ă clasele de expuneri utilizate pentru calcularea cerin</w:t>
      </w:r>
      <w:r w:rsidR="000C213F">
        <w:t>ț</w:t>
      </w:r>
      <w:r>
        <w:t xml:space="preserve">elor de capital în conformitate cu CRR </w:t>
      </w:r>
      <w:r w:rsidR="000C213F">
        <w:t>ș</w:t>
      </w:r>
      <w:r>
        <w:t>i sectoarele contrapăr</w:t>
      </w:r>
      <w:r w:rsidR="000C213F">
        <w:t>ț</w:t>
      </w:r>
      <w:r>
        <w:t>ilor utilizate în tabelele FINREP.</w:t>
      </w:r>
    </w:p>
    <w:p w:rsidR="009569C7" w:rsidRPr="00EC4FA2" w:rsidRDefault="00A834F1" w:rsidP="004237EC">
      <w:pPr>
        <w:keepNext/>
        <w:jc w:val="center"/>
        <w:rPr>
          <w:rFonts w:ascii="Times New Roman" w:hAnsi="Times New Roman"/>
          <w:bCs/>
          <w:i/>
          <w:sz w:val="24"/>
          <w:szCs w:val="24"/>
        </w:rPr>
      </w:pPr>
      <w:r>
        <w:rPr>
          <w:rFonts w:ascii="Times New Roman" w:hAnsi="Times New Roman"/>
          <w:i/>
          <w:sz w:val="24"/>
        </w:rPr>
        <w:lastRenderedPageBreak/>
        <w:t xml:space="preserve">Tabelul </w:t>
      </w:r>
      <w:r w:rsidRPr="004237EC">
        <w:rPr>
          <w:rFonts w:ascii="Times New Roman" w:hAnsi="Times New Roman"/>
          <w:i/>
          <w:sz w:val="24"/>
        </w:rPr>
        <w:t>2</w:t>
      </w:r>
      <w:r>
        <w:rPr>
          <w:rFonts w:ascii="Times New Roman" w:hAnsi="Times New Roman"/>
          <w:i/>
          <w:sz w:val="24"/>
        </w:rPr>
        <w:t xml:space="preserve"> Abordarea standardizată</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Clase de expuneri conform AS (articolul </w:t>
            </w:r>
            <w:r w:rsidRPr="004237EC">
              <w:rPr>
                <w:rFonts w:ascii="Times New Roman" w:hAnsi="Times New Roman"/>
                <w:b/>
                <w:i/>
                <w:sz w:val="20"/>
              </w:rPr>
              <w:t>112</w:t>
            </w:r>
            <w:r>
              <w:rPr>
                <w:rFonts w:ascii="Times New Roman" w:hAnsi="Times New Roman"/>
                <w:b/>
                <w:i/>
                <w:sz w:val="20"/>
              </w:rPr>
              <w:t xml:space="preserve"> din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Sectoare ale contrapăr</w:t>
            </w:r>
            <w:r w:rsidR="000C213F">
              <w:rPr>
                <w:rFonts w:ascii="Times New Roman" w:hAnsi="Times New Roman"/>
                <w:b/>
                <w:i/>
                <w:sz w:val="20"/>
              </w:rPr>
              <w:t>ț</w:t>
            </w:r>
            <w:r>
              <w:rPr>
                <w:rFonts w:ascii="Times New Roman" w:hAnsi="Times New Roman"/>
                <w:b/>
                <w:i/>
                <w:sz w:val="20"/>
              </w:rPr>
              <w:t>ii conform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Observa</w:t>
            </w:r>
            <w:r w:rsidR="000C213F">
              <w:rPr>
                <w:rFonts w:ascii="Times New Roman" w:hAnsi="Times New Roman"/>
                <w:b/>
                <w:i/>
                <w:sz w:val="20"/>
              </w:rPr>
              <w:t>ț</w:t>
            </w:r>
            <w:r>
              <w:rPr>
                <w:rFonts w:ascii="Times New Roman" w:hAnsi="Times New Roman"/>
                <w:b/>
                <w:i/>
                <w:sz w:val="20"/>
              </w:rPr>
              <w:t>ii</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Administra</w:t>
            </w:r>
            <w:r w:rsidR="000C213F">
              <w:rPr>
                <w:rFonts w:ascii="Times New Roman" w:hAnsi="Times New Roman"/>
                <w:sz w:val="18"/>
              </w:rPr>
              <w:t>ț</w:t>
            </w:r>
            <w:r>
              <w:rPr>
                <w:rFonts w:ascii="Times New Roman" w:hAnsi="Times New Roman"/>
                <w:sz w:val="18"/>
              </w:rPr>
              <w:t>ii centrale sau bănci centrale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1</w:t>
            </w:r>
            <w:r>
              <w:rPr>
                <w:rFonts w:ascii="Times New Roman" w:hAnsi="Times New Roman"/>
                <w:sz w:val="18"/>
              </w:rPr>
              <w:t>) Bănci centrale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Administra</w:t>
            </w:r>
            <w:r w:rsidR="000C213F">
              <w:rPr>
                <w:rFonts w:ascii="Times New Roman" w:hAnsi="Times New Roman"/>
                <w:sz w:val="18"/>
              </w:rPr>
              <w:t>ț</w:t>
            </w:r>
            <w:r>
              <w:rPr>
                <w:rFonts w:ascii="Times New Roman" w:hAnsi="Times New Roman"/>
                <w:sz w:val="18"/>
              </w:rPr>
              <w:t>ii regionale sau autorită</w:t>
            </w:r>
            <w:r w:rsidR="000C213F">
              <w:rPr>
                <w:rFonts w:ascii="Times New Roman" w:hAnsi="Times New Roman"/>
                <w:sz w:val="18"/>
              </w:rPr>
              <w:t>ț</w:t>
            </w:r>
            <w:r>
              <w:rPr>
                <w:rFonts w:ascii="Times New Roman" w:hAnsi="Times New Roman"/>
                <w:sz w:val="18"/>
              </w:rPr>
              <w:t>i locale</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Entită</w:t>
            </w:r>
            <w:r w:rsidR="000C213F">
              <w:rPr>
                <w:rFonts w:ascii="Times New Roman" w:hAnsi="Times New Roman"/>
                <w:sz w:val="18"/>
              </w:rPr>
              <w:t>ț</w:t>
            </w:r>
            <w:r>
              <w:rPr>
                <w:rFonts w:ascii="Times New Roman" w:hAnsi="Times New Roman"/>
                <w:sz w:val="18"/>
              </w:rPr>
              <w:t>i din sectorul public</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 xml:space="preserve">ii publice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Bănci multilaterale de dezvoltare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Organiza</w:t>
            </w:r>
            <w:r w:rsidR="000C213F">
              <w:rPr>
                <w:rFonts w:ascii="Times New Roman" w:hAnsi="Times New Roman"/>
                <w:sz w:val="18"/>
              </w:rPr>
              <w:t>ț</w:t>
            </w:r>
            <w:r>
              <w:rPr>
                <w:rFonts w:ascii="Times New Roman" w:hAnsi="Times New Roman"/>
                <w:sz w:val="18"/>
              </w:rPr>
              <w:t>ii interna</w:t>
            </w:r>
            <w:r w:rsidR="000C213F">
              <w:rPr>
                <w:rFonts w:ascii="Times New Roman" w:hAnsi="Times New Roman"/>
                <w:sz w:val="18"/>
              </w:rPr>
              <w:t>ț</w:t>
            </w:r>
            <w:r>
              <w:rPr>
                <w:rFonts w:ascii="Times New Roman" w:hAnsi="Times New Roman"/>
                <w:sz w:val="18"/>
              </w:rPr>
              <w:t>ionale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w:t>
            </w:r>
            <w:r w:rsidR="000C213F">
              <w:rPr>
                <w:rFonts w:ascii="Times New Roman" w:hAnsi="Times New Roman"/>
                <w:sz w:val="18"/>
              </w:rPr>
              <w:t>ț</w:t>
            </w:r>
            <w:r>
              <w:rPr>
                <w:rFonts w:ascii="Times New Roman" w:hAnsi="Times New Roman"/>
                <w:sz w:val="18"/>
              </w:rPr>
              <w:t>ii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(institu</w:t>
            </w:r>
            <w:r w:rsidR="000C213F">
              <w:rPr>
                <w:rFonts w:ascii="Times New Roman" w:hAnsi="Times New Roman"/>
                <w:sz w:val="18"/>
              </w:rPr>
              <w:t>ț</w:t>
            </w:r>
            <w:r>
              <w:rPr>
                <w:rFonts w:ascii="Times New Roman" w:hAnsi="Times New Roman"/>
                <w:sz w:val="18"/>
              </w:rPr>
              <w:t xml:space="preserve">ii de credit </w:t>
            </w:r>
            <w:r w:rsidR="000C213F">
              <w:rPr>
                <w:rFonts w:ascii="Times New Roman" w:hAnsi="Times New Roman"/>
                <w:sz w:val="18"/>
              </w:rPr>
              <w:t>ș</w:t>
            </w:r>
            <w:r>
              <w:rPr>
                <w:rFonts w:ascii="Times New Roman" w:hAnsi="Times New Roman"/>
                <w:sz w:val="18"/>
              </w:rPr>
              <w:t>i firme de investi</w:t>
            </w:r>
            <w:r w:rsidR="000C213F">
              <w:rPr>
                <w:rFonts w:ascii="Times New Roman" w:hAnsi="Times New Roman"/>
                <w:sz w:val="18"/>
              </w:rPr>
              <w:t>ț</w:t>
            </w:r>
            <w:r>
              <w:rPr>
                <w:rFonts w:ascii="Times New Roman" w:hAnsi="Times New Roman"/>
                <w:sz w:val="18"/>
              </w:rPr>
              <w:t>ii)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Societă</w:t>
            </w:r>
            <w:r w:rsidR="000C213F">
              <w:rPr>
                <w:rFonts w:ascii="Times New Roman" w:hAnsi="Times New Roman"/>
                <w:sz w:val="18"/>
              </w:rPr>
              <w:t>ț</w:t>
            </w:r>
            <w:r>
              <w:rPr>
                <w:rFonts w:ascii="Times New Roman" w:hAnsi="Times New Roman"/>
                <w:sz w:val="18"/>
              </w:rPr>
              <w:t>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 xml:space="preserve">i nefinanciare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Gospodării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Retail</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Gospodării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Garantate cu ipoteci asupra bunurilor imobile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4237EC">
              <w:rPr>
                <w:rFonts w:ascii="Times New Roman" w:hAnsi="Times New Roman"/>
                <w:sz w:val="18"/>
              </w:rPr>
              <w:t>6</w:t>
            </w:r>
            <w:r>
              <w:rPr>
                <w:rFonts w:ascii="Times New Roman" w:hAnsi="Times New Roman"/>
                <w:sz w:val="18"/>
              </w:rPr>
              <w:t>) Gospodării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În stare de nerambursare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1</w:t>
            </w:r>
            <w:r>
              <w:rPr>
                <w:rFonts w:ascii="Times New Roman" w:hAnsi="Times New Roman"/>
                <w:sz w:val="18"/>
              </w:rPr>
              <w:t>) Bănci centrale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Gospodării</w:t>
            </w:r>
            <w:r w:rsidR="004237EC">
              <w:rPr>
                <w:rFonts w:ascii="Times New Roman" w:hAnsi="Times New Roman"/>
                <w:sz w:val="18"/>
              </w:rPr>
              <w:t xml:space="preserv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Elemente asociate unui risc extrem de ridicat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1</w:t>
            </w:r>
            <w:r>
              <w:rPr>
                <w:rFonts w:ascii="Times New Roman" w:hAnsi="Times New Roman"/>
                <w:sz w:val="18"/>
              </w:rPr>
              <w:t>) Bănci centrale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Gospodării</w:t>
            </w:r>
            <w:r w:rsidR="004237EC">
              <w:rPr>
                <w:rFonts w:ascii="Times New Roman" w:hAnsi="Times New Roman"/>
                <w:sz w:val="18"/>
              </w:rPr>
              <w:t xml:space="preserv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Obliga</w:t>
            </w:r>
            <w:r w:rsidR="000C213F">
              <w:rPr>
                <w:rFonts w:ascii="Times New Roman" w:hAnsi="Times New Roman"/>
                <w:sz w:val="18"/>
              </w:rPr>
              <w:t>ț</w:t>
            </w:r>
            <w:r>
              <w:rPr>
                <w:rFonts w:ascii="Times New Roman" w:hAnsi="Times New Roman"/>
                <w:sz w:val="18"/>
              </w:rPr>
              <w:t>iuni garantate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(l) Pozi</w:t>
            </w:r>
            <w:r w:rsidR="000C213F">
              <w:rPr>
                <w:rFonts w:ascii="Times New Roman" w:hAnsi="Times New Roman"/>
                <w:sz w:val="18"/>
              </w:rPr>
              <w:t>ț</w:t>
            </w:r>
            <w:r>
              <w:rPr>
                <w:rFonts w:ascii="Times New Roman" w:hAnsi="Times New Roman"/>
                <w:sz w:val="18"/>
              </w:rPr>
              <w:t>ii din securitizare</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xml:space="preserve">) Gospodării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atribuite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riscul-suport al securitizării. În FINREP, în cazul în care pozi</w:t>
            </w:r>
            <w:r w:rsidR="000C213F">
              <w:rPr>
                <w:rFonts w:ascii="Times New Roman" w:hAnsi="Times New Roman"/>
                <w:sz w:val="18"/>
              </w:rPr>
              <w:t>ț</w:t>
            </w:r>
            <w:r>
              <w:rPr>
                <w:rFonts w:ascii="Times New Roman" w:hAnsi="Times New Roman"/>
                <w:sz w:val="18"/>
              </w:rPr>
              <w:t>iile securitizate rămân recunoscute în bilan</w:t>
            </w:r>
            <w:r w:rsidR="000C213F">
              <w:rPr>
                <w:rFonts w:ascii="Times New Roman" w:hAnsi="Times New Roman"/>
                <w:sz w:val="18"/>
              </w:rPr>
              <w:t>ț</w:t>
            </w:r>
            <w:r>
              <w:rPr>
                <w:rFonts w:ascii="Times New Roman" w:hAnsi="Times New Roman"/>
                <w:sz w:val="18"/>
              </w:rPr>
              <w:t>, sectoarele contrapăr</w:t>
            </w:r>
            <w:r w:rsidR="000C213F">
              <w:rPr>
                <w:rFonts w:ascii="Times New Roman" w:hAnsi="Times New Roman"/>
                <w:sz w:val="18"/>
              </w:rPr>
              <w:t>ț</w:t>
            </w:r>
            <w:r>
              <w:rPr>
                <w:rFonts w:ascii="Times New Roman" w:hAnsi="Times New Roman"/>
                <w:sz w:val="18"/>
              </w:rPr>
              <w:t>ii sunt sectoarele contrapăr</w:t>
            </w:r>
            <w:r w:rsidR="000C213F">
              <w:rPr>
                <w:rFonts w:ascii="Times New Roman" w:hAnsi="Times New Roman"/>
                <w:sz w:val="18"/>
              </w:rPr>
              <w:t>ț</w:t>
            </w:r>
            <w:r>
              <w:rPr>
                <w:rFonts w:ascii="Times New Roman" w:hAnsi="Times New Roman"/>
                <w:sz w:val="18"/>
              </w:rPr>
              <w:t>ilor imediate ale acestor pozi</w:t>
            </w:r>
            <w:r w:rsidR="000C213F">
              <w:rPr>
                <w:rFonts w:ascii="Times New Roman" w:hAnsi="Times New Roman"/>
                <w:sz w:val="18"/>
              </w:rPr>
              <w:t>ț</w:t>
            </w:r>
            <w:r>
              <w:rPr>
                <w:rFonts w:ascii="Times New Roman" w:hAnsi="Times New Roman"/>
                <w:sz w:val="18"/>
              </w:rPr>
              <w:t>ii.</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w:t>
            </w:r>
            <w:r w:rsidR="000C213F">
              <w:rPr>
                <w:rFonts w:ascii="Times New Roman" w:hAnsi="Times New Roman"/>
                <w:sz w:val="18"/>
              </w:rPr>
              <w:t>ț</w:t>
            </w:r>
            <w:r>
              <w:rPr>
                <w:rFonts w:ascii="Times New Roman" w:hAnsi="Times New Roman"/>
                <w:sz w:val="18"/>
              </w:rPr>
              <w:t xml:space="preserve">ii </w:t>
            </w:r>
            <w:r w:rsidR="000C213F">
              <w:rPr>
                <w:rFonts w:ascii="Times New Roman" w:hAnsi="Times New Roman"/>
                <w:sz w:val="18"/>
              </w:rPr>
              <w:t>ș</w:t>
            </w:r>
            <w:r>
              <w:rPr>
                <w:rFonts w:ascii="Times New Roman" w:hAnsi="Times New Roman"/>
                <w:sz w:val="18"/>
              </w:rPr>
              <w:t>i societă</w:t>
            </w:r>
            <w:r w:rsidR="000C213F">
              <w:rPr>
                <w:rFonts w:ascii="Times New Roman" w:hAnsi="Times New Roman"/>
                <w:sz w:val="18"/>
              </w:rPr>
              <w:t>ț</w:t>
            </w:r>
            <w:r>
              <w:rPr>
                <w:rFonts w:ascii="Times New Roman" w:hAnsi="Times New Roman"/>
                <w:sz w:val="18"/>
              </w:rPr>
              <w:t>i cu o evaluare de credit pe termen scurt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Organisme de plasament colectiv</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Instrumente de capitaluri proprii</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w:t>
            </w:r>
            <w:r w:rsidR="000C213F">
              <w:rPr>
                <w:rFonts w:ascii="Times New Roman" w:hAnsi="Times New Roman"/>
                <w:sz w:val="18"/>
              </w:rPr>
              <w:t>ț</w:t>
            </w:r>
            <w:r>
              <w:rPr>
                <w:rFonts w:ascii="Times New Roman" w:hAnsi="Times New Roman"/>
                <w:sz w:val="18"/>
              </w:rPr>
              <w:t>iile în OPC-uri se clasifică ca instrumente de capitaluri proprii în FINREP, indiferent dacă CRR permite abordarea de tip look through.</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Capitaluri proprii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Instrumente de capitaluri proprii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În FINREP, instrumentele de capitaluri proprii sunt separate ca instrumente în cadrul diferitelor categorii de active financiare.</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Alte elemente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Diferite elemente din bilan</w:t>
            </w:r>
            <w:r w:rsidR="000C213F">
              <w:rPr>
                <w:rFonts w:ascii="Times New Roman" w:hAnsi="Times New Roman"/>
                <w:sz w:val="18"/>
              </w:rPr>
              <w:t>ț</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În FINREP, alte elemente pot fi incluse în cadrul diferitelor categorii de active.</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 xml:space="preserve">Tabelul </w:t>
      </w:r>
      <w:r w:rsidRPr="004237EC">
        <w:rPr>
          <w:rFonts w:ascii="Times New Roman" w:hAnsi="Times New Roman"/>
          <w:i/>
          <w:sz w:val="24"/>
        </w:rPr>
        <w:t>3</w:t>
      </w:r>
      <w:r>
        <w:rPr>
          <w:rFonts w:ascii="Times New Roman" w:hAnsi="Times New Roman"/>
          <w:i/>
          <w:sz w:val="24"/>
        </w:rPr>
        <w:t xml:space="preserve"> Abordarea bazată pe modele interne de rating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Clasele de expuneri conform abordării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(articolul </w:t>
            </w:r>
            <w:r w:rsidRPr="004237EC">
              <w:rPr>
                <w:rFonts w:ascii="Times New Roman" w:hAnsi="Times New Roman"/>
                <w:b/>
                <w:i/>
                <w:sz w:val="20"/>
              </w:rPr>
              <w:t>147</w:t>
            </w:r>
            <w:r>
              <w:rPr>
                <w:rFonts w:ascii="Times New Roman" w:hAnsi="Times New Roman"/>
                <w:b/>
                <w:i/>
                <w:sz w:val="20"/>
              </w:rPr>
              <w:t xml:space="preserve"> din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Sectoare ale contrapăr</w:t>
            </w:r>
            <w:r w:rsidR="000C213F">
              <w:rPr>
                <w:rFonts w:ascii="Times New Roman" w:hAnsi="Times New Roman"/>
                <w:b/>
                <w:i/>
                <w:sz w:val="20"/>
              </w:rPr>
              <w:t>ț</w:t>
            </w:r>
            <w:r>
              <w:rPr>
                <w:rFonts w:ascii="Times New Roman" w:hAnsi="Times New Roman"/>
                <w:b/>
                <w:i/>
                <w:sz w:val="20"/>
              </w:rPr>
              <w:t>ii conform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Observa</w:t>
            </w:r>
            <w:r w:rsidR="000C213F">
              <w:rPr>
                <w:rFonts w:ascii="Times New Roman" w:hAnsi="Times New Roman"/>
                <w:b/>
                <w:i/>
                <w:sz w:val="20"/>
              </w:rPr>
              <w:t>ț</w:t>
            </w:r>
            <w:r>
              <w:rPr>
                <w:rFonts w:ascii="Times New Roman" w:hAnsi="Times New Roman"/>
                <w:b/>
                <w:i/>
                <w:sz w:val="20"/>
              </w:rPr>
              <w:t>ii</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Administra</w:t>
            </w:r>
            <w:r w:rsidR="000C213F">
              <w:rPr>
                <w:rFonts w:ascii="Times New Roman" w:hAnsi="Times New Roman"/>
                <w:sz w:val="18"/>
              </w:rPr>
              <w:t>ț</w:t>
            </w:r>
            <w:r>
              <w:rPr>
                <w:rFonts w:ascii="Times New Roman" w:hAnsi="Times New Roman"/>
                <w:sz w:val="18"/>
              </w:rPr>
              <w:t xml:space="preserve">ii centrale </w:t>
            </w:r>
            <w:r w:rsidR="000C213F">
              <w:rPr>
                <w:rFonts w:ascii="Times New Roman" w:hAnsi="Times New Roman"/>
                <w:sz w:val="18"/>
              </w:rPr>
              <w:t>ș</w:t>
            </w:r>
            <w:r>
              <w:rPr>
                <w:rFonts w:ascii="Times New Roman" w:hAnsi="Times New Roman"/>
                <w:sz w:val="18"/>
              </w:rPr>
              <w:t>i bănci centrale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1</w:t>
            </w:r>
            <w:r>
              <w:rPr>
                <w:rFonts w:ascii="Times New Roman" w:hAnsi="Times New Roman"/>
                <w:sz w:val="18"/>
              </w:rPr>
              <w:t>) Bănci centrale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 xml:space="preserve">ii imediate.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w:t>
            </w:r>
            <w:r w:rsidR="000C213F">
              <w:rPr>
                <w:rFonts w:ascii="Times New Roman" w:hAnsi="Times New Roman"/>
                <w:sz w:val="18"/>
              </w:rPr>
              <w:t>ț</w:t>
            </w:r>
            <w:r>
              <w:rPr>
                <w:rFonts w:ascii="Times New Roman" w:hAnsi="Times New Roman"/>
                <w:sz w:val="18"/>
              </w:rPr>
              <w:t>ii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(institu</w:t>
            </w:r>
            <w:r w:rsidR="000C213F">
              <w:rPr>
                <w:rFonts w:ascii="Times New Roman" w:hAnsi="Times New Roman"/>
                <w:sz w:val="18"/>
              </w:rPr>
              <w:t>ț</w:t>
            </w:r>
            <w:r>
              <w:rPr>
                <w:rFonts w:ascii="Times New Roman" w:hAnsi="Times New Roman"/>
                <w:sz w:val="18"/>
              </w:rPr>
              <w:t xml:space="preserve">ii de credit </w:t>
            </w:r>
            <w:r w:rsidR="000C213F">
              <w:rPr>
                <w:rFonts w:ascii="Times New Roman" w:hAnsi="Times New Roman"/>
                <w:sz w:val="18"/>
              </w:rPr>
              <w:t>ș</w:t>
            </w:r>
            <w:r>
              <w:rPr>
                <w:rFonts w:ascii="Times New Roman" w:hAnsi="Times New Roman"/>
                <w:sz w:val="18"/>
              </w:rPr>
              <w:t>i firme de investi</w:t>
            </w:r>
            <w:r w:rsidR="000C213F">
              <w:rPr>
                <w:rFonts w:ascii="Times New Roman" w:hAnsi="Times New Roman"/>
                <w:sz w:val="18"/>
              </w:rPr>
              <w:t>ț</w:t>
            </w:r>
            <w:r>
              <w:rPr>
                <w:rFonts w:ascii="Times New Roman" w:hAnsi="Times New Roman"/>
                <w:sz w:val="18"/>
              </w:rPr>
              <w:t xml:space="preserve">ii, precum </w:t>
            </w:r>
            <w:r w:rsidR="000C213F">
              <w:rPr>
                <w:rFonts w:ascii="Times New Roman" w:hAnsi="Times New Roman"/>
                <w:sz w:val="18"/>
              </w:rPr>
              <w:t>ș</w:t>
            </w:r>
            <w:r>
              <w:rPr>
                <w:rFonts w:ascii="Times New Roman" w:hAnsi="Times New Roman"/>
                <w:sz w:val="18"/>
              </w:rPr>
              <w:t>i</w:t>
            </w:r>
            <w:r>
              <w:rPr>
                <w:rFonts w:ascii="Times New Roman" w:hAnsi="Times New Roman"/>
                <w:i/>
                <w:sz w:val="20"/>
              </w:rPr>
              <w:t xml:space="preserve"> </w:t>
            </w:r>
            <w:r>
              <w:rPr>
                <w:rFonts w:ascii="Times New Roman" w:hAnsi="Times New Roman"/>
                <w:sz w:val="18"/>
              </w:rPr>
              <w:t>unele administra</w:t>
            </w:r>
            <w:r w:rsidR="000C213F">
              <w:rPr>
                <w:rFonts w:ascii="Times New Roman" w:hAnsi="Times New Roman"/>
                <w:sz w:val="18"/>
              </w:rPr>
              <w:t>ț</w:t>
            </w:r>
            <w:r>
              <w:rPr>
                <w:rFonts w:ascii="Times New Roman" w:hAnsi="Times New Roman"/>
                <w:sz w:val="18"/>
              </w:rPr>
              <w:t xml:space="preserve">ii publice </w:t>
            </w:r>
            <w:r w:rsidR="000C213F">
              <w:rPr>
                <w:rFonts w:ascii="Times New Roman" w:hAnsi="Times New Roman"/>
                <w:sz w:val="18"/>
              </w:rPr>
              <w:t>ș</w:t>
            </w:r>
            <w:r>
              <w:rPr>
                <w:rFonts w:ascii="Times New Roman" w:hAnsi="Times New Roman"/>
                <w:sz w:val="18"/>
              </w:rPr>
              <w:t>i bănci multilaterale)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 xml:space="preserve">ii publice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Societă</w:t>
            </w:r>
            <w:r w:rsidR="000C213F">
              <w:rPr>
                <w:rFonts w:ascii="Times New Roman" w:hAnsi="Times New Roman"/>
                <w:sz w:val="18"/>
              </w:rPr>
              <w:t>ț</w:t>
            </w:r>
            <w:r>
              <w:rPr>
                <w:rFonts w:ascii="Times New Roman" w:hAnsi="Times New Roman"/>
                <w:sz w:val="18"/>
              </w:rPr>
              <w:t>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Gospodării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Retail</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Gospodării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natura contrapăr</w:t>
            </w:r>
            <w:r w:rsidR="000C213F">
              <w:rPr>
                <w:rFonts w:ascii="Times New Roman" w:hAnsi="Times New Roman"/>
                <w:sz w:val="18"/>
              </w:rPr>
              <w:t>ț</w:t>
            </w:r>
            <w:r>
              <w:rPr>
                <w:rFonts w:ascii="Times New Roman" w:hAnsi="Times New Roman"/>
                <w:sz w:val="18"/>
              </w:rPr>
              <w:t>ii imediate.</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Capitaluri proprii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Instrumente de capitaluri proprii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În FINREP, instrumentele de capitaluri proprii sunt separate ca instrumente în cadrul diferitelor categorii de active financiare.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Pozi</w:t>
            </w:r>
            <w:r w:rsidR="000C213F">
              <w:rPr>
                <w:rFonts w:ascii="Times New Roman" w:hAnsi="Times New Roman"/>
                <w:sz w:val="18"/>
              </w:rPr>
              <w:t>ț</w:t>
            </w:r>
            <w:r>
              <w:rPr>
                <w:rFonts w:ascii="Times New Roman" w:hAnsi="Times New Roman"/>
                <w:sz w:val="18"/>
              </w:rPr>
              <w:t>ii din securitizare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2</w:t>
            </w:r>
            <w:r>
              <w:rPr>
                <w:rFonts w:ascii="Times New Roman" w:hAnsi="Times New Roman"/>
                <w:sz w:val="18"/>
              </w:rPr>
              <w:t>) Administra</w:t>
            </w:r>
            <w:r w:rsidR="000C213F">
              <w:rPr>
                <w:rFonts w:ascii="Times New Roman" w:hAnsi="Times New Roman"/>
                <w:sz w:val="18"/>
              </w:rPr>
              <w:t>ț</w:t>
            </w:r>
            <w:r>
              <w:rPr>
                <w:rFonts w:ascii="Times New Roman" w:hAnsi="Times New Roman"/>
                <w:sz w:val="18"/>
              </w:rPr>
              <w:t>ii publice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3</w:t>
            </w:r>
            <w:r>
              <w:rPr>
                <w:rFonts w:ascii="Times New Roman" w:hAnsi="Times New Roman"/>
                <w:sz w:val="18"/>
              </w:rPr>
              <w:t>) Institu</w:t>
            </w:r>
            <w:r w:rsidR="000C213F">
              <w:rPr>
                <w:rFonts w:ascii="Times New Roman" w:hAnsi="Times New Roman"/>
                <w:sz w:val="18"/>
              </w:rPr>
              <w:t>ț</w:t>
            </w:r>
            <w:r>
              <w:rPr>
                <w:rFonts w:ascii="Times New Roman" w:hAnsi="Times New Roman"/>
                <w:sz w:val="18"/>
              </w:rPr>
              <w:t>ii de credit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4</w:t>
            </w:r>
            <w:r>
              <w:rPr>
                <w:rFonts w:ascii="Times New Roman" w:hAnsi="Times New Roman"/>
                <w:sz w:val="18"/>
              </w:rPr>
              <w:t>) Alte societă</w:t>
            </w:r>
            <w:r w:rsidR="000C213F">
              <w:rPr>
                <w:rFonts w:ascii="Times New Roman" w:hAnsi="Times New Roman"/>
                <w:sz w:val="18"/>
              </w:rPr>
              <w:t>ț</w:t>
            </w:r>
            <w:r>
              <w:rPr>
                <w:rFonts w:ascii="Times New Roman" w:hAnsi="Times New Roman"/>
                <w:sz w:val="18"/>
              </w:rPr>
              <w:t>i 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5</w:t>
            </w:r>
            <w:r>
              <w:rPr>
                <w:rFonts w:ascii="Times New Roman" w:hAnsi="Times New Roman"/>
                <w:sz w:val="18"/>
              </w:rPr>
              <w:t>) Societă</w:t>
            </w:r>
            <w:r w:rsidR="000C213F">
              <w:rPr>
                <w:rFonts w:ascii="Times New Roman" w:hAnsi="Times New Roman"/>
                <w:sz w:val="18"/>
              </w:rPr>
              <w:t>ț</w:t>
            </w:r>
            <w:r>
              <w:rPr>
                <w:rFonts w:ascii="Times New Roman" w:hAnsi="Times New Roman"/>
                <w:sz w:val="18"/>
              </w:rPr>
              <w:t>i nefinanciare</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w:t>
            </w:r>
            <w:r w:rsidRPr="004237EC">
              <w:rPr>
                <w:rFonts w:ascii="Times New Roman" w:hAnsi="Times New Roman"/>
                <w:sz w:val="18"/>
              </w:rPr>
              <w:t>6</w:t>
            </w:r>
            <w:r>
              <w:rPr>
                <w:rFonts w:ascii="Times New Roman" w:hAnsi="Times New Roman"/>
                <w:sz w:val="18"/>
              </w:rPr>
              <w:t xml:space="preserve">) Gospodării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Aceste expuneri se atribuie sectoarelor contrapăr</w:t>
            </w:r>
            <w:r w:rsidR="000C213F">
              <w:rPr>
                <w:rFonts w:ascii="Times New Roman" w:hAnsi="Times New Roman"/>
                <w:sz w:val="18"/>
              </w:rPr>
              <w:t>ț</w:t>
            </w:r>
            <w:r>
              <w:rPr>
                <w:rFonts w:ascii="Times New Roman" w:hAnsi="Times New Roman"/>
                <w:sz w:val="18"/>
              </w:rPr>
              <w:t>ii conform FINREP în func</w:t>
            </w:r>
            <w:r w:rsidR="000C213F">
              <w:rPr>
                <w:rFonts w:ascii="Times New Roman" w:hAnsi="Times New Roman"/>
                <w:sz w:val="18"/>
              </w:rPr>
              <w:t>ț</w:t>
            </w:r>
            <w:r>
              <w:rPr>
                <w:rFonts w:ascii="Times New Roman" w:hAnsi="Times New Roman"/>
                <w:sz w:val="18"/>
              </w:rPr>
              <w:t>ie de riscul-suport al pozi</w:t>
            </w:r>
            <w:r w:rsidR="000C213F">
              <w:rPr>
                <w:rFonts w:ascii="Times New Roman" w:hAnsi="Times New Roman"/>
                <w:sz w:val="18"/>
              </w:rPr>
              <w:t>ț</w:t>
            </w:r>
            <w:r>
              <w:rPr>
                <w:rFonts w:ascii="Times New Roman" w:hAnsi="Times New Roman"/>
                <w:sz w:val="18"/>
              </w:rPr>
              <w:t>iilor din securitizare. În FINREP, în cazul în care pozi</w:t>
            </w:r>
            <w:r w:rsidR="000C213F">
              <w:rPr>
                <w:rFonts w:ascii="Times New Roman" w:hAnsi="Times New Roman"/>
                <w:sz w:val="18"/>
              </w:rPr>
              <w:t>ț</w:t>
            </w:r>
            <w:r>
              <w:rPr>
                <w:rFonts w:ascii="Times New Roman" w:hAnsi="Times New Roman"/>
                <w:sz w:val="18"/>
              </w:rPr>
              <w:t>iile securitizate rămân recunoscute în bilan</w:t>
            </w:r>
            <w:r w:rsidR="000C213F">
              <w:rPr>
                <w:rFonts w:ascii="Times New Roman" w:hAnsi="Times New Roman"/>
                <w:sz w:val="18"/>
              </w:rPr>
              <w:t>ț</w:t>
            </w:r>
            <w:r>
              <w:rPr>
                <w:rFonts w:ascii="Times New Roman" w:hAnsi="Times New Roman"/>
                <w:sz w:val="18"/>
              </w:rPr>
              <w:t>, sectoarele contrapăr</w:t>
            </w:r>
            <w:r w:rsidR="000C213F">
              <w:rPr>
                <w:rFonts w:ascii="Times New Roman" w:hAnsi="Times New Roman"/>
                <w:sz w:val="18"/>
              </w:rPr>
              <w:t>ț</w:t>
            </w:r>
            <w:r>
              <w:rPr>
                <w:rFonts w:ascii="Times New Roman" w:hAnsi="Times New Roman"/>
                <w:sz w:val="18"/>
              </w:rPr>
              <w:t>ii sunt sectoarele contrapăr</w:t>
            </w:r>
            <w:r w:rsidR="000C213F">
              <w:rPr>
                <w:rFonts w:ascii="Times New Roman" w:hAnsi="Times New Roman"/>
                <w:sz w:val="18"/>
              </w:rPr>
              <w:t>ț</w:t>
            </w:r>
            <w:r>
              <w:rPr>
                <w:rFonts w:ascii="Times New Roman" w:hAnsi="Times New Roman"/>
                <w:sz w:val="18"/>
              </w:rPr>
              <w:t>ilor imediate ale acestor pozi</w:t>
            </w:r>
            <w:r w:rsidR="000C213F">
              <w:rPr>
                <w:rFonts w:ascii="Times New Roman" w:hAnsi="Times New Roman"/>
                <w:sz w:val="18"/>
              </w:rPr>
              <w:t>ț</w:t>
            </w:r>
            <w:r>
              <w:rPr>
                <w:rFonts w:ascii="Times New Roman" w:hAnsi="Times New Roman"/>
                <w:sz w:val="18"/>
              </w:rPr>
              <w:t>ii.</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Alte obliga</w:t>
            </w:r>
            <w:r w:rsidR="000C213F">
              <w:rPr>
                <w:rFonts w:ascii="Times New Roman" w:hAnsi="Times New Roman"/>
                <w:sz w:val="18"/>
              </w:rPr>
              <w:t>ț</w:t>
            </w:r>
            <w:r>
              <w:rPr>
                <w:rFonts w:ascii="Times New Roman" w:hAnsi="Times New Roman"/>
                <w:sz w:val="18"/>
              </w:rPr>
              <w:t>ii decât cele legate de credit</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Diferite elemente din bilan</w:t>
            </w:r>
            <w:r w:rsidR="000C213F">
              <w:rPr>
                <w:rFonts w:ascii="Times New Roman" w:hAnsi="Times New Roman"/>
                <w:sz w:val="18"/>
              </w:rPr>
              <w:t>ț</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În FINREP, alte elemente pot fi incluse în cadrul diferitelor categorii de active.</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EAE" w:rsidRDefault="00586EAE">
      <w:pPr>
        <w:spacing w:after="0"/>
      </w:pPr>
      <w:r>
        <w:separator/>
      </w:r>
    </w:p>
  </w:endnote>
  <w:endnote w:type="continuationSeparator" w:id="0">
    <w:p w:rsidR="00586EAE" w:rsidRDefault="00586E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EAE" w:rsidRDefault="00586EAE">
    <w:pPr>
      <w:pStyle w:val="Footer"/>
      <w:jc w:val="right"/>
    </w:pPr>
    <w:r>
      <w:fldChar w:fldCharType="begin"/>
    </w:r>
    <w:r>
      <w:instrText xml:space="preserve"> PAGE   \* MERGEFORMAT </w:instrText>
    </w:r>
    <w:r>
      <w:fldChar w:fldCharType="separate"/>
    </w:r>
    <w:r w:rsidR="00843C86">
      <w:rPr>
        <w:noProof/>
      </w:rPr>
      <w:t>3</w:t>
    </w:r>
    <w:r>
      <w:rPr>
        <w:noProof/>
      </w:rPr>
      <w:fldChar w:fldCharType="end"/>
    </w:r>
  </w:p>
  <w:p w:rsidR="00586EAE" w:rsidRDefault="00586E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EAE" w:rsidRDefault="00586EAE">
    <w:pPr>
      <w:pStyle w:val="Footer"/>
      <w:jc w:val="right"/>
    </w:pPr>
    <w:r>
      <w:fldChar w:fldCharType="begin"/>
    </w:r>
    <w:r>
      <w:instrText xml:space="preserve"> PAGE   \* MERGEFORMAT </w:instrText>
    </w:r>
    <w:r>
      <w:fldChar w:fldCharType="separate"/>
    </w:r>
    <w:r w:rsidR="00843C86">
      <w:rPr>
        <w:noProof/>
      </w:rPr>
      <w:t>16</w:t>
    </w:r>
    <w:r>
      <w:rPr>
        <w:noProof/>
      </w:rPr>
      <w:fldChar w:fldCharType="end"/>
    </w:r>
  </w:p>
  <w:p w:rsidR="00586EAE" w:rsidRDefault="00586E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EAE" w:rsidRDefault="00586EAE" w:rsidP="009569C7">
      <w:pPr>
        <w:spacing w:after="0"/>
      </w:pPr>
      <w:r>
        <w:separator/>
      </w:r>
    </w:p>
  </w:footnote>
  <w:footnote w:type="continuationSeparator" w:id="0">
    <w:p w:rsidR="00586EAE" w:rsidRDefault="00586EAE" w:rsidP="009569C7">
      <w:pPr>
        <w:spacing w:after="0"/>
      </w:pPr>
      <w:r>
        <w:continuationSeparator/>
      </w:r>
    </w:p>
  </w:footnote>
  <w:footnote w:type="continuationNotice" w:id="1">
    <w:p w:rsidR="00586EAE" w:rsidRDefault="00586EAE">
      <w:pPr>
        <w:spacing w:after="0"/>
      </w:pPr>
    </w:p>
  </w:footnote>
  <w:footnote w:id="2">
    <w:p w:rsidR="00586EAE" w:rsidRPr="001118C7" w:rsidRDefault="00586EAE" w:rsidP="009569C7">
      <w:pPr>
        <w:pStyle w:val="FootnoteText"/>
      </w:pPr>
      <w:r>
        <w:rPr>
          <w:rStyle w:val="FootnoteReference"/>
        </w:rPr>
        <w:footnoteRef/>
      </w:r>
      <w:r>
        <w:t xml:space="preserve"> </w:t>
      </w:r>
      <w:r>
        <w:tab/>
        <w:t xml:space="preserve">Regulamentul (CE) nr. </w:t>
      </w:r>
      <w:r w:rsidRPr="004237EC">
        <w:t>1606</w:t>
      </w:r>
      <w:r>
        <w:t>/</w:t>
      </w:r>
      <w:r w:rsidRPr="004237EC">
        <w:t>2002</w:t>
      </w:r>
      <w:r>
        <w:t xml:space="preserve"> al Parlamentului European și al Consiliului din </w:t>
      </w:r>
      <w:r w:rsidRPr="004237EC">
        <w:t>19</w:t>
      </w:r>
      <w:r>
        <w:t> iulie </w:t>
      </w:r>
      <w:r w:rsidRPr="004237EC">
        <w:t>2002</w:t>
      </w:r>
      <w:r>
        <w:t xml:space="preserve"> privind aplicarea standardelor internaționale de contabilitate (JO L </w:t>
      </w:r>
      <w:r w:rsidRPr="004237EC">
        <w:t>243</w:t>
      </w:r>
      <w:r>
        <w:t xml:space="preserve">, </w:t>
      </w:r>
      <w:r w:rsidRPr="004237EC">
        <w:t>11</w:t>
      </w:r>
      <w:r>
        <w:t>.</w:t>
      </w:r>
      <w:r w:rsidRPr="004237EC">
        <w:t>9</w:t>
      </w:r>
      <w:r>
        <w:t>.</w:t>
      </w:r>
      <w:r w:rsidRPr="004237EC">
        <w:t>2002</w:t>
      </w:r>
      <w:r>
        <w:t>, p. </w:t>
      </w:r>
      <w:r w:rsidRPr="004237EC">
        <w:t>1</w:t>
      </w:r>
      <w:r>
        <w:t>).</w:t>
      </w:r>
    </w:p>
  </w:footnote>
  <w:footnote w:id="3">
    <w:p w:rsidR="00586EAE" w:rsidRPr="004F7202" w:rsidRDefault="00586EAE" w:rsidP="009569C7">
      <w:pPr>
        <w:pStyle w:val="FootnoteText"/>
        <w:spacing w:after="120"/>
        <w:rPr>
          <w:lang w:val="et-EE"/>
        </w:rPr>
      </w:pPr>
      <w:r>
        <w:rPr>
          <w:rStyle w:val="FootnoteReference"/>
        </w:rPr>
        <w:footnoteRef/>
      </w:r>
      <w:r>
        <w:t xml:space="preserve"> </w:t>
      </w:r>
      <w:r>
        <w:tab/>
        <w:t xml:space="preserve">Regulamentul (CE) nr. </w:t>
      </w:r>
      <w:r w:rsidRPr="004237EC">
        <w:t>1071</w:t>
      </w:r>
      <w:r>
        <w:t>/</w:t>
      </w:r>
      <w:r w:rsidRPr="004237EC">
        <w:t>2013</w:t>
      </w:r>
      <w:r>
        <w:t xml:space="preserve"> al Băncii Centrale Europene din </w:t>
      </w:r>
      <w:r w:rsidRPr="004237EC">
        <w:t>24</w:t>
      </w:r>
      <w:r>
        <w:t xml:space="preserve"> septembrie </w:t>
      </w:r>
      <w:r w:rsidRPr="004237EC">
        <w:t>2013</w:t>
      </w:r>
      <w:r>
        <w:t xml:space="preserve"> privind bilanțul sectorului instituții financiare monetare (reformare) (BCE/</w:t>
      </w:r>
      <w:r w:rsidRPr="004237EC">
        <w:t>2013</w:t>
      </w:r>
      <w:r>
        <w:t>/</w:t>
      </w:r>
      <w:r w:rsidRPr="004237EC">
        <w:t>33</w:t>
      </w:r>
      <w:r>
        <w:t xml:space="preserve">) (JO L </w:t>
      </w:r>
      <w:r w:rsidRPr="004237EC">
        <w:t>297</w:t>
      </w:r>
      <w:r>
        <w:t xml:space="preserve">, </w:t>
      </w:r>
      <w:r w:rsidRPr="004237EC">
        <w:t>7</w:t>
      </w:r>
      <w:r>
        <w:t>.</w:t>
      </w:r>
      <w:r w:rsidRPr="004237EC">
        <w:t>11</w:t>
      </w:r>
      <w:r>
        <w:t>.</w:t>
      </w:r>
      <w:r w:rsidRPr="004237EC">
        <w:t>2013</w:t>
      </w:r>
      <w:r>
        <w:t>, p. </w:t>
      </w:r>
      <w:r w:rsidRPr="004237EC">
        <w:t>1</w:t>
      </w:r>
      <w:r>
        <w:t>).</w:t>
      </w:r>
    </w:p>
  </w:footnote>
  <w:footnote w:id="4">
    <w:p w:rsidR="00586EAE" w:rsidRPr="004F7202" w:rsidRDefault="00586EAE">
      <w:pPr>
        <w:pStyle w:val="FootnoteText"/>
        <w:rPr>
          <w:lang w:val="et-EE"/>
        </w:rPr>
      </w:pPr>
      <w:r>
        <w:rPr>
          <w:rStyle w:val="FootnoteReference"/>
        </w:rPr>
        <w:footnoteRef/>
      </w:r>
      <w:r>
        <w:t xml:space="preserve"> </w:t>
      </w:r>
      <w:r>
        <w:tab/>
        <w:t xml:space="preserve">Regulamentul (CE) nr. </w:t>
      </w:r>
      <w:r w:rsidRPr="004237EC">
        <w:t>1893</w:t>
      </w:r>
      <w:r>
        <w:t>/</w:t>
      </w:r>
      <w:r w:rsidRPr="004237EC">
        <w:t>2006</w:t>
      </w:r>
      <w:r>
        <w:t xml:space="preserve"> al Parlamentului European și al Consiliului din </w:t>
      </w:r>
      <w:r w:rsidRPr="004237EC">
        <w:t>20</w:t>
      </w:r>
      <w:r>
        <w:t xml:space="preserve"> decembrie </w:t>
      </w:r>
      <w:r w:rsidRPr="004237EC">
        <w:t>2006</w:t>
      </w:r>
      <w:r>
        <w:t xml:space="preserve"> de stabilire a Nomenclatorului statistic al activităților economice NACE a doua revizuire și de modificare a Regulamentului (CEE) nr. </w:t>
      </w:r>
      <w:r w:rsidRPr="004237EC">
        <w:t>3037</w:t>
      </w:r>
      <w:r>
        <w:t>/</w:t>
      </w:r>
      <w:r w:rsidRPr="004237EC">
        <w:t>90</w:t>
      </w:r>
      <w:r>
        <w:t xml:space="preserve"> al Consiliului, precum și a anumitor regulamente CE privind domenii statistice specifice (JO L </w:t>
      </w:r>
      <w:r w:rsidRPr="004237EC">
        <w:t>393</w:t>
      </w:r>
      <w:r>
        <w:t xml:space="preserve">, </w:t>
      </w:r>
      <w:r w:rsidRPr="004237EC">
        <w:t>30</w:t>
      </w:r>
      <w:r>
        <w:t>.</w:t>
      </w:r>
      <w:r w:rsidRPr="004237EC">
        <w:t>12</w:t>
      </w:r>
      <w:r>
        <w:t>.</w:t>
      </w:r>
      <w:r w:rsidRPr="004237EC">
        <w:t>2006</w:t>
      </w:r>
      <w:r>
        <w:t xml:space="preserve">, p. </w:t>
      </w:r>
      <w:r w:rsidRPr="004237EC">
        <w:t>1</w:t>
      </w:r>
      <w:r>
        <w:t>).</w:t>
      </w:r>
    </w:p>
  </w:footnote>
  <w:footnote w:id="5">
    <w:p w:rsidR="00586EAE" w:rsidRPr="004F7202" w:rsidRDefault="00586EAE">
      <w:pPr>
        <w:pStyle w:val="FootnoteText"/>
        <w:rPr>
          <w:lang w:val="et-EE"/>
        </w:rPr>
      </w:pPr>
      <w:r>
        <w:rPr>
          <w:rStyle w:val="FootnoteReference"/>
        </w:rPr>
        <w:footnoteRef/>
      </w:r>
      <w:r>
        <w:t xml:space="preserve"> </w:t>
      </w:r>
      <w:r>
        <w:tab/>
      </w:r>
      <w:r>
        <w:t xml:space="preserve">Directiva </w:t>
      </w:r>
      <w:r w:rsidRPr="004237EC">
        <w:t>86</w:t>
      </w:r>
      <w:r>
        <w:t>/</w:t>
      </w:r>
      <w:r w:rsidRPr="004237EC">
        <w:t>635</w:t>
      </w:r>
      <w:r>
        <w:t xml:space="preserve">/CEE a Consiliului din </w:t>
      </w:r>
      <w:r w:rsidRPr="004237EC">
        <w:t>8</w:t>
      </w:r>
      <w:r>
        <w:t xml:space="preserve"> decembrie </w:t>
      </w:r>
      <w:r w:rsidRPr="004237EC">
        <w:t>1986</w:t>
      </w:r>
      <w:r>
        <w:t xml:space="preserve"> privind conturile anuale și conturile consolidate ale băncilor și ale altor instituții financiare (JO L </w:t>
      </w:r>
      <w:r w:rsidRPr="004237EC">
        <w:t>372</w:t>
      </w:r>
      <w:r>
        <w:t xml:space="preserve">, </w:t>
      </w:r>
      <w:r w:rsidRPr="004237EC">
        <w:t>31</w:t>
      </w:r>
      <w:r>
        <w:t>.</w:t>
      </w:r>
      <w:r w:rsidRPr="004237EC">
        <w:t>12</w:t>
      </w:r>
      <w:r>
        <w:t>.</w:t>
      </w:r>
      <w:r w:rsidRPr="004237EC">
        <w:t>1986</w:t>
      </w:r>
      <w:r>
        <w:t xml:space="preserve">, p. </w:t>
      </w:r>
      <w:r w:rsidRPr="004237EC">
        <w:t>1</w:t>
      </w:r>
      <w:r>
        <w:t>).</w:t>
      </w:r>
    </w:p>
  </w:footnote>
  <w:footnote w:id="6">
    <w:p w:rsidR="00586EAE" w:rsidRPr="00BA387A" w:rsidRDefault="00586EAE" w:rsidP="009569C7">
      <w:pPr>
        <w:pStyle w:val="FootnoteText"/>
      </w:pPr>
      <w:r>
        <w:rPr>
          <w:rStyle w:val="FootnoteReference"/>
        </w:rPr>
        <w:footnoteRef/>
      </w:r>
      <w:r>
        <w:t xml:space="preserve"> </w:t>
      </w:r>
      <w:r>
        <w:tab/>
      </w:r>
      <w:r>
        <w:t xml:space="preserve">Directiva </w:t>
      </w:r>
      <w:r w:rsidRPr="004237EC">
        <w:t>2013</w:t>
      </w:r>
      <w:r>
        <w:t>/</w:t>
      </w:r>
      <w:r w:rsidRPr="004237EC">
        <w:t>34</w:t>
      </w:r>
      <w:r>
        <w:t xml:space="preserve">/UE a Parlamentului European și a Consiliului din </w:t>
      </w:r>
      <w:r w:rsidRPr="004237EC">
        <w:t>26</w:t>
      </w:r>
      <w:r>
        <w:t xml:space="preserve"> iunie </w:t>
      </w:r>
      <w:r w:rsidRPr="004237EC">
        <w:t>2013</w:t>
      </w:r>
      <w:r>
        <w:t xml:space="preserve"> privind situațiile financiare anuale, situațiile financiare consolidate și rapoartele conexe ale anumitor tipuri de întreprinderi, de modificare a Directivei </w:t>
      </w:r>
      <w:r w:rsidRPr="004237EC">
        <w:t>2006</w:t>
      </w:r>
      <w:r>
        <w:t>/</w:t>
      </w:r>
      <w:r w:rsidRPr="004237EC">
        <w:t>43</w:t>
      </w:r>
      <w:r>
        <w:t xml:space="preserve">/CE a Parlamentului European și a Consiliului și de abrogare a Directivelor </w:t>
      </w:r>
      <w:r w:rsidRPr="004237EC">
        <w:t>78</w:t>
      </w:r>
      <w:r>
        <w:t>/</w:t>
      </w:r>
      <w:r w:rsidRPr="004237EC">
        <w:t>660</w:t>
      </w:r>
      <w:r>
        <w:t xml:space="preserve">/CEE și </w:t>
      </w:r>
      <w:r w:rsidRPr="004237EC">
        <w:t>83</w:t>
      </w:r>
      <w:r>
        <w:t>/</w:t>
      </w:r>
      <w:r w:rsidRPr="004237EC">
        <w:t>349</w:t>
      </w:r>
      <w:r>
        <w:t xml:space="preserve">/CEE ale Consiliului (JO L </w:t>
      </w:r>
      <w:r w:rsidRPr="004237EC">
        <w:t>182</w:t>
      </w:r>
      <w:r>
        <w:t xml:space="preserve">, </w:t>
      </w:r>
      <w:r w:rsidRPr="004237EC">
        <w:t>29</w:t>
      </w:r>
      <w:r>
        <w:t>.</w:t>
      </w:r>
      <w:r w:rsidRPr="004237EC">
        <w:t>6</w:t>
      </w:r>
      <w:r>
        <w:t>.</w:t>
      </w:r>
      <w:r w:rsidRPr="004237EC">
        <w:t>2013</w:t>
      </w:r>
      <w:r>
        <w:t xml:space="preserve">, p. </w:t>
      </w:r>
      <w:r w:rsidRPr="004237EC">
        <w:t>19</w:t>
      </w:r>
      <w:r>
        <w:t>).</w:t>
      </w:r>
    </w:p>
  </w:footnote>
  <w:footnote w:id="7">
    <w:p w:rsidR="00586EAE" w:rsidRPr="00BA387A" w:rsidRDefault="00586EAE" w:rsidP="009569C7">
      <w:pPr>
        <w:pStyle w:val="FootnoteText"/>
      </w:pPr>
      <w:r>
        <w:rPr>
          <w:rStyle w:val="FootnoteReference"/>
        </w:rPr>
        <w:footnoteRef/>
      </w:r>
      <w:r>
        <w:tab/>
      </w:r>
      <w:r>
        <w:t xml:space="preserve">Recomandarea Comisiei din </w:t>
      </w:r>
      <w:r w:rsidRPr="004237EC">
        <w:t>6</w:t>
      </w:r>
      <w:r>
        <w:t xml:space="preserve"> mai </w:t>
      </w:r>
      <w:r w:rsidRPr="004237EC">
        <w:t>2003</w:t>
      </w:r>
      <w:r>
        <w:t xml:space="preserve"> de definire a microîntreprinderilor, întreprinderilor mici și mijlocii [C(</w:t>
      </w:r>
      <w:r w:rsidRPr="004237EC">
        <w:t>2003</w:t>
      </w:r>
      <w:r>
        <w:t>)</w:t>
      </w:r>
      <w:r w:rsidRPr="004237EC">
        <w:t>1422</w:t>
      </w:r>
      <w:r>
        <w:t xml:space="preserve">] (JO L </w:t>
      </w:r>
      <w:r w:rsidRPr="004237EC">
        <w:t>124</w:t>
      </w:r>
      <w:r>
        <w:t xml:space="preserve">, </w:t>
      </w:r>
      <w:r w:rsidRPr="004237EC">
        <w:t>20</w:t>
      </w:r>
      <w:r>
        <w:t>.</w:t>
      </w:r>
      <w:r w:rsidRPr="004237EC">
        <w:t>5</w:t>
      </w:r>
      <w:r>
        <w:t>.</w:t>
      </w:r>
      <w:r w:rsidRPr="004237EC">
        <w:t>2003</w:t>
      </w:r>
      <w:r>
        <w:t xml:space="preserve">, p. </w:t>
      </w:r>
      <w:r w:rsidRPr="004237EC">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C213F"/>
    <w:rsid w:val="00152278"/>
    <w:rsid w:val="002C06EE"/>
    <w:rsid w:val="0030521D"/>
    <w:rsid w:val="00316C77"/>
    <w:rsid w:val="003A35E6"/>
    <w:rsid w:val="004237EC"/>
    <w:rsid w:val="005427F9"/>
    <w:rsid w:val="00586EAE"/>
    <w:rsid w:val="005F4BF4"/>
    <w:rsid w:val="00615257"/>
    <w:rsid w:val="0062687D"/>
    <w:rsid w:val="006A2EB8"/>
    <w:rsid w:val="00837ED5"/>
    <w:rsid w:val="00843C86"/>
    <w:rsid w:val="00860F58"/>
    <w:rsid w:val="00892B22"/>
    <w:rsid w:val="0093244C"/>
    <w:rsid w:val="009569C7"/>
    <w:rsid w:val="009E0809"/>
    <w:rsid w:val="00A00717"/>
    <w:rsid w:val="00A834F1"/>
    <w:rsid w:val="00AA6762"/>
    <w:rsid w:val="00B420BD"/>
    <w:rsid w:val="00C82C90"/>
    <w:rsid w:val="00EA53EB"/>
    <w:rsid w:val="00ED3B87"/>
    <w:rsid w:val="00F548D9"/>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ro-RO"/>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ro-RO"/>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ro-RO"/>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ro-RO"/>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ro-RO"/>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ro-RO"/>
    </w:rPr>
  </w:style>
  <w:style w:type="character" w:customStyle="1" w:styleId="subtitlenonumberChar">
    <w:name w:val="subtitle no number Char"/>
    <w:link w:val="subtitlenonumber"/>
    <w:rsid w:val="00AD63B8"/>
    <w:rPr>
      <w:b/>
      <w:i/>
      <w:sz w:val="24"/>
      <w:szCs w:val="24"/>
      <w:lang w:val="ro-RO" w:eastAsia="ro-RO"/>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ro-RO" w:eastAsia="ro-RO"/>
    </w:rPr>
  </w:style>
  <w:style w:type="character" w:customStyle="1" w:styleId="Heading2Char">
    <w:name w:val="Heading 2 Char"/>
    <w:link w:val="Heading2"/>
    <w:rsid w:val="005100D0"/>
    <w:rPr>
      <w:rFonts w:ascii="Cambria" w:hAnsi="Cambria"/>
      <w:b/>
      <w:bCs/>
      <w:color w:val="4F81BD"/>
      <w:sz w:val="26"/>
      <w:szCs w:val="26"/>
      <w:lang w:val="ro-RO" w:eastAsia="ro-RO"/>
    </w:rPr>
  </w:style>
  <w:style w:type="character" w:customStyle="1" w:styleId="Heading3Char">
    <w:name w:val="Heading 3 Char"/>
    <w:link w:val="Heading3"/>
    <w:rsid w:val="005100D0"/>
    <w:rPr>
      <w:rFonts w:ascii="Cambria" w:hAnsi="Cambria"/>
      <w:b/>
      <w:bCs/>
      <w:color w:val="4F81BD"/>
      <w:sz w:val="22"/>
      <w:szCs w:val="22"/>
      <w:lang w:val="ro-RO" w:eastAsia="ro-RO"/>
    </w:rPr>
  </w:style>
  <w:style w:type="character" w:customStyle="1" w:styleId="Heading4Char">
    <w:name w:val="Heading 4 Char"/>
    <w:link w:val="Heading4"/>
    <w:rsid w:val="005100D0"/>
    <w:rPr>
      <w:rFonts w:ascii="Cambria" w:hAnsi="Cambria"/>
      <w:b/>
      <w:bCs/>
      <w:i/>
      <w:iCs/>
      <w:color w:val="4F81BD"/>
      <w:sz w:val="22"/>
      <w:szCs w:val="22"/>
      <w:lang w:val="ro-RO" w:eastAsia="ro-RO"/>
    </w:rPr>
  </w:style>
  <w:style w:type="character" w:customStyle="1" w:styleId="Heading5Char">
    <w:name w:val="Heading 5 Char"/>
    <w:link w:val="Heading5"/>
    <w:rsid w:val="005100D0"/>
    <w:rPr>
      <w:rFonts w:ascii="Cambria" w:hAnsi="Cambria"/>
      <w:color w:val="243F60"/>
      <w:sz w:val="22"/>
      <w:szCs w:val="22"/>
      <w:lang w:val="ro-RO" w:eastAsia="ro-RO"/>
    </w:rPr>
  </w:style>
  <w:style w:type="character" w:customStyle="1" w:styleId="Heading6Char">
    <w:name w:val="Heading 6 Char"/>
    <w:link w:val="Heading6"/>
    <w:rsid w:val="005100D0"/>
    <w:rPr>
      <w:rFonts w:ascii="Cambria" w:hAnsi="Cambria"/>
      <w:i/>
      <w:iCs/>
      <w:color w:val="243F60"/>
      <w:sz w:val="22"/>
      <w:szCs w:val="22"/>
      <w:lang w:val="ro-RO" w:eastAsia="ro-RO"/>
    </w:rPr>
  </w:style>
  <w:style w:type="character" w:customStyle="1" w:styleId="Heading7Char">
    <w:name w:val="Heading 7 Char"/>
    <w:link w:val="Heading7"/>
    <w:rsid w:val="005100D0"/>
    <w:rPr>
      <w:rFonts w:ascii="Cambria" w:hAnsi="Cambria"/>
      <w:i/>
      <w:iCs/>
      <w:color w:val="404040"/>
      <w:sz w:val="22"/>
      <w:szCs w:val="22"/>
      <w:lang w:val="ro-RO" w:eastAsia="ro-RO"/>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ro-RO" w:eastAsia="ro-RO"/>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ro-RO" w:eastAsia="ro-RO"/>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ro-RO" w:eastAsia="ro-RO"/>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ro-RO" w:eastAsia="ro-RO"/>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ro-RO" w:eastAsia="ro-RO"/>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ro-RO" w:eastAsia="ro-RO"/>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ro-RO"/>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ro-RO"/>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ro-RO"/>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ro-RO"/>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ro-RO"/>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ro-RO"/>
    </w:rPr>
  </w:style>
  <w:style w:type="character" w:customStyle="1" w:styleId="subtitlenonumberChar">
    <w:name w:val="subtitle no number Char"/>
    <w:link w:val="subtitlenonumber"/>
    <w:rsid w:val="00AD63B8"/>
    <w:rPr>
      <w:b/>
      <w:i/>
      <w:sz w:val="24"/>
      <w:szCs w:val="24"/>
      <w:lang w:val="ro-RO" w:eastAsia="ro-RO"/>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ro-RO" w:eastAsia="ro-RO"/>
    </w:rPr>
  </w:style>
  <w:style w:type="character" w:customStyle="1" w:styleId="Heading2Char">
    <w:name w:val="Heading 2 Char"/>
    <w:link w:val="Heading2"/>
    <w:rsid w:val="005100D0"/>
    <w:rPr>
      <w:rFonts w:ascii="Cambria" w:hAnsi="Cambria"/>
      <w:b/>
      <w:bCs/>
      <w:color w:val="4F81BD"/>
      <w:sz w:val="26"/>
      <w:szCs w:val="26"/>
      <w:lang w:val="ro-RO" w:eastAsia="ro-RO"/>
    </w:rPr>
  </w:style>
  <w:style w:type="character" w:customStyle="1" w:styleId="Heading3Char">
    <w:name w:val="Heading 3 Char"/>
    <w:link w:val="Heading3"/>
    <w:rsid w:val="005100D0"/>
    <w:rPr>
      <w:rFonts w:ascii="Cambria" w:hAnsi="Cambria"/>
      <w:b/>
      <w:bCs/>
      <w:color w:val="4F81BD"/>
      <w:sz w:val="22"/>
      <w:szCs w:val="22"/>
      <w:lang w:val="ro-RO" w:eastAsia="ro-RO"/>
    </w:rPr>
  </w:style>
  <w:style w:type="character" w:customStyle="1" w:styleId="Heading4Char">
    <w:name w:val="Heading 4 Char"/>
    <w:link w:val="Heading4"/>
    <w:rsid w:val="005100D0"/>
    <w:rPr>
      <w:rFonts w:ascii="Cambria" w:hAnsi="Cambria"/>
      <w:b/>
      <w:bCs/>
      <w:i/>
      <w:iCs/>
      <w:color w:val="4F81BD"/>
      <w:sz w:val="22"/>
      <w:szCs w:val="22"/>
      <w:lang w:val="ro-RO" w:eastAsia="ro-RO"/>
    </w:rPr>
  </w:style>
  <w:style w:type="character" w:customStyle="1" w:styleId="Heading5Char">
    <w:name w:val="Heading 5 Char"/>
    <w:link w:val="Heading5"/>
    <w:rsid w:val="005100D0"/>
    <w:rPr>
      <w:rFonts w:ascii="Cambria" w:hAnsi="Cambria"/>
      <w:color w:val="243F60"/>
      <w:sz w:val="22"/>
      <w:szCs w:val="22"/>
      <w:lang w:val="ro-RO" w:eastAsia="ro-RO"/>
    </w:rPr>
  </w:style>
  <w:style w:type="character" w:customStyle="1" w:styleId="Heading6Char">
    <w:name w:val="Heading 6 Char"/>
    <w:link w:val="Heading6"/>
    <w:rsid w:val="005100D0"/>
    <w:rPr>
      <w:rFonts w:ascii="Cambria" w:hAnsi="Cambria"/>
      <w:i/>
      <w:iCs/>
      <w:color w:val="243F60"/>
      <w:sz w:val="22"/>
      <w:szCs w:val="22"/>
      <w:lang w:val="ro-RO" w:eastAsia="ro-RO"/>
    </w:rPr>
  </w:style>
  <w:style w:type="character" w:customStyle="1" w:styleId="Heading7Char">
    <w:name w:val="Heading 7 Char"/>
    <w:link w:val="Heading7"/>
    <w:rsid w:val="005100D0"/>
    <w:rPr>
      <w:rFonts w:ascii="Cambria" w:hAnsi="Cambria"/>
      <w:i/>
      <w:iCs/>
      <w:color w:val="404040"/>
      <w:sz w:val="22"/>
      <w:szCs w:val="22"/>
      <w:lang w:val="ro-RO" w:eastAsia="ro-RO"/>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ro-RO" w:eastAsia="ro-RO"/>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ro-RO" w:eastAsia="ro-RO"/>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ro-RO" w:eastAsia="ro-RO"/>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ro-RO" w:eastAsia="ro-RO"/>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ro-RO" w:eastAsia="ro-RO"/>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ro-RO" w:eastAsia="ro-RO"/>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049B1-900C-4193-AFB4-45D4BA778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81</Pages>
  <Words>31131</Words>
  <Characters>194561</Characters>
  <Application>Microsoft Office Word</Application>
  <DocSecurity>0</DocSecurity>
  <Lines>3537</Lines>
  <Paragraphs>1128</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POJAR Ramona-Laura (DGT)</cp:lastModifiedBy>
  <cp:revision>7</cp:revision>
  <cp:lastPrinted>2016-10-27T14:00:00Z</cp:lastPrinted>
  <dcterms:created xsi:type="dcterms:W3CDTF">2017-06-16T07:20:00Z</dcterms:created>
  <dcterms:modified xsi:type="dcterms:W3CDTF">2017-06-22T12:07:00Z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