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AE2D66" w:rsidRDefault="00772C33" w:rsidP="00AE2D66">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660A380D396456CB21760C18B563A55" style="width:450.75pt;height:395.25pt">
            <v:imagedata r:id="rId9" o:title=""/>
          </v:shape>
        </w:pict>
      </w:r>
    </w:p>
    <w:p w:rsidR="00AD7ACA" w:rsidRPr="00AE2D66" w:rsidRDefault="00AD7ACA" w:rsidP="00AD7ACA">
      <w:pPr>
        <w:pStyle w:val="Pagedecouverture"/>
        <w:sectPr w:rsidR="00AD7ACA" w:rsidRPr="00AE2D66" w:rsidSect="00287A35">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AE2D66" w:rsidRDefault="00AE2D66" w:rsidP="00AE2D66">
      <w:pPr>
        <w:pStyle w:val="Typedudocument"/>
      </w:pPr>
      <w:r w:rsidRPr="00AE2D66">
        <w:lastRenderedPageBreak/>
        <w:t>KOMMISSIONENS GENOMFÖRANDEFÖRORDNING (EU) …/…</w:t>
      </w:r>
    </w:p>
    <w:p w:rsidR="000826D9" w:rsidRPr="00AE2D66" w:rsidRDefault="00AE2D66" w:rsidP="00AE2D66">
      <w:pPr>
        <w:pStyle w:val="Datedadoption"/>
      </w:pPr>
      <w:r w:rsidRPr="00AE2D66">
        <w:t xml:space="preserve">av den </w:t>
      </w:r>
      <w:r w:rsidRPr="00AE2D66">
        <w:rPr>
          <w:rStyle w:val="Marker2"/>
        </w:rPr>
        <w:t>XXX</w:t>
      </w:r>
    </w:p>
    <w:p w:rsidR="000826D9" w:rsidRPr="00AE2D66" w:rsidRDefault="00AE2D66" w:rsidP="00AE2D66">
      <w:pPr>
        <w:pStyle w:val="Titreobjet"/>
      </w:pPr>
      <w:r w:rsidRPr="00AE2D66">
        <w:t>om ändring av genomförandeförordning (EU) nr 680/2014 om tekniska standarder för genomförande av instituts tillsynsrapportering enligt Europaparlamentets och rådets förordning (EU) nr 575/2013</w:t>
      </w:r>
    </w:p>
    <w:p w:rsidR="000826D9" w:rsidRPr="00AE2D66" w:rsidRDefault="00AE2D66" w:rsidP="00AE2D66">
      <w:pPr>
        <w:pStyle w:val="IntrtEEE"/>
      </w:pPr>
      <w:r w:rsidRPr="00AE2D66">
        <w:t>(Text av betydelse för EES)</w:t>
      </w:r>
    </w:p>
    <w:p w:rsidR="000826D9" w:rsidRPr="00AE2D66" w:rsidRDefault="000826D9" w:rsidP="004E1EF9">
      <w:pPr>
        <w:pStyle w:val="Institutionquiagit"/>
      </w:pPr>
      <w:r w:rsidRPr="00AE2D66">
        <w:t>EUROPEISKA KOMMISSIONEN HAR ANTAGIT DENNA FÖRORDNING</w:t>
      </w:r>
    </w:p>
    <w:p w:rsidR="000826D9" w:rsidRPr="00AE2D66" w:rsidRDefault="000826D9" w:rsidP="004E1EF9">
      <w:r w:rsidRPr="00AE2D66">
        <w:t>med beaktande av fördraget om Europeiska unionens funktionssätt,</w:t>
      </w:r>
    </w:p>
    <w:p w:rsidR="000826D9" w:rsidRPr="00AE2D66" w:rsidRDefault="005E43C0" w:rsidP="00FC0A99">
      <w:r w:rsidRPr="00AE2D66">
        <w:t>med beaktande av Europaparlamentets och rådets förordning (EU) nr 575/2013 av den 26 juni 2013 om tillsynskrav för kreditinstitut och värdepappersföretag och om ändring av förordning (EU) nr 648/2012, särskilt artikel 99.5 fjärde stycket, artikel 99.6 fjärde stycket, artikel 101.4 tredje stycket och artikel 394.4 tredje stycket, och</w:t>
      </w:r>
    </w:p>
    <w:p w:rsidR="000826D9" w:rsidRPr="00AE2D66" w:rsidRDefault="000826D9" w:rsidP="004E1EF9">
      <w:r w:rsidRPr="00AE2D66">
        <w:t>av följande skäl:</w:t>
      </w:r>
    </w:p>
    <w:p w:rsidR="005E43C0" w:rsidRPr="00AE2D66" w:rsidRDefault="005E43C0" w:rsidP="00584220">
      <w:pPr>
        <w:pStyle w:val="Considrant"/>
        <w:numPr>
          <w:ilvl w:val="0"/>
          <w:numId w:val="5"/>
        </w:numPr>
      </w:pPr>
      <w:r w:rsidRPr="00AE2D66">
        <w:t>I kommissionens genomförandeförordning (EU) nr 680/2014</w:t>
      </w:r>
      <w:r w:rsidRPr="00AE2D66">
        <w:rPr>
          <w:rStyle w:val="FootnoteReference"/>
        </w:rPr>
        <w:footnoteReference w:id="1"/>
      </w:r>
      <w:r w:rsidRPr="00AE2D66">
        <w:t xml:space="preserve"> anges formerna för hur institut ska rapportera information som är relevant för deras efterlevnad av förordning (EU) nr 575/2013. I enlighet med artikel 99.5 i förordning (EU) nr 575/2013 ska Europeiska bankmyndigheten (EBA) utarbeta förslag till tekniska genomförandestandarder för att specificera enhetliga format för rapportering av finansiell information för institut som omfattas av artikel 4 i Europaparlamentets och rådets förordning (EG) nr 1606/2002</w:t>
      </w:r>
      <w:r w:rsidRPr="00AE2D66">
        <w:rPr>
          <w:rStyle w:val="FootnoteReference"/>
        </w:rPr>
        <w:footnoteReference w:id="2"/>
      </w:r>
      <w:r w:rsidRPr="00AE2D66">
        <w:t xml:space="preserve"> och för andra kreditinstitut än de som avses i den artikeln och som utarbetar sin sammanställda redovisning i överensstämmelse med de internationella redovisningsstandarder som antagits i enlighet med förfarandet i artikel 6.2 i förordning (EG) nr 1606/2002. Artikel 99.6 i förordning (EU) nr 575/2013 föreskriver vidare att EBA ska utarbeta förslag till tekniska genomförandestandarder för att specificera enhetliga format för den finansiella rapportering som ska tillämpas av institut som omfattas av sådana redovisningsramar som bygger på rådets direktiv 86/635/EEG</w:t>
      </w:r>
      <w:r w:rsidRPr="00AE2D66">
        <w:rPr>
          <w:rStyle w:val="FootnoteReference"/>
        </w:rPr>
        <w:footnoteReference w:id="3"/>
      </w:r>
      <w:r w:rsidRPr="00AE2D66">
        <w:t xml:space="preserve"> och till vilka de behöriga myndigheterna kan utvidga rapporteringskraven. Var och en av dessa bestämmelser rör sådana aspekter av ramverket för tillsynsrapportering inom unionen som behöver anpassas till nyligen tillämpliga internationella standarder. </w:t>
      </w:r>
    </w:p>
    <w:p w:rsidR="005E43C0" w:rsidRPr="00AE2D66" w:rsidRDefault="005E43C0" w:rsidP="001B668B">
      <w:pPr>
        <w:pStyle w:val="Considrant"/>
      </w:pPr>
      <w:r w:rsidRPr="00AE2D66">
        <w:t xml:space="preserve">De internationella redovisningsstandarder som antagits i enlighet med förfarandet i artikel 6.2 i förordning (EG) nr 1606/2002 grundar sig på </w:t>
      </w:r>
      <w:r w:rsidRPr="00AE2D66">
        <w:rPr>
          <w:i/>
        </w:rPr>
        <w:t>International Financial Reporting Standards</w:t>
      </w:r>
      <w:r w:rsidRPr="00AE2D66">
        <w:t xml:space="preserve"> (IFRS-standarder) som tagits fram av </w:t>
      </w:r>
      <w:r w:rsidRPr="00AE2D66">
        <w:rPr>
          <w:i/>
        </w:rPr>
        <w:t>International Accounting Standards Board</w:t>
      </w:r>
      <w:r w:rsidRPr="00AE2D66">
        <w:t xml:space="preserve"> (IASB).</w:t>
      </w:r>
    </w:p>
    <w:p w:rsidR="005E43C0" w:rsidRPr="00AE2D66" w:rsidRDefault="005E43C0" w:rsidP="005E43C0">
      <w:pPr>
        <w:pStyle w:val="Considrant"/>
      </w:pPr>
      <w:r w:rsidRPr="00AE2D66">
        <w:lastRenderedPageBreak/>
        <w:t xml:space="preserve">IASB utfärdade i juli 2014 IFRS 9 Finansiella instrument (nedan kallad </w:t>
      </w:r>
      <w:r w:rsidRPr="00AE2D66">
        <w:rPr>
          <w:i/>
        </w:rPr>
        <w:t>IFRS 9</w:t>
      </w:r>
      <w:r w:rsidRPr="00AE2D66">
        <w:t>) som ny standard för redovisning av finansiella instrument med avsikten att denna standard ska börja tillämpas internationellt från och med den 1 januari 2018. IFRS 9 infördes i unionen den 22 november 2016 genom kommissionens förordning (EU) 2016/2067</w:t>
      </w:r>
      <w:r w:rsidRPr="00AE2D66">
        <w:rPr>
          <w:rStyle w:val="FootnoteReference"/>
        </w:rPr>
        <w:footnoteReference w:id="4"/>
      </w:r>
      <w:r w:rsidRPr="00AE2D66">
        <w:t>.</w:t>
      </w:r>
    </w:p>
    <w:p w:rsidR="008A3611" w:rsidRPr="00AE2D66" w:rsidRDefault="005E43C0" w:rsidP="002F4AD0">
      <w:pPr>
        <w:pStyle w:val="Considrant"/>
      </w:pPr>
      <w:r w:rsidRPr="00AE2D66">
        <w:t>Genom IFRS 9 förändras redovisningen av finansiella instrument i grunden för de institut som omfattas av artikel 99.2 i förordning (EU) nr 575/2013. IFRS 9 innehåller en logisk modell för klassificering och värdering, en enda och framåtblickande modell för nedskrivningar f</w:t>
      </w:r>
      <w:r w:rsidR="008753BB">
        <w:t xml:space="preserve">ör förväntade förluster och en </w:t>
      </w:r>
      <w:r w:rsidRPr="00AE2D66">
        <w:t>väsentligt reformerad metod för säkringsredovisning. Därför bör institutens rapportering ändras i enlighet med detta.</w:t>
      </w:r>
    </w:p>
    <w:p w:rsidR="005E43C0" w:rsidRPr="00AE2D66" w:rsidRDefault="005E43C0" w:rsidP="002358B5">
      <w:pPr>
        <w:pStyle w:val="Considrant"/>
      </w:pPr>
      <w:r w:rsidRPr="00AE2D66">
        <w:t>Det är dessutom nödvändigt att uppdatera de mallar och instruktioner som rör rapportering av de finansiella tillgångarnas redovisade bruttovärde värderat till verkligt värde via resultaträkningen. Detta på grund av behovet att klargöra definitionen av ”redovisat bruttovärde” för övervakning av kreditrisker, att förbättra datakvaliteten på den rapporterade informationen och att minska rapporteringsbördan.</w:t>
      </w:r>
    </w:p>
    <w:p w:rsidR="005E43C0" w:rsidRPr="00AE2D66" w:rsidRDefault="008A3611" w:rsidP="005E43C0">
      <w:pPr>
        <w:pStyle w:val="Considrant"/>
      </w:pPr>
      <w:r w:rsidRPr="00AE2D66">
        <w:t>Det är också nödvändigt att uppdatera mallarna och instruktionerna för institut som omfattas av redovisningsramar som bygger på direktiv 86/635/EEG, för att säkerställa att den rapporterade finansiella informationen förblir relevant och harmoniserad mellan alla institut och för att ta itu med informationsluckor beträffande särskilda nationella redovisningsramar som tidigare inte helt återspeglades i mallarna.</w:t>
      </w:r>
    </w:p>
    <w:p w:rsidR="005E43C0" w:rsidRPr="00AE2D66" w:rsidRDefault="005E43C0" w:rsidP="005E43C0">
      <w:pPr>
        <w:pStyle w:val="Considrant"/>
      </w:pPr>
      <w:r w:rsidRPr="00AE2D66">
        <w:t>Mot bakgrund av den inneboende kopplingen mellan finansiell rapportering och tillämpliga redovisningsstandarder är det nödvändigt att dagen då denna förordning börjar tillämpas sammanfaller med dagen då IFRS 9 börjar tillämpas. Av samma anledning är det för de institut som tillämpar ett räkenskapsår som skiljer sig från kalenderåret nödvändigt att dagen då de ska börja tillämpa denna förordning sammanfaller med den dag då de ska börja tillämpa IFRS 9, som är den dag under kalenderåret då räkenskapsåret börjar för dessa institut.</w:t>
      </w:r>
    </w:p>
    <w:p w:rsidR="005E43C0" w:rsidRPr="00AE2D66" w:rsidRDefault="005E43C0" w:rsidP="005E43C0">
      <w:pPr>
        <w:pStyle w:val="Considrant"/>
      </w:pPr>
      <w:r w:rsidRPr="00AE2D66">
        <w:t xml:space="preserve">Denna förordning grundar sig på det förslag till tekniska genomförandestandarder som Europeiska bankmyndigheten (EBA) har lämnat till kommissionen. </w:t>
      </w:r>
    </w:p>
    <w:p w:rsidR="005E43C0" w:rsidRPr="00AE2D66" w:rsidRDefault="005E43C0" w:rsidP="005E43C0">
      <w:pPr>
        <w:pStyle w:val="Considrant"/>
      </w:pPr>
      <w:r w:rsidRPr="00AE2D66">
        <w:t>Europeiska bankmyndigheten har anordnat öppna offentliga samråd om de förslag till tekniska genomförandestandarder som den här förordningen baseras på, analyserat de möjliga relaterade kostnaderna och fördelarna samt begärt ett yttrande från den bankintressentgrupp som inrättats i enlighet med artikel 37 i Europaparlamentets och rådets förordning (EU) nr 1093/2010</w:t>
      </w:r>
      <w:r w:rsidRPr="00AE2D66">
        <w:rPr>
          <w:rStyle w:val="FootnoteReference"/>
        </w:rPr>
        <w:footnoteReference w:id="5"/>
      </w:r>
      <w:r w:rsidRPr="00AE2D66">
        <w:t xml:space="preserve">. </w:t>
      </w:r>
    </w:p>
    <w:p w:rsidR="000826D9" w:rsidRPr="00AE2D66" w:rsidRDefault="005E43C0" w:rsidP="005E43C0">
      <w:pPr>
        <w:pStyle w:val="Considrant"/>
      </w:pPr>
      <w:r w:rsidRPr="00AE2D66">
        <w:t xml:space="preserve">Genomförandeförordning (EU) nr 680/2014 bör ändras i enlighet med detta. </w:t>
      </w:r>
    </w:p>
    <w:p w:rsidR="000826D9" w:rsidRPr="00AE2D66" w:rsidRDefault="000826D9" w:rsidP="004E1EF9">
      <w:pPr>
        <w:pStyle w:val="Formuledadoption"/>
      </w:pPr>
      <w:r w:rsidRPr="00AE2D66">
        <w:t>HÄRIGENOM FÖRESKRIVS FÖLJANDE.</w:t>
      </w:r>
    </w:p>
    <w:p w:rsidR="000826D9" w:rsidRPr="00AE2D66" w:rsidRDefault="000826D9" w:rsidP="004E1EF9">
      <w:pPr>
        <w:pStyle w:val="Titrearticle"/>
      </w:pPr>
      <w:r w:rsidRPr="00AE2D66">
        <w:t>Artikel 1</w:t>
      </w:r>
    </w:p>
    <w:p w:rsidR="005E43C0" w:rsidRPr="00AE2D66" w:rsidRDefault="005E43C0" w:rsidP="005E43C0">
      <w:r w:rsidRPr="00AE2D66">
        <w:t>Genomförandeförordning (EU) nr 680/2014 ska ändras på följande sätt:</w:t>
      </w:r>
    </w:p>
    <w:p w:rsidR="005E43C0" w:rsidRPr="00AE2D66" w:rsidRDefault="005E43C0" w:rsidP="00C94153">
      <w:pPr>
        <w:pStyle w:val="Point0number"/>
        <w:numPr>
          <w:ilvl w:val="0"/>
          <w:numId w:val="6"/>
        </w:numPr>
      </w:pPr>
      <w:r w:rsidRPr="00AE2D66">
        <w:lastRenderedPageBreak/>
        <w:t>Bilaga III till genomförandeförordning (EU) nr 680/2014 ska ersättas med texten i bilaga I till den här förordningen.</w:t>
      </w:r>
    </w:p>
    <w:p w:rsidR="005E43C0" w:rsidRPr="00AE2D66" w:rsidRDefault="005E43C0" w:rsidP="00C94153">
      <w:pPr>
        <w:pStyle w:val="Point0number"/>
      </w:pPr>
      <w:r w:rsidRPr="00AE2D66">
        <w:t>Bilaga IV till genomförandeförordning (EU) nr 680/2014 ska ersättas med texten i bilaga II till den här förordningen.</w:t>
      </w:r>
    </w:p>
    <w:p w:rsidR="005E43C0" w:rsidRPr="00AE2D66" w:rsidRDefault="005E43C0" w:rsidP="00C94153">
      <w:pPr>
        <w:pStyle w:val="Point0number"/>
      </w:pPr>
      <w:r w:rsidRPr="00AE2D66">
        <w:t>Bilaga V till genomförandeförordning (EU) nr 680/2014 ska ersättas med texten i bilaga III till den här förordningen.</w:t>
      </w:r>
    </w:p>
    <w:p w:rsidR="000826D9" w:rsidRPr="00AE2D66" w:rsidRDefault="000826D9" w:rsidP="004E1EF9">
      <w:pPr>
        <w:pStyle w:val="Titrearticle"/>
      </w:pPr>
      <w:r w:rsidRPr="00AE2D66">
        <w:t>Artikel 2</w:t>
      </w:r>
    </w:p>
    <w:p w:rsidR="005E43C0" w:rsidRPr="00AE2D66" w:rsidRDefault="005E43C0" w:rsidP="005E43C0">
      <w:pPr>
        <w:pStyle w:val="Applicationdirecte"/>
      </w:pPr>
      <w:r w:rsidRPr="00AE2D66">
        <w:t xml:space="preserve">Denna förordning träder i kraft den tjugonde dagen efter det att den har offentliggjorts i </w:t>
      </w:r>
      <w:r w:rsidRPr="00AE2D66">
        <w:rPr>
          <w:i/>
        </w:rPr>
        <w:t>Europeiska unionens officiella tidning</w:t>
      </w:r>
      <w:r w:rsidRPr="00AE2D66">
        <w:t>.</w:t>
      </w:r>
    </w:p>
    <w:p w:rsidR="005E43C0" w:rsidRPr="00AE2D66" w:rsidRDefault="005E43C0" w:rsidP="005E43C0">
      <w:r w:rsidRPr="00AE2D66">
        <w:t>Den ska tillämpas från och med den 1 januari 2018.</w:t>
      </w:r>
    </w:p>
    <w:p w:rsidR="0065426A" w:rsidRPr="00AE2D66" w:rsidRDefault="00BE632F" w:rsidP="005E43C0">
      <w:r w:rsidRPr="00AE2D66">
        <w:t>För följande institut – om de tillämpar ett räkenskapsår som skiljer sig från kalenderåret – ska bilagorna I och III till denna förordning gälla från och med början av det räkenskapsår som börjar efter den 1 januari 2018:</w:t>
      </w:r>
    </w:p>
    <w:p w:rsidR="0065426A" w:rsidRPr="005A32D9" w:rsidRDefault="0065426A" w:rsidP="005E43C0">
      <w:pPr>
        <w:rPr>
          <w:lang w:val="nn-NO"/>
        </w:rPr>
      </w:pPr>
      <w:r w:rsidRPr="005A32D9">
        <w:rPr>
          <w:lang w:val="nn-NO"/>
        </w:rPr>
        <w:t xml:space="preserve">a) Institut som omfattas av artikel 4 i förordning (EG) nr 1606/2002. </w:t>
      </w:r>
    </w:p>
    <w:p w:rsidR="0065426A" w:rsidRPr="00AE2D66" w:rsidRDefault="0065426A" w:rsidP="005E43C0">
      <w:r w:rsidRPr="00AE2D66">
        <w:t>b) Kreditinstitut, andra än de som avses i artikel 4 i förordning (EG) nr 1606/2002, som utarbetar sin sammanställda redovisning i överensstämmelse med internationella redovisningsstandarder som antagits i enlighet med förfarandet i artikel 6.2 i den förordningen.</w:t>
      </w:r>
    </w:p>
    <w:p w:rsidR="00375E2B" w:rsidRPr="00AE2D66" w:rsidRDefault="00375E2B" w:rsidP="005E43C0">
      <w:r w:rsidRPr="00AE2D66">
        <w:t>c) Kreditinstitut som tillämpar internationella redovisningsstandarder i enlighet med förordning (EG) nr 1606/2002 för att rapportera kapitalbasen på gruppnivå enligt artikel 24.2 i förordning (EU) nr 575/2013.</w:t>
      </w:r>
    </w:p>
    <w:p w:rsidR="005E43C0" w:rsidRPr="00AE2D66" w:rsidRDefault="005E43C0" w:rsidP="005E43C0">
      <w:r w:rsidRPr="00AE2D66">
        <w:t>Denna förordning är till alla delar bindande och direkt tillämplig i alla medlemsstater.</w:t>
      </w:r>
    </w:p>
    <w:p w:rsidR="000826D9" w:rsidRPr="00AE2D66" w:rsidRDefault="00AE2D66" w:rsidP="00AE2D66">
      <w:pPr>
        <w:pStyle w:val="Fait"/>
      </w:pPr>
      <w:r w:rsidRPr="00AE2D66">
        <w:t>Utfärdad i Bryssel den</w:t>
      </w:r>
    </w:p>
    <w:p w:rsidR="000826D9" w:rsidRPr="00AE2D66" w:rsidRDefault="000826D9" w:rsidP="000826D9">
      <w:pPr>
        <w:pStyle w:val="Institutionquisigne"/>
      </w:pPr>
      <w:r w:rsidRPr="00AE2D66">
        <w:tab/>
        <w:t>På kommissionens vägnar</w:t>
      </w:r>
    </w:p>
    <w:p w:rsidR="000826D9" w:rsidRPr="00AE2D66" w:rsidRDefault="000826D9" w:rsidP="000826D9">
      <w:pPr>
        <w:pStyle w:val="Personnequisigne"/>
      </w:pPr>
      <w:r w:rsidRPr="00AE2D66">
        <w:tab/>
        <w:t>Ordförande</w:t>
      </w:r>
      <w:r w:rsidRPr="00AE2D66">
        <w:br/>
      </w:r>
      <w:r w:rsidRPr="00AE2D66">
        <w:tab/>
        <w:t>Jean-Claude JUNCKER</w:t>
      </w:r>
    </w:p>
    <w:sectPr w:rsidR="000826D9" w:rsidRPr="00AE2D66" w:rsidSect="00287A35">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C33" w:rsidRDefault="00772C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D66" w:rsidRPr="00287A35" w:rsidRDefault="00287A35" w:rsidP="00287A35">
    <w:pPr>
      <w:pStyle w:val="Footer"/>
      <w:rPr>
        <w:rFonts w:ascii="Arial" w:hAnsi="Arial" w:cs="Arial"/>
        <w:b/>
        <w:sz w:val="48"/>
      </w:rPr>
    </w:pPr>
    <w:r w:rsidRPr="00287A35">
      <w:rPr>
        <w:rFonts w:ascii="Arial" w:hAnsi="Arial" w:cs="Arial"/>
        <w:b/>
        <w:sz w:val="48"/>
      </w:rPr>
      <w:t>SV</w:t>
    </w:r>
    <w:r w:rsidRPr="00287A35">
      <w:rPr>
        <w:rFonts w:ascii="Arial" w:hAnsi="Arial" w:cs="Arial"/>
        <w:b/>
        <w:sz w:val="48"/>
      </w:rPr>
      <w:tab/>
    </w:r>
    <w:r w:rsidRPr="00287A35">
      <w:rPr>
        <w:rFonts w:ascii="Arial" w:hAnsi="Arial" w:cs="Arial"/>
        <w:b/>
        <w:sz w:val="48"/>
      </w:rPr>
      <w:tab/>
    </w:r>
    <w:fldSimple w:instr=" DOCVARIABLE &quot;LW_Confidence&quot; \* MERGEFORMAT ">
      <w:r>
        <w:t xml:space="preserve"> </w:t>
      </w:r>
    </w:fldSimple>
    <w:r w:rsidRPr="00287A35">
      <w:tab/>
    </w:r>
    <w:r w:rsidRPr="00287A35">
      <w:rPr>
        <w:rFonts w:ascii="Arial" w:hAnsi="Arial" w:cs="Arial"/>
        <w:b/>
        <w:sz w:val="48"/>
      </w:rPr>
      <w:t>SV</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C33" w:rsidRDefault="00772C3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A35" w:rsidRPr="00287A35" w:rsidRDefault="00287A35" w:rsidP="00287A35">
    <w:pPr>
      <w:pStyle w:val="Footer"/>
      <w:rPr>
        <w:rFonts w:ascii="Arial" w:hAnsi="Arial" w:cs="Arial"/>
        <w:b/>
        <w:sz w:val="48"/>
      </w:rPr>
    </w:pPr>
    <w:r w:rsidRPr="00287A35">
      <w:rPr>
        <w:rFonts w:ascii="Arial" w:hAnsi="Arial" w:cs="Arial"/>
        <w:b/>
        <w:sz w:val="48"/>
      </w:rPr>
      <w:t>SV</w:t>
    </w:r>
    <w:r w:rsidRPr="00287A35">
      <w:rPr>
        <w:rFonts w:ascii="Arial" w:hAnsi="Arial" w:cs="Arial"/>
        <w:b/>
        <w:sz w:val="48"/>
      </w:rPr>
      <w:tab/>
    </w:r>
    <w:r>
      <w:fldChar w:fldCharType="begin"/>
    </w:r>
    <w:r>
      <w:instrText xml:space="preserve"> PAGE  \* MERGEFORMAT </w:instrText>
    </w:r>
    <w:r>
      <w:fldChar w:fldCharType="separate"/>
    </w:r>
    <w:r w:rsidR="00772C33">
      <w:rPr>
        <w:noProof/>
      </w:rPr>
      <w:t>4</w:t>
    </w:r>
    <w:r>
      <w:fldChar w:fldCharType="end"/>
    </w:r>
    <w:r>
      <w:tab/>
    </w:r>
    <w:fldSimple w:instr=" DOCVARIABLE &quot;LW_Confidence&quot; \* MERGEFORMAT ">
      <w:r>
        <w:t xml:space="preserve"> </w:t>
      </w:r>
    </w:fldSimple>
    <w:r w:rsidRPr="00287A35">
      <w:tab/>
    </w:r>
    <w:r w:rsidRPr="00287A35">
      <w:rPr>
        <w:rFonts w:ascii="Arial" w:hAnsi="Arial" w:cs="Arial"/>
        <w:b/>
        <w:sz w:val="48"/>
      </w:rPr>
      <w:t>SV</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A35" w:rsidRPr="00287A35" w:rsidRDefault="00287A35" w:rsidP="00287A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 xml:space="preserve">Kommissionens genomförandeförordning (EU) nr 680/2014 om tekniska standarder för genomförande av instituts tillsynsrapportering enligt Europaparlamentets och rådets förordning (EU) nr 575/2013 (EUT L 191, 28.6.2014, s. 1). </w:t>
      </w:r>
    </w:p>
  </w:footnote>
  <w:footnote w:id="2">
    <w:p w:rsidR="005E43C0" w:rsidRPr="00F86D15" w:rsidRDefault="005E43C0" w:rsidP="005E43C0">
      <w:pPr>
        <w:pStyle w:val="FootnoteText"/>
      </w:pPr>
      <w:r>
        <w:rPr>
          <w:rStyle w:val="FootnoteReference"/>
        </w:rPr>
        <w:footnoteRef/>
      </w:r>
      <w:r>
        <w:tab/>
        <w:t>Europaparlamentets och rådets förordning (EG) nr 1606/2002 av den 19 juli 2002 om tillämpning av internationella redovisningsstandarder (EGT L 243, 11.9.2002, s. 1).</w:t>
      </w:r>
    </w:p>
  </w:footnote>
  <w:footnote w:id="3">
    <w:p w:rsidR="002A64F4" w:rsidRDefault="002A64F4">
      <w:pPr>
        <w:pStyle w:val="FootnoteText"/>
      </w:pPr>
      <w:r>
        <w:rPr>
          <w:rStyle w:val="FootnoteReference"/>
        </w:rPr>
        <w:footnoteRef/>
      </w:r>
      <w:r>
        <w:tab/>
        <w:t>Rådets direktiv 86/635/EEG av den 8 december 1986 om årsbokslut och sammanställd redovisning för banker och andra finansiella institut (EGT L 372, 31.12.1986, s. 1).</w:t>
      </w:r>
    </w:p>
  </w:footnote>
  <w:footnote w:id="4">
    <w:p w:rsidR="00775C98" w:rsidRDefault="00775C98">
      <w:pPr>
        <w:pStyle w:val="FootnoteText"/>
      </w:pPr>
      <w:r>
        <w:rPr>
          <w:rStyle w:val="FootnoteReference"/>
        </w:rPr>
        <w:footnoteRef/>
      </w:r>
      <w:r>
        <w:tab/>
        <w:t>Kommissionens förordning (EU) 2016/2067 av den 22 november 2016 om ändring av förordning (EG) nr 1126/2008 om antagande av vissa internationella redovisningsstandarder i enlighet med Europaparlamentets och rådets förordning (EG) nr 1606/2002 vad gäller den internationella finansiella rapporteringsstandarden IFRS 9 (EUT L 323, 29.11.2016, s. 1).</w:t>
      </w:r>
    </w:p>
  </w:footnote>
  <w:footnote w:id="5">
    <w:p w:rsidR="005E43C0" w:rsidRPr="004500CE" w:rsidRDefault="005E43C0" w:rsidP="005E43C0">
      <w:pPr>
        <w:pStyle w:val="FootnoteText"/>
      </w:pPr>
      <w:r>
        <w:rPr>
          <w:rStyle w:val="FootnoteReference"/>
        </w:rPr>
        <w:footnoteRef/>
      </w:r>
      <w:r>
        <w:tab/>
        <w:t xml:space="preserve">Europaparlamentets och rådets förordning (EU) nr 1093/2010 av den 24 november 2010 om inrättande av en europeisk tillsynsmyndighet (Europeiska bankmyndigheten), om ändring av beslut nr 716/2009/EG och om upphävande av kommissionens beslut 2009/78/EG (EUT L 331, 15.12.2010, s.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C33" w:rsidRDefault="00772C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C33" w:rsidRDefault="00772C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C33" w:rsidRDefault="00772C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1"/>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attachedTemplate r:id="rId1"/>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2 16:59:55"/>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0660A380D396456CB21760C18B563A55"/>
    <w:docVar w:name="LW_CROSSREFERENCE" w:val="&lt;UNUSED&gt;"/>
    <w:docVar w:name="LW_DATE.ADOPT.CP" w:val="av den XXX"/>
    <w:docVar w:name="LW_DATE.ADOPT.CP_DATEFORMAT" w:val="av den %DATE%"/>
    <w:docVar w:name="LW_DATE.ADOPT.CP_ISODATE" w:val="&lt;EMPTY&gt;"/>
    <w:docVar w:name="LW_DocType" w:val="COM"/>
    <w:docVar w:name="LW_EMISSION" w:val="&lt;EMPTY&gt;"/>
    <w:docVar w:name="LW_EMISSION_ISODATE" w:val="&lt;EMPTY&gt;"/>
    <w:docVar w:name="LW_EMISSION_LOCATION" w:val="BRX"/>
    <w:docVar w:name="LW_EMISSION_PREFIX" w:val="Bryssel den "/>
    <w:docVar w:name="LW_EMISSION_SUFFIX" w:val=" "/>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MARKING" w:val="&lt;UNUSED&gt;"/>
    <w:docVar w:name="LW_NOM.INST" w:val="EUROPEISKA KOMMISSIONEN"/>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om ändring av genomförandeförordning (EU) nr 680/2014 om tekniska standarder för genomförande av instituts tillsynsrapportering enligt Europaparlamentets och rådets förordning (EU) nr 575/2013"/>
    <w:docVar w:name="LW_TYPE.DOC.CP" w:val="KOMMISSIONENS GENOMFÖRANDEFÖRORDNING (EU) \u8230?/\u8230?"/>
  </w:docVars>
  <w:rsids>
    <w:rsidRoot w:val="000826D9"/>
    <w:rsid w:val="0002331C"/>
    <w:rsid w:val="0007327F"/>
    <w:rsid w:val="000826D9"/>
    <w:rsid w:val="000A65E4"/>
    <w:rsid w:val="000A6BA1"/>
    <w:rsid w:val="000C2CD5"/>
    <w:rsid w:val="000D0FA1"/>
    <w:rsid w:val="000D3B73"/>
    <w:rsid w:val="000E3E7A"/>
    <w:rsid w:val="00115297"/>
    <w:rsid w:val="00171635"/>
    <w:rsid w:val="001A267B"/>
    <w:rsid w:val="001B668B"/>
    <w:rsid w:val="001C5A8C"/>
    <w:rsid w:val="00200E41"/>
    <w:rsid w:val="00223509"/>
    <w:rsid w:val="002358B5"/>
    <w:rsid w:val="00240BF2"/>
    <w:rsid w:val="0025654F"/>
    <w:rsid w:val="00287A35"/>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23C53"/>
    <w:rsid w:val="004375FF"/>
    <w:rsid w:val="00437AE2"/>
    <w:rsid w:val="00460C9F"/>
    <w:rsid w:val="00465328"/>
    <w:rsid w:val="00491253"/>
    <w:rsid w:val="0049787A"/>
    <w:rsid w:val="004B2C4E"/>
    <w:rsid w:val="004C7111"/>
    <w:rsid w:val="004D06CB"/>
    <w:rsid w:val="00501364"/>
    <w:rsid w:val="005055FB"/>
    <w:rsid w:val="00555ED3"/>
    <w:rsid w:val="00584220"/>
    <w:rsid w:val="005A32D9"/>
    <w:rsid w:val="005C29AB"/>
    <w:rsid w:val="005D5307"/>
    <w:rsid w:val="005E43C0"/>
    <w:rsid w:val="00643D9B"/>
    <w:rsid w:val="0065426A"/>
    <w:rsid w:val="0066591E"/>
    <w:rsid w:val="00673264"/>
    <w:rsid w:val="006B5EF3"/>
    <w:rsid w:val="00715D61"/>
    <w:rsid w:val="00731A0F"/>
    <w:rsid w:val="00751070"/>
    <w:rsid w:val="00772C33"/>
    <w:rsid w:val="00775C98"/>
    <w:rsid w:val="007D53B6"/>
    <w:rsid w:val="007E06E3"/>
    <w:rsid w:val="007E67B7"/>
    <w:rsid w:val="007F7FA9"/>
    <w:rsid w:val="00820527"/>
    <w:rsid w:val="00831684"/>
    <w:rsid w:val="00864B77"/>
    <w:rsid w:val="00867D0F"/>
    <w:rsid w:val="008753BB"/>
    <w:rsid w:val="008A3611"/>
    <w:rsid w:val="008A6ACC"/>
    <w:rsid w:val="008E6C1F"/>
    <w:rsid w:val="008F3767"/>
    <w:rsid w:val="00926B9D"/>
    <w:rsid w:val="009369DA"/>
    <w:rsid w:val="009972C3"/>
    <w:rsid w:val="009B5077"/>
    <w:rsid w:val="009C214E"/>
    <w:rsid w:val="009F7ACE"/>
    <w:rsid w:val="00A047C8"/>
    <w:rsid w:val="00A255D5"/>
    <w:rsid w:val="00A325D0"/>
    <w:rsid w:val="00AD7ACA"/>
    <w:rsid w:val="00AE2D66"/>
    <w:rsid w:val="00AE3A6D"/>
    <w:rsid w:val="00AF5826"/>
    <w:rsid w:val="00B04DCA"/>
    <w:rsid w:val="00B44CFD"/>
    <w:rsid w:val="00B6276F"/>
    <w:rsid w:val="00B71D16"/>
    <w:rsid w:val="00B76774"/>
    <w:rsid w:val="00B907CC"/>
    <w:rsid w:val="00BA0D2E"/>
    <w:rsid w:val="00BB4D39"/>
    <w:rsid w:val="00BC306E"/>
    <w:rsid w:val="00BD541C"/>
    <w:rsid w:val="00BE632F"/>
    <w:rsid w:val="00C120E1"/>
    <w:rsid w:val="00C40CC5"/>
    <w:rsid w:val="00C56B66"/>
    <w:rsid w:val="00C751B7"/>
    <w:rsid w:val="00C809B6"/>
    <w:rsid w:val="00C94153"/>
    <w:rsid w:val="00CB671C"/>
    <w:rsid w:val="00D06A94"/>
    <w:rsid w:val="00D143D9"/>
    <w:rsid w:val="00D5747C"/>
    <w:rsid w:val="00D604C4"/>
    <w:rsid w:val="00D60A2C"/>
    <w:rsid w:val="00D66031"/>
    <w:rsid w:val="00D93578"/>
    <w:rsid w:val="00DC2257"/>
    <w:rsid w:val="00DE7040"/>
    <w:rsid w:val="00E50FE8"/>
    <w:rsid w:val="00E625E8"/>
    <w:rsid w:val="00E6497D"/>
    <w:rsid w:val="00E84EAD"/>
    <w:rsid w:val="00EB4B56"/>
    <w:rsid w:val="00ED4073"/>
    <w:rsid w:val="00EE3FFC"/>
    <w:rsid w:val="00EE7E75"/>
    <w:rsid w:val="00F25B2A"/>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sv-SE" w:bidi="sv-S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sv-SE"/>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sv-SE"/>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rsid w:val="007D53B6"/>
    <w:pPr>
      <w:numPr>
        <w:ilvl w:val="4"/>
        <w:numId w:val="18"/>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sv-SE" w:bidi="sv-SE"/>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1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1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17"/>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1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sv-SE"/>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sv-SE"/>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11"/>
      </w:numPr>
    </w:pPr>
  </w:style>
  <w:style w:type="paragraph" w:customStyle="1" w:styleId="Tiret1">
    <w:name w:val="Tiret 1"/>
    <w:basedOn w:val="Point1"/>
    <w:rsid w:val="007D53B6"/>
    <w:pPr>
      <w:numPr>
        <w:numId w:val="12"/>
      </w:numPr>
    </w:pPr>
  </w:style>
  <w:style w:type="paragraph" w:customStyle="1" w:styleId="Tiret2">
    <w:name w:val="Tiret 2"/>
    <w:basedOn w:val="Point2"/>
    <w:rsid w:val="007D53B6"/>
    <w:pPr>
      <w:numPr>
        <w:numId w:val="13"/>
      </w:numPr>
    </w:pPr>
  </w:style>
  <w:style w:type="paragraph" w:customStyle="1" w:styleId="Tiret3">
    <w:name w:val="Tiret 3"/>
    <w:basedOn w:val="Point3"/>
    <w:rsid w:val="007D53B6"/>
    <w:pPr>
      <w:numPr>
        <w:numId w:val="14"/>
      </w:numPr>
    </w:pPr>
  </w:style>
  <w:style w:type="paragraph" w:customStyle="1" w:styleId="Tiret4">
    <w:name w:val="Tiret 4"/>
    <w:basedOn w:val="Point4"/>
    <w:rsid w:val="007D53B6"/>
    <w:pPr>
      <w:numPr>
        <w:numId w:val="15"/>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16"/>
      </w:numPr>
    </w:pPr>
  </w:style>
  <w:style w:type="paragraph" w:customStyle="1" w:styleId="NumPar2">
    <w:name w:val="NumPar 2"/>
    <w:basedOn w:val="Normal"/>
    <w:next w:val="Text1"/>
    <w:rsid w:val="007D53B6"/>
    <w:pPr>
      <w:numPr>
        <w:ilvl w:val="1"/>
        <w:numId w:val="16"/>
      </w:numPr>
    </w:pPr>
  </w:style>
  <w:style w:type="paragraph" w:customStyle="1" w:styleId="NumPar3">
    <w:name w:val="NumPar 3"/>
    <w:basedOn w:val="Normal"/>
    <w:next w:val="Text1"/>
    <w:rsid w:val="007D53B6"/>
    <w:pPr>
      <w:numPr>
        <w:ilvl w:val="2"/>
        <w:numId w:val="16"/>
      </w:numPr>
    </w:pPr>
  </w:style>
  <w:style w:type="paragraph" w:customStyle="1" w:styleId="NumPar4">
    <w:name w:val="NumPar 4"/>
    <w:basedOn w:val="Normal"/>
    <w:next w:val="Text1"/>
    <w:rsid w:val="007D53B6"/>
    <w:pPr>
      <w:numPr>
        <w:ilvl w:val="3"/>
        <w:numId w:val="16"/>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18"/>
      </w:numPr>
    </w:pPr>
  </w:style>
  <w:style w:type="paragraph" w:customStyle="1" w:styleId="Point1number">
    <w:name w:val="Point 1 (number)"/>
    <w:basedOn w:val="Normal"/>
    <w:rsid w:val="007D53B6"/>
    <w:pPr>
      <w:numPr>
        <w:ilvl w:val="2"/>
        <w:numId w:val="18"/>
      </w:numPr>
    </w:pPr>
  </w:style>
  <w:style w:type="paragraph" w:customStyle="1" w:styleId="Point2number">
    <w:name w:val="Point 2 (number)"/>
    <w:basedOn w:val="Normal"/>
    <w:rsid w:val="007D53B6"/>
    <w:pPr>
      <w:numPr>
        <w:ilvl w:val="4"/>
        <w:numId w:val="18"/>
      </w:numPr>
    </w:pPr>
  </w:style>
  <w:style w:type="paragraph" w:customStyle="1" w:styleId="Point3number">
    <w:name w:val="Point 3 (number)"/>
    <w:basedOn w:val="Normal"/>
    <w:rsid w:val="007D53B6"/>
    <w:pPr>
      <w:numPr>
        <w:ilvl w:val="6"/>
        <w:numId w:val="18"/>
      </w:numPr>
    </w:pPr>
  </w:style>
  <w:style w:type="paragraph" w:customStyle="1" w:styleId="Point0letter">
    <w:name w:val="Point 0 (letter)"/>
    <w:basedOn w:val="Normal"/>
    <w:rsid w:val="007D53B6"/>
    <w:pPr>
      <w:numPr>
        <w:ilvl w:val="1"/>
        <w:numId w:val="18"/>
      </w:numPr>
    </w:pPr>
  </w:style>
  <w:style w:type="paragraph" w:customStyle="1" w:styleId="Point1letter">
    <w:name w:val="Point 1 (letter)"/>
    <w:basedOn w:val="Normal"/>
    <w:rsid w:val="007D53B6"/>
    <w:pPr>
      <w:numPr>
        <w:ilvl w:val="3"/>
        <w:numId w:val="18"/>
      </w:numPr>
    </w:pPr>
  </w:style>
  <w:style w:type="paragraph" w:customStyle="1" w:styleId="Point2letter">
    <w:name w:val="Point 2 (letter)"/>
    <w:basedOn w:val="Normal"/>
    <w:rsid w:val="007D53B6"/>
    <w:pPr>
      <w:numPr>
        <w:ilvl w:val="5"/>
        <w:numId w:val="18"/>
      </w:numPr>
    </w:pPr>
  </w:style>
  <w:style w:type="paragraph" w:customStyle="1" w:styleId="Point3letter">
    <w:name w:val="Point 3 (letter)"/>
    <w:basedOn w:val="Normal"/>
    <w:rsid w:val="007D53B6"/>
    <w:pPr>
      <w:numPr>
        <w:ilvl w:val="7"/>
        <w:numId w:val="18"/>
      </w:numPr>
    </w:pPr>
  </w:style>
  <w:style w:type="paragraph" w:customStyle="1" w:styleId="Point4letter">
    <w:name w:val="Point 4 (letter)"/>
    <w:basedOn w:val="Normal"/>
    <w:rsid w:val="007D53B6"/>
    <w:pPr>
      <w:numPr>
        <w:ilvl w:val="8"/>
        <w:numId w:val="18"/>
      </w:numPr>
    </w:pPr>
  </w:style>
  <w:style w:type="paragraph" w:customStyle="1" w:styleId="Bullet0">
    <w:name w:val="Bullet 0"/>
    <w:basedOn w:val="Normal"/>
    <w:rsid w:val="007D53B6"/>
    <w:pPr>
      <w:numPr>
        <w:numId w:val="19"/>
      </w:numPr>
    </w:pPr>
  </w:style>
  <w:style w:type="paragraph" w:customStyle="1" w:styleId="Bullet1">
    <w:name w:val="Bullet 1"/>
    <w:basedOn w:val="Normal"/>
    <w:rsid w:val="007D53B6"/>
    <w:pPr>
      <w:numPr>
        <w:numId w:val="20"/>
      </w:numPr>
    </w:pPr>
  </w:style>
  <w:style w:type="paragraph" w:customStyle="1" w:styleId="Bullet2">
    <w:name w:val="Bullet 2"/>
    <w:basedOn w:val="Normal"/>
    <w:rsid w:val="007D53B6"/>
    <w:pPr>
      <w:numPr>
        <w:numId w:val="21"/>
      </w:numPr>
    </w:pPr>
  </w:style>
  <w:style w:type="paragraph" w:customStyle="1" w:styleId="Bullet3">
    <w:name w:val="Bullet 3"/>
    <w:basedOn w:val="Normal"/>
    <w:rsid w:val="007D53B6"/>
    <w:pPr>
      <w:numPr>
        <w:numId w:val="22"/>
      </w:numPr>
    </w:pPr>
  </w:style>
  <w:style w:type="paragraph" w:customStyle="1" w:styleId="Bullet4">
    <w:name w:val="Bullet 4"/>
    <w:basedOn w:val="Normal"/>
    <w:rsid w:val="007D53B6"/>
    <w:pPr>
      <w:numPr>
        <w:numId w:val="23"/>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24"/>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622F5-4ED1-4100-B3FB-7CF47F139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933</Words>
  <Characters>5771</Characters>
  <Application>Microsoft Office Word</Application>
  <DocSecurity>0</DocSecurity>
  <Lines>99</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2017-06-22T14:59:00Z</dcterms:created>
  <dcterms:modified xsi:type="dcterms:W3CDTF">2017-06-22T14:59:00Z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