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D9" w:rsidRPr="00A542EB" w:rsidRDefault="00F80E13" w:rsidP="00A542EB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0FC752F9FBF4647B109DEE73B3E65D0" style="width:450.8pt;height:409.45pt">
            <v:imagedata r:id="rId9" o:title=""/>
          </v:shape>
        </w:pict>
      </w:r>
    </w:p>
    <w:p w:rsidR="00AD7ACA" w:rsidRPr="00A542EB" w:rsidRDefault="00AD7ACA" w:rsidP="00AD7ACA">
      <w:pPr>
        <w:pStyle w:val="Pagedecouverture"/>
        <w:sectPr w:rsidR="00AD7ACA" w:rsidRPr="00A542EB" w:rsidSect="007E7D7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0826D9" w:rsidRPr="00A542EB" w:rsidRDefault="00A542EB" w:rsidP="00A542EB">
      <w:pPr>
        <w:pStyle w:val="Typedudocument"/>
      </w:pPr>
      <w:r w:rsidRPr="00A542EB">
        <w:lastRenderedPageBreak/>
        <w:t>REGOLAMENT TA’ IMPLIMENTAZZJONI TAL-KUMMISSJONI (UE) .../...</w:t>
      </w:r>
    </w:p>
    <w:p w:rsidR="000826D9" w:rsidRPr="00A542EB" w:rsidRDefault="00A542EB" w:rsidP="00A542EB">
      <w:pPr>
        <w:pStyle w:val="Datedadoption"/>
      </w:pPr>
      <w:r w:rsidRPr="00A542EB">
        <w:t xml:space="preserve">ta’ </w:t>
      </w:r>
      <w:r w:rsidRPr="00A542EB">
        <w:rPr>
          <w:rStyle w:val="Marker2"/>
        </w:rPr>
        <w:t>XXX</w:t>
      </w:r>
    </w:p>
    <w:p w:rsidR="000826D9" w:rsidRPr="00A542EB" w:rsidRDefault="00A542EB" w:rsidP="00A542EB">
      <w:pPr>
        <w:pStyle w:val="Titreobjet"/>
      </w:pPr>
      <w:r w:rsidRPr="00A542EB">
        <w:t>li jemenda r-Regolament ta’ Implimentazzjoni (UE) Nru</w:t>
      </w:r>
      <w:r>
        <w:t> </w:t>
      </w:r>
      <w:r w:rsidRPr="00A542EB">
        <w:t>680/2014 li jistabbilixxi standards tekniċi ta’ implimentazzjoni fir-rigward tar-rappurtar superviżorju ta’ istituzzjonijiet skont ir-Regolament (UE) Nru</w:t>
      </w:r>
      <w:r>
        <w:t> </w:t>
      </w:r>
      <w:r w:rsidRPr="00A542EB">
        <w:t>575/2013 tal-Parlament Ewropew u tal-Kunsill</w:t>
      </w:r>
    </w:p>
    <w:p w:rsidR="000826D9" w:rsidRPr="00A542EB" w:rsidRDefault="00A542EB" w:rsidP="00A542EB">
      <w:pPr>
        <w:pStyle w:val="IntrtEEE"/>
      </w:pPr>
      <w:r w:rsidRPr="00A542EB">
        <w:t>(Test b’relevanza għaż-ŻEE)</w:t>
      </w:r>
    </w:p>
    <w:p w:rsidR="000826D9" w:rsidRPr="00A542EB" w:rsidRDefault="000826D9" w:rsidP="004E1EF9">
      <w:pPr>
        <w:pStyle w:val="Institutionquiagit"/>
      </w:pPr>
      <w:r w:rsidRPr="00A542EB">
        <w:t>IL-KUMMISSJONI EWROPEA,</w:t>
      </w:r>
    </w:p>
    <w:p w:rsidR="000826D9" w:rsidRPr="00A542EB" w:rsidRDefault="000826D9" w:rsidP="004E1EF9">
      <w:r w:rsidRPr="00A542EB">
        <w:rPr>
          <w:color w:val="000000"/>
        </w:rPr>
        <w:t>Wara li kkunsidrat it-Trattat dwar il-Funzjonament tal-Unjoni Ewropea</w:t>
      </w:r>
      <w:r w:rsidRPr="00A542EB">
        <w:t>,</w:t>
      </w:r>
    </w:p>
    <w:p w:rsidR="000826D9" w:rsidRPr="00A542EB" w:rsidRDefault="005E43C0" w:rsidP="00FC0A99">
      <w:r w:rsidRPr="00A542EB">
        <w:t>Wara li kkunsidrat ir-Regolament (UE) Nru 575/2013 tas-26 ta’ Ġunju 2013 tal-Parlament Ewropew u tal-Kunsill dwar ir-rekwiżiti prudenzjali għall-istituzzjonijiet ta’ kreditu u d-ditti tal-investiment u li jemenda r-Regolament (UE) Nru 648/2012, u b’mod partikulari r-raba’ subparagrafu tal-Artikolu 99(5), ir-raba’ subparagrafu tal-Artikolu 99(6), it-tielet subparagrafu tal-Artikolu 101(4) u t-tielet subparagrafu tal-Artikolu 394(4) tiegħu,</w:t>
      </w:r>
    </w:p>
    <w:p w:rsidR="000826D9" w:rsidRPr="00A542EB" w:rsidRDefault="000826D9" w:rsidP="004E1EF9">
      <w:r w:rsidRPr="00A542EB">
        <w:t>Billi:</w:t>
      </w:r>
    </w:p>
    <w:p w:rsidR="005E43C0" w:rsidRPr="00A542EB" w:rsidRDefault="005E43C0" w:rsidP="00584220">
      <w:pPr>
        <w:pStyle w:val="Considrant"/>
        <w:numPr>
          <w:ilvl w:val="0"/>
          <w:numId w:val="5"/>
        </w:numPr>
      </w:pPr>
      <w:r w:rsidRPr="00A542EB">
        <w:t>Ir-Regolament ta’ Implimentazzjoni tal-Kummissjoni (UE) Nru 680/2014</w:t>
      </w:r>
      <w:r w:rsidRPr="00A542EB">
        <w:rPr>
          <w:rStyle w:val="FootnoteReference"/>
        </w:rPr>
        <w:footnoteReference w:id="1"/>
      </w:r>
      <w:r w:rsidRPr="00A542EB">
        <w:t xml:space="preserve"> jispeċifika l-modalitajiet li skonthom l-istituzzjonijiet huma meħtieġa jirrappurtaw l-informazzjoni rilevanti għall-konformità tagħhom mar-Regolament (UE) Nru 575/2013. L-Artikolu 99(5) tar-Regolament (UE) Nru 575/2013 jagħti mandat lill-Awtorità Bankarja Ewropea (EBA) biex tabbozza standards tekniċi ta’ implimentazzjoni sabiex tispeċifika formati uniformi għar-rappurtar tal-informazzjoni finanzjarja mill-istituzzjonijiet soġġetti għall-Artikolu 4 tar-Regolament (KE) Nru 1606/2002 tal-Parlament Ewropew u tal-Kunsill</w:t>
      </w:r>
      <w:r w:rsidRPr="00A542EB">
        <w:rPr>
          <w:rStyle w:val="FootnoteReference"/>
        </w:rPr>
        <w:footnoteReference w:id="2"/>
      </w:r>
      <w:r w:rsidRPr="00A542EB">
        <w:t xml:space="preserve"> u l-istituzzjonijiet ta’ kreditu minbarra dawk imsemmijin f’dan l-Artikolu li jħejju l-kontijiet konsolidati tagħhom f’konformità mal-istandards internazzjonali tal-kontabilità adottati skont il-proċedura stabbilita fl-Artikolu 6(2) tar-Regolament (KE) Nru 1606/2002. L-Artikolu 99(6) tar-Regolament (UE) Nru 575/2013 jagħti mandat ukoll lill-EBA biex tabbozza standards tekniċi ta’ implimentazzjoni sabiex tispeċifika l-formati uniformi għar-rappurtar tal-informazzjoni finanzjarja mill-istituzzjonijiet soġġetti għall-oqfsa ta’ kontabilità bbażati fuq id-Direttiva tal-Kunsill 86/635/KEE</w:t>
      </w:r>
      <w:r w:rsidRPr="00A542EB">
        <w:rPr>
          <w:rStyle w:val="FootnoteReference"/>
        </w:rPr>
        <w:footnoteReference w:id="3"/>
      </w:r>
      <w:r w:rsidRPr="00A542EB">
        <w:t xml:space="preserve"> li għalihom l-awtoritajiet kompetenti jistgħu jestendu r-rekwiżiti ta’ rappurtar. Kull waħda minn dawn id-dispożizzjonijiet tirrelata mal-aspetti tal-qafas għar-rappurtar superviżorju fl-Unjoni li jeħtieġ jiġu allinjati ma’ standards internazzjonali applikabbli ġodda. </w:t>
      </w:r>
    </w:p>
    <w:p w:rsidR="005E43C0" w:rsidRPr="00A542EB" w:rsidRDefault="005E43C0" w:rsidP="001B668B">
      <w:pPr>
        <w:pStyle w:val="Considrant"/>
      </w:pPr>
      <w:r w:rsidRPr="00A542EB">
        <w:lastRenderedPageBreak/>
        <w:t>Standards Internazzjonali tal-Kontabilità adottati skont il-proċedura stabbilita fl-Artikolu 6(2) tar-Regolament (KE) Nru 1606/2002 huma bbażati fuq Standards Internazzjonali tar-Rappurtar Finanzjarju (IFRS) żviluppati mill-Bord dwar l-Istandards Internazzjonali tal-Kontabilità (IASB).</w:t>
      </w:r>
    </w:p>
    <w:p w:rsidR="005E43C0" w:rsidRPr="00A542EB" w:rsidRDefault="005E43C0" w:rsidP="005E43C0">
      <w:pPr>
        <w:pStyle w:val="Considrant"/>
      </w:pPr>
      <w:r w:rsidRPr="00A542EB">
        <w:t>F’Lulju 2014, l-IASB ħareġ l-Istrumenti Finanzjarji IFRS 9 (“IFRS 9”) bħala l-istandard il-ġdid għall-kontabilità tal-istrumenti finanzjarji, fid-dawl tal-applikazzjoni internazzjonali tiegħu mill-1 ta’ Jannar 2018. IFRS 9 ġie adottat fl-Unjoni fit-22 ta’ Novembru 2016 bir-Regolament tal-Kummissjoni (UE) 2016/2067</w:t>
      </w:r>
      <w:r w:rsidRPr="00A542EB">
        <w:rPr>
          <w:rStyle w:val="FootnoteReference"/>
        </w:rPr>
        <w:footnoteReference w:id="4"/>
      </w:r>
      <w:r w:rsidRPr="00A542EB">
        <w:t>.</w:t>
      </w:r>
    </w:p>
    <w:p w:rsidR="008A3611" w:rsidRPr="00A542EB" w:rsidRDefault="005E43C0" w:rsidP="002F4AD0">
      <w:pPr>
        <w:pStyle w:val="Considrant"/>
      </w:pPr>
      <w:r w:rsidRPr="00A542EB">
        <w:t>L-IFRS 9 fundamentalment ibiddel il-kontabilità għall-istrumenti finanzjarji għall-istituzzjonijiet li huma soġġetti għall-Artikolu 99(2) tar-Regolament (UE) Nru 575/2013. L-IFRS 9 jinkludi mudell loġiku ta’ klassifikazzjoni u ta’ valutazzjoni, mudell ta' indeboliment ta' “telf mistenni” uniku u li jħares ’il quddiem u approċċ lejn il-kontabilità għall-iħħeġġjar irriformat sostanzjalment. Għalhekk, ir-ra</w:t>
      </w:r>
      <w:r w:rsidR="0094690B">
        <w:t>ppurtar mill-istituzzjonijiet je</w:t>
      </w:r>
      <w:r w:rsidRPr="00A542EB">
        <w:t>nħtieġ li jiġi emendat skont dan.</w:t>
      </w:r>
    </w:p>
    <w:p w:rsidR="005E43C0" w:rsidRPr="00A542EB" w:rsidRDefault="005E43C0" w:rsidP="002358B5">
      <w:pPr>
        <w:pStyle w:val="Considrant"/>
      </w:pPr>
      <w:r w:rsidRPr="00A542EB">
        <w:t>Barra minn hekk, huwa neċessarju li l-mudelli u l-istruzzjonijiet relatati mar-rappurtar tal-ammont gross riportat tal-assi finanzjarji mkejla f’valur ġust permezz tal-profitt u t-telf jiġu aġġornati. Dan huwa meħtieġ sabiex tiġi ċċarata d-definizzjoni ta’ “ammont gross riportat” għall-monitoraġġ tar-riskju ta’ kreditu, sabiex tiżdied il-kwalità tad-dejta tal-informazzjoni rrappurtata u sabiex jitnaqqas il-piż ta’ rappurtar.</w:t>
      </w:r>
    </w:p>
    <w:p w:rsidR="005E43C0" w:rsidRPr="00A542EB" w:rsidRDefault="008A3611" w:rsidP="005E43C0">
      <w:pPr>
        <w:pStyle w:val="Considrant"/>
      </w:pPr>
      <w:r w:rsidRPr="00A542EB">
        <w:t>Huwa meħtieġ ukoll li jiġu aġġornati l-mudelli u l-istruzzjonijiet għall-istituzzjonijiet li huma soġġetti għal oqfsa tal-kontabilità bbażati fuq id-Direttiva 86/635/KEE, sabiex jiġi żgurat li l-informazzjoni finanzjarja rrappurtata tibqa’ rilevanti u allinjata bejn l-istituzzjonijiet kollha u sabiex jiġu indirizzati l-lakuni fl-informazzjoni relatati mal-oqfsa nazzjonali speċifiċi tal-kontabilità li preċedentement ma ġewx riflessi bis-sħiħ fil-mudelli.</w:t>
      </w:r>
    </w:p>
    <w:p w:rsidR="005E43C0" w:rsidRPr="00A542EB" w:rsidRDefault="005E43C0" w:rsidP="005E43C0">
      <w:pPr>
        <w:pStyle w:val="Considrant"/>
      </w:pPr>
      <w:r w:rsidRPr="00A542EB">
        <w:t>Minħabba r-rabta intrinsika tar-rappurtar finanzjarju mal-istandards applikabbli tal-kontabilità, huwa neċessarju li d-data ta’ applikazzjoni ta’ dan ir-Regolament tikkoinċidi mad-data ta’ applikazzjoni tal-IFRS 9. Għall-istess raġuni, huwa neċessarju wkoll li, għal dawk l-istituzzjonijiet li japplikaw sena kontabilistika li hija differenti mis-sena kalendarja, id-data ta’ applikazzjoni ta’ dan ir-Regolament tikkoinċidi mad-data ta’ applikazzjoni tal-IFRS 9, li hija dik id-data tas-sena kalendarja li fiha tibda s-sena kalendarja għal dawk l-istituzzjonijiet.</w:t>
      </w:r>
    </w:p>
    <w:p w:rsidR="005E43C0" w:rsidRPr="00A542EB" w:rsidRDefault="005E43C0" w:rsidP="005E43C0">
      <w:pPr>
        <w:pStyle w:val="Considrant"/>
      </w:pPr>
      <w:r w:rsidRPr="00A542EB">
        <w:t xml:space="preserve">Dan ir-Regolament huwa bbażat fuq l-abbozz tal-istandards tekniċi ta' implimentazzjoni ppreżentati mill-Awtorità Bankarja Ewropea (EBA) lill-Kummissjoni. </w:t>
      </w:r>
    </w:p>
    <w:p w:rsidR="005E43C0" w:rsidRPr="00A542EB" w:rsidRDefault="005E43C0" w:rsidP="005E43C0">
      <w:pPr>
        <w:pStyle w:val="Considrant"/>
      </w:pPr>
      <w:r w:rsidRPr="00A542EB">
        <w:t>L-Awtorità Bankarja Ewropea wettqet konsultazzjonijiet pubbliċi miftuħa dwar l-abbozz tal-istandards tekniċi ta' implementazzjoni li dan ir-Regolament huwa bbażat fuqhom, analizzat l-ispejjeż u l-benefiċċji potenzjali relatati u talbet l-opinjoni tal-Grupp tal-Partijiet Bankarji Interessati stabbilit b'konformità mal-Artikolu 37 tar-Regolament (UE) Nru 1093/2010 tal-Parlament Ewropew u tal-Kunsill</w:t>
      </w:r>
      <w:r w:rsidRPr="00A542EB">
        <w:rPr>
          <w:rStyle w:val="FootnoteReference"/>
        </w:rPr>
        <w:footnoteReference w:id="5"/>
      </w:r>
      <w:r w:rsidRPr="00A542EB">
        <w:t xml:space="preserve">. </w:t>
      </w:r>
    </w:p>
    <w:p w:rsidR="000826D9" w:rsidRPr="00A542EB" w:rsidRDefault="005E43C0" w:rsidP="005E43C0">
      <w:pPr>
        <w:pStyle w:val="Considrant"/>
      </w:pPr>
      <w:r w:rsidRPr="00A542EB">
        <w:lastRenderedPageBreak/>
        <w:t>Ir-Regolament ta' Implimentazzjo</w:t>
      </w:r>
      <w:r w:rsidR="0094690B">
        <w:t>ni (UE) Nru 680/2014 je</w:t>
      </w:r>
      <w:r w:rsidRPr="00A542EB">
        <w:t xml:space="preserve">nħtieġ li jiġi emendat skont dan. </w:t>
      </w:r>
    </w:p>
    <w:p w:rsidR="000826D9" w:rsidRPr="00A542EB" w:rsidRDefault="000826D9" w:rsidP="004E1EF9">
      <w:pPr>
        <w:pStyle w:val="Formuledadoption"/>
      </w:pPr>
      <w:r w:rsidRPr="00A542EB">
        <w:t>ADOTTAT DAN IR-REGOLAMENT:</w:t>
      </w:r>
    </w:p>
    <w:p w:rsidR="000826D9" w:rsidRPr="00A542EB" w:rsidRDefault="000826D9" w:rsidP="004E1EF9">
      <w:pPr>
        <w:pStyle w:val="Titrearticle"/>
      </w:pPr>
      <w:r w:rsidRPr="00A542EB">
        <w:t>Artikolu 1</w:t>
      </w:r>
    </w:p>
    <w:p w:rsidR="005E43C0" w:rsidRPr="00A542EB" w:rsidRDefault="005E43C0" w:rsidP="005E43C0">
      <w:r w:rsidRPr="00A542EB">
        <w:t>Ir-Regolament ta' Implimentazzjoni (UE) Nru 680/2014 huwa emendat kif ġej:</w:t>
      </w:r>
    </w:p>
    <w:p w:rsidR="005E43C0" w:rsidRPr="00A542EB" w:rsidRDefault="005E43C0" w:rsidP="00C94153">
      <w:pPr>
        <w:pStyle w:val="Point0number"/>
        <w:numPr>
          <w:ilvl w:val="0"/>
          <w:numId w:val="6"/>
        </w:numPr>
      </w:pPr>
      <w:r w:rsidRPr="00A542EB">
        <w:t>L-Anness III tar-Regolament ta’ Implimentazzjoni (UE) Nru 680/2014 jiġi sostitwit bit-test stipulat fl-Anness I ta’ dan ir-Regolament.</w:t>
      </w:r>
    </w:p>
    <w:p w:rsidR="005E43C0" w:rsidRPr="00A542EB" w:rsidRDefault="005E43C0" w:rsidP="00C94153">
      <w:pPr>
        <w:pStyle w:val="Point0number"/>
      </w:pPr>
      <w:r w:rsidRPr="00A542EB">
        <w:t>L-Anness IV tar-Regolament ta’ Implimentazzjoni (UE) Nru 680/2014 jiġi sostitwit bit-test stipulat fl-Anness II ta’ dan ir-Regolament.</w:t>
      </w:r>
    </w:p>
    <w:p w:rsidR="005E43C0" w:rsidRPr="00A542EB" w:rsidRDefault="005E43C0" w:rsidP="00C94153">
      <w:pPr>
        <w:pStyle w:val="Point0number"/>
      </w:pPr>
      <w:r w:rsidRPr="00A542EB">
        <w:t>L-Anness V tar-Regolament ta’ Implimentazzjoni (UE) Nru 680/2014 jiġi sostitwit bit-test stipulat fl-Anness III ta’ dan ir-Regolament.</w:t>
      </w:r>
    </w:p>
    <w:p w:rsidR="000826D9" w:rsidRPr="00A542EB" w:rsidRDefault="000826D9" w:rsidP="004E1EF9">
      <w:pPr>
        <w:pStyle w:val="Titrearticle"/>
      </w:pPr>
      <w:r w:rsidRPr="00A542EB">
        <w:t>Artikolu 2</w:t>
      </w:r>
    </w:p>
    <w:p w:rsidR="005E43C0" w:rsidRPr="00A542EB" w:rsidRDefault="005E43C0" w:rsidP="005E43C0">
      <w:pPr>
        <w:pStyle w:val="Applicationdirecte"/>
      </w:pPr>
      <w:r w:rsidRPr="00A542EB">
        <w:t xml:space="preserve">Dan ir-Regolament </w:t>
      </w:r>
      <w:r w:rsidR="008048EF">
        <w:t xml:space="preserve">għandu </w:t>
      </w:r>
      <w:r w:rsidRPr="00A542EB">
        <w:t>jidħol fis-seħħ fl-għoxrin jum wara l-pubblikazzjoni tiegħu f'</w:t>
      </w:r>
      <w:r w:rsidRPr="00A542EB">
        <w:rPr>
          <w:i/>
        </w:rPr>
        <w:t>Il-Ġurnal Uffiċjali tal-Unjoni Ewropea</w:t>
      </w:r>
      <w:r w:rsidRPr="00A542EB">
        <w:t>.</w:t>
      </w:r>
    </w:p>
    <w:p w:rsidR="005E43C0" w:rsidRPr="00A542EB" w:rsidRDefault="005E43C0" w:rsidP="005E43C0">
      <w:r w:rsidRPr="00A542EB">
        <w:t>Dan japplika mill-1 ta’ Jannar 2018.</w:t>
      </w:r>
    </w:p>
    <w:p w:rsidR="0065426A" w:rsidRPr="00A542EB" w:rsidRDefault="00BE632F" w:rsidP="005E43C0">
      <w:r w:rsidRPr="00A542EB">
        <w:t>Fir-rigward tal-istituzzjonijiet li ġejjin, meta dawn l-istituzzjonijiet japplikaw sena kontabilistika li hija differenti mis-sena kalendarja, l-Annessi I u III ta’ dan ir-Regolament għandhom japplikaw mill-bidu tas-sena kontabilistika li tibda wara l-1 ta’ Jannar 2018:</w:t>
      </w:r>
    </w:p>
    <w:p w:rsidR="0065426A" w:rsidRPr="00A542EB" w:rsidRDefault="0065426A" w:rsidP="005E43C0">
      <w:r w:rsidRPr="00A542EB">
        <w:t xml:space="preserve">(a) </w:t>
      </w:r>
      <w:r w:rsidR="008048EF">
        <w:t>l-</w:t>
      </w:r>
      <w:r w:rsidRPr="00A542EB">
        <w:t xml:space="preserve">istituzzjonijiet soġġetti għall-Artikolu 4 tar-Regolament (KE) Nru 1606/2002; </w:t>
      </w:r>
    </w:p>
    <w:p w:rsidR="0065426A" w:rsidRPr="00A542EB" w:rsidRDefault="0065426A" w:rsidP="005E43C0">
      <w:r w:rsidRPr="00A542EB">
        <w:t xml:space="preserve">(b) </w:t>
      </w:r>
      <w:r w:rsidR="008048EF">
        <w:t>l-</w:t>
      </w:r>
      <w:r w:rsidRPr="00A542EB">
        <w:t>istituzzjonijiet ta’ kreditu minbarra dawk imsemmijin fl-Artikolu 4 tar-Regolament (KE) Nru 1606/2002 li jħejju l-kontijiet konsolidati tagħhom f’konformità mal-istandards internazzjonali tal-kontabilità adottati skont il-proċedura stabbilita fl-Artikolu 6(2) ta’ dan ir-Regolament;</w:t>
      </w:r>
    </w:p>
    <w:p w:rsidR="00375E2B" w:rsidRPr="00A542EB" w:rsidRDefault="00375E2B" w:rsidP="005E43C0">
      <w:r w:rsidRPr="00A542EB">
        <w:t>(c) l-istituzzjonijiet ta’ kreditu li japplikaw standards internazzjonali tal-kontabilità kif applikabbli skont ir-Regolament (KE) Nru 1606/2002 għar-rappurtar tal-fondi proprji fuq bażi konsolidata skont l-Artikolu 24(2) tar-Regolament Nru 575/2013.</w:t>
      </w:r>
    </w:p>
    <w:p w:rsidR="005E43C0" w:rsidRPr="00A542EB" w:rsidRDefault="005E43C0" w:rsidP="005E43C0">
      <w:r w:rsidRPr="00A542EB">
        <w:t>Dan ir-Regolament għandu jorbot fl-intier tiegħu u japplika direttament fl-Istati Membri kollha.</w:t>
      </w:r>
    </w:p>
    <w:p w:rsidR="000826D9" w:rsidRPr="00A542EB" w:rsidRDefault="00A542EB" w:rsidP="00A542EB">
      <w:pPr>
        <w:pStyle w:val="Fait"/>
      </w:pPr>
      <w:r w:rsidRPr="00A542EB">
        <w:t>Magħmul fi Brussell,</w:t>
      </w:r>
    </w:p>
    <w:p w:rsidR="000826D9" w:rsidRPr="00A542EB" w:rsidRDefault="000826D9" w:rsidP="000826D9">
      <w:pPr>
        <w:pStyle w:val="Institutionquisigne"/>
      </w:pPr>
      <w:r w:rsidRPr="00A542EB">
        <w:tab/>
        <w:t>Għall-Kummissjoni</w:t>
      </w:r>
    </w:p>
    <w:p w:rsidR="000826D9" w:rsidRPr="00A542EB" w:rsidRDefault="000826D9" w:rsidP="000826D9">
      <w:pPr>
        <w:pStyle w:val="Personnequisigne"/>
      </w:pPr>
      <w:r w:rsidRPr="00A542EB">
        <w:tab/>
        <w:t>Il-President</w:t>
      </w:r>
      <w:r w:rsidRPr="00A542EB">
        <w:br/>
      </w:r>
      <w:r w:rsidRPr="00A542EB">
        <w:tab/>
        <w:t>Jean-Caude Juncker</w:t>
      </w:r>
    </w:p>
    <w:sectPr w:rsidR="000826D9" w:rsidRPr="00A542EB" w:rsidSect="007E7D74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41" w:rsidRDefault="00200E41" w:rsidP="000826D9">
      <w:pPr>
        <w:spacing w:before="0" w:after="0"/>
      </w:pPr>
      <w:r>
        <w:separator/>
      </w:r>
    </w:p>
  </w:endnote>
  <w:endnote w:type="continuationSeparator" w:id="0">
    <w:p w:rsidR="00200E41" w:rsidRDefault="00200E41" w:rsidP="00082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13" w:rsidRDefault="00F80E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2EB" w:rsidRPr="007E7D74" w:rsidRDefault="007E7D74" w:rsidP="007E7D74">
    <w:pPr>
      <w:pStyle w:val="Footer"/>
      <w:rPr>
        <w:rFonts w:ascii="Arial" w:hAnsi="Arial" w:cs="Arial"/>
        <w:b/>
        <w:sz w:val="48"/>
      </w:rPr>
    </w:pPr>
    <w:r w:rsidRPr="007E7D74">
      <w:rPr>
        <w:rFonts w:ascii="Arial" w:hAnsi="Arial" w:cs="Arial"/>
        <w:b/>
        <w:sz w:val="48"/>
      </w:rPr>
      <w:t>MT</w:t>
    </w:r>
    <w:r w:rsidRPr="007E7D74">
      <w:rPr>
        <w:rFonts w:ascii="Arial" w:hAnsi="Arial" w:cs="Arial"/>
        <w:b/>
        <w:sz w:val="48"/>
      </w:rPr>
      <w:tab/>
    </w:r>
    <w:r w:rsidRPr="007E7D74">
      <w:rPr>
        <w:rFonts w:ascii="Arial" w:hAnsi="Arial" w:cs="Arial"/>
        <w:b/>
        <w:sz w:val="48"/>
      </w:rPr>
      <w:tab/>
    </w:r>
    <w:fldSimple w:instr=" DOCVARIABLE &quot;LW_Confidence&quot; \* MERGEFORMAT ">
      <w:r>
        <w:t xml:space="preserve"> </w:t>
      </w:r>
    </w:fldSimple>
    <w:r w:rsidRPr="007E7D74">
      <w:tab/>
    </w:r>
    <w:proofErr w:type="spellStart"/>
    <w:r w:rsidRPr="007E7D74">
      <w:rPr>
        <w:rFonts w:ascii="Arial" w:hAnsi="Arial" w:cs="Arial"/>
        <w:b/>
        <w:sz w:val="48"/>
      </w:rPr>
      <w:t>MT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13" w:rsidRDefault="00F80E1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D74" w:rsidRPr="007E7D74" w:rsidRDefault="007E7D74" w:rsidP="007E7D74">
    <w:pPr>
      <w:pStyle w:val="Footer"/>
      <w:rPr>
        <w:rFonts w:ascii="Arial" w:hAnsi="Arial" w:cs="Arial"/>
        <w:b/>
        <w:sz w:val="48"/>
      </w:rPr>
    </w:pPr>
    <w:r w:rsidRPr="007E7D74">
      <w:rPr>
        <w:rFonts w:ascii="Arial" w:hAnsi="Arial" w:cs="Arial"/>
        <w:b/>
        <w:sz w:val="48"/>
      </w:rPr>
      <w:t>MT</w:t>
    </w:r>
    <w:r w:rsidRPr="007E7D7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80E13">
      <w:rPr>
        <w:noProof/>
      </w:rPr>
      <w:t>4</w:t>
    </w:r>
    <w:r>
      <w:fldChar w:fldCharType="end"/>
    </w:r>
    <w:r>
      <w:tab/>
    </w:r>
    <w:fldSimple w:instr=" DOCVARIABLE &quot;LW_Confidence&quot; \* MERGEFORMAT ">
      <w:r>
        <w:t xml:space="preserve"> </w:t>
      </w:r>
    </w:fldSimple>
    <w:r w:rsidRPr="007E7D74">
      <w:tab/>
    </w:r>
    <w:r w:rsidRPr="007E7D74">
      <w:rPr>
        <w:rFonts w:ascii="Arial" w:hAnsi="Arial" w:cs="Arial"/>
        <w:b/>
        <w:sz w:val="48"/>
      </w:rPr>
      <w:t>MT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D74" w:rsidRPr="007E7D74" w:rsidRDefault="007E7D74" w:rsidP="007E7D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41" w:rsidRDefault="00200E41" w:rsidP="000826D9">
      <w:pPr>
        <w:spacing w:before="0" w:after="0"/>
      </w:pPr>
      <w:r>
        <w:separator/>
      </w:r>
    </w:p>
  </w:footnote>
  <w:footnote w:type="continuationSeparator" w:id="0">
    <w:p w:rsidR="00200E41" w:rsidRDefault="00200E41" w:rsidP="000826D9">
      <w:pPr>
        <w:spacing w:before="0" w:after="0"/>
      </w:pPr>
      <w:r>
        <w:continuationSeparator/>
      </w:r>
    </w:p>
  </w:footnote>
  <w:footnote w:id="1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>Ir-Regolament ta' Implimentazzjoni tal-Kummissjoni (UE) Nru 680/2014 li jistabbilixxi standards tekniċi ta' implimentazzjoni fir-rigward tar-</w:t>
      </w:r>
      <w:proofErr w:type="spellStart"/>
      <w:r>
        <w:t>rapportar</w:t>
      </w:r>
      <w:proofErr w:type="spellEnd"/>
      <w:r>
        <w:t xml:space="preserve"> </w:t>
      </w:r>
      <w:proofErr w:type="spellStart"/>
      <w:r>
        <w:t>superviżorju</w:t>
      </w:r>
      <w:proofErr w:type="spellEnd"/>
      <w:r>
        <w:t xml:space="preserve"> ta' istituzzjonijiet skont ir-Regolament (UE) Nru 575/2013 (ĠU L 191, 28.6.2014, p. 1). </w:t>
      </w:r>
    </w:p>
  </w:footnote>
  <w:footnote w:id="2">
    <w:p w:rsidR="005E43C0" w:rsidRPr="00F86D15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</w:r>
      <w:r>
        <w:t>Ir-Regolament (KE) Nru 1606/2002 tal-Parlament Ewropew u tal-Kunsill tad-19 ta’ Lulju 2002 rigward l-applikazzjoni ta’ standards internazzjonali tal-</w:t>
      </w:r>
      <w:proofErr w:type="spellStart"/>
      <w:r>
        <w:t>kontabilità</w:t>
      </w:r>
      <w:proofErr w:type="spellEnd"/>
      <w:r>
        <w:t xml:space="preserve"> (ĠU L 243, 11.9.2002, p. 1).</w:t>
      </w:r>
    </w:p>
  </w:footnote>
  <w:footnote w:id="3">
    <w:p w:rsidR="002A64F4" w:rsidRDefault="002A64F4">
      <w:pPr>
        <w:pStyle w:val="FootnoteText"/>
      </w:pPr>
      <w:r>
        <w:rPr>
          <w:rStyle w:val="FootnoteReference"/>
        </w:rPr>
        <w:footnoteRef/>
      </w:r>
      <w:r>
        <w:tab/>
      </w:r>
      <w:r>
        <w:t>Id-Direttiva tal-Kunsill 86/635/KEE tat-8 ta' Diċembru 1986 dwar il-kontijiet annwali u l-kontijiet konsolidati ta' banek u istituzzjonijiet finanzjarji oħrajn (ĠU L 372, 31.12.1986, p. 1).</w:t>
      </w:r>
    </w:p>
  </w:footnote>
  <w:footnote w:id="4">
    <w:p w:rsidR="00775C98" w:rsidRDefault="00775C98">
      <w:pPr>
        <w:pStyle w:val="FootnoteText"/>
      </w:pPr>
      <w:r>
        <w:rPr>
          <w:rStyle w:val="FootnoteReference"/>
        </w:rPr>
        <w:footnoteRef/>
      </w:r>
      <w:r>
        <w:tab/>
      </w:r>
      <w:r>
        <w:t>Ir-Regolament tal-Kummissjoni (UE) 2016/2067 tat-22 ta' Novembru 2016 li jemenda r-Regolament (KE) Nru 1126/2008 li jadotta ċerti standards internazzjonali tal-</w:t>
      </w:r>
      <w:proofErr w:type="spellStart"/>
      <w:r>
        <w:t>kontabilità</w:t>
      </w:r>
      <w:proofErr w:type="spellEnd"/>
      <w:r>
        <w:t xml:space="preserve"> skont ir-Regolament (KE) Nru 1606/2002 tal-Parlament Ewropew u tal-Kunsill fir-rigward tal-Istandard Internazzjonali ta' </w:t>
      </w:r>
      <w:proofErr w:type="spellStart"/>
      <w:r>
        <w:t>Rapportar</w:t>
      </w:r>
      <w:proofErr w:type="spellEnd"/>
      <w:r>
        <w:t xml:space="preserve"> Finanzjarju 9 (ĠU L 323, 29.11.2016, p. 1).</w:t>
      </w:r>
    </w:p>
  </w:footnote>
  <w:footnote w:id="5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</w:r>
      <w:r>
        <w:t xml:space="preserve">Ir-Regolament (UE) Nru 1093/2010 tal-Parlament Ewropew u tal-Kunsill tal-24 ta' Novembru 2010 li jistabbilixxi Awtorità </w:t>
      </w:r>
      <w:proofErr w:type="spellStart"/>
      <w:r>
        <w:t>Superviżorja</w:t>
      </w:r>
      <w:proofErr w:type="spellEnd"/>
      <w:r>
        <w:t xml:space="preserve"> Ewropea (Awtorità Bankarja Ewropea) u li jemenda d-Deċiżjoni Nru 716/2009/KE u jħassar id-Deċiżjoni tal-Kummissjoni 2009/78/KE (ĠU L 331, 15.12.2010, p. 12).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13" w:rsidRDefault="00F80E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13" w:rsidRDefault="00F80E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E13" w:rsidRDefault="00F80E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7405E8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CBF044D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C00969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087E3F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A3AED8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9FA95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D0D05A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07BE56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1"/>
    <w:lvlOverride w:ilvl="0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20"/>
  </w:num>
  <w:num w:numId="14">
    <w:abstractNumId w:val="11"/>
  </w:num>
  <w:num w:numId="15">
    <w:abstractNumId w:val="13"/>
  </w:num>
  <w:num w:numId="16">
    <w:abstractNumId w:val="9"/>
  </w:num>
  <w:num w:numId="17">
    <w:abstractNumId w:val="19"/>
  </w:num>
  <w:num w:numId="18">
    <w:abstractNumId w:val="8"/>
  </w:num>
  <w:num w:numId="19">
    <w:abstractNumId w:val="14"/>
  </w:num>
  <w:num w:numId="20">
    <w:abstractNumId w:val="16"/>
  </w:num>
  <w:num w:numId="21">
    <w:abstractNumId w:val="17"/>
  </w:num>
  <w:num w:numId="22">
    <w:abstractNumId w:val="10"/>
  </w:num>
  <w:num w:numId="23">
    <w:abstractNumId w:val="15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7-05-31 10:05:2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1"/>
    <w:docVar w:name="LW_CONFIDENCE" w:val=" "/>
    <w:docVar w:name="LW_CONST_RESTREINT_UE" w:val="RESTREINT UE/EU RESTRICTED"/>
    <w:docVar w:name="LW_COVERPAGE_GUID" w:val="B0FC752F9FBF4647B109DEE73B3E65D0"/>
    <w:docVar w:name="LW_CROSSREFERENCE" w:val="&lt;UNUSED&gt;"/>
    <w:docVar w:name="LW_DATE.ADOPT.CP" w:val="ta\u8217? XXX"/>
    <w:docVar w:name="LW_DATE.ADOPT.CP_DATEFORMAT" w:val="ta\u8217?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\u8217?relevanza g\u295?a\u380?-\u379?EE)"/>
    <w:docVar w:name="LW_LANGUE" w:val="MT"/>
    <w:docVar w:name="LW_LANGUESFAISANTFOI.CP" w:val="&lt;UNUSED&gt;"/>
    <w:docVar w:name="LW_MARKING" w:val="&lt;UNUSED&gt;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7) XXX"/>
    <w:docVar w:name="LW_REF.INTERNE" w:val="&lt;UNUSED&gt;"/>
    <w:docVar w:name="LW_SOUS.TITRE.OBJ.CP" w:val="&lt;UNUSED&gt;"/>
    <w:docVar w:name="LW_SUPERTITRE" w:val="&lt;UNUSED&gt;"/>
    <w:docVar w:name="LW_TITRE.OBJ.CP" w:val="li jemenda r-Regolament ta\u8217? Implimentazzjoni (UE) Nru 680/2014 li jistabbilixxi standards tekni\u267?i ta\u8217? implimentazzjoni fir-rigward tar-rappurtar supervi\u380?orju ta\u8217? istituzzjonijiet skont ir-Regolament (UE) Nru 575/2013 tal-Parlament Ewropew u tal-Kunsill"/>
    <w:docVar w:name="LW_TYPE.DOC.CP" w:val="REGOLAMENT TA\u8217? IMPLIMENTAZZJONI TAL-KUMMISSJONI (UE) .../..."/>
  </w:docVars>
  <w:rsids>
    <w:rsidRoot w:val="000826D9"/>
    <w:rsid w:val="0002331C"/>
    <w:rsid w:val="0007327F"/>
    <w:rsid w:val="000826D9"/>
    <w:rsid w:val="000A65E4"/>
    <w:rsid w:val="000A6BA1"/>
    <w:rsid w:val="000C2CD5"/>
    <w:rsid w:val="000D0FA1"/>
    <w:rsid w:val="000D3B73"/>
    <w:rsid w:val="000E3E7A"/>
    <w:rsid w:val="00115297"/>
    <w:rsid w:val="0012641B"/>
    <w:rsid w:val="00171635"/>
    <w:rsid w:val="001A267B"/>
    <w:rsid w:val="001B668B"/>
    <w:rsid w:val="001C5A8C"/>
    <w:rsid w:val="00200E41"/>
    <w:rsid w:val="00223509"/>
    <w:rsid w:val="002358B5"/>
    <w:rsid w:val="00240BF2"/>
    <w:rsid w:val="0025654F"/>
    <w:rsid w:val="002A64F4"/>
    <w:rsid w:val="002C0FE9"/>
    <w:rsid w:val="002E5603"/>
    <w:rsid w:val="002F4AD0"/>
    <w:rsid w:val="003102EE"/>
    <w:rsid w:val="00317B11"/>
    <w:rsid w:val="00321090"/>
    <w:rsid w:val="0033343F"/>
    <w:rsid w:val="0034445E"/>
    <w:rsid w:val="00351B46"/>
    <w:rsid w:val="00375E2B"/>
    <w:rsid w:val="003B3DC7"/>
    <w:rsid w:val="003B4C8E"/>
    <w:rsid w:val="003B7D15"/>
    <w:rsid w:val="003C09FC"/>
    <w:rsid w:val="003C33DE"/>
    <w:rsid w:val="004216FA"/>
    <w:rsid w:val="004375FF"/>
    <w:rsid w:val="00437AE2"/>
    <w:rsid w:val="00460C9F"/>
    <w:rsid w:val="00465328"/>
    <w:rsid w:val="00491253"/>
    <w:rsid w:val="0049787A"/>
    <w:rsid w:val="004B2C4E"/>
    <w:rsid w:val="004D06CB"/>
    <w:rsid w:val="00501364"/>
    <w:rsid w:val="005055FB"/>
    <w:rsid w:val="00555ED3"/>
    <w:rsid w:val="00584220"/>
    <w:rsid w:val="005C29AB"/>
    <w:rsid w:val="005D5307"/>
    <w:rsid w:val="005E43C0"/>
    <w:rsid w:val="00643D9B"/>
    <w:rsid w:val="0065426A"/>
    <w:rsid w:val="0066591E"/>
    <w:rsid w:val="00673264"/>
    <w:rsid w:val="006B5EF3"/>
    <w:rsid w:val="00715D61"/>
    <w:rsid w:val="00731A0F"/>
    <w:rsid w:val="00751070"/>
    <w:rsid w:val="00775C98"/>
    <w:rsid w:val="007D53B6"/>
    <w:rsid w:val="007E06E3"/>
    <w:rsid w:val="007E67B7"/>
    <w:rsid w:val="007E7D74"/>
    <w:rsid w:val="007F7FA9"/>
    <w:rsid w:val="008048EF"/>
    <w:rsid w:val="00820527"/>
    <w:rsid w:val="00831684"/>
    <w:rsid w:val="00864B77"/>
    <w:rsid w:val="00867D0F"/>
    <w:rsid w:val="008A3611"/>
    <w:rsid w:val="008A6ACC"/>
    <w:rsid w:val="008E6C1F"/>
    <w:rsid w:val="008F3767"/>
    <w:rsid w:val="00926B9D"/>
    <w:rsid w:val="009369DA"/>
    <w:rsid w:val="0094690B"/>
    <w:rsid w:val="009972C3"/>
    <w:rsid w:val="009B5077"/>
    <w:rsid w:val="009C214E"/>
    <w:rsid w:val="009F7ACE"/>
    <w:rsid w:val="00A255D5"/>
    <w:rsid w:val="00A325D0"/>
    <w:rsid w:val="00A542EB"/>
    <w:rsid w:val="00AD7ACA"/>
    <w:rsid w:val="00AE3A6D"/>
    <w:rsid w:val="00AF5826"/>
    <w:rsid w:val="00B04DCA"/>
    <w:rsid w:val="00B44CFD"/>
    <w:rsid w:val="00B6276F"/>
    <w:rsid w:val="00B71D16"/>
    <w:rsid w:val="00B76774"/>
    <w:rsid w:val="00B907CC"/>
    <w:rsid w:val="00BA0D2E"/>
    <w:rsid w:val="00BB4D39"/>
    <w:rsid w:val="00BC306E"/>
    <w:rsid w:val="00BC3FB5"/>
    <w:rsid w:val="00BD541C"/>
    <w:rsid w:val="00BE632F"/>
    <w:rsid w:val="00C120E1"/>
    <w:rsid w:val="00C40CC5"/>
    <w:rsid w:val="00C56B66"/>
    <w:rsid w:val="00C751B7"/>
    <w:rsid w:val="00C809B6"/>
    <w:rsid w:val="00C94153"/>
    <w:rsid w:val="00CB671C"/>
    <w:rsid w:val="00D06A94"/>
    <w:rsid w:val="00D5747C"/>
    <w:rsid w:val="00D604C4"/>
    <w:rsid w:val="00D60A2C"/>
    <w:rsid w:val="00D66031"/>
    <w:rsid w:val="00DC2257"/>
    <w:rsid w:val="00DE7040"/>
    <w:rsid w:val="00E236E2"/>
    <w:rsid w:val="00E50FE8"/>
    <w:rsid w:val="00E625E8"/>
    <w:rsid w:val="00E6497D"/>
    <w:rsid w:val="00E84EAD"/>
    <w:rsid w:val="00EB4B56"/>
    <w:rsid w:val="00ED4073"/>
    <w:rsid w:val="00EE3FFC"/>
    <w:rsid w:val="00EE7E75"/>
    <w:rsid w:val="00F42CD3"/>
    <w:rsid w:val="00F80E13"/>
    <w:rsid w:val="00F83467"/>
    <w:rsid w:val="00F87183"/>
    <w:rsid w:val="00FB2481"/>
    <w:rsid w:val="00FC0A99"/>
    <w:rsid w:val="00FE5F32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mt-MT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1"/>
      </w:numPr>
    </w:pPr>
  </w:style>
  <w:style w:type="paragraph" w:customStyle="1" w:styleId="Tiret1">
    <w:name w:val="Tiret 1"/>
    <w:basedOn w:val="Point1"/>
    <w:rsid w:val="007D53B6"/>
    <w:pPr>
      <w:numPr>
        <w:numId w:val="12"/>
      </w:numPr>
    </w:pPr>
  </w:style>
  <w:style w:type="paragraph" w:customStyle="1" w:styleId="Tiret2">
    <w:name w:val="Tiret 2"/>
    <w:basedOn w:val="Point2"/>
    <w:rsid w:val="007D53B6"/>
    <w:pPr>
      <w:numPr>
        <w:numId w:val="13"/>
      </w:numPr>
    </w:pPr>
  </w:style>
  <w:style w:type="paragraph" w:customStyle="1" w:styleId="Tiret3">
    <w:name w:val="Tiret 3"/>
    <w:basedOn w:val="Point3"/>
    <w:rsid w:val="007D53B6"/>
    <w:pPr>
      <w:numPr>
        <w:numId w:val="14"/>
      </w:numPr>
    </w:pPr>
  </w:style>
  <w:style w:type="paragraph" w:customStyle="1" w:styleId="Tiret4">
    <w:name w:val="Tiret 4"/>
    <w:basedOn w:val="Point4"/>
    <w:rsid w:val="007D53B6"/>
    <w:pPr>
      <w:numPr>
        <w:numId w:val="15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18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7D53B6"/>
    <w:pPr>
      <w:numPr>
        <w:numId w:val="19"/>
      </w:numPr>
    </w:pPr>
  </w:style>
  <w:style w:type="paragraph" w:customStyle="1" w:styleId="Bullet1">
    <w:name w:val="Bullet 1"/>
    <w:basedOn w:val="Normal"/>
    <w:rsid w:val="007D53B6"/>
    <w:pPr>
      <w:numPr>
        <w:numId w:val="20"/>
      </w:numPr>
    </w:pPr>
  </w:style>
  <w:style w:type="paragraph" w:customStyle="1" w:styleId="Bullet2">
    <w:name w:val="Bullet 2"/>
    <w:basedOn w:val="Normal"/>
    <w:rsid w:val="007D53B6"/>
    <w:pPr>
      <w:numPr>
        <w:numId w:val="21"/>
      </w:numPr>
    </w:pPr>
  </w:style>
  <w:style w:type="paragraph" w:customStyle="1" w:styleId="Bullet3">
    <w:name w:val="Bullet 3"/>
    <w:basedOn w:val="Normal"/>
    <w:rsid w:val="007D53B6"/>
    <w:pPr>
      <w:numPr>
        <w:numId w:val="22"/>
      </w:numPr>
    </w:pPr>
  </w:style>
  <w:style w:type="paragraph" w:customStyle="1" w:styleId="Bullet4">
    <w:name w:val="Bullet 4"/>
    <w:basedOn w:val="Normal"/>
    <w:rsid w:val="007D53B6"/>
    <w:pPr>
      <w:numPr>
        <w:numId w:val="23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1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1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1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17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mt-MT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1"/>
      </w:numPr>
    </w:pPr>
  </w:style>
  <w:style w:type="paragraph" w:customStyle="1" w:styleId="Tiret1">
    <w:name w:val="Tiret 1"/>
    <w:basedOn w:val="Point1"/>
    <w:rsid w:val="007D53B6"/>
    <w:pPr>
      <w:numPr>
        <w:numId w:val="12"/>
      </w:numPr>
    </w:pPr>
  </w:style>
  <w:style w:type="paragraph" w:customStyle="1" w:styleId="Tiret2">
    <w:name w:val="Tiret 2"/>
    <w:basedOn w:val="Point2"/>
    <w:rsid w:val="007D53B6"/>
    <w:pPr>
      <w:numPr>
        <w:numId w:val="13"/>
      </w:numPr>
    </w:pPr>
  </w:style>
  <w:style w:type="paragraph" w:customStyle="1" w:styleId="Tiret3">
    <w:name w:val="Tiret 3"/>
    <w:basedOn w:val="Point3"/>
    <w:rsid w:val="007D53B6"/>
    <w:pPr>
      <w:numPr>
        <w:numId w:val="14"/>
      </w:numPr>
    </w:pPr>
  </w:style>
  <w:style w:type="paragraph" w:customStyle="1" w:styleId="Tiret4">
    <w:name w:val="Tiret 4"/>
    <w:basedOn w:val="Point4"/>
    <w:rsid w:val="007D53B6"/>
    <w:pPr>
      <w:numPr>
        <w:numId w:val="15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16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16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16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16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18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7D53B6"/>
    <w:pPr>
      <w:numPr>
        <w:numId w:val="19"/>
      </w:numPr>
    </w:pPr>
  </w:style>
  <w:style w:type="paragraph" w:customStyle="1" w:styleId="Bullet1">
    <w:name w:val="Bullet 1"/>
    <w:basedOn w:val="Normal"/>
    <w:rsid w:val="007D53B6"/>
    <w:pPr>
      <w:numPr>
        <w:numId w:val="20"/>
      </w:numPr>
    </w:pPr>
  </w:style>
  <w:style w:type="paragraph" w:customStyle="1" w:styleId="Bullet2">
    <w:name w:val="Bullet 2"/>
    <w:basedOn w:val="Normal"/>
    <w:rsid w:val="007D53B6"/>
    <w:pPr>
      <w:numPr>
        <w:numId w:val="21"/>
      </w:numPr>
    </w:pPr>
  </w:style>
  <w:style w:type="paragraph" w:customStyle="1" w:styleId="Bullet3">
    <w:name w:val="Bullet 3"/>
    <w:basedOn w:val="Normal"/>
    <w:rsid w:val="007D53B6"/>
    <w:pPr>
      <w:numPr>
        <w:numId w:val="22"/>
      </w:numPr>
    </w:pPr>
  </w:style>
  <w:style w:type="paragraph" w:customStyle="1" w:styleId="Bullet4">
    <w:name w:val="Bullet 4"/>
    <w:basedOn w:val="Normal"/>
    <w:rsid w:val="007D53B6"/>
    <w:pPr>
      <w:numPr>
        <w:numId w:val="23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D633B-1223-4BEA-8A77-7B8078B1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4</Pages>
  <Words>839</Words>
  <Characters>6497</Characters>
  <Application>Microsoft Office Word</Application>
  <DocSecurity>0</DocSecurity>
  <Lines>107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2017-05-31T08:05:00Z</dcterms:created>
  <dcterms:modified xsi:type="dcterms:W3CDTF">2017-05-31T08:05:00Z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20150407</vt:lpwstr>
  </property>
  <property fmtid="{D5CDD505-2E9C-101B-9397-08002B2CF9AE}" pid="3" name="Classification">
    <vt:lpwstr> 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Green (DQC version 03)</vt:lpwstr>
  </property>
</Properties>
</file>