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6D9" w:rsidRPr="00C50CF6" w:rsidRDefault="008205E0" w:rsidP="00C50CF6">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08069D112FDD4AE89BF680207BB1E2A2" style="width:450.75pt;height:396pt">
            <v:imagedata r:id="rId9" o:title=""/>
          </v:shape>
        </w:pict>
      </w:r>
    </w:p>
    <w:p w:rsidR="00AD7ACA" w:rsidRPr="00C50CF6" w:rsidRDefault="00AD7ACA" w:rsidP="00AD7ACA">
      <w:pPr>
        <w:pStyle w:val="Pagedecouverture"/>
        <w:sectPr w:rsidR="00AD7ACA" w:rsidRPr="00C50CF6" w:rsidSect="005C656D">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1"/>
          <w:cols w:space="720"/>
          <w:docGrid w:linePitch="360"/>
        </w:sectPr>
      </w:pPr>
    </w:p>
    <w:p w:rsidR="000826D9" w:rsidRPr="00C50CF6" w:rsidRDefault="00C50CF6" w:rsidP="00C50CF6">
      <w:pPr>
        <w:pStyle w:val="Typedudocument"/>
      </w:pPr>
      <w:r w:rsidRPr="00C50CF6">
        <w:lastRenderedPageBreak/>
        <w:t>KOMMISSIONENS GENNEMFØRELSESFORORDNING (EU) …/…</w:t>
      </w:r>
    </w:p>
    <w:p w:rsidR="000826D9" w:rsidRPr="00C50CF6" w:rsidRDefault="00C50CF6" w:rsidP="00C50CF6">
      <w:pPr>
        <w:pStyle w:val="Datedadoption"/>
      </w:pPr>
      <w:r w:rsidRPr="00C50CF6">
        <w:t xml:space="preserve">af </w:t>
      </w:r>
      <w:r w:rsidRPr="00C50CF6">
        <w:rPr>
          <w:rStyle w:val="Marker2"/>
        </w:rPr>
        <w:t>XXX</w:t>
      </w:r>
    </w:p>
    <w:p w:rsidR="000826D9" w:rsidRPr="00C50CF6" w:rsidRDefault="00C50CF6" w:rsidP="00C50CF6">
      <w:pPr>
        <w:pStyle w:val="Titreobjet"/>
      </w:pPr>
      <w:r w:rsidRPr="00C50CF6">
        <w:t>om ændring af gennemførelsesforordning (EU) nr. 680/2014 om gennemførelsesmæssige tekniske standarder for institutters indberetning med henblik på tilsyn i medfør af Europa-Parlamentets og Rådets forordning (EU) nr. 575/2013</w:t>
      </w:r>
    </w:p>
    <w:p w:rsidR="000826D9" w:rsidRPr="00C50CF6" w:rsidRDefault="00C50CF6" w:rsidP="00C50CF6">
      <w:pPr>
        <w:pStyle w:val="IntrtEEE"/>
      </w:pPr>
      <w:r w:rsidRPr="00C50CF6">
        <w:t>(EØS-relevant tekst)</w:t>
      </w:r>
    </w:p>
    <w:p w:rsidR="000826D9" w:rsidRPr="00C50CF6" w:rsidRDefault="000826D9" w:rsidP="004E1EF9">
      <w:pPr>
        <w:pStyle w:val="Institutionquiagit"/>
      </w:pPr>
      <w:r w:rsidRPr="00C50CF6">
        <w:t>EUROPA-KOMMISSIONEN HAR —</w:t>
      </w:r>
    </w:p>
    <w:p w:rsidR="000826D9" w:rsidRPr="00C50CF6" w:rsidRDefault="000826D9" w:rsidP="004E1EF9">
      <w:r w:rsidRPr="00C50CF6">
        <w:t>under henvisning til traktaten om Den Europæiske Unions funktionsmåde,</w:t>
      </w:r>
    </w:p>
    <w:p w:rsidR="000826D9" w:rsidRPr="00C50CF6" w:rsidRDefault="005E43C0" w:rsidP="00FC0A99">
      <w:r w:rsidRPr="00C50CF6">
        <w:t>under henvisning til Europa-Parlamentets og Rådets forordning (EU) nr. 575/2013 af 26. juni 2013 om tilsynsmæssige krav til kreditinstitutter og investeringsselskaber og om ændring af forordning (EU) nr. 648/2012, særlig artikel 99, stk. 5, fjerde afsnit, artikel 99, stk. 6, fjerde afsnit, artikel 101, stk. 4, tredje afsnit, og artikel 394, stk. 4, tredje afsnit, og</w:t>
      </w:r>
    </w:p>
    <w:p w:rsidR="000826D9" w:rsidRPr="00C50CF6" w:rsidRDefault="000826D9" w:rsidP="004E1EF9">
      <w:r w:rsidRPr="00C50CF6">
        <w:t>ud fra følgende betragtninger:</w:t>
      </w:r>
    </w:p>
    <w:p w:rsidR="005E43C0" w:rsidRPr="00C50CF6" w:rsidRDefault="005E43C0" w:rsidP="00584220">
      <w:pPr>
        <w:pStyle w:val="Considrant"/>
        <w:numPr>
          <w:ilvl w:val="0"/>
          <w:numId w:val="5"/>
        </w:numPr>
      </w:pPr>
      <w:r w:rsidRPr="00C50CF6">
        <w:t>I Kommissionens gennemførelsesforordning (EU) nr. 680/2014</w:t>
      </w:r>
      <w:r w:rsidRPr="00C50CF6">
        <w:rPr>
          <w:rStyle w:val="FootnoteReference"/>
        </w:rPr>
        <w:footnoteReference w:id="1"/>
      </w:r>
      <w:r w:rsidRPr="00C50CF6">
        <w:t xml:space="preserve"> fastsættes de regler, i overensstemmelse med hvilke institutter skal indberette oplysninger om deres overholdelse af forordning (EU) nr. 575/2013. Ved artikel 99, stk. 5, i forordning (EU) nr. 575/2013 tillægges Den Europæiske Banktilsynsmyndighed (EBA) bemyndigelse til at udarbejde gennemførelsesmæssige tekniske standarder med henblik på at fastlægge ensartede formater for indberetning af regnskabsdata fra institutter omfattet af artikel 4 i Europa-Parlamentets og Rådets forordning (EF) nr. 1606/2002</w:t>
      </w:r>
      <w:r w:rsidRPr="00C50CF6">
        <w:rPr>
          <w:rStyle w:val="FootnoteReference"/>
        </w:rPr>
        <w:footnoteReference w:id="2"/>
      </w:r>
      <w:r w:rsidRPr="00C50CF6">
        <w:t xml:space="preserve"> og andre kreditinstitutter end dem, der er omhandlet i nævnte artikel, som udarbejder deres konsoliderede regnskaber i overensstemmelse med de internationale regnskabsstandarder, der er vedtaget efter proceduren i artikel 6, stk. 2, i forordning (EF) nr. 1606/2002. Ved artikel 99, stk. 6, i forordning (EU) nr. 575/2013 bemyndiges EBA også til at udarbejde gennemførelsesmæssige tekniske standarder med henblik på at fastlægge ensartede formater for indberetning af regnskabsdata fra institutter, som er underlagt regnskabssystemer på grundlag af Rådets direktiv 86/635/EØF</w:t>
      </w:r>
      <w:r w:rsidRPr="00C50CF6">
        <w:rPr>
          <w:rStyle w:val="FootnoteReference"/>
        </w:rPr>
        <w:footnoteReference w:id="3"/>
      </w:r>
      <w:r w:rsidRPr="00C50CF6">
        <w:t xml:space="preserve">, til hvilke de kompetente myndigheder kan udvide kravene til indberetning. Hver af disse bestemmelser vedrører aspekter af rammerne for indberetning med henblik på tilsyn i Unionen, der skal bringes i overensstemmelse med nye internationale standarder. </w:t>
      </w:r>
    </w:p>
    <w:p w:rsidR="005E43C0" w:rsidRPr="00C50CF6" w:rsidRDefault="005E43C0" w:rsidP="001B668B">
      <w:pPr>
        <w:pStyle w:val="Considrant"/>
      </w:pPr>
      <w:r w:rsidRPr="00C50CF6">
        <w:t>Internationale regnskabsstandarder, der er vedtaget efter proceduren i artikel 6, stk. 2, i forordning (EF) nr. 1606/2002, er baseret på International Financial Reporting Standards (IFRS), som er udarbejdet af International Accounting Standards Board (IASB).</w:t>
      </w:r>
    </w:p>
    <w:p w:rsidR="005E43C0" w:rsidRPr="00C50CF6" w:rsidRDefault="005E43C0" w:rsidP="005E43C0">
      <w:pPr>
        <w:pStyle w:val="Considrant"/>
      </w:pPr>
      <w:r w:rsidRPr="00C50CF6">
        <w:lastRenderedPageBreak/>
        <w:t>I juli 2014 udsendte IASB IFRS 9 Finansielle instrumenter ("IFRS 9") som den nye standard for den regnskabsmæssige behandling af finansielle instrumenter med henblik på international anvendelse fra den 1. januar 2018. IFRS 9 blev vedtaget af Unionen den 22. november 2016 ved Kommissionen forordning (EU) 2016/2067</w:t>
      </w:r>
      <w:r w:rsidRPr="00C50CF6">
        <w:rPr>
          <w:rStyle w:val="FootnoteReference"/>
        </w:rPr>
        <w:footnoteReference w:id="4"/>
      </w:r>
      <w:r w:rsidRPr="00C50CF6">
        <w:t>.</w:t>
      </w:r>
    </w:p>
    <w:p w:rsidR="008A3611" w:rsidRPr="00C50CF6" w:rsidRDefault="005E43C0" w:rsidP="002F4AD0">
      <w:pPr>
        <w:pStyle w:val="Considrant"/>
      </w:pPr>
      <w:r w:rsidRPr="00C50CF6">
        <w:t>Ved IFRS 9 indføres væsentlige ændringer af den regnskabsmæssige behandling af finansielle instrumenter, der er omfattet af artikel 99, stk. 2, i forordning (EU) nr. 575/2013. IFRS 9 indeholder en logisk model til klassifikation og måling, en fælles værdiforringelsesmodel til fremtidige forventede tab ("</w:t>
      </w:r>
      <w:proofErr w:type="spellStart"/>
      <w:r w:rsidRPr="00C50CF6">
        <w:t>expected</w:t>
      </w:r>
      <w:proofErr w:type="spellEnd"/>
      <w:r w:rsidRPr="00C50CF6">
        <w:t xml:space="preserve"> </w:t>
      </w:r>
      <w:proofErr w:type="spellStart"/>
      <w:r w:rsidRPr="00C50CF6">
        <w:t>loss</w:t>
      </w:r>
      <w:proofErr w:type="spellEnd"/>
      <w:r w:rsidRPr="00C50CF6">
        <w:t>") og en kraftigt moderniseret tilgang til regnskabsmæssig sikring: Institutternes indberetning bør derfor ændres.</w:t>
      </w:r>
    </w:p>
    <w:p w:rsidR="005E43C0" w:rsidRPr="00C50CF6" w:rsidRDefault="005E43C0" w:rsidP="002358B5">
      <w:pPr>
        <w:pStyle w:val="Considrant"/>
      </w:pPr>
      <w:r w:rsidRPr="00C50CF6">
        <w:t>Det er endvidere nødvendigt at ajourføre skemaerne og instrukserne vedrørende indberetning af bruttoværdien af finansielle aktiver, der måles til dagsværdi gennem resultatet. Det er nødvendigt for at klarlægge definitionen af "bruttoværdi" for overvågning af kreditrisici, for at forbedre datakvaliteten af de indberettede oplysninger og for at mindske indberetningsbyrden.</w:t>
      </w:r>
    </w:p>
    <w:p w:rsidR="005E43C0" w:rsidRPr="00C50CF6" w:rsidRDefault="008A3611" w:rsidP="005E43C0">
      <w:pPr>
        <w:pStyle w:val="Considrant"/>
      </w:pPr>
      <w:r w:rsidRPr="00C50CF6">
        <w:t>Det er også nødvendigt at opdatere skemaerne og instrukserne for institutter, som er underlagt regnskabssystemer på grundlag af direktiv 86/635/EØF, for at sikre, at indberettede finansielle oplysninger forbliver relevant og overensstemmende mellem alle institutter, og for at håndtere manglende oplysninger, der skyldes det forhold, at specifikke nationale regnskabssystemer tidligere ikke var fuldstændigt afspejlede i skemaerne.</w:t>
      </w:r>
    </w:p>
    <w:p w:rsidR="005E43C0" w:rsidRPr="00C50CF6" w:rsidRDefault="005E43C0" w:rsidP="005E43C0">
      <w:pPr>
        <w:pStyle w:val="Considrant"/>
      </w:pPr>
      <w:r w:rsidRPr="00C50CF6">
        <w:t>På grund af den uløselige sammenhæng mellem finansiel indberetning og de relevante regnskabsstandarder, skal datoen for denne forordnings anvendelse falde sammen med datoen for anvendelse af IFRS 9. Af samme grund er det også nødvendigt af hensyn til de institutter, hvis regnskabsår ikke følger kalenderåret, at datoen for denne forordnings anvendelse falder sammen med datoen for anvendelse af IFRS 9, som er den dato i kalenderåret, på hvilken regnskabsåret begynder for de institutter.</w:t>
      </w:r>
    </w:p>
    <w:p w:rsidR="005E43C0" w:rsidRPr="00C50CF6" w:rsidRDefault="005E43C0" w:rsidP="005E43C0">
      <w:pPr>
        <w:pStyle w:val="Considrant"/>
      </w:pPr>
      <w:r w:rsidRPr="00C50CF6">
        <w:t xml:space="preserve">Denne forordning er baseret på det udkast til gennemførelsesmæssige tekniske standarder, som Den Europæiske Banktilsynsmyndighed (EBA) har forelagt Kommissionen. </w:t>
      </w:r>
    </w:p>
    <w:p w:rsidR="005E43C0" w:rsidRPr="00C50CF6" w:rsidRDefault="005E43C0" w:rsidP="005E43C0">
      <w:pPr>
        <w:pStyle w:val="Considrant"/>
      </w:pPr>
      <w:r w:rsidRPr="00C50CF6">
        <w:t>Den Europæiske Banktilsynsmyndighed har gennemført åbne offentlige høringer om det udkast til gennemførelsesmæssige tekniske standarder, som ligger til grund for denne forordning, analyseret de potentielle omkostninger og fordele samt anmodet interessentgruppen for banker, som er nedsat i henhold artikel 37 i Europa-Parlamentets og Rådets forordning (EU) nr. 1093/2010, om en udtalelse</w:t>
      </w:r>
      <w:r w:rsidRPr="00C50CF6">
        <w:rPr>
          <w:rStyle w:val="FootnoteReference"/>
        </w:rPr>
        <w:footnoteReference w:id="5"/>
      </w:r>
      <w:r w:rsidRPr="00C50CF6">
        <w:t xml:space="preserve"> — </w:t>
      </w:r>
    </w:p>
    <w:p w:rsidR="000826D9" w:rsidRPr="00C50CF6" w:rsidRDefault="005E43C0" w:rsidP="005E43C0">
      <w:pPr>
        <w:pStyle w:val="Considrant"/>
      </w:pPr>
      <w:r w:rsidRPr="00C50CF6">
        <w:t xml:space="preserve">Gennemførelsesforordning (EU) nr. 680/2014 bør derfor ændres — </w:t>
      </w:r>
    </w:p>
    <w:p w:rsidR="000826D9" w:rsidRPr="00C50CF6" w:rsidRDefault="000826D9" w:rsidP="004E1EF9">
      <w:pPr>
        <w:pStyle w:val="Formuledadoption"/>
      </w:pPr>
      <w:r w:rsidRPr="00C50CF6">
        <w:lastRenderedPageBreak/>
        <w:t>VEDTAGET DENNE FORORDNING:</w:t>
      </w:r>
    </w:p>
    <w:p w:rsidR="000826D9" w:rsidRPr="00C50CF6" w:rsidRDefault="000826D9" w:rsidP="004E1EF9">
      <w:pPr>
        <w:pStyle w:val="Titrearticle"/>
      </w:pPr>
      <w:r w:rsidRPr="00C50CF6">
        <w:t>Artikel 1</w:t>
      </w:r>
    </w:p>
    <w:p w:rsidR="005E43C0" w:rsidRPr="00C50CF6" w:rsidRDefault="005E43C0" w:rsidP="005E43C0">
      <w:r w:rsidRPr="00C50CF6">
        <w:t>I gennemførelsesforordning (EU) nr. 680/2014 foretages følgende ændringer:</w:t>
      </w:r>
    </w:p>
    <w:p w:rsidR="005E43C0" w:rsidRPr="00C50CF6" w:rsidRDefault="00171D52" w:rsidP="00171D52">
      <w:pPr>
        <w:pStyle w:val="Point0"/>
      </w:pPr>
      <w:r>
        <w:t>1)</w:t>
      </w:r>
      <w:r w:rsidRPr="00171D52">
        <w:tab/>
      </w:r>
      <w:r w:rsidR="005E43C0" w:rsidRPr="00C50CF6">
        <w:t>Bilag III til gennemførelsesforordning (EU) nr. 680/2014 erstattes af teksten i bilag I til nærværende forordning.</w:t>
      </w:r>
    </w:p>
    <w:p w:rsidR="005E43C0" w:rsidRPr="00C50CF6" w:rsidRDefault="00171D52" w:rsidP="00171D52">
      <w:pPr>
        <w:pStyle w:val="Point0"/>
      </w:pPr>
      <w:r>
        <w:t>2)</w:t>
      </w:r>
      <w:r w:rsidRPr="00171D52">
        <w:tab/>
      </w:r>
      <w:r w:rsidR="005E43C0" w:rsidRPr="00C50CF6">
        <w:t>Bilag IV til gennemførelsesforordning (EU) nr. 680/2014 erstattes af teksten i bilag II til nærværende forordning.</w:t>
      </w:r>
    </w:p>
    <w:p w:rsidR="005E43C0" w:rsidRPr="00C50CF6" w:rsidRDefault="00171D52" w:rsidP="00171D52">
      <w:pPr>
        <w:pStyle w:val="Point0"/>
      </w:pPr>
      <w:r>
        <w:t>3)</w:t>
      </w:r>
      <w:r w:rsidRPr="00171D52">
        <w:tab/>
      </w:r>
      <w:r w:rsidR="005E43C0" w:rsidRPr="00C50CF6">
        <w:t>Bilag V til gennemførelsesforordning (EU) nr. 680/2014 erstattes af teksten i bilag III til nærværende forordning.</w:t>
      </w:r>
    </w:p>
    <w:p w:rsidR="000826D9" w:rsidRPr="00C50CF6" w:rsidRDefault="000826D9" w:rsidP="004E1EF9">
      <w:pPr>
        <w:pStyle w:val="Titrearticle"/>
      </w:pPr>
      <w:r w:rsidRPr="00C50CF6">
        <w:t>Artikel 2</w:t>
      </w:r>
    </w:p>
    <w:p w:rsidR="005E43C0" w:rsidRPr="00C50CF6" w:rsidRDefault="005E43C0" w:rsidP="005E43C0">
      <w:pPr>
        <w:pStyle w:val="Applicationdirecte"/>
      </w:pPr>
      <w:r w:rsidRPr="00C50CF6">
        <w:t xml:space="preserve">Denne forordning træder i kraft på tyvendedagen efter offentliggørelsen i </w:t>
      </w:r>
      <w:r w:rsidRPr="00C50CF6">
        <w:rPr>
          <w:i/>
        </w:rPr>
        <w:t>Den Europæiske Unions Tidende</w:t>
      </w:r>
      <w:r w:rsidRPr="00C50CF6">
        <w:t>.</w:t>
      </w:r>
    </w:p>
    <w:p w:rsidR="005E43C0" w:rsidRPr="00C50CF6" w:rsidRDefault="005E43C0" w:rsidP="005E43C0">
      <w:r w:rsidRPr="00C50CF6">
        <w:t>Den anvendes fra den 1. januar 2018.</w:t>
      </w:r>
    </w:p>
    <w:p w:rsidR="0065426A" w:rsidRPr="00C50CF6" w:rsidRDefault="00BE632F" w:rsidP="005E43C0">
      <w:r w:rsidRPr="00C50CF6">
        <w:t>Hvad angår følgende institutter, hvor de pågældende institutter anvender et regnskabsår, der ikke følger kalenderåret, finder bilag I og III til nærværende forordning anvendelse fra begyndelsen af det regnskabsår, der begynder efter den 1. januar 2018:</w:t>
      </w:r>
    </w:p>
    <w:p w:rsidR="0065426A" w:rsidRPr="00C50CF6" w:rsidRDefault="0065426A" w:rsidP="005E43C0">
      <w:r w:rsidRPr="00C50CF6">
        <w:t xml:space="preserve">a) institutter, der er omfattet af artikel 4 i forordning (EF) nr. 1606/2002 </w:t>
      </w:r>
    </w:p>
    <w:p w:rsidR="0065426A" w:rsidRPr="00C50CF6" w:rsidRDefault="0065426A" w:rsidP="005E43C0">
      <w:r w:rsidRPr="00C50CF6">
        <w:t>b) andre kreditinstitutter end dem, der er omhandlet i artikel 4 i forordning (EF) nr. 1606/2002, som udarbejder deres konsoliderede regnskaber i overensstemmelse med de internationale regnskabsstandarder, der er vedtaget efter proceduren i nævnte forordnings artikel 6, stk. 2</w:t>
      </w:r>
    </w:p>
    <w:p w:rsidR="00375E2B" w:rsidRPr="00C50CF6" w:rsidRDefault="00375E2B" w:rsidP="005E43C0">
      <w:r w:rsidRPr="00C50CF6">
        <w:t>c) kreditinstitutter, der anvender internationale regnskabsstandarder i overensstemmelse med forordning (EF) nr. 1606/2002 med henblik på indberetning af kapitalgrundlag på konsolideret grundlag, jf. artikel 24, stk. 2, i forordning (EU) nr. 575/2013.</w:t>
      </w:r>
    </w:p>
    <w:p w:rsidR="005E43C0" w:rsidRPr="00C50CF6" w:rsidRDefault="005E43C0" w:rsidP="005E43C0">
      <w:r w:rsidRPr="00C50CF6">
        <w:t>Denne forordning er bindende i alle enkeltheder og gælder umiddelbart i hver medlemsstat.</w:t>
      </w:r>
    </w:p>
    <w:p w:rsidR="000826D9" w:rsidRPr="00C50CF6" w:rsidRDefault="00C50CF6" w:rsidP="00C50CF6">
      <w:pPr>
        <w:pStyle w:val="Fait"/>
      </w:pPr>
      <w:r w:rsidRPr="00C50CF6">
        <w:t xml:space="preserve">Udfærdiget i Bruxelles, den </w:t>
      </w:r>
      <w:r w:rsidRPr="00C50CF6">
        <w:rPr>
          <w:rStyle w:val="Marker2"/>
        </w:rPr>
        <w:t>[…]</w:t>
      </w:r>
      <w:r w:rsidRPr="00C50CF6">
        <w:t>.</w:t>
      </w:r>
    </w:p>
    <w:p w:rsidR="000826D9" w:rsidRPr="00C50CF6" w:rsidRDefault="000826D9" w:rsidP="000826D9">
      <w:pPr>
        <w:pStyle w:val="Institutionquisigne"/>
      </w:pPr>
      <w:r w:rsidRPr="00C50CF6">
        <w:tab/>
        <w:t>På Kommissionens vegne</w:t>
      </w:r>
    </w:p>
    <w:p w:rsidR="000826D9" w:rsidRPr="00C50CF6" w:rsidRDefault="000826D9" w:rsidP="000826D9">
      <w:pPr>
        <w:pStyle w:val="Personnequisigne"/>
      </w:pPr>
      <w:r w:rsidRPr="00C50CF6">
        <w:tab/>
        <w:t>Jean-Claude JUNCKER</w:t>
      </w:r>
      <w:r w:rsidRPr="00C50CF6">
        <w:br/>
      </w:r>
      <w:r w:rsidRPr="00C50CF6">
        <w:tab/>
        <w:t>Formand</w:t>
      </w:r>
    </w:p>
    <w:sectPr w:rsidR="000826D9" w:rsidRPr="00C50CF6" w:rsidSect="005C656D">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E41" w:rsidRDefault="00200E41" w:rsidP="000826D9">
      <w:pPr>
        <w:spacing w:before="0" w:after="0"/>
      </w:pPr>
      <w:r>
        <w:separator/>
      </w:r>
    </w:p>
  </w:endnote>
  <w:endnote w:type="continuationSeparator" w:id="0">
    <w:p w:rsidR="00200E41" w:rsidRDefault="00200E41" w:rsidP="000826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5E0" w:rsidRDefault="008205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CF6" w:rsidRPr="005C656D" w:rsidRDefault="005C656D" w:rsidP="005C656D">
    <w:pPr>
      <w:pStyle w:val="Footer"/>
      <w:rPr>
        <w:rFonts w:ascii="Arial" w:hAnsi="Arial" w:cs="Arial"/>
        <w:b/>
        <w:sz w:val="48"/>
      </w:rPr>
    </w:pPr>
    <w:r w:rsidRPr="005C656D">
      <w:rPr>
        <w:rFonts w:ascii="Arial" w:hAnsi="Arial" w:cs="Arial"/>
        <w:b/>
        <w:sz w:val="48"/>
      </w:rPr>
      <w:t>DA</w:t>
    </w:r>
    <w:r w:rsidRPr="005C656D">
      <w:rPr>
        <w:rFonts w:ascii="Arial" w:hAnsi="Arial" w:cs="Arial"/>
        <w:b/>
        <w:sz w:val="48"/>
      </w:rPr>
      <w:tab/>
    </w:r>
    <w:r w:rsidRPr="005C656D">
      <w:rPr>
        <w:rFonts w:ascii="Arial" w:hAnsi="Arial" w:cs="Arial"/>
        <w:b/>
        <w:sz w:val="48"/>
      </w:rPr>
      <w:tab/>
    </w:r>
    <w:fldSimple w:instr=" DOCVARIABLE &quot;LW_Confidence&quot; \* MERGEFORMAT ">
      <w:r>
        <w:t xml:space="preserve"> </w:t>
      </w:r>
    </w:fldSimple>
    <w:r w:rsidRPr="005C656D">
      <w:tab/>
    </w:r>
    <w:proofErr w:type="spellStart"/>
    <w:r w:rsidRPr="005C656D">
      <w:rPr>
        <w:rFonts w:ascii="Arial" w:hAnsi="Arial" w:cs="Arial"/>
        <w:b/>
        <w:sz w:val="48"/>
      </w:rPr>
      <w:t>DA</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5E0" w:rsidRDefault="008205E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56D" w:rsidRPr="005C656D" w:rsidRDefault="005C656D" w:rsidP="005C656D">
    <w:pPr>
      <w:pStyle w:val="Footer"/>
      <w:rPr>
        <w:rFonts w:ascii="Arial" w:hAnsi="Arial" w:cs="Arial"/>
        <w:b/>
        <w:sz w:val="48"/>
      </w:rPr>
    </w:pPr>
    <w:r w:rsidRPr="005C656D">
      <w:rPr>
        <w:rFonts w:ascii="Arial" w:hAnsi="Arial" w:cs="Arial"/>
        <w:b/>
        <w:sz w:val="48"/>
      </w:rPr>
      <w:t>DA</w:t>
    </w:r>
    <w:r w:rsidRPr="005C656D">
      <w:rPr>
        <w:rFonts w:ascii="Arial" w:hAnsi="Arial" w:cs="Arial"/>
        <w:b/>
        <w:sz w:val="48"/>
      </w:rPr>
      <w:tab/>
    </w:r>
    <w:r>
      <w:fldChar w:fldCharType="begin"/>
    </w:r>
    <w:r>
      <w:instrText xml:space="preserve"> PAGE  \* MERGEFORMAT </w:instrText>
    </w:r>
    <w:r>
      <w:fldChar w:fldCharType="separate"/>
    </w:r>
    <w:r w:rsidR="008205E0">
      <w:rPr>
        <w:noProof/>
      </w:rPr>
      <w:t>4</w:t>
    </w:r>
    <w:r>
      <w:fldChar w:fldCharType="end"/>
    </w:r>
    <w:r>
      <w:tab/>
    </w:r>
    <w:fldSimple w:instr=" DOCVARIABLE &quot;LW_Confidence&quot; \* MERGEFORMAT ">
      <w:r>
        <w:t xml:space="preserve"> </w:t>
      </w:r>
    </w:fldSimple>
    <w:r w:rsidRPr="005C656D">
      <w:tab/>
    </w:r>
    <w:r w:rsidRPr="005C656D">
      <w:rPr>
        <w:rFonts w:ascii="Arial" w:hAnsi="Arial" w:cs="Arial"/>
        <w:b/>
        <w:sz w:val="48"/>
      </w:rPr>
      <w:t>DA</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56D" w:rsidRPr="005C656D" w:rsidRDefault="005C656D" w:rsidP="005C65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E41" w:rsidRDefault="00200E41" w:rsidP="000826D9">
      <w:pPr>
        <w:spacing w:before="0" w:after="0"/>
      </w:pPr>
      <w:r>
        <w:separator/>
      </w:r>
    </w:p>
  </w:footnote>
  <w:footnote w:type="continuationSeparator" w:id="0">
    <w:p w:rsidR="00200E41" w:rsidRDefault="00200E41" w:rsidP="000826D9">
      <w:pPr>
        <w:spacing w:before="0" w:after="0"/>
      </w:pPr>
      <w:r>
        <w:continuationSeparator/>
      </w:r>
    </w:p>
  </w:footnote>
  <w:footnote w:id="1">
    <w:p w:rsidR="005E43C0" w:rsidRPr="004500CE" w:rsidRDefault="005E43C0" w:rsidP="005E43C0">
      <w:pPr>
        <w:pStyle w:val="FootnoteText"/>
      </w:pPr>
      <w:r>
        <w:rPr>
          <w:rStyle w:val="FootnoteReference"/>
        </w:rPr>
        <w:footnoteRef/>
      </w:r>
      <w:r>
        <w:tab/>
        <w:t xml:space="preserve">Kommissionens gennemførelsesforordning (EU) nr. 680/2014 om gennemførelsesmæssige tekniske standarder for institutters indberetning med henblik på tilsyn i medfør af Europa-Parlamentets og Rådets forordning (EU) nr. 575/2013 (EUT L 191 af 28.6.2014, s. 1). </w:t>
      </w:r>
    </w:p>
  </w:footnote>
  <w:footnote w:id="2">
    <w:p w:rsidR="005E43C0" w:rsidRPr="00F86D15" w:rsidRDefault="005E43C0" w:rsidP="005E43C0">
      <w:pPr>
        <w:pStyle w:val="FootnoteText"/>
      </w:pPr>
      <w:r>
        <w:rPr>
          <w:rStyle w:val="FootnoteReference"/>
        </w:rPr>
        <w:footnoteRef/>
      </w:r>
      <w:r>
        <w:tab/>
        <w:t>Europa-Parlamentets og Rådets forordning (EF) nr. 1606/2002 af 19. juli 2002 om anvendelse af internationale regnskabsstandarder (EFT L 243 af 11.9.2002, s. 1).</w:t>
      </w:r>
    </w:p>
  </w:footnote>
  <w:footnote w:id="3">
    <w:p w:rsidR="002A64F4" w:rsidRDefault="002A64F4">
      <w:pPr>
        <w:pStyle w:val="FootnoteText"/>
      </w:pPr>
      <w:r>
        <w:rPr>
          <w:rStyle w:val="FootnoteReference"/>
        </w:rPr>
        <w:footnoteRef/>
      </w:r>
      <w:r>
        <w:tab/>
        <w:t>Rådets direktiv 86/635/EØF af 8. december 1986 om bankers og andre penge- og finansieringsinstitutters årsregnskaber og konsoliderede regnskaber (EFT L 372 af 31.12.1986, s. 1).</w:t>
      </w:r>
    </w:p>
  </w:footnote>
  <w:footnote w:id="4">
    <w:p w:rsidR="00775C98" w:rsidRDefault="00775C98">
      <w:pPr>
        <w:pStyle w:val="FootnoteText"/>
      </w:pPr>
      <w:r>
        <w:rPr>
          <w:rStyle w:val="FootnoteReference"/>
        </w:rPr>
        <w:footnoteRef/>
      </w:r>
      <w:r>
        <w:tab/>
        <w:t>Kommissionens forordning (EU) 2016/2067 af 22. november 2016 om ændring af forordning (EF) nr. 1126/2008 om vedtagelse af visse internationale regnskabsstandarder i overensstemmelse med Europa-Parlamentets og Rådets forordning (EF) nr. 1606/2002 for så vidt angår IFRS 9 (EUT L 323 af 29.11.2016, s. 1).</w:t>
      </w:r>
    </w:p>
  </w:footnote>
  <w:footnote w:id="5">
    <w:p w:rsidR="005E43C0" w:rsidRPr="004500CE" w:rsidRDefault="005E43C0" w:rsidP="005E43C0">
      <w:pPr>
        <w:pStyle w:val="FootnoteText"/>
      </w:pPr>
      <w:r>
        <w:rPr>
          <w:rStyle w:val="FootnoteReference"/>
        </w:rPr>
        <w:footnoteRef/>
      </w:r>
      <w:r>
        <w:tab/>
        <w:t xml:space="preserve">Europa-Parlamentets og Rådets forordning (EU) nr. 1093/2010 af 24. november 2010 om oprettelse af en europæisk tilsynsmyndighed (Den Europæiske Banktilsynsmyndighed), om ændring af afgørelse nr. 716/2009/EF og om ophævelse af Kommissionens afgørelse 2009/78/EF (EUT L 331 af 15.12.2010, s. 12).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5E0" w:rsidRDefault="008205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5E0" w:rsidRDefault="008205E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5E0" w:rsidRDefault="008205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07405E88"/>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CBF044D2"/>
    <w:lvl w:ilvl="0">
      <w:start w:val="1"/>
      <w:numFmt w:val="decimal"/>
      <w:pStyle w:val="ListNumber3"/>
      <w:lvlText w:val="%1."/>
      <w:lvlJc w:val="left"/>
      <w:pPr>
        <w:tabs>
          <w:tab w:val="num" w:pos="926"/>
        </w:tabs>
        <w:ind w:left="926" w:hanging="360"/>
      </w:pPr>
    </w:lvl>
  </w:abstractNum>
  <w:abstractNum w:abstractNumId="2">
    <w:nsid w:val="FFFFFF7F"/>
    <w:multiLevelType w:val="singleLevel"/>
    <w:tmpl w:val="0C009692"/>
    <w:lvl w:ilvl="0">
      <w:start w:val="1"/>
      <w:numFmt w:val="decimal"/>
      <w:pStyle w:val="ListNumber2"/>
      <w:lvlText w:val="%1."/>
      <w:lvlJc w:val="left"/>
      <w:pPr>
        <w:tabs>
          <w:tab w:val="num" w:pos="643"/>
        </w:tabs>
        <w:ind w:left="643" w:hanging="360"/>
      </w:pPr>
    </w:lvl>
  </w:abstractNum>
  <w:abstractNum w:abstractNumId="3">
    <w:nsid w:val="FFFFFF81"/>
    <w:multiLevelType w:val="singleLevel"/>
    <w:tmpl w:val="087E3F32"/>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A3AED8E8"/>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F9FA9562"/>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D0D05A22"/>
    <w:lvl w:ilvl="0">
      <w:start w:val="1"/>
      <w:numFmt w:val="decimal"/>
      <w:pStyle w:val="ListNumber"/>
      <w:lvlText w:val="%1."/>
      <w:lvlJc w:val="left"/>
      <w:pPr>
        <w:tabs>
          <w:tab w:val="num" w:pos="360"/>
        </w:tabs>
        <w:ind w:left="360" w:hanging="360"/>
      </w:pPr>
    </w:lvl>
  </w:abstractNum>
  <w:abstractNum w:abstractNumId="7">
    <w:nsid w:val="FFFFFF89"/>
    <w:multiLevelType w:val="singleLevel"/>
    <w:tmpl w:val="07BE56E6"/>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21"/>
    <w:lvlOverride w:ilvl="0">
      <w:startOverride w:val="1"/>
    </w:lvlOverride>
  </w:num>
  <w:num w:numId="6">
    <w:abstractNumId w:val="6"/>
  </w:num>
  <w:num w:numId="7">
    <w:abstractNumId w:val="2"/>
  </w:num>
  <w:num w:numId="8">
    <w:abstractNumId w:val="1"/>
  </w:num>
  <w:num w:numId="9">
    <w:abstractNumId w:val="0"/>
  </w:num>
  <w:num w:numId="10">
    <w:abstractNumId w:val="18"/>
  </w:num>
  <w:num w:numId="11">
    <w:abstractNumId w:val="12"/>
  </w:num>
  <w:num w:numId="12">
    <w:abstractNumId w:val="20"/>
  </w:num>
  <w:num w:numId="13">
    <w:abstractNumId w:val="11"/>
  </w:num>
  <w:num w:numId="14">
    <w:abstractNumId w:val="13"/>
  </w:num>
  <w:num w:numId="15">
    <w:abstractNumId w:val="9"/>
  </w:num>
  <w:num w:numId="16">
    <w:abstractNumId w:val="19"/>
  </w:num>
  <w:num w:numId="17">
    <w:abstractNumId w:val="8"/>
  </w:num>
  <w:num w:numId="18">
    <w:abstractNumId w:val="14"/>
  </w:num>
  <w:num w:numId="19">
    <w:abstractNumId w:val="16"/>
  </w:num>
  <w:num w:numId="20">
    <w:abstractNumId w:val="17"/>
  </w:num>
  <w:num w:numId="21">
    <w:abstractNumId w:val="10"/>
  </w:num>
  <w:num w:numId="22">
    <w:abstractNumId w:val="15"/>
  </w:num>
  <w:num w:numId="23">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removePersonalInformation/>
  <w:removeDateAndTime/>
  <w:proofState w:spelling="clean"/>
  <w:attachedTemplate r:id="rId1"/>
  <w:defaultTabStop w:val="720"/>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QCDateTime" w:val="2017-06-21 17:17:38"/>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NFIDENCE" w:val=" "/>
    <w:docVar w:name="LW_CONST_RESTREINT_UE" w:val="RESTREINT UE/EU RESTRICTED"/>
    <w:docVar w:name="LW_COVERPAGE_GUID" w:val="08069D112FDD4AE89BF680207BB1E2A2"/>
    <w:docVar w:name="LW_CROSSREFERENCE" w:val="&lt;UNUSED&gt;"/>
    <w:docVar w:name="LW_DATE.ADOPT.CP" w:val="af XXX"/>
    <w:docVar w:name="LW_DATE.ADOPT.CP_DATEFORMAT" w:val="af %DATE%"/>
    <w:docVar w:name="LW_DATE.ADOPT.CP_ISODATE" w:val="&lt;EMPTY&gt;"/>
    <w:docVar w:name="LW_DocType" w:val="COM"/>
    <w:docVar w:name="LW_EMISSION" w:val="&lt;EMPTY&gt;"/>
    <w:docVar w:name="LW_EMISSION_ISODATE" w:val="&lt;EMPTY&gt;"/>
    <w:docVar w:name="LW_EMISSION_LOCATION" w:val="BRX"/>
    <w:docVar w:name="LW_EMISSION_PREFIX" w:val="Bruxelles, den "/>
    <w:docVar w:name="LW_EMISSION_SUFFIX" w:val=" "/>
    <w:docVar w:name="LW_ID_DOCMODEL" w:val="SJ-004"/>
    <w:docVar w:name="LW_ID_DOCSIGNATURE" w:val="SJ-004"/>
    <w:docVar w:name="LW_ID_DOCSTRUCTURE" w:val="COM/AA"/>
    <w:docVar w:name="LW_ID_DOCTYPE" w:val="SJ-004"/>
    <w:docVar w:name="LW_INTERETEEE.CP" w:val="(EØS-relevant tekst)"/>
    <w:docVar w:name="LW_LANGUE" w:val="DA"/>
    <w:docVar w:name="LW_LANGUESFAISANTFOI.CP" w:val="&lt;UNUSED&gt;"/>
    <w:docVar w:name="LW_MARKING" w:val="&lt;UNUSED&gt;"/>
    <w:docVar w:name="LW_NOM.INST" w:val="EUROPA-KOMMISSIONEN"/>
    <w:docVar w:name="LW_NOM.INST_JOINTDOC" w:val="&lt;EMPTY&gt;"/>
    <w:docVar w:name="LW_PART_NBR" w:val="1"/>
    <w:docVar w:name="LW_PART_NBR_TOTAL" w:val="1"/>
    <w:docVar w:name="LW_REF.INST.NEW" w:val="&lt;EMPTY&gt;"/>
    <w:docVar w:name="LW_REF.INST.NEW_ADOPTED" w:val="draft"/>
    <w:docVar w:name="LW_REF.INST.NEW_TEXT" w:val="(2017) XXX"/>
    <w:docVar w:name="LW_REF.INTERNE" w:val="&lt;UNUSED&gt;"/>
    <w:docVar w:name="LW_SOUS.TITRE.OBJ.CP" w:val="&lt;UNUSED&gt;"/>
    <w:docVar w:name="LW_SUPERTITRE" w:val="&lt;UNUSED&gt;"/>
    <w:docVar w:name="LW_TITRE.OBJ.CP" w:val="om ændring af gennemførelsesforordning (EU) nr. 680/2014 om gennemførelsesmæssige tekniske standarder for institutters indberetning med henblik på tilsyn i medfør af Europa-Parlamentets og Rådets forordning (EU) nr. 575/2013"/>
    <w:docVar w:name="LW_TYPE.DOC.CP" w:val="KOMMISSIONENS GENNEMFØRELSESFORORDNING (EU) \u8230?/\u8230?"/>
  </w:docVars>
  <w:rsids>
    <w:rsidRoot w:val="000826D9"/>
    <w:rsid w:val="00021C35"/>
    <w:rsid w:val="0002331C"/>
    <w:rsid w:val="00046DE9"/>
    <w:rsid w:val="0007327F"/>
    <w:rsid w:val="000826D9"/>
    <w:rsid w:val="000A65E4"/>
    <w:rsid w:val="000A6BA1"/>
    <w:rsid w:val="000C2CD5"/>
    <w:rsid w:val="000D0FA1"/>
    <w:rsid w:val="000D3B73"/>
    <w:rsid w:val="000E3E7A"/>
    <w:rsid w:val="00115297"/>
    <w:rsid w:val="00171635"/>
    <w:rsid w:val="00171D52"/>
    <w:rsid w:val="001A267B"/>
    <w:rsid w:val="001B668B"/>
    <w:rsid w:val="001C5A8C"/>
    <w:rsid w:val="00200E41"/>
    <w:rsid w:val="00223509"/>
    <w:rsid w:val="002358B5"/>
    <w:rsid w:val="00240BF2"/>
    <w:rsid w:val="0025654F"/>
    <w:rsid w:val="002A64F4"/>
    <w:rsid w:val="002F4AD0"/>
    <w:rsid w:val="003102EE"/>
    <w:rsid w:val="00317B11"/>
    <w:rsid w:val="00321090"/>
    <w:rsid w:val="0033343F"/>
    <w:rsid w:val="0034445E"/>
    <w:rsid w:val="00351B46"/>
    <w:rsid w:val="00375E2B"/>
    <w:rsid w:val="003B3DC7"/>
    <w:rsid w:val="003B4C8E"/>
    <w:rsid w:val="003B7D15"/>
    <w:rsid w:val="003C09FC"/>
    <w:rsid w:val="003C33DE"/>
    <w:rsid w:val="004216FA"/>
    <w:rsid w:val="004375FF"/>
    <w:rsid w:val="00437AE2"/>
    <w:rsid w:val="00460C9F"/>
    <w:rsid w:val="00465328"/>
    <w:rsid w:val="00491253"/>
    <w:rsid w:val="0049787A"/>
    <w:rsid w:val="004B2C4E"/>
    <w:rsid w:val="004D06CB"/>
    <w:rsid w:val="00501364"/>
    <w:rsid w:val="005055FB"/>
    <w:rsid w:val="00555ED3"/>
    <w:rsid w:val="00584220"/>
    <w:rsid w:val="005C29AB"/>
    <w:rsid w:val="005C656D"/>
    <w:rsid w:val="005D5307"/>
    <w:rsid w:val="005E43C0"/>
    <w:rsid w:val="00643D9B"/>
    <w:rsid w:val="0065426A"/>
    <w:rsid w:val="0066591E"/>
    <w:rsid w:val="00673264"/>
    <w:rsid w:val="006B5EF3"/>
    <w:rsid w:val="00715D61"/>
    <w:rsid w:val="00731A0F"/>
    <w:rsid w:val="00742267"/>
    <w:rsid w:val="00751070"/>
    <w:rsid w:val="00763546"/>
    <w:rsid w:val="00775C98"/>
    <w:rsid w:val="007D53B6"/>
    <w:rsid w:val="007E06E3"/>
    <w:rsid w:val="007E67B7"/>
    <w:rsid w:val="007F7FA9"/>
    <w:rsid w:val="00820527"/>
    <w:rsid w:val="008205E0"/>
    <w:rsid w:val="00831684"/>
    <w:rsid w:val="00864B77"/>
    <w:rsid w:val="00867D0F"/>
    <w:rsid w:val="008A3611"/>
    <w:rsid w:val="008A6ACC"/>
    <w:rsid w:val="008E6C1F"/>
    <w:rsid w:val="008F3767"/>
    <w:rsid w:val="00926B9D"/>
    <w:rsid w:val="009369DA"/>
    <w:rsid w:val="009972C3"/>
    <w:rsid w:val="009B5077"/>
    <w:rsid w:val="009C214E"/>
    <w:rsid w:val="009F7ACE"/>
    <w:rsid w:val="00A255D5"/>
    <w:rsid w:val="00A325D0"/>
    <w:rsid w:val="00A9614F"/>
    <w:rsid w:val="00AD7ACA"/>
    <w:rsid w:val="00AE3A6D"/>
    <w:rsid w:val="00AF5826"/>
    <w:rsid w:val="00B04DCA"/>
    <w:rsid w:val="00B2696F"/>
    <w:rsid w:val="00B44CFD"/>
    <w:rsid w:val="00B6276F"/>
    <w:rsid w:val="00B71D16"/>
    <w:rsid w:val="00B76774"/>
    <w:rsid w:val="00B907CC"/>
    <w:rsid w:val="00BA0D2E"/>
    <w:rsid w:val="00BB4D39"/>
    <w:rsid w:val="00BC306E"/>
    <w:rsid w:val="00BD541C"/>
    <w:rsid w:val="00BE632F"/>
    <w:rsid w:val="00C120E1"/>
    <w:rsid w:val="00C40CC5"/>
    <w:rsid w:val="00C50CF6"/>
    <w:rsid w:val="00C56B66"/>
    <w:rsid w:val="00C751B7"/>
    <w:rsid w:val="00C809B6"/>
    <w:rsid w:val="00C94153"/>
    <w:rsid w:val="00CB671C"/>
    <w:rsid w:val="00D06A94"/>
    <w:rsid w:val="00D5747C"/>
    <w:rsid w:val="00D604C4"/>
    <w:rsid w:val="00D60A2C"/>
    <w:rsid w:val="00D66031"/>
    <w:rsid w:val="00DC2257"/>
    <w:rsid w:val="00DE7040"/>
    <w:rsid w:val="00E25240"/>
    <w:rsid w:val="00E50FE8"/>
    <w:rsid w:val="00E625E8"/>
    <w:rsid w:val="00E6497D"/>
    <w:rsid w:val="00E84EAD"/>
    <w:rsid w:val="00EB4B56"/>
    <w:rsid w:val="00ED4073"/>
    <w:rsid w:val="00EE3FFC"/>
    <w:rsid w:val="00EE7E75"/>
    <w:rsid w:val="00F83467"/>
    <w:rsid w:val="00F87183"/>
    <w:rsid w:val="00FB2481"/>
    <w:rsid w:val="00FC0A99"/>
    <w:rsid w:val="00FE5F32"/>
    <w:rsid w:val="00FF2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da-DK" w:bidi="da-DK"/>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rsid w:val="007D53B6"/>
    <w:pPr>
      <w:keepNext/>
      <w:numPr>
        <w:numId w:val="1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1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16"/>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1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6"/>
      </w:numPr>
      <w:contextualSpacing/>
    </w:pPr>
  </w:style>
  <w:style w:type="paragraph" w:styleId="ListNumber2">
    <w:name w:val="List Number 2"/>
    <w:basedOn w:val="Normal"/>
    <w:uiPriority w:val="99"/>
    <w:semiHidden/>
    <w:unhideWhenUsed/>
    <w:rsid w:val="00351B46"/>
    <w:pPr>
      <w:numPr>
        <w:numId w:val="7"/>
      </w:numPr>
      <w:contextualSpacing/>
    </w:pPr>
  </w:style>
  <w:style w:type="paragraph" w:styleId="ListNumber3">
    <w:name w:val="List Number 3"/>
    <w:basedOn w:val="Normal"/>
    <w:uiPriority w:val="99"/>
    <w:semiHidden/>
    <w:unhideWhenUsed/>
    <w:rsid w:val="00351B46"/>
    <w:pPr>
      <w:numPr>
        <w:numId w:val="8"/>
      </w:numPr>
      <w:contextualSpacing/>
    </w:pPr>
  </w:style>
  <w:style w:type="paragraph" w:styleId="ListNumber4">
    <w:name w:val="List Number 4"/>
    <w:basedOn w:val="Normal"/>
    <w:uiPriority w:val="99"/>
    <w:semiHidden/>
    <w:unhideWhenUsed/>
    <w:rsid w:val="00351B46"/>
    <w:pPr>
      <w:numPr>
        <w:numId w:val="9"/>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da-DK"/>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da-DK"/>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da-DK"/>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10"/>
      </w:numPr>
    </w:pPr>
  </w:style>
  <w:style w:type="paragraph" w:customStyle="1" w:styleId="Tiret1">
    <w:name w:val="Tiret 1"/>
    <w:basedOn w:val="Point1"/>
    <w:rsid w:val="007D53B6"/>
    <w:pPr>
      <w:numPr>
        <w:numId w:val="11"/>
      </w:numPr>
    </w:pPr>
  </w:style>
  <w:style w:type="paragraph" w:customStyle="1" w:styleId="Tiret2">
    <w:name w:val="Tiret 2"/>
    <w:basedOn w:val="Point2"/>
    <w:rsid w:val="007D53B6"/>
    <w:pPr>
      <w:numPr>
        <w:numId w:val="12"/>
      </w:numPr>
    </w:pPr>
  </w:style>
  <w:style w:type="paragraph" w:customStyle="1" w:styleId="Tiret3">
    <w:name w:val="Tiret 3"/>
    <w:basedOn w:val="Point3"/>
    <w:rsid w:val="007D53B6"/>
    <w:pPr>
      <w:numPr>
        <w:numId w:val="13"/>
      </w:numPr>
    </w:pPr>
  </w:style>
  <w:style w:type="paragraph" w:customStyle="1" w:styleId="Tiret4">
    <w:name w:val="Tiret 4"/>
    <w:basedOn w:val="Point4"/>
    <w:rsid w:val="007D53B6"/>
    <w:pPr>
      <w:numPr>
        <w:numId w:val="14"/>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15"/>
      </w:numPr>
    </w:pPr>
  </w:style>
  <w:style w:type="paragraph" w:customStyle="1" w:styleId="NumPar2">
    <w:name w:val="NumPar 2"/>
    <w:basedOn w:val="Normal"/>
    <w:next w:val="Text1"/>
    <w:rsid w:val="007D53B6"/>
    <w:pPr>
      <w:numPr>
        <w:ilvl w:val="1"/>
        <w:numId w:val="15"/>
      </w:numPr>
    </w:pPr>
  </w:style>
  <w:style w:type="paragraph" w:customStyle="1" w:styleId="NumPar3">
    <w:name w:val="NumPar 3"/>
    <w:basedOn w:val="Normal"/>
    <w:next w:val="Text1"/>
    <w:rsid w:val="007D53B6"/>
    <w:pPr>
      <w:numPr>
        <w:ilvl w:val="2"/>
        <w:numId w:val="15"/>
      </w:numPr>
    </w:pPr>
  </w:style>
  <w:style w:type="paragraph" w:customStyle="1" w:styleId="NumPar4">
    <w:name w:val="NumPar 4"/>
    <w:basedOn w:val="Normal"/>
    <w:next w:val="Text1"/>
    <w:rsid w:val="007D53B6"/>
    <w:pPr>
      <w:numPr>
        <w:ilvl w:val="3"/>
        <w:numId w:val="15"/>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17"/>
      </w:numPr>
    </w:pPr>
  </w:style>
  <w:style w:type="paragraph" w:customStyle="1" w:styleId="Point1number">
    <w:name w:val="Point 1 (number)"/>
    <w:basedOn w:val="Normal"/>
    <w:rsid w:val="007D53B6"/>
    <w:pPr>
      <w:numPr>
        <w:ilvl w:val="2"/>
        <w:numId w:val="17"/>
      </w:numPr>
    </w:pPr>
  </w:style>
  <w:style w:type="paragraph" w:customStyle="1" w:styleId="Point2number">
    <w:name w:val="Point 2 (number)"/>
    <w:basedOn w:val="Normal"/>
    <w:rsid w:val="007D53B6"/>
    <w:pPr>
      <w:numPr>
        <w:ilvl w:val="4"/>
        <w:numId w:val="17"/>
      </w:numPr>
    </w:pPr>
  </w:style>
  <w:style w:type="paragraph" w:customStyle="1" w:styleId="Point3number">
    <w:name w:val="Point 3 (number)"/>
    <w:basedOn w:val="Normal"/>
    <w:rsid w:val="007D53B6"/>
    <w:pPr>
      <w:numPr>
        <w:ilvl w:val="6"/>
        <w:numId w:val="17"/>
      </w:numPr>
    </w:pPr>
  </w:style>
  <w:style w:type="paragraph" w:customStyle="1" w:styleId="Point0letter">
    <w:name w:val="Point 0 (letter)"/>
    <w:basedOn w:val="Normal"/>
    <w:rsid w:val="007D53B6"/>
    <w:pPr>
      <w:numPr>
        <w:ilvl w:val="1"/>
        <w:numId w:val="17"/>
      </w:numPr>
    </w:pPr>
  </w:style>
  <w:style w:type="paragraph" w:customStyle="1" w:styleId="Point1letter">
    <w:name w:val="Point 1 (letter)"/>
    <w:basedOn w:val="Normal"/>
    <w:rsid w:val="007D53B6"/>
    <w:pPr>
      <w:numPr>
        <w:ilvl w:val="3"/>
        <w:numId w:val="17"/>
      </w:numPr>
    </w:pPr>
  </w:style>
  <w:style w:type="paragraph" w:customStyle="1" w:styleId="Point2letter">
    <w:name w:val="Point 2 (letter)"/>
    <w:basedOn w:val="Normal"/>
    <w:rsid w:val="007D53B6"/>
    <w:pPr>
      <w:numPr>
        <w:ilvl w:val="5"/>
        <w:numId w:val="17"/>
      </w:numPr>
    </w:pPr>
  </w:style>
  <w:style w:type="paragraph" w:customStyle="1" w:styleId="Point3letter">
    <w:name w:val="Point 3 (letter)"/>
    <w:basedOn w:val="Normal"/>
    <w:rsid w:val="007D53B6"/>
    <w:pPr>
      <w:numPr>
        <w:ilvl w:val="7"/>
        <w:numId w:val="17"/>
      </w:numPr>
    </w:pPr>
  </w:style>
  <w:style w:type="paragraph" w:customStyle="1" w:styleId="Point4letter">
    <w:name w:val="Point 4 (letter)"/>
    <w:basedOn w:val="Normal"/>
    <w:rsid w:val="007D53B6"/>
    <w:pPr>
      <w:numPr>
        <w:ilvl w:val="8"/>
        <w:numId w:val="17"/>
      </w:numPr>
    </w:pPr>
  </w:style>
  <w:style w:type="paragraph" w:customStyle="1" w:styleId="Bullet0">
    <w:name w:val="Bullet 0"/>
    <w:basedOn w:val="Normal"/>
    <w:rsid w:val="007D53B6"/>
    <w:pPr>
      <w:numPr>
        <w:numId w:val="18"/>
      </w:numPr>
    </w:pPr>
  </w:style>
  <w:style w:type="paragraph" w:customStyle="1" w:styleId="Bullet1">
    <w:name w:val="Bullet 1"/>
    <w:basedOn w:val="Normal"/>
    <w:rsid w:val="007D53B6"/>
    <w:pPr>
      <w:numPr>
        <w:numId w:val="19"/>
      </w:numPr>
    </w:pPr>
  </w:style>
  <w:style w:type="paragraph" w:customStyle="1" w:styleId="Bullet2">
    <w:name w:val="Bullet 2"/>
    <w:basedOn w:val="Normal"/>
    <w:rsid w:val="007D53B6"/>
    <w:pPr>
      <w:numPr>
        <w:numId w:val="20"/>
      </w:numPr>
    </w:pPr>
  </w:style>
  <w:style w:type="paragraph" w:customStyle="1" w:styleId="Bullet3">
    <w:name w:val="Bullet 3"/>
    <w:basedOn w:val="Normal"/>
    <w:rsid w:val="007D53B6"/>
    <w:pPr>
      <w:numPr>
        <w:numId w:val="21"/>
      </w:numPr>
    </w:pPr>
  </w:style>
  <w:style w:type="paragraph" w:customStyle="1" w:styleId="Bullet4">
    <w:name w:val="Bullet 4"/>
    <w:basedOn w:val="Normal"/>
    <w:rsid w:val="007D53B6"/>
    <w:pPr>
      <w:numPr>
        <w:numId w:val="22"/>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23"/>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da-DK" w:bidi="da-DK"/>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rsid w:val="007D53B6"/>
    <w:pPr>
      <w:keepNext/>
      <w:numPr>
        <w:numId w:val="1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1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16"/>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16"/>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6"/>
      </w:numPr>
      <w:contextualSpacing/>
    </w:pPr>
  </w:style>
  <w:style w:type="paragraph" w:styleId="ListNumber2">
    <w:name w:val="List Number 2"/>
    <w:basedOn w:val="Normal"/>
    <w:uiPriority w:val="99"/>
    <w:semiHidden/>
    <w:unhideWhenUsed/>
    <w:rsid w:val="00351B46"/>
    <w:pPr>
      <w:numPr>
        <w:numId w:val="7"/>
      </w:numPr>
      <w:contextualSpacing/>
    </w:pPr>
  </w:style>
  <w:style w:type="paragraph" w:styleId="ListNumber3">
    <w:name w:val="List Number 3"/>
    <w:basedOn w:val="Normal"/>
    <w:uiPriority w:val="99"/>
    <w:semiHidden/>
    <w:unhideWhenUsed/>
    <w:rsid w:val="00351B46"/>
    <w:pPr>
      <w:numPr>
        <w:numId w:val="8"/>
      </w:numPr>
      <w:contextualSpacing/>
    </w:pPr>
  </w:style>
  <w:style w:type="paragraph" w:styleId="ListNumber4">
    <w:name w:val="List Number 4"/>
    <w:basedOn w:val="Normal"/>
    <w:uiPriority w:val="99"/>
    <w:semiHidden/>
    <w:unhideWhenUsed/>
    <w:rsid w:val="00351B46"/>
    <w:pPr>
      <w:numPr>
        <w:numId w:val="9"/>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da-DK"/>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da-DK"/>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da-DK"/>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10"/>
      </w:numPr>
    </w:pPr>
  </w:style>
  <w:style w:type="paragraph" w:customStyle="1" w:styleId="Tiret1">
    <w:name w:val="Tiret 1"/>
    <w:basedOn w:val="Point1"/>
    <w:rsid w:val="007D53B6"/>
    <w:pPr>
      <w:numPr>
        <w:numId w:val="11"/>
      </w:numPr>
    </w:pPr>
  </w:style>
  <w:style w:type="paragraph" w:customStyle="1" w:styleId="Tiret2">
    <w:name w:val="Tiret 2"/>
    <w:basedOn w:val="Point2"/>
    <w:rsid w:val="007D53B6"/>
    <w:pPr>
      <w:numPr>
        <w:numId w:val="12"/>
      </w:numPr>
    </w:pPr>
  </w:style>
  <w:style w:type="paragraph" w:customStyle="1" w:styleId="Tiret3">
    <w:name w:val="Tiret 3"/>
    <w:basedOn w:val="Point3"/>
    <w:rsid w:val="007D53B6"/>
    <w:pPr>
      <w:numPr>
        <w:numId w:val="13"/>
      </w:numPr>
    </w:pPr>
  </w:style>
  <w:style w:type="paragraph" w:customStyle="1" w:styleId="Tiret4">
    <w:name w:val="Tiret 4"/>
    <w:basedOn w:val="Point4"/>
    <w:rsid w:val="007D53B6"/>
    <w:pPr>
      <w:numPr>
        <w:numId w:val="14"/>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15"/>
      </w:numPr>
    </w:pPr>
  </w:style>
  <w:style w:type="paragraph" w:customStyle="1" w:styleId="NumPar2">
    <w:name w:val="NumPar 2"/>
    <w:basedOn w:val="Normal"/>
    <w:next w:val="Text1"/>
    <w:rsid w:val="007D53B6"/>
    <w:pPr>
      <w:numPr>
        <w:ilvl w:val="1"/>
        <w:numId w:val="15"/>
      </w:numPr>
    </w:pPr>
  </w:style>
  <w:style w:type="paragraph" w:customStyle="1" w:styleId="NumPar3">
    <w:name w:val="NumPar 3"/>
    <w:basedOn w:val="Normal"/>
    <w:next w:val="Text1"/>
    <w:rsid w:val="007D53B6"/>
    <w:pPr>
      <w:numPr>
        <w:ilvl w:val="2"/>
        <w:numId w:val="15"/>
      </w:numPr>
    </w:pPr>
  </w:style>
  <w:style w:type="paragraph" w:customStyle="1" w:styleId="NumPar4">
    <w:name w:val="NumPar 4"/>
    <w:basedOn w:val="Normal"/>
    <w:next w:val="Text1"/>
    <w:rsid w:val="007D53B6"/>
    <w:pPr>
      <w:numPr>
        <w:ilvl w:val="3"/>
        <w:numId w:val="15"/>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17"/>
      </w:numPr>
    </w:pPr>
  </w:style>
  <w:style w:type="paragraph" w:customStyle="1" w:styleId="Point1number">
    <w:name w:val="Point 1 (number)"/>
    <w:basedOn w:val="Normal"/>
    <w:rsid w:val="007D53B6"/>
    <w:pPr>
      <w:numPr>
        <w:ilvl w:val="2"/>
        <w:numId w:val="17"/>
      </w:numPr>
    </w:pPr>
  </w:style>
  <w:style w:type="paragraph" w:customStyle="1" w:styleId="Point2number">
    <w:name w:val="Point 2 (number)"/>
    <w:basedOn w:val="Normal"/>
    <w:rsid w:val="007D53B6"/>
    <w:pPr>
      <w:numPr>
        <w:ilvl w:val="4"/>
        <w:numId w:val="17"/>
      </w:numPr>
    </w:pPr>
  </w:style>
  <w:style w:type="paragraph" w:customStyle="1" w:styleId="Point3number">
    <w:name w:val="Point 3 (number)"/>
    <w:basedOn w:val="Normal"/>
    <w:rsid w:val="007D53B6"/>
    <w:pPr>
      <w:numPr>
        <w:ilvl w:val="6"/>
        <w:numId w:val="17"/>
      </w:numPr>
    </w:pPr>
  </w:style>
  <w:style w:type="paragraph" w:customStyle="1" w:styleId="Point0letter">
    <w:name w:val="Point 0 (letter)"/>
    <w:basedOn w:val="Normal"/>
    <w:rsid w:val="007D53B6"/>
    <w:pPr>
      <w:numPr>
        <w:ilvl w:val="1"/>
        <w:numId w:val="17"/>
      </w:numPr>
    </w:pPr>
  </w:style>
  <w:style w:type="paragraph" w:customStyle="1" w:styleId="Point1letter">
    <w:name w:val="Point 1 (letter)"/>
    <w:basedOn w:val="Normal"/>
    <w:rsid w:val="007D53B6"/>
    <w:pPr>
      <w:numPr>
        <w:ilvl w:val="3"/>
        <w:numId w:val="17"/>
      </w:numPr>
    </w:pPr>
  </w:style>
  <w:style w:type="paragraph" w:customStyle="1" w:styleId="Point2letter">
    <w:name w:val="Point 2 (letter)"/>
    <w:basedOn w:val="Normal"/>
    <w:rsid w:val="007D53B6"/>
    <w:pPr>
      <w:numPr>
        <w:ilvl w:val="5"/>
        <w:numId w:val="17"/>
      </w:numPr>
    </w:pPr>
  </w:style>
  <w:style w:type="paragraph" w:customStyle="1" w:styleId="Point3letter">
    <w:name w:val="Point 3 (letter)"/>
    <w:basedOn w:val="Normal"/>
    <w:rsid w:val="007D53B6"/>
    <w:pPr>
      <w:numPr>
        <w:ilvl w:val="7"/>
        <w:numId w:val="17"/>
      </w:numPr>
    </w:pPr>
  </w:style>
  <w:style w:type="paragraph" w:customStyle="1" w:styleId="Point4letter">
    <w:name w:val="Point 4 (letter)"/>
    <w:basedOn w:val="Normal"/>
    <w:rsid w:val="007D53B6"/>
    <w:pPr>
      <w:numPr>
        <w:ilvl w:val="8"/>
        <w:numId w:val="17"/>
      </w:numPr>
    </w:pPr>
  </w:style>
  <w:style w:type="paragraph" w:customStyle="1" w:styleId="Bullet0">
    <w:name w:val="Bullet 0"/>
    <w:basedOn w:val="Normal"/>
    <w:rsid w:val="007D53B6"/>
    <w:pPr>
      <w:numPr>
        <w:numId w:val="18"/>
      </w:numPr>
    </w:pPr>
  </w:style>
  <w:style w:type="paragraph" w:customStyle="1" w:styleId="Bullet1">
    <w:name w:val="Bullet 1"/>
    <w:basedOn w:val="Normal"/>
    <w:rsid w:val="007D53B6"/>
    <w:pPr>
      <w:numPr>
        <w:numId w:val="19"/>
      </w:numPr>
    </w:pPr>
  </w:style>
  <w:style w:type="paragraph" w:customStyle="1" w:styleId="Bullet2">
    <w:name w:val="Bullet 2"/>
    <w:basedOn w:val="Normal"/>
    <w:rsid w:val="007D53B6"/>
    <w:pPr>
      <w:numPr>
        <w:numId w:val="20"/>
      </w:numPr>
    </w:pPr>
  </w:style>
  <w:style w:type="paragraph" w:customStyle="1" w:styleId="Bullet3">
    <w:name w:val="Bullet 3"/>
    <w:basedOn w:val="Normal"/>
    <w:rsid w:val="007D53B6"/>
    <w:pPr>
      <w:numPr>
        <w:numId w:val="21"/>
      </w:numPr>
    </w:pPr>
  </w:style>
  <w:style w:type="paragraph" w:customStyle="1" w:styleId="Bullet4">
    <w:name w:val="Bullet 4"/>
    <w:basedOn w:val="Normal"/>
    <w:rsid w:val="007D53B6"/>
    <w:pPr>
      <w:numPr>
        <w:numId w:val="22"/>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23"/>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2C7DE-7124-4CCB-9982-55FEF6990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4</Pages>
  <Words>928</Words>
  <Characters>5880</Characters>
  <Application>Microsoft Office Word</Application>
  <DocSecurity>0</DocSecurity>
  <Lines>101</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2017-06-21T15:17:00Z</dcterms:created>
  <dcterms:modified xsi:type="dcterms:W3CDTF">2017-06-21T15:17:00Z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5.8.4, Build 20150407</vt:lpwstr>
  </property>
  <property fmtid="{D5CDD505-2E9C-101B-9397-08002B2CF9AE}" pid="3" name="Classification">
    <vt:lpwstr> </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Green (DQC version 03)</vt:lpwstr>
  </property>
</Properties>
</file>