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ET</w:t>
      </w:r>
      <w:r>
        <w:rPr>
          <w:rFonts w:ascii="Times New Roman" w:hAnsi="Times New Roman"/>
          <w:b/>
          <w:sz w:val="24"/>
          <w:szCs w:val="24"/>
        </w:rPr>
        <w:br/>
      </w:r>
      <w:r>
        <w:rPr>
          <w:rFonts w:ascii="Times New Roman" w:hAnsi="Times New Roman"/>
          <w:b/>
          <w:sz w:val="24"/>
        </w:rPr>
        <w:t>V LISA</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FINANTSTEABE ARUANDLUS</w:t>
      </w:r>
    </w:p>
    <w:p w:rsidR="009569C7" w:rsidRPr="00EC4FA2" w:rsidRDefault="00A834F1">
      <w:pPr>
        <w:spacing w:after="0"/>
        <w:rPr>
          <w:rFonts w:ascii="Times New Roman" w:hAnsi="Times New Roman"/>
          <w:sz w:val="24"/>
          <w:szCs w:val="24"/>
        </w:rPr>
      </w:pPr>
      <w:r>
        <w:rPr>
          <w:rFonts w:ascii="Times New Roman" w:hAnsi="Times New Roman"/>
          <w:sz w:val="24"/>
        </w:rPr>
        <w:t>Sisukord</w:t>
      </w:r>
    </w:p>
    <w:p w:rsidR="000F4147" w:rsidRDefault="000F4147">
      <w:pPr>
        <w:pStyle w:val="TOC1"/>
        <w:tabs>
          <w:tab w:val="right" w:leader="dot" w:pos="8296"/>
        </w:tabs>
      </w:pPr>
    </w:p>
    <w:p w:rsidR="000F4147" w:rsidRDefault="000F4147">
      <w:pPr>
        <w:pStyle w:val="TOC1"/>
        <w:tabs>
          <w:tab w:val="right" w:leader="dot" w:pos="8296"/>
        </w:tabs>
        <w:rPr>
          <w:rFonts w:asciiTheme="minorHAnsi" w:eastAsiaTheme="minorEastAsia" w:hAnsiTheme="minorHAnsi" w:cstheme="minorBidi"/>
          <w:b w:val="0"/>
          <w:noProof/>
          <w:sz w:val="22"/>
          <w:szCs w:val="22"/>
          <w:lang w:val="en-GB" w:eastAsia="en-GB" w:bidi="ar-SA"/>
        </w:rPr>
      </w:pPr>
      <w:r>
        <w:rPr>
          <w:b w:val="0"/>
        </w:rPr>
        <w:fldChar w:fldCharType="begin"/>
      </w:r>
      <w:r>
        <w:rPr>
          <w:b w:val="0"/>
        </w:rPr>
        <w:instrText xml:space="preserve"> TOC \o "1-3" \h \z \u </w:instrText>
      </w:r>
      <w:r>
        <w:rPr>
          <w:b w:val="0"/>
        </w:rPr>
        <w:fldChar w:fldCharType="separate"/>
      </w:r>
      <w:hyperlink w:anchor="_Toc485887303" w:history="1">
        <w:r w:rsidRPr="00401D95">
          <w:rPr>
            <w:rStyle w:val="Hyperlink"/>
            <w:noProof/>
          </w:rPr>
          <w:t>Üldised juhised</w:t>
        </w:r>
        <w:r>
          <w:rPr>
            <w:noProof/>
            <w:webHidden/>
          </w:rPr>
          <w:tab/>
        </w:r>
        <w:r>
          <w:rPr>
            <w:noProof/>
            <w:webHidden/>
          </w:rPr>
          <w:fldChar w:fldCharType="begin"/>
        </w:r>
        <w:r>
          <w:rPr>
            <w:noProof/>
            <w:webHidden/>
          </w:rPr>
          <w:instrText xml:space="preserve"> PAGEREF _Toc485887303 \h </w:instrText>
        </w:r>
        <w:r>
          <w:rPr>
            <w:noProof/>
            <w:webHidden/>
          </w:rPr>
        </w:r>
        <w:r>
          <w:rPr>
            <w:noProof/>
            <w:webHidden/>
          </w:rPr>
          <w:fldChar w:fldCharType="separate"/>
        </w:r>
        <w:r>
          <w:rPr>
            <w:noProof/>
            <w:webHidden/>
          </w:rPr>
          <w:t>4</w:t>
        </w:r>
        <w:r>
          <w:rPr>
            <w:noProof/>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04" w:history="1">
        <w:r w:rsidRPr="00401D95">
          <w:rPr>
            <w:rStyle w:val="Hyperlink"/>
          </w:rPr>
          <w:t>1.</w:t>
        </w:r>
        <w:r>
          <w:rPr>
            <w:rFonts w:asciiTheme="minorHAnsi" w:eastAsiaTheme="minorEastAsia" w:hAnsiTheme="minorHAnsi" w:cstheme="minorBidi"/>
            <w:sz w:val="22"/>
            <w:szCs w:val="22"/>
            <w:lang w:val="en-GB" w:eastAsia="en-GB" w:bidi="ar-SA"/>
          </w:rPr>
          <w:tab/>
        </w:r>
        <w:r w:rsidRPr="00401D95">
          <w:rPr>
            <w:rStyle w:val="Hyperlink"/>
          </w:rPr>
          <w:t>Viited</w:t>
        </w:r>
        <w:r>
          <w:rPr>
            <w:webHidden/>
          </w:rPr>
          <w:tab/>
        </w:r>
        <w:r>
          <w:rPr>
            <w:webHidden/>
          </w:rPr>
          <w:fldChar w:fldCharType="begin"/>
        </w:r>
        <w:r>
          <w:rPr>
            <w:webHidden/>
          </w:rPr>
          <w:instrText xml:space="preserve"> PAGEREF _Toc485887304 \h </w:instrText>
        </w:r>
        <w:r>
          <w:rPr>
            <w:webHidden/>
          </w:rPr>
        </w:r>
        <w:r>
          <w:rPr>
            <w:webHidden/>
          </w:rPr>
          <w:fldChar w:fldCharType="separate"/>
        </w:r>
        <w:r>
          <w:rPr>
            <w:webHidden/>
          </w:rPr>
          <w:t>4</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05" w:history="1">
        <w:r w:rsidRPr="00401D95">
          <w:rPr>
            <w:rStyle w:val="Hyperlink"/>
          </w:rPr>
          <w:t>2.</w:t>
        </w:r>
        <w:r>
          <w:rPr>
            <w:rFonts w:asciiTheme="minorHAnsi" w:eastAsiaTheme="minorEastAsia" w:hAnsiTheme="minorHAnsi" w:cstheme="minorBidi"/>
            <w:sz w:val="22"/>
            <w:szCs w:val="22"/>
            <w:lang w:val="en-GB" w:eastAsia="en-GB" w:bidi="ar-SA"/>
          </w:rPr>
          <w:tab/>
        </w:r>
        <w:r w:rsidRPr="00401D95">
          <w:rPr>
            <w:rStyle w:val="Hyperlink"/>
          </w:rPr>
          <w:t>Põhimõtted</w:t>
        </w:r>
        <w:r>
          <w:rPr>
            <w:webHidden/>
          </w:rPr>
          <w:tab/>
        </w:r>
        <w:r>
          <w:rPr>
            <w:webHidden/>
          </w:rPr>
          <w:fldChar w:fldCharType="begin"/>
        </w:r>
        <w:r>
          <w:rPr>
            <w:webHidden/>
          </w:rPr>
          <w:instrText xml:space="preserve"> PAGEREF _Toc485887305 \h </w:instrText>
        </w:r>
        <w:r>
          <w:rPr>
            <w:webHidden/>
          </w:rPr>
        </w:r>
        <w:r>
          <w:rPr>
            <w:webHidden/>
          </w:rPr>
          <w:fldChar w:fldCharType="separate"/>
        </w:r>
        <w:r>
          <w:rPr>
            <w:webHidden/>
          </w:rPr>
          <w:t>5</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06" w:history="1">
        <w:r w:rsidRPr="00401D95">
          <w:rPr>
            <w:rStyle w:val="Hyperlink"/>
          </w:rPr>
          <w:t>3.</w:t>
        </w:r>
        <w:r>
          <w:rPr>
            <w:rFonts w:asciiTheme="minorHAnsi" w:eastAsiaTheme="minorEastAsia" w:hAnsiTheme="minorHAnsi" w:cstheme="minorBidi"/>
            <w:sz w:val="22"/>
            <w:szCs w:val="22"/>
            <w:lang w:val="en-GB" w:eastAsia="en-GB" w:bidi="ar-SA"/>
          </w:rPr>
          <w:tab/>
        </w:r>
        <w:r w:rsidRPr="00401D95">
          <w:rPr>
            <w:rStyle w:val="Hyperlink"/>
          </w:rPr>
          <w:t>Konsolideerimine</w:t>
        </w:r>
        <w:r>
          <w:rPr>
            <w:webHidden/>
          </w:rPr>
          <w:tab/>
        </w:r>
        <w:r>
          <w:rPr>
            <w:webHidden/>
          </w:rPr>
          <w:fldChar w:fldCharType="begin"/>
        </w:r>
        <w:r>
          <w:rPr>
            <w:webHidden/>
          </w:rPr>
          <w:instrText xml:space="preserve"> PAGEREF _Toc485887306 \h </w:instrText>
        </w:r>
        <w:r>
          <w:rPr>
            <w:webHidden/>
          </w:rPr>
        </w:r>
        <w:r>
          <w:rPr>
            <w:webHidden/>
          </w:rPr>
          <w:fldChar w:fldCharType="separate"/>
        </w:r>
        <w:r>
          <w:rPr>
            <w:webHidden/>
          </w:rPr>
          <w:t>7</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07" w:history="1">
        <w:r w:rsidRPr="00401D95">
          <w:rPr>
            <w:rStyle w:val="Hyperlink"/>
          </w:rPr>
          <w:t>4.</w:t>
        </w:r>
        <w:r>
          <w:rPr>
            <w:rFonts w:asciiTheme="minorHAnsi" w:eastAsiaTheme="minorEastAsia" w:hAnsiTheme="minorHAnsi" w:cstheme="minorBidi"/>
            <w:sz w:val="22"/>
            <w:szCs w:val="22"/>
            <w:lang w:val="en-GB" w:eastAsia="en-GB" w:bidi="ar-SA"/>
          </w:rPr>
          <w:tab/>
        </w:r>
        <w:r w:rsidRPr="00401D95">
          <w:rPr>
            <w:rStyle w:val="Hyperlink"/>
          </w:rPr>
          <w:t>Finantsinstrumentide arvestusportfellid</w:t>
        </w:r>
        <w:r>
          <w:rPr>
            <w:webHidden/>
          </w:rPr>
          <w:tab/>
        </w:r>
        <w:r>
          <w:rPr>
            <w:webHidden/>
          </w:rPr>
          <w:fldChar w:fldCharType="begin"/>
        </w:r>
        <w:r>
          <w:rPr>
            <w:webHidden/>
          </w:rPr>
          <w:instrText xml:space="preserve"> PAGEREF _Toc485887307 \h </w:instrText>
        </w:r>
        <w:r>
          <w:rPr>
            <w:webHidden/>
          </w:rPr>
        </w:r>
        <w:r>
          <w:rPr>
            <w:webHidden/>
          </w:rPr>
          <w:fldChar w:fldCharType="separate"/>
        </w:r>
        <w:r>
          <w:rPr>
            <w:webHidden/>
          </w:rPr>
          <w:t>7</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08" w:history="1">
        <w:r w:rsidRPr="00401D95">
          <w:rPr>
            <w:rStyle w:val="Hyperlink"/>
          </w:rPr>
          <w:t>4.1.</w:t>
        </w:r>
        <w:r>
          <w:rPr>
            <w:rFonts w:asciiTheme="minorHAnsi" w:eastAsiaTheme="minorEastAsia" w:hAnsiTheme="minorHAnsi" w:cstheme="minorBidi"/>
            <w:sz w:val="22"/>
            <w:szCs w:val="22"/>
            <w:lang w:val="en-GB" w:eastAsia="en-GB" w:bidi="ar-SA"/>
          </w:rPr>
          <w:tab/>
        </w:r>
        <w:r w:rsidRPr="00401D95">
          <w:rPr>
            <w:rStyle w:val="Hyperlink"/>
          </w:rPr>
          <w:t>Finantsvarad</w:t>
        </w:r>
        <w:r>
          <w:rPr>
            <w:webHidden/>
          </w:rPr>
          <w:tab/>
        </w:r>
        <w:r>
          <w:rPr>
            <w:webHidden/>
          </w:rPr>
          <w:fldChar w:fldCharType="begin"/>
        </w:r>
        <w:r>
          <w:rPr>
            <w:webHidden/>
          </w:rPr>
          <w:instrText xml:space="preserve"> PAGEREF _Toc485887308 \h </w:instrText>
        </w:r>
        <w:r>
          <w:rPr>
            <w:webHidden/>
          </w:rPr>
        </w:r>
        <w:r>
          <w:rPr>
            <w:webHidden/>
          </w:rPr>
          <w:fldChar w:fldCharType="separate"/>
        </w:r>
        <w:r>
          <w:rPr>
            <w:webHidden/>
          </w:rPr>
          <w:t>8</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09" w:history="1">
        <w:r w:rsidRPr="00401D95">
          <w:rPr>
            <w:rStyle w:val="Hyperlink"/>
          </w:rPr>
          <w:t>4.2.</w:t>
        </w:r>
        <w:r>
          <w:rPr>
            <w:rFonts w:asciiTheme="minorHAnsi" w:eastAsiaTheme="minorEastAsia" w:hAnsiTheme="minorHAnsi" w:cstheme="minorBidi"/>
            <w:sz w:val="22"/>
            <w:szCs w:val="22"/>
            <w:lang w:val="en-GB" w:eastAsia="en-GB" w:bidi="ar-SA"/>
          </w:rPr>
          <w:tab/>
        </w:r>
        <w:r w:rsidRPr="00401D95">
          <w:rPr>
            <w:rStyle w:val="Hyperlink"/>
          </w:rPr>
          <w:t>Finantskohustused</w:t>
        </w:r>
        <w:r>
          <w:rPr>
            <w:webHidden/>
          </w:rPr>
          <w:tab/>
        </w:r>
        <w:r>
          <w:rPr>
            <w:webHidden/>
          </w:rPr>
          <w:fldChar w:fldCharType="begin"/>
        </w:r>
        <w:r>
          <w:rPr>
            <w:webHidden/>
          </w:rPr>
          <w:instrText xml:space="preserve"> PAGEREF _Toc485887309 \h </w:instrText>
        </w:r>
        <w:r>
          <w:rPr>
            <w:webHidden/>
          </w:rPr>
        </w:r>
        <w:r>
          <w:rPr>
            <w:webHidden/>
          </w:rPr>
          <w:fldChar w:fldCharType="separate"/>
        </w:r>
        <w:r>
          <w:rPr>
            <w:webHidden/>
          </w:rPr>
          <w:t>10</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10" w:history="1">
        <w:r w:rsidRPr="00401D95">
          <w:rPr>
            <w:rStyle w:val="Hyperlink"/>
          </w:rPr>
          <w:t>5.</w:t>
        </w:r>
        <w:r>
          <w:rPr>
            <w:rFonts w:asciiTheme="minorHAnsi" w:eastAsiaTheme="minorEastAsia" w:hAnsiTheme="minorHAnsi" w:cstheme="minorBidi"/>
            <w:sz w:val="22"/>
            <w:szCs w:val="22"/>
            <w:lang w:val="en-GB" w:eastAsia="en-GB" w:bidi="ar-SA"/>
          </w:rPr>
          <w:tab/>
        </w:r>
        <w:r w:rsidRPr="00401D95">
          <w:rPr>
            <w:rStyle w:val="Hyperlink"/>
          </w:rPr>
          <w:t>Finantsinstrumendid</w:t>
        </w:r>
        <w:r>
          <w:rPr>
            <w:webHidden/>
          </w:rPr>
          <w:tab/>
        </w:r>
        <w:r>
          <w:rPr>
            <w:webHidden/>
          </w:rPr>
          <w:fldChar w:fldCharType="begin"/>
        </w:r>
        <w:r>
          <w:rPr>
            <w:webHidden/>
          </w:rPr>
          <w:instrText xml:space="preserve"> PAGEREF _Toc485887310 \h </w:instrText>
        </w:r>
        <w:r>
          <w:rPr>
            <w:webHidden/>
          </w:rPr>
        </w:r>
        <w:r>
          <w:rPr>
            <w:webHidden/>
          </w:rPr>
          <w:fldChar w:fldCharType="separate"/>
        </w:r>
        <w:r>
          <w:rPr>
            <w:webHidden/>
          </w:rPr>
          <w:t>11</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11" w:history="1">
        <w:r w:rsidRPr="00401D95">
          <w:rPr>
            <w:rStyle w:val="Hyperlink"/>
          </w:rPr>
          <w:t>5.1.</w:t>
        </w:r>
        <w:r>
          <w:rPr>
            <w:rFonts w:asciiTheme="minorHAnsi" w:eastAsiaTheme="minorEastAsia" w:hAnsiTheme="minorHAnsi" w:cstheme="minorBidi"/>
            <w:sz w:val="22"/>
            <w:szCs w:val="22"/>
            <w:lang w:val="en-GB" w:eastAsia="en-GB" w:bidi="ar-SA"/>
          </w:rPr>
          <w:tab/>
        </w:r>
        <w:r w:rsidRPr="00401D95">
          <w:rPr>
            <w:rStyle w:val="Hyperlink"/>
          </w:rPr>
          <w:t>Finantsvarad</w:t>
        </w:r>
        <w:r>
          <w:rPr>
            <w:webHidden/>
          </w:rPr>
          <w:tab/>
        </w:r>
        <w:r>
          <w:rPr>
            <w:webHidden/>
          </w:rPr>
          <w:fldChar w:fldCharType="begin"/>
        </w:r>
        <w:r>
          <w:rPr>
            <w:webHidden/>
          </w:rPr>
          <w:instrText xml:space="preserve"> PAGEREF _Toc485887311 \h </w:instrText>
        </w:r>
        <w:r>
          <w:rPr>
            <w:webHidden/>
          </w:rPr>
        </w:r>
        <w:r>
          <w:rPr>
            <w:webHidden/>
          </w:rPr>
          <w:fldChar w:fldCharType="separate"/>
        </w:r>
        <w:r>
          <w:rPr>
            <w:webHidden/>
          </w:rPr>
          <w:t>11</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12" w:history="1">
        <w:r w:rsidRPr="00401D95">
          <w:rPr>
            <w:rStyle w:val="Hyperlink"/>
          </w:rPr>
          <w:t>5.2.</w:t>
        </w:r>
        <w:r>
          <w:rPr>
            <w:rFonts w:asciiTheme="minorHAnsi" w:eastAsiaTheme="minorEastAsia" w:hAnsiTheme="minorHAnsi" w:cstheme="minorBidi"/>
            <w:sz w:val="22"/>
            <w:szCs w:val="22"/>
            <w:lang w:val="en-GB" w:eastAsia="en-GB" w:bidi="ar-SA"/>
          </w:rPr>
          <w:tab/>
        </w:r>
        <w:r w:rsidRPr="00401D95">
          <w:rPr>
            <w:rStyle w:val="Hyperlink"/>
          </w:rPr>
          <w:t>Bilansiline brutoväärtus</w:t>
        </w:r>
        <w:r>
          <w:rPr>
            <w:webHidden/>
          </w:rPr>
          <w:tab/>
        </w:r>
        <w:r>
          <w:rPr>
            <w:webHidden/>
          </w:rPr>
          <w:fldChar w:fldCharType="begin"/>
        </w:r>
        <w:r>
          <w:rPr>
            <w:webHidden/>
          </w:rPr>
          <w:instrText xml:space="preserve"> PAGEREF _Toc485887312 \h </w:instrText>
        </w:r>
        <w:r>
          <w:rPr>
            <w:webHidden/>
          </w:rPr>
        </w:r>
        <w:r>
          <w:rPr>
            <w:webHidden/>
          </w:rPr>
          <w:fldChar w:fldCharType="separate"/>
        </w:r>
        <w:r>
          <w:rPr>
            <w:webHidden/>
          </w:rPr>
          <w:t>11</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13" w:history="1">
        <w:r w:rsidRPr="00401D95">
          <w:rPr>
            <w:rStyle w:val="Hyperlink"/>
          </w:rPr>
          <w:t>5.3.</w:t>
        </w:r>
        <w:r>
          <w:rPr>
            <w:rFonts w:asciiTheme="minorHAnsi" w:eastAsiaTheme="minorEastAsia" w:hAnsiTheme="minorHAnsi" w:cstheme="minorBidi"/>
            <w:sz w:val="22"/>
            <w:szCs w:val="22"/>
            <w:lang w:val="en-GB" w:eastAsia="en-GB" w:bidi="ar-SA"/>
          </w:rPr>
          <w:tab/>
        </w:r>
        <w:r w:rsidRPr="00401D95">
          <w:rPr>
            <w:rStyle w:val="Hyperlink"/>
          </w:rPr>
          <w:t>Finantskohustused</w:t>
        </w:r>
        <w:r>
          <w:rPr>
            <w:webHidden/>
          </w:rPr>
          <w:tab/>
        </w:r>
        <w:r>
          <w:rPr>
            <w:webHidden/>
          </w:rPr>
          <w:fldChar w:fldCharType="begin"/>
        </w:r>
        <w:r>
          <w:rPr>
            <w:webHidden/>
          </w:rPr>
          <w:instrText xml:space="preserve"> PAGEREF _Toc485887313 \h </w:instrText>
        </w:r>
        <w:r>
          <w:rPr>
            <w:webHidden/>
          </w:rPr>
        </w:r>
        <w:r>
          <w:rPr>
            <w:webHidden/>
          </w:rPr>
          <w:fldChar w:fldCharType="separate"/>
        </w:r>
        <w:r>
          <w:rPr>
            <w:webHidden/>
          </w:rPr>
          <w:t>13</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14" w:history="1">
        <w:r w:rsidRPr="00401D95">
          <w:rPr>
            <w:rStyle w:val="Hyperlink"/>
          </w:rPr>
          <w:t>6.</w:t>
        </w:r>
        <w:r>
          <w:rPr>
            <w:rFonts w:asciiTheme="minorHAnsi" w:eastAsiaTheme="minorEastAsia" w:hAnsiTheme="minorHAnsi" w:cstheme="minorBidi"/>
            <w:sz w:val="22"/>
            <w:szCs w:val="22"/>
            <w:lang w:val="en-GB" w:eastAsia="en-GB" w:bidi="ar-SA"/>
          </w:rPr>
          <w:tab/>
        </w:r>
        <w:r w:rsidRPr="00401D95">
          <w:rPr>
            <w:rStyle w:val="Hyperlink"/>
          </w:rPr>
          <w:t>Vastaspoolte liigitus</w:t>
        </w:r>
        <w:r>
          <w:rPr>
            <w:webHidden/>
          </w:rPr>
          <w:tab/>
        </w:r>
        <w:r>
          <w:rPr>
            <w:webHidden/>
          </w:rPr>
          <w:fldChar w:fldCharType="begin"/>
        </w:r>
        <w:r>
          <w:rPr>
            <w:webHidden/>
          </w:rPr>
          <w:instrText xml:space="preserve"> PAGEREF _Toc485887314 \h </w:instrText>
        </w:r>
        <w:r>
          <w:rPr>
            <w:webHidden/>
          </w:rPr>
        </w:r>
        <w:r>
          <w:rPr>
            <w:webHidden/>
          </w:rPr>
          <w:fldChar w:fldCharType="separate"/>
        </w:r>
        <w:r>
          <w:rPr>
            <w:webHidden/>
          </w:rPr>
          <w:t>14</w:t>
        </w:r>
        <w:r>
          <w:rPr>
            <w:webHidden/>
          </w:rPr>
          <w:fldChar w:fldCharType="end"/>
        </w:r>
      </w:hyperlink>
    </w:p>
    <w:p w:rsidR="000F4147" w:rsidRDefault="000F4147">
      <w:pPr>
        <w:pStyle w:val="TOC1"/>
        <w:tabs>
          <w:tab w:val="right" w:leader="dot" w:pos="8296"/>
        </w:tabs>
        <w:rPr>
          <w:rFonts w:asciiTheme="minorHAnsi" w:eastAsiaTheme="minorEastAsia" w:hAnsiTheme="minorHAnsi" w:cstheme="minorBidi"/>
          <w:b w:val="0"/>
          <w:noProof/>
          <w:sz w:val="22"/>
          <w:szCs w:val="22"/>
          <w:lang w:val="en-GB" w:eastAsia="en-GB" w:bidi="ar-SA"/>
        </w:rPr>
      </w:pPr>
      <w:hyperlink w:anchor="_Toc485887315" w:history="1">
        <w:r w:rsidRPr="00401D95">
          <w:rPr>
            <w:rStyle w:val="Hyperlink"/>
            <w:noProof/>
          </w:rPr>
          <w:t>Vormide täitmise juhised</w:t>
        </w:r>
        <w:r>
          <w:rPr>
            <w:noProof/>
            <w:webHidden/>
          </w:rPr>
          <w:tab/>
        </w:r>
        <w:r>
          <w:rPr>
            <w:noProof/>
            <w:webHidden/>
          </w:rPr>
          <w:fldChar w:fldCharType="begin"/>
        </w:r>
        <w:r>
          <w:rPr>
            <w:noProof/>
            <w:webHidden/>
          </w:rPr>
          <w:instrText xml:space="preserve"> PAGEREF _Toc485887315 \h </w:instrText>
        </w:r>
        <w:r>
          <w:rPr>
            <w:noProof/>
            <w:webHidden/>
          </w:rPr>
        </w:r>
        <w:r>
          <w:rPr>
            <w:noProof/>
            <w:webHidden/>
          </w:rPr>
          <w:fldChar w:fldCharType="separate"/>
        </w:r>
        <w:r>
          <w:rPr>
            <w:noProof/>
            <w:webHidden/>
          </w:rPr>
          <w:t>15</w:t>
        </w:r>
        <w:r>
          <w:rPr>
            <w:noProof/>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16" w:history="1">
        <w:r w:rsidRPr="00401D95">
          <w:rPr>
            <w:rStyle w:val="Hyperlink"/>
          </w:rPr>
          <w:t>1.</w:t>
        </w:r>
        <w:r>
          <w:rPr>
            <w:rFonts w:asciiTheme="minorHAnsi" w:eastAsiaTheme="minorEastAsia" w:hAnsiTheme="minorHAnsi" w:cstheme="minorBidi"/>
            <w:sz w:val="22"/>
            <w:szCs w:val="22"/>
            <w:lang w:val="en-GB" w:eastAsia="en-GB" w:bidi="ar-SA"/>
          </w:rPr>
          <w:tab/>
        </w:r>
        <w:r w:rsidRPr="00401D95">
          <w:rPr>
            <w:rStyle w:val="Hyperlink"/>
          </w:rPr>
          <w:t>Bilanss</w:t>
        </w:r>
        <w:r>
          <w:rPr>
            <w:webHidden/>
          </w:rPr>
          <w:tab/>
        </w:r>
        <w:r>
          <w:rPr>
            <w:webHidden/>
          </w:rPr>
          <w:fldChar w:fldCharType="begin"/>
        </w:r>
        <w:r>
          <w:rPr>
            <w:webHidden/>
          </w:rPr>
          <w:instrText xml:space="preserve"> PAGEREF _Toc485887316 \h </w:instrText>
        </w:r>
        <w:r>
          <w:rPr>
            <w:webHidden/>
          </w:rPr>
        </w:r>
        <w:r>
          <w:rPr>
            <w:webHidden/>
          </w:rPr>
          <w:fldChar w:fldCharType="separate"/>
        </w:r>
        <w:r>
          <w:rPr>
            <w:webHidden/>
          </w:rPr>
          <w:t>15</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17" w:history="1">
        <w:r w:rsidRPr="00401D95">
          <w:rPr>
            <w:rStyle w:val="Hyperlink"/>
          </w:rPr>
          <w:t>1.1.</w:t>
        </w:r>
        <w:r>
          <w:rPr>
            <w:rFonts w:asciiTheme="minorHAnsi" w:eastAsiaTheme="minorEastAsia" w:hAnsiTheme="minorHAnsi" w:cstheme="minorBidi"/>
            <w:sz w:val="22"/>
            <w:szCs w:val="22"/>
            <w:lang w:val="en-GB" w:eastAsia="en-GB" w:bidi="ar-SA"/>
          </w:rPr>
          <w:tab/>
        </w:r>
        <w:r w:rsidRPr="00401D95">
          <w:rPr>
            <w:rStyle w:val="Hyperlink"/>
          </w:rPr>
          <w:t>Varad (1.1)</w:t>
        </w:r>
        <w:r>
          <w:rPr>
            <w:webHidden/>
          </w:rPr>
          <w:tab/>
        </w:r>
        <w:r>
          <w:rPr>
            <w:webHidden/>
          </w:rPr>
          <w:fldChar w:fldCharType="begin"/>
        </w:r>
        <w:r>
          <w:rPr>
            <w:webHidden/>
          </w:rPr>
          <w:instrText xml:space="preserve"> PAGEREF _Toc485887317 \h </w:instrText>
        </w:r>
        <w:r>
          <w:rPr>
            <w:webHidden/>
          </w:rPr>
        </w:r>
        <w:r>
          <w:rPr>
            <w:webHidden/>
          </w:rPr>
          <w:fldChar w:fldCharType="separate"/>
        </w:r>
        <w:r>
          <w:rPr>
            <w:webHidden/>
          </w:rPr>
          <w:t>15</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18" w:history="1">
        <w:r w:rsidRPr="00401D95">
          <w:rPr>
            <w:rStyle w:val="Hyperlink"/>
          </w:rPr>
          <w:t>1.2.</w:t>
        </w:r>
        <w:r>
          <w:rPr>
            <w:rFonts w:asciiTheme="minorHAnsi" w:eastAsiaTheme="minorEastAsia" w:hAnsiTheme="minorHAnsi" w:cstheme="minorBidi"/>
            <w:sz w:val="22"/>
            <w:szCs w:val="22"/>
            <w:lang w:val="en-GB" w:eastAsia="en-GB" w:bidi="ar-SA"/>
          </w:rPr>
          <w:tab/>
        </w:r>
        <w:r w:rsidRPr="00401D95">
          <w:rPr>
            <w:rStyle w:val="Hyperlink"/>
          </w:rPr>
          <w:t>Kohustused (1.2)</w:t>
        </w:r>
        <w:r>
          <w:rPr>
            <w:webHidden/>
          </w:rPr>
          <w:tab/>
        </w:r>
        <w:r>
          <w:rPr>
            <w:webHidden/>
          </w:rPr>
          <w:fldChar w:fldCharType="begin"/>
        </w:r>
        <w:r>
          <w:rPr>
            <w:webHidden/>
          </w:rPr>
          <w:instrText xml:space="preserve"> PAGEREF _Toc485887318 \h </w:instrText>
        </w:r>
        <w:r>
          <w:rPr>
            <w:webHidden/>
          </w:rPr>
        </w:r>
        <w:r>
          <w:rPr>
            <w:webHidden/>
          </w:rPr>
          <w:fldChar w:fldCharType="separate"/>
        </w:r>
        <w:r>
          <w:rPr>
            <w:webHidden/>
          </w:rPr>
          <w:t>16</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19" w:history="1">
        <w:r w:rsidRPr="00401D95">
          <w:rPr>
            <w:rStyle w:val="Hyperlink"/>
          </w:rPr>
          <w:t>1.3.</w:t>
        </w:r>
        <w:r>
          <w:rPr>
            <w:rFonts w:asciiTheme="minorHAnsi" w:eastAsiaTheme="minorEastAsia" w:hAnsiTheme="minorHAnsi" w:cstheme="minorBidi"/>
            <w:sz w:val="22"/>
            <w:szCs w:val="22"/>
            <w:lang w:val="en-GB" w:eastAsia="en-GB" w:bidi="ar-SA"/>
          </w:rPr>
          <w:tab/>
        </w:r>
        <w:r w:rsidRPr="00401D95">
          <w:rPr>
            <w:rStyle w:val="Hyperlink"/>
          </w:rPr>
          <w:t>Omakapital (1.3)</w:t>
        </w:r>
        <w:r>
          <w:rPr>
            <w:webHidden/>
          </w:rPr>
          <w:tab/>
        </w:r>
        <w:r>
          <w:rPr>
            <w:webHidden/>
          </w:rPr>
          <w:fldChar w:fldCharType="begin"/>
        </w:r>
        <w:r>
          <w:rPr>
            <w:webHidden/>
          </w:rPr>
          <w:instrText xml:space="preserve"> PAGEREF _Toc485887319 \h </w:instrText>
        </w:r>
        <w:r>
          <w:rPr>
            <w:webHidden/>
          </w:rPr>
        </w:r>
        <w:r>
          <w:rPr>
            <w:webHidden/>
          </w:rPr>
          <w:fldChar w:fldCharType="separate"/>
        </w:r>
        <w:r>
          <w:rPr>
            <w:webHidden/>
          </w:rPr>
          <w:t>17</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20" w:history="1">
        <w:r w:rsidRPr="00401D95">
          <w:rPr>
            <w:rStyle w:val="Hyperlink"/>
          </w:rPr>
          <w:t>2.</w:t>
        </w:r>
        <w:r>
          <w:rPr>
            <w:rFonts w:asciiTheme="minorHAnsi" w:eastAsiaTheme="minorEastAsia" w:hAnsiTheme="minorHAnsi" w:cstheme="minorBidi"/>
            <w:sz w:val="22"/>
            <w:szCs w:val="22"/>
            <w:lang w:val="en-GB" w:eastAsia="en-GB" w:bidi="ar-SA"/>
          </w:rPr>
          <w:tab/>
        </w:r>
        <w:r w:rsidRPr="00401D95">
          <w:rPr>
            <w:rStyle w:val="Hyperlink"/>
          </w:rPr>
          <w:t>Kasumiaruanne (2)</w:t>
        </w:r>
        <w:r>
          <w:rPr>
            <w:webHidden/>
          </w:rPr>
          <w:tab/>
        </w:r>
        <w:r>
          <w:rPr>
            <w:webHidden/>
          </w:rPr>
          <w:fldChar w:fldCharType="begin"/>
        </w:r>
        <w:r>
          <w:rPr>
            <w:webHidden/>
          </w:rPr>
          <w:instrText xml:space="preserve"> PAGEREF _Toc485887320 \h </w:instrText>
        </w:r>
        <w:r>
          <w:rPr>
            <w:webHidden/>
          </w:rPr>
        </w:r>
        <w:r>
          <w:rPr>
            <w:webHidden/>
          </w:rPr>
          <w:fldChar w:fldCharType="separate"/>
        </w:r>
        <w:r>
          <w:rPr>
            <w:webHidden/>
          </w:rPr>
          <w:t>19</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21" w:history="1">
        <w:r w:rsidRPr="00401D95">
          <w:rPr>
            <w:rStyle w:val="Hyperlink"/>
          </w:rPr>
          <w:t>3.</w:t>
        </w:r>
        <w:r>
          <w:rPr>
            <w:rFonts w:asciiTheme="minorHAnsi" w:eastAsiaTheme="minorEastAsia" w:hAnsiTheme="minorHAnsi" w:cstheme="minorBidi"/>
            <w:sz w:val="22"/>
            <w:szCs w:val="22"/>
            <w:lang w:val="en-GB" w:eastAsia="en-GB" w:bidi="ar-SA"/>
          </w:rPr>
          <w:tab/>
        </w:r>
        <w:r w:rsidRPr="00401D95">
          <w:rPr>
            <w:rStyle w:val="Hyperlink"/>
          </w:rPr>
          <w:t>Koondkasumiaruanne (3)</w:t>
        </w:r>
        <w:r>
          <w:rPr>
            <w:webHidden/>
          </w:rPr>
          <w:tab/>
        </w:r>
        <w:r>
          <w:rPr>
            <w:webHidden/>
          </w:rPr>
          <w:fldChar w:fldCharType="begin"/>
        </w:r>
        <w:r>
          <w:rPr>
            <w:webHidden/>
          </w:rPr>
          <w:instrText xml:space="preserve"> PAGEREF _Toc485887321 \h </w:instrText>
        </w:r>
        <w:r>
          <w:rPr>
            <w:webHidden/>
          </w:rPr>
        </w:r>
        <w:r>
          <w:rPr>
            <w:webHidden/>
          </w:rPr>
          <w:fldChar w:fldCharType="separate"/>
        </w:r>
        <w:r>
          <w:rPr>
            <w:webHidden/>
          </w:rPr>
          <w:t>25</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22" w:history="1">
        <w:r w:rsidRPr="00401D95">
          <w:rPr>
            <w:rStyle w:val="Hyperlink"/>
          </w:rPr>
          <w:t>4.</w:t>
        </w:r>
        <w:r>
          <w:rPr>
            <w:rFonts w:asciiTheme="minorHAnsi" w:eastAsiaTheme="minorEastAsia" w:hAnsiTheme="minorHAnsi" w:cstheme="minorBidi"/>
            <w:sz w:val="22"/>
            <w:szCs w:val="22"/>
            <w:lang w:val="en-GB" w:eastAsia="en-GB" w:bidi="ar-SA"/>
          </w:rPr>
          <w:tab/>
        </w:r>
        <w:r w:rsidRPr="00401D95">
          <w:rPr>
            <w:rStyle w:val="Hyperlink"/>
          </w:rPr>
          <w:t>Finantsvara jaotus instrumentide ja vastaspoole sektorite kaupa (4)</w:t>
        </w:r>
        <w:r>
          <w:rPr>
            <w:webHidden/>
          </w:rPr>
          <w:tab/>
        </w:r>
        <w:r>
          <w:rPr>
            <w:webHidden/>
          </w:rPr>
          <w:fldChar w:fldCharType="begin"/>
        </w:r>
        <w:r>
          <w:rPr>
            <w:webHidden/>
          </w:rPr>
          <w:instrText xml:space="preserve"> PAGEREF _Toc485887322 \h </w:instrText>
        </w:r>
        <w:r>
          <w:rPr>
            <w:webHidden/>
          </w:rPr>
        </w:r>
        <w:r>
          <w:rPr>
            <w:webHidden/>
          </w:rPr>
          <w:fldChar w:fldCharType="separate"/>
        </w:r>
        <w:r>
          <w:rPr>
            <w:webHidden/>
          </w:rPr>
          <w:t>26</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23" w:history="1">
        <w:r w:rsidRPr="00401D95">
          <w:rPr>
            <w:rStyle w:val="Hyperlink"/>
          </w:rPr>
          <w:t>5.</w:t>
        </w:r>
        <w:r>
          <w:rPr>
            <w:rFonts w:asciiTheme="minorHAnsi" w:eastAsiaTheme="minorEastAsia" w:hAnsiTheme="minorHAnsi" w:cstheme="minorBidi"/>
            <w:sz w:val="22"/>
            <w:szCs w:val="22"/>
            <w:lang w:val="en-GB" w:eastAsia="en-GB" w:bidi="ar-SA"/>
          </w:rPr>
          <w:tab/>
        </w:r>
        <w:r w:rsidRPr="00401D95">
          <w:rPr>
            <w:rStyle w:val="Hyperlink"/>
          </w:rPr>
          <w:t>Selliste laenude ja ettemaksete jaotus toodete kaupa, mida ei kasutata kauplemisel (5)</w:t>
        </w:r>
        <w:r>
          <w:rPr>
            <w:webHidden/>
          </w:rPr>
          <w:tab/>
        </w:r>
        <w:r>
          <w:rPr>
            <w:webHidden/>
          </w:rPr>
          <w:fldChar w:fldCharType="begin"/>
        </w:r>
        <w:r>
          <w:rPr>
            <w:webHidden/>
          </w:rPr>
          <w:instrText xml:space="preserve"> PAGEREF _Toc485887323 \h </w:instrText>
        </w:r>
        <w:r>
          <w:rPr>
            <w:webHidden/>
          </w:rPr>
        </w:r>
        <w:r>
          <w:rPr>
            <w:webHidden/>
          </w:rPr>
          <w:fldChar w:fldCharType="separate"/>
        </w:r>
        <w:r>
          <w:rPr>
            <w:webHidden/>
          </w:rPr>
          <w:t>29</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24" w:history="1">
        <w:r w:rsidRPr="00401D95">
          <w:rPr>
            <w:rStyle w:val="Hyperlink"/>
            <w:kern w:val="32"/>
          </w:rPr>
          <w:t>6.</w:t>
        </w:r>
        <w:r>
          <w:rPr>
            <w:rFonts w:asciiTheme="minorHAnsi" w:eastAsiaTheme="minorEastAsia" w:hAnsiTheme="minorHAnsi" w:cstheme="minorBidi"/>
            <w:sz w:val="22"/>
            <w:szCs w:val="22"/>
            <w:lang w:val="en-GB" w:eastAsia="en-GB" w:bidi="ar-SA"/>
          </w:rPr>
          <w:tab/>
        </w:r>
        <w:r w:rsidRPr="00401D95">
          <w:rPr>
            <w:rStyle w:val="Hyperlink"/>
          </w:rPr>
          <w:t>Finantssektorivälistele äriühingutele antud selliste laenude ja ettemaksete jaotus NACE koodide alusel, mida ei kasutata kauplemisel (6)</w:t>
        </w:r>
        <w:r>
          <w:rPr>
            <w:webHidden/>
          </w:rPr>
          <w:tab/>
        </w:r>
        <w:r>
          <w:rPr>
            <w:webHidden/>
          </w:rPr>
          <w:fldChar w:fldCharType="begin"/>
        </w:r>
        <w:r>
          <w:rPr>
            <w:webHidden/>
          </w:rPr>
          <w:instrText xml:space="preserve"> PAGEREF _Toc485887324 \h </w:instrText>
        </w:r>
        <w:r>
          <w:rPr>
            <w:webHidden/>
          </w:rPr>
        </w:r>
        <w:r>
          <w:rPr>
            <w:webHidden/>
          </w:rPr>
          <w:fldChar w:fldCharType="separate"/>
        </w:r>
        <w:r>
          <w:rPr>
            <w:webHidden/>
          </w:rPr>
          <w:t>31</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25" w:history="1">
        <w:r w:rsidRPr="00401D95">
          <w:rPr>
            <w:rStyle w:val="Hyperlink"/>
            <w:kern w:val="32"/>
          </w:rPr>
          <w:t>7.</w:t>
        </w:r>
        <w:r>
          <w:rPr>
            <w:rFonts w:asciiTheme="minorHAnsi" w:eastAsiaTheme="minorEastAsia" w:hAnsiTheme="minorHAnsi" w:cstheme="minorBidi"/>
            <w:sz w:val="22"/>
            <w:szCs w:val="22"/>
            <w:lang w:val="en-GB" w:eastAsia="en-GB" w:bidi="ar-SA"/>
          </w:rPr>
          <w:tab/>
        </w:r>
        <w:r w:rsidRPr="00401D95">
          <w:rPr>
            <w:rStyle w:val="Hyperlink"/>
          </w:rPr>
          <w:t>Tähtajaks tasumata finantsvarad, mille suhtes kohaldatakse väärtuse langust (7)</w:t>
        </w:r>
        <w:r>
          <w:rPr>
            <w:webHidden/>
          </w:rPr>
          <w:tab/>
        </w:r>
        <w:r>
          <w:rPr>
            <w:webHidden/>
          </w:rPr>
          <w:fldChar w:fldCharType="begin"/>
        </w:r>
        <w:r>
          <w:rPr>
            <w:webHidden/>
          </w:rPr>
          <w:instrText xml:space="preserve"> PAGEREF _Toc485887325 \h </w:instrText>
        </w:r>
        <w:r>
          <w:rPr>
            <w:webHidden/>
          </w:rPr>
        </w:r>
        <w:r>
          <w:rPr>
            <w:webHidden/>
          </w:rPr>
          <w:fldChar w:fldCharType="separate"/>
        </w:r>
        <w:r>
          <w:rPr>
            <w:webHidden/>
          </w:rPr>
          <w:t>31</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26" w:history="1">
        <w:r w:rsidRPr="00401D95">
          <w:rPr>
            <w:rStyle w:val="Hyperlink"/>
          </w:rPr>
          <w:t>8.</w:t>
        </w:r>
        <w:r>
          <w:rPr>
            <w:rFonts w:asciiTheme="minorHAnsi" w:eastAsiaTheme="minorEastAsia" w:hAnsiTheme="minorHAnsi" w:cstheme="minorBidi"/>
            <w:sz w:val="22"/>
            <w:szCs w:val="22"/>
            <w:lang w:val="en-GB" w:eastAsia="en-GB" w:bidi="ar-SA"/>
          </w:rPr>
          <w:tab/>
        </w:r>
        <w:r w:rsidRPr="00401D95">
          <w:rPr>
            <w:rStyle w:val="Hyperlink"/>
          </w:rPr>
          <w:t>Finantskohustuste jaotus (8)</w:t>
        </w:r>
        <w:r>
          <w:rPr>
            <w:webHidden/>
          </w:rPr>
          <w:tab/>
        </w:r>
        <w:r>
          <w:rPr>
            <w:webHidden/>
          </w:rPr>
          <w:fldChar w:fldCharType="begin"/>
        </w:r>
        <w:r>
          <w:rPr>
            <w:webHidden/>
          </w:rPr>
          <w:instrText xml:space="preserve"> PAGEREF _Toc485887326 \h </w:instrText>
        </w:r>
        <w:r>
          <w:rPr>
            <w:webHidden/>
          </w:rPr>
        </w:r>
        <w:r>
          <w:rPr>
            <w:webHidden/>
          </w:rPr>
          <w:fldChar w:fldCharType="separate"/>
        </w:r>
        <w:r>
          <w:rPr>
            <w:webHidden/>
          </w:rPr>
          <w:t>32</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27" w:history="1">
        <w:r w:rsidRPr="00401D95">
          <w:rPr>
            <w:rStyle w:val="Hyperlink"/>
          </w:rPr>
          <w:t>9.</w:t>
        </w:r>
        <w:r>
          <w:rPr>
            <w:rFonts w:asciiTheme="minorHAnsi" w:eastAsiaTheme="minorEastAsia" w:hAnsiTheme="minorHAnsi" w:cstheme="minorBidi"/>
            <w:sz w:val="22"/>
            <w:szCs w:val="22"/>
            <w:lang w:val="en-GB" w:eastAsia="en-GB" w:bidi="ar-SA"/>
          </w:rPr>
          <w:tab/>
        </w:r>
        <w:r w:rsidRPr="00401D95">
          <w:rPr>
            <w:rStyle w:val="Hyperlink"/>
          </w:rPr>
          <w:t>Siduvad laenuandmiskohustused, finantsgarantiid ja muud siduvad kohustused (9)</w:t>
        </w:r>
        <w:r>
          <w:rPr>
            <w:webHidden/>
          </w:rPr>
          <w:tab/>
        </w:r>
        <w:r>
          <w:rPr>
            <w:webHidden/>
          </w:rPr>
          <w:fldChar w:fldCharType="begin"/>
        </w:r>
        <w:r>
          <w:rPr>
            <w:webHidden/>
          </w:rPr>
          <w:instrText xml:space="preserve"> PAGEREF _Toc485887327 \h </w:instrText>
        </w:r>
        <w:r>
          <w:rPr>
            <w:webHidden/>
          </w:rPr>
        </w:r>
        <w:r>
          <w:rPr>
            <w:webHidden/>
          </w:rPr>
          <w:fldChar w:fldCharType="separate"/>
        </w:r>
        <w:r>
          <w:rPr>
            <w:webHidden/>
          </w:rPr>
          <w:t>33</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28" w:history="1">
        <w:r w:rsidRPr="00401D95">
          <w:rPr>
            <w:rStyle w:val="Hyperlink"/>
          </w:rPr>
          <w:t>10.</w:t>
        </w:r>
        <w:r>
          <w:rPr>
            <w:rFonts w:asciiTheme="minorHAnsi" w:eastAsiaTheme="minorEastAsia" w:hAnsiTheme="minorHAnsi" w:cstheme="minorBidi"/>
            <w:sz w:val="22"/>
            <w:szCs w:val="22"/>
            <w:lang w:val="en-GB" w:eastAsia="en-GB" w:bidi="ar-SA"/>
          </w:rPr>
          <w:tab/>
        </w:r>
        <w:r w:rsidRPr="00401D95">
          <w:rPr>
            <w:rStyle w:val="Hyperlink"/>
          </w:rPr>
          <w:t>Tuletisinstrumendid ja riskimaandamise arvestus (10 ja 11)</w:t>
        </w:r>
        <w:r>
          <w:rPr>
            <w:webHidden/>
          </w:rPr>
          <w:tab/>
        </w:r>
        <w:r>
          <w:rPr>
            <w:webHidden/>
          </w:rPr>
          <w:fldChar w:fldCharType="begin"/>
        </w:r>
        <w:r>
          <w:rPr>
            <w:webHidden/>
          </w:rPr>
          <w:instrText xml:space="preserve"> PAGEREF _Toc485887328 \h </w:instrText>
        </w:r>
        <w:r>
          <w:rPr>
            <w:webHidden/>
          </w:rPr>
        </w:r>
        <w:r>
          <w:rPr>
            <w:webHidden/>
          </w:rPr>
          <w:fldChar w:fldCharType="separate"/>
        </w:r>
        <w:r>
          <w:rPr>
            <w:webHidden/>
          </w:rPr>
          <w:t>36</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29" w:history="1">
        <w:r w:rsidRPr="00401D95">
          <w:rPr>
            <w:rStyle w:val="Hyperlink"/>
          </w:rPr>
          <w:t>10.1.</w:t>
        </w:r>
        <w:r>
          <w:rPr>
            <w:rFonts w:asciiTheme="minorHAnsi" w:eastAsiaTheme="minorEastAsia" w:hAnsiTheme="minorHAnsi" w:cstheme="minorBidi"/>
            <w:sz w:val="22"/>
            <w:szCs w:val="22"/>
            <w:lang w:val="en-GB" w:eastAsia="en-GB" w:bidi="ar-SA"/>
          </w:rPr>
          <w:tab/>
        </w:r>
        <w:r w:rsidRPr="00401D95">
          <w:rPr>
            <w:rStyle w:val="Hyperlink"/>
          </w:rPr>
          <w:t>Tuletisinstrumentide liigitus riski liigi alusel</w:t>
        </w:r>
        <w:r>
          <w:rPr>
            <w:webHidden/>
          </w:rPr>
          <w:tab/>
        </w:r>
        <w:r>
          <w:rPr>
            <w:webHidden/>
          </w:rPr>
          <w:fldChar w:fldCharType="begin"/>
        </w:r>
        <w:r>
          <w:rPr>
            <w:webHidden/>
          </w:rPr>
          <w:instrText xml:space="preserve"> PAGEREF _Toc485887329 \h </w:instrText>
        </w:r>
        <w:r>
          <w:rPr>
            <w:webHidden/>
          </w:rPr>
        </w:r>
        <w:r>
          <w:rPr>
            <w:webHidden/>
          </w:rPr>
          <w:fldChar w:fldCharType="separate"/>
        </w:r>
        <w:r>
          <w:rPr>
            <w:webHidden/>
          </w:rPr>
          <w:t>38</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30" w:history="1">
        <w:r w:rsidRPr="00401D95">
          <w:rPr>
            <w:rStyle w:val="Hyperlink"/>
          </w:rPr>
          <w:t>10.2.</w:t>
        </w:r>
        <w:r>
          <w:rPr>
            <w:rFonts w:asciiTheme="minorHAnsi" w:eastAsiaTheme="minorEastAsia" w:hAnsiTheme="minorHAnsi" w:cstheme="minorBidi"/>
            <w:sz w:val="22"/>
            <w:szCs w:val="22"/>
            <w:lang w:val="en-GB" w:eastAsia="en-GB" w:bidi="ar-SA"/>
          </w:rPr>
          <w:tab/>
        </w:r>
        <w:r w:rsidRPr="00401D95">
          <w:rPr>
            <w:rStyle w:val="Hyperlink"/>
          </w:rPr>
          <w:t>Tuletisinstrumentide puhul kajastatavad summad</w:t>
        </w:r>
        <w:r>
          <w:rPr>
            <w:webHidden/>
          </w:rPr>
          <w:tab/>
        </w:r>
        <w:r>
          <w:rPr>
            <w:webHidden/>
          </w:rPr>
          <w:fldChar w:fldCharType="begin"/>
        </w:r>
        <w:r>
          <w:rPr>
            <w:webHidden/>
          </w:rPr>
          <w:instrText xml:space="preserve"> PAGEREF _Toc485887330 \h </w:instrText>
        </w:r>
        <w:r>
          <w:rPr>
            <w:webHidden/>
          </w:rPr>
        </w:r>
        <w:r>
          <w:rPr>
            <w:webHidden/>
          </w:rPr>
          <w:fldChar w:fldCharType="separate"/>
        </w:r>
        <w:r>
          <w:rPr>
            <w:webHidden/>
          </w:rPr>
          <w:t>39</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31" w:history="1">
        <w:r w:rsidRPr="00401D95">
          <w:rPr>
            <w:rStyle w:val="Hyperlink"/>
          </w:rPr>
          <w:t>10.3.</w:t>
        </w:r>
        <w:r>
          <w:rPr>
            <w:rFonts w:asciiTheme="minorHAnsi" w:eastAsiaTheme="minorEastAsia" w:hAnsiTheme="minorHAnsi" w:cstheme="minorBidi"/>
            <w:sz w:val="22"/>
            <w:szCs w:val="22"/>
            <w:lang w:val="en-GB" w:eastAsia="en-GB" w:bidi="ar-SA"/>
          </w:rPr>
          <w:tab/>
        </w:r>
        <w:r w:rsidRPr="00401D95">
          <w:rPr>
            <w:rStyle w:val="Hyperlink"/>
          </w:rPr>
          <w:t>„Majanduslikuks riskimaanduseks“ liigitatud tuletisinstrumendid</w:t>
        </w:r>
        <w:r>
          <w:rPr>
            <w:webHidden/>
          </w:rPr>
          <w:tab/>
        </w:r>
        <w:r>
          <w:rPr>
            <w:webHidden/>
          </w:rPr>
          <w:fldChar w:fldCharType="begin"/>
        </w:r>
        <w:r>
          <w:rPr>
            <w:webHidden/>
          </w:rPr>
          <w:instrText xml:space="preserve"> PAGEREF _Toc485887331 \h </w:instrText>
        </w:r>
        <w:r>
          <w:rPr>
            <w:webHidden/>
          </w:rPr>
        </w:r>
        <w:r>
          <w:rPr>
            <w:webHidden/>
          </w:rPr>
          <w:fldChar w:fldCharType="separate"/>
        </w:r>
        <w:r>
          <w:rPr>
            <w:webHidden/>
          </w:rPr>
          <w:t>41</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32" w:history="1">
        <w:r w:rsidRPr="00401D95">
          <w:rPr>
            <w:rStyle w:val="Hyperlink"/>
          </w:rPr>
          <w:t>10.4.</w:t>
        </w:r>
        <w:r>
          <w:rPr>
            <w:rFonts w:asciiTheme="minorHAnsi" w:eastAsiaTheme="minorEastAsia" w:hAnsiTheme="minorHAnsi" w:cstheme="minorBidi"/>
            <w:sz w:val="22"/>
            <w:szCs w:val="22"/>
            <w:lang w:val="en-GB" w:eastAsia="en-GB" w:bidi="ar-SA"/>
          </w:rPr>
          <w:tab/>
        </w:r>
        <w:r w:rsidRPr="00401D95">
          <w:rPr>
            <w:rStyle w:val="Hyperlink"/>
          </w:rPr>
          <w:t>Tuletisinstrumentide jaotus vastaspoole sektorite kaupa</w:t>
        </w:r>
        <w:r>
          <w:rPr>
            <w:webHidden/>
          </w:rPr>
          <w:tab/>
        </w:r>
        <w:r>
          <w:rPr>
            <w:webHidden/>
          </w:rPr>
          <w:fldChar w:fldCharType="begin"/>
        </w:r>
        <w:r>
          <w:rPr>
            <w:webHidden/>
          </w:rPr>
          <w:instrText xml:space="preserve"> PAGEREF _Toc485887332 \h </w:instrText>
        </w:r>
        <w:r>
          <w:rPr>
            <w:webHidden/>
          </w:rPr>
        </w:r>
        <w:r>
          <w:rPr>
            <w:webHidden/>
          </w:rPr>
          <w:fldChar w:fldCharType="separate"/>
        </w:r>
        <w:r>
          <w:rPr>
            <w:webHidden/>
          </w:rPr>
          <w:t>42</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33" w:history="1">
        <w:r w:rsidRPr="00401D95">
          <w:rPr>
            <w:rStyle w:val="Hyperlink"/>
          </w:rPr>
          <w:t>10.5.</w:t>
        </w:r>
        <w:r>
          <w:rPr>
            <w:rFonts w:asciiTheme="minorHAnsi" w:eastAsiaTheme="minorEastAsia" w:hAnsiTheme="minorHAnsi" w:cstheme="minorBidi"/>
            <w:sz w:val="22"/>
            <w:szCs w:val="22"/>
            <w:lang w:val="en-GB" w:eastAsia="en-GB" w:bidi="ar-SA"/>
          </w:rPr>
          <w:tab/>
        </w:r>
        <w:r w:rsidRPr="00401D95">
          <w:rPr>
            <w:rStyle w:val="Hyperlink"/>
          </w:rPr>
          <w:t>Riskimaandamise arvestus siseriikliku GAAPi kohaselt (11.2)</w:t>
        </w:r>
        <w:r>
          <w:rPr>
            <w:webHidden/>
          </w:rPr>
          <w:tab/>
        </w:r>
        <w:r>
          <w:rPr>
            <w:webHidden/>
          </w:rPr>
          <w:fldChar w:fldCharType="begin"/>
        </w:r>
        <w:r>
          <w:rPr>
            <w:webHidden/>
          </w:rPr>
          <w:instrText xml:space="preserve"> PAGEREF _Toc485887333 \h </w:instrText>
        </w:r>
        <w:r>
          <w:rPr>
            <w:webHidden/>
          </w:rPr>
        </w:r>
        <w:r>
          <w:rPr>
            <w:webHidden/>
          </w:rPr>
          <w:fldChar w:fldCharType="separate"/>
        </w:r>
        <w:r>
          <w:rPr>
            <w:webHidden/>
          </w:rPr>
          <w:t>42</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34" w:history="1">
        <w:r w:rsidRPr="00401D95">
          <w:rPr>
            <w:rStyle w:val="Hyperlink"/>
          </w:rPr>
          <w:t>10.6.</w:t>
        </w:r>
        <w:r>
          <w:rPr>
            <w:rFonts w:asciiTheme="minorHAnsi" w:eastAsiaTheme="minorEastAsia" w:hAnsiTheme="minorHAnsi" w:cstheme="minorBidi"/>
            <w:sz w:val="22"/>
            <w:szCs w:val="22"/>
            <w:lang w:val="en-GB" w:eastAsia="en-GB" w:bidi="ar-SA"/>
          </w:rPr>
          <w:tab/>
        </w:r>
        <w:r w:rsidRPr="00401D95">
          <w:rPr>
            <w:rStyle w:val="Hyperlink"/>
          </w:rPr>
          <w:t>Kajastatav väärtus riskimaandamisinstrumentide puhul, mis ei ole tuletisinstrumendid (11.3 ja 11.3.1)</w:t>
        </w:r>
        <w:r>
          <w:rPr>
            <w:webHidden/>
          </w:rPr>
          <w:tab/>
        </w:r>
        <w:r>
          <w:rPr>
            <w:webHidden/>
          </w:rPr>
          <w:fldChar w:fldCharType="begin"/>
        </w:r>
        <w:r>
          <w:rPr>
            <w:webHidden/>
          </w:rPr>
          <w:instrText xml:space="preserve"> PAGEREF _Toc485887334 \h </w:instrText>
        </w:r>
        <w:r>
          <w:rPr>
            <w:webHidden/>
          </w:rPr>
        </w:r>
        <w:r>
          <w:rPr>
            <w:webHidden/>
          </w:rPr>
          <w:fldChar w:fldCharType="separate"/>
        </w:r>
        <w:r>
          <w:rPr>
            <w:webHidden/>
          </w:rPr>
          <w:t>42</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35" w:history="1">
        <w:r w:rsidRPr="00401D95">
          <w:rPr>
            <w:rStyle w:val="Hyperlink"/>
          </w:rPr>
          <w:t>10.7.</w:t>
        </w:r>
        <w:r>
          <w:rPr>
            <w:rFonts w:asciiTheme="minorHAnsi" w:eastAsiaTheme="minorEastAsia" w:hAnsiTheme="minorHAnsi" w:cstheme="minorBidi"/>
            <w:sz w:val="22"/>
            <w:szCs w:val="22"/>
            <w:lang w:val="en-GB" w:eastAsia="en-GB" w:bidi="ar-SA"/>
          </w:rPr>
          <w:tab/>
        </w:r>
        <w:r w:rsidRPr="00401D95">
          <w:rPr>
            <w:rStyle w:val="Hyperlink"/>
          </w:rPr>
          <w:t>Õiglase väärtuse riskimaanduse maandatavad instrumendid (11.4)</w:t>
        </w:r>
        <w:r>
          <w:rPr>
            <w:webHidden/>
          </w:rPr>
          <w:tab/>
        </w:r>
        <w:r>
          <w:rPr>
            <w:webHidden/>
          </w:rPr>
          <w:fldChar w:fldCharType="begin"/>
        </w:r>
        <w:r>
          <w:rPr>
            <w:webHidden/>
          </w:rPr>
          <w:instrText xml:space="preserve"> PAGEREF _Toc485887335 \h </w:instrText>
        </w:r>
        <w:r>
          <w:rPr>
            <w:webHidden/>
          </w:rPr>
        </w:r>
        <w:r>
          <w:rPr>
            <w:webHidden/>
          </w:rPr>
          <w:fldChar w:fldCharType="separate"/>
        </w:r>
        <w:r>
          <w:rPr>
            <w:webHidden/>
          </w:rPr>
          <w:t>42</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36" w:history="1">
        <w:r w:rsidRPr="00401D95">
          <w:rPr>
            <w:rStyle w:val="Hyperlink"/>
            <w:kern w:val="32"/>
          </w:rPr>
          <w:t>11.</w:t>
        </w:r>
        <w:r>
          <w:rPr>
            <w:rFonts w:asciiTheme="minorHAnsi" w:eastAsiaTheme="minorEastAsia" w:hAnsiTheme="minorHAnsi" w:cstheme="minorBidi"/>
            <w:sz w:val="22"/>
            <w:szCs w:val="22"/>
            <w:lang w:val="en-GB" w:eastAsia="en-GB" w:bidi="ar-SA"/>
          </w:rPr>
          <w:tab/>
        </w:r>
        <w:r w:rsidRPr="00401D95">
          <w:rPr>
            <w:rStyle w:val="Hyperlink"/>
          </w:rPr>
          <w:t>Muutused krediidikahju allahindlustes ja eraldistes (12)</w:t>
        </w:r>
        <w:r>
          <w:rPr>
            <w:webHidden/>
          </w:rPr>
          <w:tab/>
        </w:r>
        <w:r>
          <w:rPr>
            <w:webHidden/>
          </w:rPr>
          <w:fldChar w:fldCharType="begin"/>
        </w:r>
        <w:r>
          <w:rPr>
            <w:webHidden/>
          </w:rPr>
          <w:instrText xml:space="preserve"> PAGEREF _Toc485887336 \h </w:instrText>
        </w:r>
        <w:r>
          <w:rPr>
            <w:webHidden/>
          </w:rPr>
        </w:r>
        <w:r>
          <w:rPr>
            <w:webHidden/>
          </w:rPr>
          <w:fldChar w:fldCharType="separate"/>
        </w:r>
        <w:r>
          <w:rPr>
            <w:webHidden/>
          </w:rPr>
          <w:t>43</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37" w:history="1">
        <w:r w:rsidRPr="00401D95">
          <w:rPr>
            <w:rStyle w:val="Hyperlink"/>
          </w:rPr>
          <w:t>11.1.</w:t>
        </w:r>
        <w:r>
          <w:rPr>
            <w:rFonts w:asciiTheme="minorHAnsi" w:eastAsiaTheme="minorEastAsia" w:hAnsiTheme="minorHAnsi" w:cstheme="minorBidi"/>
            <w:sz w:val="22"/>
            <w:szCs w:val="22"/>
            <w:lang w:val="en-GB" w:eastAsia="en-GB" w:bidi="ar-SA"/>
          </w:rPr>
          <w:tab/>
        </w:r>
        <w:r w:rsidRPr="00401D95">
          <w:rPr>
            <w:rStyle w:val="Hyperlink"/>
          </w:rPr>
          <w:t>Muutused krediidikahju ja omakapitaliinstrumentide väärtuse langusega seotud allahindlustes BADil põhineva siseriikliku GAAPi kohaselt (12.0)</w:t>
        </w:r>
        <w:r>
          <w:rPr>
            <w:webHidden/>
          </w:rPr>
          <w:tab/>
        </w:r>
        <w:r>
          <w:rPr>
            <w:webHidden/>
          </w:rPr>
          <w:fldChar w:fldCharType="begin"/>
        </w:r>
        <w:r>
          <w:rPr>
            <w:webHidden/>
          </w:rPr>
          <w:instrText xml:space="preserve"> PAGEREF _Toc485887337 \h </w:instrText>
        </w:r>
        <w:r>
          <w:rPr>
            <w:webHidden/>
          </w:rPr>
        </w:r>
        <w:r>
          <w:rPr>
            <w:webHidden/>
          </w:rPr>
          <w:fldChar w:fldCharType="separate"/>
        </w:r>
        <w:r>
          <w:rPr>
            <w:webHidden/>
          </w:rPr>
          <w:t>43</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38" w:history="1">
        <w:r w:rsidRPr="00401D95">
          <w:rPr>
            <w:rStyle w:val="Hyperlink"/>
          </w:rPr>
          <w:t>11.2.</w:t>
        </w:r>
        <w:r>
          <w:rPr>
            <w:rFonts w:asciiTheme="minorHAnsi" w:eastAsiaTheme="minorEastAsia" w:hAnsiTheme="minorHAnsi" w:cstheme="minorBidi"/>
            <w:sz w:val="22"/>
            <w:szCs w:val="22"/>
            <w:lang w:val="en-GB" w:eastAsia="en-GB" w:bidi="ar-SA"/>
          </w:rPr>
          <w:tab/>
        </w:r>
        <w:r w:rsidRPr="00401D95">
          <w:rPr>
            <w:rStyle w:val="Hyperlink"/>
          </w:rPr>
          <w:t>Muutused krediidikahju allahindlustes ja eraldistes IFRSi kohaselt (12.1)</w:t>
        </w:r>
        <w:r>
          <w:rPr>
            <w:webHidden/>
          </w:rPr>
          <w:tab/>
        </w:r>
        <w:r>
          <w:rPr>
            <w:webHidden/>
          </w:rPr>
          <w:fldChar w:fldCharType="begin"/>
        </w:r>
        <w:r>
          <w:rPr>
            <w:webHidden/>
          </w:rPr>
          <w:instrText xml:space="preserve"> PAGEREF _Toc485887338 \h </w:instrText>
        </w:r>
        <w:r>
          <w:rPr>
            <w:webHidden/>
          </w:rPr>
        </w:r>
        <w:r>
          <w:rPr>
            <w:webHidden/>
          </w:rPr>
          <w:fldChar w:fldCharType="separate"/>
        </w:r>
        <w:r>
          <w:rPr>
            <w:webHidden/>
          </w:rPr>
          <w:t>44</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39" w:history="1">
        <w:r w:rsidRPr="00401D95">
          <w:rPr>
            <w:rStyle w:val="Hyperlink"/>
          </w:rPr>
          <w:t>11.3.</w:t>
        </w:r>
        <w:r>
          <w:rPr>
            <w:rFonts w:asciiTheme="minorHAnsi" w:eastAsiaTheme="minorEastAsia" w:hAnsiTheme="minorHAnsi" w:cstheme="minorBidi"/>
            <w:sz w:val="22"/>
            <w:szCs w:val="22"/>
            <w:lang w:val="en-GB" w:eastAsia="en-GB" w:bidi="ar-SA"/>
          </w:rPr>
          <w:tab/>
        </w:r>
        <w:r w:rsidRPr="00401D95">
          <w:rPr>
            <w:rStyle w:val="Hyperlink"/>
          </w:rPr>
          <w:t>Ülekandmised väärtuse languse etappide vahel (esitatakse brutosummas) (12.2)</w:t>
        </w:r>
        <w:r>
          <w:rPr>
            <w:webHidden/>
          </w:rPr>
          <w:tab/>
        </w:r>
        <w:r>
          <w:rPr>
            <w:webHidden/>
          </w:rPr>
          <w:fldChar w:fldCharType="begin"/>
        </w:r>
        <w:r>
          <w:rPr>
            <w:webHidden/>
          </w:rPr>
          <w:instrText xml:space="preserve"> PAGEREF _Toc485887339 \h </w:instrText>
        </w:r>
        <w:r>
          <w:rPr>
            <w:webHidden/>
          </w:rPr>
        </w:r>
        <w:r>
          <w:rPr>
            <w:webHidden/>
          </w:rPr>
          <w:fldChar w:fldCharType="separate"/>
        </w:r>
        <w:r>
          <w:rPr>
            <w:webHidden/>
          </w:rPr>
          <w:t>46</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40" w:history="1">
        <w:r w:rsidRPr="00401D95">
          <w:rPr>
            <w:rStyle w:val="Hyperlink"/>
          </w:rPr>
          <w:t>12.</w:t>
        </w:r>
        <w:r>
          <w:rPr>
            <w:rFonts w:asciiTheme="minorHAnsi" w:eastAsiaTheme="minorEastAsia" w:hAnsiTheme="minorHAnsi" w:cstheme="minorBidi"/>
            <w:sz w:val="22"/>
            <w:szCs w:val="22"/>
            <w:lang w:val="en-GB" w:eastAsia="en-GB" w:bidi="ar-SA"/>
          </w:rPr>
          <w:tab/>
        </w:r>
        <w:r w:rsidRPr="00401D95">
          <w:rPr>
            <w:rStyle w:val="Hyperlink"/>
          </w:rPr>
          <w:t>Saadud tagatised ja garantiid (13)</w:t>
        </w:r>
        <w:r>
          <w:rPr>
            <w:webHidden/>
          </w:rPr>
          <w:tab/>
        </w:r>
        <w:r>
          <w:rPr>
            <w:webHidden/>
          </w:rPr>
          <w:fldChar w:fldCharType="begin"/>
        </w:r>
        <w:r>
          <w:rPr>
            <w:webHidden/>
          </w:rPr>
          <w:instrText xml:space="preserve"> PAGEREF _Toc485887340 \h </w:instrText>
        </w:r>
        <w:r>
          <w:rPr>
            <w:webHidden/>
          </w:rPr>
        </w:r>
        <w:r>
          <w:rPr>
            <w:webHidden/>
          </w:rPr>
          <w:fldChar w:fldCharType="separate"/>
        </w:r>
        <w:r>
          <w:rPr>
            <w:webHidden/>
          </w:rPr>
          <w:t>47</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41" w:history="1">
        <w:r w:rsidRPr="00401D95">
          <w:rPr>
            <w:rStyle w:val="Hyperlink"/>
          </w:rPr>
          <w:t>12.1.</w:t>
        </w:r>
        <w:r>
          <w:rPr>
            <w:rFonts w:asciiTheme="minorHAnsi" w:eastAsiaTheme="minorEastAsia" w:hAnsiTheme="minorHAnsi" w:cstheme="minorBidi"/>
            <w:sz w:val="22"/>
            <w:szCs w:val="22"/>
            <w:lang w:val="en-GB" w:eastAsia="en-GB" w:bidi="ar-SA"/>
          </w:rPr>
          <w:tab/>
        </w:r>
        <w:r w:rsidRPr="00401D95">
          <w:rPr>
            <w:rStyle w:val="Hyperlink"/>
          </w:rPr>
          <w:t>Tagatiste ja garantiide jaotus laenude ja ettemaksete kaupa (muud kui kauplemiseks hoitavad) (13.1)</w:t>
        </w:r>
        <w:r>
          <w:rPr>
            <w:webHidden/>
          </w:rPr>
          <w:tab/>
        </w:r>
        <w:r>
          <w:rPr>
            <w:webHidden/>
          </w:rPr>
          <w:fldChar w:fldCharType="begin"/>
        </w:r>
        <w:r>
          <w:rPr>
            <w:webHidden/>
          </w:rPr>
          <w:instrText xml:space="preserve"> PAGEREF _Toc485887341 \h </w:instrText>
        </w:r>
        <w:r>
          <w:rPr>
            <w:webHidden/>
          </w:rPr>
        </w:r>
        <w:r>
          <w:rPr>
            <w:webHidden/>
          </w:rPr>
          <w:fldChar w:fldCharType="separate"/>
        </w:r>
        <w:r>
          <w:rPr>
            <w:webHidden/>
          </w:rPr>
          <w:t>47</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42" w:history="1">
        <w:r w:rsidRPr="00401D95">
          <w:rPr>
            <w:rStyle w:val="Hyperlink"/>
          </w:rPr>
          <w:t>12.2.</w:t>
        </w:r>
        <w:r>
          <w:rPr>
            <w:rFonts w:asciiTheme="minorHAnsi" w:eastAsiaTheme="minorEastAsia" w:hAnsiTheme="minorHAnsi" w:cstheme="minorBidi"/>
            <w:sz w:val="22"/>
            <w:szCs w:val="22"/>
            <w:lang w:val="en-GB" w:eastAsia="en-GB" w:bidi="ar-SA"/>
          </w:rPr>
          <w:tab/>
        </w:r>
        <w:r w:rsidRPr="00401D95">
          <w:rPr>
            <w:rStyle w:val="Hyperlink"/>
          </w:rPr>
          <w:t>Tagatised, mis on omandatud perioodi jooksul, võttes need enda valdusse [aruande kuupäeva seisuga valduses olevad] (13.2)</w:t>
        </w:r>
        <w:r>
          <w:rPr>
            <w:webHidden/>
          </w:rPr>
          <w:tab/>
        </w:r>
        <w:r>
          <w:rPr>
            <w:webHidden/>
          </w:rPr>
          <w:fldChar w:fldCharType="begin"/>
        </w:r>
        <w:r>
          <w:rPr>
            <w:webHidden/>
          </w:rPr>
          <w:instrText xml:space="preserve"> PAGEREF _Toc485887342 \h </w:instrText>
        </w:r>
        <w:r>
          <w:rPr>
            <w:webHidden/>
          </w:rPr>
        </w:r>
        <w:r>
          <w:rPr>
            <w:webHidden/>
          </w:rPr>
          <w:fldChar w:fldCharType="separate"/>
        </w:r>
        <w:r>
          <w:rPr>
            <w:webHidden/>
          </w:rPr>
          <w:t>48</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43" w:history="1">
        <w:r w:rsidRPr="00401D95">
          <w:rPr>
            <w:rStyle w:val="Hyperlink"/>
          </w:rPr>
          <w:t>12.3.</w:t>
        </w:r>
        <w:r>
          <w:rPr>
            <w:rFonts w:asciiTheme="minorHAnsi" w:eastAsiaTheme="minorEastAsia" w:hAnsiTheme="minorHAnsi" w:cstheme="minorBidi"/>
            <w:sz w:val="22"/>
            <w:szCs w:val="22"/>
            <w:lang w:val="en-GB" w:eastAsia="en-GB" w:bidi="ar-SA"/>
          </w:rPr>
          <w:tab/>
        </w:r>
        <w:r w:rsidRPr="00401D95">
          <w:rPr>
            <w:rStyle w:val="Hyperlink"/>
          </w:rPr>
          <w:t>Akumuleeritud tagatised, mis on omandatud, võttes need enda valdusse [materiaalne vara] (13.3)</w:t>
        </w:r>
        <w:r>
          <w:rPr>
            <w:webHidden/>
          </w:rPr>
          <w:tab/>
        </w:r>
        <w:r>
          <w:rPr>
            <w:webHidden/>
          </w:rPr>
          <w:fldChar w:fldCharType="begin"/>
        </w:r>
        <w:r>
          <w:rPr>
            <w:webHidden/>
          </w:rPr>
          <w:instrText xml:space="preserve"> PAGEREF _Toc485887343 \h </w:instrText>
        </w:r>
        <w:r>
          <w:rPr>
            <w:webHidden/>
          </w:rPr>
        </w:r>
        <w:r>
          <w:rPr>
            <w:webHidden/>
          </w:rPr>
          <w:fldChar w:fldCharType="separate"/>
        </w:r>
        <w:r>
          <w:rPr>
            <w:webHidden/>
          </w:rPr>
          <w:t>48</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44" w:history="1">
        <w:r w:rsidRPr="00401D95">
          <w:rPr>
            <w:rStyle w:val="Hyperlink"/>
            <w:kern w:val="32"/>
          </w:rPr>
          <w:t>13.</w:t>
        </w:r>
        <w:r>
          <w:rPr>
            <w:rFonts w:asciiTheme="minorHAnsi" w:eastAsiaTheme="minorEastAsia" w:hAnsiTheme="minorHAnsi" w:cstheme="minorBidi"/>
            <w:sz w:val="22"/>
            <w:szCs w:val="22"/>
            <w:lang w:val="en-GB" w:eastAsia="en-GB" w:bidi="ar-SA"/>
          </w:rPr>
          <w:tab/>
        </w:r>
        <w:r w:rsidRPr="00401D95">
          <w:rPr>
            <w:rStyle w:val="Hyperlink"/>
          </w:rPr>
          <w:t>Õiglase väärtuse hierarhia: õiglases väärtuses finantsinstrumendid (14)</w:t>
        </w:r>
        <w:r>
          <w:rPr>
            <w:webHidden/>
          </w:rPr>
          <w:tab/>
        </w:r>
        <w:r>
          <w:rPr>
            <w:webHidden/>
          </w:rPr>
          <w:fldChar w:fldCharType="begin"/>
        </w:r>
        <w:r>
          <w:rPr>
            <w:webHidden/>
          </w:rPr>
          <w:instrText xml:space="preserve"> PAGEREF _Toc485887344 \h </w:instrText>
        </w:r>
        <w:r>
          <w:rPr>
            <w:webHidden/>
          </w:rPr>
        </w:r>
        <w:r>
          <w:rPr>
            <w:webHidden/>
          </w:rPr>
          <w:fldChar w:fldCharType="separate"/>
        </w:r>
        <w:r>
          <w:rPr>
            <w:webHidden/>
          </w:rPr>
          <w:t>48</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45" w:history="1">
        <w:r w:rsidRPr="00401D95">
          <w:rPr>
            <w:rStyle w:val="Hyperlink"/>
            <w:kern w:val="32"/>
          </w:rPr>
          <w:t>14.</w:t>
        </w:r>
        <w:r>
          <w:rPr>
            <w:rFonts w:asciiTheme="minorHAnsi" w:eastAsiaTheme="minorEastAsia" w:hAnsiTheme="minorHAnsi" w:cstheme="minorBidi"/>
            <w:sz w:val="22"/>
            <w:szCs w:val="22"/>
            <w:lang w:val="en-GB" w:eastAsia="en-GB" w:bidi="ar-SA"/>
          </w:rPr>
          <w:tab/>
        </w:r>
        <w:r w:rsidRPr="00401D95">
          <w:rPr>
            <w:rStyle w:val="Hyperlink"/>
          </w:rPr>
          <w:t>Kajastamise lõpetamine ja ülekantud finantsvaradega seotud finantskohustused (15)</w:t>
        </w:r>
        <w:r>
          <w:rPr>
            <w:webHidden/>
          </w:rPr>
          <w:tab/>
        </w:r>
        <w:r>
          <w:rPr>
            <w:webHidden/>
          </w:rPr>
          <w:fldChar w:fldCharType="begin"/>
        </w:r>
        <w:r>
          <w:rPr>
            <w:webHidden/>
          </w:rPr>
          <w:instrText xml:space="preserve"> PAGEREF _Toc485887345 \h </w:instrText>
        </w:r>
        <w:r>
          <w:rPr>
            <w:webHidden/>
          </w:rPr>
        </w:r>
        <w:r>
          <w:rPr>
            <w:webHidden/>
          </w:rPr>
          <w:fldChar w:fldCharType="separate"/>
        </w:r>
        <w:r>
          <w:rPr>
            <w:webHidden/>
          </w:rPr>
          <w:t>49</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46" w:history="1">
        <w:r w:rsidRPr="00401D95">
          <w:rPr>
            <w:rStyle w:val="Hyperlink"/>
          </w:rPr>
          <w:t>15.</w:t>
        </w:r>
        <w:r>
          <w:rPr>
            <w:rFonts w:asciiTheme="minorHAnsi" w:eastAsiaTheme="minorEastAsia" w:hAnsiTheme="minorHAnsi" w:cstheme="minorBidi"/>
            <w:sz w:val="22"/>
            <w:szCs w:val="22"/>
            <w:lang w:val="en-GB" w:eastAsia="en-GB" w:bidi="ar-SA"/>
          </w:rPr>
          <w:tab/>
        </w:r>
        <w:r w:rsidRPr="00401D95">
          <w:rPr>
            <w:rStyle w:val="Hyperlink"/>
          </w:rPr>
          <w:t>Kasumiaruande teatavate kirjete jaotus (16)</w:t>
        </w:r>
        <w:r>
          <w:rPr>
            <w:webHidden/>
          </w:rPr>
          <w:tab/>
        </w:r>
        <w:r>
          <w:rPr>
            <w:webHidden/>
          </w:rPr>
          <w:fldChar w:fldCharType="begin"/>
        </w:r>
        <w:r>
          <w:rPr>
            <w:webHidden/>
          </w:rPr>
          <w:instrText xml:space="preserve"> PAGEREF _Toc485887346 \h </w:instrText>
        </w:r>
        <w:r>
          <w:rPr>
            <w:webHidden/>
          </w:rPr>
        </w:r>
        <w:r>
          <w:rPr>
            <w:webHidden/>
          </w:rPr>
          <w:fldChar w:fldCharType="separate"/>
        </w:r>
        <w:r>
          <w:rPr>
            <w:webHidden/>
          </w:rPr>
          <w:t>50</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47" w:history="1">
        <w:r w:rsidRPr="00401D95">
          <w:rPr>
            <w:rStyle w:val="Hyperlink"/>
          </w:rPr>
          <w:t>15.1.</w:t>
        </w:r>
        <w:r>
          <w:rPr>
            <w:rFonts w:asciiTheme="minorHAnsi" w:eastAsiaTheme="minorEastAsia" w:hAnsiTheme="minorHAnsi" w:cstheme="minorBidi"/>
            <w:sz w:val="22"/>
            <w:szCs w:val="22"/>
            <w:lang w:val="en-GB" w:eastAsia="en-GB" w:bidi="ar-SA"/>
          </w:rPr>
          <w:tab/>
        </w:r>
        <w:r w:rsidRPr="00401D95">
          <w:rPr>
            <w:rStyle w:val="Hyperlink"/>
          </w:rPr>
          <w:t>Intressitulu ja -kulu instrumentide ja vastaspoole sektorite lõikes (16.1)</w:t>
        </w:r>
        <w:r>
          <w:rPr>
            <w:webHidden/>
          </w:rPr>
          <w:tab/>
        </w:r>
        <w:r>
          <w:rPr>
            <w:webHidden/>
          </w:rPr>
          <w:fldChar w:fldCharType="begin"/>
        </w:r>
        <w:r>
          <w:rPr>
            <w:webHidden/>
          </w:rPr>
          <w:instrText xml:space="preserve"> PAGEREF _Toc485887347 \h </w:instrText>
        </w:r>
        <w:r>
          <w:rPr>
            <w:webHidden/>
          </w:rPr>
        </w:r>
        <w:r>
          <w:rPr>
            <w:webHidden/>
          </w:rPr>
          <w:fldChar w:fldCharType="separate"/>
        </w:r>
        <w:r>
          <w:rPr>
            <w:webHidden/>
          </w:rPr>
          <w:t>50</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48" w:history="1">
        <w:r w:rsidRPr="00401D95">
          <w:rPr>
            <w:rStyle w:val="Hyperlink"/>
          </w:rPr>
          <w:t>15.2.</w:t>
        </w:r>
        <w:r>
          <w:rPr>
            <w:rFonts w:asciiTheme="minorHAnsi" w:eastAsiaTheme="minorEastAsia" w:hAnsiTheme="minorHAnsi" w:cstheme="minorBidi"/>
            <w:sz w:val="22"/>
            <w:szCs w:val="22"/>
            <w:lang w:val="en-GB" w:eastAsia="en-GB" w:bidi="ar-SA"/>
          </w:rPr>
          <w:tab/>
        </w:r>
        <w:r w:rsidRPr="00401D95">
          <w:rPr>
            <w:rStyle w:val="Hyperlink"/>
          </w:rPr>
          <w:t>Instrumentide lõikes kasumid või kahjumid, mis on saadud selliste finantsvarade ja -kohustuste kajastamise lõpetamisest, mida ei ole mõõdetud õiglases väärtuses muutustega läbi kasumiaruande (16.2)</w:t>
        </w:r>
        <w:r>
          <w:rPr>
            <w:webHidden/>
          </w:rPr>
          <w:tab/>
        </w:r>
        <w:r>
          <w:rPr>
            <w:webHidden/>
          </w:rPr>
          <w:fldChar w:fldCharType="begin"/>
        </w:r>
        <w:r>
          <w:rPr>
            <w:webHidden/>
          </w:rPr>
          <w:instrText xml:space="preserve"> PAGEREF _Toc485887348 \h </w:instrText>
        </w:r>
        <w:r>
          <w:rPr>
            <w:webHidden/>
          </w:rPr>
        </w:r>
        <w:r>
          <w:rPr>
            <w:webHidden/>
          </w:rPr>
          <w:fldChar w:fldCharType="separate"/>
        </w:r>
        <w:r>
          <w:rPr>
            <w:webHidden/>
          </w:rPr>
          <w:t>51</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49" w:history="1">
        <w:r w:rsidRPr="00401D95">
          <w:rPr>
            <w:rStyle w:val="Hyperlink"/>
          </w:rPr>
          <w:t>15.3.</w:t>
        </w:r>
        <w:r>
          <w:rPr>
            <w:rFonts w:asciiTheme="minorHAnsi" w:eastAsiaTheme="minorEastAsia" w:hAnsiTheme="minorHAnsi" w:cstheme="minorBidi"/>
            <w:sz w:val="22"/>
            <w:szCs w:val="22"/>
            <w:lang w:val="en-GB" w:eastAsia="en-GB" w:bidi="ar-SA"/>
          </w:rPr>
          <w:tab/>
        </w:r>
        <w:r w:rsidRPr="00401D95">
          <w:rPr>
            <w:rStyle w:val="Hyperlink"/>
          </w:rPr>
          <w:t>Kauplemiseks hoitavatest finantsvaradest ja -kohustustest tulenevad kahjumid või kasumid instrumentide kaupa (16.3)</w:t>
        </w:r>
        <w:r>
          <w:rPr>
            <w:webHidden/>
          </w:rPr>
          <w:tab/>
        </w:r>
        <w:r>
          <w:rPr>
            <w:webHidden/>
          </w:rPr>
          <w:fldChar w:fldCharType="begin"/>
        </w:r>
        <w:r>
          <w:rPr>
            <w:webHidden/>
          </w:rPr>
          <w:instrText xml:space="preserve"> PAGEREF _Toc485887349 \h </w:instrText>
        </w:r>
        <w:r>
          <w:rPr>
            <w:webHidden/>
          </w:rPr>
        </w:r>
        <w:r>
          <w:rPr>
            <w:webHidden/>
          </w:rPr>
          <w:fldChar w:fldCharType="separate"/>
        </w:r>
        <w:r>
          <w:rPr>
            <w:webHidden/>
          </w:rPr>
          <w:t>51</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50" w:history="1">
        <w:r w:rsidRPr="00401D95">
          <w:rPr>
            <w:rStyle w:val="Hyperlink"/>
          </w:rPr>
          <w:t>15.4.</w:t>
        </w:r>
        <w:r>
          <w:rPr>
            <w:rFonts w:asciiTheme="minorHAnsi" w:eastAsiaTheme="minorEastAsia" w:hAnsiTheme="minorHAnsi" w:cstheme="minorBidi"/>
            <w:sz w:val="22"/>
            <w:szCs w:val="22"/>
            <w:lang w:val="en-GB" w:eastAsia="en-GB" w:bidi="ar-SA"/>
          </w:rPr>
          <w:tab/>
        </w:r>
        <w:r w:rsidRPr="00401D95">
          <w:rPr>
            <w:rStyle w:val="Hyperlink"/>
          </w:rPr>
          <w:t>Kauplemiseks hoitavatest finantsvaradest ja -kohustustest tulenevad kahjumid või kasumid riskide kaupa (16.4)</w:t>
        </w:r>
        <w:r>
          <w:rPr>
            <w:webHidden/>
          </w:rPr>
          <w:tab/>
        </w:r>
        <w:r>
          <w:rPr>
            <w:webHidden/>
          </w:rPr>
          <w:fldChar w:fldCharType="begin"/>
        </w:r>
        <w:r>
          <w:rPr>
            <w:webHidden/>
          </w:rPr>
          <w:instrText xml:space="preserve"> PAGEREF _Toc485887350 \h </w:instrText>
        </w:r>
        <w:r>
          <w:rPr>
            <w:webHidden/>
          </w:rPr>
        </w:r>
        <w:r>
          <w:rPr>
            <w:webHidden/>
          </w:rPr>
          <w:fldChar w:fldCharType="separate"/>
        </w:r>
        <w:r>
          <w:rPr>
            <w:webHidden/>
          </w:rPr>
          <w:t>52</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51" w:history="1">
        <w:r w:rsidRPr="00401D95">
          <w:rPr>
            <w:rStyle w:val="Hyperlink"/>
          </w:rPr>
          <w:t>15.5.</w:t>
        </w:r>
        <w:r>
          <w:rPr>
            <w:rFonts w:asciiTheme="minorHAnsi" w:eastAsiaTheme="minorEastAsia" w:hAnsiTheme="minorHAnsi" w:cstheme="minorBidi"/>
            <w:sz w:val="22"/>
            <w:szCs w:val="22"/>
            <w:lang w:val="en-GB" w:eastAsia="en-GB" w:bidi="ar-SA"/>
          </w:rPr>
          <w:tab/>
        </w:r>
        <w:r w:rsidRPr="00401D95">
          <w:rPr>
            <w:rStyle w:val="Hyperlink"/>
          </w:rPr>
          <w:t>Kauplemisel mittekasutatavatest kohustuslikult õiglases väärtuses muutustega läbi kasumiaruande kajastatud finantsvaradest tulenev kasum või kahjum instrumentide kaupa (16.4.1)</w:t>
        </w:r>
        <w:r>
          <w:rPr>
            <w:webHidden/>
          </w:rPr>
          <w:tab/>
        </w:r>
        <w:r>
          <w:rPr>
            <w:webHidden/>
          </w:rPr>
          <w:fldChar w:fldCharType="begin"/>
        </w:r>
        <w:r>
          <w:rPr>
            <w:webHidden/>
          </w:rPr>
          <w:instrText xml:space="preserve"> PAGEREF _Toc485887351 \h </w:instrText>
        </w:r>
        <w:r>
          <w:rPr>
            <w:webHidden/>
          </w:rPr>
        </w:r>
        <w:r>
          <w:rPr>
            <w:webHidden/>
          </w:rPr>
          <w:fldChar w:fldCharType="separate"/>
        </w:r>
        <w:r>
          <w:rPr>
            <w:webHidden/>
          </w:rPr>
          <w:t>52</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52" w:history="1">
        <w:r w:rsidRPr="00401D95">
          <w:rPr>
            <w:rStyle w:val="Hyperlink"/>
          </w:rPr>
          <w:t>15.6.</w:t>
        </w:r>
        <w:r>
          <w:rPr>
            <w:rFonts w:asciiTheme="minorHAnsi" w:eastAsiaTheme="minorEastAsia" w:hAnsiTheme="minorHAnsi" w:cstheme="minorBidi"/>
            <w:sz w:val="22"/>
            <w:szCs w:val="22"/>
            <w:lang w:val="en-GB" w:eastAsia="en-GB" w:bidi="ar-SA"/>
          </w:rPr>
          <w:tab/>
        </w:r>
        <w:r w:rsidRPr="00401D95">
          <w:rPr>
            <w:rStyle w:val="Hyperlink"/>
          </w:rPr>
          <w:t>Õiglases väärtuses muutustega läbi kasumiaruande kajastatud finantsvaradest ja -kohustustest tulenev kasum ja kahjum instrumentide kaupa (16.5)</w:t>
        </w:r>
        <w:r>
          <w:rPr>
            <w:webHidden/>
          </w:rPr>
          <w:tab/>
        </w:r>
        <w:r>
          <w:rPr>
            <w:webHidden/>
          </w:rPr>
          <w:fldChar w:fldCharType="begin"/>
        </w:r>
        <w:r>
          <w:rPr>
            <w:webHidden/>
          </w:rPr>
          <w:instrText xml:space="preserve"> PAGEREF _Toc485887352 \h </w:instrText>
        </w:r>
        <w:r>
          <w:rPr>
            <w:webHidden/>
          </w:rPr>
        </w:r>
        <w:r>
          <w:rPr>
            <w:webHidden/>
          </w:rPr>
          <w:fldChar w:fldCharType="separate"/>
        </w:r>
        <w:r>
          <w:rPr>
            <w:webHidden/>
          </w:rPr>
          <w:t>53</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53" w:history="1">
        <w:r w:rsidRPr="00401D95">
          <w:rPr>
            <w:rStyle w:val="Hyperlink"/>
          </w:rPr>
          <w:t>15.7.</w:t>
        </w:r>
        <w:r>
          <w:rPr>
            <w:rFonts w:asciiTheme="minorHAnsi" w:eastAsiaTheme="minorEastAsia" w:hAnsiTheme="minorHAnsi" w:cstheme="minorBidi"/>
            <w:sz w:val="22"/>
            <w:szCs w:val="22"/>
            <w:lang w:val="en-GB" w:eastAsia="en-GB" w:bidi="ar-SA"/>
          </w:rPr>
          <w:tab/>
        </w:r>
        <w:r w:rsidRPr="00401D95">
          <w:rPr>
            <w:rStyle w:val="Hyperlink"/>
          </w:rPr>
          <w:t>Riskimaandamise arvestusest tulenevad kasumid ja kahjumid (16.6)</w:t>
        </w:r>
        <w:r>
          <w:rPr>
            <w:webHidden/>
          </w:rPr>
          <w:tab/>
        </w:r>
        <w:r>
          <w:rPr>
            <w:webHidden/>
          </w:rPr>
          <w:fldChar w:fldCharType="begin"/>
        </w:r>
        <w:r>
          <w:rPr>
            <w:webHidden/>
          </w:rPr>
          <w:instrText xml:space="preserve"> PAGEREF _Toc485887353 \h </w:instrText>
        </w:r>
        <w:r>
          <w:rPr>
            <w:webHidden/>
          </w:rPr>
        </w:r>
        <w:r>
          <w:rPr>
            <w:webHidden/>
          </w:rPr>
          <w:fldChar w:fldCharType="separate"/>
        </w:r>
        <w:r>
          <w:rPr>
            <w:webHidden/>
          </w:rPr>
          <w:t>53</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54" w:history="1">
        <w:r w:rsidRPr="00401D95">
          <w:rPr>
            <w:rStyle w:val="Hyperlink"/>
          </w:rPr>
          <w:t>15.8.</w:t>
        </w:r>
        <w:r>
          <w:rPr>
            <w:rFonts w:asciiTheme="minorHAnsi" w:eastAsiaTheme="minorEastAsia" w:hAnsiTheme="minorHAnsi" w:cstheme="minorBidi"/>
            <w:sz w:val="22"/>
            <w:szCs w:val="22"/>
            <w:lang w:val="en-GB" w:eastAsia="en-GB" w:bidi="ar-SA"/>
          </w:rPr>
          <w:tab/>
        </w:r>
        <w:r w:rsidRPr="00401D95">
          <w:rPr>
            <w:rStyle w:val="Hyperlink"/>
          </w:rPr>
          <w:t>Mittefinantsvarade väärtuse langus (16.7)</w:t>
        </w:r>
        <w:r>
          <w:rPr>
            <w:webHidden/>
          </w:rPr>
          <w:tab/>
        </w:r>
        <w:r>
          <w:rPr>
            <w:webHidden/>
          </w:rPr>
          <w:fldChar w:fldCharType="begin"/>
        </w:r>
        <w:r>
          <w:rPr>
            <w:webHidden/>
          </w:rPr>
          <w:instrText xml:space="preserve"> PAGEREF _Toc485887354 \h </w:instrText>
        </w:r>
        <w:r>
          <w:rPr>
            <w:webHidden/>
          </w:rPr>
        </w:r>
        <w:r>
          <w:rPr>
            <w:webHidden/>
          </w:rPr>
          <w:fldChar w:fldCharType="separate"/>
        </w:r>
        <w:r>
          <w:rPr>
            <w:webHidden/>
          </w:rPr>
          <w:t>54</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55" w:history="1">
        <w:r w:rsidRPr="00401D95">
          <w:rPr>
            <w:rStyle w:val="Hyperlink"/>
          </w:rPr>
          <w:t>16.</w:t>
        </w:r>
        <w:r>
          <w:rPr>
            <w:rFonts w:asciiTheme="minorHAnsi" w:eastAsiaTheme="minorEastAsia" w:hAnsiTheme="minorHAnsi" w:cstheme="minorBidi"/>
            <w:sz w:val="22"/>
            <w:szCs w:val="22"/>
            <w:lang w:val="en-GB" w:eastAsia="en-GB" w:bidi="ar-SA"/>
          </w:rPr>
          <w:tab/>
        </w:r>
        <w:r w:rsidRPr="00401D95">
          <w:rPr>
            <w:rStyle w:val="Hyperlink"/>
          </w:rPr>
          <w:t>Raamatupidamisarvestusekohase ja kapitalinõuete määruse kohase konsolideerimise kooskõlastav võrdlemine (17)</w:t>
        </w:r>
        <w:r>
          <w:rPr>
            <w:webHidden/>
          </w:rPr>
          <w:tab/>
        </w:r>
        <w:r>
          <w:rPr>
            <w:webHidden/>
          </w:rPr>
          <w:fldChar w:fldCharType="begin"/>
        </w:r>
        <w:r>
          <w:rPr>
            <w:webHidden/>
          </w:rPr>
          <w:instrText xml:space="preserve"> PAGEREF _Toc485887355 \h </w:instrText>
        </w:r>
        <w:r>
          <w:rPr>
            <w:webHidden/>
          </w:rPr>
        </w:r>
        <w:r>
          <w:rPr>
            <w:webHidden/>
          </w:rPr>
          <w:fldChar w:fldCharType="separate"/>
        </w:r>
        <w:r>
          <w:rPr>
            <w:webHidden/>
          </w:rPr>
          <w:t>54</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56" w:history="1">
        <w:r w:rsidRPr="00401D95">
          <w:rPr>
            <w:rStyle w:val="Hyperlink"/>
          </w:rPr>
          <w:t>17.</w:t>
        </w:r>
        <w:r>
          <w:rPr>
            <w:rFonts w:asciiTheme="minorHAnsi" w:eastAsiaTheme="minorEastAsia" w:hAnsiTheme="minorHAnsi" w:cstheme="minorBidi"/>
            <w:sz w:val="22"/>
            <w:szCs w:val="22"/>
            <w:lang w:val="en-GB" w:eastAsia="en-GB" w:bidi="ar-SA"/>
          </w:rPr>
          <w:tab/>
        </w:r>
        <w:r w:rsidRPr="00401D95">
          <w:rPr>
            <w:rStyle w:val="Hyperlink"/>
          </w:rPr>
          <w:t>Viivisnõuded (18)</w:t>
        </w:r>
        <w:r>
          <w:rPr>
            <w:webHidden/>
          </w:rPr>
          <w:tab/>
        </w:r>
        <w:r>
          <w:rPr>
            <w:webHidden/>
          </w:rPr>
          <w:fldChar w:fldCharType="begin"/>
        </w:r>
        <w:r>
          <w:rPr>
            <w:webHidden/>
          </w:rPr>
          <w:instrText xml:space="preserve"> PAGEREF _Toc485887356 \h </w:instrText>
        </w:r>
        <w:r>
          <w:rPr>
            <w:webHidden/>
          </w:rPr>
        </w:r>
        <w:r>
          <w:rPr>
            <w:webHidden/>
          </w:rPr>
          <w:fldChar w:fldCharType="separate"/>
        </w:r>
        <w:r>
          <w:rPr>
            <w:webHidden/>
          </w:rPr>
          <w:t>54</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57" w:history="1">
        <w:r w:rsidRPr="00401D95">
          <w:rPr>
            <w:rStyle w:val="Hyperlink"/>
          </w:rPr>
          <w:t>18.</w:t>
        </w:r>
        <w:r>
          <w:rPr>
            <w:rFonts w:asciiTheme="minorHAnsi" w:eastAsiaTheme="minorEastAsia" w:hAnsiTheme="minorHAnsi" w:cstheme="minorBidi"/>
            <w:sz w:val="22"/>
            <w:szCs w:val="22"/>
            <w:lang w:val="en-GB" w:eastAsia="en-GB" w:bidi="ar-SA"/>
          </w:rPr>
          <w:tab/>
        </w:r>
        <w:r w:rsidRPr="00401D95">
          <w:rPr>
            <w:rStyle w:val="Hyperlink"/>
          </w:rPr>
          <w:t>Makseraskuste tõttu restruktureeritud nõuded (19)</w:t>
        </w:r>
        <w:r>
          <w:rPr>
            <w:webHidden/>
          </w:rPr>
          <w:tab/>
        </w:r>
        <w:r>
          <w:rPr>
            <w:webHidden/>
          </w:rPr>
          <w:fldChar w:fldCharType="begin"/>
        </w:r>
        <w:r>
          <w:rPr>
            <w:webHidden/>
          </w:rPr>
          <w:instrText xml:space="preserve"> PAGEREF _Toc485887357 \h </w:instrText>
        </w:r>
        <w:r>
          <w:rPr>
            <w:webHidden/>
          </w:rPr>
        </w:r>
        <w:r>
          <w:rPr>
            <w:webHidden/>
          </w:rPr>
          <w:fldChar w:fldCharType="separate"/>
        </w:r>
        <w:r>
          <w:rPr>
            <w:webHidden/>
          </w:rPr>
          <w:t>60</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58" w:history="1">
        <w:r w:rsidRPr="00401D95">
          <w:rPr>
            <w:rStyle w:val="Hyperlink"/>
          </w:rPr>
          <w:t>19.</w:t>
        </w:r>
        <w:r>
          <w:rPr>
            <w:rFonts w:asciiTheme="minorHAnsi" w:eastAsiaTheme="minorEastAsia" w:hAnsiTheme="minorHAnsi" w:cstheme="minorBidi"/>
            <w:sz w:val="22"/>
            <w:szCs w:val="22"/>
            <w:lang w:val="en-GB" w:eastAsia="en-GB" w:bidi="ar-SA"/>
          </w:rPr>
          <w:tab/>
        </w:r>
        <w:r w:rsidRPr="00401D95">
          <w:rPr>
            <w:rStyle w:val="Hyperlink"/>
          </w:rPr>
          <w:t>Geograafiline jaotus (20)</w:t>
        </w:r>
        <w:r>
          <w:rPr>
            <w:webHidden/>
          </w:rPr>
          <w:tab/>
        </w:r>
        <w:r>
          <w:rPr>
            <w:webHidden/>
          </w:rPr>
          <w:fldChar w:fldCharType="begin"/>
        </w:r>
        <w:r>
          <w:rPr>
            <w:webHidden/>
          </w:rPr>
          <w:instrText xml:space="preserve"> PAGEREF _Toc485887358 \h </w:instrText>
        </w:r>
        <w:r>
          <w:rPr>
            <w:webHidden/>
          </w:rPr>
        </w:r>
        <w:r>
          <w:rPr>
            <w:webHidden/>
          </w:rPr>
          <w:fldChar w:fldCharType="separate"/>
        </w:r>
        <w:r>
          <w:rPr>
            <w:webHidden/>
          </w:rPr>
          <w:t>65</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59" w:history="1">
        <w:r w:rsidRPr="00401D95">
          <w:rPr>
            <w:rStyle w:val="Hyperlink"/>
          </w:rPr>
          <w:t>19.1.</w:t>
        </w:r>
        <w:r>
          <w:rPr>
            <w:rFonts w:asciiTheme="minorHAnsi" w:eastAsiaTheme="minorEastAsia" w:hAnsiTheme="minorHAnsi" w:cstheme="minorBidi"/>
            <w:sz w:val="22"/>
            <w:szCs w:val="22"/>
            <w:lang w:val="en-GB" w:eastAsia="en-GB" w:bidi="ar-SA"/>
          </w:rPr>
          <w:tab/>
        </w:r>
        <w:r w:rsidRPr="00401D95">
          <w:rPr>
            <w:rStyle w:val="Hyperlink"/>
          </w:rPr>
          <w:t>Geograafiline jaotus tegevuse asukoha alusel (20.1–20.3)</w:t>
        </w:r>
        <w:r>
          <w:rPr>
            <w:webHidden/>
          </w:rPr>
          <w:tab/>
        </w:r>
        <w:r>
          <w:rPr>
            <w:webHidden/>
          </w:rPr>
          <w:fldChar w:fldCharType="begin"/>
        </w:r>
        <w:r>
          <w:rPr>
            <w:webHidden/>
          </w:rPr>
          <w:instrText xml:space="preserve"> PAGEREF _Toc485887359 \h </w:instrText>
        </w:r>
        <w:r>
          <w:rPr>
            <w:webHidden/>
          </w:rPr>
        </w:r>
        <w:r>
          <w:rPr>
            <w:webHidden/>
          </w:rPr>
          <w:fldChar w:fldCharType="separate"/>
        </w:r>
        <w:r>
          <w:rPr>
            <w:webHidden/>
          </w:rPr>
          <w:t>65</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60" w:history="1">
        <w:r w:rsidRPr="00401D95">
          <w:rPr>
            <w:rStyle w:val="Hyperlink"/>
          </w:rPr>
          <w:t>19.2.</w:t>
        </w:r>
        <w:r>
          <w:rPr>
            <w:rFonts w:asciiTheme="minorHAnsi" w:eastAsiaTheme="minorEastAsia" w:hAnsiTheme="minorHAnsi" w:cstheme="minorBidi"/>
            <w:sz w:val="22"/>
            <w:szCs w:val="22"/>
            <w:lang w:val="en-GB" w:eastAsia="en-GB" w:bidi="ar-SA"/>
          </w:rPr>
          <w:tab/>
        </w:r>
        <w:r w:rsidRPr="00401D95">
          <w:rPr>
            <w:rStyle w:val="Hyperlink"/>
          </w:rPr>
          <w:t>Geograafiline jaotus vastaspoole residentsuse alusel (20.4–20.7)</w:t>
        </w:r>
        <w:r>
          <w:rPr>
            <w:webHidden/>
          </w:rPr>
          <w:tab/>
        </w:r>
        <w:r>
          <w:rPr>
            <w:webHidden/>
          </w:rPr>
          <w:fldChar w:fldCharType="begin"/>
        </w:r>
        <w:r>
          <w:rPr>
            <w:webHidden/>
          </w:rPr>
          <w:instrText xml:space="preserve"> PAGEREF _Toc485887360 \h </w:instrText>
        </w:r>
        <w:r>
          <w:rPr>
            <w:webHidden/>
          </w:rPr>
        </w:r>
        <w:r>
          <w:rPr>
            <w:webHidden/>
          </w:rPr>
          <w:fldChar w:fldCharType="separate"/>
        </w:r>
        <w:r>
          <w:rPr>
            <w:webHidden/>
          </w:rPr>
          <w:t>65</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61" w:history="1">
        <w:r w:rsidRPr="00401D95">
          <w:rPr>
            <w:rStyle w:val="Hyperlink"/>
          </w:rPr>
          <w:t>20.</w:t>
        </w:r>
        <w:r>
          <w:rPr>
            <w:rFonts w:asciiTheme="minorHAnsi" w:eastAsiaTheme="minorEastAsia" w:hAnsiTheme="minorHAnsi" w:cstheme="minorBidi"/>
            <w:sz w:val="22"/>
            <w:szCs w:val="22"/>
            <w:lang w:val="en-GB" w:eastAsia="en-GB" w:bidi="ar-SA"/>
          </w:rPr>
          <w:tab/>
        </w:r>
        <w:r w:rsidRPr="00401D95">
          <w:rPr>
            <w:rStyle w:val="Hyperlink"/>
          </w:rPr>
          <w:t>Materiaalne ja immateriaalne vara: kasutusrendil olevad varad (21)</w:t>
        </w:r>
        <w:r>
          <w:rPr>
            <w:webHidden/>
          </w:rPr>
          <w:tab/>
        </w:r>
        <w:r>
          <w:rPr>
            <w:webHidden/>
          </w:rPr>
          <w:fldChar w:fldCharType="begin"/>
        </w:r>
        <w:r>
          <w:rPr>
            <w:webHidden/>
          </w:rPr>
          <w:instrText xml:space="preserve"> PAGEREF _Toc485887361 \h </w:instrText>
        </w:r>
        <w:r>
          <w:rPr>
            <w:webHidden/>
          </w:rPr>
        </w:r>
        <w:r>
          <w:rPr>
            <w:webHidden/>
          </w:rPr>
          <w:fldChar w:fldCharType="separate"/>
        </w:r>
        <w:r>
          <w:rPr>
            <w:webHidden/>
          </w:rPr>
          <w:t>66</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62" w:history="1">
        <w:r w:rsidRPr="00401D95">
          <w:rPr>
            <w:rStyle w:val="Hyperlink"/>
          </w:rPr>
          <w:t>21.</w:t>
        </w:r>
        <w:r>
          <w:rPr>
            <w:rFonts w:asciiTheme="minorHAnsi" w:eastAsiaTheme="minorEastAsia" w:hAnsiTheme="minorHAnsi" w:cstheme="minorBidi"/>
            <w:sz w:val="22"/>
            <w:szCs w:val="22"/>
            <w:lang w:val="en-GB" w:eastAsia="en-GB" w:bidi="ar-SA"/>
          </w:rPr>
          <w:tab/>
        </w:r>
        <w:r w:rsidRPr="00401D95">
          <w:rPr>
            <w:rStyle w:val="Hyperlink"/>
          </w:rPr>
          <w:t>Varade valitsemine, hoidmine ja muud teenuste osutamise funktsioonid (22)</w:t>
        </w:r>
        <w:r>
          <w:rPr>
            <w:webHidden/>
          </w:rPr>
          <w:tab/>
        </w:r>
        <w:r>
          <w:rPr>
            <w:webHidden/>
          </w:rPr>
          <w:fldChar w:fldCharType="begin"/>
        </w:r>
        <w:r>
          <w:rPr>
            <w:webHidden/>
          </w:rPr>
          <w:instrText xml:space="preserve"> PAGEREF _Toc485887362 \h </w:instrText>
        </w:r>
        <w:r>
          <w:rPr>
            <w:webHidden/>
          </w:rPr>
        </w:r>
        <w:r>
          <w:rPr>
            <w:webHidden/>
          </w:rPr>
          <w:fldChar w:fldCharType="separate"/>
        </w:r>
        <w:r>
          <w:rPr>
            <w:webHidden/>
          </w:rPr>
          <w:t>66</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63" w:history="1">
        <w:r w:rsidRPr="00401D95">
          <w:rPr>
            <w:rStyle w:val="Hyperlink"/>
          </w:rPr>
          <w:t>21.1.</w:t>
        </w:r>
        <w:r>
          <w:rPr>
            <w:rFonts w:asciiTheme="minorHAnsi" w:eastAsiaTheme="minorEastAsia" w:hAnsiTheme="minorHAnsi" w:cstheme="minorBidi"/>
            <w:sz w:val="22"/>
            <w:szCs w:val="22"/>
            <w:lang w:val="en-GB" w:eastAsia="en-GB" w:bidi="ar-SA"/>
          </w:rPr>
          <w:tab/>
        </w:r>
        <w:r w:rsidRPr="00401D95">
          <w:rPr>
            <w:rStyle w:val="Hyperlink"/>
          </w:rPr>
          <w:t>Teenus- ja vahendustasude tulud ja kulud tegevuste kaupa (22.1)</w:t>
        </w:r>
        <w:r>
          <w:rPr>
            <w:webHidden/>
          </w:rPr>
          <w:tab/>
        </w:r>
        <w:r>
          <w:rPr>
            <w:webHidden/>
          </w:rPr>
          <w:fldChar w:fldCharType="begin"/>
        </w:r>
        <w:r>
          <w:rPr>
            <w:webHidden/>
          </w:rPr>
          <w:instrText xml:space="preserve"> PAGEREF _Toc485887363 \h </w:instrText>
        </w:r>
        <w:r>
          <w:rPr>
            <w:webHidden/>
          </w:rPr>
        </w:r>
        <w:r>
          <w:rPr>
            <w:webHidden/>
          </w:rPr>
          <w:fldChar w:fldCharType="separate"/>
        </w:r>
        <w:r>
          <w:rPr>
            <w:webHidden/>
          </w:rPr>
          <w:t>66</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64" w:history="1">
        <w:r w:rsidRPr="00401D95">
          <w:rPr>
            <w:rStyle w:val="Hyperlink"/>
          </w:rPr>
          <w:t>21.2.</w:t>
        </w:r>
        <w:r>
          <w:rPr>
            <w:rFonts w:asciiTheme="minorHAnsi" w:eastAsiaTheme="minorEastAsia" w:hAnsiTheme="minorHAnsi" w:cstheme="minorBidi"/>
            <w:sz w:val="22"/>
            <w:szCs w:val="22"/>
            <w:lang w:val="en-GB" w:eastAsia="en-GB" w:bidi="ar-SA"/>
          </w:rPr>
          <w:tab/>
        </w:r>
        <w:r w:rsidRPr="00401D95">
          <w:rPr>
            <w:rStyle w:val="Hyperlink"/>
          </w:rPr>
          <w:t>Osutatud teenustega seotud varad (22.2)</w:t>
        </w:r>
        <w:r>
          <w:rPr>
            <w:webHidden/>
          </w:rPr>
          <w:tab/>
        </w:r>
        <w:r>
          <w:rPr>
            <w:webHidden/>
          </w:rPr>
          <w:fldChar w:fldCharType="begin"/>
        </w:r>
        <w:r>
          <w:rPr>
            <w:webHidden/>
          </w:rPr>
          <w:instrText xml:space="preserve"> PAGEREF _Toc485887364 \h </w:instrText>
        </w:r>
        <w:r>
          <w:rPr>
            <w:webHidden/>
          </w:rPr>
        </w:r>
        <w:r>
          <w:rPr>
            <w:webHidden/>
          </w:rPr>
          <w:fldChar w:fldCharType="separate"/>
        </w:r>
        <w:r>
          <w:rPr>
            <w:webHidden/>
          </w:rPr>
          <w:t>68</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65" w:history="1">
        <w:r w:rsidRPr="00401D95">
          <w:rPr>
            <w:rStyle w:val="Hyperlink"/>
          </w:rPr>
          <w:t>22.</w:t>
        </w:r>
        <w:r>
          <w:rPr>
            <w:rFonts w:asciiTheme="minorHAnsi" w:eastAsiaTheme="minorEastAsia" w:hAnsiTheme="minorHAnsi" w:cstheme="minorBidi"/>
            <w:sz w:val="22"/>
            <w:szCs w:val="22"/>
            <w:lang w:val="en-GB" w:eastAsia="en-GB" w:bidi="ar-SA"/>
          </w:rPr>
          <w:tab/>
        </w:r>
        <w:r w:rsidRPr="00401D95">
          <w:rPr>
            <w:rStyle w:val="Hyperlink"/>
          </w:rPr>
          <w:t>Osalused konsolideerimata struktureeritud üksustes (30)</w:t>
        </w:r>
        <w:r>
          <w:rPr>
            <w:webHidden/>
          </w:rPr>
          <w:tab/>
        </w:r>
        <w:r>
          <w:rPr>
            <w:webHidden/>
          </w:rPr>
          <w:fldChar w:fldCharType="begin"/>
        </w:r>
        <w:r>
          <w:rPr>
            <w:webHidden/>
          </w:rPr>
          <w:instrText xml:space="preserve"> PAGEREF _Toc485887365 \h </w:instrText>
        </w:r>
        <w:r>
          <w:rPr>
            <w:webHidden/>
          </w:rPr>
        </w:r>
        <w:r>
          <w:rPr>
            <w:webHidden/>
          </w:rPr>
          <w:fldChar w:fldCharType="separate"/>
        </w:r>
        <w:r>
          <w:rPr>
            <w:webHidden/>
          </w:rPr>
          <w:t>69</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66" w:history="1">
        <w:r w:rsidRPr="00401D95">
          <w:rPr>
            <w:rStyle w:val="Hyperlink"/>
          </w:rPr>
          <w:t>23.</w:t>
        </w:r>
        <w:r>
          <w:rPr>
            <w:rFonts w:asciiTheme="minorHAnsi" w:eastAsiaTheme="minorEastAsia" w:hAnsiTheme="minorHAnsi" w:cstheme="minorBidi"/>
            <w:sz w:val="22"/>
            <w:szCs w:val="22"/>
            <w:lang w:val="en-GB" w:eastAsia="en-GB" w:bidi="ar-SA"/>
          </w:rPr>
          <w:tab/>
        </w:r>
        <w:r w:rsidRPr="00401D95">
          <w:rPr>
            <w:rStyle w:val="Hyperlink"/>
          </w:rPr>
          <w:t>Seotud osapooled (31)</w:t>
        </w:r>
        <w:r>
          <w:rPr>
            <w:webHidden/>
          </w:rPr>
          <w:tab/>
        </w:r>
        <w:r>
          <w:rPr>
            <w:webHidden/>
          </w:rPr>
          <w:fldChar w:fldCharType="begin"/>
        </w:r>
        <w:r>
          <w:rPr>
            <w:webHidden/>
          </w:rPr>
          <w:instrText xml:space="preserve"> PAGEREF _Toc485887366 \h </w:instrText>
        </w:r>
        <w:r>
          <w:rPr>
            <w:webHidden/>
          </w:rPr>
        </w:r>
        <w:r>
          <w:rPr>
            <w:webHidden/>
          </w:rPr>
          <w:fldChar w:fldCharType="separate"/>
        </w:r>
        <w:r>
          <w:rPr>
            <w:webHidden/>
          </w:rPr>
          <w:t>70</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67" w:history="1">
        <w:r w:rsidRPr="00401D95">
          <w:rPr>
            <w:rStyle w:val="Hyperlink"/>
          </w:rPr>
          <w:t>23.1.</w:t>
        </w:r>
        <w:r>
          <w:rPr>
            <w:rFonts w:asciiTheme="minorHAnsi" w:eastAsiaTheme="minorEastAsia" w:hAnsiTheme="minorHAnsi" w:cstheme="minorBidi"/>
            <w:sz w:val="22"/>
            <w:szCs w:val="22"/>
            <w:lang w:val="en-GB" w:eastAsia="en-GB" w:bidi="ar-SA"/>
          </w:rPr>
          <w:tab/>
        </w:r>
        <w:r w:rsidRPr="00401D95">
          <w:rPr>
            <w:rStyle w:val="Hyperlink"/>
          </w:rPr>
          <w:t>Seotud osapooled: neile tasumisele kuuluvad ja neilt saadaolevad summad (31.1)</w:t>
        </w:r>
        <w:r>
          <w:rPr>
            <w:webHidden/>
          </w:rPr>
          <w:tab/>
        </w:r>
        <w:r>
          <w:rPr>
            <w:webHidden/>
          </w:rPr>
          <w:fldChar w:fldCharType="begin"/>
        </w:r>
        <w:r>
          <w:rPr>
            <w:webHidden/>
          </w:rPr>
          <w:instrText xml:space="preserve"> PAGEREF _Toc485887367 \h </w:instrText>
        </w:r>
        <w:r>
          <w:rPr>
            <w:webHidden/>
          </w:rPr>
        </w:r>
        <w:r>
          <w:rPr>
            <w:webHidden/>
          </w:rPr>
          <w:fldChar w:fldCharType="separate"/>
        </w:r>
        <w:r>
          <w:rPr>
            <w:webHidden/>
          </w:rPr>
          <w:t>70</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68" w:history="1">
        <w:r w:rsidRPr="00401D95">
          <w:rPr>
            <w:rStyle w:val="Hyperlink"/>
          </w:rPr>
          <w:t>23.2.</w:t>
        </w:r>
        <w:r>
          <w:rPr>
            <w:rFonts w:asciiTheme="minorHAnsi" w:eastAsiaTheme="minorEastAsia" w:hAnsiTheme="minorHAnsi" w:cstheme="minorBidi"/>
            <w:sz w:val="22"/>
            <w:szCs w:val="22"/>
            <w:lang w:val="en-GB" w:eastAsia="en-GB" w:bidi="ar-SA"/>
          </w:rPr>
          <w:tab/>
        </w:r>
        <w:r w:rsidRPr="00401D95">
          <w:rPr>
            <w:rStyle w:val="Hyperlink"/>
          </w:rPr>
          <w:t>Seotud osapooled: kulud ja tulud, mis tulenevad tehingutest seotud osapooltega (31.2)</w:t>
        </w:r>
        <w:r>
          <w:rPr>
            <w:webHidden/>
          </w:rPr>
          <w:tab/>
        </w:r>
        <w:r>
          <w:rPr>
            <w:webHidden/>
          </w:rPr>
          <w:fldChar w:fldCharType="begin"/>
        </w:r>
        <w:r>
          <w:rPr>
            <w:webHidden/>
          </w:rPr>
          <w:instrText xml:space="preserve"> PAGEREF _Toc485887368 \h </w:instrText>
        </w:r>
        <w:r>
          <w:rPr>
            <w:webHidden/>
          </w:rPr>
        </w:r>
        <w:r>
          <w:rPr>
            <w:webHidden/>
          </w:rPr>
          <w:fldChar w:fldCharType="separate"/>
        </w:r>
        <w:r>
          <w:rPr>
            <w:webHidden/>
          </w:rPr>
          <w:t>70</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69" w:history="1">
        <w:r w:rsidRPr="00401D95">
          <w:rPr>
            <w:rStyle w:val="Hyperlink"/>
          </w:rPr>
          <w:t>24.</w:t>
        </w:r>
        <w:r>
          <w:rPr>
            <w:rFonts w:asciiTheme="minorHAnsi" w:eastAsiaTheme="minorEastAsia" w:hAnsiTheme="minorHAnsi" w:cstheme="minorBidi"/>
            <w:sz w:val="22"/>
            <w:szCs w:val="22"/>
            <w:lang w:val="en-GB" w:eastAsia="en-GB" w:bidi="ar-SA"/>
          </w:rPr>
          <w:tab/>
        </w:r>
        <w:r w:rsidRPr="00401D95">
          <w:rPr>
            <w:rStyle w:val="Hyperlink"/>
          </w:rPr>
          <w:t>Konsolideerimisgrupi struktuur (40)</w:t>
        </w:r>
        <w:r>
          <w:rPr>
            <w:webHidden/>
          </w:rPr>
          <w:tab/>
        </w:r>
        <w:r>
          <w:rPr>
            <w:webHidden/>
          </w:rPr>
          <w:fldChar w:fldCharType="begin"/>
        </w:r>
        <w:r>
          <w:rPr>
            <w:webHidden/>
          </w:rPr>
          <w:instrText xml:space="preserve"> PAGEREF _Toc485887369 \h </w:instrText>
        </w:r>
        <w:r>
          <w:rPr>
            <w:webHidden/>
          </w:rPr>
        </w:r>
        <w:r>
          <w:rPr>
            <w:webHidden/>
          </w:rPr>
          <w:fldChar w:fldCharType="separate"/>
        </w:r>
        <w:r>
          <w:rPr>
            <w:webHidden/>
          </w:rPr>
          <w:t>71</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70" w:history="1">
        <w:r w:rsidRPr="00401D95">
          <w:rPr>
            <w:rStyle w:val="Hyperlink"/>
          </w:rPr>
          <w:t>24.1.</w:t>
        </w:r>
        <w:r>
          <w:rPr>
            <w:rFonts w:asciiTheme="minorHAnsi" w:eastAsiaTheme="minorEastAsia" w:hAnsiTheme="minorHAnsi" w:cstheme="minorBidi"/>
            <w:sz w:val="22"/>
            <w:szCs w:val="22"/>
            <w:lang w:val="en-GB" w:eastAsia="en-GB" w:bidi="ar-SA"/>
          </w:rPr>
          <w:tab/>
        </w:r>
        <w:r w:rsidRPr="00401D95">
          <w:rPr>
            <w:rStyle w:val="Hyperlink"/>
          </w:rPr>
          <w:t>Konsolideerimisgrupi struktuur: üksuste kaupa (40.1)</w:t>
        </w:r>
        <w:r>
          <w:rPr>
            <w:webHidden/>
          </w:rPr>
          <w:tab/>
        </w:r>
        <w:r>
          <w:rPr>
            <w:webHidden/>
          </w:rPr>
          <w:fldChar w:fldCharType="begin"/>
        </w:r>
        <w:r>
          <w:rPr>
            <w:webHidden/>
          </w:rPr>
          <w:instrText xml:space="preserve"> PAGEREF _Toc485887370 \h </w:instrText>
        </w:r>
        <w:r>
          <w:rPr>
            <w:webHidden/>
          </w:rPr>
        </w:r>
        <w:r>
          <w:rPr>
            <w:webHidden/>
          </w:rPr>
          <w:fldChar w:fldCharType="separate"/>
        </w:r>
        <w:r>
          <w:rPr>
            <w:webHidden/>
          </w:rPr>
          <w:t>71</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71" w:history="1">
        <w:r w:rsidRPr="00401D95">
          <w:rPr>
            <w:rStyle w:val="Hyperlink"/>
          </w:rPr>
          <w:t>24.2.</w:t>
        </w:r>
        <w:r>
          <w:rPr>
            <w:rFonts w:asciiTheme="minorHAnsi" w:eastAsiaTheme="minorEastAsia" w:hAnsiTheme="minorHAnsi" w:cstheme="minorBidi"/>
            <w:sz w:val="22"/>
            <w:szCs w:val="22"/>
            <w:lang w:val="en-GB" w:eastAsia="en-GB" w:bidi="ar-SA"/>
          </w:rPr>
          <w:tab/>
        </w:r>
        <w:r w:rsidRPr="00401D95">
          <w:rPr>
            <w:rStyle w:val="Hyperlink"/>
          </w:rPr>
          <w:t>Konsolideerimisgrupi struktuur: instrumentide kaupa (40.2)</w:t>
        </w:r>
        <w:r>
          <w:rPr>
            <w:webHidden/>
          </w:rPr>
          <w:tab/>
        </w:r>
        <w:r>
          <w:rPr>
            <w:webHidden/>
          </w:rPr>
          <w:fldChar w:fldCharType="begin"/>
        </w:r>
        <w:r>
          <w:rPr>
            <w:webHidden/>
          </w:rPr>
          <w:instrText xml:space="preserve"> PAGEREF _Toc485887371 \h </w:instrText>
        </w:r>
        <w:r>
          <w:rPr>
            <w:webHidden/>
          </w:rPr>
        </w:r>
        <w:r>
          <w:rPr>
            <w:webHidden/>
          </w:rPr>
          <w:fldChar w:fldCharType="separate"/>
        </w:r>
        <w:r>
          <w:rPr>
            <w:webHidden/>
          </w:rPr>
          <w:t>73</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72" w:history="1">
        <w:r w:rsidRPr="00401D95">
          <w:rPr>
            <w:rStyle w:val="Hyperlink"/>
          </w:rPr>
          <w:t>25.</w:t>
        </w:r>
        <w:r>
          <w:rPr>
            <w:rFonts w:asciiTheme="minorHAnsi" w:eastAsiaTheme="minorEastAsia" w:hAnsiTheme="minorHAnsi" w:cstheme="minorBidi"/>
            <w:sz w:val="22"/>
            <w:szCs w:val="22"/>
            <w:lang w:val="en-GB" w:eastAsia="en-GB" w:bidi="ar-SA"/>
          </w:rPr>
          <w:tab/>
        </w:r>
        <w:r w:rsidRPr="00401D95">
          <w:rPr>
            <w:rStyle w:val="Hyperlink"/>
          </w:rPr>
          <w:t>Õiglane väärtus (41)</w:t>
        </w:r>
        <w:r>
          <w:rPr>
            <w:webHidden/>
          </w:rPr>
          <w:tab/>
        </w:r>
        <w:r>
          <w:rPr>
            <w:webHidden/>
          </w:rPr>
          <w:fldChar w:fldCharType="begin"/>
        </w:r>
        <w:r>
          <w:rPr>
            <w:webHidden/>
          </w:rPr>
          <w:instrText xml:space="preserve"> PAGEREF _Toc485887372 \h </w:instrText>
        </w:r>
        <w:r>
          <w:rPr>
            <w:webHidden/>
          </w:rPr>
        </w:r>
        <w:r>
          <w:rPr>
            <w:webHidden/>
          </w:rPr>
          <w:fldChar w:fldCharType="separate"/>
        </w:r>
        <w:r>
          <w:rPr>
            <w:webHidden/>
          </w:rPr>
          <w:t>73</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73" w:history="1">
        <w:r w:rsidRPr="00401D95">
          <w:rPr>
            <w:rStyle w:val="Hyperlink"/>
          </w:rPr>
          <w:t>25.1.</w:t>
        </w:r>
        <w:r>
          <w:rPr>
            <w:rFonts w:asciiTheme="minorHAnsi" w:eastAsiaTheme="minorEastAsia" w:hAnsiTheme="minorHAnsi" w:cstheme="minorBidi"/>
            <w:sz w:val="22"/>
            <w:szCs w:val="22"/>
            <w:lang w:val="en-GB" w:eastAsia="en-GB" w:bidi="ar-SA"/>
          </w:rPr>
          <w:tab/>
        </w:r>
        <w:r w:rsidRPr="00401D95">
          <w:rPr>
            <w:rStyle w:val="Hyperlink"/>
          </w:rPr>
          <w:t>Õiglase väärtuse hierarhia: amortiseeritud soetusmaksumuses mõõdetud finantsinstrumendid (41.1)</w:t>
        </w:r>
        <w:r>
          <w:rPr>
            <w:webHidden/>
          </w:rPr>
          <w:tab/>
        </w:r>
        <w:r>
          <w:rPr>
            <w:webHidden/>
          </w:rPr>
          <w:fldChar w:fldCharType="begin"/>
        </w:r>
        <w:r>
          <w:rPr>
            <w:webHidden/>
          </w:rPr>
          <w:instrText xml:space="preserve"> PAGEREF _Toc485887373 \h </w:instrText>
        </w:r>
        <w:r>
          <w:rPr>
            <w:webHidden/>
          </w:rPr>
        </w:r>
        <w:r>
          <w:rPr>
            <w:webHidden/>
          </w:rPr>
          <w:fldChar w:fldCharType="separate"/>
        </w:r>
        <w:r>
          <w:rPr>
            <w:webHidden/>
          </w:rPr>
          <w:t>73</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74" w:history="1">
        <w:r w:rsidRPr="00401D95">
          <w:rPr>
            <w:rStyle w:val="Hyperlink"/>
          </w:rPr>
          <w:t>25.2.</w:t>
        </w:r>
        <w:r>
          <w:rPr>
            <w:rFonts w:asciiTheme="minorHAnsi" w:eastAsiaTheme="minorEastAsia" w:hAnsiTheme="minorHAnsi" w:cstheme="minorBidi"/>
            <w:sz w:val="22"/>
            <w:szCs w:val="22"/>
            <w:lang w:val="en-GB" w:eastAsia="en-GB" w:bidi="ar-SA"/>
          </w:rPr>
          <w:tab/>
        </w:r>
        <w:r w:rsidRPr="00401D95">
          <w:rPr>
            <w:rStyle w:val="Hyperlink"/>
          </w:rPr>
          <w:t>Õiglase väärtuse võimaluse kasutamine (41.2)</w:t>
        </w:r>
        <w:r>
          <w:rPr>
            <w:webHidden/>
          </w:rPr>
          <w:tab/>
        </w:r>
        <w:r>
          <w:rPr>
            <w:webHidden/>
          </w:rPr>
          <w:fldChar w:fldCharType="begin"/>
        </w:r>
        <w:r>
          <w:rPr>
            <w:webHidden/>
          </w:rPr>
          <w:instrText xml:space="preserve"> PAGEREF _Toc485887374 \h </w:instrText>
        </w:r>
        <w:r>
          <w:rPr>
            <w:webHidden/>
          </w:rPr>
        </w:r>
        <w:r>
          <w:rPr>
            <w:webHidden/>
          </w:rPr>
          <w:fldChar w:fldCharType="separate"/>
        </w:r>
        <w:r>
          <w:rPr>
            <w:webHidden/>
          </w:rPr>
          <w:t>73</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75" w:history="1">
        <w:r w:rsidRPr="00401D95">
          <w:rPr>
            <w:rStyle w:val="Hyperlink"/>
          </w:rPr>
          <w:t>26.</w:t>
        </w:r>
        <w:r>
          <w:rPr>
            <w:rFonts w:asciiTheme="minorHAnsi" w:eastAsiaTheme="minorEastAsia" w:hAnsiTheme="minorHAnsi" w:cstheme="minorBidi"/>
            <w:sz w:val="22"/>
            <w:szCs w:val="22"/>
            <w:lang w:val="en-GB" w:eastAsia="en-GB" w:bidi="ar-SA"/>
          </w:rPr>
          <w:tab/>
        </w:r>
        <w:r w:rsidRPr="00401D95">
          <w:rPr>
            <w:rStyle w:val="Hyperlink"/>
          </w:rPr>
          <w:t>Materiaalne ja immateriaalne vara: bilansiline väärtus mõõtmismeetodi alusel (42)</w:t>
        </w:r>
        <w:r>
          <w:rPr>
            <w:webHidden/>
          </w:rPr>
          <w:tab/>
        </w:r>
        <w:r>
          <w:rPr>
            <w:webHidden/>
          </w:rPr>
          <w:fldChar w:fldCharType="begin"/>
        </w:r>
        <w:r>
          <w:rPr>
            <w:webHidden/>
          </w:rPr>
          <w:instrText xml:space="preserve"> PAGEREF _Toc485887375 \h </w:instrText>
        </w:r>
        <w:r>
          <w:rPr>
            <w:webHidden/>
          </w:rPr>
        </w:r>
        <w:r>
          <w:rPr>
            <w:webHidden/>
          </w:rPr>
          <w:fldChar w:fldCharType="separate"/>
        </w:r>
        <w:r>
          <w:rPr>
            <w:webHidden/>
          </w:rPr>
          <w:t>74</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76" w:history="1">
        <w:r w:rsidRPr="00401D95">
          <w:rPr>
            <w:rStyle w:val="Hyperlink"/>
          </w:rPr>
          <w:t>27.</w:t>
        </w:r>
        <w:r>
          <w:rPr>
            <w:rFonts w:asciiTheme="minorHAnsi" w:eastAsiaTheme="minorEastAsia" w:hAnsiTheme="minorHAnsi" w:cstheme="minorBidi"/>
            <w:sz w:val="22"/>
            <w:szCs w:val="22"/>
            <w:lang w:val="en-GB" w:eastAsia="en-GB" w:bidi="ar-SA"/>
          </w:rPr>
          <w:tab/>
        </w:r>
        <w:r w:rsidRPr="00401D95">
          <w:rPr>
            <w:rStyle w:val="Hyperlink"/>
          </w:rPr>
          <w:t>Eraldised (43)</w:t>
        </w:r>
        <w:r>
          <w:rPr>
            <w:webHidden/>
          </w:rPr>
          <w:tab/>
        </w:r>
        <w:r>
          <w:rPr>
            <w:webHidden/>
          </w:rPr>
          <w:fldChar w:fldCharType="begin"/>
        </w:r>
        <w:r>
          <w:rPr>
            <w:webHidden/>
          </w:rPr>
          <w:instrText xml:space="preserve"> PAGEREF _Toc485887376 \h </w:instrText>
        </w:r>
        <w:r>
          <w:rPr>
            <w:webHidden/>
          </w:rPr>
        </w:r>
        <w:r>
          <w:rPr>
            <w:webHidden/>
          </w:rPr>
          <w:fldChar w:fldCharType="separate"/>
        </w:r>
        <w:r>
          <w:rPr>
            <w:webHidden/>
          </w:rPr>
          <w:t>74</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77" w:history="1">
        <w:r w:rsidRPr="00401D95">
          <w:rPr>
            <w:rStyle w:val="Hyperlink"/>
          </w:rPr>
          <w:t>28.</w:t>
        </w:r>
        <w:r>
          <w:rPr>
            <w:rFonts w:asciiTheme="minorHAnsi" w:eastAsiaTheme="minorEastAsia" w:hAnsiTheme="minorHAnsi" w:cstheme="minorBidi"/>
            <w:sz w:val="22"/>
            <w:szCs w:val="22"/>
            <w:lang w:val="en-GB" w:eastAsia="en-GB" w:bidi="ar-SA"/>
          </w:rPr>
          <w:tab/>
        </w:r>
        <w:r w:rsidRPr="00401D95">
          <w:rPr>
            <w:rStyle w:val="Hyperlink"/>
          </w:rPr>
          <w:t>Kindlaksmääratud hüvitisega skeemid ja hüvitised töötajatele (44)</w:t>
        </w:r>
        <w:r>
          <w:rPr>
            <w:webHidden/>
          </w:rPr>
          <w:tab/>
        </w:r>
        <w:r>
          <w:rPr>
            <w:webHidden/>
          </w:rPr>
          <w:fldChar w:fldCharType="begin"/>
        </w:r>
        <w:r>
          <w:rPr>
            <w:webHidden/>
          </w:rPr>
          <w:instrText xml:space="preserve"> PAGEREF _Toc485887377 \h </w:instrText>
        </w:r>
        <w:r>
          <w:rPr>
            <w:webHidden/>
          </w:rPr>
        </w:r>
        <w:r>
          <w:rPr>
            <w:webHidden/>
          </w:rPr>
          <w:fldChar w:fldCharType="separate"/>
        </w:r>
        <w:r>
          <w:rPr>
            <w:webHidden/>
          </w:rPr>
          <w:t>74</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78" w:history="1">
        <w:r w:rsidRPr="00401D95">
          <w:rPr>
            <w:rStyle w:val="Hyperlink"/>
          </w:rPr>
          <w:t>28.1.</w:t>
        </w:r>
        <w:r>
          <w:rPr>
            <w:rFonts w:asciiTheme="minorHAnsi" w:eastAsiaTheme="minorEastAsia" w:hAnsiTheme="minorHAnsi" w:cstheme="minorBidi"/>
            <w:sz w:val="22"/>
            <w:szCs w:val="22"/>
            <w:lang w:val="en-GB" w:eastAsia="en-GB" w:bidi="ar-SA"/>
          </w:rPr>
          <w:tab/>
        </w:r>
        <w:r w:rsidRPr="00401D95">
          <w:rPr>
            <w:rStyle w:val="Hyperlink"/>
          </w:rPr>
          <w:t>Kindlaksmääratud hüvitistega skeemide netovarade ja -kohustuste komponendid (44.1)</w:t>
        </w:r>
        <w:r>
          <w:rPr>
            <w:webHidden/>
          </w:rPr>
          <w:tab/>
        </w:r>
        <w:r>
          <w:rPr>
            <w:webHidden/>
          </w:rPr>
          <w:fldChar w:fldCharType="begin"/>
        </w:r>
        <w:r>
          <w:rPr>
            <w:webHidden/>
          </w:rPr>
          <w:instrText xml:space="preserve"> PAGEREF _Toc485887378 \h </w:instrText>
        </w:r>
        <w:r>
          <w:rPr>
            <w:webHidden/>
          </w:rPr>
        </w:r>
        <w:r>
          <w:rPr>
            <w:webHidden/>
          </w:rPr>
          <w:fldChar w:fldCharType="separate"/>
        </w:r>
        <w:r>
          <w:rPr>
            <w:webHidden/>
          </w:rPr>
          <w:t>74</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79" w:history="1">
        <w:r w:rsidRPr="00401D95">
          <w:rPr>
            <w:rStyle w:val="Hyperlink"/>
          </w:rPr>
          <w:t>28.2.</w:t>
        </w:r>
        <w:r>
          <w:rPr>
            <w:rFonts w:asciiTheme="minorHAnsi" w:eastAsiaTheme="minorEastAsia" w:hAnsiTheme="minorHAnsi" w:cstheme="minorBidi"/>
            <w:sz w:val="22"/>
            <w:szCs w:val="22"/>
            <w:lang w:val="en-GB" w:eastAsia="en-GB" w:bidi="ar-SA"/>
          </w:rPr>
          <w:tab/>
        </w:r>
        <w:r w:rsidRPr="00401D95">
          <w:rPr>
            <w:rStyle w:val="Hyperlink"/>
          </w:rPr>
          <w:t>Muutused kindlaksmääratud hüvitiste kohustustes (44.2)</w:t>
        </w:r>
        <w:r>
          <w:rPr>
            <w:webHidden/>
          </w:rPr>
          <w:tab/>
        </w:r>
        <w:r>
          <w:rPr>
            <w:webHidden/>
          </w:rPr>
          <w:fldChar w:fldCharType="begin"/>
        </w:r>
        <w:r>
          <w:rPr>
            <w:webHidden/>
          </w:rPr>
          <w:instrText xml:space="preserve"> PAGEREF _Toc485887379 \h </w:instrText>
        </w:r>
        <w:r>
          <w:rPr>
            <w:webHidden/>
          </w:rPr>
        </w:r>
        <w:r>
          <w:rPr>
            <w:webHidden/>
          </w:rPr>
          <w:fldChar w:fldCharType="separate"/>
        </w:r>
        <w:r>
          <w:rPr>
            <w:webHidden/>
          </w:rPr>
          <w:t>74</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80" w:history="1">
        <w:r w:rsidRPr="00401D95">
          <w:rPr>
            <w:rStyle w:val="Hyperlink"/>
          </w:rPr>
          <w:t>28.3.</w:t>
        </w:r>
        <w:r>
          <w:rPr>
            <w:rFonts w:asciiTheme="minorHAnsi" w:eastAsiaTheme="minorEastAsia" w:hAnsiTheme="minorHAnsi" w:cstheme="minorBidi"/>
            <w:sz w:val="22"/>
            <w:szCs w:val="22"/>
            <w:lang w:val="en-GB" w:eastAsia="en-GB" w:bidi="ar-SA"/>
          </w:rPr>
          <w:tab/>
        </w:r>
        <w:r w:rsidRPr="00401D95">
          <w:rPr>
            <w:rStyle w:val="Hyperlink"/>
          </w:rPr>
          <w:t>Memokirjed [personalikuludega seoses] (44.3)</w:t>
        </w:r>
        <w:r>
          <w:rPr>
            <w:webHidden/>
          </w:rPr>
          <w:tab/>
        </w:r>
        <w:r>
          <w:rPr>
            <w:webHidden/>
          </w:rPr>
          <w:fldChar w:fldCharType="begin"/>
        </w:r>
        <w:r>
          <w:rPr>
            <w:webHidden/>
          </w:rPr>
          <w:instrText xml:space="preserve"> PAGEREF _Toc485887380 \h </w:instrText>
        </w:r>
        <w:r>
          <w:rPr>
            <w:webHidden/>
          </w:rPr>
        </w:r>
        <w:r>
          <w:rPr>
            <w:webHidden/>
          </w:rPr>
          <w:fldChar w:fldCharType="separate"/>
        </w:r>
        <w:r>
          <w:rPr>
            <w:webHidden/>
          </w:rPr>
          <w:t>75</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81" w:history="1">
        <w:r w:rsidRPr="00401D95">
          <w:rPr>
            <w:rStyle w:val="Hyperlink"/>
          </w:rPr>
          <w:t>29.</w:t>
        </w:r>
        <w:r>
          <w:rPr>
            <w:rFonts w:asciiTheme="minorHAnsi" w:eastAsiaTheme="minorEastAsia" w:hAnsiTheme="minorHAnsi" w:cstheme="minorBidi"/>
            <w:sz w:val="22"/>
            <w:szCs w:val="22"/>
            <w:lang w:val="en-GB" w:eastAsia="en-GB" w:bidi="ar-SA"/>
          </w:rPr>
          <w:tab/>
        </w:r>
        <w:r w:rsidRPr="00401D95">
          <w:rPr>
            <w:rStyle w:val="Hyperlink"/>
          </w:rPr>
          <w:t>Kasumiaruande teatavate kirjete jaotus (45)</w:t>
        </w:r>
        <w:r>
          <w:rPr>
            <w:webHidden/>
          </w:rPr>
          <w:tab/>
        </w:r>
        <w:r>
          <w:rPr>
            <w:webHidden/>
          </w:rPr>
          <w:fldChar w:fldCharType="begin"/>
        </w:r>
        <w:r>
          <w:rPr>
            <w:webHidden/>
          </w:rPr>
          <w:instrText xml:space="preserve"> PAGEREF _Toc485887381 \h </w:instrText>
        </w:r>
        <w:r>
          <w:rPr>
            <w:webHidden/>
          </w:rPr>
        </w:r>
        <w:r>
          <w:rPr>
            <w:webHidden/>
          </w:rPr>
          <w:fldChar w:fldCharType="separate"/>
        </w:r>
        <w:r>
          <w:rPr>
            <w:webHidden/>
          </w:rPr>
          <w:t>75</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82" w:history="1">
        <w:r w:rsidRPr="00401D95">
          <w:rPr>
            <w:rStyle w:val="Hyperlink"/>
          </w:rPr>
          <w:t>29.1.</w:t>
        </w:r>
        <w:r>
          <w:rPr>
            <w:rFonts w:asciiTheme="minorHAnsi" w:eastAsiaTheme="minorEastAsia" w:hAnsiTheme="minorHAnsi" w:cstheme="minorBidi"/>
            <w:sz w:val="22"/>
            <w:szCs w:val="22"/>
            <w:lang w:val="en-GB" w:eastAsia="en-GB" w:bidi="ar-SA"/>
          </w:rPr>
          <w:tab/>
        </w:r>
        <w:r w:rsidRPr="00401D95">
          <w:rPr>
            <w:rStyle w:val="Hyperlink"/>
          </w:rPr>
          <w:t>Õiglases väärtuses muutustega läbi kasumiaruande kajastatud finantsvaradest ja -kohustustest tulenev kasum või kahjum arvestusportfellide kaupa (45.1)</w:t>
        </w:r>
        <w:r>
          <w:rPr>
            <w:webHidden/>
          </w:rPr>
          <w:tab/>
        </w:r>
        <w:r>
          <w:rPr>
            <w:webHidden/>
          </w:rPr>
          <w:fldChar w:fldCharType="begin"/>
        </w:r>
        <w:r>
          <w:rPr>
            <w:webHidden/>
          </w:rPr>
          <w:instrText xml:space="preserve"> PAGEREF _Toc485887382 \h </w:instrText>
        </w:r>
        <w:r>
          <w:rPr>
            <w:webHidden/>
          </w:rPr>
        </w:r>
        <w:r>
          <w:rPr>
            <w:webHidden/>
          </w:rPr>
          <w:fldChar w:fldCharType="separate"/>
        </w:r>
        <w:r>
          <w:rPr>
            <w:webHidden/>
          </w:rPr>
          <w:t>75</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83" w:history="1">
        <w:r w:rsidRPr="00401D95">
          <w:rPr>
            <w:rStyle w:val="Hyperlink"/>
          </w:rPr>
          <w:t>29.2.</w:t>
        </w:r>
        <w:r>
          <w:rPr>
            <w:rFonts w:asciiTheme="minorHAnsi" w:eastAsiaTheme="minorEastAsia" w:hAnsiTheme="minorHAnsi" w:cstheme="minorBidi"/>
            <w:sz w:val="22"/>
            <w:szCs w:val="22"/>
            <w:lang w:val="en-GB" w:eastAsia="en-GB" w:bidi="ar-SA"/>
          </w:rPr>
          <w:tab/>
        </w:r>
        <w:r w:rsidRPr="00401D95">
          <w:rPr>
            <w:rStyle w:val="Hyperlink"/>
          </w:rPr>
          <w:t>Kasum või kahjum, mis tuleneb mittefinantsvara kajastamise lõpetamisest (45.2)</w:t>
        </w:r>
        <w:r>
          <w:rPr>
            <w:webHidden/>
          </w:rPr>
          <w:tab/>
        </w:r>
        <w:r>
          <w:rPr>
            <w:webHidden/>
          </w:rPr>
          <w:fldChar w:fldCharType="begin"/>
        </w:r>
        <w:r>
          <w:rPr>
            <w:webHidden/>
          </w:rPr>
          <w:instrText xml:space="preserve"> PAGEREF _Toc485887383 \h </w:instrText>
        </w:r>
        <w:r>
          <w:rPr>
            <w:webHidden/>
          </w:rPr>
        </w:r>
        <w:r>
          <w:rPr>
            <w:webHidden/>
          </w:rPr>
          <w:fldChar w:fldCharType="separate"/>
        </w:r>
        <w:r>
          <w:rPr>
            <w:webHidden/>
          </w:rPr>
          <w:t>75</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84" w:history="1">
        <w:r w:rsidRPr="00401D95">
          <w:rPr>
            <w:rStyle w:val="Hyperlink"/>
          </w:rPr>
          <w:t>29.3.</w:t>
        </w:r>
        <w:r>
          <w:rPr>
            <w:rFonts w:asciiTheme="minorHAnsi" w:eastAsiaTheme="minorEastAsia" w:hAnsiTheme="minorHAnsi" w:cstheme="minorBidi"/>
            <w:sz w:val="22"/>
            <w:szCs w:val="22"/>
            <w:lang w:val="en-GB" w:eastAsia="en-GB" w:bidi="ar-SA"/>
          </w:rPr>
          <w:tab/>
        </w:r>
        <w:r w:rsidRPr="00401D95">
          <w:rPr>
            <w:rStyle w:val="Hyperlink"/>
          </w:rPr>
          <w:t>Muud tegevustulud ja -kulud (45.3)</w:t>
        </w:r>
        <w:r>
          <w:rPr>
            <w:webHidden/>
          </w:rPr>
          <w:tab/>
        </w:r>
        <w:r>
          <w:rPr>
            <w:webHidden/>
          </w:rPr>
          <w:fldChar w:fldCharType="begin"/>
        </w:r>
        <w:r>
          <w:rPr>
            <w:webHidden/>
          </w:rPr>
          <w:instrText xml:space="preserve"> PAGEREF _Toc485887384 \h </w:instrText>
        </w:r>
        <w:r>
          <w:rPr>
            <w:webHidden/>
          </w:rPr>
        </w:r>
        <w:r>
          <w:rPr>
            <w:webHidden/>
          </w:rPr>
          <w:fldChar w:fldCharType="separate"/>
        </w:r>
        <w:r>
          <w:rPr>
            <w:webHidden/>
          </w:rPr>
          <w:t>75</w:t>
        </w:r>
        <w:r>
          <w:rPr>
            <w:webHidden/>
          </w:rPr>
          <w:fldChar w:fldCharType="end"/>
        </w:r>
      </w:hyperlink>
    </w:p>
    <w:p w:rsidR="000F4147" w:rsidRDefault="000F4147">
      <w:pPr>
        <w:pStyle w:val="TOC2"/>
        <w:rPr>
          <w:rFonts w:asciiTheme="minorHAnsi" w:eastAsiaTheme="minorEastAsia" w:hAnsiTheme="minorHAnsi" w:cstheme="minorBidi"/>
          <w:sz w:val="22"/>
          <w:szCs w:val="22"/>
          <w:lang w:val="en-GB" w:eastAsia="en-GB" w:bidi="ar-SA"/>
        </w:rPr>
      </w:pPr>
      <w:hyperlink w:anchor="_Toc485887385" w:history="1">
        <w:r w:rsidRPr="00401D95">
          <w:rPr>
            <w:rStyle w:val="Hyperlink"/>
          </w:rPr>
          <w:t>30.</w:t>
        </w:r>
        <w:r>
          <w:rPr>
            <w:rFonts w:asciiTheme="minorHAnsi" w:eastAsiaTheme="minorEastAsia" w:hAnsiTheme="minorHAnsi" w:cstheme="minorBidi"/>
            <w:sz w:val="22"/>
            <w:szCs w:val="22"/>
            <w:lang w:val="en-GB" w:eastAsia="en-GB" w:bidi="ar-SA"/>
          </w:rPr>
          <w:tab/>
        </w:r>
        <w:r w:rsidRPr="00401D95">
          <w:rPr>
            <w:rStyle w:val="Hyperlink"/>
          </w:rPr>
          <w:t>Omakapitali muutuste aruanne (46)</w:t>
        </w:r>
        <w:r>
          <w:rPr>
            <w:webHidden/>
          </w:rPr>
          <w:tab/>
        </w:r>
        <w:r>
          <w:rPr>
            <w:webHidden/>
          </w:rPr>
          <w:fldChar w:fldCharType="begin"/>
        </w:r>
        <w:r>
          <w:rPr>
            <w:webHidden/>
          </w:rPr>
          <w:instrText xml:space="preserve"> PAGEREF _Toc485887385 \h </w:instrText>
        </w:r>
        <w:r>
          <w:rPr>
            <w:webHidden/>
          </w:rPr>
        </w:r>
        <w:r>
          <w:rPr>
            <w:webHidden/>
          </w:rPr>
          <w:fldChar w:fldCharType="separate"/>
        </w:r>
        <w:r>
          <w:rPr>
            <w:webHidden/>
          </w:rPr>
          <w:t>76</w:t>
        </w:r>
        <w:r>
          <w:rPr>
            <w:webHidden/>
          </w:rPr>
          <w:fldChar w:fldCharType="end"/>
        </w:r>
      </w:hyperlink>
    </w:p>
    <w:p w:rsidR="000F4147" w:rsidRDefault="000F4147">
      <w:pPr>
        <w:pStyle w:val="TOC1"/>
        <w:tabs>
          <w:tab w:val="right" w:leader="dot" w:pos="8296"/>
        </w:tabs>
        <w:rPr>
          <w:rFonts w:asciiTheme="minorHAnsi" w:eastAsiaTheme="minorEastAsia" w:hAnsiTheme="minorHAnsi" w:cstheme="minorBidi"/>
          <w:b w:val="0"/>
          <w:noProof/>
          <w:sz w:val="22"/>
          <w:szCs w:val="22"/>
          <w:lang w:val="en-GB" w:eastAsia="en-GB" w:bidi="ar-SA"/>
        </w:rPr>
      </w:pPr>
      <w:hyperlink w:anchor="_Toc485887386" w:history="1">
        <w:r w:rsidRPr="00401D95">
          <w:rPr>
            <w:rStyle w:val="Hyperlink"/>
            <w:noProof/>
          </w:rPr>
          <w:t>Riskipositsiooni klasside ja vastaspoole sektorite määramine</w:t>
        </w:r>
        <w:r>
          <w:rPr>
            <w:noProof/>
            <w:webHidden/>
          </w:rPr>
          <w:tab/>
        </w:r>
        <w:r>
          <w:rPr>
            <w:noProof/>
            <w:webHidden/>
          </w:rPr>
          <w:fldChar w:fldCharType="begin"/>
        </w:r>
        <w:r>
          <w:rPr>
            <w:noProof/>
            <w:webHidden/>
          </w:rPr>
          <w:instrText xml:space="preserve"> PAGEREF _Toc485887386 \h </w:instrText>
        </w:r>
        <w:r>
          <w:rPr>
            <w:noProof/>
            <w:webHidden/>
          </w:rPr>
        </w:r>
        <w:r>
          <w:rPr>
            <w:noProof/>
            <w:webHidden/>
          </w:rPr>
          <w:fldChar w:fldCharType="separate"/>
        </w:r>
        <w:r>
          <w:rPr>
            <w:noProof/>
            <w:webHidden/>
          </w:rPr>
          <w:t>76</w:t>
        </w:r>
        <w:r>
          <w:rPr>
            <w:noProof/>
            <w:webHidden/>
          </w:rPr>
          <w:fldChar w:fldCharType="end"/>
        </w:r>
      </w:hyperlink>
    </w:p>
    <w:p w:rsidR="009E2EBC" w:rsidRDefault="000F4147">
      <w:pPr>
        <w:spacing w:after="0"/>
        <w:rPr>
          <w:rFonts w:asciiTheme="minorHAnsi" w:eastAsiaTheme="minorEastAsia" w:hAnsiTheme="minorHAnsi" w:cstheme="minorBidi"/>
          <w:noProof/>
          <w:szCs w:val="22"/>
        </w:rPr>
        <w:sectPr w:rsidR="009E2EBC" w:rsidSect="009569C7">
          <w:footerReference w:type="default" r:id="rId9"/>
          <w:pgSz w:w="11906" w:h="16838"/>
          <w:pgMar w:top="1440" w:right="1800" w:bottom="1440" w:left="1800" w:header="708" w:footer="708" w:gutter="0"/>
          <w:cols w:space="708"/>
          <w:titlePg/>
          <w:docGrid w:linePitch="360"/>
        </w:sectPr>
      </w:pPr>
      <w:r>
        <w:rPr>
          <w:rFonts w:ascii="Cambria" w:hAnsi="Cambria"/>
          <w:b/>
          <w:sz w:val="24"/>
          <w:szCs w:val="24"/>
        </w:rP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2" w:name="_Toc361844198"/>
      <w:r>
        <w:rPr>
          <w:rFonts w:ascii="Times New Roman" w:hAnsi="Times New Roman"/>
          <w:b/>
          <w:sz w:val="24"/>
        </w:rPr>
        <w:t>1. OSA</w:t>
      </w:r>
      <w:bookmarkEnd w:id="2"/>
    </w:p>
    <w:p w:rsidR="009569C7" w:rsidRPr="00EC4FA2" w:rsidRDefault="00A834F1" w:rsidP="009569C7">
      <w:pPr>
        <w:pStyle w:val="Heading1"/>
      </w:pPr>
      <w:bookmarkStart w:id="3" w:name="_Toc362359270"/>
      <w:bookmarkStart w:id="4" w:name="_Toc467855193"/>
      <w:bookmarkStart w:id="5" w:name="_Toc485887303"/>
      <w:r>
        <w:t>Üldised juhised</w:t>
      </w:r>
      <w:bookmarkEnd w:id="3"/>
      <w:bookmarkEnd w:id="4"/>
      <w:bookmarkEnd w:id="5"/>
    </w:p>
    <w:p w:rsidR="009569C7" w:rsidRPr="00EC4FA2" w:rsidRDefault="00A834F1" w:rsidP="009569C7">
      <w:pPr>
        <w:pStyle w:val="subtitlenumbered"/>
        <w:numPr>
          <w:ilvl w:val="0"/>
          <w:numId w:val="17"/>
        </w:numPr>
        <w:jc w:val="both"/>
      </w:pPr>
      <w:bookmarkStart w:id="6" w:name="_Toc362359271"/>
      <w:bookmarkStart w:id="7" w:name="_Toc467855194"/>
      <w:bookmarkStart w:id="8" w:name="_Toc361844199"/>
      <w:bookmarkStart w:id="9" w:name="_Toc485887304"/>
      <w:r>
        <w:t>Viited</w:t>
      </w:r>
      <w:bookmarkEnd w:id="6"/>
      <w:bookmarkEnd w:id="7"/>
      <w:bookmarkEnd w:id="9"/>
    </w:p>
    <w:bookmarkEnd w:id="8"/>
    <w:p w:rsidR="009569C7" w:rsidRPr="00EC4FA2" w:rsidRDefault="00A834F1" w:rsidP="009569C7">
      <w:pPr>
        <w:pStyle w:val="Baseparagraphnumbered"/>
      </w:pPr>
      <w:r>
        <w:t>Käesolevas lisas on esitatud täiendavad juhised käesoleva määruse III ja IV lisas sisalduvate finantsteabe vormide (edaspidi „FINREP“) täitmiseks. Käesolev lisa täiendab III ja IV lisa vormid</w:t>
      </w:r>
      <w:r w:rsidR="000F4147">
        <w:t>es viidetena esitatud juhiseid.</w:t>
      </w:r>
    </w:p>
    <w:p w:rsidR="009569C7" w:rsidRPr="00EC4FA2" w:rsidRDefault="00A834F1" w:rsidP="009569C7">
      <w:pPr>
        <w:pStyle w:val="Baseparagraphnumbered"/>
      </w:pPr>
      <w:r>
        <w:t>Krediidiasutused ja investeerimisühingud, kes kasutavad IFRSiga ühilduvaid siseriiklikke raamatupidamisstandardeid (edaspidi „ühilduv siseriiklik GAAP“), järgivad käesolevas lisas esitatud üldisi ja IFRSi juhiseid, kui ei ole ette nähtud teisiti. See ei tohi mõjutada ühilduva siseriikliku GAAPi nõuete vastavust BADi nõuetele. Krediidiasutused ja investeerimisühingud, kes kasutavad siseriiklikke raamatupidamisstandardeid, mis ei ühildu IFRSiga või mida ei ole veel viidud kooskõlla IFRS 9 nõuetega, järgivad käesolevas lisas esitatud üldisi ja BADi juhiseid, kui ei ole ette nähtud teisiti.</w:t>
      </w:r>
    </w:p>
    <w:p w:rsidR="009569C7" w:rsidRPr="00EC4FA2" w:rsidRDefault="00A834F1" w:rsidP="009569C7">
      <w:pPr>
        <w:pStyle w:val="Baseparagraphnumbered"/>
      </w:pPr>
      <w:r>
        <w:t>Vormides märgitud andmepunktid täidetakse vastavalt määruse (EL) nr 575/2013 artikli 4 lõike 1 punktis 77 määratletud kohaldatava raamatupidamistava kajastamis-, tasaarvestus- ja hindamiseeskirjadele.</w:t>
      </w:r>
    </w:p>
    <w:p w:rsidR="009569C7" w:rsidRPr="00EC4FA2" w:rsidRDefault="00A834F1" w:rsidP="009569C7">
      <w:pPr>
        <w:pStyle w:val="Baseparagraphnumbered"/>
      </w:pPr>
      <w:r>
        <w:t>Krediidiasutused ja investeerimisühingud esitavad ainult vormide need osad, mis on seotud järgmisega:</w:t>
      </w:r>
    </w:p>
    <w:p w:rsidR="009569C7" w:rsidRPr="00EC4FA2" w:rsidRDefault="00A834F1" w:rsidP="009569C7">
      <w:pPr>
        <w:pStyle w:val="Baseparagraphnumbered"/>
        <w:numPr>
          <w:ilvl w:val="0"/>
          <w:numId w:val="29"/>
        </w:numPr>
        <w:ind w:left="1134" w:hanging="426"/>
      </w:pPr>
      <w:r>
        <w:t>krediidiasutuse või investeerimisühingu kajastatavad varad, kohustused, omakapital, tulud ja kulud;</w:t>
      </w:r>
    </w:p>
    <w:p w:rsidR="009569C7" w:rsidRPr="00EC4FA2" w:rsidRDefault="00A834F1" w:rsidP="009569C7">
      <w:pPr>
        <w:pStyle w:val="Baseparagraphnumbered"/>
        <w:numPr>
          <w:ilvl w:val="0"/>
          <w:numId w:val="29"/>
        </w:numPr>
        <w:ind w:left="1134" w:hanging="426"/>
      </w:pPr>
      <w:r>
        <w:t>bilansivälised riskipositsioonid ja tegevused, milles krediidiasutus või investeerimisühing osaleb;</w:t>
      </w:r>
    </w:p>
    <w:p w:rsidR="009569C7" w:rsidRPr="00EC4FA2" w:rsidRDefault="00A834F1" w:rsidP="009569C7">
      <w:pPr>
        <w:pStyle w:val="Baseparagraphnumbered"/>
        <w:numPr>
          <w:ilvl w:val="0"/>
          <w:numId w:val="29"/>
        </w:numPr>
        <w:ind w:left="1134" w:hanging="426"/>
      </w:pPr>
      <w:r>
        <w:t>krediidiasutuse või investeerimisühingu teostatavad tehingud;</w:t>
      </w:r>
    </w:p>
    <w:p w:rsidR="009569C7" w:rsidRPr="00EC4FA2" w:rsidRDefault="00A834F1" w:rsidP="009569C7">
      <w:pPr>
        <w:pStyle w:val="Baseparagraphnumbered"/>
        <w:numPr>
          <w:ilvl w:val="0"/>
          <w:numId w:val="29"/>
        </w:numPr>
        <w:ind w:left="1134" w:hanging="425"/>
      </w:pPr>
      <w:r>
        <w:t>krediidiasutuse või investeerimisühingu kohaldatavad hindamiseeskirjad, sealhulgas krediidiriski puhul tehtavate allahindluste hindamise meetodid.</w:t>
      </w:r>
    </w:p>
    <w:p w:rsidR="009569C7" w:rsidRPr="00EC4FA2" w:rsidRDefault="00A834F1" w:rsidP="009569C7">
      <w:pPr>
        <w:pStyle w:val="Baseparagraphnumbered"/>
        <w:ind w:left="1134"/>
      </w:pPr>
      <w:r>
        <w:t>III ja IV lisa ning käesoleva lisa kohaldamisel kasutatakse järgmisi lühendeid:</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„kapitalinõuete määrus“ – määrus (EL) nr 575/2013;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 „IAS“ või „IFRS“ – määruse nr 1606/2002</w:t>
      </w:r>
      <w:r>
        <w:rPr>
          <w:rStyle w:val="FootnoteReference"/>
          <w:rFonts w:ascii="Times New Roman" w:hAnsi="Times New Roman"/>
          <w:sz w:val="24"/>
        </w:rPr>
        <w:footnoteReference w:id="2"/>
      </w:r>
      <w:r>
        <w:rPr>
          <w:rFonts w:ascii="Times New Roman" w:hAnsi="Times New Roman"/>
          <w:sz w:val="24"/>
        </w:rPr>
        <w:t xml:space="preserve"> artiklis 2 määratletud „rahvusvahelised raamatupidamisstandardid“, mille on komisjon vastu võtnud;</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lastRenderedPageBreak/>
        <w:t xml:space="preserve"> „EKP bilansikirjete määrus“ või „EKP/2013/33“ – </w:t>
      </w:r>
      <w:bookmarkStart w:id="10" w:name="OLE_LINK2"/>
      <w:r>
        <w:rPr>
          <w:rFonts w:ascii="Times New Roman" w:hAnsi="Times New Roman"/>
          <w:sz w:val="24"/>
        </w:rPr>
        <w:t>Euroopa Keskpanga määrus (EL) nr 1071/2013</w:t>
      </w:r>
      <w:r>
        <w:rPr>
          <w:rStyle w:val="FootnoteReference"/>
          <w:rFonts w:ascii="Times New Roman" w:hAnsi="Times New Roman"/>
          <w:sz w:val="24"/>
        </w:rPr>
        <w:footnoteReference w:id="3"/>
      </w:r>
      <w:r>
        <w:rPr>
          <w:rFonts w:ascii="Times New Roman" w:hAnsi="Times New Roman"/>
          <w:sz w:val="24"/>
        </w:rPr>
        <w:t>;</w:t>
      </w:r>
      <w:bookmarkEnd w:id="10"/>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 määrus“ – Euroopa Parlamendi ja nõukogu määrus (EÜ) nr 1893/2006</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 koodid“ – NACE määruses sätestatud koodid;</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 nõukogu direktiiv 86/635/EMÜ</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„raamatupidamisdirektiiv“ – direktiiv 2013/34/EL</w:t>
      </w:r>
      <w:r>
        <w:rPr>
          <w:rFonts w:ascii="Times New Roman" w:hAnsi="Times New Roman"/>
          <w:sz w:val="24"/>
          <w:vertAlign w:val="superscript"/>
        </w:rPr>
        <w:footnoteReference w:id="6"/>
      </w:r>
      <w:r w:rsidR="00EF2CCD">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„siseriiklik GAAP“ – BADi kohaselt väljatöötatud siseriiklik üldtunnustatud arvestustava;</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„VKE“ – komisjoni soovituses K(2003)1422</w:t>
      </w:r>
      <w:r>
        <w:rPr>
          <w:rFonts w:ascii="Times New Roman" w:hAnsi="Times New Roman"/>
          <w:sz w:val="24"/>
          <w:vertAlign w:val="superscript"/>
        </w:rPr>
        <w:footnoteReference w:id="7"/>
      </w:r>
      <w:r>
        <w:rPr>
          <w:rFonts w:ascii="Times New Roman" w:hAnsi="Times New Roman"/>
          <w:sz w:val="24"/>
        </w:rPr>
        <w:t xml:space="preserve"> määratletud mikro-, väikesed ja keskmise suurusega ettevõtjad;</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„ISIN kood“ – 12 tähtnumbrilisest märgist koosnev rahvusvaheline väärtpaberite identifitseerimisnumber, mis antakse väärtpaberitele ja mis on väärtpaberiemissiooni kordumatu tunnus;</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„LEI kood“ – üksustele antud ülemaailmne juriidilise isiku tunnus, mis on finantstehingu osapoole kordumatu tunnus;</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1" w:name="_Toc361844200"/>
      <w:r>
        <w:rPr>
          <w:rFonts w:ascii="Times New Roman" w:hAnsi="Times New Roman"/>
          <w:sz w:val="24"/>
        </w:rPr>
        <w:t>„väärtuse languse etapid“: IFRS 9 paragrahvis 5.5 määratletud väärtuse languse kategooriad. „1. etapp“ osutab IFRS 9 paragrahvis 5.5.5 kohaselt mõõdetud väärtuse langusele. „2. etapp“ osutab IFRS 9 paragrahvis 5.5.3 kohaselt mõõdetud väärtuse langusele. „3. etapp“ osutab IFRS 9 lisas A määratletud krediidiriski tõttu langenud vara väärtuse langusele.</w:t>
      </w:r>
    </w:p>
    <w:p w:rsidR="009569C7" w:rsidRPr="00EC4FA2" w:rsidRDefault="00A834F1" w:rsidP="009569C7">
      <w:pPr>
        <w:pStyle w:val="subtitlenumbered"/>
        <w:numPr>
          <w:ilvl w:val="0"/>
          <w:numId w:val="17"/>
        </w:numPr>
        <w:jc w:val="both"/>
      </w:pPr>
      <w:bookmarkStart w:id="12" w:name="_Toc362359272"/>
      <w:bookmarkStart w:id="13" w:name="_Toc467855195"/>
      <w:bookmarkStart w:id="14" w:name="_Toc485887305"/>
      <w:r>
        <w:t>Põhimõtted</w:t>
      </w:r>
      <w:bookmarkEnd w:id="12"/>
      <w:bookmarkEnd w:id="13"/>
      <w:bookmarkEnd w:id="14"/>
    </w:p>
    <w:bookmarkEnd w:id="11"/>
    <w:p w:rsidR="009569C7" w:rsidRPr="00EC4FA2" w:rsidRDefault="00A834F1" w:rsidP="009569C7">
      <w:pPr>
        <w:pStyle w:val="Baseparagraphnumbered"/>
      </w:pPr>
      <w:r>
        <w:lastRenderedPageBreak/>
        <w:t>III ja IV lisa puhul tähendab halli varjundiga andmepunkt, et asjaomane andmepunkt ei ole nõutud või selle kohta ei ole võimalik andmeid esitada. IV lisas tähendab viidete must varjund teataval real või teatavas veerus, et krediidiasutused ja investeerimisühingud, kes järgivad neid viiteid kõnealusel real või kõnealuses veerus, ei pea seotud andmepunkte täitma.</w:t>
      </w:r>
    </w:p>
    <w:p w:rsidR="009569C7" w:rsidRPr="00EC4FA2" w:rsidRDefault="00A834F1" w:rsidP="009569C7">
      <w:pPr>
        <w:pStyle w:val="Baseparagraphnumbered"/>
      </w:pPr>
      <w:r>
        <w:t>III ja IV lisas esitatud vormid sisaldavad otseselt väljendamata valideerimiseeskirju, mis tulenevad vormide endi põhimõtetest.</w:t>
      </w:r>
    </w:p>
    <w:p w:rsidR="009569C7" w:rsidRPr="00EC4FA2" w:rsidRDefault="00A834F1" w:rsidP="009569C7">
      <w:pPr>
        <w:pStyle w:val="Baseparagraphnumbered"/>
      </w:pPr>
      <w:r>
        <w:t>Sulgude kasutamine vormi mis tahes kirje pealkirjas tähendab, et see kirje tuleb lõppsumma saamiseks lahutada, kuid ei tähenda, et see kirje tuleb esitada negatiivsena.</w:t>
      </w:r>
    </w:p>
    <w:p w:rsidR="009569C7" w:rsidRPr="00EC4FA2" w:rsidRDefault="00A834F1" w:rsidP="009569C7">
      <w:pPr>
        <w:pStyle w:val="Baseparagraphnumbered"/>
      </w:pPr>
      <w:r>
        <w:t>Negatiivsena esitatavad kirjed on kindlaks määratud koondvormides ning nende pealkirja algusesse on lisatud miinusmärk „(–)“, näiteks pealkirjas „(–) Omaaktsiad“.</w:t>
      </w:r>
    </w:p>
    <w:p w:rsidR="009569C7" w:rsidRPr="00EC4FA2" w:rsidRDefault="00A834F1" w:rsidP="009569C7">
      <w:pPr>
        <w:pStyle w:val="Baseparagraphnumbered"/>
      </w:pPr>
      <w:r>
        <w:t>III ja IV lisas esitatud finantsteabe aruandlusvormidega seotud „andmepunkti mudelis“ (Data Point Model, „DPM“) on igal andmepunktil (lahter) „aluskirje“ (base item), millele lisatakse „kreedit/deebet“ täiend. Sellega tagatakse, et kõik andmepunkte esitavad üksused järgivad „märgi põhimõtteid“ ning see võimaldab teada igale andmepunktile vast</w:t>
      </w:r>
      <w:r w:rsidR="00EF2CCD">
        <w:t>avat „kreedit/deebet“ täiendit.</w:t>
      </w:r>
    </w:p>
    <w:p w:rsidR="009569C7" w:rsidRPr="00EC4FA2" w:rsidRDefault="00A834F1" w:rsidP="009569C7">
      <w:pPr>
        <w:pStyle w:val="Baseparagraphnumbered"/>
      </w:pPr>
      <w:r>
        <w:t>Nende põhimõtete skeem on esitatud tabelis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Tabel 1. Kreedit/deebet põhimõtted, positiivsed ja negatiivsed märgid</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Kreedit</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/muutus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Esitatud arv</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Varad</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Deebet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Varade saldo</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Positiivne („normaalne“,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Varade kasv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Positiivne („normaalne“,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Varade negatiivne saldo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Negatiivne (vaja on miinusmärki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Varade vähenemine</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Negatiivne (vaja on miinusmärki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Kulud</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Kulude saldo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Positiivne („normaalne“,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Kulude kasv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Positiivne („normaalne“,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Kulude negatiivne saldo (sealhulgas tühistamised)</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Negatiivne (vaja on miinusmärki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Kulude vähenemine</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Negatiivne (vaja on miinusmärki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Kohustused</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Kreedit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Kohustuste saldo</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Positiivne („normaalne“,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Kohustuste kasv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Positiivne („normaalne“,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Kohustuste negatiivne saldo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Negatiivne (vaja on miinusmärki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Kohustuste vähenemine</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Negatiivne (vaja on miinusmärki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Omakapital</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Omakapitali saldo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Positiivne („normaalne“,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Omakapitali kasv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Positiivne („normaalne“,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Omakapitali negatiivne saldo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Negatiivne (vaja on miinusmärki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Omakapitali vähenemine</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Negatiivne (vaja on miinusmärki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Tulud</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Tulude saldo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Positiivne („normaalne“,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Tulude kasv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Positiivne („normaalne“, märki ei ole vaja)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Tulude negatiivne saldo (sealhulgas tühistamised)</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Negatiivne (vaja on miinusmärki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Tulude vähenemine</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Negatiivne (vaja on miinusmärki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5" w:name="_Toc362359273"/>
      <w:bookmarkStart w:id="16" w:name="_Toc467855196"/>
      <w:bookmarkStart w:id="17" w:name="_Toc485887306"/>
      <w:r>
        <w:t>Konsolideerimine</w:t>
      </w:r>
      <w:bookmarkEnd w:id="15"/>
      <w:bookmarkEnd w:id="16"/>
      <w:bookmarkEnd w:id="17"/>
    </w:p>
    <w:p w:rsidR="009569C7" w:rsidRPr="00EC4FA2" w:rsidRDefault="00A834F1" w:rsidP="009569C7">
      <w:pPr>
        <w:pStyle w:val="Baseparagraphnumbered"/>
      </w:pPr>
      <w:r>
        <w:t>Kui käesolevas lisas ei ole sätestatud teisiti, kasutatakse FINREPi vormide täitmisel usaldatavusnõuetekohast konsolideerimist vastavalt kapitalinõuete määruse I osa II jaotise 2. peatüki 2. jaole. Krediidiasutused ja investeerimisühingud kasutavad oma tütarettevõtjate, ühisettevõtjate (IFRSi kohaselt „ühisettevõtmised“) ja sidusettevõtjate kohta andmete esitamisel samu meetodeid kui usaldatavusnõuet</w:t>
      </w:r>
      <w:r w:rsidR="00EF2CCD">
        <w:t>ekohase konsolideerimise puhul:</w:t>
      </w:r>
    </w:p>
    <w:p w:rsidR="009569C7" w:rsidRPr="00EC4FA2" w:rsidRDefault="00A834F1" w:rsidP="009569C7">
      <w:pPr>
        <w:pStyle w:val="Baseparagraphnumbered"/>
        <w:numPr>
          <w:ilvl w:val="1"/>
          <w:numId w:val="27"/>
        </w:numPr>
        <w:ind w:left="993"/>
      </w:pPr>
      <w:r>
        <w:t>krediidiasutustel ja investeerimisühingutel võib olla lubatud rakendada või nad võivad olla kohustatud rakendama kapitaliosaluse meetodit kindlustusvaldkonna ja muu kui finantsvaldkonna tütarettevõtjatesse tehtud investeeringute suhtes vastavalt kapitalinõuet</w:t>
      </w:r>
      <w:r w:rsidR="000F4147">
        <w:t>e määruse artikli 18 lõikele 5;</w:t>
      </w:r>
    </w:p>
    <w:p w:rsidR="009569C7" w:rsidRPr="00EC4FA2" w:rsidRDefault="00A834F1" w:rsidP="009569C7">
      <w:pPr>
        <w:pStyle w:val="Baseparagraphnumbered"/>
        <w:numPr>
          <w:ilvl w:val="1"/>
          <w:numId w:val="27"/>
        </w:numPr>
        <w:ind w:left="993"/>
      </w:pPr>
      <w:r>
        <w:t>krediidiasutustel ja investeerimisühingutel võib olla lubatud kasutada finantsvaldkonna tütarettevõtjate puhul proportsionaalset konsolideerimist vastavalt kapitalinõuete määruse artikli 18 lõikele 2;</w:t>
      </w:r>
    </w:p>
    <w:p w:rsidR="009569C7" w:rsidRPr="00EC4FA2" w:rsidRDefault="00A834F1" w:rsidP="009569C7">
      <w:pPr>
        <w:pStyle w:val="Baseparagraphnumbered"/>
        <w:numPr>
          <w:ilvl w:val="1"/>
          <w:numId w:val="27"/>
        </w:numPr>
        <w:ind w:left="993"/>
      </w:pPr>
      <w:r>
        <w:t>krediidiasutused ja investeerimisühingud võivad olla kohustatud kasutama proportsionaalset konsolideerimist ühisettevõtjatesse tehtud investeeringute puhul vastavalt kapitalinõuete määruse artikli 18 lõikele 4.</w:t>
      </w:r>
    </w:p>
    <w:p w:rsidR="009569C7" w:rsidRPr="00EC4FA2" w:rsidRDefault="00A834F1" w:rsidP="009569C7">
      <w:pPr>
        <w:pStyle w:val="subtitlenumbered"/>
        <w:numPr>
          <w:ilvl w:val="0"/>
          <w:numId w:val="17"/>
        </w:numPr>
        <w:jc w:val="both"/>
      </w:pPr>
      <w:bookmarkStart w:id="18" w:name="_Toc361844202"/>
      <w:bookmarkStart w:id="19" w:name="_Toc362359274"/>
      <w:bookmarkStart w:id="20" w:name="_Toc467855197"/>
      <w:bookmarkStart w:id="21" w:name="_Toc485887307"/>
      <w:r>
        <w:t>Finantsinstrumentide</w:t>
      </w:r>
      <w:bookmarkEnd w:id="18"/>
      <w:bookmarkEnd w:id="19"/>
      <w:r>
        <w:t xml:space="preserve"> arvestusportfellid</w:t>
      </w:r>
      <w:bookmarkEnd w:id="20"/>
      <w:bookmarkEnd w:id="21"/>
    </w:p>
    <w:p w:rsidR="009569C7" w:rsidRPr="00EC4FA2" w:rsidRDefault="00A834F1" w:rsidP="009569C7">
      <w:pPr>
        <w:pStyle w:val="Baseparagraphnumbered"/>
      </w:pPr>
      <w:r>
        <w:t xml:space="preserve">III, IV ja käesoleva lisa kohaldamisel tähendab „arvestusportfellid“ hindamiseeskirjade alusel rühmitatud finantsinstrumente. Nendel </w:t>
      </w:r>
      <w:r>
        <w:lastRenderedPageBreak/>
        <w:t>rühmitamistel ei võeta arvesse tütarettevõtjatesse, ühisettevõtjatesse ja sidusettevõtjatesse tehtud investeeringuid, kirjele „raha, nõuded keskpankadele ja muud nõudmiseni hoiused“ liigitatud nõudeid ega „müügiks hoitavaks“ liigitatud finantsinstrumente, mis on kajastatud kirjetel „müügiks hoitavad põhivarad ja müügigrupid“ ja „kohustused, mis kuuluvad müügiks hoitavaks liigitatud müügigruppidesse“.</w:t>
      </w:r>
    </w:p>
    <w:p w:rsidR="009569C7" w:rsidRPr="00EC4FA2" w:rsidRDefault="00A834F1" w:rsidP="009569C7">
      <w:pPr>
        <w:pStyle w:val="Baseparagraphnumbered"/>
      </w:pPr>
      <w:r>
        <w:t>Siseriikliku GAAPi kohaselt peavad krediidiasutused ja investeerimisühingud, kellel on lubatud kohaldada või kes on kohustatud kohaldama finantsinstrumentide suhtes teatavaid hindamiseeskirju vastavalt IFRSile, esitama asjaomased IFRSi arvestusportfellid, kohaldades kõnealuseid eeskirju. Kui finantsinstrumentide hindamise eeskirjad, mida krediidiasutused ja investeerimisühingud võivad kohaldatava BADil põhineva siseriikliku GAAPi kohaselt kohaldada või peavad kohaldama, on vastavuses IAS 39 hindamiseeskirjadega, esitavad krediidiasutused ja investeerimisühingud arvestusportfellid BADi kohaselt kõigi finantsinstrumentide puhul seni, kuni nende kohaldatavad hindamiseeskirjad on vastavuses IFRS 9 hindamiseeskirjadega.</w:t>
      </w:r>
    </w:p>
    <w:p w:rsidR="009569C7" w:rsidRPr="00EC4FA2" w:rsidRDefault="00A834F1" w:rsidP="009569C7">
      <w:pPr>
        <w:pStyle w:val="sub-subtitlenumbered"/>
      </w:pPr>
      <w:bookmarkStart w:id="22" w:name="_Toc467855198"/>
      <w:bookmarkStart w:id="23" w:name="_Toc485887308"/>
      <w:r>
        <w:t>Finantsvarad</w:t>
      </w:r>
      <w:bookmarkEnd w:id="22"/>
      <w:bookmarkEnd w:id="23"/>
    </w:p>
    <w:p w:rsidR="009569C7" w:rsidRPr="00EC4FA2" w:rsidRDefault="00A834F1" w:rsidP="009569C7">
      <w:pPr>
        <w:pStyle w:val="Baseparagraphnumbered"/>
      </w:pPr>
      <w:r>
        <w:t>Finantsvarade puhul kasutatakse järgmisi IFRSil põhinevaid arvestusportfelle:</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„kauplemiseks hoitavad finantsvarad“;</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„kohustuslikult õiglases väärtuses muutustega läbi kasumiaruande mõõdetavad finantsvarad, mida ei kasutata kauplemisel“;</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„finantsvarad õiglases väärtuses </w:t>
      </w:r>
      <w:r w:rsidR="00EF2CCD">
        <w:rPr>
          <w:rFonts w:ascii="Times New Roman" w:hAnsi="Times New Roman"/>
          <w:sz w:val="24"/>
        </w:rPr>
        <w:t>muutustega läbi kasumiaruande“;</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„õiglases väärtuses läbi muu koondkasumi mõõdetud finantsvarad“;</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„amortiseeritud soetusväärtuses kajastatud finantsva</w:t>
      </w:r>
      <w:r w:rsidR="00EF2CCD">
        <w:rPr>
          <w:rFonts w:ascii="Times New Roman" w:hAnsi="Times New Roman"/>
          <w:sz w:val="24"/>
        </w:rPr>
        <w:t>rad“.</w:t>
      </w:r>
    </w:p>
    <w:p w:rsidR="009569C7" w:rsidRPr="00EC4FA2" w:rsidRDefault="00A834F1" w:rsidP="009569C7">
      <w:pPr>
        <w:pStyle w:val="Baseparagraphnumbered"/>
      </w:pPr>
      <w:r>
        <w:t>Finantsvarade puhul kasutatakse järgmisi siseriiklikul GAAPil põhinevaid arvestusportfelle:</w:t>
      </w:r>
    </w:p>
    <w:p w:rsidR="009569C7" w:rsidRPr="00EC4FA2" w:rsidRDefault="00A834F1" w:rsidP="009569C7">
      <w:pPr>
        <w:pStyle w:val="Baseparagraphnumbered"/>
        <w:numPr>
          <w:ilvl w:val="0"/>
          <w:numId w:val="34"/>
        </w:numPr>
        <w:ind w:left="1134"/>
      </w:pPr>
      <w:r>
        <w:t>„kauplem</w:t>
      </w:r>
      <w:r w:rsidR="00EF2CCD">
        <w:t>isel kasutatavad finantsvarad“;</w:t>
      </w:r>
    </w:p>
    <w:p w:rsidR="009569C7" w:rsidRPr="00EC4FA2" w:rsidRDefault="00A834F1" w:rsidP="009569C7">
      <w:pPr>
        <w:pStyle w:val="Baseparagraphnumbered"/>
        <w:numPr>
          <w:ilvl w:val="0"/>
          <w:numId w:val="34"/>
        </w:numPr>
        <w:ind w:left="1134"/>
      </w:pPr>
      <w:r>
        <w:t>„õiglases väärtuses muutustega läbi kasumiaruande mõõdetavad finantsvarad, mida ei kasutata kauplemisel ja mis ei ol</w:t>
      </w:r>
      <w:r w:rsidR="00EF2CCD">
        <w:t>e tuletisinstrumendid“;</w:t>
      </w:r>
    </w:p>
    <w:p w:rsidR="009569C7" w:rsidRPr="00EC4FA2" w:rsidRDefault="00EF2CCD" w:rsidP="009569C7">
      <w:pPr>
        <w:pStyle w:val="Baseparagraphnumbered"/>
        <w:numPr>
          <w:ilvl w:val="0"/>
          <w:numId w:val="0"/>
        </w:numPr>
        <w:ind w:left="1134" w:hanging="360"/>
      </w:pPr>
      <w:r>
        <w:t>c)</w:t>
      </w:r>
      <w:r>
        <w:tab/>
      </w:r>
      <w:r w:rsidR="00A834F1">
        <w:t>„omakapitalis kajastatavad õiglases väärtuses mõõdetavad finantsvarad, mida ei kasutata kauplemisel ja mis ei ole tuletisinstrumendid“;</w:t>
      </w:r>
    </w:p>
    <w:p w:rsidR="009569C7" w:rsidRPr="00EC4FA2" w:rsidRDefault="00EF2CCD" w:rsidP="009569C7">
      <w:pPr>
        <w:pStyle w:val="Baseparagraphnumbered"/>
        <w:numPr>
          <w:ilvl w:val="0"/>
          <w:numId w:val="0"/>
        </w:numPr>
        <w:ind w:left="1134" w:hanging="360"/>
      </w:pPr>
      <w:r>
        <w:t>d)</w:t>
      </w:r>
      <w:r>
        <w:tab/>
      </w:r>
      <w:r w:rsidR="00A834F1">
        <w:t>„soetusmaksumusepõhisel meetodil mõõdetud finantsvarad, mida ei kasutata kauplemisel ja mis e</w:t>
      </w:r>
      <w:r>
        <w:t>i ole tuletisinstrumendid“ ning</w:t>
      </w:r>
    </w:p>
    <w:p w:rsidR="009569C7" w:rsidRPr="00EC4FA2" w:rsidRDefault="00EF2CCD" w:rsidP="009569C7">
      <w:pPr>
        <w:pStyle w:val="Baseparagraphnumbered"/>
        <w:numPr>
          <w:ilvl w:val="0"/>
          <w:numId w:val="0"/>
        </w:numPr>
        <w:ind w:left="1134" w:hanging="360"/>
      </w:pPr>
      <w:r>
        <w:t>e)</w:t>
      </w:r>
      <w:r>
        <w:tab/>
      </w:r>
      <w:r w:rsidR="00A834F1">
        <w:t>„muud finantsvarad, mida ei kasutata kauplemisel ja mis ei ole tuletisinstrumendid“.</w:t>
      </w:r>
    </w:p>
    <w:p w:rsidR="009569C7" w:rsidRPr="00EC4FA2" w:rsidRDefault="00A834F1" w:rsidP="009569C7">
      <w:pPr>
        <w:pStyle w:val="Baseparagraphnumbered"/>
      </w:pPr>
      <w:r>
        <w:lastRenderedPageBreak/>
        <w:t>Kirje „kauplemisel kasutatavad finantsvarad“ hõlmab kõiki finantsvarasid, mis liigitatakse kohaldatava BADil põhineva siseriikliku GAAPi kohaselt kauplemisel kasutatavate finantsvarade alla. Olenemata sellest, millist mõõtmismeetodit kohaldatava BADil põhineva siseriikliku GAAPi alusel kasutatakse, kajastatakse kõik tuletisinstrumendid, mille puhul on aruandval krediidiasutusel või investeerimisühingul positiivne saldo ja mis ei ole liigitatud vastavalt käesoleva osa punktile 22 riskimaandamise arvestuse eesmärgil hoitavateks, kauplemisel kasutatavate finantsvaradena. Seda liigitust kohaldatakse ka selliste tu</w:t>
      </w:r>
      <w:r w:rsidR="000F4147">
        <w:t>letisinstrumentide suhtes, mida</w:t>
      </w:r>
      <w:r>
        <w:t xml:space="preserve"> BADil põhineva siseriikliku GAAPi kohaselt bilansis ei kajastata või mille puhul kajastatakse bilansis ainult nende õiglase väärtuse muutused või mida kasutatakse majandusliku riskimaandusena käesoleva lisa 2. osa punkti 137 tähenduses.</w:t>
      </w:r>
    </w:p>
    <w:p w:rsidR="009569C7" w:rsidRPr="00EC4FA2" w:rsidRDefault="00A834F1" w:rsidP="009569C7">
      <w:pPr>
        <w:pStyle w:val="Baseparagraphnumbered"/>
      </w:pPr>
      <w:r>
        <w:t xml:space="preserve">BADil põhineva siseriikliku GAAPi kohaselt hõlmavad finantsvarade puhul „soetusmaksumusepõhised meetodid“ neid hindamiseeskirju, mille alusel võlainstrumentide väärtust mõõdetakse soetusmaksumuses, millele on liidetud kogunenud intress ja millest on lahutatud väärtuse </w:t>
      </w:r>
      <w:r w:rsidR="00EF2CCD">
        <w:t>langus.</w:t>
      </w:r>
    </w:p>
    <w:p w:rsidR="009569C7" w:rsidRPr="00EC4FA2" w:rsidRDefault="00A834F1" w:rsidP="009569C7">
      <w:pPr>
        <w:pStyle w:val="Baseparagraphnumbered"/>
      </w:pPr>
      <w:r>
        <w:t xml:space="preserve">BADil põhineva siseriikliku GAAPi kohaselt hõlmavad „soetusmaksumusepõhisel meetodil mõõdetud finantsvarad, mida ei kasutata kauplemisel ja mis ei ole tuletisinstrumendid“ finantsinstrumente, mida mõõdetakse soetusmaksumusepõhisel meetodil, samuti instrumente, mida mõõdetakse kas soetusmaksumuses või turuväärtuses, olenevalt sellest, kumb on väiksem („LOCOM“), mittepidevalt („mõõdukas LOCOM“), olenemata nende tegelikust mõõtmisest aruandekuupäeva seisuga. Mõõduka LOCOMi kohaselt mõõdetud varad on varad, mille puhul LOCOMit kohaldatakse üksnes teatavate asjaolude korral. Kohaldatava raamatupidamistavaga on selliste asjaolude (nt väärtuse langus) puhul ette nähtud õiglase väärtuse pikaajaline langus võrreldes soetusmaksumusega või varahalduskavatsuse </w:t>
      </w:r>
      <w:r w:rsidR="00EF2CCD">
        <w:t>muutus.</w:t>
      </w:r>
    </w:p>
    <w:p w:rsidR="009569C7" w:rsidRPr="00EC4FA2" w:rsidRDefault="00A834F1" w:rsidP="009569C7">
      <w:pPr>
        <w:pStyle w:val="Baseparagraphnumbered"/>
      </w:pPr>
      <w:r>
        <w:t>BADil põhineva siseriikliku GAAPi kohaselt sisaldab kirje „muud finantsvarad, mida ei kasutata kauplemisel ja mis ei ole tuletisinstrumendid“ finantsvarasid, mida ei saa liigitada muudesse arvestusportfellidesse. See arvestusportfell hõlmab muu hulgas finantsvarasid, mida mõõdetakse LOCOMi kohaselt pidevalt („range LOCOM“). Range LOCOMi kohaselt mõõdetud varad on varad, mille puhul on kohaldatavas raamatupidamistavas ette nähtud esmane ja järgnev mõõtmine LOCOMi kohaselt või esmane mõõtmine soetusmaksumuses ja järgnev mõõtmine LOCOMi kohaselt.</w:t>
      </w:r>
    </w:p>
    <w:p w:rsidR="009569C7" w:rsidRPr="00EC4FA2" w:rsidRDefault="00A834F1" w:rsidP="009569C7">
      <w:pPr>
        <w:pStyle w:val="Baseparagraphnumbered"/>
      </w:pPr>
      <w:r>
        <w:t>Olenemata mõõtmismeetodist kajastatakse investeeringud tütarettevõtjatesse, ühisettevõtjatesse ja sidusettevõtjatesse, kes ei ole täielikult või proportsionaalselt konsolideeritud regulatiivse konsolideerimise alusel, kirje „investeeringud tütarettevõtjatesse, ühisettevõtjatesse ja sidusettevõtjatesse“ all, välja arvatud juhul, kui need on liigitatud IFRS 5 kohaselt müügiks hoitavaks.</w:t>
      </w:r>
    </w:p>
    <w:p w:rsidR="009569C7" w:rsidRPr="00EC4FA2" w:rsidRDefault="00A834F1" w:rsidP="009569C7">
      <w:pPr>
        <w:pStyle w:val="Baseparagraphnumbered"/>
      </w:pPr>
      <w:r>
        <w:t xml:space="preserve"> „Tuletisinstrumendid – riskimaandamise arves</w:t>
      </w:r>
      <w:r w:rsidR="000F4147">
        <w:t>tus“ hõlmab tuletisinstrumente,</w:t>
      </w:r>
      <w:r>
        <w:t xml:space="preserve"> mille puhul on aruandval krediidiasutusel või </w:t>
      </w:r>
      <w:r>
        <w:lastRenderedPageBreak/>
        <w:t xml:space="preserve">investeerimisühingul positiivne saldo ja mida hoitakse IFRSi kohaselt riskimaandamise arvestuse eesmärgil. BADil põhineva siseriikliku GAAPi kohaselt liigitatakse kauplemisportfellivälised tuletisinstrumendid riskimaandamise arvestuse eesmärgil hoitavateks tuletisinstrumentideks ainult juhul, kui kohaldatava BADil põhineva siseriikliku GAAPi kohaselt on kauplemisportfelliväliste tuletisinstrumentide jaoks olemas erilised raamatupidamiseeskirjad ning tuletisinstrumendid vähendavad muu kauplemisportfelli </w:t>
      </w:r>
      <w:r w:rsidR="00EF2CCD">
        <w:t>mittekuuluva positsiooni riski.</w:t>
      </w:r>
    </w:p>
    <w:p w:rsidR="009569C7" w:rsidRPr="00EC4FA2" w:rsidRDefault="00A834F1" w:rsidP="009569C7">
      <w:pPr>
        <w:pStyle w:val="sub-subtitlenumbered"/>
        <w:keepNext/>
        <w:ind w:left="788" w:hanging="431"/>
        <w:jc w:val="both"/>
      </w:pPr>
      <w:r>
        <w:t xml:space="preserve"> </w:t>
      </w:r>
      <w:bookmarkStart w:id="24" w:name="_Toc361844204"/>
      <w:bookmarkStart w:id="25" w:name="_Toc362359276"/>
      <w:bookmarkStart w:id="26" w:name="_Toc467855199"/>
      <w:bookmarkStart w:id="27" w:name="_Toc485887309"/>
      <w:r>
        <w:t>Finantskohustused</w:t>
      </w:r>
      <w:bookmarkEnd w:id="24"/>
      <w:bookmarkEnd w:id="25"/>
      <w:bookmarkEnd w:id="26"/>
      <w:bookmarkEnd w:id="27"/>
    </w:p>
    <w:p w:rsidR="009569C7" w:rsidRPr="00EC4FA2" w:rsidRDefault="00A834F1" w:rsidP="009569C7">
      <w:pPr>
        <w:pStyle w:val="Baseparagraphnumbered"/>
      </w:pPr>
      <w:r>
        <w:t>Finantskohustuste puhul kasutatakse järgmisi IFRSi</w:t>
      </w:r>
      <w:r w:rsidR="00EF2CCD">
        <w:t>l põhinevaid arvestusportfelle:</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„kauplemise</w:t>
      </w:r>
      <w:r w:rsidR="00EF2CCD">
        <w:rPr>
          <w:rFonts w:ascii="Times New Roman" w:hAnsi="Times New Roman"/>
          <w:sz w:val="24"/>
        </w:rPr>
        <w:t>ks hoitavad finantskohustused“;</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„finantskohustused õiglases väärtuses m</w:t>
      </w:r>
      <w:r w:rsidR="000F4147">
        <w:rPr>
          <w:rFonts w:ascii="Times New Roman" w:hAnsi="Times New Roman"/>
          <w:sz w:val="24"/>
        </w:rPr>
        <w:t>uutustega läbi kasumiaruande“;</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„amortiseeritud soetusmaksumuses mõõdetud finantskohustused“.</w:t>
      </w:r>
    </w:p>
    <w:p w:rsidR="009569C7" w:rsidRPr="00EC4FA2" w:rsidRDefault="00A834F1" w:rsidP="009569C7">
      <w:pPr>
        <w:pStyle w:val="Baseparagraphnumbered"/>
      </w:pPr>
      <w:r>
        <w:t xml:space="preserve">Finantskohustuste puhul kasutatakse järgmisi siseriiklikul GAAPil põhinevaid arvestusportfelle: </w:t>
      </w:r>
    </w:p>
    <w:p w:rsidR="009569C7" w:rsidRPr="00EC4FA2" w:rsidRDefault="00EF2CCD" w:rsidP="009569C7">
      <w:pPr>
        <w:pStyle w:val="Baseparagraphnumbered"/>
        <w:numPr>
          <w:ilvl w:val="0"/>
          <w:numId w:val="0"/>
        </w:numPr>
        <w:ind w:left="1134" w:hanging="283"/>
      </w:pPr>
      <w:r>
        <w:t>a)</w:t>
      </w:r>
      <w:r>
        <w:tab/>
      </w:r>
      <w:r w:rsidR="00A834F1">
        <w:t xml:space="preserve">„kauplemisel </w:t>
      </w:r>
      <w:r>
        <w:t>kasutatavad finantskohustused“;</w:t>
      </w:r>
    </w:p>
    <w:p w:rsidR="009569C7" w:rsidRPr="00EC4FA2" w:rsidRDefault="00EF2CCD" w:rsidP="009569C7">
      <w:pPr>
        <w:pStyle w:val="Baseparagraphnumbered"/>
        <w:numPr>
          <w:ilvl w:val="0"/>
          <w:numId w:val="0"/>
        </w:numPr>
        <w:ind w:left="1134" w:hanging="283"/>
      </w:pPr>
      <w:r>
        <w:t>b)</w:t>
      </w:r>
      <w:r>
        <w:tab/>
      </w:r>
      <w:r w:rsidR="00A834F1">
        <w:t>„soetusmaksumusepõhisel meetodil mõõdetud finantskohustused, mida ei kasutata kauplemisel ja mis ei ole tuletisinstrumendid“.</w:t>
      </w:r>
    </w:p>
    <w:p w:rsidR="009569C7" w:rsidRPr="00EC4FA2" w:rsidRDefault="00A834F1" w:rsidP="009569C7">
      <w:pPr>
        <w:pStyle w:val="Baseparagraphnumbered"/>
      </w:pPr>
      <w:r>
        <w:t>Kirje „kauplemisel kasutatavad finantskohustused“ hõlmab kõiki finantskohustusi, mis liigitatakse kohaldatava BADil põhineva siseriikliku GAAPi kohaselt kauplemisel kasutatavate finantskohustuste alla. Olenemata sellest, millist mõõtmismeetodit kohaldatava BADil põhineva siseriikliku GAAPi alusel kasutatakse, kajastatakse kõik tuletisinstrumendid, mille puhul on aruandval krediidiasutusel või investeerimisühingul negatiivne saldo ja mis ei ole liigitatud vastavalt käesoleva osa punktile 26 riskimaandamise arvestuse eesmärgil hoitavateks, kauplemisel kasutatavate finantskohustustena. Seda liigitust kohaldatakse ka selliste tu</w:t>
      </w:r>
      <w:r w:rsidR="000F4147">
        <w:t>letisinstrumentide suhtes, mida</w:t>
      </w:r>
      <w:r>
        <w:t xml:space="preserve"> BADil põhineva siseriikliku GAAPi kohaselt bilansis ei kajastata või mille puhul kajastatakse bilansis ainult nende õiglase väärtuse muutused või mida kasutatakse majandusliku riskimaandusena käesoleva lisa 2. osa punkti 137 tähenduses.</w:t>
      </w:r>
    </w:p>
    <w:p w:rsidR="009569C7" w:rsidRPr="00EC4FA2" w:rsidRDefault="00A834F1" w:rsidP="009569C7">
      <w:pPr>
        <w:pStyle w:val="Baseparagraphnumbered"/>
      </w:pPr>
      <w:r>
        <w:t xml:space="preserve">„Tuletisinstrumendid – riskimaandamise arvestus“ hõlmab tuletisinstrumente, mille puhul on aruandval krediidiasutusel või investeerimisühingul negatiivne saldo ja mida hoitakse IFRSi kohaselt riskimaandamise arvestuse eesmärgil. BADil põhineva siseriikliku GAAPi kohaselt liigitatakse kauplemisportfellivälised tuletisinstrumendid riskimaandamise arvestuse eesmärgil hoitavateks tuletisinstrumentideks ainult juhul, kui kohaldatava BADil põhineva siseriikliku GAAPi kohaselt on kauplemisportfelliväliste tuletisinstrumentide jaoks olemas erilised raamatupidamiseeskirjad ning </w:t>
      </w:r>
      <w:r>
        <w:lastRenderedPageBreak/>
        <w:t xml:space="preserve">tuletisinstrumendid vähendavad muu kauplemisportfelli </w:t>
      </w:r>
      <w:r w:rsidR="00EF2CCD">
        <w:t>mittekuuluva positsiooni riski.</w:t>
      </w:r>
    </w:p>
    <w:p w:rsidR="009569C7" w:rsidRPr="00EC4FA2" w:rsidRDefault="00A834F1" w:rsidP="009569C7">
      <w:pPr>
        <w:pStyle w:val="subtitlenumbered"/>
        <w:numPr>
          <w:ilvl w:val="0"/>
          <w:numId w:val="17"/>
        </w:numPr>
        <w:jc w:val="both"/>
      </w:pPr>
      <w:bookmarkStart w:id="28" w:name="_Toc362359277"/>
      <w:bookmarkStart w:id="29" w:name="_Toc467855200"/>
      <w:bookmarkStart w:id="30" w:name="_Toc485887310"/>
      <w:r>
        <w:t>Finantsinstrumendid</w:t>
      </w:r>
      <w:bookmarkEnd w:id="28"/>
      <w:bookmarkEnd w:id="29"/>
      <w:bookmarkEnd w:id="30"/>
    </w:p>
    <w:p w:rsidR="009569C7" w:rsidRPr="00EC4FA2" w:rsidRDefault="00A834F1" w:rsidP="009569C7">
      <w:pPr>
        <w:pStyle w:val="Baseparagraphnumbered"/>
      </w:pPr>
      <w:r>
        <w:t>III, IV ja käesoleva lisa kohaldamisel tähendab „bilansiline väärtus“ (IFRSi kohaselt „bilansiline (jääk)maksumus“) summat, mis kajastatakse bilansis. Finantsinstrumentide bilansiline väärtus sisaldab kogunenud intressi. Kohaldatava BADil põhineva siseriikliku GAAPi kohaselt on tuletisinstrumentide bilansiline väärtus kas siseriikliku GAAPi kohane bilansiline väärtus, mis sisaldab laekumisi, preemiat ja eraldisi, kui see on asjakohane, või null, kui tuletisinstrumente ei kajastata bilansis.</w:t>
      </w:r>
    </w:p>
    <w:p w:rsidR="009569C7" w:rsidRPr="00EC4FA2" w:rsidRDefault="00A834F1" w:rsidP="009569C7">
      <w:pPr>
        <w:pStyle w:val="Baseparagraphnumbered"/>
      </w:pPr>
      <w:r>
        <w:t>Kohaldatava BADil põhineva siseriikliku GAAPi kohaselt kajastamise korral kajastatakse finantsinstrumentidega seotud laekumised ja edasi lükkunud maksed, sealhulgas kogunenud intress, preemiad ja allahindlused või tehingukulud, koos instrumentidega ja mitte muude v</w:t>
      </w:r>
      <w:r w:rsidR="00EF2CCD">
        <w:t>aradena või muude kohustustena.</w:t>
      </w:r>
    </w:p>
    <w:p w:rsidR="009569C7" w:rsidRPr="00EC4FA2" w:rsidRDefault="00A834F1" w:rsidP="009569C7">
      <w:pPr>
        <w:pStyle w:val="Baseparagraphnumbered"/>
      </w:pPr>
      <w:r>
        <w:t>Kui see on kohaldatav BADil põhineva siseriikliku GAAPi kohaselt, esitatakse „õiglases väärtuses kajastatud kauplemispositsioonide väärtuskärped“. Väärtuskärped vähendavad kauplemisel kasutatavate varade väärtust ja suurendavad kauplemisel kasutatavate kohustuste väärtust.</w:t>
      </w:r>
    </w:p>
    <w:p w:rsidR="009569C7" w:rsidRPr="00EC4FA2" w:rsidRDefault="00A834F1" w:rsidP="009569C7">
      <w:pPr>
        <w:pStyle w:val="sub-subtitlenumbered"/>
        <w:jc w:val="both"/>
      </w:pPr>
      <w:bookmarkStart w:id="31" w:name="_Toc467855201"/>
      <w:bookmarkStart w:id="32" w:name="_Toc485887311"/>
      <w:r>
        <w:t>Finantsvarad</w:t>
      </w:r>
      <w:bookmarkEnd w:id="31"/>
      <w:bookmarkEnd w:id="32"/>
    </w:p>
    <w:p w:rsidR="009569C7" w:rsidRPr="00EC4FA2" w:rsidRDefault="00A834F1" w:rsidP="009569C7">
      <w:pPr>
        <w:pStyle w:val="Baseparagraphnumbered"/>
      </w:pPr>
      <w:r>
        <w:t>Finantsvarad jaotatakse instrumentide järgmiste liikide vahel: „sularaha“, „tuletisinstrumendid“, „omakapitaliinstrumendid“, „võlaväärtpaberid“ ning „laenud ja ettemaksed“.</w:t>
      </w:r>
    </w:p>
    <w:p w:rsidR="009569C7" w:rsidRPr="00EC4FA2" w:rsidRDefault="00A834F1" w:rsidP="009569C7">
      <w:pPr>
        <w:pStyle w:val="Baseparagraphnumbered"/>
      </w:pPr>
      <w:r>
        <w:t>„Võlaväärtpaberid“ on krediidiasutuse või investeerimisühingu hoitavad võlainstrumendid, mis on emiteeritud väärtpaberitena ning ei ole EKP bilansikirjete määruse kohaselt laenud.</w:t>
      </w:r>
    </w:p>
    <w:p w:rsidR="009569C7" w:rsidRPr="00EC4FA2" w:rsidRDefault="00A834F1" w:rsidP="009569C7">
      <w:pPr>
        <w:pStyle w:val="Baseparagraphnumbered"/>
      </w:pPr>
      <w:r>
        <w:t>„Laenud ja ettemaksed“ on krediidiasutuste ja investeerimisühingute hoitavad võlainstrumendid, mis ei ole väärtpaberid; see kirje hõlmab nii EKP bilansikirjete määruse kohaseid „laene“ kui ka ettemakseid, mida ei saa EKP bilansikirjete määruse kohaselt liigitada „laenudeks“. Kirjet „ettemaksed, mis ei ole laenud“ kirjeldatakse täpsemalt käesoleva lisa</w:t>
      </w:r>
      <w:r w:rsidR="00EF2CCD">
        <w:t xml:space="preserve"> 2. osa punkti 85 alapunktis g.</w:t>
      </w:r>
    </w:p>
    <w:p w:rsidR="009569C7" w:rsidRPr="00EC4FA2" w:rsidRDefault="00A834F1" w:rsidP="009569C7">
      <w:pPr>
        <w:pStyle w:val="Baseparagraphnumbered"/>
      </w:pPr>
      <w:r>
        <w:t>FINREPi puhul hõlmavad „võlainstrumendid“ „laene ja ettemakseid“ ning „võlaväärtpabereid“.</w:t>
      </w:r>
    </w:p>
    <w:p w:rsidR="009569C7" w:rsidRPr="00EC4FA2" w:rsidRDefault="00A834F1" w:rsidP="009569C7">
      <w:pPr>
        <w:pStyle w:val="sub-subtitlenumbered"/>
        <w:jc w:val="both"/>
      </w:pPr>
      <w:bookmarkStart w:id="33" w:name="_Toc467855202"/>
      <w:bookmarkStart w:id="34" w:name="_Toc485887312"/>
      <w:r>
        <w:t>Bilansiline brutoväärtus</w:t>
      </w:r>
      <w:bookmarkEnd w:id="33"/>
      <w:bookmarkEnd w:id="34"/>
    </w:p>
    <w:p w:rsidR="009569C7" w:rsidRPr="00EC4FA2" w:rsidRDefault="00A834F1" w:rsidP="009569C7">
      <w:pPr>
        <w:pStyle w:val="Baseparagraphnumbered"/>
      </w:pPr>
      <w:r>
        <w:t>Võlainstrumentide bilansiline brutoväärtus tähendab järgmist:</w:t>
      </w:r>
    </w:p>
    <w:p w:rsidR="009569C7" w:rsidRPr="00EC4FA2" w:rsidRDefault="00A834F1" w:rsidP="00EF2CCD">
      <w:pPr>
        <w:pStyle w:val="Baseparagraphnumbered"/>
        <w:numPr>
          <w:ilvl w:val="1"/>
          <w:numId w:val="27"/>
        </w:numPr>
        <w:ind w:left="1134" w:hanging="425"/>
      </w:pPr>
      <w:r>
        <w:t xml:space="preserve">IFRSi ja BADil põhineva siseriikliku GAAPi kohaselt sõltub õiglases väärtuses muutustega läbi kasumiaruande mõõdetud selliste võlainstrumentide bilansiline brutoväärtus, mis ei kuulu kauplemiseks hoitavate instrumentide portfelli ega kauplemisportfelli, sellest, kas need </w:t>
      </w:r>
      <w:r>
        <w:lastRenderedPageBreak/>
        <w:t>on liigitatud nõuetekohaselt teenindatavateks või viivises olevateks. Nõuetekohaselt teenindatavate võlainstrumentide bilansiline brutoväärtus on õiglane väärtus. Viivises võlainstrumentide bilansiline brutoväärtus on õiglane väärtus pärast krediidiriskist tuleneva õiglase väärtuse akumuleeritud negatiivse korrigeerimise (nagu määratletud käesoleva lisa 2. osa punktis 69) tagasi liitmist. Bilansilise brutoväärtuse mõõtmiseks hinnatakse võlainstrumentide väärtust konkreetse finantsinstrumendi tasandil;</w:t>
      </w:r>
    </w:p>
    <w:p w:rsidR="009569C7" w:rsidRPr="00EC4FA2" w:rsidRDefault="00A834F1" w:rsidP="009569C7">
      <w:pPr>
        <w:pStyle w:val="Baseparagraphnumbered"/>
        <w:numPr>
          <w:ilvl w:val="1"/>
          <w:numId w:val="27"/>
        </w:numPr>
        <w:ind w:left="1134" w:hanging="425"/>
      </w:pPr>
      <w:r>
        <w:t>IFRSi kohaselt tähendab bilansiline brutoväärtus võlainstrumentide puhul, mis on kirjendatud kas amortiseeritud soetusmaksumuses või õiglases väärtuses muu koondkasumi kaudu, bilansilist väärtust enne mis tahes kahju allahindlusega korrigeerimist;</w:t>
      </w:r>
    </w:p>
    <w:p w:rsidR="009569C7" w:rsidRPr="00EC4FA2" w:rsidRDefault="00A834F1" w:rsidP="009569C7">
      <w:pPr>
        <w:pStyle w:val="Baseparagraphnumbered"/>
        <w:numPr>
          <w:ilvl w:val="1"/>
          <w:numId w:val="27"/>
        </w:numPr>
        <w:ind w:left="1134" w:hanging="425"/>
      </w:pPr>
      <w:r>
        <w:t>BADil põhineva siseriikliku GAAPi kohaselt on kirje „soetusmaksumusepõhisel meetodil mõõdetud finantsvarad, mida ei kasutata kauplemisel ja mis ei ole tuletisinstrumendid“ alla liigitatud võlainstrumentide puhul langenud väärtusega vara bilansiline brutoväärtus bilansiline väärtus enne krediidiriskiga seotud spetsiifilise allahindlusega korrigeerimist. Langemata väärtusega vara bilansiline brutoväärtus on bilansiline väärtus enne krediidiriskiga seotud üldise allahindlusega korrigeerimist ja pangandusriskiga seotud üldise allahindlusega korrigeerimist, kui se</w:t>
      </w:r>
      <w:r w:rsidR="00EF2CCD">
        <w:t>e mõjutab bilansilist väärtust;</w:t>
      </w:r>
    </w:p>
    <w:p w:rsidR="009569C7" w:rsidRPr="00EC4FA2" w:rsidRDefault="00A834F1" w:rsidP="009569C7">
      <w:pPr>
        <w:pStyle w:val="Baseparagraphnumbered"/>
        <w:numPr>
          <w:ilvl w:val="1"/>
          <w:numId w:val="27"/>
        </w:numPr>
        <w:ind w:left="1134" w:hanging="425"/>
      </w:pPr>
      <w:r>
        <w:t>BADil põhineva siseriikliku GAAPi kohaselt sõltub selliste võlainstrumentide bilansiline brutoväärtus, mis on liigitatud kirje „omakapitalis kajastatavad õiglases väärtuses mõõdetavad finantsvarad, mida ei kasutata kauplemisel ja mis ei ole tuletisinstrumendid“ alla, sellest, kas nende finantsvarade suhtes kohaldatakse väärtuse languse nõudeid. Kui nende suhtes kohaldatakse väärtuse languse nõudeid, on bilansiline brutoväärtus bilansiline brutoväärtus enne mis tahes väärtuse akumuleeritud langusega korrigeerimist, järgides eespool punktis c esitatud nõudeid langenud väärtusega ja langemata väärtusega varade puhul, või õiglase väärtuse korrigeerimise akumuleeritud summa, mida käsitatakse väärtuse langusest tuleneva kahjumina. Kui nende finantsvarade suhtes ei kohaldata väärtuse languse nõudeid, on nende finantsvarade bilansiline brutoväärtus nõuetekohaselt teenindatavate nõuete puhul õiglane väärtus ja viivisnõuete puhul õiglane väärtus pärast krediidiriskist tuleneva õiglase väärtuse akumuleeritud negatiivse korrigeerimise tagasi liitmist;</w:t>
      </w:r>
    </w:p>
    <w:p w:rsidR="009569C7" w:rsidRPr="00EC4FA2" w:rsidRDefault="00A834F1" w:rsidP="009569C7">
      <w:pPr>
        <w:pStyle w:val="Baseparagraphnumbered"/>
        <w:numPr>
          <w:ilvl w:val="1"/>
          <w:numId w:val="27"/>
        </w:numPr>
        <w:ind w:left="1134" w:hanging="425"/>
      </w:pPr>
      <w:r>
        <w:t>BADil põhineva siseriikliku GAAPi kohaselt on range või mõõduka LOCOMi kohaselt mõõdetud võlainstrumentide bilansiline brutoväärtus soetusmaksumus, kui neid on aruandeperioodi jooksul mõõdetud soetusmaksumuses. Kui neid võlainstrumente on mõõdetud turuväärtuses, on bilansiline brutoväärtus turuväärtus enne väärtuse korr</w:t>
      </w:r>
      <w:r w:rsidR="00EF2CCD">
        <w:t>igeerimist krediidiriski tõttu;</w:t>
      </w:r>
    </w:p>
    <w:p w:rsidR="009569C7" w:rsidRPr="00EC4FA2" w:rsidRDefault="00A834F1" w:rsidP="009569C7">
      <w:pPr>
        <w:pStyle w:val="Baseparagraphnumbered"/>
        <w:numPr>
          <w:ilvl w:val="1"/>
          <w:numId w:val="27"/>
        </w:numPr>
        <w:ind w:left="1134" w:hanging="425"/>
      </w:pPr>
      <w:r>
        <w:t xml:space="preserve">BADil põhineva siseriikliku GAAPi kohaselt on selliste võlainstrumentide bilansiline brutoväärtus, mida kajastatakse kirje „muud finantsvarad, mida </w:t>
      </w:r>
      <w:r>
        <w:lastRenderedPageBreak/>
        <w:t>ei kasutata kauplemisel ja mis ei ole tuletisinstrumendid“ all muu mõõtmismeetodi kui LOCOM kohaselt, bilansiline väärtus enne mis tahes sellise väärtuse korrigeerimise arvesse võtmist, mida käsitatakse vääruse langusena;</w:t>
      </w:r>
    </w:p>
    <w:p w:rsidR="009569C7" w:rsidRPr="00EC4FA2" w:rsidRDefault="00A834F1" w:rsidP="009569C7">
      <w:pPr>
        <w:pStyle w:val="Baseparagraphnumbered"/>
        <w:numPr>
          <w:ilvl w:val="1"/>
          <w:numId w:val="27"/>
        </w:numPr>
        <w:ind w:left="1134" w:hanging="425"/>
      </w:pPr>
      <w:r>
        <w:t>BADil põhineva siseriikliku GAAPi kohaste kauplemisel kasutatavate finantsvarade või IFRSi kohaste kauplemiseks hoitavate finantsvarade bilansiline brutoväärtus on õiglane väärtus. Kui BADil põhineva siseriikliku GAAPi kohaselt on ette nähtud kauplemisel kasutatavate ja õiglases väärtuses mõõdetavate instrumentide väärtuskärped, on finantsinstrumentide bilansiline väärtus õiglane väärtus enne neid väärtuskärpeid.</w:t>
      </w:r>
    </w:p>
    <w:p w:rsidR="009569C7" w:rsidRPr="00EC4FA2" w:rsidRDefault="00A834F1" w:rsidP="009569C7">
      <w:pPr>
        <w:pStyle w:val="sub-subtitlenumbered"/>
        <w:jc w:val="both"/>
      </w:pPr>
      <w:bookmarkStart w:id="35" w:name="_Toc361844207"/>
      <w:bookmarkStart w:id="36" w:name="_Toc362359279"/>
      <w:bookmarkStart w:id="37" w:name="_Toc467855203"/>
      <w:bookmarkStart w:id="38" w:name="_Toc485887313"/>
      <w:r>
        <w:t>Finantskohustused</w:t>
      </w:r>
      <w:bookmarkEnd w:id="35"/>
      <w:bookmarkEnd w:id="36"/>
      <w:bookmarkEnd w:id="37"/>
      <w:bookmarkEnd w:id="38"/>
    </w:p>
    <w:p w:rsidR="009569C7" w:rsidRPr="00EC4FA2" w:rsidRDefault="00A834F1" w:rsidP="009569C7">
      <w:pPr>
        <w:pStyle w:val="Baseparagraphnumbered"/>
      </w:pPr>
      <w:r>
        <w:t>Finantskohustused jaotatakse instrumentide järgmiste liikide vahel: „tuletisinstrumendid“, „lühikesed positsioonid“, „hoiused“, „emiteeritud võlaväärtpaberid“ ja „muud finantskohustused“.</w:t>
      </w:r>
    </w:p>
    <w:p w:rsidR="009569C7" w:rsidRPr="00EC4FA2" w:rsidRDefault="00A834F1" w:rsidP="009569C7">
      <w:pPr>
        <w:pStyle w:val="Baseparagraphnumbered"/>
      </w:pPr>
      <w:r>
        <w:t>III, IV ja käesoleva lisa kohaldamisel kasutatakse EKP bilansikirjete määruse 2. osa II lisas</w:t>
      </w:r>
      <w:r w:rsidR="00EF2CCD">
        <w:t xml:space="preserve"> esitatud „hoiuste“ määratlust.</w:t>
      </w:r>
    </w:p>
    <w:p w:rsidR="009569C7" w:rsidRPr="00EC4FA2" w:rsidRDefault="00A834F1" w:rsidP="009569C7">
      <w:pPr>
        <w:pStyle w:val="Baseparagraphnumbered"/>
      </w:pPr>
      <w:r>
        <w:t xml:space="preserve"> „Emiteeritud võlaväärtpaberid“ on võlainstrumendid, mille krediidiasutus või investeerimisühing on emiteerinud väärtpaberitena ning mis ei ole EKP bilansikirjete määruse kohaselt hoiused.</w:t>
      </w:r>
    </w:p>
    <w:p w:rsidR="009569C7" w:rsidRPr="00EC4FA2" w:rsidRDefault="00A834F1" w:rsidP="009569C7">
      <w:pPr>
        <w:pStyle w:val="Baseparagraphnumbered"/>
      </w:pPr>
      <w:r>
        <w:t>„Muud finantskohustused“ hõlmavad kõiki finantskohustusi, mis ei ole tuletisinstrumendid, lühikesed positsioonid, hoiused ega emiteeritud võlaväärtpa</w:t>
      </w:r>
      <w:r w:rsidR="00EF2CCD">
        <w:t>berid.</w:t>
      </w:r>
    </w:p>
    <w:p w:rsidR="009569C7" w:rsidRPr="00EC4FA2" w:rsidRDefault="00A834F1" w:rsidP="009569C7">
      <w:pPr>
        <w:pStyle w:val="Baseparagraphnumbered"/>
      </w:pPr>
      <w:r>
        <w:t>IFRSi kohaselt hõlmavad „muud finantskohustused“ antud finantsgarantiisid, kui need on mõõdetud kas õiglases väärtuses muutustega läbi kasumiaruande kajastamisega [IFRS 9 paragrahvi 4.2.1 punkt a] või esmaselt arvele võetud summas, millest on lahutatud kumulatiivne amortisatsioon [IFRS 9 paragrahvi 4.2.1 punkti c alapunkt ii]. Siduvad laenuandmiskohustused kajastatakse kirje „muud finantskohustused“ all juhul, kui need on määratletud õiglases väärtuses muutustega läbi kasumiaruande kajastatavate finantskohustustena [IFRS 9 paragrahvi 4.2.1 punkt a] või kui need on siduvad kohustused anda laenu turu intressimäärast madalama intressimääraga [IFRS 9 paragrahvi 2.3 punkt c, IF</w:t>
      </w:r>
      <w:r w:rsidR="00EF2CCD">
        <w:t>RS 9 paragrahvi 4.2.1 punkt d].</w:t>
      </w:r>
    </w:p>
    <w:p w:rsidR="009569C7" w:rsidRPr="00EC4FA2" w:rsidRDefault="00A834F1" w:rsidP="009569C7">
      <w:pPr>
        <w:pStyle w:val="Baseparagraphnumbered"/>
      </w:pPr>
      <w:r>
        <w:t>Kui siduvaid laenuandmiskohustusi, antud finantsgarantiisid ja muid võetud siduvaid kohustusi mõõdetakse õiglases väärtuses muutustega läbi kasumiaruande, kajastatakse õiglase väärtuse muutust, sealhulgas krediidiriskist tingitud muutus, kirje „muud finantskohustused“ all ja mitte eraldisena kirje „võetud siduvad kohu</w:t>
      </w:r>
      <w:r w:rsidR="00EF2CCD">
        <w:t>stused ja antud garantiid“ all.</w:t>
      </w:r>
    </w:p>
    <w:p w:rsidR="009569C7" w:rsidRPr="00EC4FA2" w:rsidRDefault="00A834F1" w:rsidP="009569C7">
      <w:pPr>
        <w:pStyle w:val="Baseparagraphnumbered"/>
      </w:pPr>
      <w:r>
        <w:t xml:space="preserve">„Muud finantskohustused“ hõlmavad ka maksmisele kuuluvaid dividende, vahekirjetega ja siirdekirjetega seoses maksmisele kuuluvaid summasid ning väärtpaberitehingute või valuutavahetustehingute tulevaste arveldustega </w:t>
      </w:r>
      <w:r>
        <w:lastRenderedPageBreak/>
        <w:t>seoses maksmisele kuuluvaid summasid, kui tehingutega seoses maksmisele kuuluvad summad kajastatakse enne makse kuupäeva.</w:t>
      </w:r>
    </w:p>
    <w:p w:rsidR="009569C7" w:rsidRPr="00EC4FA2" w:rsidRDefault="00A834F1" w:rsidP="009569C7">
      <w:pPr>
        <w:pStyle w:val="subtitlenumbered"/>
        <w:numPr>
          <w:ilvl w:val="0"/>
          <w:numId w:val="17"/>
        </w:numPr>
        <w:jc w:val="both"/>
      </w:pPr>
      <w:bookmarkStart w:id="39" w:name="_Toc361844208"/>
      <w:bookmarkStart w:id="40" w:name="_Toc362359280"/>
      <w:bookmarkStart w:id="41" w:name="_Toc467855204"/>
      <w:bookmarkStart w:id="42" w:name="_Toc485887314"/>
      <w:r>
        <w:t>Vastaspoolte liigitus</w:t>
      </w:r>
      <w:bookmarkEnd w:id="39"/>
      <w:bookmarkEnd w:id="40"/>
      <w:bookmarkEnd w:id="41"/>
      <w:bookmarkEnd w:id="42"/>
    </w:p>
    <w:p w:rsidR="009569C7" w:rsidRPr="00EC4FA2" w:rsidRDefault="00A834F1" w:rsidP="009569C7">
      <w:pPr>
        <w:pStyle w:val="Baseparagraphnumbered"/>
      </w:pPr>
      <w:r>
        <w:t>Kui on nõutud vastaspoolte liigitamine, kasutatakse järgmisi vastaspoole sektoreid:</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keskpangad;</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valitsemissektor: keskvalitsus, osariikide/liidumaade või piirkondlik valitsus, kohalik omavalitsus, sealhulgas haldusorganid ja mittetulunduslikud ettevõtted, kuid välja arvatud nende valitsemisasutuste hallatavad avalikud ja mitteavalikud äriühingud, mis tegelevad äritegevusega (need kajastatakse sõltuvalt nende tegevusest kirjete „krediidiasutused“, „muud finantssektori äriühingud“ või „finantssektorivälised äriühingud“ all); sotsiaalkindlustusfondid; ja rahvusvahelised organisatsioonid nagu Euroopa Liidu institutsioonid, Rahvusvaheline Valuutafond ja Rahvusvaheliste Arvelduste Pank;</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krediidiasutused: mis tahes krediidiasutused, mis on hõlmatud kapitalinõuete määruse artikli 4 lõike 1 punktis 1 esitatud määratlusega („ettevõtja, kelle majandustegevuseks on hoiuste või muude tagasimakstavate vahendite võtmine avalikkuselt ning oma arvel ja nimel laenu andmine“) ja mitmepoolsed arengupangad;</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muud finantssektori äriühingud: kõik finantssektori äriühingud ja kvaasiäriühingud, kes ei ole krediidiasutused, näiteks investeerimisühingud, investeerimisfondid, kindlustusandjad, pensionifondid, ühiseks investeerimiseks loodud ettevõtjad ja kliiringukojad, ning ülejäänud finantsvahendajad, finantsvahenduse abiettevõtjad, varasid hoidvad finantsasutused ja laenuandjad;</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finantssektorivälised äriühingud: äriühingud ja kvaasiäriühingud, kes ei tegele finantsvahendusega, vaid peamiselt turustatava kauba tootmise ja mittefinantsteenuste osutamisega vastaval</w:t>
      </w:r>
      <w:r w:rsidR="008D7A37">
        <w:rPr>
          <w:rFonts w:ascii="Times New Roman" w:hAnsi="Times New Roman"/>
          <w:sz w:val="24"/>
        </w:rPr>
        <w:t>t EKP bilansikirjete määrusele;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kodumajapidamised: üksikisikud või üksikisikute rühmad kui tarbijad ja kui tootjad, kes toodavad kaupu ja osutavad mittefinantsteenuseid üksnes oma lõpptarbimiseks, ning kui turustatavate kaupade tootjad ja finants- ja mittefinantsteenuste osutajad, tingimusel et nende tegevusvaldkond ei vasta kvaasiäriühingute tegevusvaldkonnale. Sellesse sektorisse kuuluvad ka kodumajapidamisi teenindavad kasumitaotluseta institutsioonid, kes peamiselt tegelevad turuväliste kaupade tootmise ja teenuste osutamisega teatavate</w:t>
      </w:r>
      <w:r w:rsidR="008D7A37">
        <w:rPr>
          <w:rFonts w:ascii="Times New Roman" w:hAnsi="Times New Roman"/>
          <w:sz w:val="24"/>
        </w:rPr>
        <w:t>le kodumajapidamiste rühmadele.</w:t>
      </w:r>
    </w:p>
    <w:p w:rsidR="009569C7" w:rsidRPr="00EC4FA2" w:rsidRDefault="00A834F1" w:rsidP="009569C7">
      <w:pPr>
        <w:pStyle w:val="Baseparagraphnumbered"/>
      </w:pPr>
      <w:r>
        <w:t xml:space="preserve">Vastaspoole sektori jaotuse aluseks on üksnes vahetu vastaspoole olemus. Rohkem kui ühel vastaspoolel ühiselt tekkinud nõuete liigitamine toimub vastaspoole selliste tunnuste alusel, mis olid krediidiasutuse või investeerimisühingu jaoks asjakohasemad või määravamad riskipositsiooni võimaldamisel. Ka muude liigituste puhul peab ühiselt tekkinud nõuete jaotus </w:t>
      </w:r>
      <w:r>
        <w:lastRenderedPageBreak/>
        <w:t>vastaspoole sektori, asukohariigi ja NACE koodide alusel toimuma olulisema või määravama vastaspoole tunnuste põhjal.</w:t>
      </w:r>
    </w:p>
    <w:p w:rsidR="009569C7" w:rsidRPr="00EC4FA2" w:rsidRDefault="00A834F1" w:rsidP="009569C7">
      <w:pPr>
        <w:pStyle w:val="Baseparagraphnumbered"/>
      </w:pPr>
      <w:r>
        <w:t>Järgmiste tehingute vahetud vastaspooled on:</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laenude ja ettemaksete puhul vahetu laenuvõtja.</w:t>
      </w:r>
      <w:r>
        <w:t xml:space="preserve"> </w:t>
      </w:r>
      <w:r>
        <w:rPr>
          <w:rFonts w:ascii="Times New Roman" w:hAnsi="Times New Roman"/>
          <w:sz w:val="24"/>
        </w:rPr>
        <w:t>Klientide vastu olevate nõuete puhul on vahetu laenuvõtja vastaspool, kes peab nõude täitma, välja arvatud regressiõigusega tehingute puhul, kui vahetu laenuvõtja on nõuete ülekandja, kui aruandev krediidiasutus või investeerimisühing ei omanda oluliselt kõiki ülekantud nõuete omamisega seotud riske ja kasu;</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võlaväärtpaberite ja omakapitaliinstrumentide </w:t>
      </w:r>
      <w:r w:rsidR="000F4147">
        <w:rPr>
          <w:rFonts w:ascii="Times New Roman" w:hAnsi="Times New Roman"/>
          <w:sz w:val="24"/>
        </w:rPr>
        <w:t>puhul väärtpaberite emiteerija;</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hoiuste puhul hoiustaja;</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lühikeste positsioonide puhul väärtpaberite laenuks võtmise tehingu või pöördrepolepingu vastaspool;</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tuletisinstrumentide puhul tuletislepingute otsene vastaspool. Keskselt kliiritavate börsiväliste tuletisinstrumentide puhul on otsene vastaspool keskse vastaspoolena tegutsev kliiringukoda. Krediidiriski tuletisinstrumentide vastaspoolte jaotuses on lähtutud sektorist, kuhu lepingu vastaspool (krediidiriski kaitse ostja või müüja) kuulub;</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antud finantsgarantiide puhul on vastaspool garanteeritud võlainstrumendi otsene vastaspool;</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võetud siduvate laenuandmiskohustuste ja muude võetud siduvate kohustuste puhul vastaspool, kelle krediidiriski aruandev krediidiasutus</w:t>
      </w:r>
      <w:r w:rsidR="000F4147">
        <w:rPr>
          <w:rFonts w:ascii="Times New Roman" w:hAnsi="Times New Roman"/>
          <w:sz w:val="24"/>
        </w:rPr>
        <w:t xml:space="preserve"> või investeerimisühing kannab;</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saadud siduvate laenuandmiskohuste, saadud finantsgarantiide ja muude saadud siduvate kohustuste puhul garantiiandja või vastaspool, kes aruandva krediidiasutuse või investeerimisühingu suhtes siduva kohustuse võttis.</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3" w:name="_Toc361844209"/>
      <w:r>
        <w:rPr>
          <w:rFonts w:ascii="Times New Roman" w:hAnsi="Times New Roman"/>
          <w:b/>
          <w:sz w:val="24"/>
        </w:rPr>
        <w:t>2. OSA</w:t>
      </w:r>
      <w:bookmarkEnd w:id="43"/>
    </w:p>
    <w:p w:rsidR="009569C7" w:rsidRPr="00EC4FA2" w:rsidRDefault="00A834F1" w:rsidP="009569C7">
      <w:pPr>
        <w:pStyle w:val="Heading1"/>
        <w:jc w:val="both"/>
      </w:pPr>
      <w:bookmarkStart w:id="44" w:name="_Toc362359281"/>
      <w:bookmarkStart w:id="45" w:name="_Toc467855205"/>
      <w:bookmarkStart w:id="46" w:name="_Toc485887315"/>
      <w:r>
        <w:t>Vormide täitmise juhised</w:t>
      </w:r>
      <w:bookmarkEnd w:id="44"/>
      <w:bookmarkEnd w:id="45"/>
      <w:bookmarkEnd w:id="46"/>
    </w:p>
    <w:p w:rsidR="009569C7" w:rsidRPr="00EC4FA2" w:rsidRDefault="00A834F1" w:rsidP="009569C7">
      <w:pPr>
        <w:pStyle w:val="subtitlenumbered"/>
        <w:keepNext/>
        <w:numPr>
          <w:ilvl w:val="0"/>
          <w:numId w:val="36"/>
        </w:numPr>
        <w:jc w:val="both"/>
      </w:pPr>
      <w:bookmarkStart w:id="47" w:name="_Toc361844211"/>
      <w:bookmarkStart w:id="48" w:name="_Toc362359282"/>
      <w:bookmarkStart w:id="49" w:name="_Toc467855206"/>
      <w:bookmarkStart w:id="50" w:name="_Toc485887316"/>
      <w:r>
        <w:t>Bilanss</w:t>
      </w:r>
      <w:bookmarkEnd w:id="47"/>
      <w:bookmarkEnd w:id="48"/>
      <w:bookmarkEnd w:id="49"/>
      <w:bookmarkEnd w:id="50"/>
    </w:p>
    <w:p w:rsidR="009569C7" w:rsidRPr="00EC4FA2" w:rsidRDefault="00A834F1" w:rsidP="009569C7">
      <w:pPr>
        <w:pStyle w:val="sub-subtitlenumbered"/>
        <w:jc w:val="both"/>
      </w:pPr>
      <w:bookmarkStart w:id="51" w:name="_Toc361844212"/>
      <w:bookmarkStart w:id="52" w:name="_Toc362359283"/>
      <w:bookmarkStart w:id="53" w:name="_Toc467855207"/>
      <w:bookmarkStart w:id="54" w:name="_Toc485887317"/>
      <w:r>
        <w:t>Varad (1.1)</w:t>
      </w:r>
      <w:bookmarkEnd w:id="51"/>
      <w:bookmarkEnd w:id="52"/>
      <w:bookmarkEnd w:id="53"/>
      <w:bookmarkEnd w:id="54"/>
    </w:p>
    <w:p w:rsidR="009569C7" w:rsidRPr="00EC4FA2" w:rsidRDefault="00A834F1" w:rsidP="009569C7">
      <w:pPr>
        <w:pStyle w:val="Baseparagraphnumbered"/>
        <w:numPr>
          <w:ilvl w:val="0"/>
          <w:numId w:val="35"/>
        </w:numPr>
      </w:pPr>
      <w:bookmarkStart w:id="55" w:name="_Toc246513943"/>
      <w:bookmarkStart w:id="56" w:name="_Toc246730615"/>
      <w:bookmarkStart w:id="57" w:name="_Toc246730706"/>
      <w:bookmarkEnd w:id="55"/>
      <w:bookmarkEnd w:id="56"/>
      <w:bookmarkEnd w:id="57"/>
      <w:r>
        <w:t>„Sularaha“ hõlmab hoitavaid siseriiklikke ja välismaised ringluses olevaid pangatähti ja münte, mida üldiselt kasutatakse maksete tegemiseks.</w:t>
      </w:r>
    </w:p>
    <w:p w:rsidR="009569C7" w:rsidRPr="00EC4FA2" w:rsidRDefault="00A834F1" w:rsidP="009569C7">
      <w:pPr>
        <w:pStyle w:val="Baseparagraphnumbered"/>
      </w:pPr>
      <w:r>
        <w:t>„Nõuded keskpankadele“ hõlmavad keskpankade vastu olevaid nõudmiseni hoitavaid rahalisi nõudeid.</w:t>
      </w:r>
    </w:p>
    <w:p w:rsidR="009569C7" w:rsidRPr="00EC4FA2" w:rsidRDefault="00A834F1" w:rsidP="009569C7">
      <w:pPr>
        <w:pStyle w:val="Baseparagraphnumbered"/>
      </w:pPr>
      <w:r>
        <w:lastRenderedPageBreak/>
        <w:t>„Muud nõudmiseni hoiused“ hõlmavad krediidia</w:t>
      </w:r>
      <w:r w:rsidR="008D7A37">
        <w:t>sutustes olevaid nõudehoiuseid.</w:t>
      </w:r>
    </w:p>
    <w:p w:rsidR="009569C7" w:rsidRPr="00EC4FA2" w:rsidRDefault="00A834F1" w:rsidP="009569C7">
      <w:pPr>
        <w:pStyle w:val="Baseparagraphnumbered"/>
      </w:pPr>
      <w:r>
        <w:t>„Investeeringud tütarettevõtjatesse, ühisettevõtjatesse ja sidusettevõtjatesse“ hõlmavad investeeringuid sellistesse sidusettevõtjatesse, ühisettevõtjatesse ja tütarettevõtjatesse, kes ei ole täielikult või proportsionaalselt konsolideeritud regulatiivse konsolideerimise alusel, välja arvatud juhul, kui need on liigitatud IFRS 5 kohaselt müügiks hoitavaks, olenemata sellest, kuidas neid mõõdetakse, sealhulgas juhul, kui raamatupidamisstandardite kohaselt võib neid kaasata erinevatesse finantsinstrumentide puhul kasutatavatesse arvestusportfellidesse. Kapitaliosaluse meetodil arvestatud investeeringute bilansiline väärtus si</w:t>
      </w:r>
      <w:r w:rsidR="008D7A37">
        <w:t>saldab asjaomast firmaväärtust.</w:t>
      </w:r>
    </w:p>
    <w:p w:rsidR="009569C7" w:rsidRPr="00EC4FA2" w:rsidRDefault="00A834F1" w:rsidP="009569C7">
      <w:pPr>
        <w:pStyle w:val="Baseparagraphnumbered"/>
      </w:pPr>
      <w:r>
        <w:t>Varad, mis ei ole finantsvara ja mida nende olemuse tõttu ei saaks liigitada teatavatele bilansikirjetele, tuleb kajastada kirjel „muud varad“. Muud varad hõlmavad muu hulgas kulda, hõbedat ja muid kaupu, isegi kui neid</w:t>
      </w:r>
      <w:r w:rsidR="008D7A37">
        <w:t xml:space="preserve"> hoitakse kauplemise eesmärgil.</w:t>
      </w:r>
    </w:p>
    <w:p w:rsidR="009569C7" w:rsidRPr="00EC4FA2" w:rsidRDefault="00A834F1" w:rsidP="009569C7">
      <w:pPr>
        <w:pStyle w:val="Baseparagraphnumbered"/>
      </w:pPr>
      <w:r>
        <w:t>Kohaldatava BADil põhineva siseriikliku GAAPi kohaselt kajastatakse tagasi ostetud omaaktsiate bilansilist väärtust kirje „muud varad“ all, kui kohaldatava siseriikliku GAAPi kohaselt</w:t>
      </w:r>
      <w:r w:rsidR="008D7A37">
        <w:t xml:space="preserve"> on varana kajastamine lubatud.</w:t>
      </w:r>
    </w:p>
    <w:p w:rsidR="009569C7" w:rsidRPr="00EC4FA2" w:rsidRDefault="00A834F1" w:rsidP="009569C7">
      <w:pPr>
        <w:pStyle w:val="Baseparagraphnumbered"/>
      </w:pPr>
      <w:r>
        <w:t>Kirjel „müügiks hoitavad põhivarad ja müügigrupid“ on sam</w:t>
      </w:r>
      <w:r w:rsidR="008D7A37">
        <w:t>a tähendus kui IFRS 5 kohaselt.</w:t>
      </w:r>
    </w:p>
    <w:p w:rsidR="009569C7" w:rsidRPr="00EC4FA2" w:rsidRDefault="00A834F1" w:rsidP="009569C7">
      <w:pPr>
        <w:pStyle w:val="sub-subtitlenumbered"/>
        <w:jc w:val="both"/>
      </w:pPr>
      <w:bookmarkStart w:id="58" w:name="_Toc361844213"/>
      <w:bookmarkStart w:id="59" w:name="_Toc362359284"/>
      <w:bookmarkStart w:id="60" w:name="_Toc467855208"/>
      <w:bookmarkStart w:id="61" w:name="_Toc485887318"/>
      <w:r>
        <w:t>Kohustused (1.2)</w:t>
      </w:r>
      <w:bookmarkEnd w:id="58"/>
      <w:bookmarkEnd w:id="59"/>
      <w:bookmarkEnd w:id="60"/>
      <w:bookmarkEnd w:id="61"/>
    </w:p>
    <w:p w:rsidR="009569C7" w:rsidRPr="00EC4FA2" w:rsidRDefault="00A834F1" w:rsidP="009569C7">
      <w:pPr>
        <w:pStyle w:val="Baseparagraphnumbered"/>
      </w:pPr>
      <w:bookmarkStart w:id="62" w:name="_Toc246513946"/>
      <w:bookmarkStart w:id="63" w:name="_Toc246730618"/>
      <w:bookmarkStart w:id="64" w:name="_Toc246730709"/>
      <w:bookmarkEnd w:id="62"/>
      <w:bookmarkEnd w:id="63"/>
      <w:bookmarkEnd w:id="64"/>
      <w:r>
        <w:t xml:space="preserve"> BADil põhineva siseriikliku GAAPi kohaselt kajastatakse eraldised portfelli riskimaanduse ebaefektiivsest osast tuleneva võimaliku kahjumi jaoks real „Tuletisinstrumendid – riskimaandamise arvestus“, kui kahjum tuleneb riskimaanduse tuletisinstrumendi hindamisest, või real „Maandatavate instrumentide õiglase väärtuse muutused portfelli intressiriski maandamisel“, kui kahjum tuleneb maandatud positsiooni hindamisest. Kui riskimaanduse tuletisinstrumendi hindamisest tulenevat kahjumit ja maandatud positsiooni hindamisest tulenevat kahjumit ei ole võimalik eristada, kajastatakse kõik eraldised portfelli riskimaanduse ebaefektiivsest osast tuleneva võimaliku kahjumi jaoks real „Tuletisinstrumendid – riskimaandamise arvestus“.</w:t>
      </w:r>
    </w:p>
    <w:p w:rsidR="009569C7" w:rsidRPr="00EC4FA2" w:rsidRDefault="00A834F1" w:rsidP="009569C7">
      <w:pPr>
        <w:pStyle w:val="Baseparagraphnumbered"/>
      </w:pPr>
      <w:r>
        <w:t>Eraldised „pensionide ja muude töösuhtejärgsete kindlaksmääratud hüvitistega seotud kohustuste“ jaoks hõlmavad kindlaksmääratud h</w:t>
      </w:r>
      <w:r w:rsidR="008D7A37">
        <w:t>üvitiste kohustuste netosummat.</w:t>
      </w:r>
    </w:p>
    <w:p w:rsidR="009569C7" w:rsidRPr="00EC4FA2" w:rsidRDefault="00A834F1" w:rsidP="009569C7">
      <w:pPr>
        <w:pStyle w:val="Baseparagraphnumbered"/>
      </w:pPr>
      <w:r>
        <w:t>IFRSi kohaselt hõlmavad eraldised „muud pikaajalised hüvitised töötajatele“ IAS 19 paragrahvis 153 loetletud töötajate pikaajaliste hüvitiste skeemide puudujääke. Töötajate lühiajaliste hüvitiste [IAS 19 paragrahvi 11 punkt a], kindlaksmääratud sissemaksetega skeemide [IAS 19 paragrahvi 51 punkt a] ja töösuhte lõpetamise hüvitiste viitvõlad [IAS 19 paragrahvi 169 punkt a] kajastatakse kirjel „muud kohustused“.</w:t>
      </w:r>
    </w:p>
    <w:p w:rsidR="009569C7" w:rsidRPr="00EC4FA2" w:rsidRDefault="00A834F1" w:rsidP="009569C7">
      <w:pPr>
        <w:pStyle w:val="Baseparagraphnumbered"/>
      </w:pPr>
      <w:r>
        <w:t xml:space="preserve">IFRS 9 kohaselt hõlmavad „võetud siduvate kohustuste ja antud garantiide“ eraldised kõigi siduvate kohustuste ja garantiidega seotud eraldisi, sõltumata </w:t>
      </w:r>
      <w:r>
        <w:lastRenderedPageBreak/>
        <w:t>sellest, kas nende väärtuse langus määratakse kindlaks IFRS 9 kohaselt või kas eraldiste tegemine toimub IAS 37 kohaselt või kas neid käsitatakse kindlustuslepingutena IFRS 4 kohaselt. Õiglases väärtuses muutustega läbi kasumiaruande mõõdetud siduvatest kohustustest ja finantsgarantiidest tulenevaid kohustusi ei kajastata eraldistena, kuigi need tulenevad krediidiriskist, vaid „muude finantskohustustena“ vastavalt käesoleva lisa 1. osa punktile 40. BADil põhineva siseriikliku GAAPi kohaselt hõlmavad „võetud siduvate kohustuste ja antud garantiide“ eraldised kõigi siduvate kohustuste ja garantiidega seotud eraldisi.</w:t>
      </w:r>
    </w:p>
    <w:p w:rsidR="009569C7" w:rsidRPr="00EC4FA2" w:rsidRDefault="00A834F1" w:rsidP="009569C7">
      <w:pPr>
        <w:pStyle w:val="Baseparagraphnumbered"/>
      </w:pPr>
      <w:r>
        <w:t>„Nõudmisel tagasimakstav aktsia- või osakapital“ hõlmab krediidiasutuse või investeerimisühingu emiteeritud kapitaliinstrumente, mis ei vasta omakapitaliks liigitamise kriteeriumidele. Krediidiasutused ja investeerimisühingud kajastavad sellel kirjel ühistuosakuid, mis ei vasta omakapitaliks liigitamise kriteeriumidele.</w:t>
      </w:r>
    </w:p>
    <w:p w:rsidR="009569C7" w:rsidRPr="00EC4FA2" w:rsidRDefault="00A834F1" w:rsidP="009569C7">
      <w:pPr>
        <w:pStyle w:val="Baseparagraphnumbered"/>
      </w:pPr>
      <w:r>
        <w:t>Kohustused, mis ei ole finantskohustused ja mida nende olemuse tõttu ei saaks liigitada teatavatele bilansikirjetele, tuleb kaja</w:t>
      </w:r>
      <w:r w:rsidR="008D7A37">
        <w:t>stada kirjel „muud kohustused“.</w:t>
      </w:r>
    </w:p>
    <w:p w:rsidR="009569C7" w:rsidRPr="00EC4FA2" w:rsidRDefault="00A834F1" w:rsidP="009569C7">
      <w:pPr>
        <w:pStyle w:val="Baseparagraphnumbered"/>
      </w:pPr>
      <w:r>
        <w:t>Kirjel „kohustused, mis kuuluvad müügiks hoitavaks liigitatud müügigruppidesse“ on sam</w:t>
      </w:r>
      <w:r w:rsidR="008D7A37">
        <w:t>a tähendus kui IFRS 5 kohaselt.</w:t>
      </w:r>
    </w:p>
    <w:p w:rsidR="009569C7" w:rsidRPr="00EC4FA2" w:rsidRDefault="00A834F1" w:rsidP="009569C7">
      <w:pPr>
        <w:pStyle w:val="Baseparagraphnumbered"/>
      </w:pPr>
      <w:r>
        <w:t>BADil põhineva siseriikliku GAAPi kohaselt on „Üldine pangandusreserv“ (BADi kohaselt „üldise pangandusriski fond“) summad, mis on määratud BADi artikli 38 kohaselt. Nende kajastamisel esitatakse need eraldi kas kohustustena kirjel „eraldised“ või omakapitalina kirjel „muud reservid“ vastavalt kohaldatavale siseriiklikule GAAPile.</w:t>
      </w:r>
    </w:p>
    <w:p w:rsidR="009569C7" w:rsidRPr="00EC4FA2" w:rsidRDefault="00A834F1" w:rsidP="009569C7">
      <w:pPr>
        <w:pStyle w:val="sub-subtitlenumbered"/>
        <w:jc w:val="both"/>
      </w:pPr>
      <w:bookmarkStart w:id="65" w:name="_Toc361844214"/>
      <w:bookmarkStart w:id="66" w:name="_Toc362359285"/>
      <w:bookmarkStart w:id="67" w:name="_Toc467855209"/>
      <w:bookmarkStart w:id="68" w:name="_Toc485887319"/>
      <w:r>
        <w:t>Omakapital (1.3)</w:t>
      </w:r>
      <w:bookmarkEnd w:id="65"/>
      <w:bookmarkEnd w:id="66"/>
      <w:bookmarkEnd w:id="67"/>
      <w:bookmarkEnd w:id="68"/>
    </w:p>
    <w:p w:rsidR="009569C7" w:rsidRPr="00EC4FA2" w:rsidRDefault="00A834F1" w:rsidP="009569C7">
      <w:pPr>
        <w:pStyle w:val="Baseparagraphnumbered"/>
      </w:pPr>
      <w:r>
        <w:t>IFRSi kohaselt hõlmavad omakapitaliinstrumendid, mis on finantsinstrumendid, IAS 32 rakendamisalasse kuuluvaid l</w:t>
      </w:r>
      <w:r w:rsidR="008D7A37">
        <w:t>epinguid.</w:t>
      </w:r>
    </w:p>
    <w:p w:rsidR="009569C7" w:rsidRPr="00EC4FA2" w:rsidRDefault="00A834F1" w:rsidP="009569C7">
      <w:pPr>
        <w:pStyle w:val="Baseparagraphnumbered"/>
      </w:pPr>
      <w:r>
        <w:t>Kohaldatava BADil põhineva siseriikliku GAAPi kohaselt hõlmab kirje „sissemaksmisele kuuluv, kuid sissemaksmata kapital“ krediidiasutuse või investeerimisühingu emiteeritud sellise kapitali bilansilist väärtust, mis on märkijatelt sissenõutud, kuid mida ei ole aruandekuupäevaks makstud. Kui kapitali suurenemist, millele vastavat summat ei ole veel sisse makstud, kajastatakse aktsia- või osakapitali suurenemisena, kajastatakse sissemaksmisele kuuluv, kuid sissemaksmata kapital vormis 1.3 real „Sissemaksmisele kuuluv, kuid sissemaksmata kapital“ ja vormis 1.1 real „Muud varad“. Kui kohaldatava BADil põhineva siseriikliku GAAPi kohaselt saab kapitali suurenemist kajastada ainult aktsionäridelt makse laekumise järel, sissemaksmata kapitali vormis 1.3 ei kajastata.</w:t>
      </w:r>
    </w:p>
    <w:p w:rsidR="009569C7" w:rsidRPr="00EC4FA2" w:rsidRDefault="00A834F1" w:rsidP="009569C7">
      <w:pPr>
        <w:pStyle w:val="Baseparagraphnumbered"/>
      </w:pPr>
      <w:r>
        <w:t xml:space="preserve">Kirje „liitfinantsinstrumentide omakapitali komponent“ hõlmab krediidiasutuse või investeerimisühingu emiteeritud liitfinantsinstrumentide (st finantsinstrumendid, mis sisaldavad nii kohustuse kui ka omakapitali komponenti) omakapitali komponenti, kui need komponendid on eraldatud vastavalt kohaldatavale raamatupidamistavale (sealhulgas sellised </w:t>
      </w:r>
      <w:r>
        <w:lastRenderedPageBreak/>
        <w:t>liitfinantsinstrumendid, mis sisaldavad mitut tuletisinstrumendi tunnustega väärtpaberit, mille väärtused on vastastikku sõltuvad).</w:t>
      </w:r>
    </w:p>
    <w:p w:rsidR="009569C7" w:rsidRPr="00EC4FA2" w:rsidRDefault="00A834F1" w:rsidP="009569C7">
      <w:pPr>
        <w:pStyle w:val="Baseparagraphnumbered"/>
      </w:pPr>
      <w:r>
        <w:t>„Muud emiteeritud omakapitaliinstrumendid“ hõlmavad omakapitaliinstrumente, mis on finantsinstrumendid, kuid mida ei kajastata kirjetel „kapital“ ega „liitfinantsinstru</w:t>
      </w:r>
      <w:r w:rsidR="008D7A37">
        <w:t>mentide omakapitali komponent“.</w:t>
      </w:r>
    </w:p>
    <w:p w:rsidR="009569C7" w:rsidRPr="00EC4FA2" w:rsidRDefault="00A834F1" w:rsidP="009569C7">
      <w:pPr>
        <w:pStyle w:val="Baseparagraphnumbered"/>
      </w:pPr>
      <w:r>
        <w:t>„Muu omakapital“ sisaldab kõiki omakapitaliinstrumente, mis ei ole finantsinstrumendid, sealhulgas omakapitaliga arveldatavaid aktsiapõhiseid makset</w:t>
      </w:r>
      <w:r w:rsidR="008D7A37">
        <w:t>ehinguid [IFRS 2 paragrahv 10].</w:t>
      </w:r>
    </w:p>
    <w:p w:rsidR="009569C7" w:rsidRPr="00EC4FA2" w:rsidRDefault="00A834F1" w:rsidP="009569C7">
      <w:pPr>
        <w:pStyle w:val="Baseparagraphnumbered"/>
      </w:pPr>
      <w:r>
        <w:t>„Õiglases väärtuses läbi muu koondkasumi mõõdetud omakapitaliinstrumentide õiglase väärtuse muutused“ hõlmab sellistesse omakapitaliinstrumentidesse tehtud investeeringute õiglase väärtuse muutustest tulenevat akumuleeritud kasumit ja kahjumit, mille puhul aruandev üksus on teinud tühistamatu valiku esitada muutused õiglas</w:t>
      </w:r>
      <w:r w:rsidR="008D7A37">
        <w:t>es väärtuses muus koondkasumis.</w:t>
      </w:r>
    </w:p>
    <w:p w:rsidR="009569C7" w:rsidRPr="00EC4FA2" w:rsidRDefault="00A834F1" w:rsidP="009569C7">
      <w:pPr>
        <w:pStyle w:val="Baseparagraphnumbered"/>
      </w:pPr>
      <w:r>
        <w:t>„Õiglases väärtuses läbi muu koondkasumi mõõdetud omakapitaliinstrumentide puhul õiglase väärtuse riskimaanduste ebaefektiivsus“ hõlmab sellisel õiglase väärtuse riskimaandusel tulenevat riskimaanduse akumuleeritud ebaefektiivsust, mille puhul maandatav instrument on õiglases väärtuses läbi muu koondkasumi mõõdetud omakapitaliinstrument. Sellel real kajastatav riskimaanduse ebaefektiivsus on kirje „õiglases väärtuses läbi muu koondkasumi mõõdetud omakapitaliinstrumentide õiglase väärtuse muutused [maandatav instrument]“ all kajastatud omakapitaliinstrumendi õiglase väärtuse akumuleeritud variatsiooni ja kirje „õiglases väärtuses läbi muu koondkasumi mõõdetud omakapitaliinstrumentide õiglase väärtuse muutused [riskimaandamisinstrument]“ all kajastatud riskimaandamisinstrumendi õiglase väärtuse akumuleeritud variatsiooni vahe [IFRS 9 paragrahv 6.</w:t>
      </w:r>
      <w:r w:rsidR="008D7A37">
        <w:t>5.3 ja IFRS 9 paragrahv 6.5.8].</w:t>
      </w:r>
    </w:p>
    <w:p w:rsidR="009569C7" w:rsidRPr="00EC4FA2" w:rsidRDefault="00A834F1" w:rsidP="009569C7">
      <w:pPr>
        <w:pStyle w:val="Baseparagraphnumbered"/>
      </w:pPr>
      <w:r>
        <w:t>„Õiglases väärtuses muutustega läbi kasumiaruande kajastatud finantskohustuste õiglase väärtuse muutused, mis tulenevad krediidiriski muutustest“ hõlmab akumuleeritud kasumit ja kahjumit, mida kajastatakse läbi muu koondkasumi ja mis on seotud enda krediidiriskiga õiglases väärtuses muutustega läbi kasumiaruande kajastatud kohustuste puhul, sõltumata sellest, kas kajastamine toimub e</w:t>
      </w:r>
      <w:r w:rsidR="008D7A37">
        <w:t>smasel kajastamisel või hiljem.</w:t>
      </w:r>
    </w:p>
    <w:p w:rsidR="009569C7" w:rsidRPr="00EC4FA2" w:rsidRDefault="00A834F1" w:rsidP="009569C7">
      <w:pPr>
        <w:pStyle w:val="Baseparagraphnumbered"/>
      </w:pPr>
      <w:r>
        <w:t>„Välismaistesse äriüksustesse tehtud netoinvesteeringute riskimaandus [efektiivne osa]“ hõlmab nii välismaistesse äriüksustesse tehtud netoinvesteeringute kehtivate riskimaanduste kui ka välismaistesse äriüksustesse tehtud netoinvesteeringute selliste riskimaanduste efektiivse osa välisvaluuta ümberarvestamise reservi, mida enam ei kohaldata, samas kui välismaiseid äriüksuseid k</w:t>
      </w:r>
      <w:r w:rsidR="008D7A37">
        <w:t>ajastatakse jätkuvalt bilansis.</w:t>
      </w:r>
    </w:p>
    <w:p w:rsidR="009569C7" w:rsidRPr="00EC4FA2" w:rsidRDefault="00A834F1" w:rsidP="009569C7">
      <w:pPr>
        <w:pStyle w:val="Baseparagraphnumbered"/>
      </w:pPr>
      <w:r>
        <w:t xml:space="preserve">„Riskimaanduse tuletisinstrumendid. Rahavoogude riskimaanduse reserv [efektiivne osa]“ hõlmab riskimaanduse tuletisinstrumentide õiglase väärtuse variatsiooni efektiivse osa rahavoogude riskimaanduse reservi rahavoogude </w:t>
      </w:r>
      <w:r>
        <w:lastRenderedPageBreak/>
        <w:t>riskimaanduse puhul, sealhulgas nii kehtivate kui ka lõpetatud rahavoogude riskimaanduste puhul.</w:t>
      </w:r>
    </w:p>
    <w:p w:rsidR="009569C7" w:rsidRPr="00EC4FA2" w:rsidRDefault="00A834F1" w:rsidP="009569C7">
      <w:pPr>
        <w:pStyle w:val="Baseparagraphnumbered"/>
      </w:pPr>
      <w:r>
        <w:t>„Õiglases väärtuses läbi muu koondkasumi mõõdetud võlainstrumentide õiglase väärtuse muutused“ hõlmab õiglases väärtuses läbi muu koondkasumi mõõdetud võlainstrumentide akumuleeritud kasumit või kahjumit ilma kahju allahindluseta, mida mõõdetakse aruandekuupäeval vastavalt IFRS 9 paragrahvile 5.5.</w:t>
      </w:r>
    </w:p>
    <w:p w:rsidR="009569C7" w:rsidRPr="00EC4FA2" w:rsidRDefault="00A834F1" w:rsidP="009569C7">
      <w:pPr>
        <w:pStyle w:val="Baseparagraphnumbered"/>
      </w:pPr>
      <w:r>
        <w:t>„Riskimaandamisinstrumendid [kajastamata elemendid]“ hõlmab kõigi järgmiste õiglase väärtuse akumuleeritud muutusi:</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optsiooni ajaväärtus, kui kõnealuse optsiooni ajaväärtuse ja sisemise väärtuse muutused on eraldatud ja riskimaandamisinstrumendina kajastatakse üksnes sisemise väärtuse muu</w:t>
      </w:r>
      <w:r w:rsidR="008D7A37">
        <w:rPr>
          <w:rFonts w:ascii="Times New Roman" w:hAnsi="Times New Roman"/>
          <w:sz w:val="24"/>
        </w:rPr>
        <w:t>tust [IFRS 9 paragrahv 6.5.15];</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forvardlepingu forvardelement, kui kõnealuse forvardlepingu forvardelement ja hetkehinna element on eraldatud ja riskimaandamisinstrumendina kajastatakse üksnes forvardlepingu hetkehinna elemendi muutust</w:t>
      </w:r>
      <w:r w:rsidR="008D7A37">
        <w:rPr>
          <w:rFonts w:ascii="Times New Roman" w:hAnsi="Times New Roman"/>
          <w:sz w:val="24"/>
        </w:rPr>
        <w:t>;</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finantsinstrumendi valuuta baashinnavahe, kui seda hinnavahet ei võeta kõnealuse instrumendi kajastamisel riskimaandamisinstrumendina arvesse [IFRS 9 paragrahv 6.5.15, IFRS 9 paragrahv 6.5.16].</w:t>
      </w:r>
    </w:p>
    <w:p w:rsidR="009569C7" w:rsidRPr="00EC4FA2" w:rsidRDefault="00A834F1" w:rsidP="009569C7">
      <w:pPr>
        <w:pStyle w:val="Baseparagraphnumbered"/>
      </w:pPr>
      <w:r>
        <w:t>IFRSi kohaselt hõlmab „ümberhindluse reservid“ reserve, mis tulenevad IASi esmakordsest kasutuselevõtust ja mida ei ole vaba</w:t>
      </w:r>
      <w:r w:rsidR="008D7A37">
        <w:t>statud muud liiki reservidesse.</w:t>
      </w:r>
    </w:p>
    <w:p w:rsidR="009569C7" w:rsidRPr="00EC4FA2" w:rsidRDefault="00A834F1" w:rsidP="009569C7">
      <w:pPr>
        <w:pStyle w:val="Baseparagraphnumbered"/>
      </w:pPr>
      <w:r>
        <w:t>„Muud reservid“ jagunevad kirjeteks „reservid või akumuleeritud kahjum, mis tuleneb tütarettevõtjatesse, ühisettevõtjatesse ja sidusettevõtjatesse tehtud investeeringutest, mida arvestatakse kapitaliosaluse meetodi kohaselt“ ja „muu“. „Reservid või akumuleeritud kahjum, mis tuleneb tütarettevõtjatesse, ühisettevõtjatesse ja sidusettevõtjatesse tehtud investeeringutest, mida arvestatakse kapitaliosaluse meetodi kohaselt“ hõlmab neid akumuleeritud tulusid ja kulusid, mida eespool osutatud investeeringud on eelnevate aastate jooksul kasumi või kahjumi kaudu teeninud, kui neid investeeringuid arvestatakse kapitaliosaluse meetodi kohaselt. „Muu“ hõlmab reserve, mida ei ole eraldi avalikustatud muudel kirjetel ning see võib hõlmata kohustuslikku reservi ja põhikirjaga kehtestatud reservi.</w:t>
      </w:r>
    </w:p>
    <w:p w:rsidR="009569C7" w:rsidRPr="00EC4FA2" w:rsidRDefault="00A834F1" w:rsidP="009569C7">
      <w:pPr>
        <w:pStyle w:val="Baseparagraphnumbered"/>
      </w:pPr>
      <w:r>
        <w:t>„Omaaktsiad“ hõlmavad kõiki finantsinstrumente, mille krediidiasutus või investeerimisühing on tagasi ostnud ja millel on omakapitaliinstrumendi tunnused ning mida ei ole müüdud ega amortiseeritud, välja arvatud juhul, kui kohaldatava BADil põhineva siseriikliku GAAPi kohaselt kajastatak</w:t>
      </w:r>
      <w:r w:rsidR="008D7A37">
        <w:t>se neid kirje „muud varad“ all.</w:t>
      </w:r>
    </w:p>
    <w:p w:rsidR="009569C7" w:rsidRPr="00EC4FA2" w:rsidRDefault="00A834F1" w:rsidP="009569C7">
      <w:pPr>
        <w:pStyle w:val="subtitlenumbered"/>
        <w:jc w:val="both"/>
      </w:pPr>
      <w:bookmarkStart w:id="69" w:name="_Toc246513955"/>
      <w:bookmarkStart w:id="70" w:name="_Toc246730627"/>
      <w:bookmarkStart w:id="71" w:name="_Toc246730718"/>
      <w:bookmarkStart w:id="72" w:name="_Toc361844215"/>
      <w:bookmarkStart w:id="73" w:name="_Toc362359286"/>
      <w:bookmarkStart w:id="74" w:name="_Toc467855210"/>
      <w:bookmarkStart w:id="75" w:name="_Toc485887320"/>
      <w:bookmarkEnd w:id="69"/>
      <w:bookmarkEnd w:id="70"/>
      <w:bookmarkEnd w:id="71"/>
      <w:r>
        <w:t>Kasumiaruanne (2)</w:t>
      </w:r>
      <w:bookmarkEnd w:id="72"/>
      <w:bookmarkEnd w:id="73"/>
      <w:bookmarkEnd w:id="74"/>
      <w:bookmarkEnd w:id="75"/>
    </w:p>
    <w:p w:rsidR="009569C7" w:rsidRPr="00EC4FA2" w:rsidRDefault="00A834F1" w:rsidP="009569C7">
      <w:pPr>
        <w:pStyle w:val="Baseparagraphnumbered"/>
      </w:pPr>
      <w:r>
        <w:t xml:space="preserve">Intressitulu ja intressikulu, mis saadakse finantsinstrumentidest, mida mõõdetakse õiglases väärtuses muutustega läbi kasumiaruande, ja </w:t>
      </w:r>
      <w:r>
        <w:lastRenderedPageBreak/>
        <w:t>kategooriasse „riskimaandamise arvestus“ liigitatud riskimaanduse tuletisinstrumentidest, kajastatakse kas eraldi muust kasumist ja kahjumist kirjetel „intressitulu“ ja „intressikulu“ (nn puhashind (</w:t>
      </w:r>
      <w:r>
        <w:rPr>
          <w:i/>
        </w:rPr>
        <w:t>clean price</w:t>
      </w:r>
      <w:r>
        <w:t>)) või nende instrumendikategooriate kasumi või kahjumina (nn turuhind (</w:t>
      </w:r>
      <w:r>
        <w:rPr>
          <w:i/>
        </w:rPr>
        <w:t>dirty price</w:t>
      </w:r>
      <w:r>
        <w:t>)). Puhas- või turuhinna meetodit kohaldatakse järjepidevalt kõigi finantsinstrumentide suhtes, mida mõõdetakse õiglases väärtuses muutustega läbi kasumiaruande, ja kategooriasse „riskimaandamise arvestus“ liigitatud riskimaanduse tuletisinstrumentide suhtes.</w:t>
      </w:r>
    </w:p>
    <w:p w:rsidR="009569C7" w:rsidRPr="00EC4FA2" w:rsidRDefault="00A834F1" w:rsidP="009569C7">
      <w:pPr>
        <w:pStyle w:val="Baseparagraphnumbered"/>
      </w:pPr>
      <w:r>
        <w:t>Krediidiasutused ja investeerimisühingud esitavad arvestusportfellide lõikes järgmised kirjed, mis hõlmavad tulu ja kulu seoses seotud osapooltega, kes ei ole täielikult või proportsionaalselt konsolideeritud regulatiivse konsolideerimise alusel:</w:t>
      </w:r>
    </w:p>
    <w:p w:rsidR="009569C7" w:rsidRPr="00EC4FA2" w:rsidRDefault="00A834F1" w:rsidP="009569C7">
      <w:pPr>
        <w:pStyle w:val="Baseparagraphnumbered"/>
        <w:numPr>
          <w:ilvl w:val="0"/>
          <w:numId w:val="30"/>
        </w:numPr>
        <w:ind w:left="1134" w:hanging="425"/>
      </w:pPr>
      <w:r>
        <w:t>„intressitulu“;</w:t>
      </w:r>
    </w:p>
    <w:p w:rsidR="009569C7" w:rsidRPr="00EC4FA2" w:rsidRDefault="00A834F1" w:rsidP="009569C7">
      <w:pPr>
        <w:pStyle w:val="Baseparagraphnumbered"/>
        <w:numPr>
          <w:ilvl w:val="0"/>
          <w:numId w:val="30"/>
        </w:numPr>
        <w:ind w:left="1134" w:hanging="425"/>
      </w:pPr>
      <w:r>
        <w:t>„intressikulu“;</w:t>
      </w:r>
    </w:p>
    <w:p w:rsidR="009569C7" w:rsidRPr="00EC4FA2" w:rsidRDefault="00A834F1" w:rsidP="009569C7">
      <w:pPr>
        <w:pStyle w:val="Baseparagraphnumbered"/>
        <w:numPr>
          <w:ilvl w:val="0"/>
          <w:numId w:val="30"/>
        </w:numPr>
        <w:ind w:left="1134" w:hanging="425"/>
      </w:pPr>
      <w:r>
        <w:t>„dividenditulu“;</w:t>
      </w:r>
    </w:p>
    <w:p w:rsidR="009569C7" w:rsidRPr="00EC4FA2" w:rsidRDefault="00A834F1" w:rsidP="009569C7">
      <w:pPr>
        <w:pStyle w:val="Baseparagraphnumbered"/>
        <w:numPr>
          <w:ilvl w:val="0"/>
          <w:numId w:val="30"/>
        </w:numPr>
        <w:ind w:left="1134" w:hanging="425"/>
      </w:pPr>
      <w:r>
        <w:t>„netokasum või -kahjum, mis on saadud selliste finantsvarade ja -kohustuste kajastamise lõpetamisest, mida ei ole mõõdetud õiglases väärtuses muutustega läbi kasumiaruande“;</w:t>
      </w:r>
    </w:p>
    <w:p w:rsidR="009569C7" w:rsidRPr="00EC4FA2" w:rsidRDefault="00A834F1" w:rsidP="009569C7">
      <w:pPr>
        <w:pStyle w:val="Baseparagraphnumbered"/>
        <w:numPr>
          <w:ilvl w:val="0"/>
          <w:numId w:val="30"/>
        </w:numPr>
        <w:ind w:left="1134" w:hanging="425"/>
      </w:pPr>
      <w:r>
        <w:t>„netokasumi või -kahjumi muudatus“;</w:t>
      </w:r>
    </w:p>
    <w:p w:rsidR="009569C7" w:rsidRPr="00EC4FA2" w:rsidRDefault="00A834F1" w:rsidP="009569C7">
      <w:pPr>
        <w:pStyle w:val="Baseparagraphnumbered"/>
        <w:numPr>
          <w:ilvl w:val="0"/>
          <w:numId w:val="30"/>
        </w:numPr>
        <w:ind w:left="1134" w:hanging="425"/>
      </w:pPr>
      <w:r>
        <w:t>„selliste finantsvarade väärtuse langus või (–) väärtuse languse tühistamine, mida ei ole mõõdetud õiglases väärtuses muutustega läbi kasumiaruande“.</w:t>
      </w:r>
    </w:p>
    <w:p w:rsidR="009569C7" w:rsidRPr="00EC4FA2" w:rsidRDefault="00A834F1" w:rsidP="009569C7">
      <w:pPr>
        <w:pStyle w:val="Baseparagraphnumbered"/>
      </w:pPr>
      <w:r>
        <w:t>Kirjed „Intressitulu. Kauplemiseks hoitavad finantsvarad“ ja „Intressikulu. Kauplemiseks hoitavad finantskohustused“ hõlmavad puhashinna kasutamise korral summasid, mis on seotud kategooriasse „kauplemiseks hoitavad“ liigitatud tuletisinstrumentidega, mis on riskimaandamisinstrumendid majanduslikust, kuid mitte arvestuse seisukohast, et esitada maandatavatest finantsinstrumentidest tulenev</w:t>
      </w:r>
      <w:r w:rsidR="008D7A37">
        <w:t xml:space="preserve"> tegelik intressitulu ja -kulu.</w:t>
      </w:r>
    </w:p>
    <w:p w:rsidR="009569C7" w:rsidRPr="00EC4FA2" w:rsidRDefault="00A834F1" w:rsidP="009569C7">
      <w:pPr>
        <w:pStyle w:val="Baseparagraphnumbered"/>
      </w:pPr>
      <w:r>
        <w:t>Puhashinna kasutamise korral hõlmavad kirjed „Intressitulu. Kauplemiseks hoitavad finantsvarad“ ja „Intressikulu. Kauplemiseks hoitavad finantskohustused“ ka ajaliselt jaotatud tasusid ja tasakaalustavaid makseid seoses õiglases väärtuses mõõdetud krediidituletisinstrumentidega, mida kasutatakse sellel juhul õiglases väärtuses muutustega kajastatud kogu finantsinstrumendi või selle osa krediidiriski juht</w:t>
      </w:r>
      <w:r w:rsidR="008D7A37">
        <w:t>imiseks [IFRS 9 paragrahv 6.7].</w:t>
      </w:r>
    </w:p>
    <w:p w:rsidR="009569C7" w:rsidRPr="00EC4FA2" w:rsidRDefault="00A834F1" w:rsidP="009569C7">
      <w:pPr>
        <w:pStyle w:val="Baseparagraphnumbered"/>
      </w:pPr>
      <w:r>
        <w:t xml:space="preserve">Kirjed „Intressitulu. Tuletisinstrumendid – riskimaandamise arvestus, intressirisk“ ja „Intressikulu. Tuletisinstrumendid – riskimaandamise arvestus, intressirisk“ hõlmavad puhashinna kasutamise korral summasid, mis on seotud kategooriasse „riskimaandamise arvestus“ liigitatud tuletisinstrumentidega, mis katavad intressiriski, sealhulgas tasaarvestatavate riskipositsioonidega selliste kirjerühmade riskimaandus (netopositsioonide </w:t>
      </w:r>
      <w:r>
        <w:lastRenderedPageBreak/>
        <w:t>riskimaandus), mille maandatud risk mõjutab kasumiaruande erinevaid kirjeid. Puhashinna kasutamise korral tuleb need esitada brutosummas intressitulu ja -kuluna, nii et need kajastavad maandatavate instrumentidega seotud tegelikku intressitulu ja -kulu. Kui puhashinna kasutamise korral annab maandatav instrument intressitulu (-kulu), kajastatakse neid summasid intressituluna (-kuluna) isegi juhul, kui see on negatiivne (positiivne) summa.</w:t>
      </w:r>
    </w:p>
    <w:p w:rsidR="009569C7" w:rsidRPr="00EC4FA2" w:rsidRDefault="00A834F1" w:rsidP="009569C7">
      <w:pPr>
        <w:pStyle w:val="Baseparagraphnumbered"/>
      </w:pPr>
      <w:r>
        <w:t>Kirje „Intressitulu – muud varad“ hõlmab intressitulu, mida ei kajastata muude kirjete all, nt raha, nõuetega keskpankadele ja muude nõudmiseni hoiustega ning müügiks hoitavateks liigitatud põhivarade ja müügigruppidega seotud intressitulu ning netointressitulu, mis on saadud kindlaksmääratud hüvitiste netovarast.</w:t>
      </w:r>
    </w:p>
    <w:p w:rsidR="009569C7" w:rsidRPr="00EC4FA2" w:rsidRDefault="00A834F1" w:rsidP="009569C7">
      <w:pPr>
        <w:pStyle w:val="Baseparagraphnumbered"/>
      </w:pPr>
      <w:r>
        <w:t>Kui siseriikliku GAAPi kohaselt ei ole nähtud ette teisiti, kajastatakse IFRSi kohaselt negatiivse efektiivse intressimääraga finantskohustuste intressid intressitulu all real „Kohustustelt kogunenud intressitulu“. Need kohustused ja nende intressid tähendavad krediidiasutuse või investeerimisühingu jaoks positiivset tootlust.</w:t>
      </w:r>
    </w:p>
    <w:p w:rsidR="009569C7" w:rsidRPr="00EC4FA2" w:rsidRDefault="00A834F1" w:rsidP="009569C7">
      <w:pPr>
        <w:pStyle w:val="Baseparagraphnumbered"/>
      </w:pPr>
      <w:r>
        <w:t xml:space="preserve"> Kirje „Intressikulu – muud kohustused“ hõlmab intressikulu, mida ei kajastata muude kirjete all, nt intressikulu, mis on seotud müügiks hoitavaks liigitatud müügigruppidesse kuuluvate kohustustega, kulu, mis tuleneb eraldise bilansilise väärtuse suurenemisest aja möödudes, või netointressikulu, mis on tekkinud kindlaksmäära</w:t>
      </w:r>
      <w:r w:rsidR="000F4147">
        <w:t>tud hüvitiste netokohustustest.</w:t>
      </w:r>
    </w:p>
    <w:p w:rsidR="009569C7" w:rsidRPr="00EC4FA2" w:rsidRDefault="00A834F1" w:rsidP="009569C7">
      <w:pPr>
        <w:pStyle w:val="Baseparagraphnumbered"/>
      </w:pPr>
      <w:r>
        <w:t>Kui siseriikliku GAAPi kohaselt ei ole nähtud ette teisiti, kajastatakse IFRSi kohaselt negatiivse efektiivse intressimääraga finantsvarade intressid intressitulu all real „Varadega seotud intressikulu“. Need varad ja nende intressid tähendavad krediidiasutuse või investeerimisühi</w:t>
      </w:r>
      <w:r w:rsidR="000F4147">
        <w:t>ngu jaoks negatiivset tootlust.</w:t>
      </w:r>
    </w:p>
    <w:p w:rsidR="009569C7" w:rsidRPr="00EC4FA2" w:rsidRDefault="00A834F1" w:rsidP="009569C7">
      <w:pPr>
        <w:pStyle w:val="Baseparagraphnumbered"/>
      </w:pPr>
      <w:r>
        <w:t>Õiglases väärtuses muutustega läbi kasumiaruande mõõdetavate omakapitaliinstrumentide dividenditulu kajastatakse kas „dividendituluna“ eraldi kõnealuste instrumendiliikide muust kasumist ja kahjumist, kui kasutatakse puhashinda, või osana kõnealuste instrumendiliikide kasumist või kahjum</w:t>
      </w:r>
      <w:r w:rsidR="000F4147">
        <w:t>ist, kui kasutatakse turuhinda.</w:t>
      </w:r>
    </w:p>
    <w:p w:rsidR="009569C7" w:rsidRPr="00EC4FA2" w:rsidRDefault="00A834F1" w:rsidP="009569C7">
      <w:pPr>
        <w:pStyle w:val="Baseparagraphnumbered"/>
      </w:pPr>
      <w:r>
        <w:t>Õiglases väärtuses muutustega läbi muu koondkasumi kajastatavate omakapitaliinstrumentide dividenditulu hõlmab selliste instrumentidega seotud dividende, mille kajastamine perioodi jooksul lõpetati, ja selliste instrumentidega seotud dividende, mida hoiti aruandeperioodi lõpu seisuga.</w:t>
      </w:r>
    </w:p>
    <w:p w:rsidR="009569C7" w:rsidRPr="00EC4FA2" w:rsidRDefault="00A834F1" w:rsidP="009569C7">
      <w:pPr>
        <w:pStyle w:val="Baseparagraphnumbered"/>
      </w:pPr>
      <w:r>
        <w:t>Tütarettevõtjatesse, ühisettevõtjatesse ja sidusettevõtjatesse tehtud investeeringute dividenditulu hõlmab kõnealuste investeeringute dividende, kui neid investeeringuid arvestatakse muu meetodi kui kapitaliosaluse meetod kohaselt.</w:t>
      </w:r>
    </w:p>
    <w:p w:rsidR="009569C7" w:rsidRPr="00EC4FA2" w:rsidRDefault="00A834F1" w:rsidP="009569C7">
      <w:pPr>
        <w:pStyle w:val="Baseparagraphnumbered"/>
      </w:pPr>
      <w:r>
        <w:t xml:space="preserve">„Kauplemiseks hoitavatest finantsvaradest ja -kohustustest tulenev netokasum või (–) netokahjum“ hõlmab kauplemiseks hoitavateks liigitatud </w:t>
      </w:r>
      <w:r>
        <w:lastRenderedPageBreak/>
        <w:t>finantsinstrumentide uuesti mõõtmisest ja nende kajastamise lõpetamisest tulenevat kasumit ja kahjumit. See kirje hõlmab ka kasumit ja kahjumit, mida saadakse seoses krediidituletisinstrumentidega, mida mõõdetakse õiglases väärtuses muutustega läbi kasumiaruande ja kasutatakse kogu sellise finantsinstrumendi või selle osa krediidiriski juhtimiseks, mida mõõdetakse õiglases väärtuses muutustega läbi kasumiaruande, samuti kauplemiseks hoitavatest finantsvaradest ja -kohustustest tulenevat dividendi- ja intressitulu ja -k</w:t>
      </w:r>
      <w:r w:rsidR="008D7A37">
        <w:t>ulu, kui kasutatakse turuhinda.</w:t>
      </w:r>
    </w:p>
    <w:p w:rsidR="009569C7" w:rsidRPr="00EC4FA2" w:rsidRDefault="00A834F1" w:rsidP="009569C7">
      <w:pPr>
        <w:pStyle w:val="Baseparagraphnumbered"/>
      </w:pPr>
      <w:r>
        <w:t>„Õiglases väärtuses muutustega läbi kasumiaruande kajastatud finantsvaradest ja -kohustustest tulenev kasum või kahjum“ hõlmab ka õiglases väärtuses muutustega läbi kasumiaruande kajastatud kohustuste enda krediidiriskist tulenevat summat, kui enda krediidiriski muutuste kajastamine läbi muu koondkasumi tekitaks arvestuse mittevastavuse või suurendaks seda [IFRS 9 paragrahv 5.7.8]. See kirje hõlmab ka kasumit ja kahjumit, mida saadakse seoses maandatavate instrumentidega, mida kajastatakse õiglases väärtuses muutustega läbi kasumiaruande, kui kajastamist kasutatakse krediidiriski juhtimiseks, samuti õiglases väärtuses muutustega läbi kasumiaruande kajastatud finantsvaradest ja -kohustustest tulenevat intressitulu ja -kulu, kui kasutatakse turuhinda.</w:t>
      </w:r>
    </w:p>
    <w:p w:rsidR="009569C7" w:rsidRPr="00EC4FA2" w:rsidRDefault="00A834F1" w:rsidP="009569C7">
      <w:pPr>
        <w:pStyle w:val="Baseparagraphnumbered"/>
      </w:pPr>
      <w:r>
        <w:t>„Kasum või (–) kahjum, mis on saadud selliste finantsvarade ja -kohustuste kajastamise lõpetamisest, mida ei ole mõõdetud õiglases väärtuses muutustega läbi kasumiaruande“ ei hõlma sellistest omakapitaliinstrumentidest tulenevat kasumit, mida aruandev üksus otsustas mõõta õiglases väärtuses muutustega läbi muu koondkasumi [IFRS 9 paragrahvi 5.7.1 punkt b].</w:t>
      </w:r>
    </w:p>
    <w:p w:rsidR="009569C7" w:rsidRPr="00EC4FA2" w:rsidRDefault="00A834F1" w:rsidP="009569C7">
      <w:pPr>
        <w:pStyle w:val="Baseparagraphnumbered"/>
      </w:pPr>
      <w:r>
        <w:t>Kui ärimudeli muutmise tõttu liigitatakse finantsvara ümber muusse arvestusportfelli, kajastatakse ümberliigitamisest tulenevat kasumit või kahjumit sellise arvestusportfelli asjakohasel real, kuhu finantsvara ümber l</w:t>
      </w:r>
      <w:r w:rsidR="008D7A37">
        <w:t>iigitati, vastavalt järgmisele:</w:t>
      </w:r>
    </w:p>
    <w:p w:rsidR="009569C7" w:rsidRPr="00EC4FA2" w:rsidRDefault="00A834F1" w:rsidP="002A7491">
      <w:pPr>
        <w:numPr>
          <w:ilvl w:val="0"/>
          <w:numId w:val="64"/>
        </w:numPr>
        <w:ind w:hanging="437"/>
        <w:jc w:val="both"/>
        <w:rPr>
          <w:rFonts w:ascii="Times New Roman" w:hAnsi="Times New Roman"/>
          <w:sz w:val="24"/>
          <w:szCs w:val="24"/>
        </w:rPr>
      </w:pPr>
      <w:r>
        <w:rPr>
          <w:rFonts w:ascii="Times New Roman" w:hAnsi="Times New Roman"/>
          <w:sz w:val="24"/>
        </w:rPr>
        <w:t>kui finantsvara liigitatakse ümber amortiseeritud soetusväärtuses mõõtmise kategooriast õiglases väärtuses muutustega läbi kasumiaruande mõõtmise arvestusportfelli [IFRS 9 paragrahv 5.6.2], kajastatakse ümberliigitamisest tulenevat kasumit või kahjumit kirje „kauplemiseks hoitavatest finantsvaradest ja -kohustustest tulenev netokasum või (–) netokahjum“ või kirje „kauplemisel mittekasutatavatest kohustuslikult õiglases väärtuses muutustega läbi kasumiaruande kajastatud finantsvaradest tulenev netokasum või (–) netokahjum“ all, nagu see on asjakohane;</w:t>
      </w:r>
    </w:p>
    <w:p w:rsidR="009569C7" w:rsidRPr="00EC4FA2" w:rsidRDefault="00A834F1" w:rsidP="002A7491">
      <w:pPr>
        <w:numPr>
          <w:ilvl w:val="0"/>
          <w:numId w:val="64"/>
        </w:numPr>
        <w:ind w:hanging="437"/>
        <w:jc w:val="both"/>
        <w:rPr>
          <w:rFonts w:ascii="Times New Roman" w:hAnsi="Times New Roman"/>
          <w:sz w:val="24"/>
          <w:szCs w:val="24"/>
        </w:rPr>
      </w:pPr>
      <w:r>
        <w:rPr>
          <w:rFonts w:ascii="Times New Roman" w:hAnsi="Times New Roman"/>
          <w:sz w:val="24"/>
        </w:rPr>
        <w:t xml:space="preserve">kui finantsvara liigitatakse ümber õiglases väärtuses läbi muu koondkasumi mõõtmise kategooriast õiglases väärtuses muutustega läbi kasumiaruande mõõtmise kategooriasse [IFRS 9 paragrahv 5.6.7], kajastatakse läbi muu koondkasumi mõõtmise kategooriast läbi kasumiaruande mõõtmise kategooriasse ümber liigitatud akumuleeritud kasumit või kahjumit kirje „kauplemiseks hoitavatest finantsvaradest ja -kohustustest tulenev netokasum või (–) netokahjum“ või kirje </w:t>
      </w:r>
      <w:r>
        <w:rPr>
          <w:rFonts w:ascii="Times New Roman" w:hAnsi="Times New Roman"/>
          <w:sz w:val="24"/>
        </w:rPr>
        <w:lastRenderedPageBreak/>
        <w:t>„kauplemisel mittekasutatavatest kohustuslikult õiglases väärtuses muutustega läbi kasumiaruande kajastatud finantsvaradest tulenev netokasum või (–) netokahjum“ all, nagu see on asjakohane.</w:t>
      </w:r>
    </w:p>
    <w:p w:rsidR="009569C7" w:rsidRPr="00EC4FA2" w:rsidRDefault="00A834F1" w:rsidP="009569C7">
      <w:pPr>
        <w:pStyle w:val="Baseparagraphnumbered"/>
      </w:pPr>
      <w:r>
        <w:t>„Riskimaandamise arvestuse netokasum või (–) netokahjum“ hõlmab kasumit ja kahjumit, mis tuleneb riskimaandamisinstrumentidest ja maandatavatest instrumentidest, sealhulgas õiglases väärtuses läbi muu koondkasumi mõõdetud muudest maandatavatest instrumentidest kui omakapitaliinstrumendid, õiglase väärtuse riskimaanduse puhul vastavalt IFRS 9 paragrahvile 6.5.8. See hõlmab ka riskimaandamisinstrumentide õiglase väärtuse variatsiooni ebaefektiivsest osa rahavoogude riskimaanduse puhul. Rahavoogude riskimaanduse reservi või välismaistesse äriüksustesse tehtud netoinvesteeringu riskimaanduse reservi ümberliigitamist kajastatakse kasumiaruande ridadel, mida mõjutavad maandatavate instrumentide rahavood. „Riskimaandamise arvestuse netokasum või (–) netokahjum“ hõlmab ka välismaistesse äriüksustesse tehtud netoinvesteeringu riskimaanduse kasumit ja kahjumit. See kirje hõlmab ka netopositsioonide riskimaanduse kasumit.</w:t>
      </w:r>
    </w:p>
    <w:p w:rsidR="009569C7" w:rsidRPr="00EC4FA2" w:rsidRDefault="00A834F1" w:rsidP="009569C7">
      <w:pPr>
        <w:pStyle w:val="Baseparagraphnumbered"/>
      </w:pPr>
      <w:r>
        <w:t xml:space="preserve"> „Kasum või kahjum, mis tuleneb mittefinantsvara kajastamise lõpetamisest“ hõlmab mittefinantsvara kajastamise lõpetamisest tulenevat kasumit ja kahjumit, välja arvatud juhul, kui mittefinantsvara on liigitatud müügiks hoitavaks või tütarettevõtjatesse, ühisettevõtjatesse ja sidusettevõtjatesse tehtud investeeringuks.</w:t>
      </w:r>
    </w:p>
    <w:p w:rsidR="009569C7" w:rsidRPr="00EC4FA2" w:rsidRDefault="00A834F1" w:rsidP="009569C7">
      <w:pPr>
        <w:pStyle w:val="Baseparagraphnumbered"/>
      </w:pPr>
      <w:r>
        <w:t>„Korrigeerimisest tulenev netokasum või (–) netokahjum“ hõlmab summasid, mis tulenevad finantsvarade bilansilise brutoväärtuse korrigeerimisest, mida tehakse, et kajastada uuesti läbiräägitud või muudetud lepingulisi rahavoogusid [IFRS 9 paragrahv 5.4.3 ja lisa A]. Korrigeerimisest tulenev kasum või kahjum ei hõlma eeldatava krediidikahju korrigeerimise mõju, mis kajastatakse kirje „selliste finantsvarade väärtuse langus või (–) väärtuse languse tühistamine, mida ei ole mõõdetud õiglases väärtuses muutustega läbi kasumiaruande“ all.</w:t>
      </w:r>
    </w:p>
    <w:p w:rsidR="009569C7" w:rsidRPr="00EC4FA2" w:rsidRDefault="00A834F1" w:rsidP="009569C7">
      <w:pPr>
        <w:pStyle w:val="Baseparagraphnumbered"/>
      </w:pPr>
      <w:r>
        <w:t>„Eraldised või (–) eraldiste tühistamine. Võetud siduvad kohustused ja antud garantiid“ hõlmab kasumiaruande netomuutusi kõigi IFRS 9, IAS 37 või IFRS 4 kohaldamisalasse kuuluvate siduvate kohustuste ja garantiide eraldiste puhul vastavalt käesoleva osa punktile 11 või BADil põhineva siseriikliku GAAPi kohaselt. IFRSi kohaselt kajastatakse õiglases väärtuses mõõdetud siduvate kohustuste ja finantsgarantiide õiglase väärtuse muutus kirje „õiglases väärtuses muutustega läbi kasumiaruande kajastatud finantsvaradest ja -kohustustest tulenev netokasum või (–) -netokahjum“ all. Seepärast hõlmavad eraldised selliste siduvate kohustuste ja garantiide väärtuse languse summat, mille puhul määratakse väärtuse langus kindlaks IFRS 9 kohaselt või eraldiste tegemine IAS 37 kohaselt või neid käsitatakse kindlustuslepingutena IFRS 4 kohaselt.</w:t>
      </w:r>
    </w:p>
    <w:p w:rsidR="009569C7" w:rsidRPr="00EC4FA2" w:rsidRDefault="00A834F1" w:rsidP="009569C7">
      <w:pPr>
        <w:pStyle w:val="Baseparagraphnumbered"/>
      </w:pPr>
      <w:r>
        <w:t xml:space="preserve">IFRSi kohaselt hõlmab „selliste finantsvarade väärtuse langus või (–) väärtuse languse tühistamine, mida ei ole mõõdetud õiglases väärtuses muutustega läbi kasumiaruande“ kõiki võlainstrumentide väärtuse langusest tingitud kasumeid </w:t>
      </w:r>
      <w:r>
        <w:lastRenderedPageBreak/>
        <w:t>ja kahjumeid, mis tulenevad IFRS 9 paragrahvi 5.5 kohaste väärtuse languse eeskirjade kohaldamisest, sõltumata sellest, kas IFRS 9 paragrahvi 5.5 kohast eeldatavat krediidikahju hinnatakse 12 kuu või kehtivusaja alusel, ja sealhulgas klientide vastu olevate nõuete, lepinguliste varade ja rendinõuete väärtuse langusest tingitud kasumit või kahj</w:t>
      </w:r>
      <w:r w:rsidR="008D7A37">
        <w:t>umit [IFRS 9 paragrahv 5.5.15].</w:t>
      </w:r>
    </w:p>
    <w:p w:rsidR="009569C7" w:rsidRPr="00EC4FA2" w:rsidRDefault="00A834F1" w:rsidP="009569C7">
      <w:pPr>
        <w:pStyle w:val="Baseparagraphnumbered"/>
      </w:pPr>
      <w:r>
        <w:t>BADil põhineva siseriikliku GAAPi kohaselt hõlmab „selliste finantsvarade väärtuse langus või väärtuse languse tühistamine, mida ei ole mõõdetud õiglases väärtuses muutustega läbi kasumiaruande“ kõiki soetusmaksumusepõhistel meetoditel mõõdetud finantsinstrumentide allahindlusi ja allahindluste tühistamisi, mis on tingitud võlgniku või emitendi krediidikvaliteedi muutusest, samuti sõltuvalt siseriikliku GAAPi sätetest selliste finantsinstrumentide allahindlusi, mida mõõdetakse õiglases väärtuses omakapitalis ja muudel mõõtmismeetodit</w:t>
      </w:r>
      <w:r w:rsidR="008D7A37">
        <w:t>el, sealhulgas LOCOMi kohaselt.</w:t>
      </w:r>
    </w:p>
    <w:p w:rsidR="009569C7" w:rsidRPr="00EC4FA2" w:rsidRDefault="00A834F1" w:rsidP="009569C7">
      <w:pPr>
        <w:pStyle w:val="Baseparagraphnumbered"/>
      </w:pPr>
      <w:r>
        <w:t xml:space="preserve"> „Selliste finantsvarade väärtuse langus või (–) väärtuse languse tühistamine, mida ei ole mõõdetud õiglases väärtuses muutustega läbi kasumiaruande“ hõlmab ka käesoleva lisa käesoleva osa punktides 72 ja 74 ning punkti 165 alapunktis b määratletud mahakantud summasid, mis mahakandmise kuupäeval ületavad kahju allahindluse summat ja mida seepärast kajastatakse kahjumina otse kasumiaruandes, samuti selliste varem maha kantud summade tagasisaamist, mida</w:t>
      </w:r>
      <w:r w:rsidR="008D7A37">
        <w:t xml:space="preserve"> kajastati otse kasumiaruandes.</w:t>
      </w:r>
    </w:p>
    <w:p w:rsidR="009569C7" w:rsidRPr="00EC4FA2" w:rsidRDefault="00A834F1" w:rsidP="009569C7">
      <w:pPr>
        <w:pStyle w:val="Baseparagraphnumbered"/>
      </w:pPr>
      <w:r>
        <w:t>Sellistest tütarettevõtjatest, sidusettevõtjatest ja ühisettevõtjatest tuleneva kasumi või kahjumi osa, keda arvestatakse kapitaliosaluse meetodil regulatiivse konsolideerimise alusel, kajastatakse kirje „osa kasumist või (–) kahjumist, mis tuleneb tütarettevõtjatesse, ühisettevõtjatesse ja sidusettevõtjatesse tehtud investeeringutest, mida arvestatakse kapitaliosaluse meetodi kohaselt“ all. Vastavalt IAS 28 paragrahvile 10 vähendatakse investeeringu bilansilist väärtust kõnealuste üksuste makstud dividendide summa võrra. Kõnealuste investeeringute väärtuse langust kajastatakse kirje „tütarettevõtjatesse, ühisettevõtjatesse ja sidusettevõtjatesse tehtud investeeringute väärtuse langus või (–) väärtuse languse tühistamine“ all. Kõnealuste investeeringute kajastamise lõpetamisest tulenev kasum või kahjum kajastatakse vastavalt käe</w:t>
      </w:r>
      <w:r w:rsidR="008D7A37">
        <w:t>soleva osa punktidele 55 ja 56.</w:t>
      </w:r>
    </w:p>
    <w:p w:rsidR="009569C7" w:rsidRPr="00EC4FA2" w:rsidRDefault="00A834F1" w:rsidP="009569C7">
      <w:pPr>
        <w:pStyle w:val="Baseparagraphnumbered"/>
      </w:pPr>
      <w:r>
        <w:t>Kirje „kasum või kahjum müügiks hoitavatest põhivaradest ja müügigruppidest, mis ei vasta lõpetatud tegevuste kriteeriumidele“ hõlmab kasumit või kahjumit, mis on saadud müügiks hoitavatest põhivaradest ja müügigruppidest, mis ei vasta lõpetatud tegevuste kriteeriumidele.</w:t>
      </w:r>
    </w:p>
    <w:p w:rsidR="009569C7" w:rsidRPr="00EC4FA2" w:rsidRDefault="00A834F1" w:rsidP="009569C7">
      <w:pPr>
        <w:pStyle w:val="Baseparagraphnumbered"/>
      </w:pPr>
      <w:bookmarkStart w:id="76" w:name="_Toc246513959"/>
      <w:bookmarkStart w:id="77" w:name="_Toc246730631"/>
      <w:bookmarkStart w:id="78" w:name="_Toc246730722"/>
      <w:bookmarkEnd w:id="76"/>
      <w:bookmarkEnd w:id="77"/>
      <w:bookmarkEnd w:id="78"/>
      <w:r>
        <w:t>IFRSi kohaselt kajastatakse tütarettevõtjatesse, ühisettevõtjatesse ja sidusettevõtjatesse tehtud investeeringute kajastamise lõpetamisest tulenev kasum või kahjum kirje „lõpetatud tegevuste kasum või (–) kahjum enne tulumaksu“ all, kui neid käsitatakse IFRS 5 kohaselt lõpetatud tegevustena. BADil põhineva siseriikliku GAAPi kohaselt kajastatakse tütarettevõtjatesse, ühisettevõtjatesse ja sidusettevõtjatesse tehtud investeeringute kajastamise lõpetamisest tulenev kasum või kahjum kirje „netokasum või (–) kahjum, mis tuleneb tütarettevõtjatesse, ühisettevõtjatesse ja sidusettevõtjatesse tehtud investeeringute kajastamise lõpetamisest“ all.</w:t>
      </w:r>
    </w:p>
    <w:p w:rsidR="009569C7" w:rsidRPr="00EC4FA2" w:rsidRDefault="00A834F1" w:rsidP="009569C7">
      <w:pPr>
        <w:pStyle w:val="subtitlenumbered"/>
        <w:jc w:val="both"/>
      </w:pPr>
      <w:bookmarkStart w:id="79" w:name="_Toc246513968"/>
      <w:bookmarkStart w:id="80" w:name="_Toc246730640"/>
      <w:bookmarkStart w:id="81" w:name="_Toc246730731"/>
      <w:bookmarkStart w:id="82" w:name="_Toc246513969"/>
      <w:bookmarkStart w:id="83" w:name="_Toc246730641"/>
      <w:bookmarkStart w:id="84" w:name="_Toc246730732"/>
      <w:bookmarkStart w:id="85" w:name="_Toc246513971"/>
      <w:bookmarkStart w:id="86" w:name="_Toc246730643"/>
      <w:bookmarkStart w:id="87" w:name="_Toc246730734"/>
      <w:bookmarkStart w:id="88" w:name="_Toc246513972"/>
      <w:bookmarkStart w:id="89" w:name="_Toc246730644"/>
      <w:bookmarkStart w:id="90" w:name="_Toc246730735"/>
      <w:bookmarkStart w:id="91" w:name="_Toc361844216"/>
      <w:bookmarkStart w:id="92" w:name="_Toc362359287"/>
      <w:bookmarkStart w:id="93" w:name="_Toc467855211"/>
      <w:bookmarkStart w:id="94" w:name="_Toc246770619"/>
      <w:bookmarkStart w:id="95" w:name="_Toc485887321"/>
      <w:bookmarkEnd w:id="79"/>
      <w:bookmarkEnd w:id="80"/>
      <w:bookmarkEnd w:id="81"/>
      <w:bookmarkEnd w:id="82"/>
      <w:bookmarkEnd w:id="83"/>
      <w:bookmarkEnd w:id="84"/>
      <w:bookmarkEnd w:id="85"/>
      <w:bookmarkEnd w:id="86"/>
      <w:bookmarkEnd w:id="87"/>
      <w:bookmarkEnd w:id="88"/>
      <w:bookmarkEnd w:id="89"/>
      <w:bookmarkEnd w:id="90"/>
      <w:r>
        <w:lastRenderedPageBreak/>
        <w:t>Koondkasumiaruanne (3)</w:t>
      </w:r>
      <w:bookmarkEnd w:id="91"/>
      <w:bookmarkEnd w:id="92"/>
      <w:bookmarkEnd w:id="93"/>
      <w:bookmarkEnd w:id="95"/>
    </w:p>
    <w:p w:rsidR="009569C7" w:rsidRPr="00EC4FA2" w:rsidRDefault="00A834F1" w:rsidP="009569C7">
      <w:pPr>
        <w:pStyle w:val="Baseparagraphnumbered"/>
      </w:pPr>
      <w:r>
        <w:t>„Õiglases väärtuses läbi muu koondkasumi mõõdetud omakapitaliinstrumentide riskimaandamise arvestuse netokasum või (–) netokahjum“ hõlmab sellisel õiglase väärtuse riskimaandusel tulenevat riskimaanduse akumuleeritud ebaefektiivsuse muutust, mille puhul maandatav instrument on õiglases väärtuses läbi muu koondkasumi mõõdetud omakapitaliinstrument. Sellel real kajastatav riskimaanduse ebaefektiivsuse muutus on kirje „õiglases väärtuses läbi muu koondkasumi mõõdetud omakapitaliinstrumentide õiglase väärtuse muutused [maandatav instrument]“ all kajastatud omakapitaliinstrumendi õiglase väärtuse variatsiooni muutuse ja kirje „õiglases väärtuses läbi muu koondkasumi mõõdetud omakapitaliinstrumentide õiglase väärtuse muutused [riskimaandamisinstrument]“ all kajastatud riskimaandamisinstrumendi õiglase väärtuse variatsiooni muutuse vahe.</w:t>
      </w:r>
    </w:p>
    <w:p w:rsidR="009569C7" w:rsidRPr="00EC4FA2" w:rsidRDefault="00A834F1" w:rsidP="009569C7">
      <w:pPr>
        <w:pStyle w:val="Baseparagraphnumbered"/>
      </w:pPr>
      <w:r>
        <w:t xml:space="preserve"> „Välismaistesse äriüksustesse tehtud netoinvesteeringute riskimaandus [efektiivne osa]“ hõlmab nii välismaistesse äriüksustesse tehtud netoinvesteeringute kehtivate kui ka lõpetatud riskimaanduste efektiivse osa välisvaluuta ümberarvestamise</w:t>
      </w:r>
      <w:r w:rsidR="008D7A37">
        <w:t xml:space="preserve"> akumuleeritud reservi muutust.</w:t>
      </w:r>
    </w:p>
    <w:p w:rsidR="009569C7" w:rsidRPr="00EC4FA2" w:rsidRDefault="00A834F1" w:rsidP="009569C7">
      <w:pPr>
        <w:pStyle w:val="Baseparagraphnumbered"/>
      </w:pPr>
      <w:r>
        <w:t>Välismaistesse äriüksustesse tehtud netoinvesteeringu riskimaanduse ja rahavoogude riskimaanduse puhul hõlmavad kirje „kasumisse või kahjumisse üle kantud“ all kajastatud vastavad summad summasid, mis kanti üle, sest maandatud rahavood tekk</w:t>
      </w:r>
      <w:r w:rsidR="008D7A37">
        <w:t>isid ja tulevikus enam ei teki.</w:t>
      </w:r>
    </w:p>
    <w:p w:rsidR="009569C7" w:rsidRPr="00EC4FA2" w:rsidRDefault="00A834F1" w:rsidP="009569C7">
      <w:pPr>
        <w:pStyle w:val="Baseparagraphnumbered"/>
      </w:pPr>
      <w:r>
        <w:t>„Riskimaandamisinstrumendid [kajastamata elemendid]“ hõlmab kõigi järgmiste õiglase väärtuse akumuleeritud muutuste muutust, kui neid ei kajastata riskimaanduse komp</w:t>
      </w:r>
      <w:r w:rsidR="008D7A37">
        <w:t>onendina:</w:t>
      </w:r>
    </w:p>
    <w:p w:rsidR="009569C7" w:rsidRPr="00EC4FA2" w:rsidRDefault="008D7A37" w:rsidP="009569C7">
      <w:pPr>
        <w:pStyle w:val="Baseparagraphnumbered"/>
        <w:numPr>
          <w:ilvl w:val="0"/>
          <w:numId w:val="57"/>
        </w:numPr>
        <w:ind w:left="1134" w:hanging="425"/>
      </w:pPr>
      <w:r>
        <w:t>optsioonide ajaväärtus;</w:t>
      </w:r>
    </w:p>
    <w:p w:rsidR="009569C7" w:rsidRPr="00EC4FA2" w:rsidRDefault="00A834F1" w:rsidP="009569C7">
      <w:pPr>
        <w:pStyle w:val="Baseparagraphnumbered"/>
        <w:numPr>
          <w:ilvl w:val="0"/>
          <w:numId w:val="57"/>
        </w:numPr>
        <w:ind w:left="1134" w:hanging="425"/>
      </w:pPr>
      <w:r>
        <w:t>for</w:t>
      </w:r>
      <w:r w:rsidR="008D7A37">
        <w:t>vardlepingute forvardelemendid;</w:t>
      </w:r>
    </w:p>
    <w:p w:rsidR="009569C7" w:rsidRPr="00EC4FA2" w:rsidRDefault="00A834F1" w:rsidP="009569C7">
      <w:pPr>
        <w:pStyle w:val="Baseparagraphnumbered"/>
        <w:numPr>
          <w:ilvl w:val="0"/>
          <w:numId w:val="57"/>
        </w:numPr>
        <w:ind w:left="1134" w:hanging="425"/>
      </w:pPr>
      <w:r>
        <w:t>finantsinstr</w:t>
      </w:r>
      <w:r w:rsidR="008D7A37">
        <w:t>umentide valuuta baashinnavahe.</w:t>
      </w:r>
    </w:p>
    <w:p w:rsidR="009569C7" w:rsidRPr="00EC4FA2" w:rsidRDefault="00A834F1" w:rsidP="009569C7">
      <w:pPr>
        <w:pStyle w:val="Baseparagraphnumbered"/>
      </w:pPr>
      <w:r>
        <w:t>Optsioonide puhul hõlmavad summad, mis on ümber liigitatud kasumisse või kahjumisse ja mida kajastatakse kirje „kasumisse või kahjumisse üle kantud“ all, ümberliigitamist, mis tuleneb optsioonidest, millega maandatakse tehinguga seotud maandatavat instrumenti, ja optsioonidest, millega maandatakse ajaperioodiga seotud maandatavat instrumenti.</w:t>
      </w:r>
    </w:p>
    <w:p w:rsidR="009569C7" w:rsidRPr="00EC4FA2" w:rsidRDefault="00A834F1" w:rsidP="009569C7">
      <w:pPr>
        <w:pStyle w:val="Baseparagraphnumbered"/>
      </w:pPr>
      <w:r>
        <w:t xml:space="preserve">„Õiglases väärtuses läbi muu koondkasumi mõõdetud võlainstrumendid“ hõlmab õiglases väärtuses läbi muu koondkasumi mõõdetud võlainstrumentide kasumit või kahjumit, välja arvatud väärtuse langusest tulenev kasum või kahjum ja vahetuskursikasum või -kahjum, mida kajastatakse vormis 2 vastavalt kirje „selliste finantsvarade väärtuse langus või (–) väärtuse languse tühistamine, mida ei ole mõõdetud õiglases väärtuses muutustega läbi kasumiaruande“ või kirje „vahetuskursi erinevused [kasum või (–) kahjum], neto“ all. „Kasumisse või kahjumisse üle kantud“ hõlmab eelkõige kasumisse või kahjumisse ülekandmist, mis tuleneb kajastamise </w:t>
      </w:r>
      <w:r>
        <w:lastRenderedPageBreak/>
        <w:t>lõpetamisest või õiglases väärtuses muutustega läbi kasumiaruande mõõtmise kategooriasse ümberliigitamisest.</w:t>
      </w:r>
    </w:p>
    <w:p w:rsidR="009569C7" w:rsidRPr="00EC4FA2" w:rsidRDefault="00A834F1" w:rsidP="009569C7">
      <w:pPr>
        <w:pStyle w:val="Baseparagraphnumbered"/>
      </w:pPr>
      <w:r>
        <w:t>Kui finantsvara liigitatakse amortiseeritud soetusväärtuses mõõtmise kategooriast ümber õiglases väärtuses läbi muu koondkasumi mõõtmise kategooriasse [IFRS 9 paragrahv 5.6.4], kajastatakse ümberliigitamisest tulenevat kasumit või kahjumit kirje „õiglases väärtuses läbi muu koondkasumi mõõdetud võlainstrumendid“ all.</w:t>
      </w:r>
    </w:p>
    <w:p w:rsidR="009569C7" w:rsidRPr="00EC4FA2" w:rsidRDefault="00A834F1" w:rsidP="009569C7">
      <w:pPr>
        <w:pStyle w:val="Baseparagraphnumbered"/>
      </w:pPr>
      <w:r>
        <w:t>Kui finantsvara liigitatakse õiglases väärtuses läbi muu koondkasumi mõõtmise kategooriast ümber õiglases väärtuses muutustega läbi kasumiaruande mõõtmise kategooriasse [IFRS 9 paragrahv 5.6.7] või amortiseeritud soetusväärtuses mõõtmise kategooriasse [IFRS 9 paragrahv 5.6.5], kajastatakse läbi muu koondkasumi mõõtmise kategooriast ümber liigitatud akumuleeritud kasumit või kahjumit vastavalt kirje „kasumisse või kahjumisse üle kantud“ või kirje „muud ümberliigitamised“ all, korrigeerides viimasel juhul finantsvara bilansilist väärtust.</w:t>
      </w:r>
    </w:p>
    <w:p w:rsidR="009569C7" w:rsidRPr="00EC4FA2" w:rsidRDefault="00A834F1" w:rsidP="009569C7">
      <w:pPr>
        <w:pStyle w:val="Baseparagraphnumbered"/>
      </w:pPr>
      <w:r>
        <w:t>Muu koondkasumi kõigi muude komponentide puhul hõlmab „muud ümberliigitamised“ muid ülekandmisi kui ümberliigitamised muust koondkasumist kasumisse või kahjumisse või maandatavate instrumentide algsesse bilansilisse väärtusse rahavoogude</w:t>
      </w:r>
      <w:r w:rsidR="008D7A37">
        <w:t xml:space="preserve"> riskimaanduse puhul.</w:t>
      </w:r>
    </w:p>
    <w:p w:rsidR="009569C7" w:rsidRPr="00EC4FA2" w:rsidRDefault="00A834F1" w:rsidP="009569C7">
      <w:pPr>
        <w:pStyle w:val="Baseparagraphnumbered"/>
      </w:pPr>
      <w:r>
        <w:t>IFRSi kohaselt esitatakse „tulumaks, mis on seotud kirjetega, mida ei liigitata ümber“ ja „tulumaks, mis on seotud kirjetega, mida võib ümber liigitada kasumisse või (–) kahjumisse“ [IAS 1 paragrahvi 91 punkt b, IG6] eraldi kirjetena.</w:t>
      </w:r>
    </w:p>
    <w:p w:rsidR="009569C7" w:rsidRPr="00EC4FA2" w:rsidRDefault="00A834F1" w:rsidP="009569C7">
      <w:pPr>
        <w:pStyle w:val="subtitlenumbered"/>
        <w:jc w:val="both"/>
      </w:pPr>
      <w:bookmarkStart w:id="96" w:name="_Toc361844217"/>
      <w:bookmarkStart w:id="97" w:name="_Toc362359288"/>
      <w:bookmarkStart w:id="98" w:name="_Toc467855212"/>
      <w:bookmarkStart w:id="99" w:name="_Toc485887322"/>
      <w:r>
        <w:t>Finantsvara jaotus instrumentide ja vastaspoole sektorite kaupa (4)</w:t>
      </w:r>
      <w:bookmarkEnd w:id="96"/>
      <w:bookmarkEnd w:id="97"/>
      <w:bookmarkEnd w:id="98"/>
      <w:bookmarkEnd w:id="99"/>
    </w:p>
    <w:p w:rsidR="009569C7" w:rsidRPr="00EC4FA2" w:rsidRDefault="00A834F1" w:rsidP="009569C7">
      <w:pPr>
        <w:pStyle w:val="Baseparagraphnumbered"/>
      </w:pPr>
      <w:r>
        <w:t>Finantsvarad esitatakse arvestusportfellide ja instrumentide kaupa, ja kui nõutud, vastaspoolte kaupa. Õiglases väärtuses läbi muu koondkasumi ja amortiseeritud soetusväärtuses mõõdetud võlainstrumentide puhul esitatakse varade ja väärtuse akumuleeritud languse bilansiline brutoväärtus väärtuse languse etappide kaupa.</w:t>
      </w:r>
    </w:p>
    <w:p w:rsidR="009569C7" w:rsidRPr="00EC4FA2" w:rsidRDefault="00A834F1" w:rsidP="009569C7">
      <w:pPr>
        <w:pStyle w:val="Baseparagraphnumbered"/>
      </w:pPr>
      <w:r>
        <w:t>BADil põhineva siseriikliku GAAPi kohaselt hõlmavad kauplemisel kasutatava finantsvarana kajastavad tuletisinstrumendid õiglases väärtuses mõõdetud instrumente ning soetusmaksumusepõhisel meetodil või LOCOMi kohaselt mõõdetud instrumente.</w:t>
      </w:r>
    </w:p>
    <w:p w:rsidR="009569C7" w:rsidRPr="00EC4FA2" w:rsidRDefault="00A834F1" w:rsidP="009569C7">
      <w:pPr>
        <w:pStyle w:val="Baseparagraphnumbered"/>
      </w:pPr>
      <w:r>
        <w:t>III, IV ja käeso</w:t>
      </w:r>
      <w:r w:rsidR="000F4147">
        <w:t>leva lisa kohaldamisel tähendab</w:t>
      </w:r>
      <w:r>
        <w:t xml:space="preserve"> „krediidiriskist tulenevad õiglase väärtuse akumuleeritud negatiivsed muutused“ viivisnõuete puhul krediidiriskist tulenevaid õiglase väärtuse akumuleeritud muutusi, kui akumuleeritud netomuutus on negatiivne. Krediidiriskist tuleneva õiglase väärtuse akumuleeritud netomuutuse arvutamiseks liidetakse kõik krediidiriskist tulenevad õiglase väärtuse negatiivsed ja positiivsed muutused, mis on toimunud alates võlainstrumendi kajastamisest. Seda summat kajastatakse üksnes juhul, kui krediidiriskist tulenevate õiglase väärtuse negatiivsete ja positiivsete muutuse summa on negatiivne. Võlainstrumentide </w:t>
      </w:r>
      <w:r>
        <w:lastRenderedPageBreak/>
        <w:t>väärtust hinnatakse konkreetse finantsinstrumendi tasandil. Krediidiriskist tulenevaid õiglase väärtuse akumuleeritud negatiivseid muutusi kajastatakse iga võlainstrumendi puhul kuni instrumendi kajastamise lõpetamiseni.</w:t>
      </w:r>
    </w:p>
    <w:p w:rsidR="009569C7" w:rsidRPr="00EC4FA2" w:rsidRDefault="00A834F1" w:rsidP="009569C7">
      <w:pPr>
        <w:pStyle w:val="Baseparagraphnumbered"/>
      </w:pPr>
      <w:r>
        <w:t>III ja IV lisa ning käesoleva lisa kohaldamisel tähendab „väärtuse akumuleeritud langus“ järgmist:</w:t>
      </w:r>
    </w:p>
    <w:p w:rsidR="009569C7" w:rsidRPr="00EC4FA2" w:rsidRDefault="00A834F1" w:rsidP="002A7491">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amortiseeritud soetusväärtuses või soetusmaksumusepõhisel meetodil mõõdetud võlainstrumentide puhul on väärtuse akumuleeritud langus väärtuse langusest tuleneva kahjumi kogusumma ilma kajastatud kasutamiseta ja väärtuse languse tühistamiseta, kui see on asjakohane, iga väärtuse languse etapi puhul. Väärtuse akumuleeritud langus vähendab võlainstrumendi bilansilist väärtust allahindluse kasutamise kaudu IFRSi või BADil põhineva siseriikliku GAAPi kohaselt või otsese vähendamise kaudu, mis ei kujuta endast kajastamise lõpetamist BADil põhine</w:t>
      </w:r>
      <w:r w:rsidR="008D7A37">
        <w:rPr>
          <w:rFonts w:ascii="Times New Roman" w:hAnsi="Times New Roman"/>
          <w:sz w:val="24"/>
        </w:rPr>
        <w:t>va siseriikliku GAAPi kohaselt;</w:t>
      </w:r>
    </w:p>
    <w:p w:rsidR="009569C7" w:rsidRPr="00EC4FA2" w:rsidRDefault="00A834F1" w:rsidP="002A7491">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IFRSi kohaselt õiglases väärtuses läbi muu koondkasumi mõõdetud võlainstrumentide puhul on väärtuse akumuleeritud langus asjaomase instrumendi õiglase väärtuse vähenemisena alates esmasest kajastamisest kajastatud eeldatavate krediidikahjude</w:t>
      </w:r>
      <w:r w:rsidR="008D7A37">
        <w:rPr>
          <w:rFonts w:ascii="Times New Roman" w:hAnsi="Times New Roman"/>
          <w:sz w:val="24"/>
        </w:rPr>
        <w:t xml:space="preserve"> ja nende variatsioonide summa;</w:t>
      </w:r>
    </w:p>
    <w:p w:rsidR="009569C7" w:rsidRPr="00EC4FA2" w:rsidRDefault="00A834F1" w:rsidP="002A7491">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BADil põhineva siseriikliku GAAPi kohaselt omakapitalis kajastatavate õiglases väärtuses mõõdetavate võlainstrumentide puhul, mille suhtes kohaldatakse väärtuse langust, on väärtuse akumuleeritud langus väärtuse langusest tuleneva kahjumi kogusumma ilma kajastatud kasutamiseta ja väärtuse languse tühistamiseta. Bilansilist väärtust vähendatakse kas allahindluse konto kasutamise kaudu või otsese vähendamise kaudu, mis ei kujuta endast kajastamise lõpetamist.</w:t>
      </w:r>
    </w:p>
    <w:p w:rsidR="009569C7" w:rsidRPr="00EC4FA2" w:rsidRDefault="00A834F1" w:rsidP="009569C7">
      <w:pPr>
        <w:pStyle w:val="Baseparagraphnumbered"/>
      </w:pPr>
      <w:r>
        <w:t>IFRSi kohaselt hõlmab väärtuse akumuleeritud langus igasse IFRS 9 kohasesse väärtuse languse etappi kuuluvate finantsvarade eeldatava krediidikahju allahindlust. BADil põhineva siseriikliku GAAPi kohaselt hõlmab see krediidiriskiga seotud üldist või spetsiifilist allahindlust, samuti pangandusriskidega seotud üldist allahindlust, kui see vähendab võlainstrumentide bilansilist väärtust. Samuti hõlmab väärtuse akumuleeritud langus finantsvarade väärtuse korrigeerimist krediidiriski tõttu LOCOMi kohaldamisel.</w:t>
      </w:r>
    </w:p>
    <w:p w:rsidR="009569C7" w:rsidRPr="00EC4FA2" w:rsidRDefault="00A834F1" w:rsidP="009569C7">
      <w:pPr>
        <w:pStyle w:val="Baseparagraphnumbered"/>
      </w:pPr>
      <w:r>
        <w:t>„Akumuleeritud osalised mahakandmised“ ja „akumuleeritud täielikud mahakandmised“ hõlmavad vastavalt iga sellise võlainstrumendi põhiosa ja tasumata intressi ja tasude akumuleeritud osalist ja täielikku summat aruandekuupäeva seisuga, mille kajastamise on krediidiasutus või investeerimisühing asjaomaseks kuupäevaks lõpetanud, kasutades ühte punktis 74 kirjeldatud meetoditest, sest krediidiasutusel või investeerimisühingul ei ole mõistlikku ootust lepingulisi rahavoogusid tagasi saada. Kõnealuseid summasid kajastatakse kuni aruandva krediidiasutuse või investeerimisühingu kõigi õiguste täieliku lõppemiseni seoses hagiõiguse aegumisega, kustutamisega või muul põhjusel või kuni summade tagasisaamiseni. Maha kantud summasid, mida ei ole tagasi saadud, kajastatakse seega siis, kui nende suhtes kohaldatakse täitemenetlust.</w:t>
      </w:r>
    </w:p>
    <w:p w:rsidR="009569C7" w:rsidRPr="00EC4FA2" w:rsidRDefault="00A834F1" w:rsidP="009569C7">
      <w:pPr>
        <w:pStyle w:val="Baseparagraphnumbered"/>
      </w:pPr>
      <w:r>
        <w:lastRenderedPageBreak/>
        <w:t>Kui võlainstrument on lõpuks mitmete osaliste mahakandmiste tagajärjel täielikult maha kantud, liigitatakse mahakandmise kogusumma veerust „akumuleeritud osalised mahakandmised“ veergu „akumulee</w:t>
      </w:r>
      <w:r w:rsidR="008D7A37">
        <w:t>ritud täielikud mahakandmised“.</w:t>
      </w:r>
    </w:p>
    <w:p w:rsidR="009569C7" w:rsidRPr="00EC4FA2" w:rsidRDefault="00A834F1" w:rsidP="009569C7">
      <w:pPr>
        <w:pStyle w:val="Baseparagraphnumbered"/>
      </w:pPr>
      <w:r>
        <w:t>Mahakandmine on kajastamise lõpetamine ja on seotud kogu finantsvara või selle osaga, sealhulgas juhul, kui vara muutmise tulemusel kaotab krediidiasutus või investeerimisühing õiguse saada kogu varalt või selle osalt rahavoogusid, nagu on põhjalikult selgitatud punktis 72. Mahakandmised hõlmavad summasid, mis tulenevad nii otse kasumis või kahjumis kajastatava finantsvara bilansilise väärtuse vähendamisest kui ka finantsvarade bilansilise väärtuse allahindluse kontole seoses krediidikahjudeg</w:t>
      </w:r>
      <w:r w:rsidR="008D7A37">
        <w:t>a kantud summade vähendamisest.</w:t>
      </w:r>
    </w:p>
    <w:p w:rsidR="009569C7" w:rsidRPr="00EC4FA2" w:rsidRDefault="00A834F1" w:rsidP="009569C7">
      <w:pPr>
        <w:pStyle w:val="Baseparagraphnumbered"/>
      </w:pPr>
      <w:r>
        <w:t>Veerg „millest: väikese krediidiriskiga instrumendid“ hõlmab instrumente, millel on aruandekuupäeva seisuga väike krediidirisk ja mille puhul krediidiasutus või investeerimisühing vastavalt IFRS 9 paragrahvile 5.5.10 eeldab, et krediidirisk ei ole alates esmasest kajastamisest oluliselt suurenenud.</w:t>
      </w:r>
    </w:p>
    <w:p w:rsidR="009569C7" w:rsidRPr="00EC4FA2" w:rsidRDefault="00A834F1" w:rsidP="009569C7">
      <w:pPr>
        <w:pStyle w:val="Baseparagraphnumbered"/>
      </w:pPr>
      <w:r>
        <w:t>Nõuded klientide vastu IAS 1 paragrahvi 54 punkti h tähenduses, lepingulised varad ja rendinõuded, mille puhul kohaldatakse kahju allahindluse hindamisel IFRS 9 paragrahvi 5.5.15 kohast lihtsustatud meetodit, kajastatakse vormis 4.4.1 laenude ja ettemaksete all. Kõigi kõnealuste varade puhul kajastatakse vastavat kahju allahindlust varade väärtuse akumuleeritud languse lahtris kirje „varad, mille krediidirisk on alates esmase kajastamise kuupäevast oluliselt kasvanud, kuid mille väärtus ei ole krediidiriski tõttu langenud (2. etapp)“ või kirje „varad, mille väärtus on krediidiriski tõttu langenud (3. etapp)“ all, sõltuvalt sellest, kas nõudeid klientide vastu, lepingulisi varasid ja rendinõudeid käsitatakse lihtsustatud meetodi puhul krediidiriski tõttu langenud väärtusega varadena.</w:t>
      </w:r>
    </w:p>
    <w:p w:rsidR="009569C7" w:rsidRPr="00EC4FA2" w:rsidRDefault="00A834F1" w:rsidP="009569C7">
      <w:pPr>
        <w:pStyle w:val="Baseparagraphnumbered"/>
      </w:pPr>
      <w:r>
        <w:t>Ostetud või tekitatud finantsvara, mille väärtus on esmasel kajastamisel krediidiriski tõttu langenud, kajastatakse eraldi vormides 4.3.1 ja 4.4.1. Nende laenude puhul hõlmab väärtuse akumuleeritud langus üksnes kehtivusajal eeldatava krediidikahju kumulatiivseid muutusi alates esmasest kajastamisest [IFRS 9 paragrahv 5.5.13].</w:t>
      </w:r>
    </w:p>
    <w:p w:rsidR="009569C7" w:rsidRPr="00EC4FA2" w:rsidRDefault="00A834F1" w:rsidP="009569C7">
      <w:pPr>
        <w:pStyle w:val="Baseparagraphnumbered"/>
        <w:ind w:left="785"/>
      </w:pPr>
      <w:r>
        <w:t>Vormis 4.5 kajastavad krediidiasutused ja investeerimisühingud käesoleva osa punktis 100 esitatud „allutatud võla“ määratlusega hõlmatud „laenude ja ettemaksete“ ja „võlaväärtpaberite“ bilansilist väärtust.</w:t>
      </w:r>
      <w:bookmarkStart w:id="100" w:name="_Toc361844218"/>
      <w:bookmarkStart w:id="101" w:name="_Toc362359289"/>
      <w:bookmarkEnd w:id="94"/>
    </w:p>
    <w:p w:rsidR="009569C7" w:rsidRPr="00EC4FA2" w:rsidRDefault="00A834F1" w:rsidP="009569C7">
      <w:pPr>
        <w:pStyle w:val="Baseparagraphnumbered"/>
      </w:pPr>
      <w:r>
        <w:t xml:space="preserve">Vormis 4.8 sõltub esitatav teave sellest, kas omakapitalis kajastatavate õiglases väärtuses mõõdetavate finantsvarade suhtes, mida ei kasutata kauplemisel ja mis ei ole tuletisinstrumendid, saab BADil põhineva siseriikliku GAAPi kohaselt kohaldada väärtuse languse nõudeid. Kui nende finantsvarade suhtes kohaldatakse väärtuse langust, kajastavad krediidiasutused ja investeerimisühingud selles vormis bilansilist väärtust, langemata väärtusega varade ja langenud väärtusega varade bilansilist brutoväärtust, väärtuse akumuleeritud langust ja akumuleeritud </w:t>
      </w:r>
      <w:r>
        <w:lastRenderedPageBreak/>
        <w:t>mahakandmisi. Kui nende finantsvarade suhtes ei kohaldata väärtuse langust, kajastavad krediidiasutused ja investeerimisühingud krediidiriskist tulenevaid õiglase väärtuse akumuleeritud negatiivseid muutusi viivisnõuete puhul.</w:t>
      </w:r>
    </w:p>
    <w:p w:rsidR="009569C7" w:rsidRPr="00EC4FA2" w:rsidRDefault="00A834F1" w:rsidP="009569C7">
      <w:pPr>
        <w:pStyle w:val="Baseparagraphnumbered"/>
      </w:pPr>
      <w:r>
        <w:t>Vormis 4.9 kajastatakse mõõduka LOCOMi kohaselt mõõdetud varad ning nendega seotud väärtuse korrigeerimised eraldi muudest soetusmaksumusepõhisel meetodil mõõdetud varadest ja nendega seotud väärtuse langusest. Soetusmaksumusepõhisel meetodil mõõdetud finantsvarad, sealhulgas mõõduka LOCOMi kohaselt mõõdetud finantsvarad, kajastatakse langemata väärtusega varadena, kui nende väärtust ei ole korrigeeritud või nende väärtus ei ole sellega seoses langenud, ja langenud väärtusega varadena, kui nende väärtust on korrigeeritud ja korrigeerimist käsitatakse väärtuse langusena või sellega seotud väärtuse langusena. Väärtuse langusena käsitatavad väärtuse korrigeerimised on krediidiriskist tingitud väärtuse korrigeerimised, mis kajastavad vastaspoole krediidikvaliteedi halvenemist. Mõõduka LOCOMi kohaselt mõõdetud finantsvarasid, mille väärtust on tururiski tõttu korrigeeritud, et kajastada turutingimuste muutuse mõju vara väärtusele, ei käsitata langenud väärtusega varadena. Krediidiriskist tingitud ja tururiskist tingitud akumuleeritud väärtuse korri</w:t>
      </w:r>
      <w:r w:rsidR="008D7A37">
        <w:t>geerimised kajastatakse eraldi.</w:t>
      </w:r>
    </w:p>
    <w:p w:rsidR="009569C7" w:rsidRPr="00EC4FA2" w:rsidRDefault="00A834F1" w:rsidP="009569C7">
      <w:pPr>
        <w:pStyle w:val="Baseparagraphnumbered"/>
      </w:pPr>
      <w:r>
        <w:t>Vormis 4.10 kajastatakse range LOCOMi kohaselt mõõdetud varad ning nendega seotud väärtuse korrigeerimised eraldi muude meetodite kohaselt mõõdetud varadest. Range LOCOMi kohaselt mõõdetud finantsvarad ja muu meetodi kohaselt mõõdetud finantsvarad kajastatakse langenud väärtusega varadena, kui nende väärtust on punkti 80 kohaselt krediidiriski tõttu korrigeeritud või nende väärtus on sellega seoses langenud. Range LOCOMi kohaselt mõõdetud finantsvarad, mille väärtust on punkti 80 kohaselt tururiski tõttu korrigeeritud, ei käsitata langenud väärtusega varana. Krediidiriskist tingitud ja tururiskist tingitud akumuleeritud väärtuse korrigeerimised kajastatakse eraldi.</w:t>
      </w:r>
    </w:p>
    <w:p w:rsidR="009569C7" w:rsidRPr="00EC4FA2" w:rsidRDefault="00A834F1" w:rsidP="009569C7">
      <w:pPr>
        <w:pStyle w:val="Baseparagraphnumbered"/>
      </w:pPr>
      <w:r>
        <w:t>BADil põhineva siseriikliku GAAPi kohaldamisel kajastatakse asjaomastes vormides pangandusriskiga seotud üldise allahindluse puhul ainult seda osa, mis mõjutab võlainstrumentide bilansilist väärtust [BADi artikkel 37.2].</w:t>
      </w:r>
    </w:p>
    <w:p w:rsidR="009569C7" w:rsidRPr="00EC4FA2" w:rsidRDefault="00A834F1" w:rsidP="009569C7">
      <w:pPr>
        <w:pStyle w:val="subtitlenumbered"/>
        <w:jc w:val="both"/>
      </w:pPr>
      <w:bookmarkStart w:id="102" w:name="_Toc467855213"/>
      <w:bookmarkStart w:id="103" w:name="_Toc485887323"/>
      <w:r>
        <w:t>Selliste laenude ja ettemaksete jaotus toodete kaupa, mida ei kasutata kauplemisel (5)</w:t>
      </w:r>
      <w:bookmarkEnd w:id="102"/>
      <w:bookmarkEnd w:id="103"/>
    </w:p>
    <w:bookmarkEnd w:id="100"/>
    <w:p w:rsidR="009569C7" w:rsidRPr="00EC4FA2" w:rsidRDefault="00A834F1" w:rsidP="009569C7">
      <w:pPr>
        <w:pStyle w:val="Baseparagraphnumbered"/>
      </w:pPr>
      <w:r>
        <w:t xml:space="preserve">Laenud ja ettemaksed, mida ei hoita kauplemise eesmärgil või mis ei ole kauplemiseks hoitavad varad, jaotatakse toote liigi ja </w:t>
      </w:r>
      <w:bookmarkEnd w:id="101"/>
      <w:r>
        <w:t>vastaspoole sektori kaupa bilansilise väärtuse puhul ning üksnes toote liigi kaupa bilansilise brutoväärtuse puhul.</w:t>
      </w:r>
    </w:p>
    <w:p w:rsidR="009569C7" w:rsidRPr="00EC4FA2" w:rsidRDefault="00A834F1" w:rsidP="009569C7">
      <w:pPr>
        <w:pStyle w:val="Baseparagraphnumbered"/>
      </w:pPr>
      <w:r>
        <w:t>Sellel vormil esitatakse ka nõuded, mis on liigitatud kui „raha, nõuded keskpankadele ja muud nõudmiseni hoiused“, sõltumata s</w:t>
      </w:r>
      <w:r w:rsidR="008D7A37">
        <w:t>ellest, kuidas neid mõõdetakse.</w:t>
      </w:r>
    </w:p>
    <w:p w:rsidR="009569C7" w:rsidRPr="00EC4FA2" w:rsidRDefault="00A834F1" w:rsidP="009569C7">
      <w:pPr>
        <w:pStyle w:val="Baseparagraphnumbered"/>
      </w:pPr>
      <w:r>
        <w:t>Laenud ja ettemaksed ja</w:t>
      </w:r>
      <w:r w:rsidR="008D7A37">
        <w:t>otatakse järgmisteks toodeteks: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lastRenderedPageBreak/>
        <w:t>kirje „nõudmisel väljamakstavad (nõudmiseni) ja lühikese etteteatamisega väljamakstavad (arvelduskonto)“ hõlmab nõudmiseni hoiuseid, lühikese etteteatamisega (nõudmise esitamise päevale järgneva tööpäeva lõpuks) väljamakstavaid hoiuseid, arvelduskontosid ja muid sarnaseid hoiuseid, sealhulgas laenud, mis on laenuvõtja jaoks üleööhoiused (laenud, mis tuleb tagasi maksta nende andmise päevale järgneva tööpäeva lõpuks), sõltumata nende õiguslikust vormist. See hõlmab ka arvelduskrediiti, mis on arvelduskonto deebetjääk;</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„krediitkaardivõlg“ hõlmab määratud tagasimaksega deebetkaardi või krediitkaardi kaudu antud lae</w:t>
      </w:r>
      <w:r w:rsidR="008D7A37">
        <w:rPr>
          <w:rFonts w:ascii="Times New Roman" w:hAnsi="Times New Roman"/>
          <w:sz w:val="24"/>
        </w:rPr>
        <w:t>nu [EKP bilansikirjete määrus];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„nõuded klientide vastu“ hõlmab laene, mis on antud muudele võlgnikele vekslite või muude selliste dokumentide alusel, mis annavad õiguse saada kaupade müügi või teenuste osutamise tehingutest tulusid. Need kirjed hõlmavad kõiki faktooring- ja sarnaseid tehinguid, nt käskvekslite aktseptid, klientide vastu olevate nõuete lõppost, </w:t>
      </w:r>
      <w:r>
        <w:rPr>
          <w:rFonts w:ascii="Times New Roman" w:hAnsi="Times New Roman"/>
          <w:i/>
          <w:sz w:val="24"/>
        </w:rPr>
        <w:t>forfaiting</w:t>
      </w:r>
      <w:r>
        <w:rPr>
          <w:rFonts w:ascii="Times New Roman" w:hAnsi="Times New Roman"/>
          <w:sz w:val="24"/>
        </w:rPr>
        <w:t>, arve diskonteerimine, käskvekslid, kommertsväärtpaberid ja muud nõuded, mille puhul aruandev krediidiasutus või investeerimisühing ostab klientide vastu olevaid nõudeid (nii regress</w:t>
      </w:r>
      <w:r w:rsidR="008D7A37">
        <w:rPr>
          <w:rFonts w:ascii="Times New Roman" w:hAnsi="Times New Roman"/>
          <w:sz w:val="24"/>
        </w:rPr>
        <w:t>iõigusega kui ka ilma selleta);</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„kapitalirent“ hõlmab kapitalirendi nõuete bilansilist väärtust. IFRSi kohaselt on kapitalirendi nõuded määratletud IAS 17-s;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„pöördrepolaenud“ hõlmavad rahastamist, mis on antud repolepingute alusel ostetud väärtpaberite või kulla vastu või võetud laenuks väärtpaberite laenuks andmise lepingute alusel, nagu on määratletud käesoleva osa paragrahvides 183 ja 184;</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„muud tähtajalised laenud“ hõlmab võlgasid, millel on lepingus kindlaksmääratud lõpptähtaeg või tingimused ning </w:t>
      </w:r>
      <w:r w:rsidR="008D7A37">
        <w:rPr>
          <w:rFonts w:ascii="Times New Roman" w:hAnsi="Times New Roman"/>
          <w:sz w:val="24"/>
        </w:rPr>
        <w:t>mis ei sisaldu muudes kirjetes;</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„ettemaksed, mis ei ole laenud“ hõlmab ettemakseid, mida ei saa EKP bilansikirjete määruse kohaselt liigitada laenudeks. See kirje hõlmab muu hulgas vahekirjetega (nt investeerimist, ülekandmist või arveldust ootavad varad) ja siirdekirjetega (nt tšekid ja muud maksevahendid, mis on saadetud tagasivõtmiseks) seoses saadaolevaid brutosummasid.</w:t>
      </w:r>
    </w:p>
    <w:p w:rsidR="009569C7" w:rsidRPr="00EC4FA2" w:rsidRDefault="00A834F1" w:rsidP="009569C7">
      <w:pPr>
        <w:pStyle w:val="Baseparagraphnumbered"/>
      </w:pPr>
      <w:r>
        <w:t>Laenud ja ettemaksed liigitatakse saadud tagatise alusel järgmiselt:</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„kinnisvaraga tagatud laenud“ hõlmavad laene ja ettemakseid, mis on ametlikult tagatud elamu- või ärikinnisvaraga, sõltumata nende laenu/tagatise suhtest (millele tavapäraselt osutatakse kui laenusumma ja tagatise väärtuse suhtele (</w:t>
      </w:r>
      <w:r>
        <w:rPr>
          <w:rFonts w:ascii="Times New Roman" w:hAnsi="Times New Roman"/>
          <w:i/>
          <w:sz w:val="24"/>
        </w:rPr>
        <w:t>loan-to-value</w:t>
      </w:r>
      <w:r>
        <w:rPr>
          <w:rFonts w:ascii="Times New Roman" w:hAnsi="Times New Roman"/>
          <w:sz w:val="24"/>
        </w:rPr>
        <w:t>)) ja tagatise õiguslikust vormist;</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„muud tagatisega laenud“ hõlmavad laene ja ettemakseid, mis on ametlikult tagatud, sõltumata nende laenu/tagatise suhtest (millele tavapäraselt osutatakse kui laenusumma ja tagatise väärtuse suhtele (</w:t>
      </w:r>
      <w:r>
        <w:rPr>
          <w:rFonts w:ascii="Times New Roman" w:hAnsi="Times New Roman"/>
          <w:i/>
          <w:sz w:val="24"/>
        </w:rPr>
        <w:t>loan-to-value</w:t>
      </w:r>
      <w:r>
        <w:rPr>
          <w:rFonts w:ascii="Times New Roman" w:hAnsi="Times New Roman"/>
          <w:sz w:val="24"/>
        </w:rPr>
        <w:t>)) ja tagatise õiguslikust vormist, välja arvatud „kinnisvaraga tagatud laenud“. Need tagatised hõlmavad panditud väärtpabereid, sularaha ja muid tagatisi, sõltumata tagatise õiguslikust vormist.</w:t>
      </w:r>
    </w:p>
    <w:p w:rsidR="009569C7" w:rsidRPr="00EC4FA2" w:rsidRDefault="00A834F1" w:rsidP="009569C7">
      <w:pPr>
        <w:pStyle w:val="Baseparagraphnumbered"/>
      </w:pPr>
      <w:r>
        <w:t xml:space="preserve">Laenud ja ettemaksed liigitatakse tagatise alusel, sõltumata laenu otstarbest. Mitut liiki tagatisega tagatud laenude ja ettemaksete bilansiline väärtus </w:t>
      </w:r>
      <w:r>
        <w:lastRenderedPageBreak/>
        <w:t>liigitatakse ja kajastatakse kinnisvaraga tagatuna, kui need laenud ja ettemaksed on tagatud kinnisvaraga, olenemata sellest, kas nad on ta</w:t>
      </w:r>
      <w:r w:rsidR="008D7A37">
        <w:t>gatud ka muud liiki tagatisega.</w:t>
      </w:r>
    </w:p>
    <w:p w:rsidR="009569C7" w:rsidRPr="00EC4FA2" w:rsidRDefault="00A834F1" w:rsidP="009569C7">
      <w:pPr>
        <w:pStyle w:val="Baseparagraphnumbered"/>
      </w:pPr>
      <w:r>
        <w:t xml:space="preserve"> Laenud ja ettemaksed liigitatakse otstarbe alusel järgmiselt:</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„tarbimislaen“ hõlmab laenusid, mis on peamiselt antud isikliku tarbimise otstarbel kaupade ja teenuste ostuks [EKP bilansikirjete määrus];</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„eluasemelaen“ hõlmab kodumajapidamistele antud laenu, mille eesmärk on investeerida isiklikus kasutuses või renditud eluasemetesse, sh ehituseks ja renoveerimiseks [EKP bilansikirjete määrus].</w:t>
      </w:r>
    </w:p>
    <w:p w:rsidR="009569C7" w:rsidRPr="00EC4FA2" w:rsidRDefault="00A834F1" w:rsidP="009569C7">
      <w:pPr>
        <w:pStyle w:val="Baseparagraphnumbered"/>
      </w:pPr>
      <w:r>
        <w:t>Laenud ja ettemaksed liigitatakse selle alusel, kuidas need saab tagasi maksta. „Projekti rahastamise laenud“ hõlmavad laene, mis vastavad kapitalinõuete määruse artikli 147 lõikes 8 määratletud eriotstarbeliste nõuete omadustele.</w:t>
      </w:r>
    </w:p>
    <w:p w:rsidR="009569C7" w:rsidRPr="00EC4FA2" w:rsidRDefault="00A834F1" w:rsidP="009569C7">
      <w:pPr>
        <w:pStyle w:val="subtitlenumbered"/>
        <w:keepNext/>
        <w:numPr>
          <w:ilvl w:val="0"/>
          <w:numId w:val="17"/>
        </w:numPr>
        <w:ind w:left="357" w:hanging="357"/>
        <w:jc w:val="both"/>
        <w:rPr>
          <w:kern w:val="32"/>
        </w:rPr>
      </w:pPr>
      <w:bookmarkStart w:id="104" w:name="_Toc362359290"/>
      <w:bookmarkStart w:id="105" w:name="_Toc467855214"/>
      <w:bookmarkStart w:id="106" w:name="_Toc361844219"/>
      <w:bookmarkStart w:id="107" w:name="_Toc485887324"/>
      <w:r>
        <w:t xml:space="preserve">Finantssektorivälistele äriühingutele antud selliste laenude ja ettemaksete jaotus NACE koodide alusel, mida ei kasutata kauplemisel </w:t>
      </w:r>
      <w:bookmarkEnd w:id="104"/>
      <w:r>
        <w:t>(6)</w:t>
      </w:r>
      <w:bookmarkEnd w:id="105"/>
      <w:bookmarkEnd w:id="107"/>
    </w:p>
    <w:bookmarkEnd w:id="106"/>
    <w:p w:rsidR="009569C7" w:rsidRPr="00EC4FA2" w:rsidRDefault="00A834F1" w:rsidP="009569C7">
      <w:pPr>
        <w:pStyle w:val="Baseparagraphnumbered"/>
      </w:pPr>
      <w:r>
        <w:t>Finantssektorivälistele äriühingutele antud laenude ja ettemaksete (välja arvatud laenud ja ettemaksed, mida ei hoita kauplemise eesmärgil või mis ei ole kauplemiseks hoitavate varade portfellis) bilansiline brutoväärtus liigitatakse majandustegevusala sektorite alusel, kasutades NACE koode, vastasp</w:t>
      </w:r>
      <w:r w:rsidR="008D7A37">
        <w:t>oole peamise tegevusala põhjal.</w:t>
      </w:r>
    </w:p>
    <w:p w:rsidR="009569C7" w:rsidRPr="00EC4FA2" w:rsidRDefault="00A834F1" w:rsidP="009569C7">
      <w:pPr>
        <w:pStyle w:val="Baseparagraphnumbered"/>
      </w:pPr>
      <w:r>
        <w:t>Nende nõuete liigitamine, mis tekivad ühiselt rohkem kui ühe vastaspoole vastu, toimub kooskõlas käesoleva lisa 1. osa punktiga 4</w:t>
      </w:r>
      <w:r w:rsidR="008D7A37">
        <w:t>3.</w:t>
      </w:r>
    </w:p>
    <w:p w:rsidR="009569C7" w:rsidRPr="00EC4FA2" w:rsidRDefault="00A834F1" w:rsidP="009569C7">
      <w:pPr>
        <w:pStyle w:val="Baseparagraphnumbered"/>
      </w:pPr>
      <w:r>
        <w:t>NACE koodide esitamine toimub esimese eristustaseme (st jagude tase) alusel. Krediidiasutused ja investeerimisühingud kajastavad finants- või kindlustustegevusega tegelevatele finantssektorivälistele äriühingutele antud laene ja ettemakseid kirje „K – Finants- ja kindlustustegevus“ all.</w:t>
      </w:r>
    </w:p>
    <w:p w:rsidR="009569C7" w:rsidRPr="00EC4FA2" w:rsidRDefault="00A834F1" w:rsidP="009569C7">
      <w:pPr>
        <w:pStyle w:val="Baseparagraphnumbered"/>
      </w:pPr>
      <w:r>
        <w:t>IFRSi kohaselt hõlmavad finantsvarad, mille suhtes kohaldatakse väärtuse langust, i) amortiseeritud soetusväärtuses kajastatud finantsvarasid ja ii) õiglases väärtuses läbi muu koondkasumi mõõdetud finantsvarasid. BADil põhineva siseriikliku GAAPi kohaselt hõlmavad finantsvarad, mille suhtes kohaldatakse väärtuse langust, soetusmaksumusepõhisel meetodil (sealhulgas LOCOMi kohaselt) mõõdetud finantsvarasid. Sõltuvalt siseriikliku GAAPi sätetest võivad need hõlmata i) omakapitalis kajastatavaid õiglases väärtuses mõõdetavaid finantsvarasid ja ii) muu meetodi kohaselt mõõdetud finantsvarasid.</w:t>
      </w:r>
    </w:p>
    <w:p w:rsidR="009569C7" w:rsidRPr="00EC4FA2" w:rsidRDefault="00A834F1" w:rsidP="009569C7">
      <w:pPr>
        <w:pStyle w:val="subtitlenumbered"/>
        <w:keepNext/>
        <w:numPr>
          <w:ilvl w:val="0"/>
          <w:numId w:val="17"/>
        </w:numPr>
        <w:ind w:left="357" w:hanging="357"/>
        <w:jc w:val="both"/>
        <w:rPr>
          <w:kern w:val="32"/>
        </w:rPr>
      </w:pPr>
      <w:bookmarkStart w:id="108" w:name="_Toc437268742"/>
      <w:bookmarkStart w:id="109" w:name="_Toc437268743"/>
      <w:bookmarkStart w:id="110" w:name="_Toc362359291"/>
      <w:bookmarkStart w:id="111" w:name="_Toc467855215"/>
      <w:bookmarkStart w:id="112" w:name="_Toc361844220"/>
      <w:bookmarkStart w:id="113" w:name="_Toc485887325"/>
      <w:bookmarkEnd w:id="108"/>
      <w:bookmarkEnd w:id="109"/>
      <w:r>
        <w:t>Tähtajaks tasumata finantsvarad, mille suhtes kohaldatakse väärtuse langust (7)</w:t>
      </w:r>
      <w:bookmarkEnd w:id="110"/>
      <w:bookmarkEnd w:id="111"/>
      <w:bookmarkEnd w:id="113"/>
    </w:p>
    <w:bookmarkEnd w:id="112"/>
    <w:p w:rsidR="009569C7" w:rsidRPr="00EC4FA2" w:rsidRDefault="00A834F1" w:rsidP="009569C7">
      <w:pPr>
        <w:pStyle w:val="Baseparagraphnumbered"/>
      </w:pPr>
      <w:r>
        <w:t xml:space="preserve">Selliste võlainstrumentide bilansiline väärtus, mis kuuluvad arvestusportfellidesse, mille suhtes kohaldatakse väärtuse langust, kajastatakse vormis 7.1 üksnes juhul, kui need on tähtajaks tasumata. </w:t>
      </w:r>
      <w:r>
        <w:lastRenderedPageBreak/>
        <w:t>Tähtajaks tasumata instrumendid jaotatakse vastavatesse tähtajaks tasumata klassidesse nende konkreetse olukorra alusel.</w:t>
      </w:r>
    </w:p>
    <w:p w:rsidR="009569C7" w:rsidRPr="00EC4FA2" w:rsidRDefault="00A834F1" w:rsidP="009569C7">
      <w:pPr>
        <w:pStyle w:val="Baseparagraphnumbered"/>
      </w:pPr>
      <w:r>
        <w:t>Arvestusportfellid, mille suhtes kohaldatakse väärtuse langust, on määratletud käesoleva osa punktis 93.</w:t>
      </w:r>
    </w:p>
    <w:p w:rsidR="009569C7" w:rsidRPr="00EC4FA2" w:rsidRDefault="00A834F1" w:rsidP="009569C7">
      <w:pPr>
        <w:pStyle w:val="Baseparagraphnumbered"/>
      </w:pPr>
      <w:r>
        <w:t>Finantsvarasid loetakse tähtajaks tasumata, kui mis tahes põhisumma tagasimakset, intressi või teenustasu ei ole tähtajaks tasutud. Tähtajaks tasumata nõudeid kajastatakse nende bilansilises koguväärtuses. Selliste finantsvarade bilansiline väärtus esitatakse väärtuse languse etappide või väärtuse languse seisundi kaupa vastavalt kohaldatavatele raamatupidamisstandarditele ja selle lõikes, mitu päeva on vanim tähtajaks tasumata summa ületanud tä</w:t>
      </w:r>
      <w:r w:rsidR="008D7A37">
        <w:t>htaega aruandekuupäeva seisuga.</w:t>
      </w:r>
    </w:p>
    <w:p w:rsidR="009569C7" w:rsidRPr="00EC4FA2" w:rsidRDefault="00A834F1" w:rsidP="009569C7">
      <w:pPr>
        <w:pStyle w:val="subtitlenumbered"/>
        <w:numPr>
          <w:ilvl w:val="0"/>
          <w:numId w:val="17"/>
        </w:numPr>
        <w:jc w:val="both"/>
      </w:pPr>
      <w:bookmarkStart w:id="114" w:name="_Toc437268745"/>
      <w:bookmarkStart w:id="115" w:name="_Toc437268746"/>
      <w:bookmarkStart w:id="116" w:name="_Toc362359292"/>
      <w:bookmarkStart w:id="117" w:name="_Toc467855216"/>
      <w:bookmarkStart w:id="118" w:name="_Toc361844221"/>
      <w:bookmarkStart w:id="119" w:name="_Toc485887326"/>
      <w:bookmarkEnd w:id="114"/>
      <w:bookmarkEnd w:id="115"/>
      <w:r>
        <w:t>Finantskohustuste jaotus (8)</w:t>
      </w:r>
      <w:bookmarkEnd w:id="116"/>
      <w:bookmarkEnd w:id="117"/>
      <w:bookmarkEnd w:id="119"/>
    </w:p>
    <w:bookmarkEnd w:id="118"/>
    <w:p w:rsidR="009569C7" w:rsidRPr="00EC4FA2" w:rsidRDefault="00A834F1" w:rsidP="009569C7">
      <w:pPr>
        <w:pStyle w:val="Baseparagraphnumbered"/>
      </w:pPr>
      <w:r>
        <w:t>„Hoiused“ ja toodete jaotus on määratletud nii nagu EKP bilansikirjete määruses ning seepärast liigitatakse reguleeritavad säästuhoiused vastavalt EKP bilansikirjete määrusele ning jaotatakse vastaspoole alusel. Eelkõige liigitatakse mitteülekantavad arveldushoiused, mis on seaduslikult küll nõudmisel väljavõetavad, kuid mille väljavõtmise korral kohaldatakse olulisi karistusi ja piiranguid ning millel on üleööhoiustega väga sarnased tunnused, etteteatamistähtajaga lõpetatavateks hoiusteks.</w:t>
      </w:r>
    </w:p>
    <w:p w:rsidR="009569C7" w:rsidRPr="00EC4FA2" w:rsidRDefault="00A834F1" w:rsidP="009569C7">
      <w:pPr>
        <w:pStyle w:val="Baseparagraphnumbered"/>
      </w:pPr>
      <w:r>
        <w:t>„Emiteeritud võlaväärtpaberid“ liigenda</w:t>
      </w:r>
      <w:r w:rsidR="008D7A37">
        <w:t>takse järgmist liiki toodeteks:</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„hoiusesertifikaadid“ on väärtpaberid, mis võimaldavad nende omanikel arvelt välja võtta rahalisi vahendeid;</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„varaga tagatud väärtpaberid“ vastavalt kapitalinõuete määruse artikli 4 lõike 1 punktile 61;</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„pandikirjad“ vastavalt kapitalinõuete määruse artikli 129 lõikele 1;</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„hübriidlepingud“ hõlmavad lepinguid tuletisinstrumendi tunnustega väärtpaberitega;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„muud emiteeritud võlaväärtpaberid“ hõlmavad võlaväärtpabereid, mis ei ole kajastatud eelnevatel kirjetel, ning eristatakse vahetatavaid liitfinantsinstrumente ja mittevahetatavaid instrumente.</w:t>
      </w:r>
    </w:p>
    <w:p w:rsidR="009569C7" w:rsidRPr="00EC4FA2" w:rsidRDefault="00A834F1" w:rsidP="009569C7">
      <w:pPr>
        <w:pStyle w:val="Baseparagraphnumbered"/>
      </w:pPr>
      <w:r>
        <w:t>Emiteeritud „allutatud finantskohustusi“ käsitletakse samal viisil nagu muid tekkinud finantskohustusi. Väärtpaberite kujul emiteeritud allutatud kohustused liigitatakse „emiteeritud võlaväärtpaberiteks“ ning hoiuste kujul allutatud kohustused liigitatakse „hoiusteks“.</w:t>
      </w:r>
    </w:p>
    <w:p w:rsidR="009569C7" w:rsidRPr="00EC4FA2" w:rsidRDefault="00A834F1" w:rsidP="003A3ED4">
      <w:pPr>
        <w:pStyle w:val="Baseparagraphnumbered"/>
        <w:tabs>
          <w:tab w:val="left" w:pos="851"/>
        </w:tabs>
      </w:pPr>
      <w:r>
        <w:t>Vorm 8.2 sisaldab arvestusportfellide alusel liigitatud bilansilist väärtust „hoiuste“ ja „emiteeritud võlaväärtpaberite“ puhul, mis vastavad allutatud võla määratlusele. „Allutatud võla“ instrumendid annavad emiteeriva krediidiasutuse või investeerimisühingu vastu kõrvalnõude, mida võib kasutada alles siis, kui kõik kõrgema järgu nõuded on rahuldatud [EKP bilansikirjete määrus].</w:t>
      </w:r>
    </w:p>
    <w:p w:rsidR="009569C7" w:rsidRPr="00EC4FA2" w:rsidRDefault="00A834F1" w:rsidP="003A3ED4">
      <w:pPr>
        <w:pStyle w:val="Baseparagraphnumbered"/>
        <w:tabs>
          <w:tab w:val="left" w:pos="851"/>
        </w:tabs>
      </w:pPr>
      <w:r>
        <w:lastRenderedPageBreak/>
        <w:t>Kirje „Enda krediidiriski muutusest tulenevad õiglase väärtuse akumuleeritud muutused“ hõlmab kõiki kõnealuseid õiglase väärtuse akumuleeritud muutusi, olenemata sellest, kas neid kajastatakse kasumiaru</w:t>
      </w:r>
      <w:r w:rsidR="008D7A37">
        <w:t>andes või läbi muu koondkasumi.</w:t>
      </w:r>
    </w:p>
    <w:p w:rsidR="009569C7" w:rsidRPr="00EC4FA2" w:rsidRDefault="00A834F1" w:rsidP="009569C7">
      <w:pPr>
        <w:pStyle w:val="subtitlenumbered"/>
        <w:numPr>
          <w:ilvl w:val="0"/>
          <w:numId w:val="17"/>
        </w:numPr>
        <w:jc w:val="both"/>
      </w:pPr>
      <w:bookmarkStart w:id="120" w:name="_Toc361844222"/>
      <w:bookmarkStart w:id="121" w:name="_Toc362359293"/>
      <w:bookmarkStart w:id="122" w:name="_Toc467855217"/>
      <w:bookmarkStart w:id="123" w:name="_Toc485887327"/>
      <w:r>
        <w:t>Siduvad laenuandmiskohustused, finantsgarantiid ja muud siduvad kohustused (9)</w:t>
      </w:r>
      <w:bookmarkEnd w:id="120"/>
      <w:bookmarkEnd w:id="121"/>
      <w:bookmarkEnd w:id="122"/>
      <w:bookmarkEnd w:id="123"/>
    </w:p>
    <w:p w:rsidR="009569C7" w:rsidRPr="00EC4FA2" w:rsidRDefault="00A834F1" w:rsidP="003A3ED4">
      <w:pPr>
        <w:pStyle w:val="Baseparagraphnumbered"/>
        <w:tabs>
          <w:tab w:val="left" w:pos="851"/>
        </w:tabs>
      </w:pPr>
      <w:r>
        <w:t>Bilansivälised riskipositsioonid hõlmavad kapitalinõuete määruse I lisas loetletud bilansiväliseid kirjeid. Vormides 9.1, 9.1.1 ja 9.2 jaotatakse kõik kapitalinõuete määruse I lisas loetletud bilansivälised riskipositsioonid siduvateks laenuandmiskohustusteks, finantsgarantiideks ja muudeks siduvateks kohustusteks.</w:t>
      </w:r>
    </w:p>
    <w:p w:rsidR="009569C7" w:rsidRPr="00EC4FA2" w:rsidRDefault="00A834F1" w:rsidP="003A3ED4">
      <w:pPr>
        <w:pStyle w:val="Baseparagraphnumbered"/>
        <w:tabs>
          <w:tab w:val="left" w:pos="851"/>
        </w:tabs>
      </w:pPr>
      <w:bookmarkStart w:id="124" w:name="_Toc246513992"/>
      <w:bookmarkStart w:id="125" w:name="_Toc246730664"/>
      <w:bookmarkStart w:id="126" w:name="_Toc246730755"/>
      <w:bookmarkStart w:id="127" w:name="_Toc246513993"/>
      <w:bookmarkStart w:id="128" w:name="_Toc246730665"/>
      <w:bookmarkStart w:id="129" w:name="_Toc246730756"/>
      <w:bookmarkEnd w:id="124"/>
      <w:bookmarkEnd w:id="125"/>
      <w:bookmarkEnd w:id="126"/>
      <w:bookmarkEnd w:id="127"/>
      <w:bookmarkEnd w:id="128"/>
      <w:bookmarkEnd w:id="129"/>
      <w:r>
        <w:t xml:space="preserve">Siduvaid laenuandmiskohustusi, finantsgarantiisid (antud ja saadud) ning muid siduvaid kohustusi (nii aruande esitaja võetud kui ka tema ees võetud) käsitlev teave sisaldab nii tühistatavaid kui ka tühistamatuid siduvaid kohustusi. </w:t>
      </w:r>
    </w:p>
    <w:p w:rsidR="009569C7" w:rsidRPr="00EC4FA2" w:rsidRDefault="00A834F1" w:rsidP="003A3ED4">
      <w:pPr>
        <w:pStyle w:val="Baseparagraphnumbered"/>
        <w:tabs>
          <w:tab w:val="left" w:pos="851"/>
        </w:tabs>
      </w:pPr>
      <w:r>
        <w:t>Kapitalinõuete määruse I lisas loetletud siduvad laenuandmiskohustused, finantsgarantiid ja muud võetud siduvad kohustused võivad olla IFRS 9 kohaldamisalasse kuuluvad instrumendid, kui neid mõõdetakse õiglases väärtuses muutustega läbi kasumiaruande või kui nende suhtes kohaldatakse IFRS 9 kohaseid väärtuse languse nõudeid, samuti IAS 37 või IFRS 4 kohaldam</w:t>
      </w:r>
      <w:r w:rsidR="008D7A37">
        <w:t>isalasse kuuluvad instrumendid.</w:t>
      </w:r>
    </w:p>
    <w:p w:rsidR="009569C7" w:rsidRPr="00EC4FA2" w:rsidRDefault="00A834F1" w:rsidP="003A3ED4">
      <w:pPr>
        <w:pStyle w:val="Baseparagraphnumbered"/>
        <w:tabs>
          <w:tab w:val="left" w:pos="851"/>
        </w:tabs>
      </w:pPr>
      <w:r>
        <w:t>IFRSi kohaselt kajastatakse siduvad laenuandmiskohustused, finantsgarantiid ja muud võetud siduvad kohustused vormis 9.1, kui täidetud on mõni järgmistest tingimustest:</w:t>
      </w:r>
    </w:p>
    <w:p w:rsidR="009569C7" w:rsidRPr="00EC4FA2" w:rsidRDefault="00A834F1" w:rsidP="009569C7">
      <w:pPr>
        <w:pStyle w:val="Baseparagraphnumbered"/>
        <w:numPr>
          <w:ilvl w:val="0"/>
          <w:numId w:val="56"/>
        </w:numPr>
        <w:ind w:left="1134" w:hanging="425"/>
      </w:pPr>
      <w:r>
        <w:t xml:space="preserve"> nende suhtes kohaldatakse IFRS 9 kohaseid väärtuse languse nõudeid;</w:t>
      </w:r>
    </w:p>
    <w:p w:rsidR="009569C7" w:rsidRPr="00EC4FA2" w:rsidRDefault="00A834F1" w:rsidP="009569C7">
      <w:pPr>
        <w:pStyle w:val="Baseparagraphnumbered"/>
        <w:numPr>
          <w:ilvl w:val="0"/>
          <w:numId w:val="56"/>
        </w:numPr>
        <w:ind w:left="1134" w:hanging="425"/>
      </w:pPr>
      <w:r>
        <w:t>neid kajastatakse õiglases väärtuses muutustega läbi kasumiaruande IFRS 9 kohaselt;</w:t>
      </w:r>
    </w:p>
    <w:p w:rsidR="009569C7" w:rsidRPr="00EC4FA2" w:rsidRDefault="00A834F1" w:rsidP="009569C7">
      <w:pPr>
        <w:pStyle w:val="Baseparagraphnumbered"/>
        <w:numPr>
          <w:ilvl w:val="0"/>
          <w:numId w:val="56"/>
        </w:numPr>
        <w:ind w:left="1134" w:hanging="425"/>
      </w:pPr>
      <w:r>
        <w:t xml:space="preserve">nad kuuluvad IAS </w:t>
      </w:r>
      <w:r w:rsidR="008D7A37">
        <w:t>37 või IFRS 4 kohaldamisalasse.</w:t>
      </w:r>
    </w:p>
    <w:p w:rsidR="009569C7" w:rsidRPr="00EC4FA2" w:rsidRDefault="00A834F1" w:rsidP="003A3ED4">
      <w:pPr>
        <w:pStyle w:val="Baseparagraphnumbered"/>
        <w:tabs>
          <w:tab w:val="left" w:pos="851"/>
        </w:tabs>
      </w:pPr>
      <w:r>
        <w:t>Kohustused, mida kajastatakse käesoleva lisa käesoleva osa punkti 105 alapunktides a ja c osutatud finantsgarantiide ja võetud siduvate kohustuste krediidikahjuna, kajastatakse sõltumata kohaldatud mõõtmiskriteeriumidest eraldistena.</w:t>
      </w:r>
    </w:p>
    <w:p w:rsidR="009569C7" w:rsidRPr="00EC4FA2" w:rsidRDefault="00A834F1" w:rsidP="003A3ED4">
      <w:pPr>
        <w:pStyle w:val="Baseparagraphnumbered"/>
        <w:tabs>
          <w:tab w:val="left" w:pos="851"/>
        </w:tabs>
      </w:pPr>
      <w:r>
        <w:t>IFRSi kohaldavad krediidiasutused ja investeerimisühingud kajastavad väärtuse languse etappide kaupa selliste instrumentide nimiväärtust ja eraldisi, mille suhtes kohaldatakse IFRS 9 kohaseid väärtuse languse nõudeid, sealhulgas instrumendid, mida mõõdetakse soetusmaksumuses, millest on maha arvatud</w:t>
      </w:r>
      <w:r w:rsidR="008D7A37">
        <w:t xml:space="preserve"> kajastatud akumuleeritud tulu.</w:t>
      </w:r>
    </w:p>
    <w:p w:rsidR="009569C7" w:rsidRPr="00EC4FA2" w:rsidRDefault="00A834F1" w:rsidP="003A3ED4">
      <w:pPr>
        <w:pStyle w:val="Baseparagraphnumbered"/>
        <w:tabs>
          <w:tab w:val="left" w:pos="851"/>
        </w:tabs>
      </w:pPr>
      <w:r>
        <w:t xml:space="preserve">Vormis 9.1.1 kajastatakse üksnes siduva kohustuse nimiväärtus, kui võlainstrument hõlmab nii bilansilist instrumenti kui ka bilansivälist komponenti. Kui aruandev üksus ei suuda eraldi kindlaks teha bilansiliste ja </w:t>
      </w:r>
      <w:r>
        <w:lastRenderedPageBreak/>
        <w:t>bilansiväliste komponentide eeldatavat krediidikahju, kajastatakse siduva kohustuse eeldatav krediidikahju koos bilansilise komponendi väärtuse akumuleeritud langusega. Kui eeldatav krediidikahju ületab võlainstrumendi bilansilist brutoväärtust, kajastatakse ülejäänud eeldatav krediidikahju eraldisena vormi 9.1.1 asjakohases väärtuse languse etapis [IFRS 9 paragrahv 5.5.20 ja IFRS 7 paragrahv B8E].</w:t>
      </w:r>
    </w:p>
    <w:p w:rsidR="009569C7" w:rsidRPr="00EC4FA2" w:rsidRDefault="00A834F1" w:rsidP="003A3ED4">
      <w:pPr>
        <w:pStyle w:val="Baseparagraphnumbered"/>
        <w:tabs>
          <w:tab w:val="left" w:pos="851"/>
        </w:tabs>
      </w:pPr>
      <w:r>
        <w:t>Kui finantsgarantiid või siduvat kohustust anda laenu turu intressimäärast madalama intressimääraga mõõdetakse vastavalt IFRS 9 paragrahvi 4.2.1 punktile d ja selle kahju allahindlus määratakse kindlaks vastavalt IFRS 9 paragrahvile 5.5, kajastatakse seda asjakohases väärtuse languse etapis.</w:t>
      </w:r>
    </w:p>
    <w:p w:rsidR="009569C7" w:rsidRPr="00EC4FA2" w:rsidRDefault="00A834F1" w:rsidP="003A3ED4">
      <w:pPr>
        <w:pStyle w:val="Baseparagraphnumbered"/>
        <w:tabs>
          <w:tab w:val="left" w:pos="851"/>
        </w:tabs>
      </w:pPr>
      <w:r>
        <w:t>Kui siduvaid laenuandmiskohustusi, finantsgarantiisid ja muid võetud siduvaid kohustusi mõõdetakse õiglases väärtuses IFRS 9 kohaselt, kajastavad krediidiasutused ja investeerimisühingud vormi 9.1.1 vastavates veergudes kõnealuste finantsgarantiide ja siduvate kohustuste nimiväärtuse ja nende krediidiriskist tulenevad õiglase väärtuse akumuleeritud negatiivsed muutused. Kirje „krediidiriskist tulenevad õiglase väärtuse akumuleeritud negatiivsed muutused“ kajastamisel kohaldatakse käesoleva osa punkti 69 kriteeriume.</w:t>
      </w:r>
    </w:p>
    <w:p w:rsidR="009569C7" w:rsidRPr="00EC4FA2" w:rsidRDefault="00A834F1" w:rsidP="003A3ED4">
      <w:pPr>
        <w:pStyle w:val="Baseparagraphnumbered"/>
        <w:tabs>
          <w:tab w:val="left" w:pos="851"/>
        </w:tabs>
      </w:pPr>
      <w:r>
        <w:t>IAS 37 või IFRS 4 kohaldamisalasse kuuluvate muude siduvate kohustuste või garantiide nimiväärtust ja eraldisi kajastatakse asjakohastes veergudes.</w:t>
      </w:r>
    </w:p>
    <w:p w:rsidR="009569C7" w:rsidRPr="00EC4FA2" w:rsidRDefault="00A834F1" w:rsidP="003A3ED4">
      <w:pPr>
        <w:pStyle w:val="Baseparagraphnumbered"/>
        <w:tabs>
          <w:tab w:val="left" w:pos="851"/>
        </w:tabs>
      </w:pPr>
      <w:r>
        <w:t>BADil põhinevat siseriiklikku GAAPi kohaldavad krediidiasutused ja investeerimisühingud kajastavad vormis 9.1 punktides 102 ja 103 osutatud siduvate kohustuste ja finantsgarantiide nimiväärtuse, samuti eraldiste summa, mida peab kõnealuste bilansiväliste riskipositsioonide puhul hoidma.</w:t>
      </w:r>
    </w:p>
    <w:p w:rsidR="009569C7" w:rsidRPr="00EC4FA2" w:rsidRDefault="00A834F1" w:rsidP="003A3ED4">
      <w:pPr>
        <w:pStyle w:val="Baseparagraphnumbered"/>
        <w:tabs>
          <w:tab w:val="left" w:pos="851"/>
        </w:tabs>
      </w:pPr>
      <w:r>
        <w:t>„Siduvad laenuandmiskohustused“ on kindlad kohustused anda laenu eelnevalt kokkulepitud tingimustel. Siia ei kuulu tuletisinstrumendid, kuna neid saab tasaarveldada sularahas või andes üle või emiteerides muu finantsinstrumendi. „Siduvateks laenuandmiskohustusteks“ liigitatakse järgmised kapitalinõuete m</w:t>
      </w:r>
      <w:r w:rsidR="008D7A37">
        <w:t>ääruse I lisas esitatud kirjed:</w:t>
      </w:r>
    </w:p>
    <w:p w:rsidR="009569C7" w:rsidRPr="00EC4FA2" w:rsidRDefault="00A834F1" w:rsidP="009569C7">
      <w:pPr>
        <w:pStyle w:val="Baseparagraphnumbered"/>
        <w:numPr>
          <w:ilvl w:val="0"/>
          <w:numId w:val="31"/>
        </w:numPr>
        <w:ind w:left="1134" w:hanging="425"/>
      </w:pPr>
      <w:r>
        <w:t>„kohustus hoiustada finantsvara kindlaksmääratud ajal tulevikus“;</w:t>
      </w:r>
    </w:p>
    <w:p w:rsidR="009569C7" w:rsidRPr="00EC4FA2" w:rsidRDefault="00A834F1" w:rsidP="009569C7">
      <w:pPr>
        <w:pStyle w:val="Baseparagraphnumbered"/>
        <w:numPr>
          <w:ilvl w:val="0"/>
          <w:numId w:val="31"/>
        </w:numPr>
        <w:ind w:left="1134" w:hanging="425"/>
      </w:pPr>
      <w:r>
        <w:t>„kasutamata krediidilimiidid“, mis hõlmavad lepinguid „anda laenu“ või pakkuda „aktseptimisvõimalusi“ eelnevalt kindlaksmääratud tingimuste alusel.</w:t>
      </w:r>
    </w:p>
    <w:p w:rsidR="009569C7" w:rsidRPr="00EC4FA2" w:rsidRDefault="00A834F1" w:rsidP="003A3ED4">
      <w:pPr>
        <w:pStyle w:val="Baseparagraphnumbered"/>
        <w:tabs>
          <w:tab w:val="left" w:pos="851"/>
        </w:tabs>
      </w:pPr>
      <w:r>
        <w:t>„Finantsgarantiid“ on lepingud, mis nõuavad garantiiandjalt kindlaksmääratud maksete sooritamist, et hüvitada garantii saajale tekkinud kahju, kui kindlaksmääratud võlgnik ei tee tähtaegselt makseid vastavalt võlainstrumendi algsetele või muudetud tingimustele, sealhulgas teistele finantsgarantiidele antud garantiid. IFRSi kohaselt vastavad need lepingud IFRS 9 paragrahvi 2.1 punkti e ning IFRS 4 lisas A esitatud finantsgarantiilepingu määratlusele. „Finantsgarantiideks“ liigitatakse järgmised kapitalinõuete m</w:t>
      </w:r>
      <w:r w:rsidR="008D7A37">
        <w:t>ääruse I lisas esitatud kirjed:</w:t>
      </w:r>
    </w:p>
    <w:p w:rsidR="009569C7" w:rsidRPr="00EC4FA2" w:rsidRDefault="000F4147" w:rsidP="002A7491">
      <w:pPr>
        <w:pStyle w:val="Baseparagraphnumbered"/>
        <w:numPr>
          <w:ilvl w:val="0"/>
          <w:numId w:val="68"/>
        </w:numPr>
      </w:pPr>
      <w:r>
        <w:lastRenderedPageBreak/>
        <w:t>„finantsgarantiid“;</w:t>
      </w:r>
    </w:p>
    <w:p w:rsidR="009569C7" w:rsidRPr="00EC4FA2" w:rsidRDefault="00A834F1" w:rsidP="002A7491">
      <w:pPr>
        <w:pStyle w:val="Baseparagraphnumbered"/>
        <w:numPr>
          <w:ilvl w:val="0"/>
          <w:numId w:val="68"/>
        </w:numPr>
        <w:ind w:left="1134" w:hanging="425"/>
      </w:pPr>
      <w:r>
        <w:t>„krediidituletisinstrumendid“, mis vastavad finantsgarantii määratlusele;</w:t>
      </w:r>
    </w:p>
    <w:p w:rsidR="009569C7" w:rsidRPr="00EC4FA2" w:rsidRDefault="00A834F1" w:rsidP="002A7491">
      <w:pPr>
        <w:pStyle w:val="Baseparagraphnumbered"/>
        <w:numPr>
          <w:ilvl w:val="0"/>
          <w:numId w:val="68"/>
        </w:numPr>
        <w:ind w:left="1134" w:hanging="425"/>
      </w:pPr>
      <w:r>
        <w:t>„finantsiseloomuga tagasivõtmatud valmisolekuakreditiivid“.</w:t>
      </w:r>
    </w:p>
    <w:p w:rsidR="009569C7" w:rsidRPr="00EC4FA2" w:rsidRDefault="00A834F1" w:rsidP="009569C7">
      <w:pPr>
        <w:pStyle w:val="Baseparagraphnumbered"/>
      </w:pPr>
      <w:r>
        <w:t>„Muud siduvad kohustused“ hõlmab järgmisi kapitalinõuete direktii</w:t>
      </w:r>
      <w:r w:rsidR="000F4147">
        <w:t>vi I lisas esitatud kirjeid:</w:t>
      </w:r>
    </w:p>
    <w:p w:rsidR="009569C7" w:rsidRPr="00EC4FA2" w:rsidRDefault="00A834F1" w:rsidP="009569C7">
      <w:pPr>
        <w:pStyle w:val="Baseparagraphnumbered"/>
        <w:numPr>
          <w:ilvl w:val="0"/>
          <w:numId w:val="32"/>
        </w:numPr>
        <w:ind w:left="1134" w:hanging="425"/>
      </w:pPr>
      <w:r>
        <w:t>„osaliselt tasutud aktsiate ja osade ni</w:t>
      </w:r>
      <w:r w:rsidR="000F4147">
        <w:t>ng väärtpaberite tasumata osa“;</w:t>
      </w:r>
    </w:p>
    <w:p w:rsidR="009569C7" w:rsidRPr="00EC4FA2" w:rsidRDefault="00A834F1" w:rsidP="009569C7">
      <w:pPr>
        <w:pStyle w:val="Baseparagraphnumbered"/>
        <w:numPr>
          <w:ilvl w:val="0"/>
          <w:numId w:val="32"/>
        </w:numPr>
        <w:ind w:left="1134" w:hanging="425"/>
      </w:pPr>
      <w:r>
        <w:t>„väljastatud ja</w:t>
      </w:r>
      <w:r w:rsidR="000F4147">
        <w:t xml:space="preserve"> kinnitatud dokumentaalmaksed“;</w:t>
      </w:r>
    </w:p>
    <w:p w:rsidR="009569C7" w:rsidRPr="00EC4FA2" w:rsidRDefault="00A834F1" w:rsidP="009569C7">
      <w:pPr>
        <w:pStyle w:val="Baseparagraphnumbered"/>
        <w:numPr>
          <w:ilvl w:val="0"/>
          <w:numId w:val="32"/>
        </w:numPr>
        <w:ind w:left="1134" w:hanging="425"/>
      </w:pPr>
      <w:r>
        <w:t>„kaubanduse rahastamise bilansivälised kirjed“;</w:t>
      </w:r>
    </w:p>
    <w:p w:rsidR="009569C7" w:rsidRPr="00EC4FA2" w:rsidRDefault="00A834F1" w:rsidP="009569C7">
      <w:pPr>
        <w:pStyle w:val="Baseparagraphnumbered"/>
        <w:numPr>
          <w:ilvl w:val="0"/>
          <w:numId w:val="32"/>
        </w:numPr>
        <w:ind w:left="1134" w:hanging="425"/>
      </w:pPr>
      <w:r>
        <w:t>„dokumentaalmaksed, mille puhul kaubasaadetis on tagatiseks, ja muud automa</w:t>
      </w:r>
      <w:r w:rsidR="000F4147">
        <w:t>atselt likvideeruvad tehingud“;</w:t>
      </w:r>
    </w:p>
    <w:p w:rsidR="009569C7" w:rsidRPr="00EC4FA2" w:rsidRDefault="00A834F1" w:rsidP="009569C7">
      <w:pPr>
        <w:pStyle w:val="Baseparagraphnumbered"/>
        <w:numPr>
          <w:ilvl w:val="0"/>
          <w:numId w:val="32"/>
        </w:numPr>
        <w:ind w:left="1134" w:hanging="425"/>
      </w:pPr>
      <w:r>
        <w:t>„tagatised ja kahjuhüvitised“ (sh pakkumus- ja täitmisgarantiid) ning „mittefinantsgarantiid“;</w:t>
      </w:r>
    </w:p>
    <w:p w:rsidR="009569C7" w:rsidRPr="00EC4FA2" w:rsidRDefault="00A834F1" w:rsidP="009569C7">
      <w:pPr>
        <w:pStyle w:val="Baseparagraphnumbered"/>
        <w:numPr>
          <w:ilvl w:val="0"/>
          <w:numId w:val="32"/>
        </w:numPr>
        <w:ind w:left="1134" w:hanging="425"/>
      </w:pPr>
      <w:r>
        <w:t>„saatelehe tagatised (</w:t>
      </w:r>
      <w:r>
        <w:rPr>
          <w:i/>
        </w:rPr>
        <w:t>shipping guarantees</w:t>
      </w:r>
      <w:r>
        <w:t>), tolli- ja maksugarantiid“;</w:t>
      </w:r>
    </w:p>
    <w:p w:rsidR="009569C7" w:rsidRPr="00EC4FA2" w:rsidRDefault="00A834F1" w:rsidP="009569C7">
      <w:pPr>
        <w:pStyle w:val="Baseparagraphnumbered"/>
        <w:numPr>
          <w:ilvl w:val="0"/>
          <w:numId w:val="32"/>
        </w:numPr>
        <w:ind w:left="1134" w:hanging="425"/>
      </w:pPr>
      <w:r>
        <w:t>„võlakirjade emissiooniteenused“ (NIF) ja „uueneva käenduse süsteemid“ (RUF);</w:t>
      </w:r>
    </w:p>
    <w:p w:rsidR="009569C7" w:rsidRPr="00EC4FA2" w:rsidRDefault="00A834F1" w:rsidP="009569C7">
      <w:pPr>
        <w:pStyle w:val="Baseparagraphnumbered"/>
        <w:numPr>
          <w:ilvl w:val="0"/>
          <w:numId w:val="32"/>
        </w:numPr>
        <w:ind w:left="1134" w:hanging="425"/>
      </w:pPr>
      <w:r>
        <w:t>„kasutamata krediidilimiidid“, mis hõlmavad lepinguid „anda laenu“ või pakkuda „aktseptimisvõimalusi“ juhul, kui tingimused ei o</w:t>
      </w:r>
      <w:r w:rsidR="008D7A37">
        <w:t>le eelnevalt kindlaks määratud;</w:t>
      </w:r>
    </w:p>
    <w:p w:rsidR="009569C7" w:rsidRPr="00EC4FA2" w:rsidRDefault="00A834F1" w:rsidP="009569C7">
      <w:pPr>
        <w:pStyle w:val="Baseparagraphnumbered"/>
        <w:numPr>
          <w:ilvl w:val="0"/>
          <w:numId w:val="32"/>
        </w:numPr>
        <w:ind w:left="1134" w:hanging="425"/>
      </w:pPr>
      <w:r>
        <w:t>„kasutamata krediidilimiidid“, mis hõlmavad „väärtpaberite ostu“ või „garantiide andmist“ käsitlevaid lepinguid;</w:t>
      </w:r>
    </w:p>
    <w:p w:rsidR="009569C7" w:rsidRPr="00EC4FA2" w:rsidRDefault="00A834F1" w:rsidP="009569C7">
      <w:pPr>
        <w:pStyle w:val="Baseparagraphnumbered"/>
        <w:numPr>
          <w:ilvl w:val="0"/>
          <w:numId w:val="32"/>
        </w:numPr>
        <w:ind w:left="1134" w:hanging="425"/>
      </w:pPr>
      <w:r>
        <w:t>„pakkumus- ja täitmisgarantiide kasutamata krediidilimiidid“;</w:t>
      </w:r>
    </w:p>
    <w:p w:rsidR="009569C7" w:rsidRPr="00EC4FA2" w:rsidRDefault="00A834F1" w:rsidP="009569C7">
      <w:pPr>
        <w:pStyle w:val="Baseparagraphnumbered"/>
        <w:numPr>
          <w:ilvl w:val="0"/>
          <w:numId w:val="32"/>
        </w:numPr>
        <w:ind w:left="1134" w:hanging="425"/>
      </w:pPr>
      <w:r>
        <w:t>„muud bilansivälised kirjed“ kapitalinõuete direktiivi I lisas.</w:t>
      </w:r>
    </w:p>
    <w:p w:rsidR="009569C7" w:rsidRPr="00EC4FA2" w:rsidRDefault="00A834F1" w:rsidP="003A3ED4">
      <w:pPr>
        <w:pStyle w:val="Baseparagraphnumbered"/>
        <w:tabs>
          <w:tab w:val="left" w:pos="851"/>
        </w:tabs>
      </w:pPr>
      <w:r>
        <w:t>IFRSi kohaselt kajastatakse järgmised kirjed bilansis ning sellest tulenevalt ei tohiks neid kajastada bilansiväliste riskipositsioonidena:</w:t>
      </w:r>
    </w:p>
    <w:p w:rsidR="009569C7" w:rsidRPr="00EC4FA2" w:rsidRDefault="00A834F1" w:rsidP="009569C7">
      <w:pPr>
        <w:pStyle w:val="Baseparagraphnumbered"/>
        <w:numPr>
          <w:ilvl w:val="0"/>
          <w:numId w:val="33"/>
        </w:numPr>
        <w:ind w:left="1134" w:hanging="425"/>
      </w:pPr>
      <w:r>
        <w:t>„krediidituletisinstrumendid“, mis ei vasta finantsgarantii määratlusele, on IFRS 9 kohaselt „tuletisinstrumendid“;</w:t>
      </w:r>
    </w:p>
    <w:p w:rsidR="009569C7" w:rsidRPr="00EC4FA2" w:rsidRDefault="00A834F1" w:rsidP="009569C7">
      <w:pPr>
        <w:pStyle w:val="Baseparagraphnumbered"/>
        <w:numPr>
          <w:ilvl w:val="0"/>
          <w:numId w:val="33"/>
        </w:numPr>
        <w:ind w:left="1134" w:hanging="425"/>
      </w:pPr>
      <w:r>
        <w:t xml:space="preserve"> „käskvekslite aktseptid“ on krediidiasutuse või investeerimisühingu kohustused maksta lõpptähtajal tavaliselt kaupade müüki katva käskveksli nimiväärtus. Seepärast liigitatakse need bilansis kui „nõuded klientide vastu“;</w:t>
      </w:r>
    </w:p>
    <w:p w:rsidR="009569C7" w:rsidRPr="00EC4FA2" w:rsidRDefault="00A834F1" w:rsidP="009569C7">
      <w:pPr>
        <w:pStyle w:val="Baseparagraphnumbered"/>
        <w:numPr>
          <w:ilvl w:val="0"/>
          <w:numId w:val="33"/>
        </w:numPr>
        <w:ind w:left="1134" w:hanging="425"/>
      </w:pPr>
      <w:r>
        <w:t>„vekslite käendus“, mis ei vasta IFRS 9 kohastele kajastamise lõpetamise kriteeriumidele;</w:t>
      </w:r>
    </w:p>
    <w:p w:rsidR="009569C7" w:rsidRPr="00EC4FA2" w:rsidRDefault="00A834F1" w:rsidP="009569C7">
      <w:pPr>
        <w:pStyle w:val="Baseparagraphnumbered"/>
        <w:numPr>
          <w:ilvl w:val="0"/>
          <w:numId w:val="33"/>
        </w:numPr>
        <w:ind w:left="1134" w:hanging="425"/>
      </w:pPr>
      <w:r>
        <w:lastRenderedPageBreak/>
        <w:t>„regressiõigusega tehingud“, mis ei vasta IFRS 9 kohastele kajastamise lõpetamise kriteeriumidele;</w:t>
      </w:r>
    </w:p>
    <w:p w:rsidR="009569C7" w:rsidRPr="00EC4FA2" w:rsidRDefault="00A834F1" w:rsidP="009569C7">
      <w:pPr>
        <w:pStyle w:val="Baseparagraphnumbered"/>
        <w:numPr>
          <w:ilvl w:val="0"/>
          <w:numId w:val="33"/>
        </w:numPr>
        <w:ind w:left="1134" w:hanging="425"/>
      </w:pPr>
      <w:r>
        <w:t>„lihtforvardipõhised vara ostmise kohustused“ on IFRS 9 kohaselt „tuletisinstrumendid“;</w:t>
      </w:r>
    </w:p>
    <w:p w:rsidR="009569C7" w:rsidRPr="00EC4FA2" w:rsidRDefault="00A834F1" w:rsidP="009569C7">
      <w:pPr>
        <w:pStyle w:val="Baseparagraphnumbered"/>
        <w:numPr>
          <w:ilvl w:val="0"/>
          <w:numId w:val="33"/>
        </w:numPr>
        <w:ind w:left="1134" w:hanging="425"/>
      </w:pPr>
      <w:r>
        <w:t>„direktiivi 86/635/EMÜ artikli 12 lõigetes 3 ja 5 määratletud vara müügi- ja tagasiostulepingud“. Nendes lepingutes on vastuvõtjal võimalus, kuid mitte kohustus, tagastada vara eelnevalt kokkulepitud hinnaga kindlaksmääratud või kindlaksmäärataval kuupäeval. Seega vastavad need lepingud IFRS 9 A lisa kohasele tuletisinstrumentide määratlusele.</w:t>
      </w:r>
    </w:p>
    <w:p w:rsidR="009569C7" w:rsidRPr="00EC4FA2" w:rsidRDefault="00A834F1" w:rsidP="003A3ED4">
      <w:pPr>
        <w:pStyle w:val="Baseparagraphnumbered"/>
        <w:tabs>
          <w:tab w:val="left" w:pos="851"/>
        </w:tabs>
      </w:pPr>
      <w:r>
        <w:t>Kirje „millest: viivises“ hõlmab selliste võetud siduvate laenuandmiskohustuste, antud finantsgarantiide ja muude võetud siduvate kohustuste nimiväärtust, mida loetakse käesoleva osa punktide 213</w:t>
      </w:r>
      <w:r w:rsidR="008D7A37">
        <w:t>–239 kohaselt viivises olevaks.</w:t>
      </w:r>
    </w:p>
    <w:p w:rsidR="009569C7" w:rsidRPr="00EC4FA2" w:rsidRDefault="00A834F1" w:rsidP="003A3ED4">
      <w:pPr>
        <w:pStyle w:val="Baseparagraphnumbered"/>
        <w:tabs>
          <w:tab w:val="left" w:pos="851"/>
        </w:tabs>
      </w:pPr>
      <w:r>
        <w:t>Võetud siduvate laenuandmiskohustuste, antud finantsgarantiide ja muude võetud siduvate kohustuste puhul on „nimiväärtus“ summa, mis kõige paremini kajastab krediidiasutuse või investeerimisühingu maksimaalset krediidiriski positsiooni, ilma et võetaks arvesse ühtki hoitavat tagatist või muud krediidikvaliteedi parandamist. Eelkõige antud finantsgarantiide puhul on nimiväärtus maksimaalne summa, mida üksus peaks maksma garantii sissenõudmise korral. Siduvate laenuandmiskohustuste puhul on nimiväärtus see kasutamata summa, mille krediidiasutus või investeerimisühing on lubanud laenuks anda. Nimiväärtused on riskipositsiooni väärtused enne ümberhindlustegurite ja krediidiriski maandamise tehnikate kohaldamist.</w:t>
      </w:r>
    </w:p>
    <w:p w:rsidR="009569C7" w:rsidRPr="00EC4FA2" w:rsidRDefault="00A834F1" w:rsidP="003A3ED4">
      <w:pPr>
        <w:pStyle w:val="Baseparagraphnumbered"/>
        <w:tabs>
          <w:tab w:val="left" w:pos="851"/>
        </w:tabs>
      </w:pPr>
      <w:r>
        <w:t>Vormis 9.2 on aruande esitaja ees võetud siduvate laenuandmiskohustuste puhul nimiväärtuseks kogu kasutamata summa, mida vastaspool on lubanud krediidiasutusele või investeerimisühingule laenata. Muude siduvate kohustuste puhul aruande esitaja ees on nimiväärtuseks see kogusumma, mille tehingu teine osapool on lubanud. Saadud finantsgarantiide puhul on „garantii maksimaalne väärtus, mida saab arvesse võtta“ maksimaalne summa, mille vastaspool peaks maksma garantii sissenõudmise korral. Kui saadud finantsgarantii on andnud rohkem kui üks garantiiandja, kajastatakse tagatud summa vormis ainult ühe korra; tagatud summa eraldatakse garantiiandjale, kes on krediidiriski maandamise seisukohalt olulisem.</w:t>
      </w:r>
    </w:p>
    <w:p w:rsidR="009569C7" w:rsidRPr="00EC4FA2" w:rsidRDefault="00A834F1" w:rsidP="009569C7">
      <w:pPr>
        <w:pStyle w:val="subtitlenumbered"/>
        <w:numPr>
          <w:ilvl w:val="0"/>
          <w:numId w:val="17"/>
        </w:numPr>
        <w:jc w:val="both"/>
      </w:pPr>
      <w:bookmarkStart w:id="130" w:name="_Toc361844223"/>
      <w:bookmarkStart w:id="131" w:name="_Toc362359294"/>
      <w:bookmarkStart w:id="132" w:name="_Toc467855218"/>
      <w:bookmarkStart w:id="133" w:name="_Toc485887328"/>
      <w:r>
        <w:t>Tuletisinstrumendid ja riskimaandamise arvestus (10 ja 11)</w:t>
      </w:r>
      <w:bookmarkEnd w:id="130"/>
      <w:bookmarkEnd w:id="131"/>
      <w:bookmarkEnd w:id="132"/>
      <w:bookmarkEnd w:id="133"/>
    </w:p>
    <w:p w:rsidR="009569C7" w:rsidRPr="00EC4FA2" w:rsidRDefault="00A834F1" w:rsidP="003A3ED4">
      <w:pPr>
        <w:pStyle w:val="Baseparagraphnumbered"/>
        <w:tabs>
          <w:tab w:val="left" w:pos="851"/>
        </w:tabs>
      </w:pPr>
      <w:r>
        <w:t xml:space="preserve">Vormide 10 ja 11 puhul käsitatakse tuletisinstrumente kas riskimaanduse tuletisinstrumentidena, kui neid kasutatakse kvalifitseeruva riskimaandusena IFRSi või kohaldatava BADil põhineva siseriikliku GAAPi kohaselt, või kauplemiseks hoitavatena, kui tegemist on muude juhtudega. </w:t>
      </w:r>
    </w:p>
    <w:p w:rsidR="009569C7" w:rsidRPr="00EC4FA2" w:rsidRDefault="00A834F1" w:rsidP="003A3ED4">
      <w:pPr>
        <w:pStyle w:val="Baseparagraphnumbered"/>
        <w:tabs>
          <w:tab w:val="left" w:pos="851"/>
        </w:tabs>
      </w:pPr>
      <w:r>
        <w:t xml:space="preserve">Kauplemiseks hoitavate tuletisinstrumentide (sealhulgas majanduslik riskimaandus) ja riskimaandamisarvestuse eesmärgil hoitavate tuletisinstrumentide bilansiline väärtus ja tinglik väärtus kajastatakse vormides 10 ja 11 alusriski liikide, turu liikide ja tooteliikide kaupa. Krediidiasutused ja investeerimisühingud kajastavad riskimaandamise </w:t>
      </w:r>
      <w:r>
        <w:lastRenderedPageBreak/>
        <w:t>arvestuse eesmärgil hoitavad tuletisinstrumendid ka riskimaanduse liikide kaupa. Teave riskimaandamisinstrumentide kohta, mis ei ole tuletisinstrumendid, esitatakse eraldi ja riskimaanduse liikide kaupa.</w:t>
      </w:r>
    </w:p>
    <w:p w:rsidR="009569C7" w:rsidRPr="00EC4FA2" w:rsidRDefault="00A834F1" w:rsidP="003A3ED4">
      <w:pPr>
        <w:pStyle w:val="Baseparagraphnumbered"/>
        <w:tabs>
          <w:tab w:val="left" w:pos="851"/>
        </w:tabs>
      </w:pPr>
      <w:r>
        <w:t>Kohaldatava BADil põhineva siseriikliku GAAPi kohaselt esitatakse nendes vormides kõik tuletisinstrumendid, olenemata sellest, kas neid siseriikliku GAAPi kohaselt bilansis kajastatakse või mitte.</w:t>
      </w:r>
    </w:p>
    <w:p w:rsidR="009569C7" w:rsidRPr="00EC4FA2" w:rsidRDefault="00A834F1" w:rsidP="003A3ED4">
      <w:pPr>
        <w:pStyle w:val="Baseparagraphnumbered"/>
        <w:tabs>
          <w:tab w:val="left" w:pos="851"/>
        </w:tabs>
      </w:pPr>
      <w:r>
        <w:t>Kauplemisel kasutatavate ja riskimaanduse tuletisinstrumentide bilansilise väärtuse, õiglase väärtuse ja tingliku väärtuse esitamisel arvestusportfellide ja riskimaanduse liikide kaupa võetakse arvesse IFRSI või BADil põhineva siseriikliku GAAPi (olenevalt sellest, millist raamistikku aruandva üksuse suhtes kohaldatakse) kohaseid arvestuspo</w:t>
      </w:r>
      <w:r w:rsidR="008D7A37">
        <w:t>rtfelle ja riskimaanduse liike.</w:t>
      </w:r>
    </w:p>
    <w:p w:rsidR="009569C7" w:rsidRPr="00EC4FA2" w:rsidRDefault="00A834F1" w:rsidP="003A3ED4">
      <w:pPr>
        <w:pStyle w:val="Baseparagraphnumbered"/>
        <w:tabs>
          <w:tab w:val="left" w:pos="851"/>
        </w:tabs>
      </w:pPr>
      <w:r>
        <w:t>Kauplemisel kasutatavad ja riskimaanduse tuletisinstrumendid, mida BADil põhineva siseriikliku GAAPi kohaselt mõõdetakse soetusmaksumuses või LOCOMi alusel, esitatakse eraldi.</w:t>
      </w:r>
    </w:p>
    <w:p w:rsidR="009569C7" w:rsidRPr="00EC4FA2" w:rsidRDefault="00A834F1" w:rsidP="003A3ED4">
      <w:pPr>
        <w:pStyle w:val="Baseparagraphnumbered"/>
        <w:tabs>
          <w:tab w:val="left" w:pos="851"/>
        </w:tabs>
      </w:pPr>
      <w:r>
        <w:t>Vorm 11 hõlmab riskimaandamisinstrumente ja maandatavaid instrumente, sõltumata kvalifitseeruva riskimaanduse kajastamiseks kasutatavast raamatupidamisstandardist, sealhulgas juhul, kui kvalifitseeruv riskimaandus on netopositsiooni suhtes. Kui krediidiasutus või investeerimisühing on otsustanud jätkata IAS 39 kohaldamist riskimaandamise arvestuse puhul [IFRS 9 paragrahv 7.2.21], käsitatakse viiteid riskimaanduse liikidele ja arvestusportfellidele ning nende nimesid asjakohaste viidetena ja nimedena IAS 39 paragrahvis 9. „Õiglases väärtuses läbi muu koondkasumi mõõdetud finantsvarad“ osutab kirjetele „müügivalmis varad“, ja „amortiseeritud soetusmaksumuses kajastatud varad“ hõlmab kirjeid „lõpptähtajani hoitavad“ ja „laenud ja nõuded“.</w:t>
      </w:r>
    </w:p>
    <w:p w:rsidR="009569C7" w:rsidRPr="00EC4FA2" w:rsidRDefault="00A834F1" w:rsidP="003A3ED4">
      <w:pPr>
        <w:pStyle w:val="Baseparagraphnumbered"/>
        <w:tabs>
          <w:tab w:val="left" w:pos="851"/>
        </w:tabs>
      </w:pPr>
      <w:r>
        <w:t>Hübriidinstrumentides sisalduvad tuletisinstrumendid, mis on eraldatud põhilepingust, kajastatakse vormides 10 ja 11 vastavalt tuletisinstrumendi laadile. Põhilepingu summa ei sisaldu neis vormides. Kui hübriidinstrumenti mõõdetakse õiglases väärtuses muutustega läbi kasumiaruande, kajastatakse leping tervikuna ja tuletisinstrumendi tunnustega väärtpabereid ei kajastata vormides 10 ja 11.</w:t>
      </w:r>
    </w:p>
    <w:p w:rsidR="009569C7" w:rsidRPr="00EC4FA2" w:rsidRDefault="00A834F1" w:rsidP="003A3ED4">
      <w:pPr>
        <w:pStyle w:val="Baseparagraphnumbered"/>
        <w:tabs>
          <w:tab w:val="left" w:pos="851"/>
        </w:tabs>
      </w:pPr>
      <w:r>
        <w:t>Siduvaid kohustusi, mida käsitatakse tuletisinstrumentidena [IFRS 9 paragrahvi 2.3 punkt b] ja krediidituletisinstrumentidena ning mis ei vasta käesoleva lisa käesoleva osa punktis 114 esitatud finantsgarantii määratlusele, kajastatakse vormides 10 ja 11 vastavalt samale jaotusele nagu muude tuletisinstrumentide puhul, kuid neid ei kajast</w:t>
      </w:r>
      <w:r w:rsidR="000A0D60">
        <w:t>ata vormis 9.</w:t>
      </w:r>
    </w:p>
    <w:p w:rsidR="009569C7" w:rsidRPr="00EC4FA2" w:rsidRDefault="00A834F1" w:rsidP="003A3ED4">
      <w:pPr>
        <w:pStyle w:val="Baseparagraphnumbered"/>
        <w:tabs>
          <w:tab w:val="left" w:pos="851"/>
        </w:tabs>
      </w:pPr>
      <w:r>
        <w:t>Selliste finantsvarade ja selliste finantskohustuste bilansiline väärtus, mis ei ole tuletisinstrumendid ja mida kajastatakse riskimaandamisinstrumendina IFRSi või BADil põhineva siseriikliku GAAPi kohaselt, k</w:t>
      </w:r>
      <w:r w:rsidR="000A0D60">
        <w:t>ajastatakse eraldi vormis 11.3.</w:t>
      </w:r>
    </w:p>
    <w:p w:rsidR="009569C7" w:rsidRPr="00EC4FA2" w:rsidRDefault="00A834F1" w:rsidP="009569C7">
      <w:pPr>
        <w:pStyle w:val="sub-subtitlenumbered"/>
        <w:keepNext/>
        <w:ind w:left="788" w:hanging="431"/>
        <w:jc w:val="both"/>
      </w:pPr>
      <w:bookmarkStart w:id="134" w:name="_Toc361844224"/>
      <w:bookmarkStart w:id="135" w:name="_Toc362359295"/>
      <w:bookmarkStart w:id="136" w:name="_Toc467855219"/>
      <w:bookmarkStart w:id="137" w:name="_Toc485887329"/>
      <w:r>
        <w:t>Tuletisinstrumentide liigitus riski liigi alusel</w:t>
      </w:r>
      <w:bookmarkEnd w:id="134"/>
      <w:bookmarkEnd w:id="135"/>
      <w:bookmarkEnd w:id="136"/>
      <w:bookmarkEnd w:id="137"/>
    </w:p>
    <w:p w:rsidR="009569C7" w:rsidRPr="00EC4FA2" w:rsidRDefault="00A834F1" w:rsidP="003A3ED4">
      <w:pPr>
        <w:pStyle w:val="Baseparagraphnumbered"/>
        <w:tabs>
          <w:tab w:val="left" w:pos="851"/>
        </w:tabs>
      </w:pPr>
      <w:r>
        <w:t>Kõik tuletisinstrumendid liigitatakse ühte järgmistest riskikategooriatest:</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lastRenderedPageBreak/>
        <w:t>intressimäär: intressimäära tuletisinstrumendid on intressi kandva finantsinstrumendiga seotud lepingud, mille rahavood on kindlaks määratud viiteintressimääradega või muu intressimäära lepinguga, näiteks futuurioptsiooni leping riigivõlakirjade ostmiseks. Sellesse kategooriasse kuuluvad üksnes need tehingud, mille kõigi poolte riskipositsioon tuleneb vaid ühe valuutaga seotud intressimäärast. Sellest kategooriast jäävad välja lepingud, millega kaasneb ühe või enama välisvaluuta vahetus, näiteks eri valuutade intressimäära vahetuslepingud ja valuutaoptsioonid, ning muud lepingud, mille peamine riskitunnus on valuutarisk; need kajastatakse valuutakursside lepingutena. Ainus erand on see, kui portfelli intressiriski maandamise osana kasutatakse eri valuutade intressimäära vahetuslepinguid, kui need kajastatakse seda liiki riskimaanduste jaoks ette nähtud ridadel. Intressimäärade lepingud hõlmavad intressiforvardeid, ühe valuuta intressimäära vahetuslepinguid, intressimäärafutuure, intressimääraoptsioone (sealhulgas ülempiirid, alampiirid, intressivahemikud (</w:t>
      </w:r>
      <w:r>
        <w:rPr>
          <w:rFonts w:ascii="Times New Roman" w:hAnsi="Times New Roman"/>
          <w:i/>
          <w:sz w:val="24"/>
        </w:rPr>
        <w:t>collars</w:t>
      </w:r>
      <w:r>
        <w:rPr>
          <w:rFonts w:ascii="Times New Roman" w:hAnsi="Times New Roman"/>
          <w:sz w:val="24"/>
        </w:rPr>
        <w:t>), intressikoridorid), intressimäära vahetusoptsioone ning intressimäära ostutähti;</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aktsiad: aktsiatel põhinevad tuletisinstrumendid on lepingud, mille tulu või tulu osa on seotud konkreetse aktsia hinna või aktsiaindeksiga;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välisvaluutad ja kuld: nende tuletisinstrumentide hulka kuuluvad lepingud, mis on seotud valuutade vahetusega forvardite turul ja kulla väärtusega. Seega hõlmavad need lihtforvardeid, välisvaluuta vahetustehinguid, valuuta vahetustehinguid (sh eri valuutade intressimäära vahetuslepingud), valuutafutuure, valuutaoptsioone, valuuta vahetusoptsioone ja valuuta ostutähti. Välisvaluuta tuletisinstrumendid hõlmavad kõiki kokkuleppeid, millega kaasneb riskipositsioon rohkem kui ühes valuutas, kas seoses vahetuskursside või intressimääradega, välja arvatud juhul, kui portfelli intressiriski maandamise osana kasutatakse eri valuutade intressimäära vahetuslepinguid. Kullalepingud hõlmavad kõiki lepinguid, millega kaasneb riskipositsioon selle kauba suhtes;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krediit: krediidituletisinstrumendid on lepingud, mille väljamaksed on seotud eelkõige konkreetse aluseks oleva krediidi krediidikvaliteedi mõne mõõdikuga ja mis ei vasta finantsgarantiide määratlusele [IFRS 9]. Lepingutes määratakse kindlaks maksete vahetamine, mille puhul kahest poolest vähemalt üks määratakse kindlaks aluseks oleva krediidi tulemusnäitajate alusel. Väljamaksete tegemise võivad käivitada mitu sündmust, sealhulgas makseviivitus, reitingu langetamine või alusvara krediidiriski marginaali kindlaksmääratud muutus; Krediidituletisinstrumendid, mis vastavad käesoleva lisa käesoleva osa punktis 114 esitatud finantsgarantii määratlusele, esitatakse üksnes vormis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kaup: need tuletisinstrumendid on lepingud, mille tulu või tulu osa on seotud sellise kauba nagu väärismetalli (muu kui kuld), nafta, puidu või põllumajandustoodete hinna või hinnaindeksiga;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muu: need tuletisinstrumendid on mis tahes muud tuletislepingud, millega ei kaasne riskipositsiooni välisvaluutas, intressimääras, aktsiates, kaubas </w:t>
      </w:r>
      <w:r>
        <w:rPr>
          <w:rFonts w:ascii="Times New Roman" w:hAnsi="Times New Roman"/>
          <w:sz w:val="24"/>
        </w:rPr>
        <w:lastRenderedPageBreak/>
        <w:t>ega krediidiriskis, sealhulgas klimaatiliste muutujatega seotud tuletisinstrumendid või kindlustuse tuletisinstrumendid.</w:t>
      </w:r>
    </w:p>
    <w:p w:rsidR="009569C7" w:rsidRPr="00EC4FA2" w:rsidRDefault="00A834F1" w:rsidP="003A3ED4">
      <w:pPr>
        <w:pStyle w:val="Baseparagraphnumbered"/>
        <w:tabs>
          <w:tab w:val="left" w:pos="851"/>
        </w:tabs>
      </w:pPr>
      <w:r>
        <w:t>Kui tuletisinstrumendiga on seotud rohkem kui ühte liiki risk, liigitatakse instrument kõige tundlikumat liiki riski alusel. Kui mitme riskipositsiooniga tuletisinstrumentide liigitamisel tekib ebakindlus, liigitatakse lepingud järgmises tähtsuse järjekorras:</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kaubad: kõik tuletisinstrumentide tehingud, mis on seotud kaubast või kauba indeksist tuleneva riskipositsiooniga, kajastatakse selles kategoorias sõltumata sellest, kas need on seotud või mitte ühise riskipositsiooni võtmisega kaupades ja muus riskikategoorias, mis võib hõlmata välisvaluutat, intressimäära või aktsiaid;</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aktsiad: võtmata arvesse selliseid tuletislepinguid, millega kaasneb ühine riskipositsioon kaupades ja aktsiates ning mida kajastatakse kaupadena, kajastatakse aktsiate kategoorias kõiki tuletisinstrumentidega tehinguid, mis on seotud aktsiate või aktsiaindeksite tulemusnäitajatega. Aktsiatehingud, millega kaasneb riskipositsioon välisvaluutas või intressimäärades, tule</w:t>
      </w:r>
      <w:r w:rsidR="000A0D60">
        <w:rPr>
          <w:rFonts w:ascii="Times New Roman" w:hAnsi="Times New Roman"/>
          <w:sz w:val="24"/>
        </w:rPr>
        <w:t>b kajastada selles kategoorias;</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välisvaluutad ja kuld: see kategooria hõlmab kõiki tuletisinstrumentidega tehinguid (välja arvatud need, mis on kajastatud juba kauba või aktsiate kategoorias), millega kaasneb riskipositsioon rohkemas kui ühes valuutas, olgu see siis seotud kas intressi kandvate finantsinstrumentidega või vahetuskurssidega, välja arvatud juhul, kui portfelli intressiriski maandamise osana kasutatakse eri valuutade intressimäära vahetuslepinguid.</w:t>
      </w:r>
    </w:p>
    <w:p w:rsidR="009569C7" w:rsidRPr="00EC4FA2" w:rsidRDefault="00A834F1" w:rsidP="009569C7">
      <w:pPr>
        <w:pStyle w:val="sub-subtitlenumbered"/>
        <w:jc w:val="both"/>
      </w:pPr>
      <w:bookmarkStart w:id="138" w:name="_Toc361844225"/>
      <w:bookmarkStart w:id="139" w:name="_Toc362359296"/>
      <w:bookmarkStart w:id="140" w:name="_Toc467855220"/>
      <w:bookmarkStart w:id="141" w:name="_Toc485887330"/>
      <w:r>
        <w:t>Tuletisinstrumentide puhul kajastatavad summad</w:t>
      </w:r>
      <w:bookmarkEnd w:id="138"/>
      <w:bookmarkEnd w:id="139"/>
      <w:bookmarkEnd w:id="140"/>
      <w:bookmarkEnd w:id="141"/>
    </w:p>
    <w:p w:rsidR="009569C7" w:rsidRPr="00EC4FA2" w:rsidRDefault="00A834F1" w:rsidP="003A3ED4">
      <w:pPr>
        <w:pStyle w:val="Baseparagraphnumbered"/>
        <w:tabs>
          <w:tab w:val="left" w:pos="851"/>
        </w:tabs>
      </w:pPr>
      <w:r>
        <w:t>IFRSi kohaselt on kõigi tuletisinstrumentide (riskimaandamise arvestuse eesmärgil või kauplemiseks hoitavad) „bilansiline väärtus“ nende õiglane väärtus. Positiivse õiglase väärtusega (üle nulli) tuletisinstrumendid on „finantsvarad“ ja negatiivse õiglase väärtusega (alla nulli) tuletisinstrumendid on „finantskohustused“. Positiivse õiglase väärtusega tuletisinstrumentide („finantsvarad“) „bilansiline väärtus“ esitatakse eraldi negatiivse õiglase väärtusega tuletisinstrumentide („finantskohustused“) „bilansilisest väärtusest“. Esmase kajastamise kuupäeval liigitatakse tuletisinstrument kas „finantsvaraks“ või „finantskohustuseks“ vastavalt selle esialgsele õiglasele väärtusele. Pärast esialgset kirjendamist tuletisinstrumendi õiglane väärtus suureneb või väheneb ning instrumendi vahetamise tingimused võivad muutuda krediidiasutuse või investeerimisühingu jaoks kas soodsateks (ja tuletisinstrument liigitatakse „finantsvaraks“) või ebasoodsateks (ja tuletisinstrument liigitatakse „finantskohustuseks“). Riskimaanduse tuletisinstrumentide bilansiline väärtus on nende täielik õiglane väärtus, sealhulgas (kui see on asjakohane) õiglase väärtuse komponendid, mida ei kajastata riskimaandamisinstrumentidena.</w:t>
      </w:r>
    </w:p>
    <w:p w:rsidR="009569C7" w:rsidRPr="00EC4FA2" w:rsidRDefault="00A834F1" w:rsidP="003A3ED4">
      <w:pPr>
        <w:pStyle w:val="Baseparagraphnumbered"/>
        <w:tabs>
          <w:tab w:val="left" w:pos="851"/>
        </w:tabs>
      </w:pPr>
      <w:r>
        <w:t xml:space="preserve">Lisaks bilansilisele väärtusele, nagu määratletud käesoleva lisa 1. osa punktis 27, esitavad aruandvad krediidiasutused ja investeerimisühingud BADil põhineva siseriikliku GAAPi kohaselt kõigi tuletisinstrumentide puhul ka </w:t>
      </w:r>
      <w:r>
        <w:lastRenderedPageBreak/>
        <w:t>õiglase väärtuse, olenemata sellest, kas neid instrumente peab BADil põhineva siseriikliku GAAPi kohaselt kajastama bilansis või bilansiväliselt.</w:t>
      </w:r>
    </w:p>
    <w:p w:rsidR="009569C7" w:rsidRPr="00EC4FA2" w:rsidRDefault="00A834F1" w:rsidP="003A3ED4">
      <w:pPr>
        <w:pStyle w:val="Baseparagraphnumbered"/>
        <w:tabs>
          <w:tab w:val="left" w:pos="851"/>
        </w:tabs>
      </w:pPr>
      <w:r>
        <w:t>„Tinglik väärtus“ (IFRSi kohaselt „nominaalsumma“) on kõigi sõlmitud, kuid veel arveldamata tehingute nimiväärtuse brutosumma aruandekuupäeval, olenemata sellest, kas kõnealustest tehingutest tulenevalt kajastatakse tuletistehingute riskipositsiooni bilansis. Tingliku väärtuse kindlaksmääramisel võetakse arvesse eelkõige järgmist: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lepingute puhul, mille põhisumma nimi- või tinglik väärtus on muutuv, on kajastamise aluseks põhisummade nimiväärtus või tinglik väärtus aruandekuupäeval;</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kordajat sisaldava tuletislepingu puhul on kajastatav tinglik väärtus lepingu tegelik tinglik väärtus või nimiväärtus;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vahetuslepingud: vahetuslepingu tinglik väärtus on intressimaksete, välisvaluuta või muu tulu või kulu vahetuse aluseks olev põhisumma;</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aktsiate ja kaupadega seotud lepingud: aktsia- või kaubalepingu kajastatav tinglik väärtus on lepingu kohaselt ostmiseks või müümiseks ette nähtud kauba või aktsiatoote kogus, mis on korrutatud ühiku lepingulise hinnaga. Põhimakse mitut vahetust sisaldava kaubalepingu puhul kajastatav tinglik väärtus on lepinguline summa, mis on korrutatud põhimakse järelejäänud vahetuste arvuga lepingus;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krediidituletisinstrumendid: krediidituletisinstrumentide puhul kajastatav lepinguväärtus on aluseks oleva </w:t>
      </w:r>
      <w:r w:rsidR="000A0D60">
        <w:rPr>
          <w:rFonts w:ascii="Times New Roman" w:hAnsi="Times New Roman"/>
          <w:sz w:val="24"/>
        </w:rPr>
        <w:t>asjaomase krediidi nimiväärtus;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digitaaloptsioonidel ehk „kõik või mitte midagi“ optsioonidel on eelnevalt kindlaks määratud väljamakse, mis võib olla kas rahaline summa või alusvaraga seotud lepingute arv. Digitaaloptsioonide tinglik väärtus määratletakse kui eelnevalt kindlaks määratud rahaline summa või alusvara õiglane väärtus aruandekuupäeval.</w:t>
      </w:r>
    </w:p>
    <w:p w:rsidR="009569C7" w:rsidRPr="00EC4FA2" w:rsidRDefault="00A834F1" w:rsidP="003A3ED4">
      <w:pPr>
        <w:pStyle w:val="Baseparagraphnumbered"/>
        <w:tabs>
          <w:tab w:val="left" w:pos="851"/>
        </w:tabs>
      </w:pPr>
      <w:r>
        <w:t>Tuletisinstrumentide tinglikku väärtust käsitlev veerg hõlmab iga kirje puhul kõigi nende lepingute tingliku väärtuse summat, milles krediidiasutus või investeerimisühing on vastaspool, sõltumata sellest, kas tuletisinstrumente käsitatakse varade või kohustustena bilansis või neid ei kajastata bilansis. Kajastada tuleb kõik tinglikud väärtused sõltumata sellest, kas tuletisinstrumentide õiglane väärtus on positiivne, negatiivne või null. Tinglike väärtuste tasaarvestus ei ole lubatud.</w:t>
      </w:r>
    </w:p>
    <w:p w:rsidR="009569C7" w:rsidRPr="00EC4FA2" w:rsidRDefault="00A834F1" w:rsidP="003A3ED4">
      <w:pPr>
        <w:pStyle w:val="Baseparagraphnumbered"/>
        <w:tabs>
          <w:tab w:val="left" w:pos="851"/>
        </w:tabs>
      </w:pPr>
      <w:r>
        <w:t>„Tinglik väärtus“ kajastatakse kogusummana („kokku“) ja osadena („millest: mü</w:t>
      </w:r>
      <w:r w:rsidR="000F4147">
        <w:t>üdud“) järgmiste kirjete puhul:</w:t>
      </w:r>
      <w:r>
        <w:t xml:space="preserve"> „börsivälised optsioonid“, „reguleeritud turu optsioonid“, „krediit“, „kaup“ ja „muu“. Kirje „millest müüdud“ hõlmab selliste lepingute tinglikke väärtuseid (täitmishind), mille puhul krediidiasutuse või investeerimisühingu (optsiooni kirjutaja) vastaspooltel (optsiooni valdajad) on õigus optsiooni kasutada, ning krediidiriski tuletisinstrumentidega seotud kirjete puhul selliste lepingute tinglikke väärtusi, milles krediidiasutus või investeerimisühing (krediidiriski kaitse müüja) on müünud (annab) oma vastaspooltele (krediidiriski kaitse ostjad) kaitset.</w:t>
      </w:r>
    </w:p>
    <w:p w:rsidR="009569C7" w:rsidRPr="00EC4FA2" w:rsidRDefault="00A834F1" w:rsidP="003A3ED4">
      <w:pPr>
        <w:pStyle w:val="Baseparagraphnumbered"/>
        <w:tabs>
          <w:tab w:val="left" w:pos="851"/>
        </w:tabs>
      </w:pPr>
      <w:r>
        <w:lastRenderedPageBreak/>
        <w:t>Tehingute jaotamine kirjete „börsiväline“ ja „reguleeritud turg“ alla põhineb sellise turu laadil, kus tehing tehakse, ja mitte sellel, kas selle tehingu puh</w:t>
      </w:r>
      <w:r w:rsidR="000F4147">
        <w:t>ul on olemas kliirimiskohustus.</w:t>
      </w:r>
      <w:r>
        <w:t xml:space="preserve"> „Reguleeritud turg“ on reguleeritud turg kapitalinõuete määruse artikli 4 punkti 92 tähenduses. Seepärast peab aruandev üksus juhul, kui ta sõlmib tuletislepingu börsivälisel turul, kus keskne kliirimine on kohustuslik, liigitama tuletislepingu kirje „börsiväline“, mitte kirje „reguleeritud turg“ alla.</w:t>
      </w:r>
    </w:p>
    <w:p w:rsidR="009569C7" w:rsidRPr="00EC4FA2" w:rsidRDefault="00A834F1" w:rsidP="009569C7">
      <w:pPr>
        <w:pStyle w:val="sub-subtitlenumbered"/>
        <w:jc w:val="both"/>
      </w:pPr>
      <w:bookmarkStart w:id="142" w:name="_Toc361844226"/>
      <w:bookmarkStart w:id="143" w:name="_Toc362359297"/>
      <w:bookmarkStart w:id="144" w:name="_Toc467855221"/>
      <w:bookmarkStart w:id="145" w:name="_Toc485887331"/>
      <w:r>
        <w:t>„Majanduslikuks riskimaanduseks“ liigitatud tuletisinstrumendid</w:t>
      </w:r>
      <w:bookmarkEnd w:id="142"/>
      <w:bookmarkEnd w:id="143"/>
      <w:bookmarkEnd w:id="144"/>
      <w:bookmarkEnd w:id="145"/>
    </w:p>
    <w:p w:rsidR="009569C7" w:rsidRPr="00EC4FA2" w:rsidRDefault="00A834F1" w:rsidP="003A3ED4">
      <w:pPr>
        <w:pStyle w:val="Baseparagraphnumbered"/>
        <w:tabs>
          <w:tab w:val="left" w:pos="851"/>
        </w:tabs>
      </w:pPr>
      <w:r>
        <w:t>Tuletisinstrumendid, mida hoitakse riskimaanduse eesmärgil, kuid mis ei vasta efektiivsete riskimaandamisinstrumentide nõuetele vastavalt IFRS 9-le, IAS 39-le, kui IAS 39-t kohaldatakse riskimaandamise arvestuse eesmärgil, või BADil põhineva siseriikliku GAAPi kohasele raamatupidamistavale, kajastatakse vormis 10 „majandusliku riskimaandusena“. Seda puudutab ka kõiki järgmisi juhte:</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noteerimata omakapitaliinstrumentide riskimaanduseks kasutatavad tuletisinstrumendid, mille puhul võib soetusmaksumus olla õiglase väärtuse asjakohane hinnang;</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krediidituletisinstrumendid, mida mõõdetakse õiglases väärtuses muutustega läbi kasumiaruande ja kasutatakse kogu sellise finantsinstrumendi või selle osa krediidiriski juhtimiseks, mida mõõdetakse õiglases väärtuses muutustega läbi kasumiaruande esmasel kajastamisel või pärast seda või kajastamise lõpetamisel vastavalt IFRS 9 paragrahvile 6.7;</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tuletisinstrumendid, mis on liigitatud „kauplemiseks hoitavaks“ IFRS 9 lisa A kohaselt või kauplemisel kasutatavateks varadeks BADil põhineva siseriikliku GAAPi kohaselt, kuid mis ei kuulu kapitalinõuete määruse artikli 4 lõike 1 punktis 86 </w:t>
      </w:r>
      <w:r w:rsidR="000A0D60">
        <w:rPr>
          <w:rFonts w:ascii="Times New Roman" w:hAnsi="Times New Roman"/>
          <w:sz w:val="24"/>
        </w:rPr>
        <w:t>määratletud kauplemisportfelli.</w:t>
      </w:r>
    </w:p>
    <w:p w:rsidR="009569C7" w:rsidRPr="00EC4FA2" w:rsidRDefault="00A834F1" w:rsidP="003A3ED4">
      <w:pPr>
        <w:pStyle w:val="Baseparagraphnumbered"/>
        <w:tabs>
          <w:tab w:val="left" w:pos="851"/>
        </w:tabs>
      </w:pPr>
      <w:r>
        <w:t>„Majanduslik riskimaandus“ ei hõlma oma arvel kauplemise tuletisinstrumente.</w:t>
      </w:r>
    </w:p>
    <w:p w:rsidR="009569C7" w:rsidRPr="00EC4FA2" w:rsidRDefault="00A834F1" w:rsidP="003A3ED4">
      <w:pPr>
        <w:pStyle w:val="Baseparagraphnumbered"/>
        <w:tabs>
          <w:tab w:val="left" w:pos="851"/>
        </w:tabs>
      </w:pPr>
      <w:r>
        <w:t>Tuletisinstrumendid, mis vastavad „majandusliku riskimaanduse“ määratlusele, kajastatakse vormis 10 iga riski liigi puhul eraldi.</w:t>
      </w:r>
    </w:p>
    <w:p w:rsidR="009569C7" w:rsidRPr="00EC4FA2" w:rsidRDefault="00A834F1" w:rsidP="003A3ED4">
      <w:pPr>
        <w:pStyle w:val="Baseparagraphnumbered"/>
        <w:tabs>
          <w:tab w:val="left" w:pos="851"/>
        </w:tabs>
      </w:pPr>
      <w:r>
        <w:t>Krediidituletisinstrumente, mida kasutatakse kogu sellise finantsinstrumendi või selle osa krediidiriski juhtimiseks, mida mõõdetakse õiglases väärtuses muutustega läbi kasumiaruande esmasel kajastamisel või pärast seda või kajastamise lõpetamisel vastavalt IFRS 9 paragrahvile 6.7, kajastatakse vormi 10 vastaval real krediidiriski all. Muud krediidiriski majanduslikud maandused, mille suhtes aruandev üksus ei kohalda IFRS 9 paragrahvi 6.7, kajastatakse eraldi.</w:t>
      </w:r>
    </w:p>
    <w:p w:rsidR="009569C7" w:rsidRPr="00EC4FA2" w:rsidRDefault="00A834F1" w:rsidP="009569C7">
      <w:pPr>
        <w:pStyle w:val="sub-subtitlenumbered"/>
        <w:jc w:val="both"/>
      </w:pPr>
      <w:bookmarkStart w:id="146" w:name="_Toc361844227"/>
      <w:bookmarkStart w:id="147" w:name="_Toc362359298"/>
      <w:bookmarkStart w:id="148" w:name="_Toc467855222"/>
      <w:bookmarkStart w:id="149" w:name="_Toc485887332"/>
      <w:r>
        <w:t>Tuletisinstrumentide jaotus vastaspoole sektorite kaupa</w:t>
      </w:r>
      <w:bookmarkEnd w:id="146"/>
      <w:bookmarkEnd w:id="147"/>
      <w:bookmarkEnd w:id="148"/>
      <w:bookmarkEnd w:id="149"/>
    </w:p>
    <w:p w:rsidR="009569C7" w:rsidRPr="00EC4FA2" w:rsidRDefault="00A834F1" w:rsidP="009569C7">
      <w:pPr>
        <w:pStyle w:val="Baseparagraphnumbered"/>
        <w:tabs>
          <w:tab w:val="left" w:pos="851"/>
        </w:tabs>
        <w:ind w:left="709"/>
      </w:pPr>
      <w:r>
        <w:t>Kauplemiseks hoitavate tuletisinstrumentide ja ka riskimaandamisarvestuse eesmärgil hoitavate tuletisinstrumentide puhul, millega kaubeldakse börsivälisel turul, kajastatakse bilansiline väärtus ja tinglik koguväärtus vastaspoolte lõikes, k</w:t>
      </w:r>
      <w:r w:rsidR="000A0D60">
        <w:t>asutades järgmisi kategooriaid:</w:t>
      </w:r>
    </w:p>
    <w:p w:rsidR="009569C7" w:rsidRPr="00EC4FA2" w:rsidRDefault="000A0D60"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lastRenderedPageBreak/>
        <w:t>„krediidiasutused“;</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„m</w:t>
      </w:r>
      <w:r w:rsidR="000A0D60">
        <w:rPr>
          <w:rFonts w:ascii="Times New Roman" w:hAnsi="Times New Roman"/>
          <w:sz w:val="24"/>
        </w:rPr>
        <w:t>uud finantssektori äriühingud“;</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„ülejään</w:t>
      </w:r>
      <w:r w:rsidR="000A0D60">
        <w:rPr>
          <w:rFonts w:ascii="Times New Roman" w:hAnsi="Times New Roman"/>
          <w:sz w:val="24"/>
        </w:rPr>
        <w:t>ud“ ehk kõik muud vastaspooled.</w:t>
      </w:r>
    </w:p>
    <w:p w:rsidR="009569C7" w:rsidRPr="00EC4FA2" w:rsidRDefault="00A834F1" w:rsidP="009569C7">
      <w:pPr>
        <w:pStyle w:val="Baseparagraphnumbered"/>
        <w:tabs>
          <w:tab w:val="left" w:pos="851"/>
        </w:tabs>
        <w:ind w:left="709"/>
      </w:pPr>
      <w:r>
        <w:t>Kõik börsivälised tuletisinstrumendid, sõltumata nendega seotud riski liigist, jaotat</w:t>
      </w:r>
      <w:r w:rsidR="000A0D60">
        <w:t>akse nende vastaspoolte alusel.</w:t>
      </w:r>
    </w:p>
    <w:p w:rsidR="009569C7" w:rsidRPr="00EC4FA2" w:rsidRDefault="00A834F1" w:rsidP="009569C7">
      <w:pPr>
        <w:pStyle w:val="sub-subtitlenumbered"/>
        <w:jc w:val="both"/>
      </w:pPr>
      <w:bookmarkStart w:id="150" w:name="_Toc467855223"/>
      <w:bookmarkStart w:id="151" w:name="_Toc362359299"/>
      <w:bookmarkStart w:id="152" w:name="_Toc485887333"/>
      <w:r>
        <w:t>Riskimaandamise arvestus siseriikliku GAAPi kohaselt (11.2)</w:t>
      </w:r>
      <w:bookmarkEnd w:id="150"/>
      <w:bookmarkEnd w:id="152"/>
    </w:p>
    <w:p w:rsidR="009569C7" w:rsidRPr="00EC4FA2" w:rsidRDefault="00A834F1" w:rsidP="003A3ED4">
      <w:pPr>
        <w:pStyle w:val="Baseparagraphnumbered"/>
        <w:tabs>
          <w:tab w:val="left" w:pos="851"/>
        </w:tabs>
      </w:pPr>
      <w:r>
        <w:t>Kui BADil põhineva siseriikliku GAAPi kohaselt on ette nähtud riskimaanduse tuletisinstrumentide jaotamine riskimaanduse kategooriate lõikes, kajastatakse riskimaanduse tuletisinstrumendid eraldi kategooriates „õiglase väärtuse riskimaandus“, „rahavoogude riskimaandus“, „soetusmaksumuse riskimaandus“ „välismaistesse äriüksustesse tehtud netoinvesteeringute riskimaandus“, „portfelli intressiriskile avatud positsiooni õiglase väärtuse riskimaandus“ ja „portfelli intressiriskile avatud positsiooni rahavoogude riskimaandus“.</w:t>
      </w:r>
    </w:p>
    <w:p w:rsidR="009569C7" w:rsidRPr="00EC4FA2" w:rsidRDefault="00A834F1" w:rsidP="003A3ED4">
      <w:pPr>
        <w:pStyle w:val="Baseparagraphnumbered"/>
        <w:tabs>
          <w:tab w:val="left" w:pos="851"/>
        </w:tabs>
      </w:pPr>
      <w:r>
        <w:t>Kui BADil põhineva siseriikliku GAAPi kohaselt kohaldatav, osutab „soetusmaksumuse riskimaandus“ riskimaanduse kategooriale, kus riskimaanduse tuletisinstrumenti mõõdetakse üldiselt soetusmaksumuses.</w:t>
      </w:r>
    </w:p>
    <w:p w:rsidR="009569C7" w:rsidRPr="00EC4FA2" w:rsidRDefault="00A834F1" w:rsidP="009569C7">
      <w:pPr>
        <w:pStyle w:val="sub-subtitlenumbered"/>
        <w:jc w:val="both"/>
      </w:pPr>
      <w:bookmarkStart w:id="153" w:name="_Toc467855224"/>
      <w:bookmarkStart w:id="154" w:name="_Toc485887334"/>
      <w:r>
        <w:t>Kajastatav väärtus riskimaandamisinstrumentide puhul, mis ei ole tuletisinstrumendid (11.3 ja 11.3.1)</w:t>
      </w:r>
      <w:bookmarkEnd w:id="151"/>
      <w:bookmarkEnd w:id="153"/>
      <w:bookmarkEnd w:id="154"/>
    </w:p>
    <w:p w:rsidR="009569C7" w:rsidRPr="00EC4FA2" w:rsidRDefault="00A834F1" w:rsidP="003A3ED4">
      <w:pPr>
        <w:pStyle w:val="Baseparagraphnumbered"/>
        <w:tabs>
          <w:tab w:val="left" w:pos="851"/>
        </w:tabs>
      </w:pPr>
      <w:r>
        <w:t>Riskimaandamisinstrumentide puhul, mis ei ole tuletisinstrumendid, on kajastatav väärtus kohaldatavate mõõtmiseeskirjade kohane bilansiline väärtus arvestusportfellide puhul, kuhu nad IFRSi või BADil põhineva siseriikliku GAAPi kohaselt kuuluvad. Riskimaandamisinstrumentide puhul, mis ei ole tuletisinstrumendid, ei kajastata tinglikku väärtust.</w:t>
      </w:r>
    </w:p>
    <w:p w:rsidR="009569C7" w:rsidRPr="00EC4FA2" w:rsidRDefault="00A834F1" w:rsidP="009569C7">
      <w:pPr>
        <w:pStyle w:val="sub-subtitlenumbered"/>
        <w:jc w:val="both"/>
      </w:pPr>
      <w:bookmarkStart w:id="155" w:name="_Toc467855225"/>
      <w:bookmarkStart w:id="156" w:name="_Toc485887335"/>
      <w:r>
        <w:t>Õiglase väärtuse riskimaanduse maandatavad instrumendid (11.4)</w:t>
      </w:r>
      <w:bookmarkEnd w:id="155"/>
      <w:bookmarkEnd w:id="156"/>
    </w:p>
    <w:p w:rsidR="009569C7" w:rsidRPr="00EC4FA2" w:rsidRDefault="00A834F1" w:rsidP="009569C7">
      <w:pPr>
        <w:pStyle w:val="Baseparagraphnumbered"/>
        <w:tabs>
          <w:tab w:val="left" w:pos="851"/>
        </w:tabs>
        <w:ind w:left="709"/>
      </w:pPr>
      <w:r>
        <w:t>Finantsseisundi aruandes kajastatavate õiglase väärtuse riskimaanduse maandatavate instrumentide bilansiline väärtus jaotatakse maandatavate finantsvarade ja maandatavate finantskohustuste puhul arvestusportfellide ja maandatava riski liikide kaupa. Kui finantsinstrumendi puhul on maandatud mitu riski, kajastatakse instrument riski liigi all, mille all riskimaandamisinstrument vastavalt</w:t>
      </w:r>
      <w:r w:rsidR="000F4147">
        <w:t xml:space="preserve"> punktile 129 kajastatakse.</w:t>
      </w:r>
    </w:p>
    <w:p w:rsidR="009569C7" w:rsidRPr="00EC4FA2" w:rsidRDefault="00A834F1" w:rsidP="003A3ED4">
      <w:pPr>
        <w:pStyle w:val="Baseparagraphnumbered"/>
        <w:tabs>
          <w:tab w:val="left" w:pos="851"/>
        </w:tabs>
      </w:pPr>
      <w:r>
        <w:t>„Riski mikromaandus“ on muu riskimaandus kui portfelli intressiriski maandus vastavalt IAS 39 paragrahvile 89A. Riski mikromaandus hõlmab netopositsioonide riskimaandust vastavalt IFRS 9 paragrahvile 6.6.</w:t>
      </w:r>
    </w:p>
    <w:p w:rsidR="009569C7" w:rsidRPr="00EC4FA2" w:rsidRDefault="00A834F1" w:rsidP="003A3ED4">
      <w:pPr>
        <w:pStyle w:val="Baseparagraphnumbered"/>
        <w:tabs>
          <w:tab w:val="left" w:pos="851"/>
        </w:tabs>
      </w:pPr>
      <w:r>
        <w:t>„Riski mikromaanduste korrigeerimine“ hõlmab kõiki riski mikromaanduste korrigeerimisi, n</w:t>
      </w:r>
      <w:r w:rsidR="000F4147">
        <w:t>agu on määratletud punktis 147.</w:t>
      </w:r>
    </w:p>
    <w:p w:rsidR="009569C7" w:rsidRPr="00EC4FA2" w:rsidRDefault="00A834F1" w:rsidP="003A3ED4">
      <w:pPr>
        <w:pStyle w:val="Baseparagraphnumbered"/>
        <w:tabs>
          <w:tab w:val="left" w:pos="851"/>
        </w:tabs>
      </w:pPr>
      <w:r>
        <w:t xml:space="preserve"> „Varade/kohustuste bilansilises väärtuses sisalduvad riskimaanduse korrigeerimised“ on maandatavate instrumentide kasumi ja kahjumi summa, millega on korrigeeritud kõnealuste instrumentide bilansilist väärtust ja mida on kajastatud kasumiaruandes. Selliste maandatavate instrumentide riskimaanduse korrigeerimised, mis on õiglases väärtuses läbi muu </w:t>
      </w:r>
      <w:r>
        <w:lastRenderedPageBreak/>
        <w:t>koondkasumi mõõdetud omakapitaliinstrumendid, kajastatakse vormis 1.3. Kajastamata kindlate kohustuste või nende komponentide riskimaanduse korrigeerimisi ei kajastata.</w:t>
      </w:r>
    </w:p>
    <w:p w:rsidR="009569C7" w:rsidRPr="00EC4FA2" w:rsidRDefault="00A834F1" w:rsidP="003A3ED4">
      <w:pPr>
        <w:pStyle w:val="Baseparagraphnumbered"/>
        <w:tabs>
          <w:tab w:val="left" w:pos="851"/>
        </w:tabs>
      </w:pPr>
      <w:r>
        <w:t>„Lõpetatud riski mikromaanduste, sh netopositsioonide riskimaanduste muud korrigeerimised“ hõlmavad riskimaanduse korrigeerimisi, mis riskimaanduse lõpetamise ja maandatavate instrumentide maandamise kasumi ja kahjumiga korrigeerimise lõpetamise järel tuleb amortiseerida kasumisse või kahjumisse amortiseeritud soetusväärtuses mõõdetavate maandatavate instrumentide efektiivse intressimäära ümberarvutamise kaudu või summasse, mis kajastab õiglases väärtuses läbi muu koondkasumi mõõdetud maandatavate instrumentide varem kajastatud riskimaanduse kogukasumit või -kahjumit.</w:t>
      </w:r>
    </w:p>
    <w:p w:rsidR="009569C7" w:rsidRPr="00EC4FA2" w:rsidRDefault="00A834F1" w:rsidP="003A3ED4">
      <w:pPr>
        <w:pStyle w:val="Baseparagraphnumbered"/>
        <w:tabs>
          <w:tab w:val="left" w:pos="851"/>
        </w:tabs>
      </w:pPr>
      <w:r>
        <w:t>Kui finantsvarade või finantskohustuste rühma, sealhulgas netopositsiooni moodustavate finantsvarade või finantskohustuste rühm, võib käsitada maandatava instrumendina, kajastatakse sellesse rühma kuuluvaid finantsvarasid ja finantskohustusi bilansilises brutoväärtuses enne rühma kuuluvate instrumentide tasaarvestamist kirje „netopositsiooni riskimaanduses sisalduvad varad või kohustused (enne tasaarvestust)“ all.</w:t>
      </w:r>
    </w:p>
    <w:p w:rsidR="009569C7" w:rsidRPr="00EC4FA2" w:rsidRDefault="00A834F1" w:rsidP="003A3ED4">
      <w:pPr>
        <w:pStyle w:val="Baseparagraphnumbered"/>
        <w:tabs>
          <w:tab w:val="left" w:pos="851"/>
        </w:tabs>
      </w:pPr>
      <w:r>
        <w:t>„Portfelli intressiriski maandamisel maandatavad instrumendid“ hõlmab finantsvarade või finantskohustuste portfelli intressiriski õiglase väärtuse riskimaandusega hõlmatud finantsvarasid ja finantskohustusi. Kõnealuseid finantsinstrumente kajastatakse bilansilises brutoväärtuses enne portfelli kuuluvate instrumentide tasaarvestamist.</w:t>
      </w:r>
    </w:p>
    <w:p w:rsidR="009569C7" w:rsidRPr="00EC4FA2" w:rsidRDefault="00A834F1" w:rsidP="009569C7">
      <w:pPr>
        <w:pStyle w:val="subtitlenumbered"/>
        <w:numPr>
          <w:ilvl w:val="0"/>
          <w:numId w:val="17"/>
        </w:numPr>
        <w:jc w:val="both"/>
        <w:rPr>
          <w:kern w:val="32"/>
        </w:rPr>
      </w:pPr>
      <w:bookmarkStart w:id="157" w:name="_Toc461526818"/>
      <w:bookmarkStart w:id="158" w:name="_Toc461526819"/>
      <w:bookmarkStart w:id="159" w:name="_Toc461526820"/>
      <w:bookmarkStart w:id="160" w:name="_Toc461526821"/>
      <w:bookmarkStart w:id="161" w:name="_Toc461526822"/>
      <w:bookmarkStart w:id="162" w:name="_Toc361844228"/>
      <w:bookmarkStart w:id="163" w:name="_Toc467855226"/>
      <w:bookmarkStart w:id="164" w:name="_Toc485887336"/>
      <w:bookmarkEnd w:id="157"/>
      <w:bookmarkEnd w:id="158"/>
      <w:bookmarkEnd w:id="159"/>
      <w:bookmarkEnd w:id="160"/>
      <w:bookmarkEnd w:id="161"/>
      <w:r>
        <w:t>Muutused krediidikahju allahindlustes ja eraldistes (12)</w:t>
      </w:r>
      <w:bookmarkEnd w:id="162"/>
      <w:bookmarkEnd w:id="163"/>
      <w:bookmarkEnd w:id="164"/>
    </w:p>
    <w:p w:rsidR="009569C7" w:rsidRPr="00EC4FA2" w:rsidRDefault="00A834F1" w:rsidP="009569C7">
      <w:pPr>
        <w:pStyle w:val="sub-subtitlenumbered"/>
      </w:pPr>
      <w:bookmarkStart w:id="165" w:name="_Toc437268758"/>
      <w:bookmarkStart w:id="166" w:name="_Toc437268759"/>
      <w:bookmarkStart w:id="167" w:name="_Toc467855227"/>
      <w:bookmarkStart w:id="168" w:name="_Toc485887337"/>
      <w:bookmarkEnd w:id="165"/>
      <w:bookmarkEnd w:id="166"/>
      <w:r>
        <w:t>Muutused krediidikahju ja omakapitaliinstrumentide väärtuse langusega seotud allahindlustes BADil põhineva siseriikliku GAAPi kohaselt (12.0)</w:t>
      </w:r>
      <w:bookmarkEnd w:id="167"/>
      <w:bookmarkEnd w:id="168"/>
    </w:p>
    <w:p w:rsidR="009569C7" w:rsidRPr="00EC4FA2" w:rsidRDefault="00A834F1" w:rsidP="003A3ED4">
      <w:pPr>
        <w:pStyle w:val="Baseparagraphnumbered"/>
        <w:tabs>
          <w:tab w:val="left" w:pos="851"/>
        </w:tabs>
      </w:pPr>
      <w:r>
        <w:t>Vormis 12.0 esitatakse soetusmaksumusepõhisel meetodil mõõdetavate finantsvarade, samuti muu meetodi kohaselt mõõdetavate finantsvarade või omakapitalis kajastatavate õiglases väärtuses mõõdetavate finantsvarade allahindluse konto alg- ja lõppsaldo kooskõlastav võrdlus, kui BADil põhineva siseriikliku GAAPi kohaselt on ette nähtud kohaldada nende varade suhtes väärtuse langust. Soetusmaksumuses või turuväärtuses, olenevalt sellest, kumb on madalam, mõõdetavate varade väärtuse korrigeer</w:t>
      </w:r>
      <w:r w:rsidR="000A0D60">
        <w:t>imisi vormis 12.0 ei kajastata.</w:t>
      </w:r>
    </w:p>
    <w:p w:rsidR="009569C7" w:rsidRPr="00EC4FA2" w:rsidRDefault="00A834F1" w:rsidP="003A3ED4">
      <w:pPr>
        <w:pStyle w:val="Baseparagraphnumbered"/>
        <w:tabs>
          <w:tab w:val="left" w:pos="851"/>
        </w:tabs>
      </w:pPr>
      <w:r>
        <w:t xml:space="preserve">„Suurenemised seoses summadega, mis on kõrvale pandud hinnangulise laenukahjumi jaoks perioodi jooksul“ kajastatakse siis, kui varade põhikategooria või vastaspoole puhul kajastatakse asjaomasel perioodil varade väärtuse languse hindamise tulemusena netokulu; ehk kui asjaomase kategooria või vastaspoole puhul varade väärtuse languse suurenemised perioodi jooksul ületavad vähenemisi. „Vähenemised seoses summadega, mis on hinnangulise laenukahjumi puhul perioodi jooksul tühistatud“ kajastatakse siis, kui varade põhikategooria või vastaspoole puhul kajastatakse asjaomasel perioodil varade väärtuse languse hindamise tulemusena netotulu; ehk kui </w:t>
      </w:r>
      <w:r>
        <w:lastRenderedPageBreak/>
        <w:t>asjaomase kategooria või vastaspoole puhul varade väärtuse languse vähenemised perioodi jooksul ületavad suurenemisi.</w:t>
      </w:r>
    </w:p>
    <w:p w:rsidR="009569C7" w:rsidRPr="00EC4FA2" w:rsidRDefault="00A834F1" w:rsidP="003A3ED4">
      <w:pPr>
        <w:pStyle w:val="Baseparagraphnumbered"/>
        <w:tabs>
          <w:tab w:val="left" w:pos="851"/>
        </w:tabs>
      </w:pPr>
      <w:r>
        <w:t>Finantsvarade tagasimaksmisest või müügist tulenevad allahindluse summade muutused kajastatakse kirje „muud korrigeerimised“ all. Mahakandmised kajastatakse vastavalt punktidele 72–74.</w:t>
      </w:r>
    </w:p>
    <w:p w:rsidR="009569C7" w:rsidRPr="00EC4FA2" w:rsidRDefault="00A834F1" w:rsidP="009569C7">
      <w:pPr>
        <w:pStyle w:val="sub-subtitlenumbered"/>
        <w:jc w:val="both"/>
      </w:pPr>
      <w:bookmarkStart w:id="169" w:name="_Toc467855228"/>
      <w:bookmarkStart w:id="170" w:name="_Toc485887338"/>
      <w:r>
        <w:t>Muutused krediidikahju allahindlustes ja eraldistes IFRSi kohaselt (12.1)</w:t>
      </w:r>
      <w:bookmarkEnd w:id="169"/>
      <w:bookmarkEnd w:id="170"/>
    </w:p>
    <w:p w:rsidR="009569C7" w:rsidRPr="003A3ED4" w:rsidRDefault="00A834F1" w:rsidP="003A3ED4">
      <w:pPr>
        <w:pStyle w:val="Baseparagraphnumbered"/>
        <w:tabs>
          <w:tab w:val="left" w:pos="851"/>
        </w:tabs>
      </w:pPr>
      <w:r>
        <w:t xml:space="preserve"> Vormis 12.1 esitatakse amortiseeritud soetusväärtuses ja õiglases väärtuses läbi muu koondkasumi mõõdetud finantsvarade allahindluse konto alg- ja lõppsaldo kooskõlastav võrdlus jaotatuna väärtuse languse etappide, instrumentide ja vastaspoolte lõikes.</w:t>
      </w:r>
    </w:p>
    <w:p w:rsidR="009569C7" w:rsidRPr="003A3ED4" w:rsidRDefault="00A834F1" w:rsidP="003A3ED4">
      <w:pPr>
        <w:pStyle w:val="Baseparagraphnumbered"/>
        <w:tabs>
          <w:tab w:val="left" w:pos="851"/>
        </w:tabs>
      </w:pPr>
      <w:r>
        <w:t>Selliste bilansiväliste riskipositsioonide eraldised, mille suhtes kohaldatakse IFRS 9 kohaseid väärtuse languse nõudeid, esitatakse väärtuse languse etappide lõikes. Siduvate laenuandmiskohustuste väärtuse langus kajastatakse eraldistena üksnes juhul, kui seda ei käsitleta koos bilansiliste varade väärtuse langusega vastavalt IFRS 9 paragrahvile 7.B8E ja käesoleva osa punktile 108. Muutusi IAS 37 kohaselt mõõtetud siduvate kohustuste ja finantsgarantiide ja IFRS 4 kohaste kindlustuslepingutena käsitatavate finantsgarantiide eraldistes ei kajastata selles vormis, vaid vormis 43. IFRSI 9 kohaselt õiglases väärtuses muutustega läbi kasumiaruande mõõdetud siduvate kohustuste ja finantsgarantiide krediidiriskist tulenevaid õiglase väärtuse muutusi ei kajastata selles vormis, vaid kirje „õiglases väärtuses muutustega läbi kasumiaruande kajastatud finantsvaradest ja -kohustustest tulenev netokasum või (–) -netokahjum“ all vastavalt käesoleva osa punktile 50.</w:t>
      </w:r>
    </w:p>
    <w:p w:rsidR="009569C7" w:rsidRPr="003A3ED4" w:rsidRDefault="00A834F1" w:rsidP="003A3ED4">
      <w:pPr>
        <w:pStyle w:val="Baseparagraphnumbered"/>
        <w:tabs>
          <w:tab w:val="left" w:pos="851"/>
        </w:tabs>
      </w:pPr>
      <w:r>
        <w:t>Kirjed „millest: kogumipõhiselt mõõdetud allahindlused“ ja „millest: individuaalselt mõõdetud allahindlused“ hõlmavad finantsvarade väärtuse languse kogusumma muutusi, mida on vastavalt mõõdetud kogu</w:t>
      </w:r>
      <w:r w:rsidR="000A0D60">
        <w:t>mipõhiselt või individuaalselt.</w:t>
      </w:r>
    </w:p>
    <w:p w:rsidR="009569C7" w:rsidRPr="00EC4FA2" w:rsidRDefault="00A834F1" w:rsidP="003A3ED4">
      <w:pPr>
        <w:pStyle w:val="Baseparagraphnumbered"/>
        <w:tabs>
          <w:tab w:val="left" w:pos="851"/>
        </w:tabs>
      </w:pPr>
      <w:r>
        <w:t>„Tekitamisest ja omandamisest tulenev suurenemine“ hõlmab tekitatud või omandatud finantsvarade esmasel kajastamisel kajastatud eeldatava kahju suurenemise summat. Sellist allahindluse suurenemist kajastatakse kõnealuste finantsvarade tekitamisele või omandamisele järgneva esimese aruandekuupäeva seisuga. Finantsvarade eeldatava kahju suurenemist või vähenemist pärast kõnealuste varade esmast kajastamist kajastatakse muudes veergudes, nagu see on asjakohane. Tekitatud või omandatud finantsvarad hõlmavad bilansiväliste võetud siduvate kohustuste täitmisest tulenevaid varasid.</w:t>
      </w:r>
    </w:p>
    <w:p w:rsidR="009569C7" w:rsidRPr="00EC4FA2" w:rsidRDefault="00A834F1" w:rsidP="003A3ED4">
      <w:pPr>
        <w:pStyle w:val="Baseparagraphnumbered"/>
        <w:tabs>
          <w:tab w:val="left" w:pos="851"/>
        </w:tabs>
      </w:pPr>
      <w:r>
        <w:t xml:space="preserve">„Kajastamise lõpetamisest tulenev vähenemine“ hõlmab selliste ootava kahju muutuste summat, mis tulenevad finantsvarade kajastamise täielikust lõpetamisest aruandeperioodil muudel põhjustel kui mahakandmine, mis hõlmavad üleandmist kolmandatele isikutele või lepinguliste õiguste lõppemist täieliku tagasimaksmise tõttu, kõnealuste finantsvarade müüki või nende ülekandmist muusse arvestusportfelli. Allahindluse muutust kajastatakse selles veerus tagasimaksmisele, müügile või ülekandmisele </w:t>
      </w:r>
      <w:r>
        <w:lastRenderedPageBreak/>
        <w:t>järgneva esimese aruandekuupäeva seisuga. Bilansiväliste riskipositsioonide puhul hõlmab see kirje ka väärtuse languse vähenemist, mis on tingitud bilansivälise instrumendi muutumisest bilansiliseks varaks.</w:t>
      </w:r>
    </w:p>
    <w:p w:rsidR="009569C7" w:rsidRPr="00EC4FA2" w:rsidRDefault="00A834F1" w:rsidP="003A3ED4">
      <w:pPr>
        <w:pStyle w:val="Baseparagraphnumbered"/>
        <w:tabs>
          <w:tab w:val="left" w:pos="851"/>
        </w:tabs>
      </w:pPr>
      <w:r>
        <w:t>„Krediidiriski muutusest tingitud muutused (neto)“ hõlmab eeldatava kahju selliste muutuste netosummat aruandeperioodi lõpus, mis on tingitud krediidiriski suurenemisest või vähenemisest alates esmasest kajastamisest, olenemata sellest, kas nende tõttu on finantsvara kantud üle muusse etappi. Selles veerus kajastatakse selline mõju allahindlusele, mis on tingitud finantsvara summa suurenemisest või vähenemisest intressitulu saamise või maksmise tagajärjel. See kirje hõlmab ka eeldatava kahju puhul aja möödumise mõju vastavalt IFRS 9 paragrahvi 5.4.1 punktidele a ja b. Selles veerus kajastatakse ka riskiparameetrite ajakohastamisest või läbivaatamisest tingitud hinnangute muutused ja tulevikku suunatud majandusandmete muutused. Selles veerus kajastatakse eeldatava kahju muutused seoses nõuete osalise tagasimaksmisega osamaksetena, välja arvatud viimane osamakse, mis kajastatakse veerus „kajastamise lõpetamisest tulenev vähenemine“.</w:t>
      </w:r>
    </w:p>
    <w:p w:rsidR="009569C7" w:rsidRPr="00EC4FA2" w:rsidRDefault="00A834F1" w:rsidP="003A3ED4">
      <w:pPr>
        <w:pStyle w:val="Baseparagraphnumbered"/>
        <w:tabs>
          <w:tab w:val="left" w:pos="851"/>
        </w:tabs>
      </w:pPr>
      <w:r>
        <w:t>Kõik uuenevate nõuetega seotud eeldatava krediidikahju muudatused kajastatakse veerus „krediidiriski muutusest tingitud muutused (neto)“, välja arvatud muutused, mis on seotud mahakandmistega ja krediidiasutuse või investeerimisühingu krediidikahju hindamise metoodika ajakohastamisega. Uuenevad nõuded on nõuded, mille puhul klientide laekumata ja tasumata saldod võivad kõikuda vastavalt sellele, kuidas nad otsustavad laenu võtta ja tagasi maksta krediidiasutuse või investeerimisühingu kehtestatud limiidi piires.</w:t>
      </w:r>
    </w:p>
    <w:p w:rsidR="009569C7" w:rsidRPr="00EC4FA2" w:rsidRDefault="00A834F1" w:rsidP="003A3ED4">
      <w:pPr>
        <w:pStyle w:val="Baseparagraphnumbered"/>
        <w:tabs>
          <w:tab w:val="left" w:pos="851"/>
        </w:tabs>
      </w:pPr>
      <w:r>
        <w:t>„Krediidiasutuse või investeerimisühingu hindamismetoodika ajakohastamisest tingitud muutused (neto)“ hõlmab krediidiasutuse või investeerimisühingu eeldatava kahju hindamise metoodika sellisest ajakohastamisest tulenevaid muutusi, mis on tingitud olemasolevate väärtuse languse hindamise mudelite muutmisest või uute mudelite kehtestamisest. Metoodika ajakohastamine hõlmab ka uute standardite kasutuselevõtu mõju. Metoodika muudatusi, mille tulemusel muutub vara väärtuse languse etapp, käsitatakse täielikult mudeli muudatustena. Riskiparameetrite ajakohastamisest või läbivaatamisest tingitud hinnangute muutusi ja tulevikku suunatud majandusandmete muutusi selles veerus ei kajastata.</w:t>
      </w:r>
    </w:p>
    <w:p w:rsidR="009569C7" w:rsidRPr="00EC4FA2" w:rsidRDefault="00A834F1" w:rsidP="003A3ED4">
      <w:pPr>
        <w:pStyle w:val="Baseparagraphnumbered"/>
        <w:tabs>
          <w:tab w:val="left" w:pos="851"/>
        </w:tabs>
      </w:pPr>
      <w:r>
        <w:t>Muudetud varadega seotud eeldatava kahju muudatuste [IFRS 9 paragrahv 5.4.3 ja lisa A] kajastamine sõltub muudatus</w:t>
      </w:r>
      <w:r w:rsidR="000A0D60">
        <w:t>e laadist vastavalt järgmisele:</w:t>
      </w:r>
    </w:p>
    <w:p w:rsidR="009569C7" w:rsidRPr="00EC4FA2" w:rsidRDefault="00A834F1" w:rsidP="002A7491">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kui muudatus tuleneb vara kajastamise osalisest või täielikust lõpetamisest punktis 74 määratletud mahakandmise tõttu, kajastatakse kajastamise lõpetamise mõju eeldatavale kahjule veerus „mahakandmistest tingitud allahindluse konto vähenemine“ ja mis tahes muu muutmise mõju eeldatavale krediidikahjule</w:t>
      </w:r>
      <w:r w:rsidR="000A0D60">
        <w:rPr>
          <w:rFonts w:ascii="Times New Roman" w:hAnsi="Times New Roman"/>
          <w:sz w:val="24"/>
        </w:rPr>
        <w:t xml:space="preserve"> muudes asjakohastes veergudes;</w:t>
      </w:r>
    </w:p>
    <w:p w:rsidR="009569C7" w:rsidRPr="00EC4FA2" w:rsidRDefault="00A834F1" w:rsidP="002A7491">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 xml:space="preserve">kui muudatus tuleneb vara kajastamise täielikust lõpetamisest muudel põhjustel kui punktis 74 määratletud mahakandmine ja selle asendamisest uue varaga, kajastatakse muudatuse mõju eeldatavale kahjule veerus „muudatused kajastamise lõpetamise tõttu“ muudatuste puhul, mis on </w:t>
      </w:r>
      <w:r>
        <w:rPr>
          <w:rFonts w:ascii="Times New Roman" w:hAnsi="Times New Roman"/>
          <w:sz w:val="24"/>
        </w:rPr>
        <w:lastRenderedPageBreak/>
        <w:t>tingitud vara kajastamise lõpetamisest, ja veerus „tekitamisest ja omandamisest tulenev suurenemine“ muudatuste puhul, mis on tingitud uuesti kajastatud muudetud varast. Kajastamise lõpetamine muudel põhjustel kui mahakandmine hõlmab mahakandmist juhul, kui muudetud vara ti</w:t>
      </w:r>
      <w:r w:rsidR="000A0D60">
        <w:rPr>
          <w:rFonts w:ascii="Times New Roman" w:hAnsi="Times New Roman"/>
          <w:sz w:val="24"/>
        </w:rPr>
        <w:t>ngimused on oluliselt muutunud;</w:t>
      </w:r>
    </w:p>
    <w:p w:rsidR="009569C7" w:rsidRPr="00EC4FA2" w:rsidRDefault="00A834F1" w:rsidP="002A7491">
      <w:pPr>
        <w:numPr>
          <w:ilvl w:val="0"/>
          <w:numId w:val="65"/>
        </w:numPr>
        <w:spacing w:before="120" w:after="120"/>
        <w:ind w:left="1134" w:hanging="425"/>
        <w:jc w:val="both"/>
        <w:rPr>
          <w:rFonts w:ascii="Times New Roman" w:hAnsi="Times New Roman"/>
          <w:sz w:val="24"/>
          <w:szCs w:val="24"/>
        </w:rPr>
      </w:pPr>
      <w:r>
        <w:rPr>
          <w:rFonts w:ascii="Times New Roman" w:hAnsi="Times New Roman"/>
          <w:sz w:val="24"/>
        </w:rPr>
        <w:t>kui muudatus ei tulene kogu muudetud vara või selle osa kajastamise lõpetamisest, kajastatakse selle mõju eeldatavale kahjule veerus „muudatustest ilma kajastamise lõpetamiseta tingitud mu</w:t>
      </w:r>
      <w:r w:rsidR="000F4147">
        <w:rPr>
          <w:rFonts w:ascii="Times New Roman" w:hAnsi="Times New Roman"/>
          <w:sz w:val="24"/>
        </w:rPr>
        <w:t>utused“.</w:t>
      </w:r>
    </w:p>
    <w:p w:rsidR="009569C7" w:rsidRPr="00EC4FA2" w:rsidRDefault="00A834F1" w:rsidP="003A3ED4">
      <w:pPr>
        <w:pStyle w:val="Baseparagraphnumbered"/>
        <w:tabs>
          <w:tab w:val="left" w:pos="851"/>
        </w:tabs>
      </w:pPr>
      <w:r>
        <w:t xml:space="preserve">Mahakandmine kajastatakse vastavalt käesoleva lisa käesoleva osa </w:t>
      </w:r>
      <w:r w:rsidR="000A0D60">
        <w:t>punktidele 72–74 ja järgmisele:</w:t>
      </w:r>
    </w:p>
    <w:p w:rsidR="009569C7" w:rsidRPr="00EC4FA2" w:rsidRDefault="00A834F1" w:rsidP="002A7491">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kui võlainstrumendi kajastamine osaliselt või täielikult lõpetatakse, kuna mõistlike ootuste kohaselt summasid tagasi ei saada, kajastatakse maha kantud summadest tingitud kajastatud kahju allahindluse vähenemine veerus „mahakandmistest tingitud allahindluse konto vähenemine“.</w:t>
      </w:r>
    </w:p>
    <w:p w:rsidR="009569C7" w:rsidRPr="00EC4FA2" w:rsidRDefault="00A834F1" w:rsidP="002A7491">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„Otse kasumiaruandes maha kantud summad“ on aruandeperioodil maha kantud finantsvarade summad, mis ületavad vastavate finantsvarade mis tahes allahindluse kontot kajastamise lõpetamise kuupäeva seisuga. Need hõlmavad kõiki aruandeperioodil maha kantud summasid ja mitte üksnes neid summasid, mille suht</w:t>
      </w:r>
      <w:r w:rsidR="000F4147">
        <w:rPr>
          <w:rFonts w:ascii="Times New Roman" w:hAnsi="Times New Roman"/>
          <w:sz w:val="24"/>
        </w:rPr>
        <w:t>es võetakse veel täitemeetmeid.</w:t>
      </w:r>
    </w:p>
    <w:p w:rsidR="009569C7" w:rsidRPr="00EC4FA2" w:rsidRDefault="00A834F1" w:rsidP="003A3ED4">
      <w:pPr>
        <w:pStyle w:val="Baseparagraphnumbered"/>
        <w:tabs>
          <w:tab w:val="left" w:pos="851"/>
        </w:tabs>
      </w:pPr>
      <w:r>
        <w:t>„Muud korrigeerimised“ hõlmab kõiki summasid, mida ei ole kajastatud eelnenud veergudes, sealhulgas vahetuskursi erinevustest tingitud eeldatava kahju korrigeerimist, kui see on kooskõlas vahetuskurs</w:t>
      </w:r>
      <w:r w:rsidR="000F4147">
        <w:t>i mõju kajastamisega vormis 2.</w:t>
      </w:r>
    </w:p>
    <w:p w:rsidR="009569C7" w:rsidRPr="00EC4FA2" w:rsidRDefault="00A834F1" w:rsidP="009569C7">
      <w:pPr>
        <w:pStyle w:val="sub-subtitlenumbered"/>
        <w:jc w:val="both"/>
      </w:pPr>
      <w:bookmarkStart w:id="171" w:name="_Toc467855229"/>
      <w:bookmarkStart w:id="172" w:name="_Toc485887339"/>
      <w:r>
        <w:t>Ülekandmised väärtuse languse etappide vahel (esitatakse brutosummas) (12.2)</w:t>
      </w:r>
      <w:bookmarkEnd w:id="171"/>
      <w:bookmarkEnd w:id="172"/>
    </w:p>
    <w:p w:rsidR="009569C7" w:rsidRPr="00EC4FA2" w:rsidRDefault="00A834F1" w:rsidP="003A3ED4">
      <w:pPr>
        <w:pStyle w:val="Baseparagraphnumbered"/>
        <w:tabs>
          <w:tab w:val="left" w:pos="851"/>
        </w:tabs>
      </w:pPr>
      <w:r>
        <w:t>Vormis 12.2 esitatakse finantsvarade puhul selline bilansiline brutoväärtus ja bilansiväliste riskipositsioonide puhul, mille suhtes kohaldatakse IFRS 9 kohaseid väärtuse languse nõudeid, selline nimiväärtus, mis on aruandeperioodil üle kantud väärt</w:t>
      </w:r>
      <w:r w:rsidR="000F4147">
        <w:t>use languse etappide vahel.</w:t>
      </w:r>
    </w:p>
    <w:p w:rsidR="009569C7" w:rsidRPr="00EC4FA2" w:rsidRDefault="00A834F1" w:rsidP="003A3ED4">
      <w:pPr>
        <w:pStyle w:val="Baseparagraphnumbered"/>
        <w:tabs>
          <w:tab w:val="left" w:pos="851"/>
        </w:tabs>
      </w:pPr>
      <w:r>
        <w:t>Kajastatakse üksnes selliste finantsvarade või bilansiväliste riskipositsioonide bilansiline brutoväärtus või nimiväärtus, mis on aruandekuupäeval muus väärtuse languse etapis, kui nad olid majandusaasta algul või nende esmasel kajastamisel. Bilansiliste riskipositsioonide puhul, mille puhul hõlmab vormis 12.1 esitatud väärtuse langus bilansivälist komponenti [IFRS 9 paragrahv 5.5.20 ja IFRS 7 paragrahv B8E], võetakse arvesse bilansilise ja bilansivälise komponendi etapi muutust.</w:t>
      </w:r>
    </w:p>
    <w:p w:rsidR="009569C7" w:rsidRPr="00EC4FA2" w:rsidRDefault="00A834F1" w:rsidP="003A3ED4">
      <w:pPr>
        <w:pStyle w:val="Baseparagraphnumbered"/>
        <w:tabs>
          <w:tab w:val="left" w:pos="851"/>
        </w:tabs>
      </w:pPr>
      <w:r>
        <w:t>Majandusaastal toimunud ülekandmiste kajastamisel kajastatakse finantsvarad või bilansivälised riskipositsioonid, mille väärtuse languse etapp on alates majandusaasta algusest või nende esmasest kajastamisest mitu korda muutunud, nii nagu nad oleks väärtuse languse etapist, kus nad olid majandusaasta alguses või nende esmasel kajastamisel, üle viidud väärtuse languse etappi, kus nad on aruandkuupäeva seisuga.</w:t>
      </w:r>
    </w:p>
    <w:p w:rsidR="009569C7" w:rsidRPr="00EC4FA2" w:rsidRDefault="00A834F1" w:rsidP="003A3ED4">
      <w:pPr>
        <w:pStyle w:val="Baseparagraphnumbered"/>
        <w:tabs>
          <w:tab w:val="left" w:pos="851"/>
        </w:tabs>
      </w:pPr>
      <w:r>
        <w:lastRenderedPageBreak/>
        <w:t>Vormis 12.2 kajastatav bilansiline brutoväärtus või nimiväärtus on bilansiline brutoväärtus või nimiväärtus aruandekuupäeva seisuga, sõltumata sellest, kas see väärtus oli ülekandmise kuupäeval suurem või väiksem.</w:t>
      </w:r>
    </w:p>
    <w:p w:rsidR="009569C7" w:rsidRPr="00EC4FA2" w:rsidRDefault="00A834F1" w:rsidP="009569C7">
      <w:pPr>
        <w:pStyle w:val="subtitlenumbered"/>
        <w:keepNext/>
        <w:ind w:left="357" w:hanging="357"/>
        <w:jc w:val="both"/>
      </w:pPr>
      <w:bookmarkStart w:id="173" w:name="_Toc362359300"/>
      <w:bookmarkStart w:id="174" w:name="_Toc467855230"/>
      <w:bookmarkStart w:id="175" w:name="_Toc361844229"/>
      <w:bookmarkStart w:id="176" w:name="_Toc485887340"/>
      <w:r>
        <w:t>Saadud tagatised ja garantiid (13)</w:t>
      </w:r>
      <w:bookmarkEnd w:id="173"/>
      <w:bookmarkEnd w:id="174"/>
      <w:bookmarkEnd w:id="176"/>
    </w:p>
    <w:p w:rsidR="009569C7" w:rsidRPr="00EC4FA2" w:rsidRDefault="00A834F1" w:rsidP="009569C7">
      <w:pPr>
        <w:pStyle w:val="sub-subtitlenumbered"/>
        <w:jc w:val="both"/>
      </w:pPr>
      <w:bookmarkStart w:id="177" w:name="_Toc361844230"/>
      <w:bookmarkStart w:id="178" w:name="_Toc362359301"/>
      <w:bookmarkStart w:id="179" w:name="_Toc467855231"/>
      <w:bookmarkStart w:id="180" w:name="_Toc485887341"/>
      <w:bookmarkEnd w:id="175"/>
      <w:r>
        <w:t>Tagatiste ja garantiide jaotus laenude ja ettemaksete kaupa (muud kui kauplemiseks hoitavad) (13.1)</w:t>
      </w:r>
      <w:bookmarkEnd w:id="177"/>
      <w:bookmarkEnd w:id="178"/>
      <w:bookmarkEnd w:id="179"/>
      <w:bookmarkEnd w:id="180"/>
    </w:p>
    <w:p w:rsidR="009569C7" w:rsidRPr="00EC4FA2" w:rsidRDefault="00A834F1" w:rsidP="009569C7">
      <w:pPr>
        <w:pStyle w:val="Baseparagraphnumbered"/>
        <w:tabs>
          <w:tab w:val="left" w:pos="851"/>
        </w:tabs>
        <w:ind w:left="709"/>
      </w:pPr>
      <w:r>
        <w:t>Laene ja ettemakseid tagavad tagatised ja garantiid esitatakse sõltumata nende õiguslikust vormist tagatise liigi kaupa: kinnisvaraga tagatud laenud ja muud tagatisega laenud ning saadud finantsgarantiiga tagatud laenud. Laenud ja ettemaksed jaotatakse v</w:t>
      </w:r>
      <w:r w:rsidR="000A0D60">
        <w:t>astaspoolte ja otstarbe alusel.</w:t>
      </w:r>
    </w:p>
    <w:p w:rsidR="009569C7" w:rsidRPr="00EC4FA2" w:rsidRDefault="00A834F1" w:rsidP="009569C7">
      <w:pPr>
        <w:pStyle w:val="Baseparagraphnumbered"/>
        <w:tabs>
          <w:tab w:val="left" w:pos="851"/>
        </w:tabs>
        <w:ind w:left="709"/>
      </w:pPr>
      <w:r>
        <w:t>Vormis 13.1 kajastatakse „tagatise või garantii maksimaalne summa, mida saab arvesse võtta“. Vormi 13.1 veergudes esitatud finantsgarantii ja/või tagatise väärtuste summa ei tohi ületada sellega seo</w:t>
      </w:r>
      <w:r w:rsidR="000A0D60">
        <w:t>tud laenu bilansilist väärtust.</w:t>
      </w:r>
    </w:p>
    <w:p w:rsidR="009569C7" w:rsidRPr="00EC4FA2" w:rsidRDefault="00A834F1" w:rsidP="009569C7">
      <w:pPr>
        <w:pStyle w:val="Baseparagraphnumbered"/>
        <w:tabs>
          <w:tab w:val="left" w:pos="851"/>
        </w:tabs>
        <w:ind w:left="709"/>
      </w:pPr>
      <w:r>
        <w:t>Laenude ja ettemaksete kajastamisel vastavalt pandi liigile kasutatakse järgmisi määratlusi:</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kirje „kinnisvaraga tagatud laenud“ all hõlmab „elamukinnisvara“ laenusid, mis on tagatud elamukinnisvaraga, ja „ärikinnisvara“ laenusid, mis on tagatud muu kui elamukinnisvaraga, sealhulgas kontori- ja äripinnad ning muud liiki ärikinnisvara. See, kas kinnisvaratagatise puhul on tegemist elamu- või ärikinnisvaraga, määratakse kindlaks kapitalinõuete määruse kohaselt;</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„muud tagatisega laenud“ hõlmab „raha [emiteeritud võlainstrumendid]“, kuhu kuuluvad a) laenu tagatiseks antud hoiused aruandvas krediidiasutuses või investeerimisühingus ja b) aruandva krediidiasutuse või investeerimisühingu emiteeritud võlaväärtpaberid, mis on antud laenu tagatiseks. „Ülejäänud“ hõlmab mis tahes kolmandate isikute emiteeritud muude väärtpaberite või muu vara pante;</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„saadud finantsgarantiid“ hõlmab lepinguid, mis vastavalt käesoleva lisa käesoleva osa punktile 114 nõuavad garantiiandjalt kindlaksmääratud maksete sooritamist, et hüvitada krediidiasutusele või investeerimisühingule tekkinud kahju, kui kindlaksmääratud võlgnik ei tee tähtaegselt makseid vastavalt võlainstrumendi algsetele või muudetud tingimustele.</w:t>
      </w:r>
    </w:p>
    <w:p w:rsidR="009569C7" w:rsidRPr="00EC4FA2" w:rsidRDefault="00A834F1" w:rsidP="003A3ED4">
      <w:pPr>
        <w:pStyle w:val="Baseparagraphnumbered"/>
        <w:tabs>
          <w:tab w:val="left" w:pos="851"/>
        </w:tabs>
      </w:pPr>
      <w:r>
        <w:t>Laenude ja ettemaksete puhul, millel on samaaegselt rohkem kui üht liiki tagatis või garantii, jaotatakse tagatise või garantii maksimaalne summa, mida saab arvesse võtta, vastavalt tagatise või garantii kvaliteedile, alustades parima kvaliteediga tagatisest või garantiist. Kinnisvaraga tagatud laenude puhul esitatakse kinnisvaratagatis alati esimesena, sõltumata selle kvaliteedist võrreldes muu tagatisega. Kui tagatise või garantii maksimaalne summa, mida saab arvesse võtta ületab kinnisvaratagatise väärtust, jaotatakse selle ülejäänud väärtus muudele tagatise ja garantii liikidele vastavalt selle kvaliteedile, alustades parima kvalitee</w:t>
      </w:r>
      <w:r w:rsidR="000A0D60">
        <w:t>diga tagatisest või garantiist.</w:t>
      </w:r>
    </w:p>
    <w:p w:rsidR="009569C7" w:rsidRPr="00EC4FA2" w:rsidRDefault="00A834F1" w:rsidP="009569C7">
      <w:pPr>
        <w:pStyle w:val="sub-subtitlenumbered"/>
        <w:jc w:val="both"/>
      </w:pPr>
      <w:bookmarkStart w:id="181" w:name="_Toc361844231"/>
      <w:bookmarkStart w:id="182" w:name="_Toc362359302"/>
      <w:bookmarkStart w:id="183" w:name="_Toc467855232"/>
      <w:bookmarkStart w:id="184" w:name="_Toc485887342"/>
      <w:r>
        <w:lastRenderedPageBreak/>
        <w:t>Tagatised, mis on omandatud perioodi jooksul, võttes need enda valdusse [aruande kuupäeva seisuga valduses olevad] (13.2)</w:t>
      </w:r>
      <w:bookmarkEnd w:id="181"/>
      <w:bookmarkEnd w:id="182"/>
      <w:bookmarkEnd w:id="183"/>
      <w:bookmarkEnd w:id="184"/>
    </w:p>
    <w:p w:rsidR="009569C7" w:rsidRPr="00EC4FA2" w:rsidRDefault="00A834F1" w:rsidP="009569C7">
      <w:pPr>
        <w:pStyle w:val="Baseparagraphnumbered"/>
        <w:tabs>
          <w:tab w:val="left" w:pos="851"/>
        </w:tabs>
        <w:ind w:left="709"/>
      </w:pPr>
      <w:r>
        <w:t>See vorm hõlmab sellise tagatise bilansilist väärtust, mis on saadud aruandeperioodi alguse ja lõpu vahel ning mida aruandekuupäeval j</w:t>
      </w:r>
      <w:r w:rsidR="000A0D60">
        <w:t>ätkuvalt kajastatakse bilansis.</w:t>
      </w:r>
    </w:p>
    <w:p w:rsidR="009569C7" w:rsidRPr="00EC4FA2" w:rsidRDefault="00A834F1" w:rsidP="009569C7">
      <w:pPr>
        <w:pStyle w:val="sub-subtitlenumbered"/>
        <w:jc w:val="both"/>
      </w:pPr>
      <w:bookmarkStart w:id="185" w:name="_Toc361844232"/>
      <w:bookmarkStart w:id="186" w:name="_Toc362359303"/>
      <w:bookmarkStart w:id="187" w:name="_Toc467855233"/>
      <w:bookmarkStart w:id="188" w:name="_Toc485887343"/>
      <w:r>
        <w:t>Akumuleeritud tagatised, mis on omandatud, võttes need enda valdusse [materiaalne vara] (13.3)</w:t>
      </w:r>
      <w:bookmarkEnd w:id="185"/>
      <w:bookmarkEnd w:id="186"/>
      <w:bookmarkEnd w:id="187"/>
      <w:bookmarkEnd w:id="188"/>
    </w:p>
    <w:p w:rsidR="009569C7" w:rsidRPr="00EC4FA2" w:rsidRDefault="00A834F1" w:rsidP="009569C7">
      <w:pPr>
        <w:pStyle w:val="Baseparagraphnumbered"/>
        <w:tabs>
          <w:tab w:val="left" w:pos="851"/>
        </w:tabs>
        <w:ind w:left="709"/>
      </w:pPr>
      <w:r>
        <w:t>„Tagatise üleminek [materiaalne vara]“ on selle materiaalse vara kumulatiivne bilansiline väärtus, mis on saadud, võttes valdusse tagatise, mida aruandekuupäeval jätkuvalt kajastatakse bilansis, võtmata arvesse tagatisi, mis liigitatakse kirjel „materiaalsed põhivarad“.</w:t>
      </w:r>
    </w:p>
    <w:p w:rsidR="009569C7" w:rsidRPr="00EC4FA2" w:rsidRDefault="00A834F1" w:rsidP="009569C7">
      <w:pPr>
        <w:pStyle w:val="subtitlenumbered"/>
        <w:keepNext/>
        <w:numPr>
          <w:ilvl w:val="0"/>
          <w:numId w:val="17"/>
        </w:numPr>
        <w:ind w:left="357" w:hanging="357"/>
        <w:jc w:val="both"/>
        <w:rPr>
          <w:kern w:val="32"/>
        </w:rPr>
      </w:pPr>
      <w:bookmarkStart w:id="189" w:name="_Toc246770622"/>
      <w:bookmarkStart w:id="190" w:name="_Toc361844233"/>
      <w:bookmarkStart w:id="191" w:name="_Toc362359304"/>
      <w:bookmarkStart w:id="192" w:name="_Toc467855234"/>
      <w:bookmarkStart w:id="193" w:name="_Toc485887344"/>
      <w:r>
        <w:t xml:space="preserve">Õiglase väärtuse </w:t>
      </w:r>
      <w:bookmarkEnd w:id="189"/>
      <w:r>
        <w:t>hierarhia: õiglases väärtuses finantsinstrumendid (14)</w:t>
      </w:r>
      <w:bookmarkEnd w:id="190"/>
      <w:bookmarkEnd w:id="191"/>
      <w:bookmarkEnd w:id="192"/>
      <w:bookmarkEnd w:id="193"/>
    </w:p>
    <w:p w:rsidR="009569C7" w:rsidRPr="00EC4FA2" w:rsidRDefault="00A834F1" w:rsidP="009569C7">
      <w:pPr>
        <w:pStyle w:val="Baseparagraphnumbered"/>
        <w:tabs>
          <w:tab w:val="left" w:pos="851"/>
        </w:tabs>
        <w:ind w:left="709"/>
      </w:pPr>
      <w:r>
        <w:t>Krediidiasutused ja investeerimisühingud kajastavad õiglases väärtuses mõõdetud finantsinstrumentide väärtuse vastavalt IFRS 13 punktis 72 sätestatud hierarhiale. Kui BADil põhineva siseriikliku GAAPi kohaselt nõutakse õiglases väärtuses mõõdetud varade jaotamist erinevate õiglase väärtuse tasemete vahel, esitavad krediidiasutused ja investeerimisühingud siseriikliku GAAPi kohaselt ka selle vormi.</w:t>
      </w:r>
    </w:p>
    <w:p w:rsidR="009569C7" w:rsidRPr="00EC4FA2" w:rsidRDefault="00A834F1" w:rsidP="003A3ED4">
      <w:pPr>
        <w:pStyle w:val="Baseparagraphnumbered"/>
        <w:tabs>
          <w:tab w:val="left" w:pos="851"/>
        </w:tabs>
      </w:pPr>
      <w:r>
        <w:t>„Õiglase väärtuse muutus perioodi jooksul“ hõlmab kahjumit või kasumit, mis tuleneb aruandekuupäeval jätkuvalt olemasolevate instrumentide uuesti mõõtmistest perioodi jooksul IFRS 9, IFRS 13 või siseriikliku GAAPi kohaselt, kui see on kohaldatav. Need kahjumid ja kasumid kajastatakse nagu kasumiaruandesse kaasamiseks, või kui see on asjakohane, nagu koondkasumiaruandesse kaasamiseks; seega kajastatakse need summad enne maksustamist.</w:t>
      </w:r>
    </w:p>
    <w:p w:rsidR="009569C7" w:rsidRPr="00EC4FA2" w:rsidRDefault="00A834F1" w:rsidP="009569C7">
      <w:pPr>
        <w:pStyle w:val="Baseparagraphnumbered"/>
        <w:tabs>
          <w:tab w:val="left" w:pos="851"/>
        </w:tabs>
        <w:ind w:left="709"/>
      </w:pPr>
      <w:r>
        <w:t>„Õiglase väärtuse akumuleeritud muutus enne maksustamist“ sisaldab instrumentide uuesti mõõtmiste tulemusena saadud kasumite või kahjumite summat, mis on akumuleerunud alates esialgsest kirjendamisest kuni aruandekuupäevani.</w:t>
      </w:r>
    </w:p>
    <w:p w:rsidR="009569C7" w:rsidRPr="00EC4FA2" w:rsidRDefault="00A834F1" w:rsidP="009569C7">
      <w:pPr>
        <w:pStyle w:val="subtitlenumbered"/>
        <w:numPr>
          <w:ilvl w:val="0"/>
          <w:numId w:val="17"/>
        </w:numPr>
        <w:jc w:val="both"/>
        <w:rPr>
          <w:kern w:val="32"/>
        </w:rPr>
      </w:pPr>
      <w:bookmarkStart w:id="194" w:name="_Toc361844234"/>
      <w:bookmarkStart w:id="195" w:name="_Toc362359305"/>
      <w:bookmarkStart w:id="196" w:name="_Toc467855235"/>
      <w:bookmarkStart w:id="197" w:name="_Toc485887345"/>
      <w:r>
        <w:t>Kajastamise lõpetamine ja ülekantud finantsvaradega seotud finantskohustused (15)</w:t>
      </w:r>
      <w:bookmarkEnd w:id="194"/>
      <w:bookmarkEnd w:id="195"/>
      <w:bookmarkEnd w:id="196"/>
      <w:bookmarkEnd w:id="197"/>
    </w:p>
    <w:p w:rsidR="009569C7" w:rsidRPr="00EC4FA2" w:rsidRDefault="00A834F1" w:rsidP="009569C7">
      <w:pPr>
        <w:pStyle w:val="Baseparagraphnumbered"/>
        <w:tabs>
          <w:tab w:val="left" w:pos="851"/>
        </w:tabs>
        <w:ind w:left="709"/>
      </w:pPr>
      <w:r>
        <w:t>Vorm 15 sisaldab teavet ülekantud finantsvarade kohta, millest osa või kõigi kajastamist ei saa lõpetada, ning finantsvarade kohta, mille kajastamine on tervikuna lõpetatud ja mille puhul krediidiasutusel või investeerimisühingul</w:t>
      </w:r>
      <w:r w:rsidR="000A0D60">
        <w:t xml:space="preserve"> säilivad teenindamise õigused.</w:t>
      </w:r>
    </w:p>
    <w:p w:rsidR="009569C7" w:rsidRPr="00EC4FA2" w:rsidRDefault="00A834F1" w:rsidP="009569C7">
      <w:pPr>
        <w:pStyle w:val="Baseparagraphnumbered"/>
        <w:tabs>
          <w:tab w:val="left" w:pos="851"/>
        </w:tabs>
        <w:ind w:left="709"/>
      </w:pPr>
      <w:r>
        <w:t>Nende varadega seotud kohustused kajastatakse vastavalt portfellile, milles seotud ülekantud finantsvarad olid kajastatud aktiva poolel, ning mitte vastavalt portfellile, milles need olid kajastatud passiva poolel.</w:t>
      </w:r>
      <w:bookmarkStart w:id="198" w:name="_Toc119725774"/>
      <w:bookmarkEnd w:id="198"/>
    </w:p>
    <w:p w:rsidR="009569C7" w:rsidRPr="00EC4FA2" w:rsidRDefault="00A834F1" w:rsidP="003A3ED4">
      <w:pPr>
        <w:pStyle w:val="Baseparagraphnumbered"/>
        <w:tabs>
          <w:tab w:val="left" w:pos="851"/>
        </w:tabs>
      </w:pPr>
      <w:r>
        <w:t xml:space="preserve">Veerg „summad, mille kajastamine on lõpetatud kapitali arvestamise eesmärgil“ hõlmab nende finantsvarade bilansilist väärtust, mis on kajastatud </w:t>
      </w:r>
      <w:r>
        <w:lastRenderedPageBreak/>
        <w:t>raamatupidamisarvestuse eesmärgil, kuid mille kajastamine on lõpetatud usaldatavusnõuete kohaldamise eesmärgil, kuna krediidiasutus või investeerimisühing käsitab neid kapitali arvestamise eesmärgil väärtpaberistamise positsioonidena vastavalt kapitalinõuete määru</w:t>
      </w:r>
      <w:r w:rsidR="000A0D60">
        <w:t>se artiklitele 109, 243 ja 244.</w:t>
      </w:r>
    </w:p>
    <w:p w:rsidR="009569C7" w:rsidRPr="00EC4FA2" w:rsidRDefault="00A834F1" w:rsidP="003A3ED4">
      <w:pPr>
        <w:pStyle w:val="Baseparagraphnumbered"/>
        <w:tabs>
          <w:tab w:val="left" w:pos="851"/>
        </w:tabs>
      </w:pPr>
      <w:r>
        <w:t>„Repolepingud“ („repod“) on tehingud, mille käigus krediidiasutus või investeerimisühing saab sularaha teatava hinnaga müüdud finantsvarade vastu ja millega kaasneb siduv kohustus osta samad (või identsed) varad tagasi kindlaksmääratud hinnaga konkreetsel kuupäeval tulevikus. Ka tehinguid, millega kantakse rahalise tagatise eest ajutiselt üle kuld, käsitatakse kui „repolepingud“ („repod“). Rahasummad, mille krediidiasutus või investeerimisühing on saanud kolmandale isikule („ajutine omandaja“) üle kantud finantsvarade eest, liigitatakse kirjele „repolepingud“ juhul, kui pöördtehing on siduv kohustus, mitte ainult võimalus. Repolepingud hõlmavad ka repo-tüüpi tehinguid, mille hulka võivad kuuluda järgmised summad:</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summad, mis on saadud kolmandale isikule rahalise tagatise vastu väärtpaberite laenuks andmise vormis ajutiselt üle kantud väärtpaberite eest;</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summad, mis on saadud kolmandale isikule müügilepingu/tagasiostulepingu vormis ajutiselt ülekantud väärtpaberite eest.</w:t>
      </w:r>
    </w:p>
    <w:p w:rsidR="009569C7" w:rsidRPr="00EC4FA2" w:rsidRDefault="00A834F1" w:rsidP="009569C7">
      <w:pPr>
        <w:pStyle w:val="Baseparagraphnumbered"/>
        <w:tabs>
          <w:tab w:val="left" w:pos="851"/>
        </w:tabs>
        <w:ind w:left="709"/>
      </w:pPr>
      <w:r>
        <w:t>Kirjed „repolepingud“ („repod“) ja „pöördrepolaenud“ („pöördrepod“) hõlmavad krediidiasutuse või investeerimisühingu</w:t>
      </w:r>
      <w:r w:rsidR="000A0D60">
        <w:t xml:space="preserve"> saadud või väljalaenatud raha.</w:t>
      </w:r>
    </w:p>
    <w:p w:rsidR="009569C7" w:rsidRPr="00EC4FA2" w:rsidRDefault="00A834F1" w:rsidP="009569C7">
      <w:pPr>
        <w:pStyle w:val="Baseparagraphnumbered"/>
        <w:tabs>
          <w:tab w:val="left" w:pos="851"/>
        </w:tabs>
        <w:ind w:left="709"/>
      </w:pPr>
      <w:r>
        <w:t>Kui üle kantud finantsvarade kajastamine on lõpetatud, kajastavad krediidiasutused ja investeerimisühingud väärtpaberistamise tehingus selle kirjega seoses saadud kasumit (kahjumit) kasumiaruandes vastavalt sellele arvestusportfellile, millesse finantsvarad kuulusid enne, kui nende kajastamine lõpetati.</w:t>
      </w:r>
    </w:p>
    <w:p w:rsidR="009569C7" w:rsidRPr="00EC4FA2" w:rsidRDefault="00A834F1" w:rsidP="009569C7">
      <w:pPr>
        <w:pStyle w:val="subtitlenumbered"/>
        <w:keepNext/>
        <w:numPr>
          <w:ilvl w:val="0"/>
          <w:numId w:val="17"/>
        </w:numPr>
        <w:ind w:left="357" w:hanging="357"/>
        <w:jc w:val="both"/>
      </w:pPr>
      <w:bookmarkStart w:id="199" w:name="_Toc246513983"/>
      <w:bookmarkStart w:id="200" w:name="_Toc246730655"/>
      <w:bookmarkStart w:id="201" w:name="_Toc246730746"/>
      <w:bookmarkStart w:id="202" w:name="_Toc246513985"/>
      <w:bookmarkStart w:id="203" w:name="_Toc246730657"/>
      <w:bookmarkStart w:id="204" w:name="_Toc246730748"/>
      <w:bookmarkStart w:id="205" w:name="_Toc246513986"/>
      <w:bookmarkStart w:id="206" w:name="_Toc246730658"/>
      <w:bookmarkStart w:id="207" w:name="_Toc246730749"/>
      <w:bookmarkStart w:id="208" w:name="_Toc246770632"/>
      <w:bookmarkStart w:id="209" w:name="_Toc361844235"/>
      <w:bookmarkStart w:id="210" w:name="_Toc362359306"/>
      <w:bookmarkStart w:id="211" w:name="_Toc467855236"/>
      <w:bookmarkStart w:id="212" w:name="_Toc246770626"/>
      <w:bookmarkStart w:id="213" w:name="_Toc485887346"/>
      <w:bookmarkEnd w:id="199"/>
      <w:bookmarkEnd w:id="200"/>
      <w:bookmarkEnd w:id="201"/>
      <w:bookmarkEnd w:id="202"/>
      <w:bookmarkEnd w:id="203"/>
      <w:bookmarkEnd w:id="204"/>
      <w:bookmarkEnd w:id="205"/>
      <w:bookmarkEnd w:id="206"/>
      <w:bookmarkEnd w:id="207"/>
      <w:r>
        <w:t xml:space="preserve">Kasumiaruande </w:t>
      </w:r>
      <w:bookmarkEnd w:id="208"/>
      <w:r>
        <w:t>teatavate kirjete jaotus (16)</w:t>
      </w:r>
      <w:bookmarkEnd w:id="209"/>
      <w:bookmarkEnd w:id="210"/>
      <w:bookmarkEnd w:id="211"/>
      <w:bookmarkEnd w:id="213"/>
    </w:p>
    <w:p w:rsidR="009569C7" w:rsidRPr="00EC4FA2" w:rsidRDefault="00A834F1" w:rsidP="009569C7">
      <w:pPr>
        <w:pStyle w:val="Baseparagraphnumbered"/>
        <w:tabs>
          <w:tab w:val="left" w:pos="851"/>
        </w:tabs>
        <w:ind w:left="709"/>
      </w:pPr>
      <w:r>
        <w:t>Kasumiaruande teatavate kirjete puhul esitatakse kasumi (või tulude) ja kahjum</w:t>
      </w:r>
      <w:r w:rsidR="000A0D60">
        <w:t>i (või kulude) täiendav jaotus.</w:t>
      </w:r>
    </w:p>
    <w:p w:rsidR="009569C7" w:rsidRPr="00EC4FA2" w:rsidRDefault="00A834F1" w:rsidP="009569C7">
      <w:pPr>
        <w:pStyle w:val="sub-subtitlenumbered"/>
        <w:jc w:val="both"/>
      </w:pPr>
      <w:bookmarkStart w:id="214" w:name="_Toc361844236"/>
      <w:bookmarkStart w:id="215" w:name="_Toc362359307"/>
      <w:bookmarkStart w:id="216" w:name="_Toc467855237"/>
      <w:bookmarkStart w:id="217" w:name="_Toc485887347"/>
      <w:r>
        <w:t>Intressitulu ja -kulu instrumentide ja vastaspoole sektorite lõikes (16.1)</w:t>
      </w:r>
      <w:bookmarkEnd w:id="214"/>
      <w:bookmarkEnd w:id="215"/>
      <w:bookmarkEnd w:id="216"/>
      <w:bookmarkEnd w:id="217"/>
    </w:p>
    <w:p w:rsidR="009569C7" w:rsidRPr="00EC4FA2" w:rsidRDefault="00A834F1" w:rsidP="002A7491">
      <w:pPr>
        <w:pStyle w:val="Baseparagraphnumbered"/>
        <w:tabs>
          <w:tab w:val="left" w:pos="851"/>
        </w:tabs>
        <w:ind w:left="709"/>
      </w:pPr>
      <w:r>
        <w:t>Intressitulu jaotatakse vastavalt mõlemale järgmisele:</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finants- ja muude varade intressitulu;</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negatiivse efektiivse intressimääraga finantskohustuste intressitulu.</w:t>
      </w:r>
    </w:p>
    <w:p w:rsidR="009569C7" w:rsidRPr="00EC4FA2" w:rsidRDefault="00A834F1" w:rsidP="002A7491">
      <w:pPr>
        <w:pStyle w:val="Baseparagraphnumbered"/>
        <w:tabs>
          <w:tab w:val="left" w:pos="851"/>
        </w:tabs>
        <w:ind w:left="709"/>
      </w:pPr>
      <w:r>
        <w:t>Intressikulu jaotatakse vastavalt mõlemale järgmisele:</w:t>
      </w:r>
    </w:p>
    <w:p w:rsidR="009569C7" w:rsidRPr="00EC4FA2" w:rsidRDefault="00A834F1" w:rsidP="002A7491">
      <w:pPr>
        <w:numPr>
          <w:ilvl w:val="0"/>
          <w:numId w:val="70"/>
        </w:numPr>
        <w:ind w:left="1134" w:hanging="425"/>
        <w:jc w:val="both"/>
        <w:rPr>
          <w:rFonts w:ascii="Times New Roman" w:hAnsi="Times New Roman"/>
          <w:sz w:val="24"/>
          <w:szCs w:val="24"/>
        </w:rPr>
      </w:pPr>
      <w:r>
        <w:rPr>
          <w:rFonts w:ascii="Times New Roman" w:hAnsi="Times New Roman"/>
          <w:sz w:val="24"/>
        </w:rPr>
        <w:t>finants- ja muude kohustuste intressikulu;</w:t>
      </w:r>
    </w:p>
    <w:p w:rsidR="009569C7" w:rsidRPr="00EC4FA2" w:rsidRDefault="00A834F1" w:rsidP="002A7491">
      <w:pPr>
        <w:numPr>
          <w:ilvl w:val="0"/>
          <w:numId w:val="70"/>
        </w:numPr>
        <w:ind w:left="1134" w:hanging="425"/>
        <w:jc w:val="both"/>
        <w:rPr>
          <w:rFonts w:ascii="Times New Roman" w:hAnsi="Times New Roman"/>
          <w:sz w:val="24"/>
          <w:szCs w:val="24"/>
        </w:rPr>
      </w:pPr>
      <w:r>
        <w:rPr>
          <w:rFonts w:ascii="Times New Roman" w:hAnsi="Times New Roman"/>
          <w:sz w:val="24"/>
        </w:rPr>
        <w:lastRenderedPageBreak/>
        <w:t>negatiivse efektiivse intressimääraga finantsvarade intressikulu.</w:t>
      </w:r>
    </w:p>
    <w:p w:rsidR="009569C7" w:rsidRPr="00EC4FA2" w:rsidRDefault="00A834F1" w:rsidP="009569C7">
      <w:pPr>
        <w:pStyle w:val="Baseparagraphnumbered"/>
        <w:tabs>
          <w:tab w:val="left" w:pos="851"/>
        </w:tabs>
        <w:ind w:left="709" w:hanging="283"/>
      </w:pPr>
      <w:r>
        <w:t>Finantsvarade ja negatiivse efektiivse intressimääraga finantskohustuste intressitulu hõlmab kauplemiseks hoitavate tuletisinstrumentide, võlaväärtpaberite, laenude ja ettemaksete, samuti hoiuste, emiteeritud võlaväärtpaberite ja muude negatiivse efektiivse intressimäär</w:t>
      </w:r>
      <w:r w:rsidR="000A0D60">
        <w:t xml:space="preserve">aga </w:t>
      </w:r>
      <w:bookmarkStart w:id="218" w:name="_GoBack"/>
      <w:bookmarkEnd w:id="218"/>
      <w:r w:rsidR="000A0D60">
        <w:t>finantskohustuste intresse.</w:t>
      </w:r>
    </w:p>
    <w:p w:rsidR="009569C7" w:rsidRPr="00EC4FA2" w:rsidRDefault="00A834F1" w:rsidP="003A3ED4">
      <w:pPr>
        <w:pStyle w:val="Baseparagraphnumbered"/>
        <w:tabs>
          <w:tab w:val="left" w:pos="851"/>
        </w:tabs>
      </w:pPr>
      <w:r>
        <w:t>Finantskohustuste ja negatiivse efektiivse intressimääraga finantsvarade intressikulu hõlmab kauplemiseks hoitavate tuletisinstrumentide, hoiuste, emiteeritud võlaväärtpaberite ja muude finantskohustuste, samuti negatiivse efektiivse intressimääraga võlaväärtpaberite, l</w:t>
      </w:r>
      <w:r w:rsidR="000F4147">
        <w:t>aenude ja ettemaksete intresse.</w:t>
      </w:r>
    </w:p>
    <w:p w:rsidR="009569C7" w:rsidRPr="00EC4FA2" w:rsidRDefault="00A834F1" w:rsidP="003A3ED4">
      <w:pPr>
        <w:pStyle w:val="Baseparagraphnumbered"/>
        <w:tabs>
          <w:tab w:val="left" w:pos="851"/>
        </w:tabs>
      </w:pPr>
      <w:r>
        <w:t>Vormi 16.1 eesmärgil käsitatakse lühikesi positsioone muude finantskohustustena. Arvesse võetakse eri portfellide kõik instrumendid, välja arvatud kirjel „tuletisinstrumendid – riskimaandamise arvestus“ sisalduvad instrumendid, mida ei kasut</w:t>
      </w:r>
      <w:r w:rsidR="000F4147">
        <w:t>ata intressiriski maandamiseks.</w:t>
      </w:r>
    </w:p>
    <w:p w:rsidR="009569C7" w:rsidRPr="00EC4FA2" w:rsidRDefault="00A834F1" w:rsidP="003A3ED4">
      <w:pPr>
        <w:pStyle w:val="Baseparagraphnumbered"/>
        <w:tabs>
          <w:tab w:val="left" w:pos="851"/>
        </w:tabs>
      </w:pPr>
      <w:r>
        <w:t>„Tuletisinstrumendid – riskimaandamise arvestus, intressirisk“ hõlmab riskimaandamisinstrumentide intressitulu ja -kulu, kui maandatavad inst</w:t>
      </w:r>
      <w:r w:rsidR="000F4147">
        <w:t>rumendid annavad intressitulu.</w:t>
      </w:r>
    </w:p>
    <w:p w:rsidR="009569C7" w:rsidRPr="00EC4FA2" w:rsidRDefault="00A834F1" w:rsidP="003A3ED4">
      <w:pPr>
        <w:pStyle w:val="Baseparagraphnumbered"/>
        <w:tabs>
          <w:tab w:val="left" w:pos="851"/>
        </w:tabs>
      </w:pPr>
      <w:r>
        <w:t>Puhashinna kasutamise korral sisaldab kauplemiseks hoitavate tuletisinstrumentide intress nende kauplemiseks hoitavate tuletisinstrumentidega seotud summasid, mida saab käsitada majandusliku riskimaandusena, mis on kajastatud intressitulu või -kuluna, et korrigeerida maandatud finantsinstrumentide tulu või kulu majanduslikust seisukohast, kuid mitte arvestuse seisukohast. Sel juhul esitatakse majandusliku riskimaanduse tuletisinstrumentide intressitulu eraldi kauplemisel kasutatavate tuletisinstrumentide intressitulu all. Ajaliselt jaotatud tasusid ja tasakaalustavaid makseid seoses õiglases väärtuses mõõdetud krediidituletisinstrumentidega, mida kasutatakse sellel juhul õiglases väärtuses muutustega kajastatud kogu finantsinstrumendi või selle osa krediidiriski juhtimiseks, kajastatakse samuti kauplemiseks hoitavate tuletisinstrumentide intressi all.</w:t>
      </w:r>
    </w:p>
    <w:p w:rsidR="009569C7" w:rsidRPr="00EC4FA2" w:rsidRDefault="00A834F1" w:rsidP="003A3ED4">
      <w:pPr>
        <w:pStyle w:val="Baseparagraphnumbered"/>
        <w:tabs>
          <w:tab w:val="left" w:pos="851"/>
        </w:tabs>
      </w:pPr>
      <w:r>
        <w:t>IFRSi kohaselt tähendab „millest: langenud väärtusega finantsvaradest saadud intressitulu“ krediidiriski tõttu langenud väärtusega finantsvaradest (sealhulgas ostetud või tekitatud krediidiriski tõttu langenud väärtusega finantsvara) saadud intressitulu. BADil põhineva siseriikliku GAAPi kohaselt hõlmab see sellise vara intressitulu, mille väärtust on vähendatud krediidiriskiga seotud üldise või spetsiifilise allahindluse kaudu.</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485887348"/>
      <w:r>
        <w:t>Instrumentide lõikes kasumid või kahjumid, mis on saadud selliste finantsvarade ja -kohustuste kajastamise lõpetamisest, mida ei ole mõõdetud õiglases väärtuses muutustega läbi kasumiaruande (16.2)</w:t>
      </w:r>
      <w:bookmarkEnd w:id="219"/>
      <w:bookmarkEnd w:id="220"/>
      <w:bookmarkEnd w:id="221"/>
      <w:bookmarkEnd w:id="222"/>
    </w:p>
    <w:p w:rsidR="009569C7" w:rsidRPr="00EC4FA2" w:rsidRDefault="00A834F1" w:rsidP="009569C7">
      <w:pPr>
        <w:pStyle w:val="Baseparagraphnumbered"/>
        <w:tabs>
          <w:tab w:val="left" w:pos="851"/>
        </w:tabs>
        <w:ind w:left="709"/>
      </w:pPr>
      <w:r>
        <w:t xml:space="preserve">Kasumid ja kahjumid, mis on tulenenud selliste finantsvarade ja -kohustuste kajastamise lõpetamisest, mida ei ole mõõdetud õiglases väärtuses muutustega läbi kasumiaruande, jaotatakse finantsinstrumendi liikide ja arvestusportfellide kaupa. Ige kirje puhul esitatakse realiseeritud puhaskasum või -kahjum, mis </w:t>
      </w:r>
      <w:r>
        <w:lastRenderedPageBreak/>
        <w:t>tuleneb tehingust, mille kajastamine on lõpetatud. Netosumma kajastab realiseeritud kasumite ja realiseeritud kahjumite vahet.</w:t>
      </w:r>
    </w:p>
    <w:p w:rsidR="009569C7" w:rsidRPr="00EC4FA2" w:rsidRDefault="00A834F1" w:rsidP="003A3ED4">
      <w:pPr>
        <w:pStyle w:val="Baseparagraphnumbered"/>
        <w:tabs>
          <w:tab w:val="left" w:pos="851"/>
        </w:tabs>
      </w:pPr>
      <w:r>
        <w:t>Vormis 16.2 esitatakse IFRSi kohaselt amortiseeritud soetusväärtuses kajastatud finantsvarad ja -kohustused ning õiglases väärtuses läbi muu koondkasumi mõõdetud võlainstrumendid. BADil põhineva siseriikliku GAAPi kohaselt esitatakse vormis 16.2 finantsvarad, mida mõõdetakse soetusmaksumusepõhisel meetodil, õiglases väärtuses omakapitalis ja muudel mõõtmismeetoditel, nt soetusmaksumuses või turuväärtuses, olenevalt sellest, kumb on väiksem. Kohaldatava BADil põhineva siseriikliku GAAPi kohaselt kauplemiseks hoitavateks liigitatud finantsinstrumentidest tulenevaid kahjumeid ja kasumeid selles vormis ei kajastata, olenemata nende instrumentide suhtes kohaldatavatest hindamiseeskirjadest.</w:t>
      </w:r>
    </w:p>
    <w:p w:rsidR="009569C7" w:rsidRPr="00EC4FA2" w:rsidRDefault="00A834F1" w:rsidP="009569C7">
      <w:pPr>
        <w:pStyle w:val="sub-subtitlenumbered"/>
        <w:jc w:val="both"/>
      </w:pPr>
      <w:bookmarkStart w:id="223" w:name="_Toc361844238"/>
      <w:bookmarkStart w:id="224" w:name="_Toc362359309"/>
      <w:bookmarkStart w:id="225" w:name="_Toc467855239"/>
      <w:bookmarkStart w:id="226" w:name="_Toc485887349"/>
      <w:r>
        <w:t>Kauplemiseks hoitavatest finantsvaradest ja -kohustustest tulenevad kahjumid või kasumid instrumentide kaupa (16.3)</w:t>
      </w:r>
      <w:bookmarkEnd w:id="223"/>
      <w:bookmarkEnd w:id="224"/>
      <w:bookmarkEnd w:id="225"/>
      <w:bookmarkEnd w:id="226"/>
    </w:p>
    <w:p w:rsidR="009569C7" w:rsidRPr="00EC4FA2" w:rsidRDefault="00A834F1" w:rsidP="009569C7">
      <w:pPr>
        <w:pStyle w:val="Baseparagraphnumbered"/>
        <w:tabs>
          <w:tab w:val="left" w:pos="851"/>
        </w:tabs>
        <w:ind w:left="709"/>
      </w:pPr>
      <w:r>
        <w:t>Kahjumid ja kasumid, mis tulenevad kauplemiseks hoitavatest finantsvaradest ja -kohustustest, jaotatakse instrumendi liigi alusel; jaotuse iga kirje on finantsinstrumendi realiseeritud ja realiseerimata netosumma (kasumid miinus kahjumid).</w:t>
      </w:r>
    </w:p>
    <w:p w:rsidR="009569C7" w:rsidRPr="00EC4FA2" w:rsidRDefault="00A834F1" w:rsidP="000A0D60">
      <w:pPr>
        <w:pStyle w:val="Baseparagraphnumbered"/>
        <w:tabs>
          <w:tab w:val="left" w:pos="851"/>
        </w:tabs>
        <w:ind w:left="709"/>
      </w:pPr>
      <w:r>
        <w:t>Kauplemisest tulenevad kasumid ja kahjumid peavad hõlmama hetketurul välisvaluutaga kauplemisest (v.a välisvaluuta rahatähtede ja müntide vahetus) tulenevaid kasumeid ja kahjumeid. Väärismetallidega kauplemisest või nende kajastamise lõpetamisest ja uuesti mõõtmisest tulenevaid kasumeid ja kahjumeid ei kajastata kauplemisest tulenevate kasumite ja kahjumite all, vaid kirjete „Muud tegevustulud“ või „Muud tegevuskulud“ all vastavalt käesoleva osa punktile 316.</w:t>
      </w:r>
    </w:p>
    <w:p w:rsidR="009569C7" w:rsidRPr="00EC4FA2" w:rsidRDefault="00A834F1" w:rsidP="003A3ED4">
      <w:pPr>
        <w:pStyle w:val="Baseparagraphnumbered"/>
        <w:tabs>
          <w:tab w:val="left" w:pos="851"/>
        </w:tabs>
      </w:pPr>
      <w:r>
        <w:t>Kirje „millest: majanduslikud riskimaandused õiglase väärtuse võimaluse kasutamisega“ hõlmab üksnes kasumit ja kahjumit krediidituletisinstrumentidest, mida mõõdetakse õiglases väärtuses muutustega läbi kasumiaruande ja kasutatakse sellel juhul õiglases väärtuses muutustega läbi kasumiaruande kajastatud kogu finantsinstrumendi või selle osa krediidiriski juhtimiseks vastavalt IFRSile 9.6.7. Kasum ja kahjum, mis tuleneb finantsvarade ümberliigitamisest amortiseeritud soetusväärtuses kajastatavast arvestusportfellist õiglases väärtuses muutustega läbi kasumiaruande kajastatavasse arvestusportfelli või po</w:t>
      </w:r>
      <w:r w:rsidR="000F4147">
        <w:t>rtfelli „kauplemiseks hoitavad“</w:t>
      </w:r>
      <w:r>
        <w:t xml:space="preserve"> [IFRS 9 paragrahv 5.6.2], esitatakse kirje „millest: amortiseeritud soetusmaksumuses kajastatud varade ümberliigitamises</w:t>
      </w:r>
      <w:r w:rsidR="000A0D60">
        <w:t>t tulenev kasum ja kahjum“ all.</w:t>
      </w:r>
    </w:p>
    <w:p w:rsidR="009569C7" w:rsidRPr="00EC4FA2" w:rsidRDefault="00A834F1" w:rsidP="009569C7">
      <w:pPr>
        <w:pStyle w:val="sub-subtitlenumbered"/>
        <w:jc w:val="both"/>
      </w:pPr>
      <w:bookmarkStart w:id="227" w:name="_Toc361844239"/>
      <w:bookmarkStart w:id="228" w:name="_Toc362359310"/>
      <w:bookmarkStart w:id="229" w:name="_Toc467855240"/>
      <w:bookmarkStart w:id="230" w:name="_Toc485887350"/>
      <w:r>
        <w:t>Kauplemiseks hoitavatest finantsvaradest ja -kohustustest tulenevad kahjumid või kasumid riskide kaupa (16.4)</w:t>
      </w:r>
      <w:bookmarkEnd w:id="227"/>
      <w:bookmarkEnd w:id="228"/>
      <w:bookmarkEnd w:id="229"/>
      <w:bookmarkEnd w:id="230"/>
    </w:p>
    <w:p w:rsidR="009569C7" w:rsidRPr="00EC4FA2" w:rsidRDefault="00A834F1" w:rsidP="009569C7">
      <w:pPr>
        <w:pStyle w:val="Baseparagraphnumbered"/>
        <w:tabs>
          <w:tab w:val="left" w:pos="851"/>
        </w:tabs>
        <w:ind w:left="709"/>
      </w:pPr>
      <w:r>
        <w:t xml:space="preserve">Kahjumid ja kasumid, mis tulenevad kauplemiseks hoitavatest finantsvaradest ja finantskohustustest, jaotatakse ka riski liigi alusel; jaotuse iga kirje on riskipositsiooniga, sealhulgas seotud tuletisinstrumendid, seotud alusriski (intressimäär, aktsiad, välisvaluuta, krediit, kaup ja muu) realiseeritud ja realiseerimata netosumma (kasumid miinus kahjumid). Vahetuskursi </w:t>
      </w:r>
      <w:r>
        <w:lastRenderedPageBreak/>
        <w:t>erinevustest tulenevad kasumid ja kahjumid esitatakse kirjel, millel esitatakse vahetatud instrumendist tulenevad ülejäänud kasumid ja kahjumid. Finantsvaradest ja finantskohustustest (välja arvatud tuletisinstrumendid) tulenev kasum ja kahjum kajastatakse riskikategooriates järgmiselt:</w:t>
      </w:r>
    </w:p>
    <w:p w:rsidR="009569C7" w:rsidRPr="00EC4FA2" w:rsidRDefault="00A834F1" w:rsidP="002A7491">
      <w:pPr>
        <w:numPr>
          <w:ilvl w:val="0"/>
          <w:numId w:val="69"/>
        </w:numPr>
        <w:ind w:left="1134" w:hanging="425"/>
        <w:jc w:val="both"/>
        <w:rPr>
          <w:rFonts w:ascii="Times New Roman" w:hAnsi="Times New Roman"/>
          <w:sz w:val="24"/>
          <w:szCs w:val="24"/>
        </w:rPr>
      </w:pPr>
      <w:r>
        <w:rPr>
          <w:rFonts w:ascii="Times New Roman" w:hAnsi="Times New Roman"/>
          <w:sz w:val="24"/>
        </w:rPr>
        <w:t>intressimäär: sealhulgas laenude ja ettemaksete, hoiuste ja võlaväärtpaberitega (hoitavad või emiteeritud) seotud kauplemine;</w:t>
      </w:r>
    </w:p>
    <w:p w:rsidR="009569C7" w:rsidRPr="00EC4FA2" w:rsidRDefault="00A834F1" w:rsidP="002A7491">
      <w:pPr>
        <w:numPr>
          <w:ilvl w:val="0"/>
          <w:numId w:val="69"/>
        </w:numPr>
        <w:ind w:left="1134" w:hanging="425"/>
        <w:jc w:val="both"/>
        <w:rPr>
          <w:rFonts w:ascii="Times New Roman" w:hAnsi="Times New Roman"/>
          <w:sz w:val="24"/>
          <w:szCs w:val="24"/>
        </w:rPr>
      </w:pPr>
      <w:r>
        <w:rPr>
          <w:rFonts w:ascii="Times New Roman" w:hAnsi="Times New Roman"/>
          <w:sz w:val="24"/>
        </w:rPr>
        <w:t>omakapitaliinstrumendid: sealhulgas aktsiatega, eurofondide noteeringute ja muude omakapitaliinstrumentidega seotud kauplemine;</w:t>
      </w:r>
    </w:p>
    <w:p w:rsidR="009569C7" w:rsidRPr="00EC4FA2" w:rsidRDefault="00A834F1" w:rsidP="002A7491">
      <w:pPr>
        <w:numPr>
          <w:ilvl w:val="0"/>
          <w:numId w:val="69"/>
        </w:numPr>
        <w:ind w:left="1134" w:hanging="425"/>
        <w:jc w:val="both"/>
        <w:rPr>
          <w:rFonts w:ascii="Times New Roman" w:hAnsi="Times New Roman"/>
          <w:sz w:val="24"/>
          <w:szCs w:val="24"/>
        </w:rPr>
      </w:pPr>
      <w:r>
        <w:rPr>
          <w:rFonts w:ascii="Times New Roman" w:hAnsi="Times New Roman"/>
          <w:sz w:val="24"/>
        </w:rPr>
        <w:t>välisvaluutatehingud: sealhulgas tehingud üksnes välisvaluutaga;</w:t>
      </w:r>
    </w:p>
    <w:p w:rsidR="009569C7" w:rsidRPr="00EC4FA2" w:rsidRDefault="00A834F1" w:rsidP="002A7491">
      <w:pPr>
        <w:numPr>
          <w:ilvl w:val="0"/>
          <w:numId w:val="69"/>
        </w:numPr>
        <w:ind w:left="1134" w:hanging="425"/>
        <w:jc w:val="both"/>
        <w:rPr>
          <w:rFonts w:ascii="Times New Roman" w:hAnsi="Times New Roman"/>
          <w:sz w:val="24"/>
          <w:szCs w:val="24"/>
        </w:rPr>
      </w:pPr>
      <w:r>
        <w:rPr>
          <w:rFonts w:ascii="Times New Roman" w:hAnsi="Times New Roman"/>
          <w:sz w:val="24"/>
        </w:rPr>
        <w:t>krediidirisk: sealhulgas krediidiriski vahetustehingut sisaldavate võlakirjadega seotud kauplemine;</w:t>
      </w:r>
    </w:p>
    <w:p w:rsidR="009569C7" w:rsidRPr="00EC4FA2" w:rsidRDefault="00A834F1" w:rsidP="002A7491">
      <w:pPr>
        <w:numPr>
          <w:ilvl w:val="0"/>
          <w:numId w:val="69"/>
        </w:numPr>
        <w:ind w:left="1134" w:hanging="425"/>
        <w:jc w:val="both"/>
        <w:rPr>
          <w:rFonts w:ascii="Times New Roman" w:hAnsi="Times New Roman"/>
          <w:sz w:val="24"/>
          <w:szCs w:val="24"/>
        </w:rPr>
      </w:pPr>
      <w:r>
        <w:rPr>
          <w:rFonts w:ascii="Times New Roman" w:hAnsi="Times New Roman"/>
          <w:sz w:val="24"/>
        </w:rPr>
        <w:t>kaubad: see kirje hõlmab ainult tuletisinstrumente, sest kauplemise eesmärgil hoitavatest kaupadest tulenevat kasumit ja kahjumit tuleb kajastada kirjete „Muud tegevustulud“ või „Muud tegevuskulud“ all vastavalt käesoleva osa punktile 316.</w:t>
      </w:r>
    </w:p>
    <w:p w:rsidR="009569C7" w:rsidRPr="00EC4FA2" w:rsidRDefault="00A834F1" w:rsidP="002A7491">
      <w:pPr>
        <w:numPr>
          <w:ilvl w:val="0"/>
          <w:numId w:val="69"/>
        </w:numPr>
        <w:ind w:left="1134" w:hanging="425"/>
        <w:jc w:val="both"/>
        <w:rPr>
          <w:rFonts w:ascii="Times New Roman" w:hAnsi="Times New Roman"/>
          <w:sz w:val="24"/>
          <w:szCs w:val="24"/>
        </w:rPr>
      </w:pPr>
      <w:r>
        <w:rPr>
          <w:rFonts w:ascii="Times New Roman" w:hAnsi="Times New Roman"/>
          <w:sz w:val="24"/>
        </w:rPr>
        <w:t>muud: kaasa arvatud kauplemine finantsinstrumentidega, mida ei saa liigitada muudesse jaotistesse.</w:t>
      </w:r>
    </w:p>
    <w:p w:rsidR="009569C7" w:rsidRPr="00EC4FA2" w:rsidRDefault="00A834F1" w:rsidP="009569C7">
      <w:pPr>
        <w:pStyle w:val="sub-subtitlenumbered"/>
        <w:jc w:val="both"/>
      </w:pPr>
      <w:bookmarkStart w:id="231" w:name="_Toc467855241"/>
      <w:bookmarkStart w:id="232" w:name="_Toc485887351"/>
      <w:r>
        <w:t>Kauplemisel mittekasutatavatest kohustuslikult õiglases väärtuses muutustega läbi kasumiaruande kajastatud finantsvaradest tulenev kasum või kahjum instrumentide kaupa (16.4.1)</w:t>
      </w:r>
      <w:bookmarkEnd w:id="231"/>
      <w:bookmarkEnd w:id="232"/>
    </w:p>
    <w:p w:rsidR="009569C7" w:rsidRPr="00EC4FA2" w:rsidRDefault="00A834F1" w:rsidP="009569C7">
      <w:pPr>
        <w:pStyle w:val="Baseparagraphnumbered"/>
        <w:tabs>
          <w:tab w:val="left" w:pos="851"/>
        </w:tabs>
        <w:ind w:left="709"/>
      </w:pPr>
      <w:r>
        <w:t>Kauplemisel mittekasutatavatest kohustuslikult õiglases väärtuses muutustega läbi kasumiaruande kajastatud finantsvaradest tulenev kasum või kahjum esitatakse instrumendi liikide lõikes; jaotuse iga kirje on finantsinstrumendi realiseeritud ja realiseerimata netosumma (kasumid miinus kahjumid).</w:t>
      </w:r>
    </w:p>
    <w:p w:rsidR="009569C7" w:rsidRPr="00EC4FA2" w:rsidRDefault="00A834F1" w:rsidP="003A3ED4">
      <w:pPr>
        <w:pStyle w:val="Baseparagraphnumbered"/>
        <w:tabs>
          <w:tab w:val="left" w:pos="851"/>
        </w:tabs>
      </w:pPr>
      <w:r>
        <w:t>Kasum ja kahjum, mis tuleneb finantsvarade ümberliigitamisest amortiseeritud soetusväärtuses kajastatavast arvestusportfellist kauplemisel mittekasutatavatest kohustuslikult õiglases väärtuses muutustega läbi kasumiaruande mõõdetavate finantsvarade arvestusportfelli [IFRS 9 paragrahv 5.6.2], esitatakse kirje „millest: amortiseeritud soetusmaksumuses kajastatud varade ümberliigitamisest tulenev kasum ja kahjum“ all.</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485887352"/>
      <w:r>
        <w:t>Õiglases väärtuses muutustega läbi kasumiaruande kajastatud finantsvaradest ja -kohustustest tulenev kasum ja kahjum instrumentide kaupa (16.5)</w:t>
      </w:r>
      <w:bookmarkEnd w:id="233"/>
      <w:bookmarkEnd w:id="234"/>
      <w:bookmarkEnd w:id="235"/>
      <w:bookmarkEnd w:id="236"/>
    </w:p>
    <w:p w:rsidR="009569C7" w:rsidRPr="00EC4FA2" w:rsidRDefault="00A834F1" w:rsidP="009569C7">
      <w:pPr>
        <w:pStyle w:val="Baseparagraphnumbered"/>
        <w:tabs>
          <w:tab w:val="left" w:pos="851"/>
        </w:tabs>
        <w:ind w:left="709"/>
      </w:pPr>
      <w:r>
        <w:t>Kahjum ja kasum, mis tuleneb õiglases väärtuses muutustega läbi kasumiaruande kajastatud finantsvaradest ja -kohustustest, esitatakse instrumendi liikide kaupa. Krediidiasutused ja investeerimisühingud esitavad realiseeritud ja realiseerimata netokasumi ja -kahjumi ning perioodi jooksul krediidiriski (laenuandja või emitendi enda krediidirisk) muutustest tingitud finantskohustuste õiglase väärtuse muutuse summa, kui enda krediidiriski ei kajastata läbi muu koondkasumi.</w:t>
      </w:r>
    </w:p>
    <w:p w:rsidR="009569C7" w:rsidRPr="00EC4FA2" w:rsidRDefault="00A834F1" w:rsidP="003A3ED4">
      <w:pPr>
        <w:pStyle w:val="Baseparagraphnumbered"/>
        <w:tabs>
          <w:tab w:val="left" w:pos="851"/>
        </w:tabs>
      </w:pPr>
      <w:r>
        <w:lastRenderedPageBreak/>
        <w:t>Kui õiglases väärtuses mõõdetavat krediidituletisinstrumenti kasutatakse sellel juhul õiglases väärtuses muutustega läbi kasumiaruande kajastatud kogu finantsinstrumendi või selle osa krediidiriski juhtimiseks, esitatakse finantsinstrumendi kajastamisest tulenev kasum või kahjum kirje „millest: riskimaanduse eesmärgil õiglases väärtuses muutustega läbi kasumiaruande kajastatud finantsvarade ja -kohustuste kajastamisest tulenev netokasum või (–) netokahjum“ all. Kõnealuste finantsinstrumentide õiglase väärtuse hilisemast muutusest tulenev kasum või kahjum esitatakse kirje „millest: netokasum või (–) netokahjum pärast riskimaanduse eesmärgil õiglases väärtuses muutustega läbi kasumiaruande kajastatud finantsvarade ja -kohustuste kajastamist“ all.</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485887353"/>
      <w:r>
        <w:t>Riskimaandamise arvestusest tulenevad kasumid ja kahjumid (16.6)</w:t>
      </w:r>
      <w:bookmarkEnd w:id="237"/>
      <w:bookmarkEnd w:id="238"/>
      <w:bookmarkEnd w:id="239"/>
      <w:bookmarkEnd w:id="240"/>
    </w:p>
    <w:p w:rsidR="009569C7" w:rsidRPr="00EC4FA2" w:rsidRDefault="00A834F1" w:rsidP="003A3ED4">
      <w:pPr>
        <w:pStyle w:val="Baseparagraphnumbered"/>
        <w:tabs>
          <w:tab w:val="left" w:pos="851"/>
        </w:tabs>
      </w:pPr>
      <w:r>
        <w:t>Riskimaandamise arvestuse kogu kasum ja kahjum, välja arvatud intressitulu või -kulu puhashinna kasutamise korral, esitatakse riskimaandamise arvestuse liikide kaupa: õiglase väärtuse riskimaandus, rahavoo riskimaandus ning välismaistesse äriüksustesse tehtud netoinvesteeringute riskimaandus. Õiglase väärtuse riskimaandusega seotud kasum ja kahjum esitatakse riskimaandamisinstrumendi ja maandatava instrumendi kaupa. Riskimaandamisinstrumentide kasum ja kahjum ei hõlma selliste riskimaandamisinstrumentide elementidega seotud kasumit ja kahjumit, mida ei kajastata riskimaandamisinstrumentidena vastavalt IFRS 9 paragrahvile 6.2.4. Need kajastamata riskimaandamisinstrumendid kajastatakse vastavalt käesoleva osa punktile 60. Riskimaandamise arvestuse kasum ja kahjum hõlmab ka tasaarvestatavate riskipositsioonidega kirjerühmade riskimaanduse (netopositsioonide ris</w:t>
      </w:r>
      <w:r w:rsidR="000A0D60">
        <w:t>kimaandus) kasumit ja kahjumit.</w:t>
      </w:r>
    </w:p>
    <w:p w:rsidR="009569C7" w:rsidRPr="00EC4FA2" w:rsidRDefault="00A834F1" w:rsidP="003A3ED4">
      <w:pPr>
        <w:pStyle w:val="Baseparagraphnumbered"/>
        <w:tabs>
          <w:tab w:val="left" w:pos="851"/>
        </w:tabs>
      </w:pPr>
      <w:r>
        <w:t>„Maandatava instrumendi õiglase väärtuse muutused, mis tulenevad maandatud riskist“ hõlmab ka maandatavate instrumentidega seotud kasumit ja kahjumit, kui need instrumendid on vastavalt IFRS 9 paragrahvile 4.1.2A [IFRS 9 paragrahv 6.5.8] õiglases väärtuses läbi muu koondkasumi mõõdetud võlainstrumendid.</w:t>
      </w:r>
    </w:p>
    <w:p w:rsidR="009569C7" w:rsidRPr="00EC4FA2" w:rsidRDefault="00A834F1" w:rsidP="003A3ED4">
      <w:pPr>
        <w:pStyle w:val="Baseparagraphnumbered"/>
        <w:tabs>
          <w:tab w:val="left" w:pos="851"/>
        </w:tabs>
      </w:pPr>
      <w:r>
        <w:t>BADil põhineva siseriikliku GAAPi kohaselt esitatakse selles vormis andmed riskimaanduse liikide kaupa, tingimusel et see on kooskõlas kohaldatavate raamatupidamisnõuetega.</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485887354"/>
      <w:r>
        <w:t>Mittefinantsvarade väärtuse langus (16.7)</w:t>
      </w:r>
      <w:bookmarkEnd w:id="241"/>
      <w:bookmarkEnd w:id="242"/>
      <w:bookmarkEnd w:id="243"/>
      <w:bookmarkEnd w:id="244"/>
    </w:p>
    <w:p w:rsidR="009569C7" w:rsidRPr="00EC4FA2" w:rsidRDefault="00A834F1" w:rsidP="009569C7">
      <w:pPr>
        <w:pStyle w:val="Baseparagraphnumbered"/>
        <w:tabs>
          <w:tab w:val="left" w:pos="851"/>
        </w:tabs>
        <w:ind w:left="709"/>
      </w:pPr>
      <w:r>
        <w:t>„Lisandumine“ kajastatakse juhul, kui arvestusportfelli või varade põhikategooria puhul kajastatakse asjaomasel perioodil varade väärtuse languse hindamise tulemusena netokulu. „Tühistamine“ kajastatakse juhul, kui arvestusportfelli või varade põhikategooria puhul kajastatakse asjaomasel perioodil varade väärtuse languse hindamise tulemusena netotulu.</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485887355"/>
      <w:r>
        <w:t>Raamatupidamisarvestusekohase ja kapitalinõuete määruse kohase konsolideerimise kooskõlastav võrdlemine (17)</w:t>
      </w:r>
      <w:bookmarkEnd w:id="245"/>
      <w:bookmarkEnd w:id="246"/>
      <w:bookmarkEnd w:id="247"/>
      <w:bookmarkEnd w:id="248"/>
    </w:p>
    <w:p w:rsidR="009569C7" w:rsidRPr="00EC4FA2" w:rsidRDefault="00A834F1" w:rsidP="009569C7">
      <w:pPr>
        <w:pStyle w:val="Baseparagraphnumbered"/>
        <w:tabs>
          <w:tab w:val="left" w:pos="851"/>
        </w:tabs>
        <w:ind w:left="709"/>
      </w:pPr>
      <w:r>
        <w:t xml:space="preserve">„Raamatupidamisarvestusekohane konsolideerimine“ hõlmab varade, kohustuste ja omakapitali bilansilist väärtust ning ka bilansiväliste </w:t>
      </w:r>
      <w:r>
        <w:lastRenderedPageBreak/>
        <w:t>riskipositsioonide nimiväärtusi, mis on esitatud vastavalt raamatupidamisarvestusekohasele konsolideerimisele; see tähendab, et konsolideerimine hõlmab kindlustusandjatest ja finantssektorivälistest äriühingutest tütarettevõtjaid. Krediidiasutused ja investeerimisühingud kasutavad tütarettevõtjate, ühisettevõtjate ja sidusettevõtjate kohta andmete esitamisel samu meetodeid kui oma finantsaruannete puhul.</w:t>
      </w:r>
    </w:p>
    <w:p w:rsidR="009569C7" w:rsidRPr="00EC4FA2" w:rsidRDefault="00A834F1" w:rsidP="009569C7">
      <w:pPr>
        <w:pStyle w:val="Baseparagraphnumbered"/>
        <w:tabs>
          <w:tab w:val="left" w:pos="851"/>
        </w:tabs>
        <w:ind w:left="709"/>
      </w:pPr>
      <w:r>
        <w:t>Selle vormi kirje „investeeringud tütarettevõtjatesse, ühisettevõtjatesse ja sidusettevõtjatesse“ ei hõlma tütarettevõtjaid, kuna raamatupidamisarvestusekohasel konsolideerimisel on kõik tütarettevõt</w:t>
      </w:r>
      <w:r w:rsidR="000A0D60">
        <w:t>jad täielikult konsolideeritud.</w:t>
      </w:r>
    </w:p>
    <w:p w:rsidR="009569C7" w:rsidRPr="00EC4FA2" w:rsidRDefault="00A834F1" w:rsidP="009569C7">
      <w:pPr>
        <w:pStyle w:val="Baseparagraphnumbered"/>
        <w:tabs>
          <w:tab w:val="left" w:pos="851"/>
        </w:tabs>
        <w:ind w:left="709"/>
      </w:pPr>
      <w:r>
        <w:t>Kirje „edasikindlustus- ja kindlustuslepingute varad“ hõlmab nii ülekantud edasikindlustuslepingute kohaseid varasid ning, juhul kui neid on, ka varasid, mis on seotud sõlmitud kindlustus- ja edasikindlustuslepingutega.</w:t>
      </w:r>
    </w:p>
    <w:p w:rsidR="009569C7" w:rsidRPr="00EC4FA2" w:rsidRDefault="00A834F1" w:rsidP="009569C7">
      <w:pPr>
        <w:pStyle w:val="Baseparagraphnumbered"/>
        <w:tabs>
          <w:tab w:val="left" w:pos="851"/>
        </w:tabs>
        <w:ind w:left="709"/>
      </w:pPr>
      <w:r>
        <w:t>Kirje „kindlustus- ja edasikindlustuslepingute kohustused“ hõlmab sõlmitud kindlustus- ja edasikindlustuslepingute kohaseid kohustusi.</w:t>
      </w:r>
    </w:p>
    <w:p w:rsidR="009569C7" w:rsidRPr="00EC4FA2" w:rsidRDefault="00A834F1" w:rsidP="009569C7">
      <w:pPr>
        <w:pStyle w:val="subtitlenumbered"/>
        <w:jc w:val="both"/>
      </w:pPr>
      <w:bookmarkStart w:id="249" w:name="_Toc467855246"/>
      <w:bookmarkStart w:id="250" w:name="_Toc485887356"/>
      <w:r>
        <w:t>Viivisnõuded (18)</w:t>
      </w:r>
      <w:bookmarkEnd w:id="249"/>
      <w:bookmarkEnd w:id="250"/>
    </w:p>
    <w:p w:rsidR="009569C7" w:rsidRPr="00EC4FA2" w:rsidRDefault="00A834F1" w:rsidP="009569C7">
      <w:pPr>
        <w:pStyle w:val="Baseparagraphnumbered"/>
        <w:tabs>
          <w:tab w:val="left" w:pos="851"/>
        </w:tabs>
        <w:ind w:left="709"/>
      </w:pPr>
      <w:r>
        <w:t>Vormi 18 puhul on viivisnõuded need nõuded, mis vastavad ühele järgmistest kriteeriumidest:</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olulised nõuded, mille tasumise täh</w:t>
      </w:r>
      <w:r w:rsidR="000A0D60">
        <w:rPr>
          <w:rFonts w:ascii="Times New Roman" w:hAnsi="Times New Roman"/>
          <w:sz w:val="24"/>
        </w:rPr>
        <w:t>taega on ületatud üle 90 päeva;</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hinnangu kohaselt ei tasu võlgnik tõenäoliselt tema vastu olevaid krediidi iseloomuga nõudeid täielikult, kui tagatist ei realiseerita, hoolimata mis tahes tähtaja ületanud summa olemasolust või sellest, mitu </w:t>
      </w:r>
      <w:r w:rsidR="000A0D60">
        <w:rPr>
          <w:rFonts w:ascii="Times New Roman" w:hAnsi="Times New Roman"/>
          <w:sz w:val="24"/>
        </w:rPr>
        <w:t>päeva see on ületanud tähtaega.</w:t>
      </w:r>
    </w:p>
    <w:p w:rsidR="009569C7" w:rsidRPr="00EC4FA2" w:rsidRDefault="00A834F1" w:rsidP="009569C7">
      <w:pPr>
        <w:pStyle w:val="Baseparagraphnumbered"/>
        <w:tabs>
          <w:tab w:val="left" w:pos="851"/>
        </w:tabs>
        <w:ind w:left="709"/>
      </w:pPr>
      <w:r>
        <w:t>Nõude liigitamist viivisnõudeks kohaldatakse hoolimata sellest, kas nõue on regulatiivsel eesmärgil vastavalt kapitalinõuete määruse artiklile 178 makseviivituses või raamatupidamisarvestuslikul eesmärgil kohaldatava raamatupidamistav</w:t>
      </w:r>
      <w:r w:rsidR="000A0D60">
        <w:t>a kohaselt langenud väärtusega.</w:t>
      </w:r>
    </w:p>
    <w:p w:rsidR="009569C7" w:rsidRPr="00EC4FA2" w:rsidRDefault="00A834F1" w:rsidP="009569C7">
      <w:pPr>
        <w:pStyle w:val="Baseparagraphnumbered"/>
        <w:tabs>
          <w:tab w:val="left" w:pos="851"/>
        </w:tabs>
        <w:ind w:left="709"/>
      </w:pPr>
      <w:r>
        <w:t>Nõudeid, mida kapitalinõuete määruse artikli 178 kohaselt käsitatakse olevat makseviivituses, ja nõudeid, mis kohaldatava raamatupidamistava kohaselt on langenud väärtusega, käsitatakse alati viivisnõuetena. IFRSi kohaselt on vormi 18 puhul langenud väärtusega nõuded sellised nõuded, mille väärtus on krediidiriski tõttu langenud (3. etapp), sealhulgas ostetud või tekitatud krediidiriski tõttu langenud väärtusega varad. Muudesse väärtuse languse etappidesse kui 3. etapp kuuluvaid nõudeid käsitatakse viivisnõuetena, kui need vastava</w:t>
      </w:r>
      <w:r w:rsidR="000A0D60">
        <w:t>d viivisnõuete kriteeriumidele.</w:t>
      </w:r>
    </w:p>
    <w:p w:rsidR="009569C7" w:rsidRPr="00EC4FA2" w:rsidRDefault="00A834F1" w:rsidP="009569C7">
      <w:pPr>
        <w:pStyle w:val="Baseparagraphnumbered"/>
        <w:tabs>
          <w:tab w:val="left" w:pos="851"/>
        </w:tabs>
        <w:ind w:left="709"/>
      </w:pPr>
      <w:r>
        <w:t>Nõuded liigitatakse viivisnõuete kategooriasse nende täissummas ja võtmata arvesse ühegi tagatise olemasolu. Olulisust hinnatakse vastavalt kapitalinõuete määruse artiklile 178.</w:t>
      </w:r>
    </w:p>
    <w:p w:rsidR="009569C7" w:rsidRPr="00EC4FA2" w:rsidRDefault="00A834F1" w:rsidP="009569C7">
      <w:pPr>
        <w:pStyle w:val="Baseparagraphnumbered"/>
        <w:tabs>
          <w:tab w:val="left" w:pos="851"/>
        </w:tabs>
        <w:ind w:left="709"/>
      </w:pPr>
      <w:r>
        <w:t xml:space="preserve">Vormi 18 puhul hõlmavad nõuded kõiki võlainstrumente (võlaväärtpaberid ning laenud ja ettemaksed, mis hõlmavad ka nõudeid keskpankadele ja muid </w:t>
      </w:r>
      <w:r>
        <w:lastRenderedPageBreak/>
        <w:t>nõudmiseni hoiuseid) ja bilansiväliseid riskipositsioone, välja arvatud kauplemis</w:t>
      </w:r>
      <w:r w:rsidR="000A0D60">
        <w:t>eks hoitavaid riskipositsioone.</w:t>
      </w:r>
    </w:p>
    <w:p w:rsidR="009569C7" w:rsidRPr="00EC4FA2" w:rsidRDefault="00A834F1" w:rsidP="009569C7">
      <w:pPr>
        <w:pStyle w:val="Baseparagraphnumbered"/>
        <w:tabs>
          <w:tab w:val="left" w:pos="851"/>
        </w:tabs>
        <w:ind w:left="709"/>
      </w:pPr>
      <w:r>
        <w:t>Võlainstrumente kajastatakse järgmistes arvestusportfellides: a) soetusmaksumuses või amortiseeritud soetusmaksumuses mõõdetud võlainstrumendid, b) õiglases väärtuses läbi muu koondkasumi mõõdetud või omakapitalis kajastatud võlainstrumendid, mille suhtes kohaldatakse väärtuse langust ja c) range LOCOMi kohaselt või õiglases väärtuses muutustega läbi kasumiaruande või omakapitalis kajastatud võlainstrumendid, mille suhtes ei kohaldata väärtuse langust, vastavalt käesoleva osa punktis 233 esitatud kriteeriumidele. Iga kategooria esitatakse instru</w:t>
      </w:r>
      <w:r w:rsidR="000A0D60">
        <w:t>mentide ja vastaspoolte lõikes.</w:t>
      </w:r>
    </w:p>
    <w:p w:rsidR="009569C7" w:rsidRPr="00EC4FA2" w:rsidRDefault="00A834F1" w:rsidP="009569C7">
      <w:pPr>
        <w:pStyle w:val="Baseparagraphnumbered"/>
        <w:tabs>
          <w:tab w:val="left" w:pos="851"/>
        </w:tabs>
        <w:ind w:left="709"/>
      </w:pPr>
      <w:r>
        <w:t>IFRSi ja kohaldatava BADil põhineva siseriikliku GAAPi kohaselt hõlmavad bilansivälised riskipositsioonid järgmiseid tühistat</w:t>
      </w:r>
      <w:r w:rsidR="000A0D60">
        <w:t>avaid ja tühistamatuid kirjeid:</w:t>
      </w:r>
    </w:p>
    <w:p w:rsidR="009569C7" w:rsidRPr="00EC4FA2" w:rsidRDefault="00A834F1" w:rsidP="009569C7">
      <w:pPr>
        <w:pStyle w:val="Text1"/>
        <w:numPr>
          <w:ilvl w:val="1"/>
          <w:numId w:val="40"/>
        </w:numPr>
        <w:ind w:left="1134" w:hanging="425"/>
      </w:pPr>
      <w:r>
        <w:t>võetud siduvad laenuandmiskohustused;</w:t>
      </w:r>
    </w:p>
    <w:p w:rsidR="009569C7" w:rsidRPr="00EC4FA2" w:rsidRDefault="00A834F1" w:rsidP="009569C7">
      <w:pPr>
        <w:pStyle w:val="Text1"/>
        <w:numPr>
          <w:ilvl w:val="1"/>
          <w:numId w:val="40"/>
        </w:numPr>
        <w:ind w:left="1134" w:hanging="425"/>
      </w:pPr>
      <w:r>
        <w:t>antud finantsgarantiid;</w:t>
      </w:r>
    </w:p>
    <w:p w:rsidR="009569C7" w:rsidRPr="00EC4FA2" w:rsidRDefault="00A834F1" w:rsidP="009569C7">
      <w:pPr>
        <w:pStyle w:val="Text1"/>
        <w:numPr>
          <w:ilvl w:val="1"/>
          <w:numId w:val="40"/>
        </w:numPr>
        <w:ind w:left="1134" w:hanging="425"/>
      </w:pPr>
      <w:r>
        <w:t>muud võetud siduvad kohustused.</w:t>
      </w:r>
    </w:p>
    <w:p w:rsidR="009569C7" w:rsidRPr="00EC4FA2" w:rsidRDefault="00A834F1" w:rsidP="003A3ED4">
      <w:pPr>
        <w:pStyle w:val="Baseparagraphnumbered"/>
        <w:tabs>
          <w:tab w:val="left" w:pos="851"/>
        </w:tabs>
      </w:pPr>
      <w:r>
        <w:t>Võlainstrumente, mis on liigitatud IFRS 5 kohaselt müügiks hoitavaks, kajastatakse eral</w:t>
      </w:r>
      <w:r w:rsidR="000A0D60">
        <w:t>di.</w:t>
      </w:r>
    </w:p>
    <w:p w:rsidR="009569C7" w:rsidRPr="00EC4FA2" w:rsidRDefault="00A834F1" w:rsidP="003A3ED4">
      <w:pPr>
        <w:pStyle w:val="Baseparagraphnumbered"/>
        <w:tabs>
          <w:tab w:val="left" w:pos="851"/>
        </w:tabs>
      </w:pPr>
      <w:r>
        <w:t>Võlainstrumentide puhul kajastatakse vormis 18 „bilansiline brutoväärtus“ vastavalt käesoleva lisa 1. osa punktis 34 määratletule. Bilansiväliste riskipositsioonide puhul kajastatakse nimiväärtus vastavalt käesoleva lisa käesoleva osa punktis 118 määratletule.</w:t>
      </w:r>
    </w:p>
    <w:p w:rsidR="009569C7" w:rsidRPr="00EC4FA2" w:rsidRDefault="00A834F1" w:rsidP="003A3ED4">
      <w:pPr>
        <w:pStyle w:val="Baseparagraphnumbered"/>
        <w:tabs>
          <w:tab w:val="left" w:pos="851"/>
        </w:tabs>
      </w:pPr>
      <w:r>
        <w:t>Vormi 18 puhul on nõue „tähtajaks tasumata“, kui see vastab käesoleva osa punkti 96 kriteeriumidele.</w:t>
      </w:r>
    </w:p>
    <w:p w:rsidR="009569C7" w:rsidRPr="00EC4FA2" w:rsidRDefault="00A834F1" w:rsidP="003A3ED4">
      <w:pPr>
        <w:pStyle w:val="Baseparagraphnumbered"/>
        <w:tabs>
          <w:tab w:val="left" w:pos="851"/>
        </w:tabs>
      </w:pPr>
      <w:r>
        <w:t xml:space="preserve"> Vormi 18 puhul tähendab „võlgnik“ võlgnikku kapitalinõuete määruse artikli 178 tähenduses.</w:t>
      </w:r>
    </w:p>
    <w:p w:rsidR="009569C7" w:rsidRPr="00EC4FA2" w:rsidRDefault="00A834F1" w:rsidP="003A3ED4">
      <w:pPr>
        <w:pStyle w:val="Baseparagraphnumbered"/>
        <w:tabs>
          <w:tab w:val="left" w:pos="851"/>
        </w:tabs>
      </w:pPr>
      <w:r>
        <w:t xml:space="preserve"> Siduvat kohustust käsitatakse viivisnõudena nimiväärtuses, kui selle kasutusse võtmise või muu kasutamise korral kaasneksid sellega nõuded, mille puhul võib esineda risk, et neid ei maksta täies ulatuses tagas</w:t>
      </w:r>
      <w:r w:rsidR="000A0D60">
        <w:t>i ilma tagatist realiseerimata.</w:t>
      </w:r>
    </w:p>
    <w:p w:rsidR="009569C7" w:rsidRPr="00EC4FA2" w:rsidRDefault="00A834F1" w:rsidP="009569C7">
      <w:pPr>
        <w:pStyle w:val="Baseparagraphnumbered"/>
        <w:tabs>
          <w:tab w:val="left" w:pos="851"/>
        </w:tabs>
        <w:ind w:left="709"/>
      </w:pPr>
      <w:r>
        <w:t xml:space="preserve"> Antud finantsgarantiisid käsitatakse viivisnõuetena nimiväärtuses, kui finantsgarantii puhul on risk, et garantii saanud pool realiseerib garantii, sealhulgas eelkõige juhul, kui aluseks olev garanteeritud nõue vastab punktis 213 osutatud kriteeriumidele, mille põhjal seda nõuet käsitatakse viivisnõudena. Kui garantii saanud pool on finantsgarantiilepingu alusel tasumisele kuuluva summa tähtajaks tasumata jätnud, hindab aruandev krediidiasutus või investeerimisühing, kas sellest tulenev nõue vastab viivisnõude kriteeriumidele.</w:t>
      </w:r>
    </w:p>
    <w:p w:rsidR="009569C7" w:rsidRPr="00EC4FA2" w:rsidRDefault="00A834F1" w:rsidP="009569C7">
      <w:pPr>
        <w:pStyle w:val="Baseparagraphnumbered"/>
        <w:tabs>
          <w:tab w:val="left" w:pos="851"/>
        </w:tabs>
        <w:ind w:left="709"/>
      </w:pPr>
      <w:r>
        <w:t xml:space="preserve"> Nõuded, mis on liigitatud punkti 213 kohaselt viivisnõueteks, liigitatakse viivisnõueteks kas individuaalselt („tehingupõhiselt“) või konkreetse võlgniku </w:t>
      </w:r>
      <w:r>
        <w:lastRenderedPageBreak/>
        <w:t>vastu oleva kogunõude põhjal („võlgnikupõhiselt“). Viivisnõuete liigitamisel individuaalselt või konkreetse võlgniku vastu oleva nõudena kasutatakse eri liiki viivisnõuete puhul jä</w:t>
      </w:r>
      <w:r w:rsidR="000A0D60">
        <w:t>rgmisi liigitamise põhimõtteid:</w:t>
      </w:r>
    </w:p>
    <w:p w:rsidR="009569C7" w:rsidRPr="00EC4FA2" w:rsidRDefault="00A834F1" w:rsidP="009569C7">
      <w:pPr>
        <w:pStyle w:val="Text1"/>
        <w:numPr>
          <w:ilvl w:val="2"/>
          <w:numId w:val="40"/>
        </w:numPr>
        <w:ind w:left="1134" w:hanging="425"/>
      </w:pPr>
      <w:r>
        <w:t>viivisnõuete puhul, mis on liigitatud kapitalinõuete määruse artikli 178 kohaselt makseviivituses olevaks, kasutatakse kõnealus</w:t>
      </w:r>
      <w:r w:rsidR="000A0D60">
        <w:t>es artiklis esitatud liigitust;</w:t>
      </w:r>
    </w:p>
    <w:p w:rsidR="009569C7" w:rsidRPr="00EC4FA2" w:rsidRDefault="00A834F1" w:rsidP="009569C7">
      <w:pPr>
        <w:pStyle w:val="Text1"/>
        <w:numPr>
          <w:ilvl w:val="2"/>
          <w:numId w:val="40"/>
        </w:numPr>
        <w:ind w:left="1134" w:hanging="425"/>
      </w:pPr>
      <w:r>
        <w:t>nõuete puhul, mis on liigitatud viivisnõueteks tulenevalt väärtuse langusest vastavalt kohaldatavale raamatupidamistavale, kasutatakse kohaldatava raamatupidamistava kohaseid väärtuse languse kajastamise kriteeriume;</w:t>
      </w:r>
    </w:p>
    <w:p w:rsidR="009569C7" w:rsidRPr="00EC4FA2" w:rsidRDefault="00A834F1" w:rsidP="009569C7">
      <w:pPr>
        <w:pStyle w:val="Text1"/>
        <w:numPr>
          <w:ilvl w:val="2"/>
          <w:numId w:val="40"/>
        </w:numPr>
        <w:ind w:left="1134" w:hanging="425"/>
      </w:pPr>
      <w:r>
        <w:t>muude viivisnõuete suhtes, mida ei ole liigitatud makseviivituses ega langenud väärtusega olevaks, kohaldatakse kapitalinõuete määruse artikli 178 sätteid, mis käsitlevad m</w:t>
      </w:r>
      <w:r w:rsidR="000A0D60">
        <w:t>akseviivituses olevaid nõudeid.</w:t>
      </w:r>
    </w:p>
    <w:p w:rsidR="009569C7" w:rsidRPr="00EC4FA2" w:rsidRDefault="00A834F1" w:rsidP="009569C7">
      <w:pPr>
        <w:pStyle w:val="Baseparagraphnumbered"/>
        <w:tabs>
          <w:tab w:val="left" w:pos="851"/>
        </w:tabs>
        <w:ind w:left="709"/>
      </w:pPr>
      <w:r>
        <w:t xml:space="preserve"> Kui krediidiasutusel või investeerimisühingul on võlgniku suhtes bilansilisi riskipositsioone, mille tasumise tähtaega on ületatud rohkem kui 90 päeva ja kõnealuste tähtajaks tasumata nõuete bilansiline brutoväärtus moodustab rohkem kui 20 % kõigi asjaomase võlgniku suhtes olevate bilansiliste riskipositsioonide bilansilisest brutoväärtusest, käsitatakse kõiki asjaomase võlgniku suhtes olevaid bilansilisi ja bilansiväliseid riskipositsioone viivisnõuetena. Kui võlgnik kuulub konsolideerimisgruppi, tuleb hinnata vajadust käsitada viivisnõuetena ka konsolideerimisgruppi kuuluvate muude üksuste suhtes olevaid riskipositsioone, kui neid juba ei käsitata olevat langenud väärtusega või makseviivituses vastavalt kapitalinõuete määruse artiklile 178, välja arvatud riskipositsioone, mis on seotud eraldiseisvate vaidlustega, mis ei ole s</w:t>
      </w:r>
      <w:r w:rsidR="000A0D60">
        <w:t>eotud vastaspoole maksevõimega.</w:t>
      </w:r>
    </w:p>
    <w:p w:rsidR="009569C7" w:rsidRPr="00EC4FA2" w:rsidRDefault="00A834F1" w:rsidP="003A3ED4">
      <w:pPr>
        <w:pStyle w:val="Baseparagraphnumbered"/>
        <w:tabs>
          <w:tab w:val="left" w:pos="851"/>
        </w:tabs>
      </w:pPr>
      <w:r>
        <w:t>Nõudeid ei käsitata enam viivisnõuetena, kui täidetud on kõik järgmised tingimused:</w:t>
      </w:r>
    </w:p>
    <w:p w:rsidR="009569C7" w:rsidRPr="00EC4FA2" w:rsidRDefault="00A834F1" w:rsidP="009569C7">
      <w:pPr>
        <w:pStyle w:val="Text1"/>
        <w:numPr>
          <w:ilvl w:val="1"/>
          <w:numId w:val="41"/>
        </w:numPr>
        <w:tabs>
          <w:tab w:val="left" w:pos="1276"/>
        </w:tabs>
        <w:ind w:left="1134" w:hanging="426"/>
      </w:pPr>
      <w:r>
        <w:t>nõue vastab väljumiskriteeriumidele, mida aruandev krediidiasutus või investeerimisühing kohaldab langenud väärtusega ja makseviivituses olevana vastavalt kohaldatava raamatupidamistavale ja kapitalinõuete määruse artiklile 178 liigitamise lõpetamiseks;</w:t>
      </w:r>
    </w:p>
    <w:p w:rsidR="009569C7" w:rsidRPr="00EC4FA2" w:rsidRDefault="00A834F1" w:rsidP="009569C7">
      <w:pPr>
        <w:pStyle w:val="Text1"/>
        <w:numPr>
          <w:ilvl w:val="1"/>
          <w:numId w:val="41"/>
        </w:numPr>
        <w:tabs>
          <w:tab w:val="left" w:pos="1276"/>
        </w:tabs>
        <w:ind w:left="1134" w:hanging="426"/>
      </w:pPr>
      <w:r>
        <w:t>võlgniku olukord on paranenud niivõrd, et tõenäoliselt tehakse tagasimakse täies mahus vastavalt algsetele või vajaduse korral muudetud tingimustele;</w:t>
      </w:r>
    </w:p>
    <w:p w:rsidR="009569C7" w:rsidRPr="00EC4FA2" w:rsidRDefault="00A834F1" w:rsidP="009569C7">
      <w:pPr>
        <w:pStyle w:val="Text1"/>
        <w:numPr>
          <w:ilvl w:val="1"/>
          <w:numId w:val="41"/>
        </w:numPr>
        <w:tabs>
          <w:tab w:val="left" w:pos="1276"/>
        </w:tabs>
        <w:ind w:left="1134" w:hanging="426"/>
      </w:pPr>
      <w:r>
        <w:t>võlgnikul ei ole ühtegi tähtajaks tasumata summat, mille tasumise tähtaega o</w:t>
      </w:r>
      <w:r w:rsidR="000A0D60">
        <w:t>n ületatud rohkem kui 90 päeva.</w:t>
      </w:r>
    </w:p>
    <w:p w:rsidR="009569C7" w:rsidRPr="00EC4FA2" w:rsidRDefault="00A834F1" w:rsidP="003A3ED4">
      <w:pPr>
        <w:pStyle w:val="Baseparagraphnumbered"/>
        <w:tabs>
          <w:tab w:val="left" w:pos="851"/>
        </w:tabs>
      </w:pPr>
      <w:r>
        <w:t>Nõuet liigitatakse viivisnõudeks seni, kuni käesoleva lisa käesoleva osa punkti 228 alapunktide a, b ja c tingimused ei ole täidetud, isegi kui nõue vastab juba viivisnõudena liigitamise lõpetamise kriteeriumidele, mida aruandev krediidiasutus või investeerimisühing kohaldab langenud väärtusega või makseviivituses olevana liigitamiseks vastavalt kohaldatavale raamatupidamistavale või kapita</w:t>
      </w:r>
      <w:r w:rsidR="000A0D60">
        <w:t>linõuete määruse artiklile 178.</w:t>
      </w:r>
    </w:p>
    <w:p w:rsidR="009569C7" w:rsidRPr="00EC4FA2" w:rsidRDefault="00A834F1" w:rsidP="003A3ED4">
      <w:pPr>
        <w:pStyle w:val="Baseparagraphnumbered"/>
        <w:tabs>
          <w:tab w:val="left" w:pos="851"/>
        </w:tabs>
      </w:pPr>
      <w:r>
        <w:lastRenderedPageBreak/>
        <w:t>Viivisnõude liigitamine IFRS 5 kohaseks müügiks hoitavaks põhivaraks ei lõpeta selle liigitamist viivisnõudeks.</w:t>
      </w:r>
    </w:p>
    <w:p w:rsidR="009569C7" w:rsidRPr="00EC4FA2" w:rsidRDefault="00A834F1" w:rsidP="009569C7">
      <w:pPr>
        <w:pStyle w:val="Baseparagraphnumbered"/>
        <w:tabs>
          <w:tab w:val="left" w:pos="851"/>
        </w:tabs>
        <w:ind w:left="709"/>
      </w:pPr>
      <w:r>
        <w:t xml:space="preserve"> Makseraskuste tõttu restruktureerimise meetmete rakendamine viivisnõuete suhtes ei lõpeta nõuete käsitamist viivisnõuetena. Kui viivisnõuete suhtes rakendatakse makseraskuste tõttu restruktureerimise meetmeid, nagu osutatud punktis 262, ei käsitata neid nõudeid enam viivisnõuetena, kui täidetud on kõik järgmised tingimused:</w:t>
      </w:r>
    </w:p>
    <w:p w:rsidR="009569C7" w:rsidRPr="00EC4FA2" w:rsidRDefault="00A834F1" w:rsidP="009569C7">
      <w:pPr>
        <w:pStyle w:val="Text1"/>
        <w:numPr>
          <w:ilvl w:val="0"/>
          <w:numId w:val="51"/>
        </w:numPr>
        <w:ind w:left="1134"/>
      </w:pPr>
      <w:r>
        <w:t>krediidiasutus või investeerimisühing ei käsita nõudeid langenud väärtusega või makseviivituses olevana vastavalt kohaldatavale raamatupidamistavale ja kapita</w:t>
      </w:r>
      <w:r w:rsidR="000A0D60">
        <w:t>linõuete määruse artiklile 178;</w:t>
      </w:r>
    </w:p>
    <w:p w:rsidR="009569C7" w:rsidRPr="00EC4FA2" w:rsidRDefault="00A834F1" w:rsidP="009569C7">
      <w:pPr>
        <w:pStyle w:val="Text1"/>
        <w:numPr>
          <w:ilvl w:val="0"/>
          <w:numId w:val="51"/>
        </w:numPr>
        <w:ind w:left="1134"/>
      </w:pPr>
      <w:r>
        <w:t>on möödunud aasta kas makseraskuste tõttu restruktureerimise meetmete rakendamisest või nõuete liigitamisest viivisnõueteks, olenevalt sellest kumb toimus hiljem;</w:t>
      </w:r>
    </w:p>
    <w:p w:rsidR="009569C7" w:rsidRPr="00EC4FA2" w:rsidRDefault="00A834F1" w:rsidP="009569C7">
      <w:pPr>
        <w:pStyle w:val="Text1"/>
        <w:numPr>
          <w:ilvl w:val="0"/>
          <w:numId w:val="51"/>
        </w:numPr>
        <w:ind w:left="1134"/>
      </w:pPr>
      <w:r>
        <w:t>pärast makseraskuste tõttu restruktureerimise meetmete rakendamist ei ole ühtegi tähtajaks tasumata summat ega kahtlust seoses nõude täieliku tagasimaksmisega vastavalt tingimustele, mida kohaldatakse pärast makseraskuste tõttu restruktureerimist. Kahtluste puudumine tehakse kindlaks pärast seda, kui krediidiasutus või investeerimisühing on analüüsinud võlgniku finantsseisundit. Kahtlused võidakse lugeda lõppenuks, kui võlgnik on tasunud (oma korrapäraste maksete kaudu vastavalt tingimustele, mida kohaldatakse pärast makseraskuste tõttu restruktureerimist) kokku summa, mis on võrdne summaga, mis eelnevalt oli tähtajaks tasumata (kui oli tähtajaks tasumata summasid) või mis on maha kantud (kui tähtajaks tasumata summasid ei olnud) makseraskuste tõttu restruktureerimise meetmete alusel, või kui võlgnik on muul viisil tõendanud oma suutlikkust täita pärast makseraskuste tõttu restrukturee</w:t>
      </w:r>
      <w:r w:rsidR="000A0D60">
        <w:t>rimist kohaldatavaid tingimusi.</w:t>
      </w:r>
    </w:p>
    <w:p w:rsidR="009569C7" w:rsidRPr="00EC4FA2" w:rsidRDefault="00A834F1" w:rsidP="009569C7">
      <w:pPr>
        <w:pStyle w:val="Text1"/>
        <w:ind w:left="709" w:firstLine="1"/>
      </w:pPr>
      <w:r>
        <w:t>Punktides a, b ja c osutatud konkreetseid väljumistingimusi kohaldatakse lisaks kriteeriumidele, mida aruandvad krediidiasutused ja investeerimisühingud kohaldavad langenud väärtusega ja makseviivituses olevate nõuete suhtes vastavalt kohaldatavale raamatupidamistavale või kapitalinõuete määruse artiklile 178.</w:t>
      </w:r>
    </w:p>
    <w:p w:rsidR="009569C7" w:rsidRPr="00EC4FA2" w:rsidRDefault="00A834F1" w:rsidP="009569C7">
      <w:pPr>
        <w:pStyle w:val="Baseparagraphnumbered"/>
        <w:tabs>
          <w:tab w:val="left" w:pos="851"/>
        </w:tabs>
        <w:ind w:left="709"/>
      </w:pPr>
      <w:r>
        <w:t>Kui käesoleva lisa käesoleva osa punktis 231 osutatud tingimused ei ole kõnealuse punkti alapunktis b osutatud üheaastase perioodi lõpus täidetud, jätkatakse nõude käsitamist makseraskuste tõttu restruktureeritud viivisnõudena kuni kõigi tingimuste täitmiseni. Tingimuste täitmist hinnatakse vähemalt kord kvartalis.</w:t>
      </w:r>
    </w:p>
    <w:p w:rsidR="009569C7" w:rsidRPr="00EC4FA2" w:rsidRDefault="00A834F1" w:rsidP="003A3ED4">
      <w:pPr>
        <w:pStyle w:val="Baseparagraphnumbered"/>
        <w:tabs>
          <w:tab w:val="left" w:pos="851"/>
        </w:tabs>
      </w:pPr>
      <w:r>
        <w:t>Käesoleva lisa 1. osa punktis 15 loetletud IFRSi kohaseid arvestusportfelle ja käesoleva lisa 1. osa punktis 16 loetletud kohaldatava BADil põhineva siseriikliku GAAPi kohaseid arvestusportfelle kajastatakse vormis 18 jär</w:t>
      </w:r>
      <w:r w:rsidR="000A0D60">
        <w:t>gmiselt:</w:t>
      </w:r>
    </w:p>
    <w:p w:rsidR="009569C7" w:rsidRPr="00EC4FA2" w:rsidRDefault="002A7491" w:rsidP="009569C7">
      <w:pPr>
        <w:pStyle w:val="Baseparagraphnumbered"/>
        <w:numPr>
          <w:ilvl w:val="0"/>
          <w:numId w:val="0"/>
        </w:numPr>
        <w:ind w:left="1134" w:hanging="425"/>
      </w:pPr>
      <w:r>
        <w:t>a)</w:t>
      </w:r>
      <w:r>
        <w:tab/>
      </w:r>
      <w:r w:rsidR="00A834F1">
        <w:t>„soetusmaksumuses või amortiseeritud soetusmaksumuses mõõdetud võlainstrumendid“ hõlmab järgmiste kirjete alla kuuluvaid võlainstrumente:</w:t>
      </w:r>
    </w:p>
    <w:p w:rsidR="009569C7" w:rsidRPr="00EC4FA2" w:rsidRDefault="00A834F1" w:rsidP="009569C7">
      <w:pPr>
        <w:pStyle w:val="Baseparagraphnumbered"/>
        <w:numPr>
          <w:ilvl w:val="0"/>
          <w:numId w:val="0"/>
        </w:numPr>
        <w:ind w:left="1440"/>
      </w:pPr>
      <w:r>
        <w:lastRenderedPageBreak/>
        <w:t>i) „amortiseeritud soetusmaksumuses kajastatud finantsvarad“ (IFRS);</w:t>
      </w:r>
    </w:p>
    <w:p w:rsidR="009569C7" w:rsidRPr="00EC4FA2" w:rsidRDefault="00A834F1" w:rsidP="009569C7">
      <w:pPr>
        <w:pStyle w:val="Baseparagraphnumbered"/>
        <w:numPr>
          <w:ilvl w:val="0"/>
          <w:numId w:val="0"/>
        </w:numPr>
        <w:ind w:left="1440"/>
      </w:pPr>
      <w:r>
        <w:t>ii) „soetusmaksumusepõhisel meetodil mõõdetud finantsvarad, mida ei kasutata kauplemisel ja mis ei ole tuletisinstrumendid“, sealhulgas mõõduka LOCOMi kohaselt mõõdetud võlainstrumendid (BADil põhinev siseriiklik GAAP);</w:t>
      </w:r>
    </w:p>
    <w:p w:rsidR="009569C7" w:rsidRPr="00EC4FA2" w:rsidRDefault="00A834F1" w:rsidP="009569C7">
      <w:pPr>
        <w:pStyle w:val="Baseparagraphnumbered"/>
        <w:numPr>
          <w:ilvl w:val="0"/>
          <w:numId w:val="0"/>
        </w:numPr>
        <w:ind w:left="1440"/>
      </w:pPr>
      <w:r>
        <w:t>iii) „muud finantsvarad, mida ei kasutata kauplemisel ja mis ei ole tuletisinstrumendid“, välja arvatud range LOCOMi kohaselt mõõdetud võlainstrumendid (B</w:t>
      </w:r>
      <w:r w:rsidR="000A0D60">
        <w:t>ADil põhinev siseriiklik GAAP);</w:t>
      </w:r>
    </w:p>
    <w:p w:rsidR="009569C7" w:rsidRPr="00EC4FA2" w:rsidRDefault="002A7491" w:rsidP="009569C7">
      <w:pPr>
        <w:pStyle w:val="Baseparagraphnumbered"/>
        <w:numPr>
          <w:ilvl w:val="0"/>
          <w:numId w:val="0"/>
        </w:numPr>
        <w:ind w:left="1134" w:hanging="425"/>
      </w:pPr>
      <w:r>
        <w:t>b)</w:t>
      </w:r>
      <w:r>
        <w:tab/>
      </w:r>
      <w:r w:rsidR="00A834F1">
        <w:t>„õiglases väärtuses läbi muu koondkasumi mõõdetud või omakapitalis kajastatud võlainstrumendid, mille suhtes kohaldatakse väärtuse langust“ hõlmab järgmiste kirjete alla kuuluvaid võlainstrumente:</w:t>
      </w:r>
    </w:p>
    <w:p w:rsidR="009569C7" w:rsidRPr="00EC4FA2" w:rsidRDefault="00A834F1" w:rsidP="009569C7">
      <w:pPr>
        <w:pStyle w:val="Baseparagraphnumbered"/>
        <w:numPr>
          <w:ilvl w:val="0"/>
          <w:numId w:val="0"/>
        </w:numPr>
        <w:ind w:left="1440"/>
      </w:pPr>
      <w:r>
        <w:t>i) „õiglases väärtuses läbi muu koondkasumi mõõdetud finantsvarad“ (IFRS);</w:t>
      </w:r>
    </w:p>
    <w:p w:rsidR="009569C7" w:rsidRPr="00EC4FA2" w:rsidRDefault="00A834F1" w:rsidP="009569C7">
      <w:pPr>
        <w:pStyle w:val="Baseparagraphnumbered"/>
        <w:numPr>
          <w:ilvl w:val="0"/>
          <w:numId w:val="0"/>
        </w:numPr>
        <w:ind w:left="1440"/>
      </w:pPr>
      <w:r>
        <w:t>ii ) „omakapitalis kajastatavad õiglases väärtuses mõõdetavad finantsvarad, mida ei kasutata kauplemisel ja mis ei ole tuletisinstrumendid“, kui sellesse mõõtmiskategooriasse kuuluvate instrumentide suhtes saab BADil põhineva siseriikliku GAAPi kohase raamatupidamistava kohaselt kohaldada väärtuse langust;</w:t>
      </w:r>
    </w:p>
    <w:p w:rsidR="009569C7" w:rsidRPr="00EC4FA2" w:rsidRDefault="002A7491" w:rsidP="009569C7">
      <w:pPr>
        <w:pStyle w:val="Baseparagraphnumbered"/>
        <w:numPr>
          <w:ilvl w:val="0"/>
          <w:numId w:val="0"/>
        </w:numPr>
        <w:ind w:left="1134" w:hanging="425"/>
      </w:pPr>
      <w:r>
        <w:t>c)</w:t>
      </w:r>
      <w:r>
        <w:tab/>
      </w:r>
      <w:r w:rsidR="00A834F1">
        <w:t>„ range LOCOMi kohaselt või õiglases väärtuses muutustega läbi kasumiaruande või omakapitalis kajastatud võlainstrumendid, mille suhtes ei kohaldata väärtuse langust“ hõlmab järgmiste kirjete alla kuuluvaid võlainstrumente:</w:t>
      </w:r>
    </w:p>
    <w:p w:rsidR="009569C7" w:rsidRPr="00EC4FA2" w:rsidRDefault="00A834F1" w:rsidP="009569C7">
      <w:pPr>
        <w:pStyle w:val="Baseparagraphnumbered"/>
        <w:numPr>
          <w:ilvl w:val="0"/>
          <w:numId w:val="0"/>
        </w:numPr>
        <w:ind w:left="1418"/>
      </w:pPr>
      <w:r>
        <w:t>i) „kohustuslikult õiglases väärtuses muutustega läbi kasumiaruande mõõdetavad finantsvarad, mida ei kasutata kauplemisel“ (IFRS);</w:t>
      </w:r>
    </w:p>
    <w:p w:rsidR="009569C7" w:rsidRPr="00EC4FA2" w:rsidRDefault="00A834F1" w:rsidP="009569C7">
      <w:pPr>
        <w:pStyle w:val="Baseparagraphnumbered"/>
        <w:numPr>
          <w:ilvl w:val="0"/>
          <w:numId w:val="0"/>
        </w:numPr>
        <w:ind w:left="1418"/>
      </w:pPr>
      <w:r>
        <w:t>ii) „finantsvarad õiglases väärtuses muutustega läbi kasumiaruande“ (IFRS);</w:t>
      </w:r>
    </w:p>
    <w:p w:rsidR="009569C7" w:rsidRPr="00EC4FA2" w:rsidRDefault="00A834F1" w:rsidP="009569C7">
      <w:pPr>
        <w:pStyle w:val="Baseparagraphnumbered"/>
        <w:numPr>
          <w:ilvl w:val="0"/>
          <w:numId w:val="0"/>
        </w:numPr>
        <w:ind w:left="1418"/>
      </w:pPr>
      <w:r>
        <w:t>iii) „õiglases väärtuses muutustega läbi kasumiaruande mõõdetavad finantsvarad, mida ei kasutata kauplemisel ja mis ei ole tuletisinstrumendid“ (BADil põhinev siseriiklik GAAP);</w:t>
      </w:r>
    </w:p>
    <w:p w:rsidR="009569C7" w:rsidRPr="00EC4FA2" w:rsidRDefault="00A834F1" w:rsidP="009569C7">
      <w:pPr>
        <w:pStyle w:val="Baseparagraphnumbered"/>
        <w:numPr>
          <w:ilvl w:val="0"/>
          <w:numId w:val="0"/>
        </w:numPr>
        <w:ind w:left="1418"/>
      </w:pPr>
      <w:r>
        <w:t>iv) „muud finantsvarad, mida ei kasutata kauplemisel ja mis ei ole tuletisinstrumendid“, kui võlainstrumente mõõdetakse range LOCOMi kohaselt (BADil põhinev siseriiklik GAAP);</w:t>
      </w:r>
    </w:p>
    <w:p w:rsidR="009569C7" w:rsidRPr="00EC4FA2" w:rsidRDefault="00A834F1" w:rsidP="009569C7">
      <w:pPr>
        <w:pStyle w:val="Baseparagraphnumbered"/>
        <w:numPr>
          <w:ilvl w:val="0"/>
          <w:numId w:val="0"/>
        </w:numPr>
        <w:ind w:left="1418"/>
      </w:pPr>
      <w:r>
        <w:t>v) „omakapitalis kajastatavad õiglases väärtuses mõõdetavad finantsvarad, mida ei kasutata kauplemisel ja mis ei ole tuletisinstrumendid“, kui sellesse mõõtmiskategooriasse kuuluvate võlainstrumentide suhtes ei saa BADil põhineva siseriikliku GAAPi kohase raamatupidamistava kohaselt kohaldada väärtuse langust.</w:t>
      </w:r>
    </w:p>
    <w:p w:rsidR="009569C7" w:rsidRPr="00EC4FA2" w:rsidRDefault="00A834F1" w:rsidP="003A3ED4">
      <w:pPr>
        <w:pStyle w:val="Baseparagraphnumbered"/>
        <w:tabs>
          <w:tab w:val="left" w:pos="851"/>
        </w:tabs>
      </w:pPr>
      <w:r>
        <w:t xml:space="preserve">Kui IFRSi või kohaldatava BADil põhineva siseriikliku GAAPi kohaselt on ette nähtud siduvate kohustuste kajastamine õiglases väärtuses muutustega </w:t>
      </w:r>
      <w:r>
        <w:lastRenderedPageBreak/>
        <w:t>läbi kasumiaruande, kajastatakse kõigi varade bilansiline väärtus, mis tuleneb õiglases väärtuses kajastamisest ja mõõtmisest, kirje „finantsvarad õiglases väärtuses muutustega läbi kasumiaruande“ (IFRS) või kirje „õiglases väärtuses muutustega läbi kasumiaruande mõõdetavad finantsvarad, mida ei kasutata kauplemisel ja mis ei ole tuletisinstrumendid“ (BADil põhinev siseriiklik GAAP) all. Ühegi sellise kohustuse bilansilist väärtust, mis tuleneb sellisest kajastamisest, vormis F18 ei kajastata. Kõigi selliste siduvate kohustuste tinglik väärtus, mida kajastatakse õiglases väärtuses muutustega läbi kasumiaruande, kajastatakse vormis 9.</w:t>
      </w:r>
    </w:p>
    <w:p w:rsidR="009569C7" w:rsidRPr="00EC4FA2" w:rsidRDefault="00A834F1" w:rsidP="009569C7">
      <w:pPr>
        <w:pStyle w:val="Baseparagraphnumbered"/>
        <w:tabs>
          <w:tab w:val="left" w:pos="851"/>
        </w:tabs>
        <w:ind w:left="709"/>
      </w:pPr>
      <w:r>
        <w:t>Tähtajaks tasumata nõuded kajastatakse nende kogusummas nõuetekohaselt teenindatavate ja viivisnõuete kategooriates eraldi, nagu määratletud käesoleva osa punktis 96. Nõudeid, mille tasumise tähtaega on ületatud rohkem kui 90 päeva ja mis ei ole olulised vastavalt kapitalinõuete määruse artiklile 178, kajastatakse nõuetekohaselt teenindatavate nõuetena kirje „tasumise tähtaega ületatud &gt; 30 päeva &lt;= 90 päeva“ all.</w:t>
      </w:r>
    </w:p>
    <w:p w:rsidR="009569C7" w:rsidRPr="00EC4FA2" w:rsidRDefault="00A834F1" w:rsidP="009569C7">
      <w:pPr>
        <w:pStyle w:val="Baseparagraphnumbered"/>
        <w:tabs>
          <w:tab w:val="left" w:pos="851"/>
        </w:tabs>
        <w:ind w:left="709"/>
      </w:pPr>
      <w:r>
        <w:t>Viivisnõuded kajastatakse jaotatuna tähtaja ületamise ajavahemikesse. Nõudeid, mille tasumise tähtaega ei ole ületatud või mille tasumise tähtaega on ületatud kuni 90 päeva, kuid mis on siiski määratletud kui viivisnõuded tulenevalt tõenäosusest, et tagasimakset ei tehta täies ulatuses, kajastatakse selleks ettenähtud veerus. Nõuded, mille puhul on tegu nii tähtaja ületanud summadega kui ka tõenäosusega, et tagasimakset ei tehta täies ulatuses, jaotatakse tähtaja ületamise ajavahemikesse vastavalt sellele, m</w:t>
      </w:r>
      <w:r w:rsidR="000A0D60">
        <w:t>itu päeva on tähtaega ületatud.</w:t>
      </w:r>
    </w:p>
    <w:p w:rsidR="009569C7" w:rsidRPr="00EC4FA2" w:rsidRDefault="00A834F1" w:rsidP="009569C7">
      <w:pPr>
        <w:pStyle w:val="Baseparagraphnumbered"/>
        <w:tabs>
          <w:tab w:val="left" w:pos="851"/>
        </w:tabs>
        <w:ind w:left="709"/>
      </w:pPr>
      <w:r>
        <w:t>Järgmised nõuded esitatakse eraldi veergudes:</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nõuded, mida käsitatakse olevat langenud väärtusega vastavalt kohaldatavale raamatupidamistavale; IFRSi kohaselt esitatakse selles veerus selliste varade väärtus, mille väärtus on krediidiriski tõttu langenud (3. etapp), sealhulgas ostetud või tekitatud krediidiriski tõttu langenud väärtusega varade väärtus;</w:t>
      </w:r>
    </w:p>
    <w:p w:rsidR="009569C7" w:rsidRPr="00EC4FA2" w:rsidRDefault="00A834F1" w:rsidP="009569C7">
      <w:pPr>
        <w:pStyle w:val="Text1"/>
        <w:numPr>
          <w:ilvl w:val="0"/>
          <w:numId w:val="44"/>
        </w:numPr>
        <w:ind w:left="1134"/>
      </w:pPr>
      <w:r>
        <w:t>nõuded, mida käsitatakse makseviivituses olevana vastavalt kapita</w:t>
      </w:r>
      <w:r w:rsidR="000A0D60">
        <w:t>linõuete määruse artiklile 178.</w:t>
      </w:r>
    </w:p>
    <w:p w:rsidR="009569C7" w:rsidRPr="00EC4FA2" w:rsidRDefault="00A834F1" w:rsidP="009569C7">
      <w:pPr>
        <w:pStyle w:val="Baseparagraphnumbered"/>
        <w:tabs>
          <w:tab w:val="left" w:pos="851"/>
        </w:tabs>
        <w:ind w:left="709"/>
      </w:pPr>
      <w:r>
        <w:t>Kirje „varade väärtuse akumuleeritud langus, krediidiriskist tulenevad õiglase väärtuse akumuleeritud negatiivsed muutused ja eraldised“ all esitatakse andmed vastavalt käesoleva osa pu</w:t>
      </w:r>
      <w:r w:rsidR="000A0D60">
        <w:t>nktidele 11, 69–71, 106 ja 110.</w:t>
      </w:r>
    </w:p>
    <w:p w:rsidR="009569C7" w:rsidRPr="00EC4FA2" w:rsidRDefault="00A834F1" w:rsidP="009569C7">
      <w:pPr>
        <w:pStyle w:val="Baseparagraphnumbered"/>
        <w:tabs>
          <w:tab w:val="left" w:pos="851"/>
        </w:tabs>
        <w:ind w:left="709"/>
      </w:pPr>
      <w:r>
        <w:t>Teave seoses viivisnõuetega hoitavate tagatiste ja saadud garantiide koha esitatakse eraldi. Saadud tagatiste ja saadud garantiide puhul esitatavad summad arvutatakse kooskõlas käesoleva osa punktidega 172 ja 174. Nii tagatise kui ka garantiide puhul esitatud summade kogusumma ülempiiriks on seotud nõude bilansiline väärtus või nimiväärtus.</w:t>
      </w:r>
    </w:p>
    <w:p w:rsidR="009569C7" w:rsidRPr="00EC4FA2" w:rsidRDefault="00A834F1" w:rsidP="009569C7">
      <w:pPr>
        <w:pStyle w:val="subtitlenumbered"/>
        <w:jc w:val="both"/>
      </w:pPr>
      <w:bookmarkStart w:id="251" w:name="_Toc467855247"/>
      <w:bookmarkStart w:id="252" w:name="_Toc485887357"/>
      <w:r>
        <w:t>Makseraskuste tõttu restruktureeritud nõuded (19)</w:t>
      </w:r>
      <w:bookmarkEnd w:id="251"/>
      <w:bookmarkEnd w:id="252"/>
    </w:p>
    <w:p w:rsidR="009569C7" w:rsidRPr="00EC4FA2" w:rsidRDefault="00A834F1" w:rsidP="009569C7">
      <w:pPr>
        <w:pStyle w:val="Baseparagraphnumbered"/>
        <w:tabs>
          <w:tab w:val="left" w:pos="851"/>
        </w:tabs>
        <w:ind w:left="709"/>
      </w:pPr>
      <w:r>
        <w:t xml:space="preserve"> Vormi 19 puhul on makseraskuste tõttu restruktureeritud nõuded võlalepingud, mille suhtes on rakendatud makseraskuste tõttu </w:t>
      </w:r>
      <w:r>
        <w:lastRenderedPageBreak/>
        <w:t>restruktureerimise meetmeid. Makseraskuste tõttu restruktureerimise meetmed hõlmavad järelandemiste tegemist võlgniku suhtes, kel on raskusi või tekkimas raskused oma siduvate finantskohustuste täitmisel (edaspidi „finantsraskused“).</w:t>
      </w:r>
    </w:p>
    <w:p w:rsidR="009569C7" w:rsidRPr="00EC4FA2" w:rsidRDefault="00A834F1" w:rsidP="009569C7">
      <w:pPr>
        <w:pStyle w:val="Baseparagraphnumbered"/>
        <w:tabs>
          <w:tab w:val="left" w:pos="851"/>
        </w:tabs>
        <w:ind w:left="709"/>
      </w:pPr>
      <w:r>
        <w:t xml:space="preserve"> Vormi 19 puhul võib järelandmisega laenuandja jaoks kaasneda kahju ja järeleandmine osutab ühele järgmistest tegevustest:</w:t>
      </w:r>
    </w:p>
    <w:p w:rsidR="009569C7" w:rsidRPr="00EC4FA2" w:rsidRDefault="00A834F1" w:rsidP="009569C7">
      <w:pPr>
        <w:pStyle w:val="Text1"/>
        <w:numPr>
          <w:ilvl w:val="1"/>
          <w:numId w:val="42"/>
        </w:numPr>
        <w:ind w:left="1134"/>
      </w:pPr>
      <w:r>
        <w:t>lepingu selliste varasemate tingimuste muutmine, mille puhul leitakse, et võlgnik ei ole võimeline neid täitma oma finantsraskuste tõttu (probleemne võlg), mis põhjustab võla teenindamise ebapiisava suutlikkuse, ja neid muudatusi ei oleks tehtud, kui võlgnik ei oleks finantsraskustes;</w:t>
      </w:r>
    </w:p>
    <w:p w:rsidR="009569C7" w:rsidRPr="00EC4FA2" w:rsidRDefault="00A834F1" w:rsidP="009569C7">
      <w:pPr>
        <w:pStyle w:val="Text1"/>
        <w:numPr>
          <w:ilvl w:val="1"/>
          <w:numId w:val="42"/>
        </w:numPr>
        <w:ind w:left="1134"/>
      </w:pPr>
      <w:r>
        <w:t>probleemse võlalepingu täielik või osaline refinantseerimine, mida ei oleks tehtud, kui võlgnik ei oleks finantsraskustes.</w:t>
      </w:r>
    </w:p>
    <w:p w:rsidR="009569C7" w:rsidRPr="00EC4FA2" w:rsidRDefault="00A834F1" w:rsidP="009569C7">
      <w:pPr>
        <w:pStyle w:val="Baseparagraphnumbered"/>
        <w:tabs>
          <w:tab w:val="left" w:pos="851"/>
        </w:tabs>
        <w:ind w:left="709"/>
      </w:pPr>
      <w:r>
        <w:t xml:space="preserve"> Tõendid järelandmise kohta hõlmavad vähemalt ühte järgmistest:</w:t>
      </w:r>
    </w:p>
    <w:p w:rsidR="009569C7" w:rsidRPr="00EC4FA2" w:rsidRDefault="00A834F1" w:rsidP="009569C7">
      <w:pPr>
        <w:pStyle w:val="Text1"/>
        <w:numPr>
          <w:ilvl w:val="0"/>
          <w:numId w:val="43"/>
        </w:numPr>
        <w:ind w:left="1134"/>
      </w:pPr>
      <w:r>
        <w:t>muudetud lepingutingimuste ja varasemate lepingutingimuste erinevus, mis on võlgniku kasuks;</w:t>
      </w:r>
    </w:p>
    <w:p w:rsidR="009569C7" w:rsidRPr="00EC4FA2" w:rsidRDefault="00A834F1" w:rsidP="009569C7">
      <w:pPr>
        <w:pStyle w:val="Text1"/>
        <w:numPr>
          <w:ilvl w:val="0"/>
          <w:numId w:val="43"/>
        </w:numPr>
        <w:ind w:left="1134"/>
      </w:pPr>
      <w:r>
        <w:t>muudetud lepingusse soodsamate tingimuste lisamine, kui need tingimused, mida oleks pakutud sarnase riskiprofiiliga muudele võlgnikele sama krediidiasutuse või invest</w:t>
      </w:r>
      <w:r w:rsidR="000A0D60">
        <w:t>eerimisühingu poolt samal ajal.</w:t>
      </w:r>
    </w:p>
    <w:p w:rsidR="009569C7" w:rsidRPr="00EC4FA2" w:rsidRDefault="00A834F1" w:rsidP="009569C7">
      <w:pPr>
        <w:pStyle w:val="Baseparagraphnumbered"/>
        <w:tabs>
          <w:tab w:val="left" w:pos="851"/>
        </w:tabs>
        <w:ind w:left="709"/>
      </w:pPr>
      <w:r>
        <w:t xml:space="preserve"> Selliste klauslite kasutamist, mis juhul, kui võlgnik kasutab neid kaalutlusõiguse alusel, võimaldavad võlgnikul muuta lepingutingimusi (edaspidi „lepingus sisalduvad makseraskuste tõttu restruktureerimise klauslid“), käsitatakse järeleandmisena juhul, kui krediidiasutus või investeerimisühing kiidab nende klauslite kasutamise heaks ning järeldab, e</w:t>
      </w:r>
      <w:r w:rsidR="000A0D60">
        <w:t>t võlgnikul on finantsraskused.</w:t>
      </w:r>
    </w:p>
    <w:p w:rsidR="009569C7" w:rsidRPr="00EC4FA2" w:rsidRDefault="00A834F1" w:rsidP="003A3ED4">
      <w:pPr>
        <w:pStyle w:val="Baseparagraphnumbered"/>
        <w:tabs>
          <w:tab w:val="left" w:pos="851"/>
        </w:tabs>
      </w:pPr>
      <w:r>
        <w:t>III, IV ja käesoleva lisa kohaldamisel tähendab „refinantseerimine“ võlalepingute kasutamist, et tagada selliste muude võlalepingute täielik või osaline tasumine, mille kehtivaid ti</w:t>
      </w:r>
      <w:r w:rsidR="000A0D60">
        <w:t>ngimusi võlgnik ei suuda täita.</w:t>
      </w:r>
    </w:p>
    <w:p w:rsidR="009569C7" w:rsidRPr="00EC4FA2" w:rsidRDefault="00A834F1" w:rsidP="009569C7">
      <w:pPr>
        <w:pStyle w:val="Baseparagraphnumbered"/>
        <w:tabs>
          <w:tab w:val="left" w:pos="851"/>
        </w:tabs>
        <w:ind w:left="709"/>
      </w:pPr>
      <w:r>
        <w:t>Vormi 19 puhul hõlmab „võlgnik“ kõiki võlgniku konsolideerimisgruppi kuuluvaid juriidilisi isikuid, kes on kaasatud raamatupidamisarvestusekohasesse konsolideerimisse, ja füüsilisi isikuid, kelle</w:t>
      </w:r>
      <w:r w:rsidR="000A0D60">
        <w:t>l on selle grupi üle kontroll.</w:t>
      </w:r>
    </w:p>
    <w:p w:rsidR="009569C7" w:rsidRPr="00EC4FA2" w:rsidRDefault="00A834F1" w:rsidP="003A3ED4">
      <w:pPr>
        <w:pStyle w:val="Baseparagraphnumbered"/>
        <w:tabs>
          <w:tab w:val="left" w:pos="851"/>
        </w:tabs>
      </w:pPr>
      <w:r>
        <w:t>Vormi 19 puhul hõlmab „võlg“ laene ja ettemakseid (mis hõlmavad ka nõudeid keskpankadele ja muid nõudmiseni hoiuseid), võlaväärtpabereid ning võetud tühistatavaid ja tühistamatuid siduvaid laenuandmiskohustusi, sealhulgas õiglases väärtuses muutustega läbi kasumiaruande kajastatavaid laenuandmiskohustusi, mis on aruandekuupäeva seisuga varad. „Võlg“ ei hõlma kauplemis</w:t>
      </w:r>
      <w:r w:rsidR="000A0D60">
        <w:t>eks hoitavaid riskipositsioone.</w:t>
      </w:r>
    </w:p>
    <w:p w:rsidR="009569C7" w:rsidRPr="00EC4FA2" w:rsidRDefault="00A834F1" w:rsidP="003A3ED4">
      <w:pPr>
        <w:pStyle w:val="Baseparagraphnumbered"/>
        <w:tabs>
          <w:tab w:val="left" w:pos="851"/>
        </w:tabs>
      </w:pPr>
      <w:r>
        <w:t>„Võlg“ hõlmab ka laene ja ettemakseid ning võlaväärtpabereid, mis on liigitatud põhivaraks ja müügigruppideks, mis IFRS 5 kohaselt on liigitatud müügiks hoitavateks.</w:t>
      </w:r>
    </w:p>
    <w:p w:rsidR="009569C7" w:rsidRPr="00EC4FA2" w:rsidRDefault="00A834F1" w:rsidP="009569C7">
      <w:pPr>
        <w:pStyle w:val="Baseparagraphnumbered"/>
        <w:tabs>
          <w:tab w:val="left" w:pos="851"/>
        </w:tabs>
        <w:ind w:left="709"/>
      </w:pPr>
      <w:r>
        <w:lastRenderedPageBreak/>
        <w:t>Vormi 19 puhul on mõistel „nõue“ sama tähendus nagu mõistel „v</w:t>
      </w:r>
      <w:r w:rsidR="000A0D60">
        <w:t>õlg“ käesoleva osa punktis 247.</w:t>
      </w:r>
    </w:p>
    <w:p w:rsidR="009569C7" w:rsidRPr="00EC4FA2" w:rsidRDefault="00A834F1" w:rsidP="003A3ED4">
      <w:pPr>
        <w:pStyle w:val="Baseparagraphnumbered"/>
        <w:tabs>
          <w:tab w:val="left" w:pos="851"/>
        </w:tabs>
      </w:pPr>
      <w:r>
        <w:t>Käesoleva lisa 1. osa punktis 15 loetletud IFRSi kohaseid arvestusportfelle ja käesoleva lisa 1. osa punktis 16 loetletud kohaldatava BADil põhineva siseriikliku GAAPi kohaseid arvestusportfelle kajastatakse vormis 19 vastavalt käesolev</w:t>
      </w:r>
      <w:r w:rsidR="000A0D60">
        <w:t>a osa punktis 233 määratletule.</w:t>
      </w:r>
    </w:p>
    <w:p w:rsidR="009569C7" w:rsidRPr="00EC4FA2" w:rsidRDefault="00A834F1" w:rsidP="009569C7">
      <w:pPr>
        <w:pStyle w:val="Baseparagraphnumbered"/>
        <w:tabs>
          <w:tab w:val="left" w:pos="851"/>
        </w:tabs>
        <w:ind w:left="709"/>
      </w:pPr>
      <w:r>
        <w:t>Vormi 19 puhul tähendab „krediidiasutus või investeerimisühing“ seda krediidiasutust või investeerimisühingut, kes rakendas makseraskuste tõttu restruktureerimise meetmeid.</w:t>
      </w:r>
    </w:p>
    <w:p w:rsidR="009569C7" w:rsidRPr="00EC4FA2" w:rsidRDefault="00A834F1" w:rsidP="009569C7">
      <w:pPr>
        <w:pStyle w:val="Baseparagraphnumbered"/>
        <w:tabs>
          <w:tab w:val="left" w:pos="851"/>
        </w:tabs>
        <w:ind w:left="709"/>
      </w:pPr>
      <w:r>
        <w:t>„Võla“ puhul kajastatakse vormis 19 „bilansiline brutoväärtus“ vastavalt käesoleva lisa 1. osa punktis 34 määratletule. Siduvate laenuandmiskohustuste puhul, mis on bilansivälised riskipositsioonid, kajastatakse nimiväärtus vastavalt käesoleva lisa käesoleva osa punktis 118 määratletule.</w:t>
      </w:r>
    </w:p>
    <w:p w:rsidR="009569C7" w:rsidRPr="00EC4FA2" w:rsidRDefault="00A834F1" w:rsidP="003A3ED4">
      <w:pPr>
        <w:pStyle w:val="Baseparagraphnumbered"/>
        <w:tabs>
          <w:tab w:val="left" w:pos="851"/>
        </w:tabs>
      </w:pPr>
      <w:r>
        <w:t>Nõudeid käsitatakse makseraskuste tõttu restruktureeritud nõuetena, kui on tehtud järeleandmine, olenemata sellest, kas mõni summa on tähtajaks tasumata või kas nõuded on liigitatud kohaldatava raamatupidamistava kohaselt langenud väärtusega olevaks või vastavalt kapitalinõuete määruse artiklile 178 makseviivituses olevaks. Nõudeid ei käsitata makseraskuste tõttu restruktureeritud nõuetena, kui võlgnik ei ole finantsraskustes. IFRSi kohaselt käsitatakse muudetud finantsvara [IFRS 9 paragrahv 5.4.3 ja lisa A] makseraskuste tõttu restruktureerituna, tingimusel et on tehtud käesoleva lisa käesoleva osa punktides 240 ja 241 määratletud järeleandmine, sõltumata finantsvara krediidiriski muutuse muutumise mõjust alates esmase kajastamise kuupäevast Makseraskuste tõttu restruktureerimise meetmetena käsitatakse kõike järgmist:</w:t>
      </w:r>
    </w:p>
    <w:p w:rsidR="009569C7" w:rsidRPr="00EC4FA2" w:rsidRDefault="00A834F1" w:rsidP="009569C7">
      <w:pPr>
        <w:pStyle w:val="Text1"/>
        <w:numPr>
          <w:ilvl w:val="1"/>
          <w:numId w:val="45"/>
        </w:numPr>
        <w:ind w:left="1134" w:hanging="425"/>
      </w:pPr>
      <w:r>
        <w:t>muudetud leping, mis on liigitatud viivisnõudeks enne muudatust või oleks liigitatud viivisnõudeks juhul, kui muudatust ei oleks tehtud;</w:t>
      </w:r>
    </w:p>
    <w:p w:rsidR="009569C7" w:rsidRPr="00EC4FA2" w:rsidRDefault="00A834F1" w:rsidP="009569C7">
      <w:pPr>
        <w:pStyle w:val="Text1"/>
        <w:numPr>
          <w:ilvl w:val="1"/>
          <w:numId w:val="45"/>
        </w:numPr>
        <w:ind w:left="1134" w:hanging="425"/>
      </w:pPr>
      <w:r>
        <w:t>lepingusse tehtud muudatus sisaldab võla osalist või täielikku tühistamist võla mahakandmise kaudu;</w:t>
      </w:r>
    </w:p>
    <w:p w:rsidR="009569C7" w:rsidRPr="00EC4FA2" w:rsidRDefault="00A834F1" w:rsidP="009569C7">
      <w:pPr>
        <w:pStyle w:val="Text1"/>
        <w:numPr>
          <w:ilvl w:val="1"/>
          <w:numId w:val="45"/>
        </w:numPr>
        <w:ind w:left="1134" w:hanging="425"/>
      </w:pPr>
      <w:r>
        <w:t>krediidiasutus või investeerimisühing kiidab heaks lepingus sisalduvate makseraskuste tõttu restruktureerimise klauslite kasutamise võlgniku puhul, kelle vastu on viivisnõuded või kelle vastu oleks viivisnõuded, kui kõnealuseid klausleid ei kasutataks;</w:t>
      </w:r>
    </w:p>
    <w:p w:rsidR="009569C7" w:rsidRPr="00EC4FA2" w:rsidRDefault="00A834F1" w:rsidP="009569C7">
      <w:pPr>
        <w:pStyle w:val="Text1"/>
        <w:numPr>
          <w:ilvl w:val="1"/>
          <w:numId w:val="45"/>
        </w:numPr>
        <w:ind w:left="1134" w:hanging="425"/>
      </w:pPr>
      <w:r>
        <w:t>samal ajal või ajaliselt lähedal sellele, kui krediidiasutus või investeerimisühing teeb järeleandmise täiendava võla puhul, tasus võlgnik sama krediidiasutuse või investeerimisühinguga sõlmitud muu lepingu põhisumma tagasimakse või intressimakse, mis oli viivisnõue või mis ilma refinantseerimiseta oleks liigitatud viivisnõudeks.</w:t>
      </w:r>
    </w:p>
    <w:p w:rsidR="009569C7" w:rsidRPr="00EC4FA2" w:rsidRDefault="00A834F1" w:rsidP="009569C7">
      <w:pPr>
        <w:pStyle w:val="Baseparagraphnumbered"/>
        <w:tabs>
          <w:tab w:val="left" w:pos="851"/>
        </w:tabs>
        <w:ind w:left="709"/>
      </w:pPr>
      <w:r>
        <w:t>Muudatust, mis hõlmab tagasimakseid, mis on tehtud tagatise enda valdusesse võtmisega, käsitatakse makseraskuste tõttu restruktureerimise meetmena, kui muudatus on järeleandmine.</w:t>
      </w:r>
    </w:p>
    <w:p w:rsidR="009569C7" w:rsidRPr="00EC4FA2" w:rsidRDefault="00A834F1" w:rsidP="009569C7">
      <w:pPr>
        <w:pStyle w:val="Baseparagraphnumbered"/>
        <w:tabs>
          <w:tab w:val="left" w:pos="851"/>
        </w:tabs>
        <w:ind w:left="709"/>
      </w:pPr>
      <w:r>
        <w:lastRenderedPageBreak/>
        <w:t>Järgmistel juhtudel on olemas ümberlükatav eeldus, et on toimunud makseraskuste tõttu restruktureerimine:</w:t>
      </w:r>
    </w:p>
    <w:p w:rsidR="009569C7" w:rsidRPr="00EC4FA2" w:rsidRDefault="00A834F1" w:rsidP="009569C7">
      <w:pPr>
        <w:pStyle w:val="Text1"/>
        <w:numPr>
          <w:ilvl w:val="0"/>
          <w:numId w:val="47"/>
        </w:numPr>
        <w:ind w:left="1134" w:hanging="425"/>
      </w:pPr>
      <w:r>
        <w:t xml:space="preserve">muudetud leping oli täies ulatuses või osaliselt tähtajaks tasumata rohkem kui 30 päeva (ilma et see oleks viivisnõue) vähemalt korra kolme kuu jooksul enne selle muutmist või oleks ilma muutmiseta tähtajaks osaliselt või täielikult tasumata rohkem kui 30 päeva; </w:t>
      </w:r>
    </w:p>
    <w:p w:rsidR="009569C7" w:rsidRPr="00EC4FA2" w:rsidRDefault="00A834F1" w:rsidP="009569C7">
      <w:pPr>
        <w:pStyle w:val="Text1"/>
        <w:numPr>
          <w:ilvl w:val="0"/>
          <w:numId w:val="47"/>
        </w:numPr>
        <w:ind w:left="1134" w:hanging="425"/>
      </w:pPr>
      <w:r>
        <w:t>samal ajal või ajaliselt lähedal sellele, kui krediidiasutus või investeerimisühing teeb järeleandmise täiendava võla puhul, tasus võlgnik sama krediidiasutuse või investeerimisühinguga sõlmitud muu lepingu põhisumma tagasimakse või intressimakse, mis oli refinantseerimisele eelneva kolme kuu jooksul vähemalt korra tähtajaks osaliselt või täielikult tasumata 30 päeva;</w:t>
      </w:r>
    </w:p>
    <w:p w:rsidR="009569C7" w:rsidRPr="00EC4FA2" w:rsidRDefault="00A834F1" w:rsidP="009569C7">
      <w:pPr>
        <w:pStyle w:val="Text1"/>
        <w:numPr>
          <w:ilvl w:val="0"/>
          <w:numId w:val="47"/>
        </w:numPr>
        <w:ind w:left="1134" w:hanging="425"/>
      </w:pPr>
      <w:r>
        <w:t>krediidiasutus või investeerimisühing kiidab heaks lepingus sisalduvate makseraskuste tõttu restruktureerimise klauslite kasutamise võlgnike puhul, kes on ületanud tasumise tähtaega 30 päeva, või võlgnike puhul, kes ületaksid tasumise tähtaega 30 päeva, kui neid klausleid ei kasutataks.</w:t>
      </w:r>
    </w:p>
    <w:p w:rsidR="009569C7" w:rsidRPr="00EC4FA2" w:rsidRDefault="00A834F1" w:rsidP="009569C7">
      <w:pPr>
        <w:pStyle w:val="Baseparagraphnumbered"/>
        <w:tabs>
          <w:tab w:val="left" w:pos="851"/>
        </w:tabs>
        <w:ind w:left="709"/>
      </w:pPr>
      <w:r>
        <w:t>Finantsraskusi hinnatakse võlgniku tasandil, nagu on osutatud punktis 245. Makseraskuste tõttu restruktureeritud nõuetena käsitatakse ainult neid nõudeid, mille suhtes on rakendatud makseraskuste tõttu restruktureerimise meetmeid.</w:t>
      </w:r>
    </w:p>
    <w:p w:rsidR="009569C7" w:rsidRPr="00EC4FA2" w:rsidRDefault="00A834F1" w:rsidP="009569C7">
      <w:pPr>
        <w:pStyle w:val="Baseparagraphnumbered"/>
        <w:tabs>
          <w:tab w:val="left" w:pos="851"/>
        </w:tabs>
        <w:ind w:left="709"/>
      </w:pPr>
      <w:r>
        <w:t>Makseraskuste tõttu restruktureeritud nõuded arvatakse viivisnõuete või nõuetekohaselt teenindatavate nõuete kategooriasse vastavalt käesoleva osa punktidele 213–224 ja 260. Makseraskuste tõttu restruktureeritud nõudeks liigitamine lõpetatakse, kui täidetud on kõik järgmised tingimused:</w:t>
      </w:r>
    </w:p>
    <w:p w:rsidR="009569C7" w:rsidRPr="00EC4FA2" w:rsidRDefault="00A834F1" w:rsidP="009569C7">
      <w:pPr>
        <w:pStyle w:val="Text1"/>
        <w:numPr>
          <w:ilvl w:val="0"/>
          <w:numId w:val="46"/>
        </w:numPr>
        <w:ind w:left="1134" w:hanging="425"/>
      </w:pPr>
      <w:r>
        <w:t>makseraskuste tõttu restruktureeritud nõuet käsitatakse nõuetekohaselt teenindatavana, sealhulgas juhul, kui see on eemaldatud viivisnõuete kategooriast pärast seda, kui võlgniku finantsseisundi analüüsist nähtus, et see enam ei vastanud tingimustele, mille alusel saaks seda käsitada viivisnõudena;</w:t>
      </w:r>
    </w:p>
    <w:p w:rsidR="009569C7" w:rsidRPr="00EC4FA2" w:rsidRDefault="00A834F1" w:rsidP="009569C7">
      <w:pPr>
        <w:pStyle w:val="Text1"/>
        <w:numPr>
          <w:ilvl w:val="0"/>
          <w:numId w:val="46"/>
        </w:numPr>
        <w:ind w:left="1134" w:hanging="425"/>
      </w:pPr>
      <w:r>
        <w:t>möödunud on vähemalt kaks aastat alates kuupäevast, mil makseraskuste tõttu restruktureeritud nõue käsitati olevat nõuetekohaselt teenindatav („katseaeg“);</w:t>
      </w:r>
    </w:p>
    <w:p w:rsidR="009569C7" w:rsidRPr="00EC4FA2" w:rsidRDefault="00A834F1" w:rsidP="009569C7">
      <w:pPr>
        <w:pStyle w:val="Text1"/>
        <w:numPr>
          <w:ilvl w:val="0"/>
          <w:numId w:val="46"/>
        </w:numPr>
        <w:ind w:left="1134" w:hanging="425"/>
      </w:pPr>
      <w:r>
        <w:t>katseajast vähemalt poole ajal tehti korrapäraselt põhisumma või intressi makseid rohkem kui mittemärkimisväärse</w:t>
      </w:r>
      <w:r w:rsidR="000A0D60">
        <w:t xml:space="preserve"> kogusumma ulatuses;</w:t>
      </w:r>
    </w:p>
    <w:p w:rsidR="009569C7" w:rsidRPr="00EC4FA2" w:rsidRDefault="00A834F1" w:rsidP="009569C7">
      <w:pPr>
        <w:pStyle w:val="Text1"/>
        <w:numPr>
          <w:ilvl w:val="0"/>
          <w:numId w:val="46"/>
        </w:numPr>
        <w:ind w:left="1134" w:hanging="425"/>
      </w:pPr>
      <w:r>
        <w:t>ükski võlgniku vastu olev nõue ei ole katseaja lõpuks rohkem kui</w:t>
      </w:r>
      <w:r w:rsidR="000A0D60">
        <w:t xml:space="preserve"> 30 päeva üle tähtaja tasumata.</w:t>
      </w:r>
    </w:p>
    <w:p w:rsidR="009569C7" w:rsidRPr="00EC4FA2" w:rsidRDefault="00A834F1" w:rsidP="009569C7">
      <w:pPr>
        <w:pStyle w:val="Baseparagraphnumbered"/>
        <w:tabs>
          <w:tab w:val="left" w:pos="851"/>
        </w:tabs>
        <w:ind w:left="709"/>
      </w:pPr>
      <w:r>
        <w:t>Kui punktis 256 osutatud tingimused ei ole katseaja lõpus täidetud, jätkatakse kuni kõigi tingimuste täitmiseni nõude käsitamist katseajal oleva nõuetekohaselt teenindatava makseraskuste tõttu restruktureeritud nõudena. Tingimuste täitmist hinn</w:t>
      </w:r>
      <w:r w:rsidR="000A0D60">
        <w:t>atakse vähemalt kord kvartalis.</w:t>
      </w:r>
    </w:p>
    <w:p w:rsidR="009569C7" w:rsidRPr="00EC4FA2" w:rsidRDefault="00A834F1" w:rsidP="009569C7">
      <w:pPr>
        <w:pStyle w:val="Baseparagraphnumbered"/>
        <w:tabs>
          <w:tab w:val="left" w:pos="851"/>
        </w:tabs>
        <w:ind w:left="709"/>
      </w:pPr>
      <w:r>
        <w:t>Makseraskuste tõttu restruktureeritud nõuded, mis on IFRS 5 kohaselt liigitatud müügiks hoitavaks põhivaraks, liigitatakse jätkuvalt makseraskuste tõttu restruktureeritud nõueteks.</w:t>
      </w:r>
    </w:p>
    <w:p w:rsidR="009569C7" w:rsidRPr="00EC4FA2" w:rsidRDefault="00A834F1" w:rsidP="009569C7">
      <w:pPr>
        <w:pStyle w:val="Baseparagraphnumbered"/>
        <w:tabs>
          <w:tab w:val="left" w:pos="851"/>
        </w:tabs>
        <w:ind w:left="709"/>
      </w:pPr>
      <w:r>
        <w:lastRenderedPageBreak/>
        <w:t>Makseraskuste tõttu restruktureeritud nõuet võib käsitada nõuetekohaselt teenindatavana alates kuupäevast, mil rakendati makseraskuste tõttu restruktureerimise meetmeid, kui täidetud on mõlemad järgmised tingimused:</w:t>
      </w:r>
    </w:p>
    <w:p w:rsidR="009569C7" w:rsidRPr="00EC4FA2" w:rsidRDefault="00A834F1" w:rsidP="009569C7">
      <w:pPr>
        <w:pStyle w:val="Text1"/>
        <w:numPr>
          <w:ilvl w:val="0"/>
          <w:numId w:val="48"/>
        </w:numPr>
        <w:ind w:left="1134" w:hanging="425"/>
      </w:pPr>
      <w:r>
        <w:t>kõnealuste meetmete rakendamine ei ole põhjustanud nõude liigitamist viivisnõudeks;</w:t>
      </w:r>
    </w:p>
    <w:p w:rsidR="009569C7" w:rsidRPr="00EC4FA2" w:rsidRDefault="00A834F1" w:rsidP="009569C7">
      <w:pPr>
        <w:pStyle w:val="Text1"/>
        <w:numPr>
          <w:ilvl w:val="0"/>
          <w:numId w:val="48"/>
        </w:numPr>
        <w:ind w:left="1134" w:hanging="425"/>
      </w:pPr>
      <w:r>
        <w:t>nõuet ei käsitatud viivisnõudena kuupäeval, mil rakendati makseraskuste tõt</w:t>
      </w:r>
      <w:r w:rsidR="000A0D60">
        <w:t>tu restruktureerimise meetmeid.</w:t>
      </w:r>
    </w:p>
    <w:p w:rsidR="009569C7" w:rsidRPr="00EC4FA2" w:rsidRDefault="00A834F1" w:rsidP="009569C7">
      <w:pPr>
        <w:pStyle w:val="Baseparagraphnumbered"/>
        <w:tabs>
          <w:tab w:val="left" w:pos="851"/>
        </w:tabs>
        <w:ind w:left="709"/>
      </w:pPr>
      <w:r>
        <w:t xml:space="preserve">Kui katseajal oleva nõuetekohaselt teenindatava makseraskuste tõttu restruktureeritud nõude suhtes, mis on viivisnõuete kategooriast eemaldatud, rakendatakse täiendavaid makseraskuste tõttu restruktureerimise meetmeid või nõude tasumise tähtaega ületatakse rohkem kui 30 päeva, liigitatakse see </w:t>
      </w:r>
      <w:r w:rsidR="000A0D60">
        <w:t>viivisnõudeks.</w:t>
      </w:r>
    </w:p>
    <w:p w:rsidR="009569C7" w:rsidRPr="00EC4FA2" w:rsidRDefault="00A834F1" w:rsidP="009569C7">
      <w:pPr>
        <w:pStyle w:val="Baseparagraphnumbered"/>
        <w:tabs>
          <w:tab w:val="left" w:pos="851"/>
        </w:tabs>
        <w:ind w:left="709"/>
      </w:pPr>
      <w:r>
        <w:t>Kirje „nõuetekohaselt teenindatavad nõuded, mille suhtes rakendatakse makseraskuste tõttu restruktureerimise meetmeid“ hõlmab makseraskuste tõttu restruktureeritud nõudeid, mis ei vasta viivisnõudena käsitamise kriteeriumidele ja need arvatakse nõuetekohaselt teenindatavate nõuete kategooriasse. Nõuetekohaselt teenindatav makseraskuste tõttu restruktureeritud nõue on katseajal vastavalt punktile 256, muu hulgas ka siis, kui kohaldatakse punkti 259. Katseajal olevaid nõuetekohaselt teenindatavaid makseraskuste tõttu restruktureeritud nõudeid, mis on viivisnõuete kategooriast eemaldatud, kajastatakse eraldi nõuetekohaselt teenindatavate nõuete hulgas, mille suhtes rakendatakse makseraskuste tõttu restruktureerimise meetmeid, veerus „millest: katseajal olevad nõuetekohaselt teenindatavad makseraskuste tõttu restruktureeritud nõuded, mis on eemalda</w:t>
      </w:r>
      <w:r w:rsidR="000A0D60">
        <w:t>tud viivisnõuete kategooriast“.</w:t>
      </w:r>
    </w:p>
    <w:p w:rsidR="009569C7" w:rsidRPr="00EC4FA2" w:rsidRDefault="00A834F1" w:rsidP="009569C7">
      <w:pPr>
        <w:pStyle w:val="Baseparagraphnumbered"/>
        <w:tabs>
          <w:tab w:val="left" w:pos="851"/>
        </w:tabs>
        <w:ind w:left="709"/>
      </w:pPr>
      <w:r>
        <w:t>Kirje „viivisnõuded, mille suhtes rakendatakse makseraskuste tõttu restruktureerimise meetmeid“ hõlmab makseraskuste tõttu restruktureeritud nõudeid, mis vastavad viivisnõudena käsitamise kriteeriumidele ja need arvatakse viivisnõuete kategooriasse. Kõnealused viivisnõuded, mille suhtes rakendatakse makseraskuste tõttu restruktureerimi</w:t>
      </w:r>
      <w:r w:rsidR="000F4147">
        <w:t>se meetmeid, hõlmavad järgmist:</w:t>
      </w:r>
    </w:p>
    <w:p w:rsidR="009569C7" w:rsidRPr="00EC4FA2" w:rsidRDefault="00A834F1" w:rsidP="009569C7">
      <w:pPr>
        <w:pStyle w:val="Text1"/>
        <w:numPr>
          <w:ilvl w:val="0"/>
          <w:numId w:val="49"/>
        </w:numPr>
        <w:ind w:left="1134" w:hanging="425"/>
      </w:pPr>
      <w:r>
        <w:t>nõuded, mis on muutunud makseraskuste tõttu restruktureerimise meetmete rakenda</w:t>
      </w:r>
      <w:r w:rsidR="000F4147">
        <w:t>mise tulemusena viivisnõueteks;</w:t>
      </w:r>
    </w:p>
    <w:p w:rsidR="009569C7" w:rsidRPr="00EC4FA2" w:rsidRDefault="00A834F1" w:rsidP="009569C7">
      <w:pPr>
        <w:pStyle w:val="Text1"/>
        <w:numPr>
          <w:ilvl w:val="0"/>
          <w:numId w:val="49"/>
        </w:numPr>
        <w:ind w:left="1134" w:hanging="425"/>
      </w:pPr>
      <w:r>
        <w:t>nõuded, mis olid enne makseraskuste tõttu restruktureerimise meet</w:t>
      </w:r>
      <w:r w:rsidR="000F4147">
        <w:t>mete rakendamist viivisnõuded;</w:t>
      </w:r>
    </w:p>
    <w:p w:rsidR="009569C7" w:rsidRPr="00EC4FA2" w:rsidRDefault="00A834F1" w:rsidP="009569C7">
      <w:pPr>
        <w:pStyle w:val="Text1"/>
        <w:numPr>
          <w:ilvl w:val="0"/>
          <w:numId w:val="49"/>
        </w:numPr>
        <w:ind w:left="1134" w:hanging="425"/>
      </w:pPr>
      <w:r>
        <w:t>makseraskuste tõttu restruktureeritud nõuded, mis on nõuetekohaselt teenindatavate nõuete kategooriast eemaldatud, sealhulgas punkti 260 kohal</w:t>
      </w:r>
      <w:r w:rsidR="000A0D60">
        <w:t>damisel ümberliigitatud nõuded.</w:t>
      </w:r>
    </w:p>
    <w:p w:rsidR="009569C7" w:rsidRPr="00EC4FA2" w:rsidRDefault="00A834F1" w:rsidP="009569C7">
      <w:pPr>
        <w:pStyle w:val="Baseparagraphnumbered"/>
        <w:tabs>
          <w:tab w:val="left" w:pos="851"/>
        </w:tabs>
        <w:ind w:left="709"/>
      </w:pPr>
      <w:r>
        <w:t>Kui makseraskuste tõttu restruktureerimise meetmeid laiendatakse nõuetele, mis olid enne makseraskuste tõttu restruktureerimise meetmete laiendamist viivisnõuded, esitatakse kõnealuste makseraskuste tõttu restruktureeritud nõuete summa eraldi veerus „millest: enne makseraskuste tõttu restruktureerimise meetmeid tekkinud viivisnõuete makseraskuste tõttu restruktureerimine“.</w:t>
      </w:r>
    </w:p>
    <w:p w:rsidR="009569C7" w:rsidRPr="00EC4FA2" w:rsidRDefault="00A834F1" w:rsidP="009569C7">
      <w:pPr>
        <w:pStyle w:val="Baseparagraphnumbered"/>
        <w:tabs>
          <w:tab w:val="left" w:pos="851"/>
        </w:tabs>
        <w:ind w:left="709"/>
      </w:pPr>
      <w:r>
        <w:lastRenderedPageBreak/>
        <w:t>Järgmised viivisnõuded, mille suhtes kohaldatakse makseraskuste tõttu restruktureerimise meetmeid, esitatakse eraldi veergudes:</w:t>
      </w:r>
    </w:p>
    <w:p w:rsidR="009569C7" w:rsidRPr="00EC4FA2" w:rsidRDefault="00A834F1" w:rsidP="009569C7">
      <w:pPr>
        <w:pStyle w:val="Text1"/>
        <w:numPr>
          <w:ilvl w:val="0"/>
          <w:numId w:val="50"/>
        </w:numPr>
        <w:ind w:left="1134" w:hanging="425"/>
      </w:pPr>
      <w:r>
        <w:t>nõuded, mida käsitatakse olevat langenud väärtusega vastavalt kohaldatavale raamatupidamistavale; IFRSi kohaselt esitatakse selles veerus selliste varade väärtus, mille väärtus on krediidiriski tõttu langenud (3. etapp), sealhulgas ostetud või tekitatud krediidiriski tõttu langenud väärtusega varade väärtus;</w:t>
      </w:r>
    </w:p>
    <w:p w:rsidR="009569C7" w:rsidRPr="00EC4FA2" w:rsidRDefault="00A834F1" w:rsidP="009569C7">
      <w:pPr>
        <w:pStyle w:val="Text1"/>
        <w:numPr>
          <w:ilvl w:val="0"/>
          <w:numId w:val="50"/>
        </w:numPr>
        <w:ind w:left="1134" w:hanging="425"/>
      </w:pPr>
      <w:r>
        <w:t>nõuded, mida käsitatakse makseviivituses olevana vastavalt kapitalinõuete määruse artiklile 178.</w:t>
      </w:r>
    </w:p>
    <w:p w:rsidR="009569C7" w:rsidRPr="00EC4FA2" w:rsidRDefault="00A834F1" w:rsidP="009569C7">
      <w:pPr>
        <w:pStyle w:val="Baseparagraphnumbered"/>
        <w:tabs>
          <w:tab w:val="left" w:pos="851"/>
        </w:tabs>
        <w:ind w:left="709"/>
      </w:pPr>
      <w:r>
        <w:t>Veerg „Refinantseerimine“ sisaldab makseraskuste tõttu restruktureerimise meetmena käsitatava refinantseerimise tehingu osana sõlmitud uue lepingu („võla refinantseerimine“) bilansilist brutoväärtust ning vana, tagasimakstud lepingu bilansilist brutoväärtust, m</w:t>
      </w:r>
      <w:r w:rsidR="000A0D60">
        <w:t>is ikka veel kuulub tasumisele.</w:t>
      </w:r>
    </w:p>
    <w:p w:rsidR="009569C7" w:rsidRPr="00EC4FA2" w:rsidRDefault="00A834F1" w:rsidP="009569C7">
      <w:pPr>
        <w:pStyle w:val="Baseparagraphnumbered"/>
        <w:tabs>
          <w:tab w:val="left" w:pos="851"/>
        </w:tabs>
        <w:ind w:left="709"/>
      </w:pPr>
      <w:r>
        <w:t xml:space="preserve">Makseraskuste tõttu restruktureeritud nõuded, mille puhul on kasutatud muudatuste tegemise ja refinantseerimise kombinatsiooni, liigitatakse veergu „Instrumendid, mille tingimusi on muudetud“ või veergu „Refinantseerimine“, vastavalt sellele, millisel meetmel oli suurem mõju rahavoogudele. Pankade puuli poolt refinantseerimist kajastatakse veerus „Refinantseerimine“ kogu summas, milles aruandev krediidiasutus või investeerimisühing refinantseeris võlga või milles refinantseeritud võlg ikka veel aruandvale krediidiasutusele või investeerimisühingule tasumisele kuulub. Mitme võla struktureerimist uueks võlaks kajastatakse muudatusena, välja arvatud juhul, kui on olemas ka refinantseerimise tehing, millel on rahavoogudele veelgi suurem mõju. Kui probleemse nõude tingimuste muutmise kaudu toimuva makseraskuste tõttu restruktureerimise tulemusena selle nõude kajastamine lõpetatakse ja kajastatakse uus nõue, käsitatakse seda uut nõuet makseraskuste </w:t>
      </w:r>
      <w:r w:rsidR="000F4147">
        <w:t>tõttu restruktureeritud võlana.</w:t>
      </w:r>
    </w:p>
    <w:p w:rsidR="009569C7" w:rsidRPr="00EC4FA2" w:rsidRDefault="00A834F1" w:rsidP="009569C7">
      <w:pPr>
        <w:pStyle w:val="Baseparagraphnumbered"/>
        <w:tabs>
          <w:tab w:val="left" w:pos="851"/>
        </w:tabs>
        <w:ind w:left="709"/>
      </w:pPr>
      <w:r>
        <w:t>Kirje „varade väärtuse akumuleeritud langus, krediidiriskist tulenevad õiglase väärtuse akumuleeritud negatiivsed muutused ja eraldised“ all esitatakse andmed vastavalt käesoleva osa pun</w:t>
      </w:r>
      <w:r w:rsidR="000F4147">
        <w:t>ktidele 11, 69–71, 106 ja 110.</w:t>
      </w:r>
    </w:p>
    <w:p w:rsidR="009569C7" w:rsidRPr="00EC4FA2" w:rsidRDefault="00A834F1" w:rsidP="009569C7">
      <w:pPr>
        <w:pStyle w:val="Baseparagraphnumbered"/>
        <w:tabs>
          <w:tab w:val="left" w:pos="851"/>
        </w:tabs>
        <w:ind w:left="709"/>
      </w:pPr>
      <w:r>
        <w:t>Selliste nõuete puhul saadud tagatised ja garantiid, mille suhtes kohaldatakse makseraskuste tõttu restruktureerimise meetmeid, kajastatakse kõigi nõuete puhul, mille suhtes kohaldatakse makseraskuste tõttu restruktureerimise meetmeid, sõltumata sellest, kas need on nõuetekohaselt teenindatavad nõuded või viivisnõuded. Saadud tagatiste ja saadud garantiide puhul esitatavad summad arvutatakse kooskõlas käesoleva osa punktidega 172 ja 174. Nii tagatise kui ka garantiide puhul esitatud summade kogusumma ülempiiriks on seotud nõude bilansiline väärtus.</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485887358"/>
      <w:r>
        <w:t xml:space="preserve">Geograafiline jaotus </w:t>
      </w:r>
      <w:bookmarkEnd w:id="212"/>
      <w:r>
        <w:t>(20)</w:t>
      </w:r>
      <w:bookmarkEnd w:id="253"/>
      <w:bookmarkEnd w:id="254"/>
      <w:bookmarkEnd w:id="255"/>
      <w:bookmarkEnd w:id="256"/>
    </w:p>
    <w:p w:rsidR="009569C7" w:rsidRPr="00EC4FA2" w:rsidRDefault="00A834F1" w:rsidP="003A3ED4">
      <w:pPr>
        <w:pStyle w:val="Baseparagraphnumbered"/>
        <w:tabs>
          <w:tab w:val="left" w:pos="851"/>
        </w:tabs>
      </w:pPr>
      <w:r>
        <w:t>Vormi 20 kohane teave esitatakse juhul, kui krediidiasutus või investeerimisühing ületab käesoleva määruse artikli 5 lõike 1 punkti a ala</w:t>
      </w:r>
      <w:r w:rsidR="000A0D60">
        <w:t xml:space="preserve">punktis </w:t>
      </w:r>
      <w:proofErr w:type="spellStart"/>
      <w:r w:rsidR="000A0D60">
        <w:t>iv</w:t>
      </w:r>
      <w:proofErr w:type="spellEnd"/>
      <w:r w:rsidR="000A0D60">
        <w:t xml:space="preserve"> kirjeldatud künnise.</w:t>
      </w:r>
    </w:p>
    <w:p w:rsidR="009569C7" w:rsidRPr="00EC4FA2" w:rsidRDefault="00A834F1" w:rsidP="009569C7">
      <w:pPr>
        <w:pStyle w:val="sub-subtitlenumbered"/>
        <w:jc w:val="both"/>
      </w:pPr>
      <w:bookmarkStart w:id="257" w:name="_Toc467855249"/>
      <w:bookmarkStart w:id="258" w:name="_Toc485887359"/>
      <w:r>
        <w:t>Geograafiline jaotus tegevuse asukoha alusel (20.1–20.3)</w:t>
      </w:r>
      <w:bookmarkEnd w:id="257"/>
      <w:bookmarkEnd w:id="258"/>
    </w:p>
    <w:p w:rsidR="009569C7" w:rsidRPr="00EC4FA2" w:rsidRDefault="00A834F1" w:rsidP="003A3ED4">
      <w:pPr>
        <w:pStyle w:val="Baseparagraphnumbered"/>
        <w:tabs>
          <w:tab w:val="left" w:pos="851"/>
        </w:tabs>
      </w:pPr>
      <w:r>
        <w:lastRenderedPageBreak/>
        <w:t>Vormides 20.1–20.3 jagunevad tegevused geograafiliselt asukoha järgi: „riigisisesed tegevused“ ja „riigivälised tegevused“. Käesoleva osa puhul tähendab „asukoht“ sellise juriidilise isiku asutamise jurisdiktsiooni, kes on kajastanud asjaomase vara või kohustuse; filiaalide puhul on see nende asukoha jurisdiktsioon. Sel eesmärgil hõlmavad riigisisesed tegevused tegevusi, mis on kajastatud aruandva krediidiasutuse või investeerimisühingu asukoha liikmesriigis.</w:t>
      </w:r>
    </w:p>
    <w:p w:rsidR="009569C7" w:rsidRPr="00EC4FA2" w:rsidRDefault="00A834F1" w:rsidP="009569C7">
      <w:pPr>
        <w:pStyle w:val="sub-subtitlenumbered"/>
        <w:jc w:val="both"/>
      </w:pPr>
      <w:bookmarkStart w:id="259" w:name="_Toc467855250"/>
      <w:bookmarkStart w:id="260" w:name="_Toc485887360"/>
      <w:r>
        <w:t>Geograafiline jaotus vastaspoole residentsuse alusel (20.4–20.7)</w:t>
      </w:r>
      <w:bookmarkEnd w:id="259"/>
      <w:bookmarkEnd w:id="260"/>
    </w:p>
    <w:p w:rsidR="009569C7" w:rsidRPr="00EC4FA2" w:rsidRDefault="00A834F1" w:rsidP="003A3ED4">
      <w:pPr>
        <w:pStyle w:val="Baseparagraphnumbered"/>
        <w:tabs>
          <w:tab w:val="left" w:pos="851"/>
        </w:tabs>
      </w:pPr>
      <w:r>
        <w:t>Vormid 20.4–20.7 sisaldavad teavet riikide lõikes vahetu vastaspoole asukoha alusel, nagu on määratletud käesoleva lisa 1. osa punktis 43. Esitatud jaotus hõlmab nõudeid või kohustusi iga sellise välisriigi residendi vastu, kus krediidiasutusel või investeerimisühingul on riskipositsioonid. Nõudeid ja kohustusi rahvusvaheliste organisatsioonide ja mitmepoolsete arengupankade vastu ei määrata krediidiasutuse või investeerimisühingu asukohariigi, vaid geograafilise piirkonna „muud riigid“ alla.</w:t>
      </w:r>
    </w:p>
    <w:p w:rsidR="009569C7" w:rsidRPr="00EC4FA2" w:rsidRDefault="00A834F1" w:rsidP="003A3ED4">
      <w:pPr>
        <w:pStyle w:val="Baseparagraphnumbered"/>
        <w:tabs>
          <w:tab w:val="left" w:pos="851"/>
        </w:tabs>
      </w:pPr>
      <w:r>
        <w:t xml:space="preserve">„Tuletisinstrumendid“ hõlmavad nii kauplemisel kasutatavaid tuletisinstrumente (sealhulgas majanduslik riskimaandus) kui ka IFRSi ja GAAPi kohaseid riskimaanduse tuletisinstrumente, mida </w:t>
      </w:r>
      <w:r w:rsidR="000A0D60">
        <w:t>kajastatakse vormides 10 ja 11.</w:t>
      </w:r>
    </w:p>
    <w:p w:rsidR="009569C7" w:rsidRPr="00EC4FA2" w:rsidRDefault="00A834F1" w:rsidP="003A3ED4">
      <w:pPr>
        <w:pStyle w:val="Baseparagraphnumbered"/>
        <w:tabs>
          <w:tab w:val="left" w:pos="851"/>
        </w:tabs>
      </w:pPr>
      <w:r>
        <w:t>IFRSi kohased kauplemiseks hoitavad varad ja GAAPi kohased kauplemisel kasutatavad varad esitatakse eraldi. Finantsvarad, mille suhtes kohaldatakse väärtuse langust, on määratletud käesoleva osa punktis 93. LOCOMi kohaselt mõõdetavaid varasid, mille väärtust on krediidiriski tõttu korrigeeritud, käsitatakse langenud väärtusega varadena.</w:t>
      </w:r>
    </w:p>
    <w:p w:rsidR="009569C7" w:rsidRPr="00EC4FA2" w:rsidRDefault="00A834F1" w:rsidP="003A3ED4">
      <w:pPr>
        <w:pStyle w:val="Baseparagraphnumbered"/>
        <w:tabs>
          <w:tab w:val="left" w:pos="851"/>
        </w:tabs>
      </w:pPr>
      <w:r>
        <w:t>Vormides 20.4 ja 20.7 kajastatakse „varade väärtuse akumuleeritud langus“ ja „viivisnõuete krediidiriskist tulenevad õiglase väärtuse akumuleeritud negatiivsed muutused“ vastavalt käesoleva osa punktides 69–71 määratletule.</w:t>
      </w:r>
    </w:p>
    <w:p w:rsidR="009569C7" w:rsidRPr="00EC4FA2" w:rsidRDefault="00A834F1" w:rsidP="003A3ED4">
      <w:pPr>
        <w:pStyle w:val="Baseparagraphnumbered"/>
        <w:tabs>
          <w:tab w:val="left" w:pos="851"/>
        </w:tabs>
      </w:pPr>
      <w:r>
        <w:t>Võlainstrumentide puhul kajastatakse vormis 20.4 „bilansiline brutoväärtus“ vastavalt käesoleva lisa 1. osa punktis 34 määratletule. Tuletisinstrumentide ja omakapitaliinstrumentide puhul on kajastatavaks summaks bilansiline väärtus. Veerus „millest: viivisnõuded“ kajastatakse võlainstrumente vastavalt käesoleva lisa punktides 213–232 määratletule. Võla makseraskuste tõttu restruktureerimine hõlmab vormi 19 eesmärgil kõiki võlalepinguid, millele on laiendatud makseraskuste tõttu restruktureerimise meetmeid, nagu need on määratletud k</w:t>
      </w:r>
      <w:r w:rsidR="000A0D60">
        <w:t>äesoleva osa punktides 240–255.</w:t>
      </w:r>
    </w:p>
    <w:p w:rsidR="009569C7" w:rsidRPr="00EC4FA2" w:rsidRDefault="00A834F1" w:rsidP="003A3ED4">
      <w:pPr>
        <w:pStyle w:val="Baseparagraphnumbered"/>
        <w:tabs>
          <w:tab w:val="left" w:pos="851"/>
        </w:tabs>
      </w:pPr>
      <w:r>
        <w:t>Vormis 20.5 hõlmab „võetud siduvate kohustuste ja antud garantiidega seotud eraldised“ IAS 37 kohaselt mõõtetud eraldisi, IFRS 4 kohaste kindlustuslepingutena käsitatavate finantsgarantiide krediidikahju, võetud siduvate laenuandmiskohustuste ja antud finantsgarantiide eraldisi IFRS 9 kohaste väärtuse languse nõuete kohaldamisel ja võetud siduvate kohustuste ja antud garantiide eraldisi BADil põhineva siseriikliku GAAPi kohaselt vastavalt käesoleva osa punktile 11.</w:t>
      </w:r>
    </w:p>
    <w:p w:rsidR="009569C7" w:rsidRPr="00EC4FA2" w:rsidRDefault="00A834F1" w:rsidP="003A3ED4">
      <w:pPr>
        <w:pStyle w:val="Baseparagraphnumbered"/>
        <w:tabs>
          <w:tab w:val="left" w:pos="851"/>
        </w:tabs>
      </w:pPr>
      <w:r>
        <w:lastRenderedPageBreak/>
        <w:t>Vormis 20.7 esitatakse laenud ja ettemaksed, mida ei hoita kauplemise eesmärgil, riikide lõikes NACE koodide kohase klassifikatsiooni alusel. NACE koodide esitamine toimub esimese eristustaseme (st jagude tase) alusel. Laenud ja ettemaksed, mille suhtes kohaldatakse väärtuse langust, osutavad samadele portfellidele, millele on osutatud käesoleva osa punktis 93.</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485887361"/>
      <w:bookmarkEnd w:id="261"/>
      <w:bookmarkEnd w:id="262"/>
      <w:r>
        <w:t>Materiaalne ja immateriaalne vara: kasutusrendil olevad varad (21)</w:t>
      </w:r>
      <w:bookmarkEnd w:id="263"/>
      <w:bookmarkEnd w:id="264"/>
      <w:bookmarkEnd w:id="265"/>
      <w:bookmarkEnd w:id="267"/>
    </w:p>
    <w:p w:rsidR="009569C7" w:rsidRPr="00EC4FA2" w:rsidRDefault="00A834F1" w:rsidP="003A3ED4">
      <w:pPr>
        <w:pStyle w:val="Baseparagraphnumbered"/>
        <w:tabs>
          <w:tab w:val="left" w:pos="851"/>
        </w:tabs>
      </w:pPr>
      <w:r>
        <w:t>Käesoleva määruse artikli 9 punkti e kohase künnise arvutamiseks jagatakse materiaalne vara, mille krediidiasutus või investeerimisühing (rendileandja) on andnud rendile kolmandatele isikutele lepingutega, mida saab käsitada kasutusrendina vastavalt kohaldatavale raamatupidamistavale, materiaalse vara kogusummaga.</w:t>
      </w:r>
    </w:p>
    <w:p w:rsidR="009569C7" w:rsidRPr="00EC4FA2" w:rsidRDefault="00A834F1" w:rsidP="003A3ED4">
      <w:pPr>
        <w:pStyle w:val="Baseparagraphnumbered"/>
        <w:tabs>
          <w:tab w:val="left" w:pos="851"/>
        </w:tabs>
      </w:pPr>
      <w:r>
        <w:t>IFRSi kohaselt kajastatakse varad, mille krediidiasutus või investeerimisühing (rendileandja) on kolmandatele isikutele kasutusrendi alusel rendile andnud, mõõtmismeetodite kaupa.</w:t>
      </w:r>
    </w:p>
    <w:p w:rsidR="009569C7" w:rsidRPr="00EC4FA2" w:rsidRDefault="00A834F1" w:rsidP="009569C7">
      <w:pPr>
        <w:pStyle w:val="subtitlenumbered"/>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485887362"/>
      <w:r>
        <w:t>Varade valitsemine, hoidmine ja muud teenuste osutamise funktsioonid (22)</w:t>
      </w:r>
      <w:bookmarkEnd w:id="268"/>
      <w:bookmarkEnd w:id="269"/>
      <w:bookmarkEnd w:id="274"/>
    </w:p>
    <w:bookmarkEnd w:id="270"/>
    <w:p w:rsidR="009569C7" w:rsidRPr="00EC4FA2" w:rsidRDefault="00A834F1" w:rsidP="003A3ED4">
      <w:pPr>
        <w:pStyle w:val="Baseparagraphnumbered"/>
        <w:tabs>
          <w:tab w:val="left" w:pos="851"/>
        </w:tabs>
      </w:pPr>
      <w:r>
        <w:t>Käesoleva määruse artikli 9 punkti f kohase künnise arvutamisel on „teenus- ja vahendustasude netotulu“ summa kirjete „teenus- ja vahendustasude tulu“ ning „teenus- ja vahendustasude kulu“ vahe absoluutväärtus. Samal eesmärgil on „netointressi“ summa kirjete „intressitulu“ ja „intressikulu“ vahe absoluutväärtus.</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485887363"/>
      <w:r>
        <w:t xml:space="preserve">Teenus- ja vahendustasude tulud ja kulud </w:t>
      </w:r>
      <w:bookmarkEnd w:id="271"/>
      <w:bookmarkEnd w:id="272"/>
      <w:bookmarkEnd w:id="273"/>
      <w:r>
        <w:t>tegevuste kaupa (22.1)</w:t>
      </w:r>
      <w:bookmarkEnd w:id="275"/>
      <w:bookmarkEnd w:id="276"/>
      <w:bookmarkEnd w:id="277"/>
      <w:bookmarkEnd w:id="278"/>
    </w:p>
    <w:p w:rsidR="009569C7" w:rsidRPr="00EC4FA2" w:rsidRDefault="00A834F1" w:rsidP="003A3ED4">
      <w:pPr>
        <w:pStyle w:val="Baseparagraphnumbered"/>
        <w:tabs>
          <w:tab w:val="left" w:pos="851"/>
        </w:tabs>
      </w:pPr>
      <w:r>
        <w:t>Teenus- ja vahendustasude tulud ja kulud kajastatakse tegevuse liigi kaupa. IFRSi kohaselt sisaldab see vorm teenus- ja vahendustasude tulu ja kulu, v</w:t>
      </w:r>
      <w:r w:rsidR="000A0D60">
        <w:t>älja arvatud mõlemad järgmised:</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summad, mida võetakse arvesse finantsinstrumentide efektiivse intressimäära arvutamisel </w:t>
      </w:r>
      <w:r w:rsidR="000A0D60">
        <w:rPr>
          <w:rFonts w:ascii="Times New Roman" w:hAnsi="Times New Roman"/>
          <w:sz w:val="24"/>
        </w:rPr>
        <w:t>[IFRS 7 paragrahvi 20 punkt c];</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summad, mis tulenevad finantsinstrumentidest, mida mõõdetakse õiglases väärtuses muutustega läbi kasumiaruande [IFRS 7 para</w:t>
      </w:r>
      <w:r w:rsidR="000A0D60">
        <w:rPr>
          <w:rFonts w:ascii="Times New Roman" w:hAnsi="Times New Roman"/>
          <w:sz w:val="24"/>
        </w:rPr>
        <w:t>grahvi 20 punkti c alapunkt i].</w:t>
      </w:r>
    </w:p>
    <w:p w:rsidR="009569C7" w:rsidRPr="00EC4FA2" w:rsidRDefault="00A834F1" w:rsidP="003A3ED4">
      <w:pPr>
        <w:pStyle w:val="Baseparagraphnumbered"/>
        <w:tabs>
          <w:tab w:val="left" w:pos="851"/>
        </w:tabs>
      </w:pPr>
      <w:r>
        <w:t>Arvesse ei võeta tehingukulusid, mis on otseselt seotud selliste finantsinstrumentide omandamise või emiteerimisega, mida ei mõõdeta õiglases väärtuses muutustega läbi kasumiaruande; need kulud on osa kõnealuste instrumentide esialgse omandamise/emiteerimise väärtusest ning amortiseeritakse instrumendi järelejäänud tähtaja jooksul kasumisse või kahjumisse, kasutades efektiivset intressimäära [vt IFRS 9 paragrahv 5.1.1].</w:t>
      </w:r>
    </w:p>
    <w:p w:rsidR="009569C7" w:rsidRPr="00EC4FA2" w:rsidRDefault="00A834F1" w:rsidP="003A3ED4">
      <w:pPr>
        <w:pStyle w:val="Baseparagraphnumbered"/>
        <w:tabs>
          <w:tab w:val="left" w:pos="851"/>
        </w:tabs>
      </w:pPr>
      <w:r>
        <w:t xml:space="preserve">IFRSi kohaselt kajastatakse tehingukulud, mis on otseselt seotud selliste finantsinstrumentide omandamise või emiteerimisega, mida mõõdetakse õiglases väärtuses muutustega läbi kasumiaruande, kirjetel „kauplemiseks hoitavatest finantsvaradest ja -kohustustest tulenev netokasum või netokahjum“, „kauplemisel mittekasutatavatest kohustuslikult õiglases </w:t>
      </w:r>
      <w:r>
        <w:lastRenderedPageBreak/>
        <w:t>väärtuses muutustega läbi kasumiaruande kajastatud finantsvaradest tulenev netokasum või netokahjum“ ja „õiglases väärtuses muutustega läbi kasumiaruande kajastatud finantsvaradest ja -kohustustest tulenev netokasum või netokahjum“, sõltuvalt arvestusportfellist, kuhu nad on liigitatud. Need kulud ei ole osa kõnealuste instrumentide esialgse omandamise või emiteerimise väärtusest ning kajastatakse koheselt kasumiaruandes.</w:t>
      </w:r>
    </w:p>
    <w:p w:rsidR="009569C7" w:rsidRPr="00EC4FA2" w:rsidRDefault="00A834F1" w:rsidP="003A3ED4">
      <w:pPr>
        <w:pStyle w:val="Baseparagraphnumbered"/>
        <w:tabs>
          <w:tab w:val="left" w:pos="851"/>
        </w:tabs>
      </w:pPr>
      <w:r>
        <w:t>Krediidiasutused ja investeerimisühingud kajastavad teenus- ja vahendustasude tulusid ja kulusid vastava</w:t>
      </w:r>
      <w:r w:rsidR="000A0D60">
        <w:t>lt järgmistele kriteeriumidele: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kirje „Väärtpaberid. Emiteerimised“ hõlmab teenus- ja vahendustasusid, mille krediidiasutus või investeerimisühing on saanud sellise väärtpaberiemissiooni algatamises või selliste väärtpaberite emiteerimises osalemise eest, mida ta ise ei ole algatanud või emiteerinud;</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kirje „Väärtpaberid. Ülekandekorraldused“ hõlmab teenus- ja vahendustasusid, mis krediidiasutus või investeerimisühing on saanud, kuna ta on klientide nimel võtnud vastu, edastanud ja täitnud väärtpaberite ostu- või müügikorraldusi;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kirje „Väärtpaberid. Muu“ hõlmab teenus- ja vahendustasusid, mille krediidiasutus või investeerimisühing on saanud, kuna on osutanud muid teenuseid seoses väärtpaberitega, mille emiteerimist ta ei ole ise algatanud ja mida ta ei ole ise emiteerinud;</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kirje „kliiring ja arveldus“ sisaldab teenus- ja vahendustasude tulusid (kulusid), mis krediidiasutus või investeerimisühing on saanud (tal on tulnud tasuda), kui ta on osalenud vastaspoole-, kliiringu- ja arveldussüsteemides;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kirjed „varade valitsemine“, „hoidmine“, „kesksed haldusteenused ühiseks investeerimiseks loodud ettevõtjatele“, „usaldustehingud“ ja „makseteenused“ sisaldavad selliseid teenus- ja vahendustasude tulusid (kulusid), mis krediidiasutus või investeerimisühing on saanud (tal on tulnud tasuda), kui ta on osutanud kõnealuseid teenuseid;</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kirje „struktureeritud rahastamine“ sisaldab teenus- ja vahendustasusid, mida krediidiasutus või investeerimisühing on saanud osalemise eest selliste finantsinstrumentide emissiooni algatamises või emiteerimisel, mis ei ole krediidiasutuse või investeerimisühingu enda tekitatu</w:t>
      </w:r>
      <w:r w:rsidR="000A0D60">
        <w:rPr>
          <w:rFonts w:ascii="Times New Roman" w:hAnsi="Times New Roman"/>
          <w:sz w:val="24"/>
        </w:rPr>
        <w:t>d või emiteeritud väärtpaberid;</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„laenuteeninduse“ tasud sisaldavad tulude poolel teenus- ja vahendustasude tulu, mille krediidiasutus või investeerimisühing on saanud laenuteeninduse teenuste osutamise eest, ning kulude poolel teenus- ja vahendustasudest tulenevat kulu, mida krediidiasutus või investeerimisühing on tasunud laenuteeninduse teenuse osutajatele;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kirjed „võetud siduvad laenuandmiskohustused“ ja „antud finantsgarantiid“ sisaldavad perioodi jooksul tuluna kirjendatud kõnealuste tegevuste eest saadud teenus- ja vahendustasude amortiseeritud summat, mis algselt kirjendati muude kohustustena;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kirjed „siduvad laenuandmiskohustused aruande esitaja ees“ ja „saadud finantsgarantiid“ sisaldavad teenus- ja vahendustasusid, mida krediidiasutus või investeerimisühing on perioodi jooksul kirjendanud kuluna ja mis tulenevad sellise laenuandmiskohustuse võtnud või finantsgarantii andnud vastaspoole poolt võetud tasudest, mida al</w:t>
      </w:r>
      <w:r w:rsidR="000A0D60">
        <w:rPr>
          <w:rFonts w:ascii="Times New Roman" w:hAnsi="Times New Roman"/>
          <w:sz w:val="24"/>
        </w:rPr>
        <w:t>gselt kajastati muude varadena;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kirje „muu“ sisaldab ülejäänud teenus- ja vahendustasude tulu (kulu), mis krediidiasutus või investeerimisühing on saanud (tal on tulnud tasuda), näiteks see, mis on tulenenud „muudest siduvatest kohustustest“, valuutavahetusteenustest (nt välismaiste pangatähtede või müntide vahetus) või muude tasupõhiste nõuannete või teenuste osutamisest (saamisest).</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485887364"/>
      <w:r>
        <w:t>Osutatud teenustega seotud varad (22.2)</w:t>
      </w:r>
      <w:bookmarkEnd w:id="279"/>
      <w:bookmarkEnd w:id="280"/>
      <w:bookmarkEnd w:id="281"/>
      <w:bookmarkEnd w:id="282"/>
    </w:p>
    <w:p w:rsidR="009569C7" w:rsidRPr="00EC4FA2" w:rsidRDefault="00A834F1" w:rsidP="003A3ED4">
      <w:pPr>
        <w:pStyle w:val="Baseparagraphnumbered"/>
        <w:tabs>
          <w:tab w:val="left" w:pos="851"/>
        </w:tabs>
      </w:pPr>
      <w:r>
        <w:t>Varade valitsemine, hoidmisfunktsioonide ja krediidiasutuse või investeerimisühingu muude osutatud teenustega seotud äritegevus kajastatakse, kasutades järgmisi määratlusi:</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„varade valitsemine“ osutab varadele, mis kuuluvad otseselt klientidele ja mida krediidiasutus või investeerimisühing haldab. „Varade valitsemine“ esitatakse kliendi liigi alusel: ühiseks investeerimiseks loodud ettevõtjad, pensionifondid, kaalutlusõigusel valitsetavad kliendiportfellid ning muud </w:t>
      </w:r>
      <w:r w:rsidR="000A0D60">
        <w:rPr>
          <w:rFonts w:ascii="Times New Roman" w:hAnsi="Times New Roman"/>
          <w:sz w:val="24"/>
        </w:rPr>
        <w:t>investeerimisvahendid;</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„hoidmisel olevad varad“ osutab krediidiasutuse või investeerimisühingu osutatavatele kliendi kontol olevate finantsinstrumentide hoidmise ja haldamise teenustele ning deponeerimisega seotud teenustele, nt raha ja tagatiste haldamine. „Hoidmisel olevad varad“ tuleb kajastada selliste klientide liikide kaupa, , kelle vara krediidiasutus või investeerimisühing hoiab, eristades ühiseks investeerimiseks loodud ettevõtjaid ja teisi. Kirjel „millest: muudele üksustele hoidmiseks antud“ kajastatakse nende hoidmisel olevates varades sisalduvate varade summa, mille puhul krediidiasutus või investeerimisühing on tegeliku hoidm</w:t>
      </w:r>
      <w:r w:rsidR="000F4147">
        <w:rPr>
          <w:rFonts w:ascii="Times New Roman" w:hAnsi="Times New Roman"/>
          <w:sz w:val="24"/>
        </w:rPr>
        <w:t>ise andnud teistele üksustele;</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„kesksed haldusteenused ühiste investeerimiste puhul“ osutab haldusteenustele, mida krediidiasutus või investeerimisühing osutab ühiseks investeerimiseks loodud ettevõtjatele. See hõlmab muu hulgas väärtpaberiregistrite teenuseid; arvestusdokumentide koostamise teenuseid; prospektide, finantsaruannete ja kõigi muude investoritele suunatud dokumentide koostamise teenuseid; teabevahetuse teenuseid, levitades finantsaruandeid ja kõiki muid investoritele suunatud dokumente; emiteerimiste ja tagasivõtmiste teostamise ning investorite registri pidamise teenuseid ning vara puhasväärtuse arvutamise teenuseid;</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„usaldustehingud“ on tegevused, mille puhul krediidiasutus või investeerimisühing tegutseb enda nimel, kuid oma klientide eest ja kliendid kannavad riski. Usaldustehingute puhul osutab krediidiasutus või investeerimisühing struktureeritud üksusele sageli teenuseid, näiteks hoidmisel oleva vara halduse teenuseid, või portfellide valitsemist kaalutlusõiguse alusel. Kõik usaldustehingud esitatakse üksnes sellel kirjel </w:t>
      </w:r>
      <w:r>
        <w:rPr>
          <w:rFonts w:ascii="Times New Roman" w:hAnsi="Times New Roman"/>
          <w:sz w:val="24"/>
        </w:rPr>
        <w:lastRenderedPageBreak/>
        <w:t>sõltumata sellest, kas krediidiasutus või investeerimisühing osutab täiendavalt muid teenuseid või mitte;</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„makseteenused“ osutab selliste võlainstrumentidest tulenevate maksete sissenõudmisele klientide nimel, mida ei ole kajastatud krediidiasutuse või investeerimisühingu bilansis ning mida ei ole ta ise välja andnud;</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„klientide jagatud, kuid mitte hallatavad varad“ osutab toodetele, mille on emiteerinud usaldatavusnõuete täitmise järelevalve alla kuuluvasse gruppi mittekuuluvad üksused ja mille krediidiasutus või investeerimisühing on jaotanud oma olemasolevatele klientidele. See kirje esitatakse toote liigi alusel;</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„osutatud teenustega seotud varade summa“ hõlmab nende õiglases väärtuses kajastatud varade summat, millega krediidiasutuse või investeerimisühingu tegevus on seotud. Kui õiglane väärtus ei ole kättesaadav, võib kasutada ka muid mõõtmisaluseid, sealhulgas nimiväärtust. Kui krediidiasutus või investeerimisühing osutab teenuseid sellistele üksustele nagu ühiseks investeerimiseks loodud ettevõtjad või pensionifondid, võib asjaomaseid varasid näidata väärtuses, millega need üksused kajastavad need varad enda bilansis. Esitatud summad sisaldavad vajaduse korral kogunenud intressi.</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485887365"/>
      <w:r>
        <w:t>Osalused konsolideerimata struktureeritud üksustes (30)</w:t>
      </w:r>
      <w:bookmarkEnd w:id="283"/>
      <w:bookmarkEnd w:id="284"/>
      <w:bookmarkEnd w:id="285"/>
      <w:bookmarkEnd w:id="286"/>
    </w:p>
    <w:p w:rsidR="009569C7" w:rsidRPr="00EC4FA2" w:rsidRDefault="00A834F1" w:rsidP="003A3ED4">
      <w:pPr>
        <w:pStyle w:val="Baseparagraphnumbered"/>
        <w:tabs>
          <w:tab w:val="left" w:pos="851"/>
        </w:tabs>
      </w:pPr>
      <w:r>
        <w:t>III, IV ja käesoleva lisa kohaldamisel tähendab „kasutatud likviidsustoetus“ konsolideerimata struktureeritud üksustele antud laenu ja ettemaksete bilansilise väärtuse ning konsolideerimata struktureeritud üksuste emiteeritud ja krediidiasusutse või investeerimisühingu hoitavate võlaväärtpaberite bilansilise väärtuse summat.</w:t>
      </w:r>
    </w:p>
    <w:p w:rsidR="009569C7" w:rsidRPr="00EC4FA2" w:rsidRDefault="00A834F1" w:rsidP="003A3ED4">
      <w:pPr>
        <w:pStyle w:val="Baseparagraphnumbered"/>
        <w:tabs>
          <w:tab w:val="left" w:pos="851"/>
        </w:tabs>
      </w:pPr>
      <w:r>
        <w:t>„Aruandval krediidiasutusel või investeerimisühingul käesoleval perioodil tekkinud kahjum“ hõlmab väärtuse langusest tingitud kahjumit ja mis tahes muud kahjumit, mida aruandev krediidiasutus või investeerimisühing aruandeperioodi jooksul seoses konsolideerimata struktureeritud üksustes olevate osalustega kannab.</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485887366"/>
      <w:r>
        <w:t xml:space="preserve">Seotud osapooled </w:t>
      </w:r>
      <w:bookmarkEnd w:id="266"/>
      <w:r>
        <w:t>(31)</w:t>
      </w:r>
      <w:bookmarkEnd w:id="287"/>
      <w:bookmarkEnd w:id="288"/>
      <w:bookmarkEnd w:id="289"/>
      <w:bookmarkEnd w:id="290"/>
    </w:p>
    <w:p w:rsidR="009569C7" w:rsidRPr="00EC4FA2" w:rsidRDefault="00A834F1" w:rsidP="003A3ED4">
      <w:pPr>
        <w:pStyle w:val="Baseparagraphnumbered"/>
        <w:tabs>
          <w:tab w:val="left" w:pos="851"/>
        </w:tabs>
      </w:pPr>
      <w:r>
        <w:t xml:space="preserve">Krediidiasutused ja investeerimisühingud esitavad andmed summade ja/või tehingute kohta, mis on seotud selliste bilansiliste ja bilansiväliste riskipositsioonidega, mille vastaspool on seotud osapool IAS </w:t>
      </w:r>
      <w:r w:rsidR="003A3ED4">
        <w:t>24 kohaselt.</w:t>
      </w:r>
    </w:p>
    <w:p w:rsidR="009569C7" w:rsidRPr="00EC4FA2" w:rsidRDefault="00A834F1" w:rsidP="003A3ED4">
      <w:pPr>
        <w:pStyle w:val="Baseparagraphnumbered"/>
        <w:tabs>
          <w:tab w:val="left" w:pos="851"/>
        </w:tabs>
      </w:pPr>
      <w:r>
        <w:t xml:space="preserve">Arvesse ei võeta usaldatavusnõuete täitmise järelevalve alla kuuluva grupi siseseid tehinguid ja laenujääke. Krediidiasutused ja investeerimisühingud kajastavad veerus „tütarettevõtjad ja muud samasse konsolideerimisgruppi kuuluvad üksused“ need saldod ja tehingud seoses tütarettevõtjatega, mida ei ole elimineeritud kas seepärast, et tütarettevõtjaid ei ole täielikult konsolideeritud usaldatavusnõuetekohase konsolideerimise alusel või seepärast, et vastavalt kapitalinõuete määruse artiklile 19 on tütarettevõtjad jäetud usaldatavusnõuetekohase konsolideerimise kohaldamisalast välja, kuna nad on ebaolulised, või seepärast, et suuremasse konsolideerimisgruppi kuuluvate krediidiasutuste ja investeerimisühingute puhul on tütarettevõtjad </w:t>
      </w:r>
      <w:r>
        <w:lastRenderedPageBreak/>
        <w:t>kõrgeima tasandi emaettevõtja tütarettevõtjad, mitte krediidiasutuse või investeerimisühingu enda tütarettevõtjad. Veerus „sidusettevõtjad ja ühisettevõtjad“ esitavad krediidiasutused ja investeerimisühingud proportsionaalse konsolideerimise kohaldamisel nende saldode ja tehingute osad, mis on seotud nendega samasse konsolideerimisgruppi kuuluvate ühisettevõtjate ja sidusettevõtjatega ja mida ei ole elimineeritud.</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485887367"/>
      <w:r>
        <w:t>Seotud osapooled: neile tasumisele kuuluvad ja neilt saadaolevad summad (31.1)</w:t>
      </w:r>
      <w:bookmarkEnd w:id="291"/>
      <w:bookmarkEnd w:id="292"/>
      <w:bookmarkEnd w:id="293"/>
      <w:bookmarkEnd w:id="294"/>
    </w:p>
    <w:p w:rsidR="009569C7" w:rsidRPr="00EC4FA2" w:rsidRDefault="00A834F1" w:rsidP="003A3ED4">
      <w:pPr>
        <w:pStyle w:val="Baseparagraphnumbered"/>
        <w:tabs>
          <w:tab w:val="left" w:pos="851"/>
        </w:tabs>
      </w:pPr>
      <w:r>
        <w:t>Kirjel „siduvad laenuandmiskohustused aruande esitaja ees, saadud finantsgarantiid ja muud siduvad kohustused tema ees“ esitab krediidiasutus või investeerimisühing summad, mis on aruande esitaja ees võetud siduvate laenuandmis- ja muude kohustuste nimiväärtuse ning käesoleva osa punktis 119 määratletud saadud finantsgarantiide maksimaalse väärtuse, mida saab arvesse võtta, nimiväärtuse summa.</w:t>
      </w:r>
    </w:p>
    <w:p w:rsidR="009569C7" w:rsidRPr="00EC4FA2" w:rsidRDefault="00A834F1" w:rsidP="003A3ED4">
      <w:pPr>
        <w:pStyle w:val="Baseparagraphnumbered"/>
        <w:tabs>
          <w:tab w:val="left" w:pos="851"/>
        </w:tabs>
      </w:pPr>
      <w:r>
        <w:t>„Varade väärtuse akumuleeritud langus ja viivisnõuete krediidiriskist tulenevad õiglase väärtuse akumuleeritud negatiivsed muutused“ kajastatakse vastavalt käesoleva osa punktides 69–71 määratletule üksnes viivisnõuete puhul. „Bilansiväliste viivisnõuete eraldised“ hõlmab käesoleva osa punktide 213–239 kohaste viivisnõuete eraldisi, mis on määratletud käesoleva osa punktides 11, 106 ja 111.</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485887368"/>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Seotud osapooled: kulud ja tulud, mis tulenevad tehingutest seotud osapooltega (31.2)</w:t>
      </w:r>
      <w:bookmarkEnd w:id="310"/>
      <w:bookmarkEnd w:id="311"/>
      <w:bookmarkEnd w:id="312"/>
      <w:bookmarkEnd w:id="313"/>
    </w:p>
    <w:p w:rsidR="009569C7" w:rsidRPr="00EC4FA2" w:rsidRDefault="00A834F1" w:rsidP="003A3ED4">
      <w:pPr>
        <w:pStyle w:val="Baseparagraphnumbered"/>
        <w:tabs>
          <w:tab w:val="left" w:pos="851"/>
        </w:tabs>
      </w:pPr>
      <w:r>
        <w:t>„Kasum või kahjum, mis tuleneb mittefinantsvara kajastamise lõpetamisest“ hõlmab kõiki kasumeid ja kahjumeid, mis tulenevad selliste mittefinantsvarade kajastamise lõpetamisest, mis on saadud tehingutest seotud osapooltega. See kirje sisaldab kasumeid ja kahjumeid, mis tulenevad selliste mittefinantsvarade kajastamise lõpetamisest, mis on saadud tehingutest seotud osapooltega ning mis on kasumia</w:t>
      </w:r>
      <w:r w:rsidR="003A3ED4">
        <w:t>ruande mõne järgmise kirje osa:</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„kasum või kahjum, mis tuleneb tütarettevõtjatesse, ühisettevõtjatesse ja sidusettevõtjatesse tehtud investeeringute kajastamise lõpetamisest“, kui kajastatakse BADil põhineva siseriikliku GAAPi kohaselt;</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„kasum või kahjum, mis tuleneb mittefinantsvara ka</w:t>
      </w:r>
      <w:r w:rsidR="003A3ED4">
        <w:rPr>
          <w:rFonts w:ascii="Times New Roman" w:hAnsi="Times New Roman"/>
          <w:sz w:val="24"/>
        </w:rPr>
        <w:t>jastamise lõpetamisest“;</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„kasum või kahjum müügiks hoitavatest põhivaradest ja müügigruppidest, mis ei vasta lõpeta</w:t>
      </w:r>
      <w:r w:rsidR="003A3ED4">
        <w:rPr>
          <w:rFonts w:ascii="Times New Roman" w:hAnsi="Times New Roman"/>
          <w:sz w:val="24"/>
        </w:rPr>
        <w:t>tud tegevuste kriteeriumidele“;</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„lõpetatud tegevuste kasum või kahjum pärast tulumaksu“.</w:t>
      </w:r>
    </w:p>
    <w:p w:rsidR="009569C7" w:rsidRPr="00EC4FA2" w:rsidRDefault="00A834F1" w:rsidP="003A3ED4">
      <w:pPr>
        <w:pStyle w:val="Baseparagraphnumbered"/>
        <w:tabs>
          <w:tab w:val="left" w:pos="851"/>
        </w:tabs>
      </w:pPr>
      <w:r>
        <w:t>„Viivisnõuete väärtuse langus või (–) väärtuse languse tühistamine“ hõlmab käesoleva osa punktide 213–239 kohaste viivisnõuete väärtuse langusest tulenevat kahjumit, mis on määratletud käesoleva osa punktides 51–53. „Viivisnõuete eraldised või (–) eraldiste tühistamine“ hõlmab käesoleva osa punktide 213–239 kohaste bilansiväliste viivisnõuete eraldisi, mis on määrat</w:t>
      </w:r>
      <w:r w:rsidR="003A3ED4">
        <w:t>letud käesoleva osa punktis 50.</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361844253"/>
      <w:bookmarkStart w:id="317" w:name="_Toc485887369"/>
      <w:r>
        <w:lastRenderedPageBreak/>
        <w:t>Konsolideerimisgrupi struktuur (40)</w:t>
      </w:r>
      <w:bookmarkEnd w:id="314"/>
      <w:bookmarkEnd w:id="315"/>
      <w:bookmarkEnd w:id="317"/>
    </w:p>
    <w:bookmarkEnd w:id="316"/>
    <w:p w:rsidR="009569C7" w:rsidRPr="00EC4FA2" w:rsidRDefault="00A834F1" w:rsidP="003A3ED4">
      <w:pPr>
        <w:pStyle w:val="Baseparagraphnumbered"/>
        <w:tabs>
          <w:tab w:val="left" w:pos="851"/>
        </w:tabs>
      </w:pPr>
      <w:r>
        <w:t>Krediidiasutused ja investeerimisühingud esitavad üksikasjaliku teabe aruandekuupäeva seisuga tütarettevõtjate, ühisettevõtjate ja sidusettevõtjate kohta, kes on täielikult või proportsionaalselt konsolideeritud raamatupidamisarvestusekohase konsolideerimise alusel, samuti üksuste kohta, keda kajastatakse kirje „investeeringud tütarettevõtjatesse, ühisettevõtjatesse ja sidusettevõtjatesse“ all vastavalt käesoleva osa punktile 4, sealhulgas selliste üksuste kohta, kus investeeringuid hoitakse müügiks IFRS 5 kohaselt. Andmed esitatakse kõigi üksuste kohta, sõlt</w:t>
      </w:r>
      <w:r w:rsidR="003A3ED4">
        <w:t>umata nende tegevusvaldkonnast.</w:t>
      </w:r>
    </w:p>
    <w:p w:rsidR="009569C7" w:rsidRPr="00EC4FA2" w:rsidRDefault="00A834F1" w:rsidP="003A3ED4">
      <w:pPr>
        <w:pStyle w:val="Baseparagraphnumbered"/>
        <w:tabs>
          <w:tab w:val="left" w:pos="851"/>
        </w:tabs>
      </w:pPr>
      <w:r>
        <w:t xml:space="preserve"> Selles vormis ei kajastata omakapitaliinstrumente, mis ei vasta tütarettevõtjatesse, ühisettevõtjatesse ja sidusettevõtjatesse tehtud investeeringuteks ning aruandva krediidiasutuse või investeerimisühingu omatavate omaaktsiateks liigitamise kriteeriumidele.</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485887370"/>
      <w:r>
        <w:t>Konsolideerimisgrupi struktuur: üksuste kaupa (40.1)</w:t>
      </w:r>
      <w:bookmarkEnd w:id="318"/>
      <w:bookmarkEnd w:id="319"/>
      <w:bookmarkEnd w:id="320"/>
      <w:bookmarkEnd w:id="321"/>
    </w:p>
    <w:p w:rsidR="009569C7" w:rsidRPr="00EC4FA2" w:rsidRDefault="00A834F1" w:rsidP="003A3ED4">
      <w:pPr>
        <w:pStyle w:val="Baseparagraphnumbered"/>
        <w:tabs>
          <w:tab w:val="left" w:pos="851"/>
        </w:tabs>
      </w:pPr>
      <w:r>
        <w:t>Üksuste kaupa esitatakse järgmine teave ning III, IV ja käesoleva lisa kohaldamisel kasutatakse järgmisi määratlusi: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„LEI kood“ tähendab investeerimisobjektiks oleva üksuse LEI koodi; kui investeerimisobjektiks oleval üksusel on LEI kood, märgitakse see;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„üksuse kood“ tähendab investeerimisobjektiks oleva üksuse tunnuskoodi. Üksuse kood on rea tunnus ning on vormi 40.1 iga rea puhul kordumatu;</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„üksuse nimi“ tähendab investeerimisobjektiks oleva üksuse nime;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„sissearvamise kuupäev“ tähendab kuupäeva, millal investeerimisobjektiks olev üksus hakkas kuuluma konsolideerimisgruppi;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„investeerimisobjektiks oleva üksuse aktsia- või osakapital“ tähendab investeerimisobjektiks oleva üksuse emiteeritud kapitali kogusummat aruandekuupäeva seisuga;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kirjed „investeerimisobjektiks oleva üksuse omakapital“, „investeerimisobjektiks oleva üksuse koguvarad“ ning „investeerimisobjektiks oleva üksuse kasum (või kahjum)“ hõlmavad nende kirjete summasid investeerimisobjektiks oleva üksuse viimases raamatupidamisaruandes;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„investeerimisobjektiks oleva üksuse asukohariik“ tähendab investeerimisobjekt</w:t>
      </w:r>
      <w:r w:rsidR="003A3ED4">
        <w:rPr>
          <w:rFonts w:ascii="Times New Roman" w:hAnsi="Times New Roman"/>
          <w:sz w:val="24"/>
        </w:rPr>
        <w:t>iks oleva üksuse asukoha riiki;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„investeerimisobjektiks oleva üksuse sektor“ tähendab käesoleva lisa 1. osa punktis 42 määratletud vastaspoole sektorit;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„NACE kood“ esitatakse investeerimisobjektiks oleva üksuse põhitegevusala alusel. Finantssektoriväliste äriühingute puhul esitatakse NACE koodid esimese eristustaseme (st jagude taseme) alusel; finantssektori äriühingute puhul esitatakse NACE koodid kahe eristustaseme (st osade taseme) alusel;</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 „akumuleeritud osalus omakapitalis (%)“ on krediidiasutuse või investeerimisühingu omanduses olevate omandiõiguse instrumentide o</w:t>
      </w:r>
      <w:r w:rsidR="003A3ED4">
        <w:rPr>
          <w:rFonts w:ascii="Times New Roman" w:hAnsi="Times New Roman"/>
          <w:sz w:val="24"/>
        </w:rPr>
        <w:t>sakaal aruandekuupäeva seisuga;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„hääleõigus (%)“ tähendab krediidiasutuse või investeerimisühingu omanduses aruandekuupäeva seisuga olevate omandiõiguse instrumentideg</w:t>
      </w:r>
      <w:r w:rsidR="003A3ED4">
        <w:rPr>
          <w:rFonts w:ascii="Times New Roman" w:hAnsi="Times New Roman"/>
          <w:sz w:val="24"/>
        </w:rPr>
        <w:t>a seotud hääleõiguste osakaalu;</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„konsolideerimisgrupi struktuur [suhe]“ osutab kõrgeima tasandi emaettevõtja ja investeerimisobjektis oleva üksuse vahelisele suhtele (aruandva krediidiasutuse või investeerimisühingu emaettevõtja või ühist kontrolli omav üksus, tütarettevõtja, ühisettevõtja või sidusettevõtja);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„arvestuslik käsitlus [raamatupidamisgrupp]“ tähendab suhet raamatupidamisarvestusekohase konsolideerimise kohaldamisala kohase arvestusliku käsitlusega (täielik konsolideerimine, proportsionaalne konsolideerimine, kapitaliosaluse meetod või muu);</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„arvestuslik käsitlus [kapitalinõuete määruse grupp]“ tähendab suhet arvestusliku käsitlusega vastavalt kapitalinõuete määruse kohase konsolideerimise kohaldamisalale (täielik konsolideerimine, proportsionaalne konsolideerimine, kapitaliosaluse meetod või muu);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„bilansiline väärtus“ tähendab summasid, mis on kajastatud krediidiasutuse või investeerimisühingu bilansis selliste investeerimisobjektiks olevate üksuste puhul, kes ei ole täielikult ega prop</w:t>
      </w:r>
      <w:r w:rsidR="003A3ED4">
        <w:rPr>
          <w:rFonts w:ascii="Times New Roman" w:hAnsi="Times New Roman"/>
          <w:sz w:val="24"/>
        </w:rPr>
        <w:t>ortsionaalselt konsolideeritud;</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„soetusmaksumus“ tähendab investorite makstud summat;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„investeerimisobjektiks oleva üksusega seotud firmaväärtus“ tähendab firmaväärtuse summat, mis investeerimisobjektiks oleva üksuse kohta on esitatud aruandva krediidiasutuse või investeerimisühingu konsolideeritud bilansis kirjetel „firmaväärtus“ või „investeeringud tütarettevõtjatesse, ühisettevõtjatesse ja sidusettevõtjatesse“;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„nende investeeringute õiglane väärtus, mille puhul on avaldatud hinnanoteeringud“ tähendab hinda aruandekuupäeval; see teave esitatakse ainult noteeritud finantsinstrumentide korral.</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485887371"/>
      <w:r>
        <w:t>Konsolideerimisgrupi struktuur: instrumentide kaupa (40.2)</w:t>
      </w:r>
      <w:bookmarkEnd w:id="322"/>
      <w:bookmarkEnd w:id="323"/>
      <w:bookmarkEnd w:id="324"/>
      <w:bookmarkEnd w:id="325"/>
    </w:p>
    <w:p w:rsidR="009569C7" w:rsidRPr="00EC4FA2" w:rsidRDefault="00A834F1" w:rsidP="003A3ED4">
      <w:pPr>
        <w:pStyle w:val="Baseparagraphnumbered"/>
        <w:tabs>
          <w:tab w:val="left" w:pos="851"/>
        </w:tabs>
      </w:pPr>
      <w:r>
        <w:t>Järgmine teave esitatakse eraldi iga instrumendi kohta:</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„väärtpaberi kood” tähendab väärtpaberi ISIN koodi. Väärtpaberite puhul, millele ei ole ISIN koodi määratud, esitatakse muu kood, mis on väärtpaberi kordumatu tunnus. „Väärtpaberi kood“ ja „valdusettevõtja kood“ moodustavad koos rea tunnuse ning see tunnus on vormi 40.2 iga rea puhul kordumatu;</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„valdusettevõtja kood” on selle üksuse tunnuskood, kes konsolideerimisgrupisiseselt hoiab investeeringut; „valdusettevõtja LEI kood“ on väärtpaberit hoidva ettevõtja LEI kood. Kui valdusettevõtjal on LEI kood, märgitakse see;</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 „üksuse kood“, „akumuleeritud osalus omakapitalis (%)“, „bilansiline väärtus“ ning „soetusmaksumus“ on määratletud eespool. Summad vastavad vastava valdusettevõtja hoitavale väärtpaberile.</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485887372"/>
      <w:r>
        <w:t>Õiglane väärtus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485887373"/>
      <w:r>
        <w:t>Õiglase väärtuse hierarhia: amortiseeritud soetusmaksumuses mõõdetud finantsinstrumendid (41.1)</w:t>
      </w:r>
      <w:bookmarkEnd w:id="330"/>
      <w:bookmarkEnd w:id="331"/>
      <w:bookmarkEnd w:id="332"/>
      <w:bookmarkEnd w:id="333"/>
      <w:r>
        <w:t xml:space="preserve"> </w:t>
      </w:r>
    </w:p>
    <w:p w:rsidR="009569C7" w:rsidRPr="00EC4FA2" w:rsidRDefault="00A834F1" w:rsidP="003A3ED4">
      <w:pPr>
        <w:pStyle w:val="Baseparagraphnumbered"/>
        <w:tabs>
          <w:tab w:val="left" w:pos="851"/>
        </w:tabs>
      </w:pPr>
      <w:r>
        <w:t>Selles vormis esitatakse teave finantsinstrumentide õiglase väärtuse kohta, mis on mõõdetud amortiseeritud soetusmaksumuses, kasutades IFRS 13 paragrahvides 72, 76, 81 ja 86 osutatud õiglase väärtuse hierarhiat. Kui BADil põhineva siseriikliku GAAPi kohaselt nõutakse õiglases väärtuses mõõdetud varade jaotamist erinevate õiglase väärtuse tasemete vahel, esitavad krediidiasutused ja investeerimisühingud siseriikliku GAAPi kohaselt ka selle vormi.</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485887374"/>
      <w:r>
        <w:t>Õiglase väärtuse võimaluse kasutamine (41.2)</w:t>
      </w:r>
      <w:bookmarkEnd w:id="334"/>
      <w:bookmarkEnd w:id="335"/>
      <w:bookmarkEnd w:id="336"/>
      <w:bookmarkEnd w:id="337"/>
    </w:p>
    <w:p w:rsidR="009569C7" w:rsidRPr="00EC4FA2" w:rsidRDefault="00A834F1" w:rsidP="003A3ED4">
      <w:pPr>
        <w:pStyle w:val="Baseparagraphnumbered"/>
        <w:tabs>
          <w:tab w:val="left" w:pos="851"/>
        </w:tabs>
      </w:pPr>
      <w:r>
        <w:t>Selles vormis esitatakse teave õiglase väärtuse võimaluse kasutamise kohta õiglases väärtuses muutustega läbi kasumiaruande kajastatud fina</w:t>
      </w:r>
      <w:r w:rsidR="003A3ED4">
        <w:t>ntsvarade ja -kohustuste puhul.</w:t>
      </w:r>
    </w:p>
    <w:p w:rsidR="009569C7" w:rsidRPr="00EC4FA2" w:rsidRDefault="00A834F1" w:rsidP="003A3ED4">
      <w:pPr>
        <w:pStyle w:val="Baseparagraphnumbered"/>
        <w:tabs>
          <w:tab w:val="left" w:pos="851"/>
        </w:tabs>
      </w:pPr>
      <w:r>
        <w:t>„Hübriidlepingud“ hõlmab kohustuste puhul nendesse arvestusportfellidesse tervikuna liigitatud hübriidinstrumentide bilansilist väärtust; seega hõlmab see eraldamata hübriidinstrumente kui tervikuid.</w:t>
      </w:r>
    </w:p>
    <w:p w:rsidR="009569C7" w:rsidRPr="00EC4FA2" w:rsidRDefault="00A834F1" w:rsidP="003A3ED4">
      <w:pPr>
        <w:pStyle w:val="Baseparagraphnumbered"/>
        <w:tabs>
          <w:tab w:val="left" w:pos="851"/>
        </w:tabs>
      </w:pPr>
      <w:r>
        <w:t xml:space="preserve">„Krediidiriski maandamine“ hõlmab õiglases väärtuses muutustega läbi kasumiaruande kajastatud finantsinstrumentide bilansilist väärtust nende krediidiriski maandamisel krediidituletisinstrumentidega, mida mõõdetakse õiglases väärtuses muutustega läbi kasumiaruande </w:t>
      </w:r>
      <w:r w:rsidR="003A3ED4">
        <w:t>IFRS 9 paragrahvi 6.7.kohaselt.</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485887375"/>
      <w:r>
        <w:t>Materiaalne ja immateriaalne vara: bilansiline väärtus mõõtmismeetodi alusel (42)</w:t>
      </w:r>
      <w:bookmarkEnd w:id="338"/>
      <w:bookmarkEnd w:id="339"/>
      <w:bookmarkEnd w:id="340"/>
      <w:bookmarkEnd w:id="341"/>
    </w:p>
    <w:p w:rsidR="009569C7" w:rsidRPr="00EC4FA2" w:rsidRDefault="00A834F1" w:rsidP="003A3ED4">
      <w:pPr>
        <w:pStyle w:val="Baseparagraphnumbered"/>
        <w:tabs>
          <w:tab w:val="left" w:pos="851"/>
        </w:tabs>
      </w:pPr>
      <w:r>
        <w:t xml:space="preserve"> Kirjed „materiaalsed põhivarad“, „kinnisvarainvesteeringud“ ja „muu immateriaalne vara“ kajastatakse vastavalt nende mõõtmisel kasutatud kriteeriumidele.</w:t>
      </w:r>
    </w:p>
    <w:p w:rsidR="009569C7" w:rsidRPr="00EC4FA2" w:rsidRDefault="00A834F1" w:rsidP="003A3ED4">
      <w:pPr>
        <w:pStyle w:val="Baseparagraphnumbered"/>
        <w:tabs>
          <w:tab w:val="left" w:pos="851"/>
        </w:tabs>
      </w:pPr>
      <w:r>
        <w:t>Kirje „muu immateriaalne vara“ hõlmab kõiki immateriaalseid varasid, välja arvatud firmaväärtus.</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485887376"/>
      <w:r>
        <w:t>Eraldised (43)</w:t>
      </w:r>
      <w:bookmarkEnd w:id="342"/>
      <w:bookmarkEnd w:id="343"/>
      <w:bookmarkEnd w:id="344"/>
      <w:bookmarkEnd w:id="345"/>
    </w:p>
    <w:p w:rsidR="009569C7" w:rsidRPr="00EC4FA2" w:rsidRDefault="00A834F1" w:rsidP="003A3ED4">
      <w:pPr>
        <w:pStyle w:val="Baseparagraphnumbered"/>
        <w:tabs>
          <w:tab w:val="left" w:pos="851"/>
        </w:tabs>
      </w:pPr>
      <w:r>
        <w:t>See vorm sisaldab kirjel „eraldised“ perioodi alguses ja lõpus esitatud bilansilise väärtuse võrdlust muutuste laadi alusel, välja arvatud IFRS 9 kohaselt mõõdetavad eraldised, mida kajastatakse vormis 12.</w:t>
      </w:r>
    </w:p>
    <w:p w:rsidR="009569C7" w:rsidRPr="00EC4FA2" w:rsidRDefault="00A834F1" w:rsidP="003A3ED4">
      <w:pPr>
        <w:pStyle w:val="Baseparagraphnumbered"/>
        <w:tabs>
          <w:tab w:val="left" w:pos="851"/>
        </w:tabs>
      </w:pPr>
      <w:r>
        <w:t>„Muud IAS 37 kohaselt mõõdetavad siduvad kohustused ja antud garantiid ning IFRS 4 kohaselt mõõdetud antud garantiid“ hõlmab IAS 37 kohaselt mõõdetavaid eraldisi ja IFRS 4 kohast kindlustuslepingutena käsitatavate f</w:t>
      </w:r>
      <w:r w:rsidR="003A3ED4">
        <w:t>inantsgarantiide krediidikahju.</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485887377"/>
      <w:r>
        <w:lastRenderedPageBreak/>
        <w:t>Kindlaksmääratud hüvitisega skeemid ja hüvitised töötajatele (44)</w:t>
      </w:r>
      <w:bookmarkEnd w:id="346"/>
      <w:bookmarkEnd w:id="347"/>
      <w:bookmarkEnd w:id="348"/>
      <w:bookmarkEnd w:id="349"/>
    </w:p>
    <w:p w:rsidR="009569C7" w:rsidRPr="00EC4FA2" w:rsidRDefault="00A834F1" w:rsidP="003A3ED4">
      <w:pPr>
        <w:pStyle w:val="Baseparagraphnumbered"/>
        <w:tabs>
          <w:tab w:val="left" w:pos="851"/>
        </w:tabs>
      </w:pPr>
      <w:r>
        <w:t>Need vormid sisaldavad kogutud teavet krediidiasutuse või investeerimisühingu kõigi kindlaksmääratud hüvitisega skeemide kohta. Juhul kui krediidiasutusel või investeerimisühingul on rohkem kui üks kindlaksmääratud hüvitisega skeem, esitatakse kõigi skeemide kogusumma.</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485887378"/>
      <w:r>
        <w:t>Kindlaksmääratud hüvitistega skeemide netovarade ja -kohustuste komponendid (44.1)</w:t>
      </w:r>
      <w:bookmarkEnd w:id="350"/>
      <w:bookmarkEnd w:id="351"/>
      <w:bookmarkEnd w:id="352"/>
      <w:bookmarkEnd w:id="353"/>
    </w:p>
    <w:p w:rsidR="009569C7" w:rsidRPr="00EC4FA2" w:rsidRDefault="00A834F1" w:rsidP="003A3ED4">
      <w:pPr>
        <w:pStyle w:val="Baseparagraphnumbered"/>
        <w:tabs>
          <w:tab w:val="left" w:pos="851"/>
        </w:tabs>
      </w:pPr>
      <w:r>
        <w:t>Kindlaksmääratud hüvitisega skeemide netovarade ja -kohustuste komponente käsitlevas vormis esitatakse nii kõik kindlaksmääratud hüvitiste netokohustuste (-varade) kui ka hüvitise saamise õiguste akumuleeritud nüüdisväärtused [IAS 19 paragrahvi 140 punktid a ja b].</w:t>
      </w:r>
    </w:p>
    <w:p w:rsidR="009569C7" w:rsidRPr="00EC4FA2" w:rsidRDefault="00A834F1" w:rsidP="003A3ED4">
      <w:pPr>
        <w:pStyle w:val="Baseparagraphnumbered"/>
        <w:tabs>
          <w:tab w:val="left" w:pos="851"/>
        </w:tabs>
      </w:pPr>
      <w:r>
        <w:t>„Kindlaksmääratud hüvitiste netovara“ sisaldab ülejäägi korral ülejääke, mis tuleb kajastada bilansis, kuna nende suhtes ei kohaldata IAS 19 paragrahvis 63 sätestatud piiranguid. Selle kirje summa ja summa, mis on kajastatud memokirjel „varana kajastatud mis tahes hüvitise saamise õiguse õiglane väärtus“, sisalduvad bilansi kirjel „muud vara</w:t>
      </w:r>
      <w:r w:rsidR="003A3ED4">
        <w:t>d“.</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485887379"/>
      <w:r>
        <w:t>Muutused kindlaksmääratud hüvitiste kohustustes (44.2)</w:t>
      </w:r>
      <w:bookmarkEnd w:id="354"/>
      <w:bookmarkEnd w:id="355"/>
      <w:bookmarkEnd w:id="356"/>
      <w:bookmarkEnd w:id="357"/>
    </w:p>
    <w:p w:rsidR="009569C7" w:rsidRPr="00EC4FA2" w:rsidRDefault="00A834F1" w:rsidP="003A3ED4">
      <w:pPr>
        <w:pStyle w:val="Baseparagraphnumbered"/>
        <w:tabs>
          <w:tab w:val="left" w:pos="851"/>
        </w:tabs>
      </w:pPr>
      <w:r>
        <w:t>Muutusi kindlaksmääratud hüvitiste kohustustes käsitlevas vormis esitatakse krediidiasutuse või investeerimisühingu kõigi kindlaksmääratud hüvitiste kohustuste akumuleeritud nüüdisväärtuse algsaldo ja lõppsaldo kooskõlastav võrdlus. IAS 19 paragrahvis 141 loetletud eri komponentidest tulenev mõju perioodi jooksul esitatakse eraldi.</w:t>
      </w:r>
    </w:p>
    <w:p w:rsidR="009569C7" w:rsidRPr="00EC4FA2" w:rsidRDefault="00A834F1" w:rsidP="003A3ED4">
      <w:pPr>
        <w:pStyle w:val="Baseparagraphnumbered"/>
        <w:tabs>
          <w:tab w:val="left" w:pos="851"/>
        </w:tabs>
      </w:pPr>
      <w:r>
        <w:t>Kindlaksmääratud hüvitiste kohustuste muutuste vormis peab kirje „lõppsaldo [nüüdisväärtus]“ summa olema võrdne kirjega „kindlaksmääratud hüvitistega seotud kohustuste nüüdisväärtus“.</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485887380"/>
      <w:r>
        <w:t>Memokirjed [personalikuludega seoses] (44.3)</w:t>
      </w:r>
      <w:bookmarkEnd w:id="358"/>
      <w:bookmarkEnd w:id="359"/>
      <w:bookmarkEnd w:id="360"/>
      <w:bookmarkEnd w:id="361"/>
    </w:p>
    <w:p w:rsidR="009569C7" w:rsidRPr="00EC4FA2" w:rsidRDefault="00A834F1" w:rsidP="003A3ED4">
      <w:pPr>
        <w:pStyle w:val="Baseparagraphnumbered"/>
        <w:tabs>
          <w:tab w:val="left" w:pos="851"/>
        </w:tabs>
      </w:pPr>
      <w:r>
        <w:t>Personalikuludega seotud memokirjete puhul k</w:t>
      </w:r>
      <w:r w:rsidR="003A3ED4">
        <w:t>asutatakse järgmisi määratlusi:</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kirje „pension ja sarnased kulud“ sisaldab summat, mis on perioodi jooksul kajastatud personalikuluna mis tahes töösuhtejärgsete hüvitiste kohustuse puhul (nii kindlaksmääratud sissemaksega skeemid kui ka kindlaksmääratud hüvitistega skeemid), ning sissemaksei</w:t>
      </w:r>
      <w:r w:rsidR="003A3ED4">
        <w:rPr>
          <w:rFonts w:ascii="Times New Roman" w:hAnsi="Times New Roman"/>
          <w:sz w:val="24"/>
        </w:rPr>
        <w:t>d sotsiaalkindlustusfondidesse;</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„aktsiapõhised maksed“ hõlmavad summat, mis perioodil on kajastatud kui personalikulud </w:t>
      </w:r>
      <w:r w:rsidR="003A3ED4">
        <w:rPr>
          <w:rFonts w:ascii="Times New Roman" w:hAnsi="Times New Roman"/>
          <w:sz w:val="24"/>
        </w:rPr>
        <w:t>seoses aktsiapõhiste maksetega.</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485887381"/>
      <w:r>
        <w:t>Kasumiaruande teatavate kirjete jaotus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361844267"/>
      <w:bookmarkStart w:id="368" w:name="_Toc362359338"/>
      <w:bookmarkStart w:id="369" w:name="_Toc485887382"/>
      <w:r>
        <w:t>Õiglases väärtuses muutustega läbi kasumiaruande kajastatud finantsvaradest ja -kohustustest tulenev kasum või kahjum arvestusportfellide kaupa (45.1)</w:t>
      </w:r>
      <w:bookmarkEnd w:id="366"/>
      <w:bookmarkEnd w:id="369"/>
    </w:p>
    <w:p w:rsidR="009569C7" w:rsidRPr="00EC4FA2" w:rsidRDefault="00A834F1" w:rsidP="003A3ED4">
      <w:pPr>
        <w:pStyle w:val="Baseparagraphnumbered"/>
        <w:tabs>
          <w:tab w:val="left" w:pos="851"/>
        </w:tabs>
      </w:pPr>
      <w:r>
        <w:lastRenderedPageBreak/>
        <w:t>„Finantskohustused õiglases väärtuses muutustega läbi kasumiaruande“ hõlmab üksnes õiglases väärtuses muutustega läbi kasumiaruande kajastatud kohustuste emitentide enda krediidiriski muutusest tulenevat kasumit ja kahjumit, kui aruandev krediidiasutus või investeerimisühing on otsustanud kajastada seda muutustega läbi kasumiaruande, sest kajastamine läbi muu koondkasumi tekitaks arvestuse mittevastavuse või suurendaks seda.</w:t>
      </w:r>
    </w:p>
    <w:p w:rsidR="009569C7" w:rsidRPr="00EC4FA2" w:rsidRDefault="00A834F1" w:rsidP="009569C7">
      <w:pPr>
        <w:pStyle w:val="sub-subtitlenumbered"/>
        <w:jc w:val="both"/>
      </w:pPr>
      <w:bookmarkStart w:id="370" w:name="_Toc467855273"/>
      <w:bookmarkStart w:id="371" w:name="_Toc485887383"/>
      <w:r>
        <w:t>Kasum või kahjum, mis tuleneb mittefinantsvara kajastamise lõpetamisest (45.2)</w:t>
      </w:r>
      <w:bookmarkEnd w:id="367"/>
      <w:bookmarkEnd w:id="368"/>
      <w:bookmarkEnd w:id="370"/>
      <w:bookmarkEnd w:id="371"/>
    </w:p>
    <w:p w:rsidR="009569C7" w:rsidRPr="00EC4FA2" w:rsidRDefault="00A834F1" w:rsidP="003A3ED4">
      <w:pPr>
        <w:pStyle w:val="Baseparagraphnumbered"/>
        <w:tabs>
          <w:tab w:val="left" w:pos="851"/>
        </w:tabs>
      </w:pPr>
      <w:r>
        <w:t>Kahjum või kasum, mis tuleneb mittefinantsvara kajastamise lõpetamisest, jaotatakse vara liigi alusel; iga kirje peab sisaldama sellest varast tulenevat kasumit või kahjumit, mille kajastamine on lõpetatud. „Muud varad“ hõlmab muud materiaalset vara, immateriaalset vara ja investeeringuid,</w:t>
      </w:r>
      <w:r w:rsidR="000F4147">
        <w:t xml:space="preserve"> mida ei ole kajastatud mujal.</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485887384"/>
      <w:r>
        <w:t>Muud tegevustulud ja -kulud (45.3)</w:t>
      </w:r>
      <w:bookmarkEnd w:id="372"/>
      <w:bookmarkEnd w:id="373"/>
      <w:bookmarkEnd w:id="374"/>
      <w:bookmarkEnd w:id="375"/>
    </w:p>
    <w:p w:rsidR="009569C7" w:rsidRPr="00EC4FA2" w:rsidRDefault="00A834F1" w:rsidP="003A3ED4">
      <w:pPr>
        <w:pStyle w:val="Baseparagraphnumbered"/>
        <w:tabs>
          <w:tab w:val="left" w:pos="851"/>
        </w:tabs>
      </w:pPr>
      <w:r>
        <w:t>Muud tegevustulud ja -kulud jaotatakse vastavalt järgmistele kirjetele: õiglase väärtuse mudeli abil mõõdetud materiaalse vara õiglase väärtuse korrigeerimised; kinnisvarainvesteeringuga seotud renditulu ja otsesed tegevuskulud; kasutusrendiga, välja arvatud kinnisvarainvesteeringutega, seotud tulud ja kulud ning ül</w:t>
      </w:r>
      <w:r w:rsidR="000F4147">
        <w:t>ejäänud tegevustulud ja -kulud.</w:t>
      </w:r>
    </w:p>
    <w:p w:rsidR="009569C7" w:rsidRPr="00EC4FA2" w:rsidRDefault="00A834F1" w:rsidP="003A3ED4">
      <w:pPr>
        <w:pStyle w:val="Baseparagraphnumbered"/>
        <w:tabs>
          <w:tab w:val="left" w:pos="851"/>
        </w:tabs>
      </w:pPr>
      <w:r>
        <w:t>Kirje „muu kui kinnisvarainvesteeringutega seotud kasutusrent“ hõlmab veerus „tulud“ saadud tulu ning veerus „kulud“ kulusid, mis krediidiasutusel või investeerimisühingul kui rendileandjal (kapitalinõuete määruse kohaselt „liisinguandja“) tekkisid seoses oma kapitalirenditegevusega, mis ei ole seotud varadega, mis on liigitatud kinnisvarainvesteeringuteks. Kulud, mis tekkisid krediidiasutusele või investeerimisühingule kui rentnikule, kajastatakse kirjel „muud halduskulud“.</w:t>
      </w:r>
    </w:p>
    <w:p w:rsidR="009569C7" w:rsidRPr="00EC4FA2" w:rsidRDefault="00A834F1" w:rsidP="003A3ED4">
      <w:pPr>
        <w:pStyle w:val="Baseparagraphnumbered"/>
        <w:tabs>
          <w:tab w:val="left" w:pos="851"/>
        </w:tabs>
      </w:pPr>
      <w:r>
        <w:t>Kasum või kahjum, mis tuleneb kulla, muude väärismetallide ja muude kaupade investeeringute kajastamise lõpetamisest ja uuesti mõõtmisest, mis on mõõdetud õiglases väärtuses, millest on maha arvatud müügikulu, kajastatakse kirjetel „Muud tegevustulud. Muu“ või „Muud tegevuskulud. Muu“.</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485887385"/>
      <w:r>
        <w:t xml:space="preserve">Omakapitali muutuste aruanne </w:t>
      </w:r>
      <w:bookmarkEnd w:id="376"/>
      <w:r>
        <w:t>(46)</w:t>
      </w:r>
      <w:bookmarkEnd w:id="377"/>
      <w:bookmarkEnd w:id="378"/>
      <w:bookmarkEnd w:id="379"/>
      <w:bookmarkEnd w:id="380"/>
    </w:p>
    <w:p w:rsidR="009569C7" w:rsidRPr="00EC4FA2" w:rsidRDefault="00A834F1" w:rsidP="003A3ED4">
      <w:pPr>
        <w:pStyle w:val="Baseparagraphnumbered"/>
        <w:tabs>
          <w:tab w:val="left" w:pos="851"/>
        </w:tabs>
      </w:pPr>
      <w:r>
        <w:t>Omakapitali muutuste aruandes avalikustatakse iga omakapitali komponendi puhul perioodi alguse (algsaldo) ja perioodi lõpu (lõppsaldo) bilansilise väärtuse võrdlus.</w:t>
      </w:r>
    </w:p>
    <w:p w:rsidR="009569C7" w:rsidRPr="003A3ED4" w:rsidRDefault="00A834F1" w:rsidP="003A3ED4">
      <w:pPr>
        <w:pStyle w:val="Baseparagraphnumbered"/>
        <w:tabs>
          <w:tab w:val="left" w:pos="851"/>
        </w:tabs>
      </w:pPr>
      <w:r>
        <w:t>„Ülekandmised omakapitali komponentide vahel“ hõlmab kõiki omakapitali raames üle kantud summasid, sealhulgas õiglases väärtuses muutustega läbi kasumiaruande kajastatud kohustuste enda krediidiriskist ja õiglases väärtuses läbi muu koondkasumi mõõdetud omakapitaliinstrumentide õiglase väärtuse akumuleeritud muutustest tulenev kasum ja kahjum, mis kantakse kajastamise lõpetamise korral üle muud</w:t>
      </w:r>
      <w:r w:rsidR="003A3ED4">
        <w:t>ele omakapitali komponentidele.</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lastRenderedPageBreak/>
        <w:t>3. OSA</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485887386"/>
      <w:r>
        <w:t>Riskipositsiooni klasside ja vastaspoole sektorite määramine</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Tabelites 2 ja 3 esitatakse ülevaade neist riskipositsiooni klassidest, mida kasutatakse kapitalinõuete määruse kohaselt kapitalinõuete arvutamiseks, ja FINREPi tabelites kasutatavatest vastaspoole sektoritest.</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Tabel 2. Standardmeetod</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Standardmeetodi riskipositsiooni klassid (kapitalinõuete määruse artikkel 112)</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FINREPi vastaspoole sektorid</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Märkused</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Nõuded keskvalitsuste või keskpankade vastu</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Keskpangad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Valitsemissektor</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Nõuded piirkondlike valitsuste või kohalike omavalitsuste vastu</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Valitsemissektor</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Nõuded avaliku sektori asutuste vastu</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Valitsemissektor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Nõuded mitmepoolsete arengupankade vastu</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Nõuded rahvusvaheliste organisatsioonide vastu</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Valitsemissektor</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Nõuded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krediidiasutuste ja investeerimisühingute vastu</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Nõuded äriühingute vastu</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Finantssektorivälised äriühingud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Kodumajapidamised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Jaenõuded</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Kodumajapidamised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Kinnisvarale seatud hüpoteegiga tagatud riskipositsioonid</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Valitsemissektor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Kodumajapidamised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j) Makseviivituses olevad riskipositsioonid</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Keskpangad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Valitsemissektor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Kodumajapidamised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Eriti suure riskiga seotud kirjed</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Keskpangad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Valitsemissektor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Kodumajapidamised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Pandikirjadest tulenevad riskipositsioonid</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Finantssektorivälised äriühingud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 Väärtpaberistamise positsioonid</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Valitsemissektor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Kodumajapidamised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väärtpaberistamisega seotud riskile. Kui väärtpaberistatud positsioonid on jätkuvalt bilansis kajastatud, on FINREPi tabelites vastaspoole sektoriteks nende positsioonide vahetute vastaspoolte sektorid.</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Nõuded lühiajalise krediidikvaliteedi hinnanguga krediidiasutuste ja investeerimisühingute ning äriühingute vastu</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Finantssektorivälised äriühingud</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Ühiseks investeerimiseks loodud ettevõtja aktsiatest ja osakutest tulenevad riskipositsioonid</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Omakapitaliinstrumendid</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Investeeringud ühiseks investeerimiseks loodud ettevõtjatesse tuleb liigitada FINREPi aruannetes omakapitaliinstrumentideks, olenemata sellest, kas kapitalinõuete määruse kohaselt on arvessevõtmine lubatud.</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Omakapitali investeeringud</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Omakapitaliinstrumendid</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FINREPi aruannetes on omakapitali investeeringud jagatud instrumentidena eri finantsvarade kategooriatesse.</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Muud kirjed</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Bilansi eri kirjed</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FINREPi aruannetes võib muud kirjed kajastada eri varakategooriates.</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lastRenderedPageBreak/>
        <w:t>Tabel 3. Sisereitingute meetod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Sisereitingute meetodi riskipositsiooni klassid</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(kapitalinõuete määruse artikkel 147)</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FINREPi vastaspoole sektorid</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Märkused</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Nõuded keskvalitsuste ja keskpankade vastu</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Keskpangad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Valitsemissektor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Krediidiasutused</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Need riskipositsioonid määratakse FINREPi vastaspoole sektoritele vastavalt vahetu vastaspoole laadile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Nõuded krediidiasutuste ja investeerimisühingute vastu</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(st krediidiasutuste ja investeerimisühingute ning mõnede valitsemissektori üksuste ja mitmepoolsete pankade vastu)</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Valitsemissektor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Muud finantssektori äriühingud</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Nõuded äriühingute vastu</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Kodumajapidamised</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Jaenõuded</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Kodumajapidamised</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Need riskipositsioonid määratakse FINREPi vastaspoole sektoritele vastavalt vahetu vastaspoole laadile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Omakapitali investeeringud</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Omakapitaliinstrumendid</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FINREPi aruannetes on omakapitali investeeringud jagatud instrumentidena eri finantsvarade kategooriatesse.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Väärtpaberistamise positsioonid</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Valitsemissektor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Krediidiasutused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Muud finantssektori äriühingud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Finantssektorivälised äriühingud</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Kodumajapidamised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Need riskipositsioonid määratakse FINREPi vastaspoole sektoritele vastavalt väärtpaberistamise positsioonidega seotud riskile. Kui väärtpaberistatud positsioonid on jätkuvalt bilansis kajastatud, on FINREPi tabelites vastaspoole sektoriteks nende positsioonide vahetute vastaspoolte sektorid.</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Muud varad, mis ei ole krediidi iseloomuga</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Bilansi eri kirjed</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FINREPi aruannetes võib muud kirjed kajastada eri varakategooriates.</w:t>
            </w:r>
          </w:p>
        </w:tc>
      </w:tr>
    </w:tbl>
    <w:p w:rsidR="009569C7" w:rsidRPr="00014814" w:rsidRDefault="009569C7" w:rsidP="009569C7">
      <w:pPr>
        <w:spacing w:after="0"/>
        <w:jc w:val="center"/>
        <w:rPr>
          <w:rFonts w:ascii="Times New Roman" w:hAnsi="Times New Roman"/>
          <w:b/>
          <w:sz w:val="24"/>
          <w:szCs w:val="24"/>
        </w:rPr>
      </w:pPr>
    </w:p>
    <w:p w:rsidR="009569C7" w:rsidRPr="00014814" w:rsidRDefault="009569C7" w:rsidP="009569C7">
      <w:pPr>
        <w:pStyle w:val="Baseparagraphnumbered"/>
        <w:numPr>
          <w:ilvl w:val="0"/>
          <w:numId w:val="0"/>
        </w:numPr>
        <w:ind w:left="782"/>
      </w:pPr>
    </w:p>
    <w:sectPr w:rsidR="009569C7" w:rsidRPr="00014814"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147" w:rsidRDefault="000F4147">
      <w:pPr>
        <w:spacing w:after="0"/>
      </w:pPr>
      <w:r>
        <w:separator/>
      </w:r>
    </w:p>
  </w:endnote>
  <w:endnote w:type="continuationSeparator" w:id="0">
    <w:p w:rsidR="000F4147" w:rsidRDefault="000F41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147" w:rsidRDefault="000F4147">
    <w:pPr>
      <w:pStyle w:val="Footer"/>
      <w:jc w:val="right"/>
    </w:pPr>
    <w:r>
      <w:fldChar w:fldCharType="begin"/>
    </w:r>
    <w:r>
      <w:instrText xml:space="preserve"> PAGE   \* MERGEFORMAT </w:instrText>
    </w:r>
    <w:r>
      <w:fldChar w:fldCharType="separate"/>
    </w:r>
    <w:r w:rsidR="002A7491">
      <w:rPr>
        <w:noProof/>
      </w:rPr>
      <w:t>3</w:t>
    </w:r>
    <w:r>
      <w:rPr>
        <w:noProof/>
      </w:rPr>
      <w:fldChar w:fldCharType="end"/>
    </w:r>
  </w:p>
  <w:p w:rsidR="000F4147" w:rsidRDefault="000F41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147" w:rsidRDefault="000F4147">
    <w:pPr>
      <w:pStyle w:val="Footer"/>
      <w:jc w:val="right"/>
    </w:pPr>
    <w:r>
      <w:fldChar w:fldCharType="begin"/>
    </w:r>
    <w:r>
      <w:instrText xml:space="preserve"> PAGE   \* MERGEFORMAT </w:instrText>
    </w:r>
    <w:r>
      <w:fldChar w:fldCharType="separate"/>
    </w:r>
    <w:r w:rsidR="002A7491">
      <w:rPr>
        <w:noProof/>
      </w:rPr>
      <w:t>50</w:t>
    </w:r>
    <w:r>
      <w:rPr>
        <w:noProof/>
      </w:rPr>
      <w:fldChar w:fldCharType="end"/>
    </w:r>
  </w:p>
  <w:p w:rsidR="000F4147" w:rsidRDefault="000F41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147" w:rsidRDefault="000F4147" w:rsidP="009569C7">
      <w:pPr>
        <w:spacing w:after="0"/>
      </w:pPr>
      <w:r>
        <w:separator/>
      </w:r>
    </w:p>
  </w:footnote>
  <w:footnote w:type="continuationSeparator" w:id="0">
    <w:p w:rsidR="000F4147" w:rsidRDefault="000F4147" w:rsidP="009569C7">
      <w:pPr>
        <w:spacing w:after="0"/>
      </w:pPr>
      <w:r>
        <w:continuationSeparator/>
      </w:r>
    </w:p>
  </w:footnote>
  <w:footnote w:type="continuationNotice" w:id="1">
    <w:p w:rsidR="000F4147" w:rsidRDefault="000F4147">
      <w:pPr>
        <w:spacing w:after="0"/>
      </w:pPr>
    </w:p>
  </w:footnote>
  <w:footnote w:id="2">
    <w:p w:rsidR="000F4147" w:rsidRPr="001118C7" w:rsidRDefault="000F4147" w:rsidP="009569C7">
      <w:pPr>
        <w:pStyle w:val="FootnoteText"/>
      </w:pPr>
      <w:r>
        <w:rPr>
          <w:rStyle w:val="FootnoteReference"/>
        </w:rPr>
        <w:footnoteRef/>
      </w:r>
      <w:r>
        <w:t xml:space="preserve"> </w:t>
      </w:r>
      <w:r>
        <w:tab/>
        <w:t>Euroopa Parlamendi ja nõukogu 19. juuli 2002. aasta määrus (EÜ) nr 1606/2002 rahvusvaheliste raamatupidamisstandardite kohaldamise kohta (EÜT L 243, 11.9.2002, lk 1).</w:t>
      </w:r>
    </w:p>
  </w:footnote>
  <w:footnote w:id="3">
    <w:p w:rsidR="000F4147" w:rsidRPr="004F7202" w:rsidRDefault="000F4147" w:rsidP="009569C7">
      <w:pPr>
        <w:pStyle w:val="FootnoteText"/>
        <w:spacing w:after="120"/>
      </w:pPr>
      <w:r>
        <w:rPr>
          <w:rStyle w:val="FootnoteReference"/>
        </w:rPr>
        <w:footnoteRef/>
      </w:r>
      <w:r>
        <w:t xml:space="preserve"> </w:t>
      </w:r>
      <w:r>
        <w:tab/>
      </w:r>
      <w:r>
        <w:t>Euroopa Keskpanga 24. septembri 2013. aasta määrus (EL) nr 1071/2013 rahaloomeasutuste sektori bilansi kohta (uuesti sõnastatud) (EKP/2013/33) (ELT L 297, 7.11.2013, lk 1).</w:t>
      </w:r>
    </w:p>
  </w:footnote>
  <w:footnote w:id="4">
    <w:p w:rsidR="000F4147" w:rsidRPr="004F7202" w:rsidRDefault="000F4147">
      <w:pPr>
        <w:pStyle w:val="FootnoteText"/>
      </w:pPr>
      <w:r>
        <w:rPr>
          <w:rStyle w:val="FootnoteReference"/>
        </w:rPr>
        <w:footnoteRef/>
      </w:r>
      <w:r>
        <w:t xml:space="preserve"> </w:t>
      </w:r>
      <w:r>
        <w:tab/>
      </w:r>
      <w:r>
        <w:t>Euroopa Parlamendi ja nõukogu 20. detsembri 2006. aasta määrus (EÜ) nr 1893/2006, millega kehtestatakse majanduse tegevusalade statistiline klassifikaator NACE Revision 2 ning muudetakse nõukogu määrust (EMÜ) nr 3037/90 ja teatavaid EÜ määrusi, mis käsitlevad konkreetseid statistikavaldkondi (ELT L 393, 30.12.2006, lk 1).</w:t>
      </w:r>
    </w:p>
  </w:footnote>
  <w:footnote w:id="5">
    <w:p w:rsidR="000F4147" w:rsidRPr="004F7202" w:rsidRDefault="000F4147">
      <w:pPr>
        <w:pStyle w:val="FootnoteText"/>
      </w:pPr>
      <w:r>
        <w:rPr>
          <w:rStyle w:val="FootnoteReference"/>
        </w:rPr>
        <w:footnoteRef/>
      </w:r>
      <w:r>
        <w:t xml:space="preserve"> </w:t>
      </w:r>
      <w:r>
        <w:tab/>
      </w:r>
      <w:r>
        <w:t>Nõukogu 8. detsembri 1986. aasta direktiiv 86/635/EMÜ pankade ja muude rahaasutuste raamatupidamise aastaaruannete ja konsolideeritud aruannete kohta (EÜT L 372, 31.12.1986, lk 1).</w:t>
      </w:r>
    </w:p>
  </w:footnote>
  <w:footnote w:id="6">
    <w:p w:rsidR="000F4147" w:rsidRPr="00BA387A" w:rsidRDefault="000F4147" w:rsidP="009569C7">
      <w:pPr>
        <w:pStyle w:val="FootnoteText"/>
      </w:pPr>
      <w:r>
        <w:rPr>
          <w:rStyle w:val="FootnoteReference"/>
        </w:rPr>
        <w:footnoteRef/>
      </w:r>
      <w:r>
        <w:t xml:space="preserve"> </w:t>
      </w:r>
      <w:r>
        <w:tab/>
      </w:r>
      <w:r>
        <w:t>Euroopa Parlamendi ja nõukogu 26. juuni 2013. aasta direktiiv teatavat liiki ettevõtjate aruandeaasta finantsaruannete, konsolideeritud finantsaruannete ja nendega seotud aruannete kohta ja millega muudetakse Euroopa Parlamendi ja nõukogu direktiivi 2006/43/EÜ ning tunnistatakse kehtetuks nõukogu direktiivid 78/660/EMÜ ja 83/349/EMÜ (ELT L 182, 29.6.2013, lk 19).</w:t>
      </w:r>
    </w:p>
  </w:footnote>
  <w:footnote w:id="7">
    <w:p w:rsidR="000F4147" w:rsidRPr="00BA387A" w:rsidRDefault="000F4147" w:rsidP="009569C7">
      <w:pPr>
        <w:pStyle w:val="FootnoteText"/>
      </w:pPr>
      <w:r>
        <w:rPr>
          <w:rStyle w:val="FootnoteReference"/>
        </w:rPr>
        <w:footnoteRef/>
      </w:r>
      <w:r>
        <w:tab/>
      </w:r>
      <w:r>
        <w:t>Komisjoni 6. mai 2003. aasta soovitus mikro-, väikeste ja keskmise suurusega ettevõtjate määratlemise kohta (K(2003)1422)</w:t>
      </w:r>
      <w:r w:rsidR="00EF2CCD">
        <w:t xml:space="preserve"> (ELT L 124, 20.5.2003, lk 36).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5">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6">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7">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8">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29">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1">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2">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3">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5">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6">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7">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8">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39">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1">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2">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3">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4">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5">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7">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48">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49">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1">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2">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3">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4">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5">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6">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7">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8">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59">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1">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2">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3">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4">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5">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2"/>
  </w:num>
  <w:num w:numId="2">
    <w:abstractNumId w:val="48"/>
  </w:num>
  <w:num w:numId="3">
    <w:abstractNumId w:val="8"/>
  </w:num>
  <w:num w:numId="4">
    <w:abstractNumId w:val="16"/>
  </w:num>
  <w:num w:numId="5">
    <w:abstractNumId w:val="33"/>
  </w:num>
  <w:num w:numId="6">
    <w:abstractNumId w:val="0"/>
  </w:num>
  <w:num w:numId="7">
    <w:abstractNumId w:val="45"/>
  </w:num>
  <w:num w:numId="8">
    <w:abstractNumId w:val="1"/>
  </w:num>
  <w:num w:numId="9">
    <w:abstractNumId w:val="13"/>
  </w:num>
  <w:num w:numId="10">
    <w:abstractNumId w:val="63"/>
  </w:num>
  <w:num w:numId="11">
    <w:abstractNumId w:val="34"/>
  </w:num>
  <w:num w:numId="12">
    <w:abstractNumId w:val="64"/>
  </w:num>
  <w:num w:numId="13">
    <w:abstractNumId w:val="55"/>
  </w:num>
  <w:num w:numId="14">
    <w:abstractNumId w:val="24"/>
  </w:num>
  <w:num w:numId="15">
    <w:abstractNumId w:val="43"/>
  </w:num>
  <w:num w:numId="16">
    <w:abstractNumId w:val="54"/>
  </w:num>
  <w:num w:numId="17">
    <w:abstractNumId w:val="5"/>
  </w:num>
  <w:num w:numId="18">
    <w:abstractNumId w:val="47"/>
  </w:num>
  <w:num w:numId="19">
    <w:abstractNumId w:val="4"/>
  </w:num>
  <w:num w:numId="20">
    <w:abstractNumId w:val="9"/>
  </w:num>
  <w:num w:numId="21">
    <w:abstractNumId w:val="41"/>
  </w:num>
  <w:num w:numId="22">
    <w:abstractNumId w:val="14"/>
  </w:num>
  <w:num w:numId="23">
    <w:abstractNumId w:val="61"/>
  </w:num>
  <w:num w:numId="24">
    <w:abstractNumId w:val="37"/>
  </w:num>
  <w:num w:numId="25">
    <w:abstractNumId w:val="15"/>
  </w:num>
  <w:num w:numId="26">
    <w:abstractNumId w:val="5"/>
  </w:num>
  <w:num w:numId="27">
    <w:abstractNumId w:val="7"/>
  </w:num>
  <w:num w:numId="28">
    <w:abstractNumId w:val="51"/>
  </w:num>
  <w:num w:numId="29">
    <w:abstractNumId w:val="17"/>
  </w:num>
  <w:num w:numId="30">
    <w:abstractNumId w:val="46"/>
  </w:num>
  <w:num w:numId="31">
    <w:abstractNumId w:val="23"/>
  </w:num>
  <w:num w:numId="32">
    <w:abstractNumId w:val="42"/>
  </w:num>
  <w:num w:numId="33">
    <w:abstractNumId w:val="20"/>
  </w:num>
  <w:num w:numId="34">
    <w:abstractNumId w:val="25"/>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49"/>
  </w:num>
  <w:num w:numId="39">
    <w:abstractNumId w:val="11"/>
  </w:num>
  <w:num w:numId="40">
    <w:abstractNumId w:val="60"/>
  </w:num>
  <w:num w:numId="41">
    <w:abstractNumId w:val="29"/>
  </w:num>
  <w:num w:numId="42">
    <w:abstractNumId w:val="21"/>
  </w:num>
  <w:num w:numId="43">
    <w:abstractNumId w:val="58"/>
  </w:num>
  <w:num w:numId="44">
    <w:abstractNumId w:val="19"/>
  </w:num>
  <w:num w:numId="45">
    <w:abstractNumId w:val="39"/>
  </w:num>
  <w:num w:numId="46">
    <w:abstractNumId w:val="40"/>
  </w:num>
  <w:num w:numId="47">
    <w:abstractNumId w:val="62"/>
  </w:num>
  <w:num w:numId="48">
    <w:abstractNumId w:val="36"/>
  </w:num>
  <w:num w:numId="49">
    <w:abstractNumId w:val="31"/>
  </w:num>
  <w:num w:numId="50">
    <w:abstractNumId w:val="18"/>
  </w:num>
  <w:num w:numId="51">
    <w:abstractNumId w:val="6"/>
  </w:num>
  <w:num w:numId="52">
    <w:abstractNumId w:val="22"/>
  </w:num>
  <w:num w:numId="53">
    <w:abstractNumId w:val="56"/>
  </w:num>
  <w:num w:numId="54">
    <w:abstractNumId w:val="26"/>
  </w:num>
  <w:num w:numId="55">
    <w:abstractNumId w:val="59"/>
  </w:num>
  <w:num w:numId="56">
    <w:abstractNumId w:val="10"/>
  </w:num>
  <w:num w:numId="57">
    <w:abstractNumId w:val="38"/>
  </w:num>
  <w:num w:numId="58">
    <w:abstractNumId w:val="3"/>
  </w:num>
  <w:num w:numId="59">
    <w:abstractNumId w:val="65"/>
  </w:num>
  <w:num w:numId="60">
    <w:abstractNumId w:val="53"/>
  </w:num>
  <w:num w:numId="61">
    <w:abstractNumId w:val="44"/>
  </w:num>
  <w:num w:numId="62">
    <w:abstractNumId w:val="52"/>
  </w:num>
  <w:num w:numId="63">
    <w:abstractNumId w:val="27"/>
  </w:num>
  <w:num w:numId="64">
    <w:abstractNumId w:val="30"/>
  </w:num>
  <w:num w:numId="65">
    <w:abstractNumId w:val="35"/>
  </w:num>
  <w:num w:numId="66">
    <w:abstractNumId w:val="50"/>
  </w:num>
  <w:num w:numId="67">
    <w:abstractNumId w:val="57"/>
  </w:num>
  <w:num w:numId="68">
    <w:abstractNumId w:val="12"/>
  </w:num>
  <w:num w:numId="69">
    <w:abstractNumId w:val="2"/>
  </w:num>
  <w:num w:numId="70">
    <w:abstractNumId w:val="2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A0D60"/>
    <w:rsid w:val="000F4147"/>
    <w:rsid w:val="00152278"/>
    <w:rsid w:val="002A7491"/>
    <w:rsid w:val="002C06EE"/>
    <w:rsid w:val="0030521D"/>
    <w:rsid w:val="00316C77"/>
    <w:rsid w:val="003A35E6"/>
    <w:rsid w:val="003A3ED4"/>
    <w:rsid w:val="005427F9"/>
    <w:rsid w:val="005F4BF4"/>
    <w:rsid w:val="0062687D"/>
    <w:rsid w:val="006A2EB8"/>
    <w:rsid w:val="00837ED5"/>
    <w:rsid w:val="00860F58"/>
    <w:rsid w:val="008D7A37"/>
    <w:rsid w:val="0093244C"/>
    <w:rsid w:val="009569C7"/>
    <w:rsid w:val="009E0809"/>
    <w:rsid w:val="009E2EBC"/>
    <w:rsid w:val="00A00717"/>
    <w:rsid w:val="00A834F1"/>
    <w:rsid w:val="00AA6762"/>
    <w:rsid w:val="00B420BD"/>
    <w:rsid w:val="00C82C90"/>
    <w:rsid w:val="00ED3B87"/>
    <w:rsid w:val="00EF2CCD"/>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et-EE"/>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t-E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et-EE"/>
    </w:rPr>
  </w:style>
  <w:style w:type="character" w:customStyle="1" w:styleId="subtitlenonumberChar">
    <w:name w:val="subtitle no number Char"/>
    <w:link w:val="subtitlenonumber"/>
    <w:rsid w:val="00AD63B8"/>
    <w:rPr>
      <w:b/>
      <w:i/>
      <w:sz w:val="24"/>
      <w:szCs w:val="24"/>
      <w:lang w:val="et-EE" w:eastAsia="et-E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t-EE" w:eastAsia="et-EE"/>
    </w:rPr>
  </w:style>
  <w:style w:type="character" w:customStyle="1" w:styleId="Heading2Char">
    <w:name w:val="Heading 2 Char"/>
    <w:link w:val="Heading2"/>
    <w:rsid w:val="005100D0"/>
    <w:rPr>
      <w:rFonts w:ascii="Cambria" w:hAnsi="Cambria"/>
      <w:b/>
      <w:bCs/>
      <w:color w:val="4F81BD"/>
      <w:sz w:val="26"/>
      <w:szCs w:val="26"/>
      <w:lang w:val="et-EE" w:eastAsia="et-EE"/>
    </w:rPr>
  </w:style>
  <w:style w:type="character" w:customStyle="1" w:styleId="Heading3Char">
    <w:name w:val="Heading 3 Char"/>
    <w:link w:val="Heading3"/>
    <w:rsid w:val="005100D0"/>
    <w:rPr>
      <w:rFonts w:ascii="Cambria" w:hAnsi="Cambria"/>
      <w:b/>
      <w:bCs/>
      <w:color w:val="4F81BD"/>
      <w:sz w:val="22"/>
      <w:szCs w:val="22"/>
      <w:lang w:val="et-EE" w:eastAsia="et-EE"/>
    </w:rPr>
  </w:style>
  <w:style w:type="character" w:customStyle="1" w:styleId="Heading4Char">
    <w:name w:val="Heading 4 Char"/>
    <w:link w:val="Heading4"/>
    <w:rsid w:val="005100D0"/>
    <w:rPr>
      <w:rFonts w:ascii="Cambria" w:hAnsi="Cambria"/>
      <w:b/>
      <w:bCs/>
      <w:i/>
      <w:iCs/>
      <w:color w:val="4F81BD"/>
      <w:sz w:val="22"/>
      <w:szCs w:val="22"/>
      <w:lang w:val="et-EE" w:eastAsia="et-EE"/>
    </w:rPr>
  </w:style>
  <w:style w:type="character" w:customStyle="1" w:styleId="Heading5Char">
    <w:name w:val="Heading 5 Char"/>
    <w:link w:val="Heading5"/>
    <w:rsid w:val="005100D0"/>
    <w:rPr>
      <w:rFonts w:ascii="Cambria" w:hAnsi="Cambria"/>
      <w:color w:val="243F60"/>
      <w:sz w:val="22"/>
      <w:szCs w:val="22"/>
      <w:lang w:val="et-EE" w:eastAsia="et-EE"/>
    </w:rPr>
  </w:style>
  <w:style w:type="character" w:customStyle="1" w:styleId="Heading6Char">
    <w:name w:val="Heading 6 Char"/>
    <w:link w:val="Heading6"/>
    <w:rsid w:val="005100D0"/>
    <w:rPr>
      <w:rFonts w:ascii="Cambria" w:hAnsi="Cambria"/>
      <w:i/>
      <w:iCs/>
      <w:color w:val="243F60"/>
      <w:sz w:val="22"/>
      <w:szCs w:val="22"/>
      <w:lang w:val="et-EE" w:eastAsia="et-EE"/>
    </w:rPr>
  </w:style>
  <w:style w:type="character" w:customStyle="1" w:styleId="Heading7Char">
    <w:name w:val="Heading 7 Char"/>
    <w:link w:val="Heading7"/>
    <w:rsid w:val="005100D0"/>
    <w:rPr>
      <w:rFonts w:ascii="Cambria" w:hAnsi="Cambria"/>
      <w:i/>
      <w:iCs/>
      <w:color w:val="404040"/>
      <w:sz w:val="22"/>
      <w:szCs w:val="22"/>
      <w:lang w:val="et-EE" w:eastAsia="et-EE"/>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t-EE" w:eastAsia="et-EE"/>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t-EE" w:eastAsia="et-EE"/>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t-EE" w:eastAsia="et-EE"/>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et-EE" w:eastAsia="et-E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t-EE" w:eastAsia="et-EE"/>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uiPriority w:val="39"/>
    <w:rsid w:val="005100D0"/>
    <w:pPr>
      <w:spacing w:after="0"/>
      <w:ind w:left="660"/>
    </w:pPr>
    <w:rPr>
      <w:rFonts w:ascii="Cambria" w:hAnsi="Cambria"/>
      <w:sz w:val="20"/>
    </w:rPr>
  </w:style>
  <w:style w:type="paragraph" w:styleId="TOC5">
    <w:name w:val="toc 5"/>
    <w:basedOn w:val="Normal"/>
    <w:next w:val="Normal"/>
    <w:autoRedefine/>
    <w:uiPriority w:val="39"/>
    <w:rsid w:val="005100D0"/>
    <w:pPr>
      <w:spacing w:after="0"/>
      <w:ind w:left="880"/>
    </w:pPr>
    <w:rPr>
      <w:rFonts w:ascii="Cambria" w:hAnsi="Cambria"/>
      <w:sz w:val="20"/>
    </w:rPr>
  </w:style>
  <w:style w:type="paragraph" w:styleId="TOC6">
    <w:name w:val="toc 6"/>
    <w:basedOn w:val="Normal"/>
    <w:next w:val="Normal"/>
    <w:autoRedefine/>
    <w:uiPriority w:val="39"/>
    <w:rsid w:val="005100D0"/>
    <w:pPr>
      <w:spacing w:after="0"/>
      <w:ind w:left="1100"/>
    </w:pPr>
    <w:rPr>
      <w:rFonts w:ascii="Cambria" w:hAnsi="Cambria"/>
      <w:sz w:val="20"/>
    </w:rPr>
  </w:style>
  <w:style w:type="paragraph" w:styleId="TOC7">
    <w:name w:val="toc 7"/>
    <w:basedOn w:val="Normal"/>
    <w:next w:val="Normal"/>
    <w:autoRedefine/>
    <w:uiPriority w:val="39"/>
    <w:rsid w:val="005100D0"/>
    <w:pPr>
      <w:spacing w:after="0"/>
      <w:ind w:left="1320"/>
    </w:pPr>
    <w:rPr>
      <w:rFonts w:ascii="Cambria" w:hAnsi="Cambria"/>
      <w:sz w:val="20"/>
    </w:rPr>
  </w:style>
  <w:style w:type="paragraph" w:styleId="TOC8">
    <w:name w:val="toc 8"/>
    <w:basedOn w:val="Normal"/>
    <w:next w:val="Normal"/>
    <w:autoRedefine/>
    <w:uiPriority w:val="39"/>
    <w:rsid w:val="005100D0"/>
    <w:pPr>
      <w:spacing w:after="0"/>
      <w:ind w:left="1540"/>
    </w:pPr>
    <w:rPr>
      <w:rFonts w:ascii="Cambria" w:hAnsi="Cambria"/>
      <w:sz w:val="20"/>
    </w:rPr>
  </w:style>
  <w:style w:type="paragraph" w:styleId="TOC9">
    <w:name w:val="toc 9"/>
    <w:basedOn w:val="Normal"/>
    <w:next w:val="Normal"/>
    <w:autoRedefine/>
    <w:uiPriority w:val="39"/>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t-EE" w:eastAsia="et-EE"/>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et-EE"/>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t-E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et-EE"/>
    </w:rPr>
  </w:style>
  <w:style w:type="character" w:customStyle="1" w:styleId="subtitlenonumberChar">
    <w:name w:val="subtitle no number Char"/>
    <w:link w:val="subtitlenonumber"/>
    <w:rsid w:val="00AD63B8"/>
    <w:rPr>
      <w:b/>
      <w:i/>
      <w:sz w:val="24"/>
      <w:szCs w:val="24"/>
      <w:lang w:val="et-EE" w:eastAsia="et-E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t-EE" w:eastAsia="et-EE"/>
    </w:rPr>
  </w:style>
  <w:style w:type="character" w:customStyle="1" w:styleId="Heading2Char">
    <w:name w:val="Heading 2 Char"/>
    <w:link w:val="Heading2"/>
    <w:rsid w:val="005100D0"/>
    <w:rPr>
      <w:rFonts w:ascii="Cambria" w:hAnsi="Cambria"/>
      <w:b/>
      <w:bCs/>
      <w:color w:val="4F81BD"/>
      <w:sz w:val="26"/>
      <w:szCs w:val="26"/>
      <w:lang w:val="et-EE" w:eastAsia="et-EE"/>
    </w:rPr>
  </w:style>
  <w:style w:type="character" w:customStyle="1" w:styleId="Heading3Char">
    <w:name w:val="Heading 3 Char"/>
    <w:link w:val="Heading3"/>
    <w:rsid w:val="005100D0"/>
    <w:rPr>
      <w:rFonts w:ascii="Cambria" w:hAnsi="Cambria"/>
      <w:b/>
      <w:bCs/>
      <w:color w:val="4F81BD"/>
      <w:sz w:val="22"/>
      <w:szCs w:val="22"/>
      <w:lang w:val="et-EE" w:eastAsia="et-EE"/>
    </w:rPr>
  </w:style>
  <w:style w:type="character" w:customStyle="1" w:styleId="Heading4Char">
    <w:name w:val="Heading 4 Char"/>
    <w:link w:val="Heading4"/>
    <w:rsid w:val="005100D0"/>
    <w:rPr>
      <w:rFonts w:ascii="Cambria" w:hAnsi="Cambria"/>
      <w:b/>
      <w:bCs/>
      <w:i/>
      <w:iCs/>
      <w:color w:val="4F81BD"/>
      <w:sz w:val="22"/>
      <w:szCs w:val="22"/>
      <w:lang w:val="et-EE" w:eastAsia="et-EE"/>
    </w:rPr>
  </w:style>
  <w:style w:type="character" w:customStyle="1" w:styleId="Heading5Char">
    <w:name w:val="Heading 5 Char"/>
    <w:link w:val="Heading5"/>
    <w:rsid w:val="005100D0"/>
    <w:rPr>
      <w:rFonts w:ascii="Cambria" w:hAnsi="Cambria"/>
      <w:color w:val="243F60"/>
      <w:sz w:val="22"/>
      <w:szCs w:val="22"/>
      <w:lang w:val="et-EE" w:eastAsia="et-EE"/>
    </w:rPr>
  </w:style>
  <w:style w:type="character" w:customStyle="1" w:styleId="Heading6Char">
    <w:name w:val="Heading 6 Char"/>
    <w:link w:val="Heading6"/>
    <w:rsid w:val="005100D0"/>
    <w:rPr>
      <w:rFonts w:ascii="Cambria" w:hAnsi="Cambria"/>
      <w:i/>
      <w:iCs/>
      <w:color w:val="243F60"/>
      <w:sz w:val="22"/>
      <w:szCs w:val="22"/>
      <w:lang w:val="et-EE" w:eastAsia="et-EE"/>
    </w:rPr>
  </w:style>
  <w:style w:type="character" w:customStyle="1" w:styleId="Heading7Char">
    <w:name w:val="Heading 7 Char"/>
    <w:link w:val="Heading7"/>
    <w:rsid w:val="005100D0"/>
    <w:rPr>
      <w:rFonts w:ascii="Cambria" w:hAnsi="Cambria"/>
      <w:i/>
      <w:iCs/>
      <w:color w:val="404040"/>
      <w:sz w:val="22"/>
      <w:szCs w:val="22"/>
      <w:lang w:val="et-EE" w:eastAsia="et-EE"/>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t-EE" w:eastAsia="et-EE"/>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t-EE" w:eastAsia="et-EE"/>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t-EE" w:eastAsia="et-EE"/>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et-EE" w:eastAsia="et-E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t-EE" w:eastAsia="et-EE"/>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uiPriority w:val="39"/>
    <w:rsid w:val="005100D0"/>
    <w:pPr>
      <w:spacing w:after="0"/>
      <w:ind w:left="660"/>
    </w:pPr>
    <w:rPr>
      <w:rFonts w:ascii="Cambria" w:hAnsi="Cambria"/>
      <w:sz w:val="20"/>
    </w:rPr>
  </w:style>
  <w:style w:type="paragraph" w:styleId="TOC5">
    <w:name w:val="toc 5"/>
    <w:basedOn w:val="Normal"/>
    <w:next w:val="Normal"/>
    <w:autoRedefine/>
    <w:uiPriority w:val="39"/>
    <w:rsid w:val="005100D0"/>
    <w:pPr>
      <w:spacing w:after="0"/>
      <w:ind w:left="880"/>
    </w:pPr>
    <w:rPr>
      <w:rFonts w:ascii="Cambria" w:hAnsi="Cambria"/>
      <w:sz w:val="20"/>
    </w:rPr>
  </w:style>
  <w:style w:type="paragraph" w:styleId="TOC6">
    <w:name w:val="toc 6"/>
    <w:basedOn w:val="Normal"/>
    <w:next w:val="Normal"/>
    <w:autoRedefine/>
    <w:uiPriority w:val="39"/>
    <w:rsid w:val="005100D0"/>
    <w:pPr>
      <w:spacing w:after="0"/>
      <w:ind w:left="1100"/>
    </w:pPr>
    <w:rPr>
      <w:rFonts w:ascii="Cambria" w:hAnsi="Cambria"/>
      <w:sz w:val="20"/>
    </w:rPr>
  </w:style>
  <w:style w:type="paragraph" w:styleId="TOC7">
    <w:name w:val="toc 7"/>
    <w:basedOn w:val="Normal"/>
    <w:next w:val="Normal"/>
    <w:autoRedefine/>
    <w:uiPriority w:val="39"/>
    <w:rsid w:val="005100D0"/>
    <w:pPr>
      <w:spacing w:after="0"/>
      <w:ind w:left="1320"/>
    </w:pPr>
    <w:rPr>
      <w:rFonts w:ascii="Cambria" w:hAnsi="Cambria"/>
      <w:sz w:val="20"/>
    </w:rPr>
  </w:style>
  <w:style w:type="paragraph" w:styleId="TOC8">
    <w:name w:val="toc 8"/>
    <w:basedOn w:val="Normal"/>
    <w:next w:val="Normal"/>
    <w:autoRedefine/>
    <w:uiPriority w:val="39"/>
    <w:rsid w:val="005100D0"/>
    <w:pPr>
      <w:spacing w:after="0"/>
      <w:ind w:left="1540"/>
    </w:pPr>
    <w:rPr>
      <w:rFonts w:ascii="Cambria" w:hAnsi="Cambria"/>
      <w:sz w:val="20"/>
    </w:rPr>
  </w:style>
  <w:style w:type="paragraph" w:styleId="TOC9">
    <w:name w:val="toc 9"/>
    <w:basedOn w:val="Normal"/>
    <w:next w:val="Normal"/>
    <w:autoRedefine/>
    <w:uiPriority w:val="39"/>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t-EE" w:eastAsia="et-EE"/>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2445AB-FD9E-4D55-A5D3-8CFE9E4DF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78</Pages>
  <Words>22782</Words>
  <Characters>181959</Characters>
  <Application>Microsoft Office Word</Application>
  <DocSecurity>0</DocSecurity>
  <Lines>3398</Lines>
  <Paragraphs>969</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203783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mrimmanen</dc:creator>
  <cp:lastModifiedBy>LWCR</cp:lastModifiedBy>
  <cp:revision>4</cp:revision>
  <cp:lastPrinted>2016-10-27T14:00:00Z</cp:lastPrinted>
  <dcterms:created xsi:type="dcterms:W3CDTF">2017-06-16T07:20:00Z</dcterms:created>
  <dcterms:modified xsi:type="dcterms:W3CDTF">2017-06-22T08:22:00Z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