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D9" w:rsidRPr="00C64053" w:rsidRDefault="00493FA8" w:rsidP="00C64053">
      <w:pPr>
        <w:pStyle w:val="Pagedecouverture"/>
        <w:rPr>
          <w:lang w:val="it-CH"/>
        </w:rPr>
      </w:pPr>
      <w:bookmarkStart w:id="0" w:name="_GoBack"/>
      <w:bookmarkEnd w:id="0"/>
      <w:r>
        <w:rPr>
          <w:lang w:val="it-CH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816CE48A294345E09A62E2340F657099" style="width:450.75pt;height:396pt">
            <v:imagedata r:id="rId9" o:title=""/>
          </v:shape>
        </w:pict>
      </w:r>
    </w:p>
    <w:p w:rsidR="00AD7ACA" w:rsidRPr="00C64053" w:rsidRDefault="00AD7ACA" w:rsidP="00AD7ACA">
      <w:pPr>
        <w:pStyle w:val="Pagedecouverture"/>
        <w:rPr>
          <w:lang w:val="it-CH"/>
        </w:rPr>
        <w:sectPr w:rsidR="00AD7ACA" w:rsidRPr="00C64053" w:rsidSect="00C640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0826D9" w:rsidRPr="00C64053" w:rsidRDefault="00C64053" w:rsidP="00C64053">
      <w:pPr>
        <w:pStyle w:val="Typedudocument"/>
        <w:rPr>
          <w:lang w:val="it-CH"/>
        </w:rPr>
      </w:pPr>
      <w:r w:rsidRPr="00C64053">
        <w:rPr>
          <w:lang w:val="it-CH"/>
        </w:rPr>
        <w:lastRenderedPageBreak/>
        <w:t>REGOLAMENTO DI ESECUZIONE (UE) …/... DELLA COMMISSIONE</w:t>
      </w:r>
    </w:p>
    <w:p w:rsidR="000826D9" w:rsidRPr="00C64053" w:rsidRDefault="00C64053" w:rsidP="00C64053">
      <w:pPr>
        <w:pStyle w:val="Datedadoption"/>
        <w:rPr>
          <w:lang w:val="it-CH"/>
        </w:rPr>
      </w:pPr>
      <w:r w:rsidRPr="00C64053">
        <w:rPr>
          <w:lang w:val="it-CH"/>
        </w:rPr>
        <w:t xml:space="preserve">del </w:t>
      </w:r>
      <w:r w:rsidRPr="00C64053">
        <w:rPr>
          <w:rStyle w:val="Marker2"/>
          <w:lang w:val="it-CH"/>
        </w:rPr>
        <w:t>XXX</w:t>
      </w:r>
    </w:p>
    <w:p w:rsidR="000826D9" w:rsidRPr="00C64053" w:rsidRDefault="00C64053" w:rsidP="00C64053">
      <w:pPr>
        <w:pStyle w:val="Titreobjet"/>
        <w:rPr>
          <w:lang w:val="it-CH"/>
        </w:rPr>
      </w:pPr>
      <w:r w:rsidRPr="00C64053">
        <w:rPr>
          <w:lang w:val="it-CH"/>
        </w:rPr>
        <w:t>che modifica il regolamento di esecuzione (UE) n. 680/2014 che stabilisce norme tecniche di attuazione per quanto riguarda le segnalazioni degli enti a fini di vigilanza conformemente al regolamento (UE) n. 575/2013 del Parlamento europeo e del Consiglio</w:t>
      </w:r>
    </w:p>
    <w:p w:rsidR="000826D9" w:rsidRPr="00C64053" w:rsidRDefault="00C64053" w:rsidP="00C64053">
      <w:pPr>
        <w:pStyle w:val="IntrtEEE"/>
        <w:rPr>
          <w:lang w:val="it-CH"/>
        </w:rPr>
      </w:pPr>
      <w:r w:rsidRPr="00C64053">
        <w:rPr>
          <w:lang w:val="it-CH"/>
        </w:rPr>
        <w:t>(Testo rilevante ai fini del SEE)</w:t>
      </w:r>
    </w:p>
    <w:p w:rsidR="000826D9" w:rsidRPr="00C64053" w:rsidRDefault="000826D9" w:rsidP="004E1EF9">
      <w:pPr>
        <w:pStyle w:val="Institutionquiagit"/>
        <w:rPr>
          <w:lang w:val="it-CH"/>
        </w:rPr>
      </w:pPr>
      <w:r w:rsidRPr="00C64053">
        <w:rPr>
          <w:lang w:val="it-CH"/>
        </w:rPr>
        <w:t>LA COMMISSIONE EUROPEA,</w:t>
      </w:r>
    </w:p>
    <w:p w:rsidR="000826D9" w:rsidRPr="00C64053" w:rsidRDefault="000826D9" w:rsidP="004E1EF9">
      <w:pPr>
        <w:rPr>
          <w:lang w:val="it-CH"/>
        </w:rPr>
      </w:pPr>
      <w:r w:rsidRPr="00C64053">
        <w:rPr>
          <w:color w:val="000000"/>
          <w:lang w:val="it-CH"/>
        </w:rPr>
        <w:t>visto il trattato sul funzionamento dell</w:t>
      </w:r>
      <w:r w:rsidR="00C64053" w:rsidRPr="00C64053">
        <w:rPr>
          <w:color w:val="000000"/>
          <w:lang w:val="it-CH"/>
        </w:rPr>
        <w:t>'</w:t>
      </w:r>
      <w:r w:rsidRPr="00C64053">
        <w:rPr>
          <w:color w:val="000000"/>
          <w:lang w:val="it-CH"/>
        </w:rPr>
        <w:t>Unione europea</w:t>
      </w:r>
      <w:r w:rsidRPr="00C64053">
        <w:rPr>
          <w:lang w:val="it-CH"/>
        </w:rPr>
        <w:t>,</w:t>
      </w:r>
    </w:p>
    <w:p w:rsidR="000826D9" w:rsidRPr="00C64053" w:rsidRDefault="005E43C0" w:rsidP="00FC0A99">
      <w:pPr>
        <w:rPr>
          <w:lang w:val="it-CH"/>
        </w:rPr>
      </w:pPr>
      <w:r w:rsidRPr="00C64053">
        <w:rPr>
          <w:lang w:val="it-CH"/>
        </w:rPr>
        <w:t>visto il regolamento (UE) n. 575/2013 del Parlamento europeo e del Consiglio, del 26</w:t>
      </w:r>
      <w:r w:rsidR="00C64053" w:rsidRPr="00C64053">
        <w:rPr>
          <w:lang w:val="it-CH"/>
        </w:rPr>
        <w:t> giugno </w:t>
      </w:r>
      <w:r w:rsidRPr="00C64053">
        <w:rPr>
          <w:lang w:val="it-CH"/>
        </w:rPr>
        <w:t>2013, relativo ai requisiti prudenziali per gli enti creditizi e le imprese di investimento e che modifica il regolamento (UE) n. 648/2012, in particolare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 99, paragrafo 5, quarto comma,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99, paragrafo 6, quarto comma,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 101</w:t>
      </w:r>
      <w:r w:rsidR="00C64053" w:rsidRPr="00C64053">
        <w:rPr>
          <w:lang w:val="it-CH"/>
        </w:rPr>
        <w:t>, paragrafo </w:t>
      </w:r>
      <w:r w:rsidRPr="00C64053">
        <w:rPr>
          <w:lang w:val="it-CH"/>
        </w:rPr>
        <w:t>4, terzo comma, e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394, paragrafo 4, terzo comma,</w:t>
      </w:r>
    </w:p>
    <w:p w:rsidR="000826D9" w:rsidRPr="00C64053" w:rsidRDefault="000826D9" w:rsidP="004E1EF9">
      <w:pPr>
        <w:rPr>
          <w:lang w:val="it-CH"/>
        </w:rPr>
      </w:pPr>
      <w:r w:rsidRPr="00C64053">
        <w:rPr>
          <w:lang w:val="it-CH"/>
        </w:rPr>
        <w:t>considerando quanto segue:</w:t>
      </w:r>
    </w:p>
    <w:p w:rsidR="005E43C0" w:rsidRPr="00C64053" w:rsidRDefault="005E43C0" w:rsidP="00584220">
      <w:pPr>
        <w:pStyle w:val="Considrant"/>
        <w:numPr>
          <w:ilvl w:val="0"/>
          <w:numId w:val="5"/>
        </w:numPr>
        <w:rPr>
          <w:lang w:val="it-CH"/>
        </w:rPr>
      </w:pPr>
      <w:r w:rsidRPr="00C64053">
        <w:rPr>
          <w:lang w:val="it-CH"/>
        </w:rPr>
        <w:t>Il regolamento di esecuzione (UE) n. 680/2014 della Commissione</w:t>
      </w:r>
      <w:r w:rsidRPr="00C64053">
        <w:rPr>
          <w:rStyle w:val="FootnoteReference"/>
          <w:lang w:val="it-CH"/>
        </w:rPr>
        <w:footnoteReference w:id="1"/>
      </w:r>
      <w:r w:rsidRPr="00C64053">
        <w:rPr>
          <w:lang w:val="it-CH"/>
        </w:rPr>
        <w:t xml:space="preserve"> stabilisce le modalità in base alle quali gli enti sono tenuti ad effettuare le segnalazioni riguardanti la conformità al regolamento (UE) n. 575/2013.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99, paragrafo 5, del regolamento (UE) n. 575/2013 incarica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Autorità bancaria europea (ABE) di elaborare progetti di norme tecniche di attuazione per specificare modelli uniformi per la segnalazione delle informazioni finanziarie da parte degli enti soggetti 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4 del regolamento (CE) n. 1606/2002 del Parlamento europeo e del Consiglio</w:t>
      </w:r>
      <w:r w:rsidRPr="00C64053">
        <w:rPr>
          <w:rStyle w:val="FootnoteReference"/>
          <w:lang w:val="it-CH"/>
        </w:rPr>
        <w:footnoteReference w:id="2"/>
      </w:r>
      <w:r w:rsidRPr="00C64053">
        <w:rPr>
          <w:lang w:val="it-CH"/>
        </w:rPr>
        <w:t xml:space="preserve"> e degli enti creditizi diversi da quelli di cui al detto articolo che redigono i loro conti consolidati conformemente ai principi contabili internazionali adottati secondo la procedura di cui 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6, paragrafo 2, del regolamento (CE) n. 1606/2002.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99, paragrafo 6, del regolamento (UE) n. 575/2013 dà inoltre mandato 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ABE di elaborare progetti di norme tecniche di attuazione per specificare i modelli uniformi per la segnalazione delle informazioni finanziarie da parte degli enti soggetti alla disciplina contabile basata sulla direttiva 86/635/CEE del Consiglio</w:t>
      </w:r>
      <w:r w:rsidRPr="00C64053">
        <w:rPr>
          <w:rStyle w:val="FootnoteReference"/>
          <w:lang w:val="it-CH"/>
        </w:rPr>
        <w:footnoteReference w:id="3"/>
      </w:r>
      <w:r w:rsidRPr="00C64053">
        <w:rPr>
          <w:lang w:val="it-CH"/>
        </w:rPr>
        <w:t xml:space="preserve"> ai quali le autorità competenti possono estendere gli obblighi di segnalazione. Ciascuna di queste disposizioni si riferisce ad aspetti del quadro per la segnalazione a fini di vigilanza nell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 xml:space="preserve">Unione che devono essere allineati ai nuovi principi internazionali applicabili. </w:t>
      </w:r>
    </w:p>
    <w:p w:rsidR="005E43C0" w:rsidRPr="00C64053" w:rsidRDefault="005E43C0" w:rsidP="00C64053">
      <w:pPr>
        <w:pStyle w:val="Considrant"/>
        <w:keepNext/>
        <w:keepLines/>
        <w:rPr>
          <w:lang w:val="it-CH"/>
        </w:rPr>
      </w:pPr>
      <w:r w:rsidRPr="00C64053">
        <w:rPr>
          <w:lang w:val="it-CH"/>
        </w:rPr>
        <w:lastRenderedPageBreak/>
        <w:t>I Principi contabili internazionali adottati secondo la procedura di cui 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6, paragrafo 2, del regolamento (CE) n. 1606/2002 sono basati sui principi internazionali di informativa finanziaria (IFRS) elaborati dall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International Accounting Standards Board (IASB).</w:t>
      </w:r>
    </w:p>
    <w:p w:rsidR="005E43C0" w:rsidRPr="00C64053" w:rsidRDefault="005E43C0" w:rsidP="005E43C0">
      <w:pPr>
        <w:pStyle w:val="Considrant"/>
        <w:rPr>
          <w:lang w:val="it-CH"/>
        </w:rPr>
      </w:pPr>
      <w:r w:rsidRPr="00C64053">
        <w:rPr>
          <w:lang w:val="it-CH"/>
        </w:rPr>
        <w:t>Nel luglio 2014 lo IASB ha pubblicato il nuovo Principio internazionale per la contabilizzazione degli strumenti finanziari,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 xml:space="preserve">IFRS 9 </w:t>
      </w:r>
      <w:r w:rsidRPr="00C64053">
        <w:rPr>
          <w:i/>
          <w:lang w:val="it-CH"/>
        </w:rPr>
        <w:t>Strumenti finanziari</w:t>
      </w:r>
      <w:r w:rsidRPr="00C64053">
        <w:rPr>
          <w:lang w:val="it-CH"/>
        </w:rPr>
        <w:t xml:space="preserve"> (di seguito </w:t>
      </w:r>
      <w:r w:rsidR="00C64053" w:rsidRPr="00C64053">
        <w:rPr>
          <w:lang w:val="it-CH"/>
        </w:rPr>
        <w:t>"</w:t>
      </w:r>
      <w:r w:rsidRPr="00C64053">
        <w:rPr>
          <w:lang w:val="it-CH"/>
        </w:rPr>
        <w:t>IFRS 9</w:t>
      </w:r>
      <w:r w:rsidR="00C64053" w:rsidRPr="00C64053">
        <w:rPr>
          <w:lang w:val="it-CH"/>
        </w:rPr>
        <w:t>"</w:t>
      </w:r>
      <w:r w:rsidRPr="00C64053">
        <w:rPr>
          <w:lang w:val="it-CH"/>
        </w:rPr>
        <w:t>), che entra in applicazione a decorrere dal 1º gennaio 2018.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IFRS 9 è stato adottato nell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Unione il 22 novembre 2016 mediante il regolamento (UE) 2016/2067 della Commissione</w:t>
      </w:r>
      <w:r w:rsidRPr="00C64053">
        <w:rPr>
          <w:rStyle w:val="FootnoteReference"/>
          <w:lang w:val="it-CH"/>
        </w:rPr>
        <w:footnoteReference w:id="4"/>
      </w:r>
      <w:r w:rsidRPr="00C64053">
        <w:rPr>
          <w:lang w:val="it-CH"/>
        </w:rPr>
        <w:t>.</w:t>
      </w:r>
    </w:p>
    <w:p w:rsidR="008A3611" w:rsidRPr="00C64053" w:rsidRDefault="005E43C0" w:rsidP="002F4AD0">
      <w:pPr>
        <w:pStyle w:val="Considrant"/>
        <w:rPr>
          <w:lang w:val="it-CH"/>
        </w:rPr>
      </w:pPr>
      <w:r w:rsidRPr="00C64053">
        <w:rPr>
          <w:lang w:val="it-CH"/>
        </w:rPr>
        <w:t>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IFRS 9 modifica sostanzialmente la contabilizzazione degli strumenti finanziari da parte degli enti che sono soggetti alle disposizioni dell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99, paragrafo 2, del regolamento (UE) n. 575/2013.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 xml:space="preserve">IFRS 9 contiene un modello logico per la classificazione e la valutazione, un modello unico, lungimirante, di riduzione di valore in relazione alla </w:t>
      </w:r>
      <w:r w:rsidR="00C64053" w:rsidRPr="00C64053">
        <w:rPr>
          <w:lang w:val="it-CH"/>
        </w:rPr>
        <w:t>"</w:t>
      </w:r>
      <w:r w:rsidRPr="00C64053">
        <w:rPr>
          <w:lang w:val="it-CH"/>
        </w:rPr>
        <w:t>perdita attesa</w:t>
      </w:r>
      <w:r w:rsidR="00C64053" w:rsidRPr="00C64053">
        <w:rPr>
          <w:lang w:val="it-CH"/>
        </w:rPr>
        <w:t>"</w:t>
      </w:r>
      <w:r w:rsidRPr="00C64053">
        <w:rPr>
          <w:lang w:val="it-CH"/>
        </w:rPr>
        <w:t xml:space="preserve"> e una sostanziale riforma dell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approccio in materia di contabilizzazione delle operazioni di copertura. È opportuno pertanto modificare di conseguenza le segnalazioni da parte degli enti.</w:t>
      </w:r>
    </w:p>
    <w:p w:rsidR="005E43C0" w:rsidRPr="00C64053" w:rsidRDefault="005E43C0" w:rsidP="002358B5">
      <w:pPr>
        <w:pStyle w:val="Considrant"/>
        <w:rPr>
          <w:lang w:val="it-CH"/>
        </w:rPr>
      </w:pPr>
      <w:r w:rsidRPr="00C64053">
        <w:rPr>
          <w:lang w:val="it-CH"/>
        </w:rPr>
        <w:t xml:space="preserve">Data la necessità di chiarire la definizione di </w:t>
      </w:r>
      <w:r w:rsidR="00C64053" w:rsidRPr="00C64053">
        <w:rPr>
          <w:lang w:val="it-CH"/>
        </w:rPr>
        <w:t>"</w:t>
      </w:r>
      <w:r w:rsidRPr="00C64053">
        <w:rPr>
          <w:lang w:val="it-CH"/>
        </w:rPr>
        <w:t>valore contabile lordo</w:t>
      </w:r>
      <w:r w:rsidR="00C64053" w:rsidRPr="00C64053">
        <w:rPr>
          <w:lang w:val="it-CH"/>
        </w:rPr>
        <w:t>"</w:t>
      </w:r>
      <w:r w:rsidRPr="00C64053">
        <w:rPr>
          <w:lang w:val="it-CH"/>
        </w:rPr>
        <w:t xml:space="preserve"> per il monitoraggio del rischio di credito, di migliorare la qualità dei dati segnalati e di ridurre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 xml:space="preserve">onere delle segnalazioni, è inoltre necessario aggiornare i modelli e le istruzioni relativi alla segnalazione del valore contabile lordo delle attività finanziarie valutate al </w:t>
      </w:r>
      <w:r w:rsidRPr="00C64053">
        <w:rPr>
          <w:i/>
          <w:lang w:val="it-CH"/>
        </w:rPr>
        <w:t>fair value</w:t>
      </w:r>
      <w:r w:rsidRPr="00C64053">
        <w:rPr>
          <w:lang w:val="it-CH"/>
        </w:rPr>
        <w:t xml:space="preserve"> (valore equo) rilevato nell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utile (perdita) d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esercizio.</w:t>
      </w:r>
    </w:p>
    <w:p w:rsidR="005E43C0" w:rsidRPr="00C64053" w:rsidRDefault="008A3611" w:rsidP="005E43C0">
      <w:pPr>
        <w:pStyle w:val="Considrant"/>
        <w:rPr>
          <w:lang w:val="it-CH"/>
        </w:rPr>
      </w:pPr>
      <w:r w:rsidRPr="00C64053">
        <w:rPr>
          <w:lang w:val="it-CH"/>
        </w:rPr>
        <w:t>È necessario aggiornare i modelli e le istruzioni per gli enti soggetti alla disciplina contabile basata sulla direttiva 86/635/CEE anche per garantire che le informazioni finanziarie segnalate rimangano pertinenti e allineate per tutti gli enti e che vengano fornite le informazioni mancanti relative a particolari discipline contabili nazionali precedentemente non pienamente rispecchiate nei modelli.</w:t>
      </w:r>
    </w:p>
    <w:p w:rsidR="005E43C0" w:rsidRPr="00C64053" w:rsidRDefault="005E43C0" w:rsidP="005E43C0">
      <w:pPr>
        <w:pStyle w:val="Considrant"/>
        <w:rPr>
          <w:lang w:val="it-CH"/>
        </w:rPr>
      </w:pPr>
      <w:r w:rsidRPr="00C64053">
        <w:rPr>
          <w:lang w:val="it-CH"/>
        </w:rPr>
        <w:t>Dato il legame intrinseco tra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informativa finanziaria e i principi contabili applicabili, è opportuno che la data di applicazione del presente regolamento coincida con la data di applicazione dell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IFRS 9. Per lo stesso motivo è altresì necessario che, per gli enti che applicano un anno contabile diverso dall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anno civile, la data di applicazione del presente regolamento coincida con la data di applicazione dell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IFRS 9, che è la data dell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anno civile alla quale inizia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esercizio finanziario di tali enti.</w:t>
      </w:r>
    </w:p>
    <w:p w:rsidR="005E43C0" w:rsidRPr="00C64053" w:rsidRDefault="005E43C0" w:rsidP="005E43C0">
      <w:pPr>
        <w:pStyle w:val="Considrant"/>
        <w:rPr>
          <w:lang w:val="it-CH"/>
        </w:rPr>
      </w:pPr>
      <w:r w:rsidRPr="00C64053">
        <w:rPr>
          <w:lang w:val="it-CH"/>
        </w:rPr>
        <w:t>Il presente regolamento si basa sui progetti di norme tecniche di attuazione che 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 xml:space="preserve">Autorità bancaria europea (ABE) ha presentato alla Commissione. </w:t>
      </w:r>
    </w:p>
    <w:p w:rsidR="005E43C0" w:rsidRPr="00C64053" w:rsidRDefault="005E43C0" w:rsidP="005E43C0">
      <w:pPr>
        <w:pStyle w:val="Considrant"/>
        <w:rPr>
          <w:lang w:val="it-CH"/>
        </w:rPr>
      </w:pPr>
      <w:r w:rsidRPr="00C64053">
        <w:rPr>
          <w:lang w:val="it-CH"/>
        </w:rPr>
        <w:t>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Autorità bancaria europea ha condotto consultazioni pubbliche aperte sui progetti di norme tecniche di attuazione sui quali è basato il presente regolamento, ha analizzato i potenziali costi e benefici collegati e ha chiesto il parere del gruppo delle parti interessate nel settore bancario istituito in conformità dell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 37 del regolamento (UE) n. 1093/2010 del Parlamento europeo e del Consiglio</w:t>
      </w:r>
      <w:r w:rsidRPr="00C64053">
        <w:rPr>
          <w:rStyle w:val="FootnoteReference"/>
          <w:lang w:val="it-CH"/>
        </w:rPr>
        <w:footnoteReference w:id="5"/>
      </w:r>
      <w:r w:rsidRPr="00C64053">
        <w:rPr>
          <w:lang w:val="it-CH"/>
        </w:rPr>
        <w:t xml:space="preserve">. </w:t>
      </w:r>
    </w:p>
    <w:p w:rsidR="000826D9" w:rsidRPr="00C64053" w:rsidRDefault="005E43C0" w:rsidP="005E43C0">
      <w:pPr>
        <w:pStyle w:val="Considrant"/>
        <w:rPr>
          <w:lang w:val="it-CH"/>
        </w:rPr>
      </w:pPr>
      <w:r w:rsidRPr="00C64053">
        <w:rPr>
          <w:lang w:val="it-CH"/>
        </w:rPr>
        <w:lastRenderedPageBreak/>
        <w:t xml:space="preserve">Il regolamento di esecuzione (UE) n. 680/2014 dovrebbe essere di conseguenza modificato, </w:t>
      </w:r>
    </w:p>
    <w:p w:rsidR="000826D9" w:rsidRPr="00C64053" w:rsidRDefault="000826D9" w:rsidP="004E1EF9">
      <w:pPr>
        <w:pStyle w:val="Formuledadoption"/>
        <w:rPr>
          <w:lang w:val="it-CH"/>
        </w:rPr>
      </w:pPr>
      <w:r w:rsidRPr="00C64053">
        <w:rPr>
          <w:lang w:val="it-CH"/>
        </w:rPr>
        <w:t>HA ADOTTATO IL PRESENTE REGOLAMENTO:</w:t>
      </w:r>
    </w:p>
    <w:p w:rsidR="000826D9" w:rsidRPr="00C64053" w:rsidRDefault="000826D9" w:rsidP="004E1EF9">
      <w:pPr>
        <w:pStyle w:val="Titrearticle"/>
        <w:rPr>
          <w:lang w:val="it-CH"/>
        </w:rPr>
      </w:pPr>
      <w:r w:rsidRPr="00C64053">
        <w:rPr>
          <w:lang w:val="it-CH"/>
        </w:rPr>
        <w:t>Articolo 1</w:t>
      </w:r>
    </w:p>
    <w:p w:rsidR="005E43C0" w:rsidRPr="00C64053" w:rsidRDefault="005E43C0" w:rsidP="005E43C0">
      <w:pPr>
        <w:rPr>
          <w:lang w:val="it-CH"/>
        </w:rPr>
      </w:pPr>
      <w:r w:rsidRPr="00C64053">
        <w:rPr>
          <w:lang w:val="it-CH"/>
        </w:rPr>
        <w:t>Il regolamento di esecuzione (UE) n. 680/2014 è così modificato:</w:t>
      </w:r>
    </w:p>
    <w:p w:rsidR="005E43C0" w:rsidRPr="00C64053" w:rsidRDefault="005E43C0" w:rsidP="00C94153">
      <w:pPr>
        <w:pStyle w:val="Point0number"/>
        <w:numPr>
          <w:ilvl w:val="0"/>
          <w:numId w:val="6"/>
        </w:numPr>
        <w:rPr>
          <w:lang w:val="it-CH"/>
        </w:rPr>
      </w:pPr>
      <w:r w:rsidRPr="00C64053">
        <w:rPr>
          <w:lang w:val="it-CH"/>
        </w:rPr>
        <w:t>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allegato III del regolamento di esecuzione (UE) n. 680/2014 è sostituito dal testo di cui 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allegato I del presente regolamento;</w:t>
      </w:r>
    </w:p>
    <w:p w:rsidR="005E43C0" w:rsidRPr="00C64053" w:rsidRDefault="005E43C0" w:rsidP="00C94153">
      <w:pPr>
        <w:pStyle w:val="Point0number"/>
        <w:rPr>
          <w:lang w:val="it-CH"/>
        </w:rPr>
      </w:pPr>
      <w:r w:rsidRPr="00C64053">
        <w:rPr>
          <w:lang w:val="it-CH"/>
        </w:rPr>
        <w:t>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allegato IV del regolamento di esecuzione (UE) n. 680/2014 è sostituito dal testo di cui 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allegato II del presente regolamento;</w:t>
      </w:r>
    </w:p>
    <w:p w:rsidR="005E43C0" w:rsidRPr="00C64053" w:rsidRDefault="005E43C0" w:rsidP="00C94153">
      <w:pPr>
        <w:pStyle w:val="Point0number"/>
        <w:rPr>
          <w:lang w:val="it-CH"/>
        </w:rPr>
      </w:pPr>
      <w:r w:rsidRPr="00C64053">
        <w:rPr>
          <w:lang w:val="it-CH"/>
        </w:rPr>
        <w:t>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allegato V del regolamento di esecuzione (UE) n. 680/2014 è sostituito dal testo di cui 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allegato III del presente regolamento.</w:t>
      </w:r>
    </w:p>
    <w:p w:rsidR="000826D9" w:rsidRPr="00C64053" w:rsidRDefault="000826D9" w:rsidP="004E1EF9">
      <w:pPr>
        <w:pStyle w:val="Titrearticle"/>
        <w:rPr>
          <w:lang w:val="it-CH"/>
        </w:rPr>
      </w:pPr>
      <w:r w:rsidRPr="00C64053">
        <w:rPr>
          <w:lang w:val="it-CH"/>
        </w:rPr>
        <w:t>Articolo 2</w:t>
      </w:r>
    </w:p>
    <w:p w:rsidR="005E43C0" w:rsidRPr="00C64053" w:rsidRDefault="005E43C0" w:rsidP="005E43C0">
      <w:pPr>
        <w:pStyle w:val="Applicationdirecte"/>
        <w:rPr>
          <w:lang w:val="it-CH"/>
        </w:rPr>
      </w:pPr>
      <w:r w:rsidRPr="00C64053">
        <w:rPr>
          <w:lang w:val="it-CH"/>
        </w:rPr>
        <w:t xml:space="preserve">Il presente regolamento entra in vigore il ventesimo giorno successivo alla pubblicazione nella </w:t>
      </w:r>
      <w:r w:rsidRPr="00C64053">
        <w:rPr>
          <w:i/>
          <w:lang w:val="it-CH"/>
        </w:rPr>
        <w:t>Gazzetta ufficiale dell</w:t>
      </w:r>
      <w:r w:rsidR="00C64053" w:rsidRPr="00C64053">
        <w:rPr>
          <w:i/>
          <w:lang w:val="it-CH"/>
        </w:rPr>
        <w:t>'</w:t>
      </w:r>
      <w:r w:rsidRPr="00C64053">
        <w:rPr>
          <w:i/>
          <w:lang w:val="it-CH"/>
        </w:rPr>
        <w:t>Unione europea</w:t>
      </w:r>
      <w:r w:rsidRPr="00C64053">
        <w:rPr>
          <w:lang w:val="it-CH"/>
        </w:rPr>
        <w:t>.</w:t>
      </w:r>
    </w:p>
    <w:p w:rsidR="005E43C0" w:rsidRPr="00C64053" w:rsidRDefault="005E43C0" w:rsidP="005E43C0">
      <w:pPr>
        <w:rPr>
          <w:lang w:val="it-CH"/>
        </w:rPr>
      </w:pPr>
      <w:r w:rsidRPr="00C64053">
        <w:rPr>
          <w:lang w:val="it-CH"/>
        </w:rPr>
        <w:t>Esso si applica a decorrere dal 1° gennaio 2018.</w:t>
      </w:r>
    </w:p>
    <w:p w:rsidR="0065426A" w:rsidRPr="00C64053" w:rsidRDefault="00BE632F" w:rsidP="005E43C0">
      <w:pPr>
        <w:rPr>
          <w:lang w:val="it-CH"/>
        </w:rPr>
      </w:pPr>
      <w:r w:rsidRPr="00C64053">
        <w:rPr>
          <w:lang w:val="it-CH"/>
        </w:rPr>
        <w:t>Gli allegati I e III del presente regolamento si applicano dall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inizio dell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anno contabile che comincia dopo il 1º gennaio 2018, qualora i seguenti enti utilizzino un anno contabile diverso dall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anno civile:</w:t>
      </w:r>
    </w:p>
    <w:p w:rsidR="0065426A" w:rsidRPr="00C64053" w:rsidRDefault="0065426A" w:rsidP="005E43C0">
      <w:pPr>
        <w:rPr>
          <w:lang w:val="it-CH"/>
        </w:rPr>
      </w:pPr>
      <w:r w:rsidRPr="00C64053">
        <w:rPr>
          <w:lang w:val="it-CH"/>
        </w:rPr>
        <w:t>a) gli enti soggetti 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 xml:space="preserve">articolo 4 del regolamento (CE) n. 1606/2002; </w:t>
      </w:r>
    </w:p>
    <w:p w:rsidR="0065426A" w:rsidRPr="00C64053" w:rsidRDefault="0065426A" w:rsidP="005E43C0">
      <w:pPr>
        <w:rPr>
          <w:lang w:val="it-CH"/>
        </w:rPr>
      </w:pPr>
      <w:r w:rsidRPr="00C64053">
        <w:rPr>
          <w:lang w:val="it-CH"/>
        </w:rPr>
        <w:t>b) gli enti creditizi diversi da quelli di cui 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4 del regolamento (CE) n. 1606/2002 che redigono i loro conti consolidati conformemente ai principi contabili internazionali adottati secondo la procedura di cui all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6, paragrafo 2, di detto regolamento;</w:t>
      </w:r>
    </w:p>
    <w:p w:rsidR="00375E2B" w:rsidRPr="00C64053" w:rsidRDefault="00375E2B" w:rsidP="005E43C0">
      <w:pPr>
        <w:rPr>
          <w:lang w:val="it-CH"/>
        </w:rPr>
      </w:pPr>
      <w:r w:rsidRPr="00C64053">
        <w:rPr>
          <w:lang w:val="it-CH"/>
        </w:rPr>
        <w:t>c) gli enti creditizi che applicano i principi contabili internazionali a norma del regolamento (CE) n. 1606/2002 per la segnalazione dei fondi propri su base consolidata in forza dell</w:t>
      </w:r>
      <w:r w:rsidR="00C64053" w:rsidRPr="00C64053">
        <w:rPr>
          <w:lang w:val="it-CH"/>
        </w:rPr>
        <w:t>'</w:t>
      </w:r>
      <w:r w:rsidRPr="00C64053">
        <w:rPr>
          <w:lang w:val="it-CH"/>
        </w:rPr>
        <w:t>articolo 24, paragrafo 2, del regolamento (UE) n. 575/2013.</w:t>
      </w:r>
    </w:p>
    <w:p w:rsidR="005E43C0" w:rsidRPr="00C64053" w:rsidRDefault="005E43C0" w:rsidP="005E43C0">
      <w:pPr>
        <w:rPr>
          <w:lang w:val="it-CH"/>
        </w:rPr>
      </w:pPr>
      <w:r w:rsidRPr="00C64053">
        <w:rPr>
          <w:lang w:val="it-CH"/>
        </w:rPr>
        <w:t>Il presente regolamento è obbligatorio in tutti i suoi elementi e direttamente applicabile in ciascuno degli Stati membri.</w:t>
      </w:r>
    </w:p>
    <w:p w:rsidR="000826D9" w:rsidRPr="00C64053" w:rsidRDefault="00C64053" w:rsidP="00C64053">
      <w:pPr>
        <w:pStyle w:val="Fait"/>
        <w:rPr>
          <w:lang w:val="it-CH"/>
        </w:rPr>
      </w:pPr>
      <w:r w:rsidRPr="00C64053">
        <w:rPr>
          <w:lang w:val="it-CH"/>
        </w:rPr>
        <w:t>Fatto a Bruxelles, il</w:t>
      </w:r>
    </w:p>
    <w:p w:rsidR="000826D9" w:rsidRPr="00C64053" w:rsidRDefault="000826D9" w:rsidP="000826D9">
      <w:pPr>
        <w:pStyle w:val="Institutionquisigne"/>
        <w:rPr>
          <w:lang w:val="it-CH"/>
        </w:rPr>
      </w:pPr>
      <w:r w:rsidRPr="00C64053">
        <w:rPr>
          <w:lang w:val="it-CH"/>
        </w:rPr>
        <w:tab/>
        <w:t>Per la Commissione</w:t>
      </w:r>
    </w:p>
    <w:p w:rsidR="000826D9" w:rsidRPr="00C64053" w:rsidRDefault="000826D9" w:rsidP="000826D9">
      <w:pPr>
        <w:pStyle w:val="Personnequisigne"/>
        <w:rPr>
          <w:lang w:val="it-CH"/>
        </w:rPr>
      </w:pPr>
      <w:r w:rsidRPr="00C64053">
        <w:rPr>
          <w:lang w:val="it-CH"/>
        </w:rPr>
        <w:tab/>
        <w:t>Il presidente</w:t>
      </w:r>
      <w:r w:rsidRPr="00C64053">
        <w:rPr>
          <w:lang w:val="it-CH"/>
        </w:rPr>
        <w:br/>
      </w:r>
      <w:r w:rsidRPr="00C64053">
        <w:rPr>
          <w:lang w:val="it-CH"/>
        </w:rPr>
        <w:tab/>
        <w:t>Jean-Claude Juncker</w:t>
      </w:r>
    </w:p>
    <w:sectPr w:rsidR="000826D9" w:rsidRPr="00C64053" w:rsidSect="00C64053">
      <w:footerReference w:type="default" r:id="rId16"/>
      <w:footerReference w:type="first" r:id="rId1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E41" w:rsidRDefault="00200E41" w:rsidP="000826D9">
      <w:pPr>
        <w:spacing w:before="0" w:after="0"/>
      </w:pPr>
      <w:r>
        <w:separator/>
      </w:r>
    </w:p>
  </w:endnote>
  <w:endnote w:type="continuationSeparator" w:id="0">
    <w:p w:rsidR="00200E41" w:rsidRDefault="00200E41" w:rsidP="000826D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A8" w:rsidRDefault="00493F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053" w:rsidRPr="00C64053" w:rsidRDefault="00C64053" w:rsidP="00C64053">
    <w:pPr>
      <w:pStyle w:val="Footer"/>
      <w:rPr>
        <w:rFonts w:ascii="Arial" w:hAnsi="Arial" w:cs="Arial"/>
        <w:b/>
        <w:sz w:val="48"/>
      </w:rPr>
    </w:pPr>
    <w:r w:rsidRPr="00C64053">
      <w:rPr>
        <w:rFonts w:ascii="Arial" w:hAnsi="Arial" w:cs="Arial"/>
        <w:b/>
        <w:sz w:val="48"/>
      </w:rPr>
      <w:t>IT</w:t>
    </w:r>
    <w:r w:rsidRPr="00C64053">
      <w:rPr>
        <w:rFonts w:ascii="Arial" w:hAnsi="Arial" w:cs="Arial"/>
        <w:b/>
        <w:sz w:val="48"/>
      </w:rPr>
      <w:tab/>
    </w:r>
    <w:r w:rsidRPr="00C64053">
      <w:rPr>
        <w:rFonts w:ascii="Arial" w:hAnsi="Arial" w:cs="Arial"/>
        <w:b/>
        <w:sz w:val="48"/>
      </w:rPr>
      <w:tab/>
    </w:r>
    <w:fldSimple w:instr=" DOCVARIABLE &quot;LW_Confidence&quot; \* MERGEFORMAT ">
      <w:r>
        <w:t xml:space="preserve"> </w:t>
      </w:r>
    </w:fldSimple>
    <w:r w:rsidRPr="00C64053">
      <w:tab/>
    </w:r>
    <w:r w:rsidRPr="00C64053">
      <w:rPr>
        <w:rFonts w:ascii="Arial" w:hAnsi="Arial" w:cs="Arial"/>
        <w:b/>
        <w:sz w:val="48"/>
      </w:rPr>
      <w:t>IT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A8" w:rsidRDefault="00493FA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053" w:rsidRPr="00C64053" w:rsidRDefault="00C64053" w:rsidP="00C64053">
    <w:pPr>
      <w:pStyle w:val="Footer"/>
      <w:rPr>
        <w:rFonts w:ascii="Arial" w:hAnsi="Arial" w:cs="Arial"/>
        <w:b/>
        <w:sz w:val="48"/>
      </w:rPr>
    </w:pPr>
    <w:r w:rsidRPr="00C64053">
      <w:rPr>
        <w:rFonts w:ascii="Arial" w:hAnsi="Arial" w:cs="Arial"/>
        <w:b/>
        <w:sz w:val="48"/>
      </w:rPr>
      <w:t>IT</w:t>
    </w:r>
    <w:r w:rsidRPr="00C64053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493FA8">
      <w:rPr>
        <w:noProof/>
      </w:rPr>
      <w:t>4</w:t>
    </w:r>
    <w:r>
      <w:fldChar w:fldCharType="end"/>
    </w:r>
    <w:r>
      <w:tab/>
    </w:r>
    <w:fldSimple w:instr=" DOCVARIABLE &quot;LW_Confidence&quot; \* MERGEFORMAT ">
      <w:r>
        <w:t xml:space="preserve"> </w:t>
      </w:r>
    </w:fldSimple>
    <w:r w:rsidRPr="00C64053">
      <w:tab/>
    </w:r>
    <w:r w:rsidRPr="00C64053">
      <w:rPr>
        <w:rFonts w:ascii="Arial" w:hAnsi="Arial" w:cs="Arial"/>
        <w:b/>
        <w:sz w:val="48"/>
      </w:rPr>
      <w:t>IT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053" w:rsidRPr="00C64053" w:rsidRDefault="00C64053" w:rsidP="00C640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E41" w:rsidRDefault="00200E41" w:rsidP="000826D9">
      <w:pPr>
        <w:spacing w:before="0" w:after="0"/>
      </w:pPr>
      <w:r>
        <w:separator/>
      </w:r>
    </w:p>
  </w:footnote>
  <w:footnote w:type="continuationSeparator" w:id="0">
    <w:p w:rsidR="00200E41" w:rsidRDefault="00200E41" w:rsidP="000826D9">
      <w:pPr>
        <w:spacing w:before="0" w:after="0"/>
      </w:pPr>
      <w:r>
        <w:continuationSeparator/>
      </w:r>
    </w:p>
  </w:footnote>
  <w:footnote w:id="1">
    <w:p w:rsidR="005E43C0" w:rsidRPr="004500CE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  <w:t xml:space="preserve">Regolamento di esecuzione (UE) n. </w:t>
      </w:r>
      <w:r w:rsidRPr="00C64053">
        <w:t>680</w:t>
      </w:r>
      <w:r>
        <w:t>/</w:t>
      </w:r>
      <w:r w:rsidRPr="00C64053">
        <w:t>2014</w:t>
      </w:r>
      <w:r>
        <w:t xml:space="preserve"> della Commissione che stabilisce norme tecniche di attuazione per quanto riguarda le segnalazioni degli enti a fini di vigilanza conformemente al regolamento (UE) n. </w:t>
      </w:r>
      <w:r w:rsidRPr="00C64053">
        <w:t>575</w:t>
      </w:r>
      <w:r>
        <w:t>/</w:t>
      </w:r>
      <w:r w:rsidRPr="00C64053">
        <w:t>2013</w:t>
      </w:r>
      <w:r>
        <w:t xml:space="preserve"> del Parlamento europeo e del Consiglio (GU L </w:t>
      </w:r>
      <w:r w:rsidRPr="00C64053">
        <w:t>191</w:t>
      </w:r>
      <w:r>
        <w:t xml:space="preserve"> del </w:t>
      </w:r>
      <w:r w:rsidRPr="00C64053">
        <w:t>28</w:t>
      </w:r>
      <w:r>
        <w:t>.</w:t>
      </w:r>
      <w:r w:rsidRPr="00C64053">
        <w:t>6</w:t>
      </w:r>
      <w:r>
        <w:t>.</w:t>
      </w:r>
      <w:r w:rsidRPr="00C64053">
        <w:t>2014</w:t>
      </w:r>
      <w:r w:rsidR="00C64053">
        <w:t>, pag. </w:t>
      </w:r>
      <w:r w:rsidRPr="00C64053">
        <w:t>1</w:t>
      </w:r>
      <w:r>
        <w:t xml:space="preserve">). </w:t>
      </w:r>
    </w:p>
  </w:footnote>
  <w:footnote w:id="2">
    <w:p w:rsidR="005E43C0" w:rsidRPr="00F86D15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  <w:t xml:space="preserve">Regolamento (CE) n. </w:t>
      </w:r>
      <w:r w:rsidRPr="00C64053">
        <w:t>1606</w:t>
      </w:r>
      <w:r>
        <w:t>/</w:t>
      </w:r>
      <w:r w:rsidRPr="00C64053">
        <w:t>2002</w:t>
      </w:r>
      <w:r>
        <w:t xml:space="preserve"> del Parlamento europeo e del Consiglio, del </w:t>
      </w:r>
      <w:r w:rsidRPr="00C64053">
        <w:t>19</w:t>
      </w:r>
      <w:r>
        <w:t xml:space="preserve"> luglio </w:t>
      </w:r>
      <w:r w:rsidRPr="00C64053">
        <w:t>2002</w:t>
      </w:r>
      <w:r>
        <w:t>, relativo all</w:t>
      </w:r>
      <w:r w:rsidR="00C64053">
        <w:t>'</w:t>
      </w:r>
      <w:r>
        <w:t xml:space="preserve">applicazione di principi contabili internazionali (GU L </w:t>
      </w:r>
      <w:r w:rsidRPr="00C64053">
        <w:t>243</w:t>
      </w:r>
      <w:r>
        <w:t xml:space="preserve"> dell</w:t>
      </w:r>
      <w:r w:rsidR="00C64053">
        <w:t>'</w:t>
      </w:r>
      <w:r w:rsidRPr="00C64053">
        <w:t>11</w:t>
      </w:r>
      <w:r>
        <w:t>.</w:t>
      </w:r>
      <w:r w:rsidRPr="00C64053">
        <w:t>9</w:t>
      </w:r>
      <w:r>
        <w:t>.</w:t>
      </w:r>
      <w:r w:rsidRPr="00C64053">
        <w:t>2002</w:t>
      </w:r>
      <w:r>
        <w:t xml:space="preserve">, pag. </w:t>
      </w:r>
      <w:r w:rsidRPr="00C64053">
        <w:t>1</w:t>
      </w:r>
      <w:r>
        <w:t>).</w:t>
      </w:r>
    </w:p>
  </w:footnote>
  <w:footnote w:id="3">
    <w:p w:rsidR="002A64F4" w:rsidRDefault="002A64F4">
      <w:pPr>
        <w:pStyle w:val="FootnoteText"/>
      </w:pPr>
      <w:r>
        <w:rPr>
          <w:rStyle w:val="FootnoteReference"/>
        </w:rPr>
        <w:footnoteRef/>
      </w:r>
      <w:r>
        <w:tab/>
        <w:t xml:space="preserve">Direttiva </w:t>
      </w:r>
      <w:r w:rsidRPr="00C64053">
        <w:t>86</w:t>
      </w:r>
      <w:r>
        <w:t>/</w:t>
      </w:r>
      <w:r w:rsidRPr="00C64053">
        <w:t>635</w:t>
      </w:r>
      <w:r>
        <w:t>/CEE del Consiglio, dell</w:t>
      </w:r>
      <w:r w:rsidR="00C64053">
        <w:t>'</w:t>
      </w:r>
      <w:r w:rsidRPr="00C64053">
        <w:t>8</w:t>
      </w:r>
      <w:r>
        <w:t xml:space="preserve"> dicembre </w:t>
      </w:r>
      <w:r w:rsidRPr="00C64053">
        <w:t>1986</w:t>
      </w:r>
      <w:r>
        <w:t xml:space="preserve">, relativa ai conti annuali ed ai conti consolidati delle banche e degli altri istituti finanziari (GU L </w:t>
      </w:r>
      <w:r w:rsidRPr="00C64053">
        <w:t>372</w:t>
      </w:r>
      <w:r>
        <w:t xml:space="preserve"> del </w:t>
      </w:r>
      <w:r w:rsidRPr="00C64053">
        <w:t>31</w:t>
      </w:r>
      <w:r>
        <w:t>.</w:t>
      </w:r>
      <w:r w:rsidRPr="00C64053">
        <w:t>12</w:t>
      </w:r>
      <w:r>
        <w:t>.</w:t>
      </w:r>
      <w:r w:rsidRPr="00C64053">
        <w:t>1986</w:t>
      </w:r>
      <w:r>
        <w:t xml:space="preserve">, pag. </w:t>
      </w:r>
      <w:r w:rsidRPr="00C64053">
        <w:t>1</w:t>
      </w:r>
      <w:r>
        <w:t>).</w:t>
      </w:r>
    </w:p>
  </w:footnote>
  <w:footnote w:id="4">
    <w:p w:rsidR="00775C98" w:rsidRDefault="00775C98">
      <w:pPr>
        <w:pStyle w:val="FootnoteText"/>
      </w:pPr>
      <w:r>
        <w:rPr>
          <w:rStyle w:val="FootnoteReference"/>
        </w:rPr>
        <w:footnoteRef/>
      </w:r>
      <w:r>
        <w:tab/>
        <w:t xml:space="preserve">Regolamento (UE) n. </w:t>
      </w:r>
      <w:r w:rsidRPr="00C64053">
        <w:t>2016</w:t>
      </w:r>
      <w:r>
        <w:t>/</w:t>
      </w:r>
      <w:r w:rsidRPr="00C64053">
        <w:t>2067</w:t>
      </w:r>
      <w:r>
        <w:t xml:space="preserve"> della Commissione, del </w:t>
      </w:r>
      <w:r w:rsidRPr="00C64053">
        <w:t>22</w:t>
      </w:r>
      <w:r>
        <w:t xml:space="preserve"> novembre </w:t>
      </w:r>
      <w:r w:rsidRPr="00C64053">
        <w:t>2016</w:t>
      </w:r>
      <w:r>
        <w:t xml:space="preserve">, che modifica il regolamento (CE) n. </w:t>
      </w:r>
      <w:r w:rsidRPr="00C64053">
        <w:t>1126</w:t>
      </w:r>
      <w:r>
        <w:t>/</w:t>
      </w:r>
      <w:r w:rsidRPr="00C64053">
        <w:t>2008</w:t>
      </w:r>
      <w:r>
        <w:t xml:space="preserve"> della Commissione che adotta taluni principi contabili internazionali conformemente al regolamento (CE) n. </w:t>
      </w:r>
      <w:r w:rsidRPr="00C64053">
        <w:t>1606</w:t>
      </w:r>
      <w:r>
        <w:t>/</w:t>
      </w:r>
      <w:r w:rsidRPr="00C64053">
        <w:t>2002</w:t>
      </w:r>
      <w:r>
        <w:t xml:space="preserve"> del Parlamento europeo e del Consiglio per quanto riguarda l</w:t>
      </w:r>
      <w:r w:rsidR="00C64053">
        <w:t>'</w:t>
      </w:r>
      <w:r>
        <w:t xml:space="preserve">International Financial Reporting Standard </w:t>
      </w:r>
      <w:r w:rsidRPr="00C64053">
        <w:t>9</w:t>
      </w:r>
      <w:r>
        <w:t xml:space="preserve"> (GU L </w:t>
      </w:r>
      <w:r w:rsidRPr="00C64053">
        <w:t>323</w:t>
      </w:r>
      <w:r>
        <w:t xml:space="preserve"> del </w:t>
      </w:r>
      <w:r w:rsidRPr="00C64053">
        <w:t>29</w:t>
      </w:r>
      <w:r>
        <w:t>.</w:t>
      </w:r>
      <w:r w:rsidRPr="00C64053">
        <w:t>11</w:t>
      </w:r>
      <w:r>
        <w:t>.</w:t>
      </w:r>
      <w:r w:rsidRPr="00C64053">
        <w:t>2016</w:t>
      </w:r>
      <w:r>
        <w:t xml:space="preserve">, pag. </w:t>
      </w:r>
      <w:r w:rsidRPr="00C64053">
        <w:t>1</w:t>
      </w:r>
      <w:r>
        <w:t>).</w:t>
      </w:r>
    </w:p>
  </w:footnote>
  <w:footnote w:id="5">
    <w:p w:rsidR="005E43C0" w:rsidRPr="004500CE" w:rsidRDefault="005E43C0" w:rsidP="005E43C0">
      <w:pPr>
        <w:pStyle w:val="FootnoteText"/>
      </w:pPr>
      <w:r>
        <w:rPr>
          <w:rStyle w:val="FootnoteReference"/>
        </w:rPr>
        <w:footnoteRef/>
      </w:r>
      <w:r>
        <w:tab/>
        <w:t xml:space="preserve">Regolamento (UE) n. </w:t>
      </w:r>
      <w:r w:rsidRPr="00C64053">
        <w:t>1093</w:t>
      </w:r>
      <w:r>
        <w:t>/</w:t>
      </w:r>
      <w:r w:rsidRPr="00C64053">
        <w:t>2010</w:t>
      </w:r>
      <w:r>
        <w:t xml:space="preserve"> del Parlamento europeo e del Consiglio, del </w:t>
      </w:r>
      <w:r w:rsidRPr="00C64053">
        <w:t>24</w:t>
      </w:r>
      <w:r>
        <w:t xml:space="preserve"> novembre </w:t>
      </w:r>
      <w:r w:rsidRPr="00C64053">
        <w:t>2010</w:t>
      </w:r>
      <w:r>
        <w:t>, che istituisce l</w:t>
      </w:r>
      <w:r w:rsidR="00C64053">
        <w:t>'</w:t>
      </w:r>
      <w:r>
        <w:t>Autorità europea di vigilanza (Autorità bancaria eur</w:t>
      </w:r>
      <w:r w:rsidR="00C64053">
        <w:t>opea), modifica la decisione n. </w:t>
      </w:r>
      <w:r w:rsidRPr="00C64053">
        <w:t>716</w:t>
      </w:r>
      <w:r>
        <w:t>/</w:t>
      </w:r>
      <w:r w:rsidRPr="00C64053">
        <w:t>2009</w:t>
      </w:r>
      <w:r>
        <w:t xml:space="preserve">/CE e abroga la decisione </w:t>
      </w:r>
      <w:r w:rsidRPr="00C64053">
        <w:t>2009</w:t>
      </w:r>
      <w:r>
        <w:t>/</w:t>
      </w:r>
      <w:r w:rsidRPr="00C64053">
        <w:t>78</w:t>
      </w:r>
      <w:r>
        <w:t xml:space="preserve">/CE della Commissione (GU L </w:t>
      </w:r>
      <w:r w:rsidRPr="00C64053">
        <w:t>331</w:t>
      </w:r>
      <w:r>
        <w:t xml:space="preserve"> del </w:t>
      </w:r>
      <w:r w:rsidRPr="00C64053">
        <w:t>15</w:t>
      </w:r>
      <w:r>
        <w:t>.</w:t>
      </w:r>
      <w:r w:rsidRPr="00C64053">
        <w:t>12</w:t>
      </w:r>
      <w:r>
        <w:t>.</w:t>
      </w:r>
      <w:r w:rsidRPr="00C64053">
        <w:t>2010</w:t>
      </w:r>
      <w:r w:rsidR="00C64053">
        <w:t>, pag. </w:t>
      </w:r>
      <w:r w:rsidRPr="00C64053">
        <w:t>12</w:t>
      </w:r>
      <w: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A8" w:rsidRDefault="00493F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A8" w:rsidRDefault="00493F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A8" w:rsidRDefault="00493F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7405E8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CBF044D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0C00969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087E3F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A3AED8E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F9FA956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D0D05A2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07BE56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3589782B"/>
    <w:multiLevelType w:val="hybridMultilevel"/>
    <w:tmpl w:val="922C3682"/>
    <w:lvl w:ilvl="0" w:tplc="F35EE75C">
      <w:start w:val="1"/>
      <w:numFmt w:val="lowerRoman"/>
      <w:lvlText w:val="(%1)"/>
      <w:lvlJc w:val="right"/>
      <w:pPr>
        <w:ind w:left="21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7" w:hanging="360"/>
      </w:pPr>
    </w:lvl>
    <w:lvl w:ilvl="2" w:tplc="0809001B" w:tentative="1">
      <w:start w:val="1"/>
      <w:numFmt w:val="lowerRoman"/>
      <w:lvlText w:val="%3."/>
      <w:lvlJc w:val="right"/>
      <w:pPr>
        <w:ind w:left="3577" w:hanging="180"/>
      </w:pPr>
    </w:lvl>
    <w:lvl w:ilvl="3" w:tplc="0809000F" w:tentative="1">
      <w:start w:val="1"/>
      <w:numFmt w:val="decimal"/>
      <w:lvlText w:val="%4."/>
      <w:lvlJc w:val="left"/>
      <w:pPr>
        <w:ind w:left="4297" w:hanging="360"/>
      </w:pPr>
    </w:lvl>
    <w:lvl w:ilvl="4" w:tplc="08090019" w:tentative="1">
      <w:start w:val="1"/>
      <w:numFmt w:val="lowerLetter"/>
      <w:lvlText w:val="%5."/>
      <w:lvlJc w:val="left"/>
      <w:pPr>
        <w:ind w:left="5017" w:hanging="360"/>
      </w:pPr>
    </w:lvl>
    <w:lvl w:ilvl="5" w:tplc="0809001B" w:tentative="1">
      <w:start w:val="1"/>
      <w:numFmt w:val="lowerRoman"/>
      <w:lvlText w:val="%6."/>
      <w:lvlJc w:val="right"/>
      <w:pPr>
        <w:ind w:left="5737" w:hanging="180"/>
      </w:pPr>
    </w:lvl>
    <w:lvl w:ilvl="6" w:tplc="0809000F" w:tentative="1">
      <w:start w:val="1"/>
      <w:numFmt w:val="decimal"/>
      <w:lvlText w:val="%7."/>
      <w:lvlJc w:val="left"/>
      <w:pPr>
        <w:ind w:left="6457" w:hanging="360"/>
      </w:pPr>
    </w:lvl>
    <w:lvl w:ilvl="7" w:tplc="08090019" w:tentative="1">
      <w:start w:val="1"/>
      <w:numFmt w:val="lowerLetter"/>
      <w:lvlText w:val="%8."/>
      <w:lvlJc w:val="left"/>
      <w:pPr>
        <w:ind w:left="7177" w:hanging="360"/>
      </w:pPr>
    </w:lvl>
    <w:lvl w:ilvl="8" w:tplc="080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2"/>
    <w:lvlOverride w:ilvl="0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3"/>
  </w:num>
  <w:num w:numId="13">
    <w:abstractNumId w:val="21"/>
  </w:num>
  <w:num w:numId="14">
    <w:abstractNumId w:val="11"/>
  </w:num>
  <w:num w:numId="15">
    <w:abstractNumId w:val="14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12"/>
  </w:num>
  <w:num w:numId="26">
    <w:abstractNumId w:val="19"/>
  </w:num>
  <w:num w:numId="27">
    <w:abstractNumId w:val="13"/>
  </w:num>
  <w:num w:numId="28">
    <w:abstractNumId w:val="21"/>
  </w:num>
  <w:num w:numId="29">
    <w:abstractNumId w:val="11"/>
  </w:num>
  <w:num w:numId="30">
    <w:abstractNumId w:val="14"/>
  </w:num>
  <w:num w:numId="31">
    <w:abstractNumId w:val="9"/>
  </w:num>
  <w:num w:numId="32">
    <w:abstractNumId w:val="20"/>
  </w:num>
  <w:num w:numId="33">
    <w:abstractNumId w:val="8"/>
  </w:num>
  <w:num w:numId="34">
    <w:abstractNumId w:val="15"/>
  </w:num>
  <w:num w:numId="35">
    <w:abstractNumId w:val="17"/>
  </w:num>
  <w:num w:numId="36">
    <w:abstractNumId w:val="18"/>
  </w:num>
  <w:num w:numId="37">
    <w:abstractNumId w:val="10"/>
  </w:num>
  <w:num w:numId="38">
    <w:abstractNumId w:val="16"/>
  </w:num>
  <w:num w:numId="39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removePersonalInformation/>
  <w:removeDateAndTime/>
  <w:attachedTemplate r:id="rId1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7-06-22 10:51:12"/>
    <w:docVar w:name="DQCRepairStyles" w:val=";Point 2 (number);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1"/>
    <w:docVar w:name="LW_CONFIDENCE" w:val=" "/>
    <w:docVar w:name="LW_CONST_RESTREINT_UE" w:val="RESTREINT UE"/>
    <w:docVar w:name="LW_COVERPAGE_GUID" w:val="816CE48A294345E09A62E2340F657099"/>
    <w:docVar w:name="LW_CROSSREFERENCE" w:val="&lt;UNUSED&gt;"/>
    <w:docVar w:name="LW_DATE.ADOPT.CP" w:val="del XXX"/>
    <w:docVar w:name="LW_DATE.ADOPT.CP_DATEFORMAT" w:val="del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le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o rilevante ai fini del SEE)"/>
    <w:docVar w:name="LW_LANGUE" w:val="IT"/>
    <w:docVar w:name="LW_LANGUESFAISANTFOI.CP" w:val="&lt;UNUSED&gt;"/>
    <w:docVar w:name="LW_MARKING" w:val="&lt;UNUSED&gt;"/>
    <w:docVar w:name="LW_NOM.INST" w:val="COMMISSIONE EUROPE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7) XXX"/>
    <w:docVar w:name="LW_REF.INTERNE" w:val="&lt;UNUSED&gt;"/>
    <w:docVar w:name="LW_SOUS.TITRE.OBJ.CP" w:val="&lt;UNUSED&gt;"/>
    <w:docVar w:name="LW_SUPERTITRE" w:val="&lt;UNUSED&gt;"/>
    <w:docVar w:name="LW_TITRE.OBJ.CP" w:val="che modifica il regolamento di esecuzione (UE) n. 680/2014 che stabilisce norme tecniche di attuazione per quanto riguarda le segnalazioni degli enti a fini di vigilanza conformemente al regolamento (UE) n. 575/2013 del Parlamento europeo e del Consiglio"/>
    <w:docVar w:name="LW_TYPE.DOC.CP" w:val="REGOLAMENTO DI ESECUZIONE (UE) \u8230?/... DELLA COMMISSIONE"/>
  </w:docVars>
  <w:rsids>
    <w:rsidRoot w:val="000826D9"/>
    <w:rsid w:val="0002331C"/>
    <w:rsid w:val="00023EE6"/>
    <w:rsid w:val="0007327F"/>
    <w:rsid w:val="000826D9"/>
    <w:rsid w:val="000A65E4"/>
    <w:rsid w:val="000A6BA1"/>
    <w:rsid w:val="000C2CD5"/>
    <w:rsid w:val="000D0FA1"/>
    <w:rsid w:val="000D3B73"/>
    <w:rsid w:val="000E3E7A"/>
    <w:rsid w:val="00115297"/>
    <w:rsid w:val="00171635"/>
    <w:rsid w:val="001A267B"/>
    <w:rsid w:val="001B668B"/>
    <w:rsid w:val="001C5A8C"/>
    <w:rsid w:val="00200E41"/>
    <w:rsid w:val="00223509"/>
    <w:rsid w:val="002358B5"/>
    <w:rsid w:val="00240BF2"/>
    <w:rsid w:val="00244AFF"/>
    <w:rsid w:val="0025654F"/>
    <w:rsid w:val="002A64F4"/>
    <w:rsid w:val="002F4AD0"/>
    <w:rsid w:val="003102EE"/>
    <w:rsid w:val="00317B11"/>
    <w:rsid w:val="00321090"/>
    <w:rsid w:val="0033343F"/>
    <w:rsid w:val="0034445E"/>
    <w:rsid w:val="00351B46"/>
    <w:rsid w:val="00375E2B"/>
    <w:rsid w:val="003B3DC7"/>
    <w:rsid w:val="003B4C8E"/>
    <w:rsid w:val="003B7D15"/>
    <w:rsid w:val="003C09FC"/>
    <w:rsid w:val="003C33DE"/>
    <w:rsid w:val="004216FA"/>
    <w:rsid w:val="004375FF"/>
    <w:rsid w:val="00437AE2"/>
    <w:rsid w:val="00460C9F"/>
    <w:rsid w:val="00465328"/>
    <w:rsid w:val="00491253"/>
    <w:rsid w:val="00493FA8"/>
    <w:rsid w:val="0049787A"/>
    <w:rsid w:val="004B2C4E"/>
    <w:rsid w:val="004D06CB"/>
    <w:rsid w:val="00501364"/>
    <w:rsid w:val="005055FB"/>
    <w:rsid w:val="00555ED3"/>
    <w:rsid w:val="00584220"/>
    <w:rsid w:val="005C29AB"/>
    <w:rsid w:val="005D5307"/>
    <w:rsid w:val="005E43C0"/>
    <w:rsid w:val="00643D9B"/>
    <w:rsid w:val="0065426A"/>
    <w:rsid w:val="0066591E"/>
    <w:rsid w:val="00673264"/>
    <w:rsid w:val="006B5EF3"/>
    <w:rsid w:val="00715D61"/>
    <w:rsid w:val="00731A0F"/>
    <w:rsid w:val="00751070"/>
    <w:rsid w:val="00775C98"/>
    <w:rsid w:val="007D53B6"/>
    <w:rsid w:val="007E06E3"/>
    <w:rsid w:val="007E67B7"/>
    <w:rsid w:val="007F7FA9"/>
    <w:rsid w:val="00820527"/>
    <w:rsid w:val="00831684"/>
    <w:rsid w:val="00864B77"/>
    <w:rsid w:val="00867D0F"/>
    <w:rsid w:val="008A3611"/>
    <w:rsid w:val="008A6ACC"/>
    <w:rsid w:val="008E6C1F"/>
    <w:rsid w:val="008F3767"/>
    <w:rsid w:val="00926B9D"/>
    <w:rsid w:val="009369DA"/>
    <w:rsid w:val="009972C3"/>
    <w:rsid w:val="009B5077"/>
    <w:rsid w:val="009C214E"/>
    <w:rsid w:val="009F7ACE"/>
    <w:rsid w:val="00A255D5"/>
    <w:rsid w:val="00A325D0"/>
    <w:rsid w:val="00A92FC8"/>
    <w:rsid w:val="00AD7ACA"/>
    <w:rsid w:val="00AE3A6D"/>
    <w:rsid w:val="00AF5826"/>
    <w:rsid w:val="00B04DCA"/>
    <w:rsid w:val="00B44CFD"/>
    <w:rsid w:val="00B6276F"/>
    <w:rsid w:val="00B71D16"/>
    <w:rsid w:val="00B76774"/>
    <w:rsid w:val="00B907CC"/>
    <w:rsid w:val="00BA0D2E"/>
    <w:rsid w:val="00BB4D39"/>
    <w:rsid w:val="00BC306E"/>
    <w:rsid w:val="00BD541C"/>
    <w:rsid w:val="00BE632F"/>
    <w:rsid w:val="00C120E1"/>
    <w:rsid w:val="00C40CC5"/>
    <w:rsid w:val="00C56B66"/>
    <w:rsid w:val="00C64053"/>
    <w:rsid w:val="00C751B7"/>
    <w:rsid w:val="00C809B6"/>
    <w:rsid w:val="00C94153"/>
    <w:rsid w:val="00CB671C"/>
    <w:rsid w:val="00D06A94"/>
    <w:rsid w:val="00D21EE5"/>
    <w:rsid w:val="00D5747C"/>
    <w:rsid w:val="00D604C4"/>
    <w:rsid w:val="00D60A2C"/>
    <w:rsid w:val="00D66031"/>
    <w:rsid w:val="00DC2257"/>
    <w:rsid w:val="00DE7040"/>
    <w:rsid w:val="00E50FE8"/>
    <w:rsid w:val="00E625E8"/>
    <w:rsid w:val="00E6497D"/>
    <w:rsid w:val="00E84EAD"/>
    <w:rsid w:val="00EB4B56"/>
    <w:rsid w:val="00ED4073"/>
    <w:rsid w:val="00EE3FFC"/>
    <w:rsid w:val="00EE7E75"/>
    <w:rsid w:val="00F83467"/>
    <w:rsid w:val="00F87183"/>
    <w:rsid w:val="00FB2481"/>
    <w:rsid w:val="00FC0A99"/>
    <w:rsid w:val="00FE5F32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3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3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3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3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0826D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826D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826D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826D9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51B4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51B46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51B46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51B46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51B46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51B46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FE8"/>
    <w:rPr>
      <w:rFonts w:ascii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FE8"/>
    <w:rPr>
      <w:rFonts w:ascii="Times New Roman" w:hAnsi="Times New Roman" w:cs="Times New Roman"/>
      <w:b/>
      <w:bCs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sid w:val="00E50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E8"/>
    <w:rPr>
      <w:rFonts w:ascii="Tahoma" w:hAnsi="Tahoma" w:cs="Tahoma"/>
      <w:sz w:val="16"/>
      <w:szCs w:val="16"/>
      <w:lang w:val="it-IT"/>
    </w:rPr>
  </w:style>
  <w:style w:type="paragraph" w:styleId="ListParagraph">
    <w:name w:val="List Paragraph"/>
    <w:basedOn w:val="Normal"/>
    <w:uiPriority w:val="34"/>
    <w:qFormat/>
    <w:rsid w:val="00321090"/>
    <w:pPr>
      <w:ind w:left="720"/>
      <w:contextualSpacing/>
    </w:pPr>
  </w:style>
  <w:style w:type="paragraph" w:styleId="Revision">
    <w:name w:val="Revision"/>
    <w:hidden/>
    <w:uiPriority w:val="99"/>
    <w:semiHidden/>
    <w:rsid w:val="00EE7E75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26"/>
      </w:numPr>
    </w:pPr>
  </w:style>
  <w:style w:type="paragraph" w:customStyle="1" w:styleId="Tiret1">
    <w:name w:val="Tiret 1"/>
    <w:basedOn w:val="Point1"/>
    <w:rsid w:val="007D53B6"/>
    <w:pPr>
      <w:numPr>
        <w:numId w:val="27"/>
      </w:numPr>
    </w:pPr>
  </w:style>
  <w:style w:type="paragraph" w:customStyle="1" w:styleId="Tiret2">
    <w:name w:val="Tiret 2"/>
    <w:basedOn w:val="Point2"/>
    <w:rsid w:val="007D53B6"/>
    <w:pPr>
      <w:numPr>
        <w:numId w:val="28"/>
      </w:numPr>
    </w:pPr>
  </w:style>
  <w:style w:type="paragraph" w:customStyle="1" w:styleId="Tiret3">
    <w:name w:val="Tiret 3"/>
    <w:basedOn w:val="Point3"/>
    <w:rsid w:val="007D53B6"/>
    <w:pPr>
      <w:numPr>
        <w:numId w:val="29"/>
      </w:numPr>
    </w:pPr>
  </w:style>
  <w:style w:type="paragraph" w:customStyle="1" w:styleId="Tiret4">
    <w:name w:val="Tiret 4"/>
    <w:basedOn w:val="Point4"/>
    <w:rsid w:val="007D53B6"/>
    <w:pPr>
      <w:numPr>
        <w:numId w:val="3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3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3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3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3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3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3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3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3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3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3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33"/>
      </w:numPr>
    </w:pPr>
  </w:style>
  <w:style w:type="paragraph" w:customStyle="1" w:styleId="Bullet0">
    <w:name w:val="Bullet 0"/>
    <w:basedOn w:val="Normal"/>
    <w:rsid w:val="007D53B6"/>
    <w:pPr>
      <w:numPr>
        <w:numId w:val="34"/>
      </w:numPr>
    </w:pPr>
  </w:style>
  <w:style w:type="paragraph" w:customStyle="1" w:styleId="Bullet1">
    <w:name w:val="Bullet 1"/>
    <w:basedOn w:val="Normal"/>
    <w:rsid w:val="007D53B6"/>
    <w:pPr>
      <w:numPr>
        <w:numId w:val="35"/>
      </w:numPr>
    </w:pPr>
  </w:style>
  <w:style w:type="paragraph" w:customStyle="1" w:styleId="Bullet2">
    <w:name w:val="Bullet 2"/>
    <w:basedOn w:val="Normal"/>
    <w:rsid w:val="007D53B6"/>
    <w:pPr>
      <w:numPr>
        <w:numId w:val="36"/>
      </w:numPr>
    </w:pPr>
  </w:style>
  <w:style w:type="paragraph" w:customStyle="1" w:styleId="Bullet3">
    <w:name w:val="Bullet 3"/>
    <w:basedOn w:val="Normal"/>
    <w:rsid w:val="007D53B6"/>
    <w:pPr>
      <w:numPr>
        <w:numId w:val="37"/>
      </w:numPr>
    </w:pPr>
  </w:style>
  <w:style w:type="paragraph" w:customStyle="1" w:styleId="Bullet4">
    <w:name w:val="Bullet 4"/>
    <w:basedOn w:val="Normal"/>
    <w:rsid w:val="007D53B6"/>
    <w:pPr>
      <w:numPr>
        <w:numId w:val="3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3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3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3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3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0826D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826D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826D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826D9"/>
    <w:pPr>
      <w:numPr>
        <w:numId w:val="4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351B46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51B46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51B46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51B46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51B46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51B46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0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0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0FE8"/>
    <w:rPr>
      <w:rFonts w:ascii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FE8"/>
    <w:rPr>
      <w:rFonts w:ascii="Times New Roman" w:hAnsi="Times New Roman" w:cs="Times New Roman"/>
      <w:b/>
      <w:bCs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sid w:val="00E50F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FE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FE8"/>
    <w:rPr>
      <w:rFonts w:ascii="Tahoma" w:hAnsi="Tahoma" w:cs="Tahoma"/>
      <w:sz w:val="16"/>
      <w:szCs w:val="16"/>
      <w:lang w:val="it-IT"/>
    </w:rPr>
  </w:style>
  <w:style w:type="paragraph" w:styleId="ListParagraph">
    <w:name w:val="List Paragraph"/>
    <w:basedOn w:val="Normal"/>
    <w:uiPriority w:val="34"/>
    <w:qFormat/>
    <w:rsid w:val="00321090"/>
    <w:pPr>
      <w:ind w:left="720"/>
      <w:contextualSpacing/>
    </w:pPr>
  </w:style>
  <w:style w:type="paragraph" w:styleId="Revision">
    <w:name w:val="Revision"/>
    <w:hidden/>
    <w:uiPriority w:val="99"/>
    <w:semiHidden/>
    <w:rsid w:val="00EE7E75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26"/>
      </w:numPr>
    </w:pPr>
  </w:style>
  <w:style w:type="paragraph" w:customStyle="1" w:styleId="Tiret1">
    <w:name w:val="Tiret 1"/>
    <w:basedOn w:val="Point1"/>
    <w:rsid w:val="007D53B6"/>
    <w:pPr>
      <w:numPr>
        <w:numId w:val="27"/>
      </w:numPr>
    </w:pPr>
  </w:style>
  <w:style w:type="paragraph" w:customStyle="1" w:styleId="Tiret2">
    <w:name w:val="Tiret 2"/>
    <w:basedOn w:val="Point2"/>
    <w:rsid w:val="007D53B6"/>
    <w:pPr>
      <w:numPr>
        <w:numId w:val="28"/>
      </w:numPr>
    </w:pPr>
  </w:style>
  <w:style w:type="paragraph" w:customStyle="1" w:styleId="Tiret3">
    <w:name w:val="Tiret 3"/>
    <w:basedOn w:val="Point3"/>
    <w:rsid w:val="007D53B6"/>
    <w:pPr>
      <w:numPr>
        <w:numId w:val="29"/>
      </w:numPr>
    </w:pPr>
  </w:style>
  <w:style w:type="paragraph" w:customStyle="1" w:styleId="Tiret4">
    <w:name w:val="Tiret 4"/>
    <w:basedOn w:val="Point4"/>
    <w:rsid w:val="007D53B6"/>
    <w:pPr>
      <w:numPr>
        <w:numId w:val="3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3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3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3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3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3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3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3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3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3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3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33"/>
      </w:numPr>
    </w:pPr>
  </w:style>
  <w:style w:type="paragraph" w:customStyle="1" w:styleId="Bullet0">
    <w:name w:val="Bullet 0"/>
    <w:basedOn w:val="Normal"/>
    <w:rsid w:val="007D53B6"/>
    <w:pPr>
      <w:numPr>
        <w:numId w:val="34"/>
      </w:numPr>
    </w:pPr>
  </w:style>
  <w:style w:type="paragraph" w:customStyle="1" w:styleId="Bullet1">
    <w:name w:val="Bullet 1"/>
    <w:basedOn w:val="Normal"/>
    <w:rsid w:val="007D53B6"/>
    <w:pPr>
      <w:numPr>
        <w:numId w:val="35"/>
      </w:numPr>
    </w:pPr>
  </w:style>
  <w:style w:type="paragraph" w:customStyle="1" w:styleId="Bullet2">
    <w:name w:val="Bullet 2"/>
    <w:basedOn w:val="Normal"/>
    <w:rsid w:val="007D53B6"/>
    <w:pPr>
      <w:numPr>
        <w:numId w:val="36"/>
      </w:numPr>
    </w:pPr>
  </w:style>
  <w:style w:type="paragraph" w:customStyle="1" w:styleId="Bullet3">
    <w:name w:val="Bullet 3"/>
    <w:basedOn w:val="Normal"/>
    <w:rsid w:val="007D53B6"/>
    <w:pPr>
      <w:numPr>
        <w:numId w:val="37"/>
      </w:numPr>
    </w:pPr>
  </w:style>
  <w:style w:type="paragraph" w:customStyle="1" w:styleId="Bullet4">
    <w:name w:val="Bullet 4"/>
    <w:basedOn w:val="Normal"/>
    <w:rsid w:val="007D53B6"/>
    <w:pPr>
      <w:numPr>
        <w:numId w:val="3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B2DFF-7E76-413C-92EB-C53176244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1</Pages>
  <Words>1049</Words>
  <Characters>6191</Characters>
  <Application>Microsoft Office Word</Application>
  <DocSecurity>0</DocSecurity>
  <Lines>103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2017-06-22T08:51:00Z</dcterms:created>
  <dcterms:modified xsi:type="dcterms:W3CDTF">2017-06-22T08:51:00Z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 edited using">
    <vt:lpwstr>LW 5.8.4, Build 20141001</vt:lpwstr>
  </property>
  <property fmtid="{D5CDD505-2E9C-101B-9397-08002B2CF9AE}" pid="3" name="Classification">
    <vt:lpwstr> </vt:lpwstr>
  </property>
  <property fmtid="{D5CDD505-2E9C-101B-9397-08002B2CF9AE}" pid="4" name="Category">
    <vt:lpwstr>COM/AA</vt:lpwstr>
  </property>
  <property fmtid="{D5CDD505-2E9C-101B-9397-08002B2CF9AE}" pid="5" name="Part">
    <vt:lpwstr>1</vt:lpwstr>
  </property>
  <property fmtid="{D5CDD505-2E9C-101B-9397-08002B2CF9AE}" pid="6" name="Total parts">
    <vt:lpwstr>1</vt:lpwstr>
  </property>
  <property fmtid="{D5CDD505-2E9C-101B-9397-08002B2CF9AE}" pid="7" name="LWTemplateID">
    <vt:lpwstr>SJ-004</vt:lpwstr>
  </property>
  <property fmtid="{D5CDD505-2E9C-101B-9397-08002B2CF9AE}" pid="8" name="DQCStatus">
    <vt:lpwstr>Green (DQC version 03)</vt:lpwstr>
  </property>
</Properties>
</file>