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6418CF" w:rsidRDefault="0066312B" w:rsidP="006418CF">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2AF7845B34248CFB8B4AA09D1FC4DE9" style="width:450.8pt;height:395.05pt">
            <v:imagedata r:id="rId9" o:title=""/>
          </v:shape>
        </w:pict>
      </w:r>
    </w:p>
    <w:p w:rsidR="00AD7ACA" w:rsidRPr="006418CF" w:rsidRDefault="00AD7ACA" w:rsidP="00AD7ACA">
      <w:pPr>
        <w:pStyle w:val="Pagedecouverture"/>
        <w:sectPr w:rsidR="00AD7ACA" w:rsidRPr="006418CF" w:rsidSect="009548F8">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6418CF" w:rsidRDefault="006418CF" w:rsidP="006418CF">
      <w:pPr>
        <w:pStyle w:val="Typedudocument"/>
      </w:pPr>
      <w:r w:rsidRPr="006418CF">
        <w:lastRenderedPageBreak/>
        <w:t>KOMISIJAS ĪSTENOŠANAS REGULA (ES) …/..</w:t>
      </w:r>
    </w:p>
    <w:p w:rsidR="000826D9" w:rsidRPr="006418CF" w:rsidRDefault="006418CF" w:rsidP="006418CF">
      <w:pPr>
        <w:pStyle w:val="Datedadoption"/>
      </w:pPr>
      <w:r w:rsidRPr="006418CF">
        <w:t>(</w:t>
      </w:r>
      <w:r w:rsidRPr="006418CF">
        <w:rPr>
          <w:rStyle w:val="Marker2"/>
        </w:rPr>
        <w:t>XXX</w:t>
      </w:r>
      <w:r w:rsidRPr="006418CF">
        <w:t>),</w:t>
      </w:r>
    </w:p>
    <w:p w:rsidR="000826D9" w:rsidRPr="006418CF" w:rsidRDefault="006418CF" w:rsidP="006418CF">
      <w:pPr>
        <w:pStyle w:val="Titreobjet"/>
      </w:pPr>
      <w:r w:rsidRPr="006418CF">
        <w:t>ar kuru groza Īstenošanas regulu (ES) Nr.</w:t>
      </w:r>
      <w:r>
        <w:t> </w:t>
      </w:r>
      <w:r w:rsidRPr="006418CF">
        <w:t>680/2014, ar ko nosaka īstenošanas tehniskos standartus attiecībā uz iestāžu sniegtajiem uzraudzības pārskatiem saskaņā ar Eiropas Parlamenta un Padomes Regulu (ES) Nr.</w:t>
      </w:r>
      <w:r>
        <w:t> </w:t>
      </w:r>
      <w:r w:rsidRPr="006418CF">
        <w:t>575/2013</w:t>
      </w:r>
    </w:p>
    <w:p w:rsidR="000826D9" w:rsidRPr="006418CF" w:rsidRDefault="006418CF" w:rsidP="006418CF">
      <w:pPr>
        <w:pStyle w:val="IntrtEEE"/>
      </w:pPr>
      <w:r w:rsidRPr="006418CF">
        <w:t>(Dokuments attiecas uz EEZ)</w:t>
      </w:r>
    </w:p>
    <w:p w:rsidR="000826D9" w:rsidRPr="006418CF" w:rsidRDefault="000826D9" w:rsidP="004E1EF9">
      <w:pPr>
        <w:pStyle w:val="Institutionquiagit"/>
      </w:pPr>
      <w:r w:rsidRPr="006418CF">
        <w:t>EIROPAS KOMISIJA,</w:t>
      </w:r>
    </w:p>
    <w:p w:rsidR="000826D9" w:rsidRPr="006418CF" w:rsidRDefault="000826D9" w:rsidP="004E1EF9">
      <w:r w:rsidRPr="006418CF">
        <w:rPr>
          <w:color w:val="000000"/>
        </w:rPr>
        <w:t>ņemot vērā Līgumu par Eiropas Savienības darbību</w:t>
      </w:r>
      <w:r w:rsidRPr="006418CF">
        <w:t>,</w:t>
      </w:r>
    </w:p>
    <w:p w:rsidR="000826D9" w:rsidRPr="006418CF" w:rsidRDefault="005E43C0" w:rsidP="00FC0A99">
      <w:r w:rsidRPr="006418CF">
        <w:t>ņemot vērā Eiropas Parlamenta un Padomes 2013. gada 26. jūnija Regulu (ES) Nr. 575/2013 par prudenciālajām prasībām attiecībā uz kredītiestādēm un ieguldījumu brokeru sabiedrībām, un ar ko groza Regulu (ES) Nr. 648/2012, un jo īpaši ņemot vērā tās 99. panta 5. punkta ceturto daļu, 99. panta 6. punkta ceturto daļu, 101. panta 4. punkta trešo daļu un 394. panta 4. punkta trešo daļu,</w:t>
      </w:r>
    </w:p>
    <w:p w:rsidR="000826D9" w:rsidRPr="006418CF" w:rsidRDefault="000826D9" w:rsidP="004E1EF9">
      <w:r w:rsidRPr="006418CF">
        <w:t>tā kā:</w:t>
      </w:r>
    </w:p>
    <w:p w:rsidR="005E43C0" w:rsidRPr="006418CF" w:rsidRDefault="005E43C0" w:rsidP="00584220">
      <w:pPr>
        <w:pStyle w:val="Considrant"/>
        <w:numPr>
          <w:ilvl w:val="0"/>
          <w:numId w:val="5"/>
        </w:numPr>
      </w:pPr>
      <w:r w:rsidRPr="006418CF">
        <w:t>Komisijas Īstenošanas regulā (ES) Nr. 680/2014</w:t>
      </w:r>
      <w:r w:rsidRPr="006418CF">
        <w:rPr>
          <w:rStyle w:val="FootnoteReference"/>
        </w:rPr>
        <w:footnoteReference w:id="1"/>
      </w:r>
      <w:r w:rsidRPr="006418CF">
        <w:t xml:space="preserve"> ir noteikta kārtība, saskaņā ar kuru iestādēm ir jāsniedz informācija, kas attiecas uz to atbilstību Regulai (ES) Nr. 575/2013. Ar Regulas (ES) Nr. 575/2013 99. panta 5. punktu Eiropas Banku iestāde (EBI) ir pilnvarota izstrādāt īstenošanas tehnisko standartu projektus, lai noteiktu vienotus formātus finanšu informācijas sniegšanai, ko veic iestādes, uz kurām attiecas Eiropas Parlamenta un Padomes Regulas (EK) Nr. 1606/2002</w:t>
      </w:r>
      <w:r w:rsidRPr="006418CF">
        <w:rPr>
          <w:rStyle w:val="FootnoteReference"/>
        </w:rPr>
        <w:footnoteReference w:id="2"/>
      </w:r>
      <w:r w:rsidRPr="006418CF">
        <w:t> 4. pants, un minētajā pantā nenorādītas kredītiestādes, kuras sagatavo savus konsolidētos pārskatus atbilstīgi starptautiskajiem grāmatvedības standartiem, kas pieņemti saskaņā ar Regulas (EK) Nr. 1606/2002 6. panta 2. punktā noteikto procedūru. Ar Regulas (ES) Nr. 575/2013 99. panta 6. punktu EBI ir pilnvarota arī izstrādāt īstenošanas tehnisko standartu projektus, lai noteiktu vienotus formātus finanšu informācijas sniegšanai, ko veic iestādes, uz kurām attiecas grāmatvedības regulējums, kas pamatojas uz Padomes Direktīvu 86/635/EEK</w:t>
      </w:r>
      <w:r w:rsidRPr="006418CF">
        <w:rPr>
          <w:rStyle w:val="FootnoteReference"/>
        </w:rPr>
        <w:footnoteReference w:id="3"/>
      </w:r>
      <w:r w:rsidRPr="006418CF">
        <w:t xml:space="preserve">, un uz kurām kompetentās iestādes arī var attiecināt pārskatu sniegšanas prasības. Katrs no šiem noteikumiem attiecas uz aspektiem, kuri saistīti ar uzraudzības pārskatu sniegšanas regulējumu Savienībā un ir jāsaskaņo ar jauniem piemērojamiem starptautiskajiem standartiem. </w:t>
      </w:r>
    </w:p>
    <w:p w:rsidR="005E43C0" w:rsidRPr="006418CF" w:rsidRDefault="005E43C0" w:rsidP="001B668B">
      <w:pPr>
        <w:pStyle w:val="Considrant"/>
      </w:pPr>
      <w:r w:rsidRPr="006418CF">
        <w:t>Saskaņā ar Regulas (EK) Nr. 1606/2002 6. panta 2. punktā noteikto procedūru pieņemto starptautisko grāmatvedības standartu pamatā ir starptautiskie finanšu pārskatu standarti (SFPS), kurus izstrādā Starptautisko grāmatvedības standartu padome (</w:t>
      </w:r>
      <w:r w:rsidRPr="006418CF">
        <w:rPr>
          <w:i/>
        </w:rPr>
        <w:t>IASB</w:t>
      </w:r>
      <w:r w:rsidRPr="006418CF">
        <w:t>).</w:t>
      </w:r>
    </w:p>
    <w:p w:rsidR="005E43C0" w:rsidRPr="006418CF" w:rsidRDefault="005E43C0" w:rsidP="005E43C0">
      <w:pPr>
        <w:pStyle w:val="Considrant"/>
      </w:pPr>
      <w:r w:rsidRPr="006418CF">
        <w:rPr>
          <w:i/>
        </w:rPr>
        <w:t>IASB</w:t>
      </w:r>
      <w:r w:rsidRPr="006418CF">
        <w:t xml:space="preserve"> 2014. gada jūlijā izdeva 9. SFPS “Finanšu instrumenti” (turpmāk “9. SFPS”) – tas ir jaunais finanšu instrumentu uzskaites standarts, kuru starptautiskā mērogā paredzēts sākt piemērot no 2018. gada 1. janvāra. Savienībā 9. SFPS tika pieņemts 2016. gada 22. novembrī ar Komisijas Regulu (ES) 2016/2067</w:t>
      </w:r>
      <w:r w:rsidRPr="006418CF">
        <w:rPr>
          <w:rStyle w:val="FootnoteReference"/>
        </w:rPr>
        <w:footnoteReference w:id="4"/>
      </w:r>
      <w:r w:rsidRPr="006418CF">
        <w:t>.</w:t>
      </w:r>
    </w:p>
    <w:p w:rsidR="008A3611" w:rsidRPr="006418CF" w:rsidRDefault="005E43C0" w:rsidP="002F4AD0">
      <w:pPr>
        <w:pStyle w:val="Considrant"/>
      </w:pPr>
      <w:r w:rsidRPr="006418CF">
        <w:t>Ar 9. SFPS tiek būtiski mainīta finanšu instrumentu uzskaite iestādēm, kurām piemēro Regulas (ES) Nr. 575/2013 99. panta 2. punktu. 9. SFPS ietver loģisku modeli klasificēšanai un novērtēšanai, vienotu, uz nākotni vērstu “paredzamo zaudējumu” vērtības samazināšanas modeli un ievērojami reformētu pieeju riska ierobežošanas uzskaitei. Tāpēc būtu attiecīgi jāmaina iestāžu pārskatu sniegšana.</w:t>
      </w:r>
    </w:p>
    <w:p w:rsidR="005E43C0" w:rsidRPr="006418CF" w:rsidRDefault="005E43C0" w:rsidP="002358B5">
      <w:pPr>
        <w:pStyle w:val="Considrant"/>
      </w:pPr>
      <w:r w:rsidRPr="006418CF">
        <w:t>Turklāt ir nepieciešams atjaunināt veidnes un norādes pārskatu sniegšanai par tādu finanšu aktīvu bruto uzskaites vērtību, kuri novērtēti patiesajā vērtībā ar atspoguļojumu peļņas un zaudējumu aprēķinā, jo ir jāprecizē “bruto uzskaites vērtības” definīcija attiecībā uz kredītriska uzraudzību, lai palielinātu sniegto datu kvalitāti un samazinātu ar pārskatu sniegšanu saistīto slogu.</w:t>
      </w:r>
    </w:p>
    <w:p w:rsidR="005E43C0" w:rsidRPr="006418CF" w:rsidRDefault="008A3611" w:rsidP="005E43C0">
      <w:pPr>
        <w:pStyle w:val="Considrant"/>
      </w:pPr>
      <w:r w:rsidRPr="006418CF">
        <w:t>Lai nodrošinātu, ka pārskatos iekļautā finanšu informācija joprojām ir lietderīga un visas iestādes to sniedz saskaņotā veidā, un lai novērstu informācijas trūkumu, kas saistīts  ar to, ka atsevišķi valstu grāmatvedības regulējumi līdz šim nebija pilnībā atspoguļoti veidnēs, ir nepieciešams arī atjaunināt veidnes un norādes iestādēm, uz kurām attiecas grāmatvedības regulējums, kas pamatojas uz Padomes Direktīvu 86/635/EEK.</w:t>
      </w:r>
    </w:p>
    <w:p w:rsidR="005E43C0" w:rsidRPr="006418CF" w:rsidRDefault="005E43C0" w:rsidP="005E43C0">
      <w:pPr>
        <w:pStyle w:val="Considrant"/>
      </w:pPr>
      <w:r w:rsidRPr="006418CF">
        <w:t>Ņemot vērā ciešo saikni starp finanšu pārskatu sniegšanu un piemērojamajiem grāmatvedības standartiem, ir nepieciešams, lai šīs regulas piemērošanas sākuma diena būtu diena, kad sāk piemērot 9. SFPS. Tā paša iemesla dēļ ir nepieciešams arī, lai tām iestādēm, kuru grāmatvedības gads atšķiras no kalendārā gada, šīs regulas piemērošanas sākuma diena  arī būtu diena, kad sāk piemērot 9. SFPS, t. i., tā kalendārā gada diena, kurā šīm iestādēm sākas finanšu gads.</w:t>
      </w:r>
    </w:p>
    <w:p w:rsidR="005E43C0" w:rsidRPr="006418CF" w:rsidRDefault="005E43C0" w:rsidP="005E43C0">
      <w:pPr>
        <w:pStyle w:val="Considrant"/>
      </w:pPr>
      <w:r w:rsidRPr="006418CF">
        <w:t xml:space="preserve">Šīs regulas pamatā ir īstenošanas tehnisko standartu projekts, ko Komisijai iesniegusi Eiropas Banku iestāde (EBI). </w:t>
      </w:r>
    </w:p>
    <w:p w:rsidR="005E43C0" w:rsidRPr="006418CF" w:rsidRDefault="005E43C0" w:rsidP="005E43C0">
      <w:pPr>
        <w:pStyle w:val="Considrant"/>
      </w:pPr>
      <w:r w:rsidRPr="006418CF">
        <w:t>Eiropas Banku iestāde ir veikusi atklātu sabiedrisko apspriešanu par īstenošanas tehnisko standartu projektu, uz kuru balstīta šī regula, izvērtējusi potenciālās saistītās izmaksas un ieguvumus un lūgusi atzinumu no Banku nozares ieinteresēto personu grupas, kas izveidota saskaņā ar Eiropas Parlamenta un Padomes Regulas (ES) Nr. 1093/2010</w:t>
      </w:r>
      <w:r w:rsidRPr="006418CF">
        <w:rPr>
          <w:rStyle w:val="FootnoteReference"/>
        </w:rPr>
        <w:footnoteReference w:id="5"/>
      </w:r>
      <w:r w:rsidRPr="006418CF">
        <w:t xml:space="preserve"> 37. pantu. </w:t>
      </w:r>
    </w:p>
    <w:p w:rsidR="000826D9" w:rsidRPr="006418CF" w:rsidRDefault="005E43C0" w:rsidP="005E43C0">
      <w:pPr>
        <w:pStyle w:val="Considrant"/>
      </w:pPr>
      <w:r w:rsidRPr="006418CF">
        <w:t xml:space="preserve">Tāpēc Īstenošanas regula (ES) Nr. 680/2014 būtu attiecīgi jāgroza, </w:t>
      </w:r>
    </w:p>
    <w:p w:rsidR="000826D9" w:rsidRPr="006418CF" w:rsidRDefault="000826D9" w:rsidP="004E1EF9">
      <w:pPr>
        <w:pStyle w:val="Formuledadoption"/>
      </w:pPr>
      <w:r w:rsidRPr="006418CF">
        <w:t>IR PIEŅĒMUSI ŠO REGULU.</w:t>
      </w:r>
    </w:p>
    <w:p w:rsidR="000826D9" w:rsidRPr="006418CF" w:rsidRDefault="000826D9" w:rsidP="004E1EF9">
      <w:pPr>
        <w:pStyle w:val="Titrearticle"/>
      </w:pPr>
      <w:r w:rsidRPr="006418CF">
        <w:t>1. pants</w:t>
      </w:r>
    </w:p>
    <w:p w:rsidR="005E43C0" w:rsidRPr="006418CF" w:rsidRDefault="005E43C0" w:rsidP="005E43C0">
      <w:r w:rsidRPr="006418CF">
        <w:t>Īstenošanas regulu (ES) Nr. 680/2014 groza šādi.</w:t>
      </w:r>
    </w:p>
    <w:p w:rsidR="005E43C0" w:rsidRPr="006418CF" w:rsidRDefault="005E43C0" w:rsidP="00C94153">
      <w:pPr>
        <w:pStyle w:val="Point0number"/>
        <w:numPr>
          <w:ilvl w:val="0"/>
          <w:numId w:val="6"/>
        </w:numPr>
      </w:pPr>
      <w:r w:rsidRPr="006418CF">
        <w:t>Īstenošanas regulas (ES) Nr. 680/2014 III pielikumu aizstāj ar šīs regulas I pielikuma tekstu.</w:t>
      </w:r>
    </w:p>
    <w:p w:rsidR="005E43C0" w:rsidRPr="006418CF" w:rsidRDefault="005E43C0" w:rsidP="00C94153">
      <w:pPr>
        <w:pStyle w:val="Point0number"/>
      </w:pPr>
      <w:r w:rsidRPr="006418CF">
        <w:t>Īstenošanas regulas (ES) Nr. 680/2014 IV pielikumu aizstāj ar šīs regulas II pielikuma tekstu.</w:t>
      </w:r>
    </w:p>
    <w:p w:rsidR="005E43C0" w:rsidRPr="006418CF" w:rsidRDefault="005E43C0" w:rsidP="00C94153">
      <w:pPr>
        <w:pStyle w:val="Point0number"/>
      </w:pPr>
      <w:r w:rsidRPr="006418CF">
        <w:t>Īstenošanas regulas (ES) Nr. 680/2014 V pielikumu aizstāj ar šīs regulas III pielikuma tekstu.</w:t>
      </w:r>
    </w:p>
    <w:p w:rsidR="000826D9" w:rsidRPr="006418CF" w:rsidRDefault="000826D9" w:rsidP="004E1EF9">
      <w:pPr>
        <w:pStyle w:val="Titrearticle"/>
      </w:pPr>
      <w:r w:rsidRPr="006418CF">
        <w:t>2. pants</w:t>
      </w:r>
    </w:p>
    <w:p w:rsidR="005E43C0" w:rsidRPr="006418CF" w:rsidRDefault="005E43C0" w:rsidP="005E43C0">
      <w:pPr>
        <w:pStyle w:val="Applicationdirecte"/>
      </w:pPr>
      <w:r w:rsidRPr="006418CF">
        <w:t xml:space="preserve">Šī regula stājas spēkā divdesmitajā dienā pēc tās publicēšanas </w:t>
      </w:r>
      <w:r w:rsidRPr="006418CF">
        <w:rPr>
          <w:i/>
        </w:rPr>
        <w:t>Eiropas Savienības Oficiālajā Vēstnesī</w:t>
      </w:r>
      <w:r w:rsidRPr="006418CF">
        <w:t>.</w:t>
      </w:r>
    </w:p>
    <w:p w:rsidR="005E43C0" w:rsidRPr="006418CF" w:rsidRDefault="005E43C0" w:rsidP="005E43C0">
      <w:r w:rsidRPr="006418CF">
        <w:t>To piemēro no 2018. gada 1. janvāra.</w:t>
      </w:r>
    </w:p>
    <w:p w:rsidR="0065426A" w:rsidRPr="006418CF" w:rsidRDefault="00BE632F" w:rsidP="005E43C0">
      <w:r w:rsidRPr="006418CF">
        <w:t>Attiecībā uz turpmāk minētajām iestādēm, ja šo iestāžu grāmatvedības gads atšķiras no kalendārā gada, šīs regulas I un III pielikumu piemēro no tā grāmatvedības gada sākuma, kurš sākas pēc 2018. gada 1. janvāra:</w:t>
      </w:r>
    </w:p>
    <w:p w:rsidR="0065426A" w:rsidRPr="006418CF" w:rsidRDefault="0065426A" w:rsidP="005E43C0">
      <w:r w:rsidRPr="006418CF">
        <w:t xml:space="preserve">a) iestādes, uz kurām attiecas Regulas (EK) Nr. 1606/2002 4. pants; </w:t>
      </w:r>
    </w:p>
    <w:p w:rsidR="0065426A" w:rsidRPr="006418CF" w:rsidRDefault="0065426A" w:rsidP="005E43C0">
      <w:r w:rsidRPr="006418CF">
        <w:t>b) kredītiestādes, kas nav Regulas (EK) Nr. 1606/2002 4. pantā minētās kredītiestādes un kas sagatavo savus konsolidētos pārskatus atbilstīgi starptautiskajiem grāmatvedības standartiem, kuri pieņemti saskaņā ar minētās regulas 6. panta 2. punktā noteikto procedūru;</w:t>
      </w:r>
    </w:p>
    <w:p w:rsidR="00375E2B" w:rsidRPr="006418CF" w:rsidRDefault="00375E2B" w:rsidP="005E43C0">
      <w:r w:rsidRPr="006418CF">
        <w:t>c) kredītiestādes, kas piemēro starptautiskos grāmatvedības standartus, kuri atbilstoši Regulai (EK) Nr. 1606/2002 piemērojami konsolidētu pārskatu sniegšanai par pašu kapitālu saskaņā ar Regulas (ES) Nr. 575/2013 24. panta 2. punktu.</w:t>
      </w:r>
    </w:p>
    <w:p w:rsidR="005E43C0" w:rsidRPr="006418CF" w:rsidRDefault="005E43C0" w:rsidP="005E43C0">
      <w:r w:rsidRPr="006418CF">
        <w:t>Šī regula uzliek saistības kopumā un ir tieši piemērojama visās dalībvalstīs.</w:t>
      </w:r>
    </w:p>
    <w:p w:rsidR="000826D9" w:rsidRPr="006418CF" w:rsidRDefault="006418CF" w:rsidP="006418CF">
      <w:pPr>
        <w:pStyle w:val="Fait"/>
      </w:pPr>
      <w:r w:rsidRPr="006418CF">
        <w:t>Briselē,</w:t>
      </w:r>
    </w:p>
    <w:p w:rsidR="000826D9" w:rsidRPr="006418CF" w:rsidRDefault="000826D9" w:rsidP="000826D9">
      <w:pPr>
        <w:pStyle w:val="Institutionquisigne"/>
      </w:pPr>
      <w:r w:rsidRPr="006418CF">
        <w:tab/>
        <w:t>Komisijas vārdā —</w:t>
      </w:r>
    </w:p>
    <w:p w:rsidR="000826D9" w:rsidRPr="006418CF" w:rsidRDefault="000826D9" w:rsidP="000826D9">
      <w:pPr>
        <w:pStyle w:val="Personnequisigne"/>
      </w:pPr>
      <w:r w:rsidRPr="006418CF">
        <w:tab/>
        <w:t>priekšsēdētājs</w:t>
      </w:r>
      <w:r w:rsidRPr="006418CF">
        <w:br/>
      </w:r>
      <w:r w:rsidRPr="006418CF">
        <w:tab/>
      </w:r>
      <w:r w:rsidRPr="006418CF">
        <w:rPr>
          <w:i w:val="0"/>
        </w:rPr>
        <w:t>Jean-Claude Juncker</w:t>
      </w:r>
    </w:p>
    <w:sectPr w:rsidR="000826D9" w:rsidRPr="006418CF" w:rsidSect="009548F8">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12B" w:rsidRDefault="006631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8CF" w:rsidRPr="009548F8" w:rsidRDefault="009548F8" w:rsidP="009548F8">
    <w:pPr>
      <w:pStyle w:val="Footer"/>
      <w:rPr>
        <w:rFonts w:ascii="Arial" w:hAnsi="Arial" w:cs="Arial"/>
        <w:b/>
        <w:sz w:val="48"/>
      </w:rPr>
    </w:pPr>
    <w:r w:rsidRPr="009548F8">
      <w:rPr>
        <w:rFonts w:ascii="Arial" w:hAnsi="Arial" w:cs="Arial"/>
        <w:b/>
        <w:sz w:val="48"/>
      </w:rPr>
      <w:t>LV</w:t>
    </w:r>
    <w:r w:rsidRPr="009548F8">
      <w:rPr>
        <w:rFonts w:ascii="Arial" w:hAnsi="Arial" w:cs="Arial"/>
        <w:b/>
        <w:sz w:val="48"/>
      </w:rPr>
      <w:tab/>
    </w:r>
    <w:r w:rsidRPr="009548F8">
      <w:rPr>
        <w:rFonts w:ascii="Arial" w:hAnsi="Arial" w:cs="Arial"/>
        <w:b/>
        <w:sz w:val="48"/>
      </w:rPr>
      <w:tab/>
    </w:r>
    <w:fldSimple w:instr=" DOCVARIABLE &quot;LW_Confidence&quot; \* MERGEFORMAT ">
      <w:r>
        <w:t xml:space="preserve"> </w:t>
      </w:r>
    </w:fldSimple>
    <w:r w:rsidRPr="009548F8">
      <w:tab/>
    </w:r>
    <w:r w:rsidRPr="009548F8">
      <w:rPr>
        <w:rFonts w:ascii="Arial" w:hAnsi="Arial" w:cs="Arial"/>
        <w:b/>
        <w:sz w:val="48"/>
      </w:rPr>
      <w:t>LV</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12B" w:rsidRDefault="0066312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F8" w:rsidRPr="009548F8" w:rsidRDefault="009548F8" w:rsidP="009548F8">
    <w:pPr>
      <w:pStyle w:val="Footer"/>
      <w:rPr>
        <w:rFonts w:ascii="Arial" w:hAnsi="Arial" w:cs="Arial"/>
        <w:b/>
        <w:sz w:val="48"/>
      </w:rPr>
    </w:pPr>
    <w:r w:rsidRPr="009548F8">
      <w:rPr>
        <w:rFonts w:ascii="Arial" w:hAnsi="Arial" w:cs="Arial"/>
        <w:b/>
        <w:sz w:val="48"/>
      </w:rPr>
      <w:t>LV</w:t>
    </w:r>
    <w:r w:rsidRPr="009548F8">
      <w:rPr>
        <w:rFonts w:ascii="Arial" w:hAnsi="Arial" w:cs="Arial"/>
        <w:b/>
        <w:sz w:val="48"/>
      </w:rPr>
      <w:tab/>
    </w:r>
    <w:r>
      <w:fldChar w:fldCharType="begin"/>
    </w:r>
    <w:r>
      <w:instrText xml:space="preserve"> PAGE  \* MERGEFORMAT </w:instrText>
    </w:r>
    <w:r>
      <w:fldChar w:fldCharType="separate"/>
    </w:r>
    <w:r w:rsidR="0066312B">
      <w:rPr>
        <w:noProof/>
      </w:rPr>
      <w:t>4</w:t>
    </w:r>
    <w:r>
      <w:fldChar w:fldCharType="end"/>
    </w:r>
    <w:r>
      <w:tab/>
    </w:r>
    <w:fldSimple w:instr=" DOCVARIABLE &quot;LW_Confidence&quot; \* MERGEFORMAT ">
      <w:r>
        <w:t xml:space="preserve"> </w:t>
      </w:r>
    </w:fldSimple>
    <w:r w:rsidRPr="009548F8">
      <w:tab/>
    </w:r>
    <w:r w:rsidRPr="009548F8">
      <w:rPr>
        <w:rFonts w:ascii="Arial" w:hAnsi="Arial" w:cs="Arial"/>
        <w:b/>
        <w:sz w:val="48"/>
      </w:rPr>
      <w:t>LV</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8F8" w:rsidRPr="009548F8" w:rsidRDefault="009548F8" w:rsidP="009548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Komisijas Īstenošanas regula (ES) Nr. 680/2014, ar ko nosaka īstenošanas tehniskos standartus attiecībā uz iestāžu sniegtajiem uzraudzības pārskatiem saskaņā ar Eiropas Parlamenta un Padomes Regulu (ES) Nr. 575/2013 (OV L 191, 28.6.2014., 1. lpp.). </w:t>
      </w:r>
    </w:p>
  </w:footnote>
  <w:footnote w:id="2">
    <w:p w:rsidR="005E43C0" w:rsidRPr="00F86D15" w:rsidRDefault="005E43C0" w:rsidP="005E43C0">
      <w:pPr>
        <w:pStyle w:val="FootnoteText"/>
      </w:pPr>
      <w:r>
        <w:rPr>
          <w:rStyle w:val="FootnoteReference"/>
        </w:rPr>
        <w:footnoteRef/>
      </w:r>
      <w:r>
        <w:tab/>
        <w:t>Eiropas Parlamenta un Padomes Regula (EK) Nr. 1606/2002 (2002. gada 19. jūlijs) par starptautisko grāmatvedības standartu piemērošanu (OV L 243, 11.9.2002., 1. lpp.).</w:t>
      </w:r>
    </w:p>
  </w:footnote>
  <w:footnote w:id="3">
    <w:p w:rsidR="002A64F4" w:rsidRDefault="002A64F4">
      <w:pPr>
        <w:pStyle w:val="FootnoteText"/>
      </w:pPr>
      <w:r>
        <w:rPr>
          <w:rStyle w:val="FootnoteReference"/>
        </w:rPr>
        <w:footnoteRef/>
      </w:r>
      <w:r>
        <w:tab/>
        <w:t>Padomes Direktīva 86/635/EEK (1986. gada 8. decembris) par banku un citu finanšu iestāžu gada pārskatiem un konsolidētajiem pārskatiem (OV L 372, 31.12.1986., 1. lpp.).</w:t>
      </w:r>
    </w:p>
  </w:footnote>
  <w:footnote w:id="4">
    <w:p w:rsidR="00775C98" w:rsidRDefault="00775C98">
      <w:pPr>
        <w:pStyle w:val="FootnoteText"/>
      </w:pPr>
      <w:r>
        <w:rPr>
          <w:rStyle w:val="FootnoteReference"/>
        </w:rPr>
        <w:footnoteRef/>
      </w:r>
      <w:r>
        <w:tab/>
        <w:t>Komisijas Regula (ES) 2016/2067 (2016. gada 22. novembris), ar kuru attiecībā uz 9. starptautisko finanšu pārskatu standartu groza Regulu (EK) Nr. 1126/2008, ar ko pieņem vairākus starptautiskos grāmatvedības standartus saskaņā ar Eiropas Parlamenta un Padomes Regulu (EK) Nr. 1606/2002 (OV L 323, 29.11.2016., 1. lpp.).</w:t>
      </w:r>
    </w:p>
  </w:footnote>
  <w:footnote w:id="5">
    <w:p w:rsidR="005E43C0" w:rsidRPr="004500CE" w:rsidRDefault="005E43C0" w:rsidP="005E43C0">
      <w:pPr>
        <w:pStyle w:val="FootnoteText"/>
      </w:pPr>
      <w:r>
        <w:rPr>
          <w:rStyle w:val="FootnoteReference"/>
        </w:rPr>
        <w:footnoteRef/>
      </w:r>
      <w:r>
        <w:tab/>
        <w:t xml:space="preserve">Eiropas Parlamenta un Padomes Regula (ES) Nr. 1093/2010 (2010. gada 24. novembris), ar ko izveido Eiropas Uzraudzības iestādi (Eiropas Banku iestādi), groza Lēmumu Nr. 716/2009/EK un atceļ Komisijas Lēmumu 2009/78/EK (OV L 331, 15.12.2010., 12. lpp.).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12B" w:rsidRDefault="006631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12B" w:rsidRDefault="006631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12B" w:rsidRDefault="006631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removePersonalInformation/>
  <w:removeDateAndTime/>
  <w:attachedTemplate r:id="rId1"/>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1 16:16:43"/>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72AF7845B34248CFB8B4AA09D1FC4DE9"/>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MARKING" w:val="&lt;UNUSED&g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ar kuru groza \u298?steno\u353?anas regulu (ES) Nr. 680/2014, ar ko nosaka \u299?steno\u353?anas tehniskos standartus attiec\u299?b\u257? uz iest\u257?\u382?u sniegtajiem uzraudz\u299?bas p\u257?rskatiem saska\u326?\u257? ar Eiropas Parlamenta un Padomes Regulu (ES) Nr. 575/2013"/>
    <w:docVar w:name="LW_TYPE.DOC.CP" w:val="KOMISIJAS \u298?STENO\u352?ANAS REGULA (ES) \u8230?/.."/>
  </w:docVars>
  <w:rsids>
    <w:rsidRoot w:val="000826D9"/>
    <w:rsid w:val="0002331C"/>
    <w:rsid w:val="00033B6B"/>
    <w:rsid w:val="0007327F"/>
    <w:rsid w:val="000826D9"/>
    <w:rsid w:val="000A65E4"/>
    <w:rsid w:val="000A6BA1"/>
    <w:rsid w:val="000C2CD5"/>
    <w:rsid w:val="000D0FA1"/>
    <w:rsid w:val="000D3B73"/>
    <w:rsid w:val="000E3E7A"/>
    <w:rsid w:val="00115297"/>
    <w:rsid w:val="00171635"/>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D5307"/>
    <w:rsid w:val="005E43C0"/>
    <w:rsid w:val="006418CF"/>
    <w:rsid w:val="00643D9B"/>
    <w:rsid w:val="0065426A"/>
    <w:rsid w:val="0066312B"/>
    <w:rsid w:val="0066591E"/>
    <w:rsid w:val="00673264"/>
    <w:rsid w:val="006B5EF3"/>
    <w:rsid w:val="00715D61"/>
    <w:rsid w:val="00731A0F"/>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548F8"/>
    <w:rsid w:val="009972C3"/>
    <w:rsid w:val="009B5077"/>
    <w:rsid w:val="009C214E"/>
    <w:rsid w:val="009F7ACE"/>
    <w:rsid w:val="00A255D5"/>
    <w:rsid w:val="00A325D0"/>
    <w:rsid w:val="00AD7ACA"/>
    <w:rsid w:val="00AE3A6D"/>
    <w:rsid w:val="00AF5826"/>
    <w:rsid w:val="00B04DCA"/>
    <w:rsid w:val="00B44CFD"/>
    <w:rsid w:val="00B6276F"/>
    <w:rsid w:val="00B71D16"/>
    <w:rsid w:val="00B7604E"/>
    <w:rsid w:val="00B76774"/>
    <w:rsid w:val="00B907CC"/>
    <w:rsid w:val="00BA0D2E"/>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C2257"/>
    <w:rsid w:val="00DE7040"/>
    <w:rsid w:val="00E50FE8"/>
    <w:rsid w:val="00E625E8"/>
    <w:rsid w:val="00E6497D"/>
    <w:rsid w:val="00E84EAD"/>
    <w:rsid w:val="00EB4B56"/>
    <w:rsid w:val="00ED4073"/>
    <w:rsid w:val="00EE3FFC"/>
    <w:rsid w:val="00EE7E75"/>
    <w:rsid w:val="00F83467"/>
    <w:rsid w:val="00F87183"/>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lv-LV"/>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lv-LV"/>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lv-LV"/>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lv-LV"/>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4D67C-96C8-4276-90D8-FC5E70019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870</Words>
  <Characters>5425</Characters>
  <Application>Microsoft Office Word</Application>
  <DocSecurity>0</DocSecurity>
  <Lines>98</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2017-06-21T14:16:00Z</dcterms:created>
  <dcterms:modified xsi:type="dcterms:W3CDTF">2017-06-21T14:16:00Z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