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A34565" w:rsidRDefault="00B73B0F" w:rsidP="00272504">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E536BF417164E7A946C6CA60E44EE85" style="width:450pt;height:395.25pt">
            <v:imagedata r:id="rId9" o:title=""/>
          </v:shape>
        </w:pict>
      </w:r>
    </w:p>
    <w:p w:rsidR="00AD7ACA" w:rsidRPr="00A34565" w:rsidRDefault="00AD7ACA" w:rsidP="00AD7ACA">
      <w:pPr>
        <w:pStyle w:val="Pagedecouverture"/>
        <w:sectPr w:rsidR="00AD7ACA" w:rsidRPr="00A34565" w:rsidSect="0023317A">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A34565" w:rsidRPr="00A34565" w:rsidRDefault="00272504" w:rsidP="00272504">
      <w:pPr>
        <w:pStyle w:val="Typedudocument"/>
      </w:pPr>
      <w:r w:rsidRPr="00272504">
        <w:lastRenderedPageBreak/>
        <w:t>PROVEDBENA UREDBA KOMISIJE (EU) …/...</w:t>
      </w:r>
    </w:p>
    <w:p w:rsidR="00A34565" w:rsidRPr="00A34565" w:rsidRDefault="00272504" w:rsidP="00272504">
      <w:pPr>
        <w:pStyle w:val="Datedadoption"/>
      </w:pPr>
      <w:r w:rsidRPr="00272504">
        <w:t xml:space="preserve">оd </w:t>
      </w:r>
      <w:r w:rsidRPr="00272504">
        <w:rPr>
          <w:rStyle w:val="Marker2"/>
        </w:rPr>
        <w:t>XXX</w:t>
      </w:r>
    </w:p>
    <w:p w:rsidR="00A34565" w:rsidRPr="00A34565" w:rsidRDefault="00272504" w:rsidP="00272504">
      <w:pPr>
        <w:pStyle w:val="Titreobjet"/>
      </w:pPr>
      <w:r w:rsidRPr="00272504">
        <w:t>o izmjeni Provedbene uredbe (EU) br. 680/2014 o utvrđivanju provedbenih tehničkih standarda o nadzornom izvješćivanju institucija u skladu s Uredbom (EU) br. 575/2013 Europskog parlamenta i Vijeća</w:t>
      </w:r>
    </w:p>
    <w:p w:rsidR="00A34565" w:rsidRPr="00A34565" w:rsidRDefault="00272504" w:rsidP="00272504">
      <w:pPr>
        <w:pStyle w:val="IntrtEEE"/>
      </w:pPr>
      <w:r w:rsidRPr="00272504">
        <w:t>(Tekst značajan za EGP)</w:t>
      </w:r>
    </w:p>
    <w:p w:rsidR="00A34565" w:rsidRPr="00A34565" w:rsidRDefault="00A34565" w:rsidP="00A34565">
      <w:pPr>
        <w:pStyle w:val="Institutionquiagit"/>
      </w:pPr>
      <w:r w:rsidRPr="00A34565">
        <w:t>EUROPSKA KOMISIJA,</w:t>
      </w:r>
    </w:p>
    <w:p w:rsidR="00A34565" w:rsidRPr="00A34565" w:rsidRDefault="00A34565" w:rsidP="00A34565">
      <w:r w:rsidRPr="00A34565">
        <w:t>uzimajući u obzir Ugovor o funkcioniranju Europske unije,</w:t>
      </w:r>
    </w:p>
    <w:p w:rsidR="00A34565" w:rsidRPr="00A34565" w:rsidRDefault="00A34565" w:rsidP="00A34565">
      <w:r w:rsidRPr="00A34565">
        <w:t>uzimajući u obzir Uredbu (EU) br. 575/2013 Europskog parlamenta i Vijeća od 26. lipnja 2013. o bonitetnim zahtjevima za kreditne institucije i investicijska društva i o izmjeni Uredbe (EU) br. 648/2012, a posebno njezin članak 99. stavak 5. četvrti podstavak, članak 99. stavak 6. četvrti podstavak, članak 101. stavak 4. treći podstavak i članak 394. stavak 4. treći podstavak,</w:t>
      </w:r>
    </w:p>
    <w:p w:rsidR="00A34565" w:rsidRPr="00A34565" w:rsidRDefault="00A34565" w:rsidP="00A34565">
      <w:r w:rsidRPr="00A34565">
        <w:t>budući da:</w:t>
      </w:r>
    </w:p>
    <w:p w:rsidR="00A34565" w:rsidRPr="00A34565" w:rsidRDefault="00A34565" w:rsidP="00A34565">
      <w:pPr>
        <w:pStyle w:val="Considrant"/>
        <w:numPr>
          <w:ilvl w:val="0"/>
          <w:numId w:val="5"/>
        </w:numPr>
      </w:pPr>
      <w:r w:rsidRPr="00A34565">
        <w:t>Provedbenom uredbom Komisije (EU) br. 680/2014</w:t>
      </w:r>
      <w:r w:rsidRPr="00A34565">
        <w:rPr>
          <w:rStyle w:val="FootnoteReference"/>
        </w:rPr>
        <w:footnoteReference w:id="1"/>
      </w:r>
      <w:r w:rsidRPr="00A34565">
        <w:t xml:space="preserve"> određuju se modaliteti prema kojima su institucije dužne izvješćivati o svojoj usklađenosti s Uredbom (EU) br. 575/2013. Na temelju članka 99. stavka 5. Uredbe (EU) br. 575/2013 Europsko nadzorno tijelo za bankarstvo (EBA) ima mandat za sastavljanje nacrta provedbenih tehničkih standarda za određivanje jedinstvenih formata za izvješćivanje o financijskim informacijama što ga obavljaju institucije koje podliježu članku 4. Uredbe (EZ) br. 1606/2002 Europskog parlamenta i Vijeća</w:t>
      </w:r>
      <w:r w:rsidRPr="00A34565">
        <w:rPr>
          <w:rStyle w:val="FootnoteReference"/>
        </w:rPr>
        <w:footnoteReference w:id="2"/>
      </w:r>
      <w:r w:rsidRPr="00A34565">
        <w:t xml:space="preserve"> i kreditne institucije koje nisu navedene u tom članku, ali sastavljaju svoje konsolidirane financijske izvještaje u skladu s međunarodnim računovodstvenim standardima prihvaćenima u skladu s postupkom iz članka 6. stavka 2. Uredbe (EZ) br. 1606/2002. Na temelju članka 99. stavka 6. Uredbe (EU) br. 575/2013 EBA ima mandat i za sastavljanje nacrta provedbenih tehničkih standarda za određivanje jedinstvenih formata za izvješćivanje o financijskim informacijama što ga obavljaju institucije koje podliježu računovodstvenim okvirima na temelju Direktive Vijeća 86/635/EEZ</w:t>
      </w:r>
      <w:r w:rsidRPr="00A34565">
        <w:rPr>
          <w:rStyle w:val="FootnoteReference"/>
        </w:rPr>
        <w:footnoteReference w:id="3"/>
      </w:r>
      <w:r w:rsidRPr="00A34565">
        <w:t xml:space="preserve"> i na koje nadležna tijela mogu proširiti primjenu zahtjeva za izvješćivanje. Svaka se od tih odredaba odnosi na aspekte okvira za nadzorno izvješćivanje u Uniji koje je potrebno uskladiti s novoprimjenjivim međunarodnim standardima. </w:t>
      </w:r>
    </w:p>
    <w:p w:rsidR="00A34565" w:rsidRPr="00A34565" w:rsidRDefault="00A34565" w:rsidP="00A34565">
      <w:pPr>
        <w:pStyle w:val="Considrant"/>
      </w:pPr>
      <w:r w:rsidRPr="00A34565">
        <w:t xml:space="preserve">Međunarodni računovodstveni standardi prihvaćeni u skladu s postupkom iz članka 6. stavka 2. Uredbe (EZ) br. 1606/2002 temelje se na Međunarodnim standardima </w:t>
      </w:r>
      <w:r w:rsidRPr="00A34565">
        <w:lastRenderedPageBreak/>
        <w:t>financijskog izvještavanja (MSFI) koje je izradio Odbor za međunarodne računovodstvene standarde (IASB).</w:t>
      </w:r>
    </w:p>
    <w:p w:rsidR="00A34565" w:rsidRPr="00A34565" w:rsidRDefault="00A34565" w:rsidP="00A34565">
      <w:pPr>
        <w:pStyle w:val="Considrant"/>
      </w:pPr>
      <w:r w:rsidRPr="00A34565">
        <w:t>U srpnju 2014. IASB je objavio MSFI 9 Financijski instrumenti (MSFI 9) kao novi računovodstveni standard za financijske instrumente imajući u planu njegovu međunarodnu primjenu od 1. siječnja 2018. MSFI 9 prihvaćen je u Uniji 22. studenoga 2016. donošenjem Uredbe Komisije (EU) 2016/2067</w:t>
      </w:r>
      <w:r w:rsidRPr="00A34565">
        <w:rPr>
          <w:rStyle w:val="FootnoteReference"/>
        </w:rPr>
        <w:footnoteReference w:id="4"/>
      </w:r>
      <w:r w:rsidRPr="00A34565">
        <w:t>.</w:t>
      </w:r>
    </w:p>
    <w:p w:rsidR="00A34565" w:rsidRPr="00A34565" w:rsidRDefault="00A34565" w:rsidP="00A34565">
      <w:pPr>
        <w:pStyle w:val="Considrant"/>
      </w:pPr>
      <w:r w:rsidRPr="00A34565">
        <w:t>MSFI 9 donosi temeljite promjene u računovodstvu financijskih instrumenata za institucije koje podliježu članku 99. stavku 2. Uredbe (EU) br. 575/2013. MSFI 9 uključuje logičan model za razvrstavanje i mjerenje, jedinstven model vrijednosnog usklađenja „očekivanih gubitaka” usmjeren na budućnost i znatno izmijenjeni pristup računovodstvu zaštite od rizika. Stoga bi izvješćivanje što ga obavljaju institucije trebalo na odgovarajući način izmijeniti.</w:t>
      </w:r>
    </w:p>
    <w:p w:rsidR="00A34565" w:rsidRPr="00A34565" w:rsidRDefault="00A34565" w:rsidP="00A34565">
      <w:pPr>
        <w:pStyle w:val="Considrant"/>
      </w:pPr>
      <w:r w:rsidRPr="00A34565">
        <w:t>Nadalje, nužno je ažurirati obrasce i upute za izvješćivanje o bruto knjigovodstvenoj vrijednosti financijske imovine mjerene po fer vrijednosti kroz dobit ili gubitak. Razlog za to je potreba za razjašnjenje definicije „bruto knjigovodstvene vrijednosti” za praćenje kreditnog rizika radi povećanja kvalitete dostavljenih informacija i smanjenja izvještajnog opterećenja.</w:t>
      </w:r>
    </w:p>
    <w:p w:rsidR="00A34565" w:rsidRPr="00A34565" w:rsidRDefault="00A34565" w:rsidP="00A34565">
      <w:pPr>
        <w:pStyle w:val="Considrant"/>
      </w:pPr>
      <w:r w:rsidRPr="00A34565">
        <w:t>Nužno je i ažurirati obrasce i upute za institucije koje podliježu računovodstvenim okvirima na temelju Direktive 86/635/EEZ kako bi se osigurala relevantnost dostavljenih financijskih informacija, usklađenost među institucijama i ispunjivanje informacijskih praznina povezanih s posebnostima nacionalnih računovodstvenih okvira koje u dosadašnjim obrascima nisu u cijelosti uzimane u obzir.</w:t>
      </w:r>
    </w:p>
    <w:p w:rsidR="00A34565" w:rsidRPr="00A34565" w:rsidRDefault="00A34565" w:rsidP="00A34565">
      <w:pPr>
        <w:pStyle w:val="Considrant"/>
      </w:pPr>
      <w:r w:rsidRPr="00A34565">
        <w:t>S obzirom na intrinzičnu povezanost financijskog izvješćivanja s primjenjivim računovodstvenim standardima nužno je da datum početka primjene ove Uredbe bude usklađen s datum početka primjene MSFI 9. Zbog istog je razloga nužno da datum početka primjene ove Uredbe na institucije čija se računovodstvena godina razlikuje od kalendarske godine bude usklađen s datumom početka primjene MSFI 9, a to je onaj datum u kalendarskoj godini kada započinje financijska godina tih institucija.</w:t>
      </w:r>
    </w:p>
    <w:p w:rsidR="00A34565" w:rsidRPr="00A34565" w:rsidRDefault="00A34565" w:rsidP="00A34565">
      <w:pPr>
        <w:pStyle w:val="Considrant"/>
      </w:pPr>
      <w:r w:rsidRPr="00A34565">
        <w:t xml:space="preserve">Ova se Uredba temelji na nacrtu provedbenih tehničkih standarda koji je Komisiji dostavilo Europsko nadzorno tijelo za bankarstvo (EBA). </w:t>
      </w:r>
    </w:p>
    <w:p w:rsidR="00A34565" w:rsidRPr="00A34565" w:rsidRDefault="00A34565" w:rsidP="00A34565">
      <w:pPr>
        <w:pStyle w:val="Considrant"/>
      </w:pPr>
      <w:r w:rsidRPr="00A34565">
        <w:t>Europsko nadzorno tijelo za bankarstvo provelo je otvoreno javno savjetovanje o nacrtu provedbenih tehničkih standarda na kojem se temelji ova Uredba, analiziralo je moguće povezane troškove i koristi te zatražilo mišljenje Interesne skupine za bankarstvo osnovane u skladu s člankom 37. Uredbe (EU) br. 1093/2010 Europskog parlamenta i Vijeća</w:t>
      </w:r>
      <w:r w:rsidRPr="00A34565">
        <w:rPr>
          <w:rStyle w:val="FootnoteReference"/>
        </w:rPr>
        <w:footnoteReference w:id="5"/>
      </w:r>
      <w:r w:rsidRPr="00A34565">
        <w:t xml:space="preserve">. </w:t>
      </w:r>
    </w:p>
    <w:p w:rsidR="00A34565" w:rsidRPr="00A34565" w:rsidRDefault="00A34565" w:rsidP="00A34565">
      <w:pPr>
        <w:pStyle w:val="Considrant"/>
      </w:pPr>
      <w:r w:rsidRPr="00A34565">
        <w:t xml:space="preserve">Provedbenu uredbu (EU) br. 680/2014 trebalo bi na odgovarajući način izmijeniti, </w:t>
      </w:r>
    </w:p>
    <w:p w:rsidR="00A34565" w:rsidRPr="00A34565" w:rsidRDefault="00A34565" w:rsidP="00A34565">
      <w:pPr>
        <w:pStyle w:val="Formuledadoption"/>
      </w:pPr>
      <w:r w:rsidRPr="00A34565">
        <w:lastRenderedPageBreak/>
        <w:t>DONIJELA JE OVU UREDBU:</w:t>
      </w:r>
    </w:p>
    <w:p w:rsidR="00A34565" w:rsidRPr="00A34565" w:rsidRDefault="00A34565" w:rsidP="00A34565">
      <w:pPr>
        <w:pStyle w:val="Titrearticle"/>
      </w:pPr>
      <w:r w:rsidRPr="00A34565">
        <w:t>Članak 1.</w:t>
      </w:r>
    </w:p>
    <w:p w:rsidR="00A34565" w:rsidRPr="00A34565" w:rsidRDefault="00A34565" w:rsidP="00A34565">
      <w:r w:rsidRPr="00A34565">
        <w:t>Provedbena uredba (EU) br. 680/2014 mijenja se kako slijedi:</w:t>
      </w:r>
    </w:p>
    <w:p w:rsidR="00A34565" w:rsidRPr="00A34565" w:rsidRDefault="00A34565" w:rsidP="00A34565">
      <w:pPr>
        <w:pStyle w:val="Point0number"/>
        <w:numPr>
          <w:ilvl w:val="0"/>
          <w:numId w:val="6"/>
        </w:numPr>
      </w:pPr>
      <w:r w:rsidRPr="00A34565">
        <w:t>Prilog III. Provedbenoj uredbi (EU) br. 680/2014 zamjenjuje se tekstom iz Priloga I. ovoj Uredbi.</w:t>
      </w:r>
    </w:p>
    <w:p w:rsidR="00A34565" w:rsidRPr="00A34565" w:rsidRDefault="00A34565" w:rsidP="00A34565">
      <w:pPr>
        <w:pStyle w:val="Point0number"/>
      </w:pPr>
      <w:r w:rsidRPr="00A34565">
        <w:t>Prilog IV. Provedbenoj uredbi (EU) br. 680/2014 zamjenjuje se tekstom iz Priloga II. ovoj Uredbi.</w:t>
      </w:r>
    </w:p>
    <w:p w:rsidR="00A34565" w:rsidRPr="00A34565" w:rsidRDefault="00A34565" w:rsidP="00A34565">
      <w:pPr>
        <w:pStyle w:val="Point0number"/>
      </w:pPr>
      <w:r w:rsidRPr="00A34565">
        <w:t>Prilog V. Provedbenoj uredbi (EU) br. 680/2014 zamjenjuje se tekstom iz Priloga III. ovoj Uredbi.</w:t>
      </w:r>
    </w:p>
    <w:p w:rsidR="00A34565" w:rsidRPr="00A34565" w:rsidRDefault="00A34565" w:rsidP="00A34565">
      <w:pPr>
        <w:pStyle w:val="Titrearticle"/>
      </w:pPr>
      <w:r w:rsidRPr="00A34565">
        <w:t>Članak 2.</w:t>
      </w:r>
    </w:p>
    <w:p w:rsidR="00A34565" w:rsidRPr="00A34565" w:rsidRDefault="00A34565" w:rsidP="00A34565">
      <w:pPr>
        <w:pStyle w:val="Applicationdirecte"/>
      </w:pPr>
      <w:r w:rsidRPr="00A34565">
        <w:t xml:space="preserve">Ova Uredba stupa na snagu dvadesetog dana od dana objave u </w:t>
      </w:r>
      <w:r w:rsidRPr="00A34565">
        <w:rPr>
          <w:i/>
        </w:rPr>
        <w:t>Službenom listu Europske unije</w:t>
      </w:r>
      <w:r w:rsidRPr="00A34565">
        <w:t>.</w:t>
      </w:r>
    </w:p>
    <w:p w:rsidR="00A34565" w:rsidRPr="00A34565" w:rsidRDefault="00A34565" w:rsidP="00A34565">
      <w:r w:rsidRPr="00A34565">
        <w:t>Primjenjuje se od 1. siječnja 2018.</w:t>
      </w:r>
    </w:p>
    <w:p w:rsidR="00A34565" w:rsidRPr="00A34565" w:rsidRDefault="00A34565" w:rsidP="00A34565">
      <w:r w:rsidRPr="00A34565">
        <w:t>Za sljedeće institucije, u slučaju da se njihova računovodstvena godina razlikuje od kalendarske godine, prilozi I. i III. ovoj Uredbi primjenjuju se od početka računovodstvene godine koja započinje nakon 1. siječnja 2018.:</w:t>
      </w:r>
    </w:p>
    <w:p w:rsidR="00A34565" w:rsidRPr="00A34565" w:rsidRDefault="00A34565" w:rsidP="00A34565">
      <w:r w:rsidRPr="00A34565">
        <w:t xml:space="preserve">(a) institucije na koje se primjenjuje članak 4. Uredbe (EZ) br. 1606/2002; </w:t>
      </w:r>
    </w:p>
    <w:p w:rsidR="00A34565" w:rsidRPr="00A34565" w:rsidRDefault="00A34565" w:rsidP="00A34565">
      <w:r w:rsidRPr="00A34565">
        <w:t>(b) kreditne institucije koje nisu navedene u članku 4. Uredbe (EZ) br. 1606/2002, ali sastavljaju svoje konsolidirane financijske izvještaje u skladu s međunarodnim računovodstvenim standardima prihvaćenima u skladu s postupkom iz članka 6. stavka 2. te Uredbe;</w:t>
      </w:r>
    </w:p>
    <w:p w:rsidR="00A34565" w:rsidRPr="00A34565" w:rsidRDefault="00A34565" w:rsidP="00A34565">
      <w:r w:rsidRPr="00A34565">
        <w:t>(c) kreditne institucije koje primjenjuju međunarodne računovodstvene standarde na temelju Uredbe (EZ) br. 1606/2002 za izvješćivanje o regulatornom kapitalu na konsolidiranoj osnovi u skladu s člankom 24. stavkom 2. Uredbe (EU) br. 575/2013.</w:t>
      </w:r>
    </w:p>
    <w:p w:rsidR="00A34565" w:rsidRPr="00A34565" w:rsidRDefault="00A34565" w:rsidP="00A34565">
      <w:r w:rsidRPr="00A34565">
        <w:t>Ova je Uredba u cijelosti obvezujuća i izravno se primjenjuje u svim državama članicama.</w:t>
      </w:r>
    </w:p>
    <w:p w:rsidR="00A34565" w:rsidRPr="00A34565" w:rsidRDefault="00ED73A4" w:rsidP="00272504">
      <w:pPr>
        <w:pStyle w:val="Fait"/>
      </w:pPr>
      <w:r>
        <w:t>Sastavljeno u Bruxellesu</w:t>
      </w:r>
    </w:p>
    <w:p w:rsidR="00A34565" w:rsidRPr="00A34565" w:rsidRDefault="00A34565" w:rsidP="00A34565">
      <w:pPr>
        <w:pStyle w:val="Institutionquisigne"/>
      </w:pPr>
      <w:r w:rsidRPr="00A34565">
        <w:tab/>
        <w:t>Za Komisiju</w:t>
      </w:r>
    </w:p>
    <w:p w:rsidR="00A34565" w:rsidRPr="00A34565" w:rsidRDefault="00A34565" w:rsidP="00A34565">
      <w:pPr>
        <w:pStyle w:val="Personnequisigne"/>
      </w:pPr>
      <w:r w:rsidRPr="00A34565">
        <w:tab/>
        <w:t>Predsjednik</w:t>
      </w:r>
      <w:r w:rsidRPr="00A34565">
        <w:br/>
      </w:r>
      <w:r w:rsidRPr="00A34565">
        <w:tab/>
        <w:t>Jean-Claude Juncker</w:t>
      </w:r>
    </w:p>
    <w:sectPr w:rsidR="00A34565" w:rsidRPr="00A34565" w:rsidSect="0023317A">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0F" w:rsidRDefault="00B73B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565" w:rsidRPr="0023317A" w:rsidRDefault="0023317A" w:rsidP="0023317A">
    <w:pPr>
      <w:pStyle w:val="Footer"/>
      <w:rPr>
        <w:rFonts w:ascii="Arial" w:hAnsi="Arial" w:cs="Arial"/>
        <w:b/>
        <w:sz w:val="48"/>
      </w:rPr>
    </w:pPr>
    <w:r w:rsidRPr="0023317A">
      <w:rPr>
        <w:rFonts w:ascii="Arial" w:hAnsi="Arial" w:cs="Arial"/>
        <w:b/>
        <w:sz w:val="48"/>
      </w:rPr>
      <w:t>HR</w:t>
    </w:r>
    <w:r w:rsidRPr="0023317A">
      <w:rPr>
        <w:rFonts w:ascii="Arial" w:hAnsi="Arial" w:cs="Arial"/>
        <w:b/>
        <w:sz w:val="48"/>
      </w:rPr>
      <w:tab/>
    </w:r>
    <w:r w:rsidRPr="0023317A">
      <w:rPr>
        <w:rFonts w:ascii="Arial" w:hAnsi="Arial" w:cs="Arial"/>
        <w:b/>
        <w:sz w:val="48"/>
      </w:rPr>
      <w:tab/>
    </w:r>
    <w:r w:rsidR="00B73B0F">
      <w:fldChar w:fldCharType="begin"/>
    </w:r>
    <w:r w:rsidR="00B73B0F">
      <w:instrText xml:space="preserve"> DOCVARIABLE "LW_Confidence" \* MERGEFORMAT </w:instrText>
    </w:r>
    <w:r w:rsidR="00B73B0F">
      <w:fldChar w:fldCharType="separate"/>
    </w:r>
    <w:r>
      <w:t xml:space="preserve"> </w:t>
    </w:r>
    <w:r w:rsidR="00B73B0F">
      <w:fldChar w:fldCharType="end"/>
    </w:r>
    <w:r w:rsidRPr="0023317A">
      <w:tab/>
    </w:r>
    <w:proofErr w:type="spellStart"/>
    <w:r w:rsidRPr="0023317A">
      <w:rPr>
        <w:rFonts w:ascii="Arial" w:hAnsi="Arial" w:cs="Arial"/>
        <w:b/>
        <w:sz w:val="48"/>
      </w:rPr>
      <w:t>HR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0F" w:rsidRDefault="00B73B0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17A" w:rsidRPr="0023317A" w:rsidRDefault="0023317A" w:rsidP="0023317A">
    <w:pPr>
      <w:pStyle w:val="Footer"/>
      <w:rPr>
        <w:rFonts w:ascii="Arial" w:hAnsi="Arial" w:cs="Arial"/>
        <w:b/>
        <w:sz w:val="48"/>
      </w:rPr>
    </w:pPr>
    <w:r w:rsidRPr="0023317A">
      <w:rPr>
        <w:rFonts w:ascii="Arial" w:hAnsi="Arial" w:cs="Arial"/>
        <w:b/>
        <w:sz w:val="48"/>
      </w:rPr>
      <w:t>HR</w:t>
    </w:r>
    <w:r w:rsidRPr="0023317A">
      <w:rPr>
        <w:rFonts w:ascii="Arial" w:hAnsi="Arial" w:cs="Arial"/>
        <w:b/>
        <w:sz w:val="48"/>
      </w:rPr>
      <w:tab/>
    </w:r>
    <w:r>
      <w:fldChar w:fldCharType="begin"/>
    </w:r>
    <w:r>
      <w:instrText xml:space="preserve"> PAGE  \* MERGEFORMAT </w:instrText>
    </w:r>
    <w:r>
      <w:fldChar w:fldCharType="separate"/>
    </w:r>
    <w:r w:rsidR="00B73B0F">
      <w:rPr>
        <w:noProof/>
      </w:rPr>
      <w:t>3</w:t>
    </w:r>
    <w:r>
      <w:fldChar w:fldCharType="end"/>
    </w:r>
    <w:r>
      <w:tab/>
    </w:r>
    <w:r w:rsidR="00B73B0F">
      <w:fldChar w:fldCharType="begin"/>
    </w:r>
    <w:r w:rsidR="00B73B0F">
      <w:instrText xml:space="preserve"> DOCVARIABLE "LW_Confidence" \* MERGEFORMAT </w:instrText>
    </w:r>
    <w:r w:rsidR="00B73B0F">
      <w:fldChar w:fldCharType="separate"/>
    </w:r>
    <w:r>
      <w:t xml:space="preserve"> </w:t>
    </w:r>
    <w:r w:rsidR="00B73B0F">
      <w:fldChar w:fldCharType="end"/>
    </w:r>
    <w:r w:rsidRPr="0023317A">
      <w:tab/>
    </w:r>
    <w:r w:rsidRPr="0023317A">
      <w:rPr>
        <w:rFonts w:ascii="Arial" w:hAnsi="Arial" w:cs="Arial"/>
        <w:b/>
        <w:sz w:val="48"/>
      </w:rPr>
      <w:t>HR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17A" w:rsidRPr="0023317A" w:rsidRDefault="0023317A" w:rsidP="002331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A34565" w:rsidRPr="004500CE" w:rsidRDefault="00A34565" w:rsidP="00A34565">
      <w:pPr>
        <w:pStyle w:val="FootnoteText"/>
      </w:pPr>
      <w:r>
        <w:rPr>
          <w:rStyle w:val="FootnoteReference"/>
        </w:rPr>
        <w:footnoteRef/>
      </w:r>
      <w:r>
        <w:tab/>
        <w:t xml:space="preserve">Provedbena uredba Komisije (EU) br. 680/2014 o utvrđivanju provedbenih tehničkih standarda o nadzornom izvješćivanju institucija u skladu s Uredbom (EU) br. 575/2013 (SL L 191, 28.6.2014., str. 1.). </w:t>
      </w:r>
    </w:p>
  </w:footnote>
  <w:footnote w:id="2">
    <w:p w:rsidR="00A34565" w:rsidRPr="00F86D15" w:rsidRDefault="00A34565" w:rsidP="00A34565">
      <w:pPr>
        <w:pStyle w:val="FootnoteText"/>
      </w:pPr>
      <w:r>
        <w:rPr>
          <w:rStyle w:val="FootnoteReference"/>
        </w:rPr>
        <w:footnoteRef/>
      </w:r>
      <w:r>
        <w:tab/>
      </w:r>
      <w:r>
        <w:t>Uredba (EZ) br. 1606/2002 Europskog parlamenta i Vijeća od 19. srpnja 2002. o primjeni međunarodnih računovodstvenih standarda (SL L 243, 11.9.2002., str. 1.).</w:t>
      </w:r>
    </w:p>
  </w:footnote>
  <w:footnote w:id="3">
    <w:p w:rsidR="00A34565" w:rsidRDefault="00A34565" w:rsidP="00A34565">
      <w:pPr>
        <w:pStyle w:val="FootnoteText"/>
      </w:pPr>
      <w:r>
        <w:rPr>
          <w:rStyle w:val="FootnoteReference"/>
        </w:rPr>
        <w:footnoteRef/>
      </w:r>
      <w:r>
        <w:tab/>
      </w:r>
      <w:r>
        <w:t>Direktiva Vijeća 86/635/EEZ od 8. prosinca 1986. o godišnjim financijskim izvještajima i konsolidiranim financijskim izvještajima banaka i drugih financijskih institucija (SL L 372, 31.12.1986., str. 1.).</w:t>
      </w:r>
    </w:p>
  </w:footnote>
  <w:footnote w:id="4">
    <w:p w:rsidR="00A34565" w:rsidRDefault="00A34565" w:rsidP="00A34565">
      <w:pPr>
        <w:pStyle w:val="FootnoteText"/>
      </w:pPr>
      <w:r>
        <w:rPr>
          <w:rStyle w:val="FootnoteReference"/>
        </w:rPr>
        <w:footnoteRef/>
      </w:r>
      <w:r>
        <w:tab/>
      </w:r>
      <w:r>
        <w:t>Uredba Komisije (EU) br. 2016/2067 od 22. studenoga 2016. o izmjeni Uredbe (EZ) br. 1126/2008 o usvajanju određenih međunarodnih računovodstvenih standarda u skladu s Uredbom (EZ) br. 1606/2002 Europskog parlamenta i Vijeća u pogledu Međunarodnog standarda financijskog izvještavanja 9 (SL L 323, 29.11.2016., str. 1.).</w:t>
      </w:r>
    </w:p>
  </w:footnote>
  <w:footnote w:id="5">
    <w:p w:rsidR="00A34565" w:rsidRPr="004500CE" w:rsidRDefault="00A34565" w:rsidP="00A34565">
      <w:pPr>
        <w:pStyle w:val="FootnoteText"/>
      </w:pPr>
      <w:r>
        <w:rPr>
          <w:rStyle w:val="FootnoteReference"/>
        </w:rPr>
        <w:footnoteRef/>
      </w:r>
      <w:r>
        <w:tab/>
      </w:r>
      <w:r>
        <w:t xml:space="preserve">Uredba (EU) br. 1093/2010 Europskog parlamenta i Vijeća od 24. studenoga 2010. o osnivanju europskog nadzornog tijela (Europskog nadzornog tijela za bankarstvo), kojom se izmjenjuje Odluka br. 716/2009/EZ i stavlja izvan snage Odluka Komisije 2009/78/EZ (SL L 331, 15.12.2010., str.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0F" w:rsidRDefault="00B73B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0F" w:rsidRDefault="00B73B0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0F" w:rsidRDefault="00B73B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displayBackgroundShape/>
  <w:proofState w:spelling="clean" w:grammar="clean"/>
  <w:attachedTemplate r:id="rId1"/>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2 15:28:26"/>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6E536BF417164E7A946C6CA60E44EE85"/>
    <w:docVar w:name="LW_CROSSREFERENCE" w:val="&lt;UNUSED&gt;"/>
    <w:docVar w:name="LW_DATE.ADOPT.CP" w:val="\u1086?d XXX"/>
    <w:docVar w:name="LW_DATE.ADOPT.CP_DATEFORMAT" w:val="\u1086?d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kst zna\u269?ajan za EGP)"/>
    <w:docVar w:name="LW_LANGUE" w:val="HR"/>
    <w:docVar w:name="LW_LANGUESFAISANTFOI.CP" w:val="&lt;UNUSED&gt;"/>
    <w:docVar w:name="LW_MARKING" w:val="&lt;UNUSED&gt;"/>
    <w:docVar w:name="LW_NOM.INST" w:val="EUROPSKA KOMISIJA"/>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o izmjeni Provedbene uredbe (EU) br. 680/2014 o utvr\u273?ivanju provedbenih tehni\u269?kih standarda o nadzornom izvje\u353?\u263?ivanju institucija u skladu s Uredbom (EU) br. 575/2013 Europskog parlamenta i Vije\u263?a"/>
    <w:docVar w:name="LW_TYPE.DOC.CP" w:val="PROVEDBENA UREDBA KOMISIJE (EU) \u8230?/..."/>
  </w:docVars>
  <w:rsids>
    <w:rsidRoot w:val="000826D9"/>
    <w:rsid w:val="0002331C"/>
    <w:rsid w:val="0007327F"/>
    <w:rsid w:val="000826D9"/>
    <w:rsid w:val="000A65E4"/>
    <w:rsid w:val="000A6BA1"/>
    <w:rsid w:val="000C2CD5"/>
    <w:rsid w:val="000D0FA1"/>
    <w:rsid w:val="000D3B73"/>
    <w:rsid w:val="000E3E7A"/>
    <w:rsid w:val="00115297"/>
    <w:rsid w:val="00171635"/>
    <w:rsid w:val="001A267B"/>
    <w:rsid w:val="001B668B"/>
    <w:rsid w:val="001C007A"/>
    <w:rsid w:val="001C5A8C"/>
    <w:rsid w:val="00200E41"/>
    <w:rsid w:val="00223509"/>
    <w:rsid w:val="0023317A"/>
    <w:rsid w:val="002358B5"/>
    <w:rsid w:val="00240BF2"/>
    <w:rsid w:val="0025654F"/>
    <w:rsid w:val="00272504"/>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53D2F"/>
    <w:rsid w:val="00460C9F"/>
    <w:rsid w:val="00465328"/>
    <w:rsid w:val="00491253"/>
    <w:rsid w:val="0049787A"/>
    <w:rsid w:val="004B2C4E"/>
    <w:rsid w:val="004D06CB"/>
    <w:rsid w:val="00501364"/>
    <w:rsid w:val="005055FB"/>
    <w:rsid w:val="00555ED3"/>
    <w:rsid w:val="00584220"/>
    <w:rsid w:val="005C29AB"/>
    <w:rsid w:val="005D5307"/>
    <w:rsid w:val="005E43C0"/>
    <w:rsid w:val="00643D9B"/>
    <w:rsid w:val="0065426A"/>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A3611"/>
    <w:rsid w:val="008A6ACC"/>
    <w:rsid w:val="008E6C1F"/>
    <w:rsid w:val="008F3767"/>
    <w:rsid w:val="00926B9D"/>
    <w:rsid w:val="009369DA"/>
    <w:rsid w:val="009972C3"/>
    <w:rsid w:val="009B5077"/>
    <w:rsid w:val="009C214E"/>
    <w:rsid w:val="009F7ACE"/>
    <w:rsid w:val="00A255D5"/>
    <w:rsid w:val="00A325D0"/>
    <w:rsid w:val="00A34565"/>
    <w:rsid w:val="00AD7ACA"/>
    <w:rsid w:val="00AE3A6D"/>
    <w:rsid w:val="00AF5826"/>
    <w:rsid w:val="00B04DCA"/>
    <w:rsid w:val="00B44CFD"/>
    <w:rsid w:val="00B6276F"/>
    <w:rsid w:val="00B71D16"/>
    <w:rsid w:val="00B73B0F"/>
    <w:rsid w:val="00B76774"/>
    <w:rsid w:val="00B907CC"/>
    <w:rsid w:val="00BA0D2E"/>
    <w:rsid w:val="00BB4D39"/>
    <w:rsid w:val="00BC306E"/>
    <w:rsid w:val="00BD541C"/>
    <w:rsid w:val="00BE632F"/>
    <w:rsid w:val="00C120E1"/>
    <w:rsid w:val="00C40CC5"/>
    <w:rsid w:val="00C56B66"/>
    <w:rsid w:val="00C751B7"/>
    <w:rsid w:val="00C809B6"/>
    <w:rsid w:val="00C94153"/>
    <w:rsid w:val="00CB671C"/>
    <w:rsid w:val="00D06A94"/>
    <w:rsid w:val="00D224E1"/>
    <w:rsid w:val="00D5747C"/>
    <w:rsid w:val="00D604C4"/>
    <w:rsid w:val="00D60A2C"/>
    <w:rsid w:val="00D66031"/>
    <w:rsid w:val="00DC2257"/>
    <w:rsid w:val="00DE7040"/>
    <w:rsid w:val="00E50FE8"/>
    <w:rsid w:val="00E625E8"/>
    <w:rsid w:val="00E6497D"/>
    <w:rsid w:val="00E84EAD"/>
    <w:rsid w:val="00EB4B56"/>
    <w:rsid w:val="00ED4073"/>
    <w:rsid w:val="00ED73A4"/>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n-GB"/>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en-GB"/>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hr-HR"/>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hr-HR"/>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hr-HR"/>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hr-HR"/>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n-GB"/>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en-GB"/>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hr-HR"/>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hr-HR"/>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hr-HR"/>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hr-HR"/>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FF96C-F296-4D94-8505-A724CE201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905</Words>
  <Characters>5528</Characters>
  <Application>Microsoft Office Word</Application>
  <DocSecurity>0</DocSecurity>
  <Lines>100</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2017-06-22T13:28:00Z</dcterms:created>
  <dcterms:modified xsi:type="dcterms:W3CDTF">2017-06-22T13:28:00Z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