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CS</w:t>
      </w:r>
      <w:r>
        <w:rPr>
          <w:rFonts w:ascii="Times New Roman" w:hAnsi="Times New Roman"/>
          <w:b/>
          <w:sz w:val="24"/>
          <w:szCs w:val="24"/>
        </w:rPr>
        <w:br/>
      </w:r>
      <w:r>
        <w:rPr>
          <w:rFonts w:ascii="Times New Roman" w:hAnsi="Times New Roman"/>
          <w:b/>
          <w:sz w:val="24"/>
        </w:rPr>
        <w:t>PŘÍLOHA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VYKAZOVÁNÍ FINANČNÍCH INFORMACÍ</w:t>
      </w:r>
    </w:p>
    <w:p w:rsidR="009569C7" w:rsidRPr="00EC4FA2" w:rsidRDefault="00A834F1">
      <w:pPr>
        <w:spacing w:after="0"/>
        <w:rPr>
          <w:rFonts w:ascii="Times New Roman" w:hAnsi="Times New Roman"/>
          <w:sz w:val="24"/>
          <w:szCs w:val="24"/>
        </w:rPr>
      </w:pPr>
      <w:r>
        <w:rPr>
          <w:rFonts w:ascii="Times New Roman" w:hAnsi="Times New Roman"/>
          <w:sz w:val="24"/>
        </w:rPr>
        <w:t>Obsah</w:t>
      </w:r>
    </w:p>
    <w:p w:rsidR="00702929" w:rsidRDefault="00702929">
      <w:pPr>
        <w:pStyle w:val="TOC1"/>
        <w:tabs>
          <w:tab w:val="right" w:leader="dot" w:pos="8296"/>
        </w:tabs>
        <w:rPr>
          <w:rFonts w:asciiTheme="minorHAnsi" w:eastAsiaTheme="minorEastAsia" w:hAnsiTheme="minorHAnsi" w:cstheme="minorBidi"/>
          <w:b w:val="0"/>
          <w:noProof/>
          <w:sz w:val="22"/>
          <w:szCs w:val="22"/>
          <w:lang w:bidi="ar-SA"/>
        </w:rPr>
      </w:pPr>
      <w:r>
        <w:rPr>
          <w:b w:val="0"/>
        </w:rPr>
        <w:fldChar w:fldCharType="begin"/>
      </w:r>
      <w:r>
        <w:rPr>
          <w:b w:val="0"/>
        </w:rPr>
        <w:instrText xml:space="preserve"> TOC \o "1-3" \u </w:instrText>
      </w:r>
      <w:r>
        <w:rPr>
          <w:b w:val="0"/>
        </w:rPr>
        <w:fldChar w:fldCharType="separate"/>
      </w:r>
      <w:r>
        <w:rPr>
          <w:noProof/>
        </w:rPr>
        <w:t>Obecné pokyny</w:t>
      </w:r>
      <w:r>
        <w:rPr>
          <w:noProof/>
        </w:rPr>
        <w:tab/>
      </w:r>
      <w:r>
        <w:rPr>
          <w:noProof/>
        </w:rPr>
        <w:fldChar w:fldCharType="begin"/>
      </w:r>
      <w:r>
        <w:rPr>
          <w:noProof/>
        </w:rPr>
        <w:instrText xml:space="preserve"> PAGEREF _Toc485708529 \h </w:instrText>
      </w:r>
      <w:r>
        <w:rPr>
          <w:noProof/>
        </w:rPr>
      </w:r>
      <w:r>
        <w:rPr>
          <w:noProof/>
        </w:rPr>
        <w:fldChar w:fldCharType="separate"/>
      </w:r>
      <w:r>
        <w:rPr>
          <w:noProof/>
        </w:rPr>
        <w:t>4</w:t>
      </w:r>
      <w:r>
        <w:rPr>
          <w:noProof/>
        </w:rPr>
        <w:fldChar w:fldCharType="end"/>
      </w:r>
    </w:p>
    <w:p w:rsidR="00702929" w:rsidRDefault="00702929">
      <w:pPr>
        <w:pStyle w:val="TOC2"/>
        <w:rPr>
          <w:rFonts w:asciiTheme="minorHAnsi" w:eastAsiaTheme="minorEastAsia" w:hAnsiTheme="minorHAnsi" w:cstheme="minorBidi"/>
          <w:sz w:val="22"/>
          <w:szCs w:val="22"/>
          <w:lang w:bidi="ar-SA"/>
        </w:rPr>
      </w:pPr>
      <w:r>
        <w:t>1.</w:t>
      </w:r>
      <w:r>
        <w:rPr>
          <w:rFonts w:asciiTheme="minorHAnsi" w:eastAsiaTheme="minorEastAsia" w:hAnsiTheme="minorHAnsi" w:cstheme="minorBidi"/>
          <w:sz w:val="22"/>
          <w:szCs w:val="22"/>
          <w:lang w:bidi="ar-SA"/>
        </w:rPr>
        <w:tab/>
      </w:r>
      <w:r>
        <w:t>Odkazy</w:t>
      </w:r>
      <w:r>
        <w:tab/>
      </w:r>
      <w:r>
        <w:fldChar w:fldCharType="begin"/>
      </w:r>
      <w:r>
        <w:instrText xml:space="preserve"> PAGEREF _Toc485708530 \h </w:instrText>
      </w:r>
      <w:r>
        <w:fldChar w:fldCharType="separate"/>
      </w:r>
      <w:r>
        <w:t>4</w:t>
      </w:r>
      <w:r>
        <w:fldChar w:fldCharType="end"/>
      </w:r>
    </w:p>
    <w:p w:rsidR="00702929" w:rsidRDefault="00702929">
      <w:pPr>
        <w:pStyle w:val="TOC2"/>
        <w:rPr>
          <w:rFonts w:asciiTheme="minorHAnsi" w:eastAsiaTheme="minorEastAsia" w:hAnsiTheme="minorHAnsi" w:cstheme="minorBidi"/>
          <w:sz w:val="22"/>
          <w:szCs w:val="22"/>
          <w:lang w:bidi="ar-SA"/>
        </w:rPr>
      </w:pPr>
      <w:r>
        <w:t>2.</w:t>
      </w:r>
      <w:r>
        <w:rPr>
          <w:rFonts w:asciiTheme="minorHAnsi" w:eastAsiaTheme="minorEastAsia" w:hAnsiTheme="minorHAnsi" w:cstheme="minorBidi"/>
          <w:sz w:val="22"/>
          <w:szCs w:val="22"/>
          <w:lang w:bidi="ar-SA"/>
        </w:rPr>
        <w:tab/>
      </w:r>
      <w:r>
        <w:t>Konvence</w:t>
      </w:r>
      <w:r>
        <w:tab/>
      </w:r>
      <w:r>
        <w:fldChar w:fldCharType="begin"/>
      </w:r>
      <w:r>
        <w:instrText xml:space="preserve"> PAGEREF _Toc485708531 \h </w:instrText>
      </w:r>
      <w:r>
        <w:fldChar w:fldCharType="separate"/>
      </w:r>
      <w:r>
        <w:t>6</w:t>
      </w:r>
      <w:r>
        <w:fldChar w:fldCharType="end"/>
      </w:r>
    </w:p>
    <w:p w:rsidR="00702929" w:rsidRDefault="00702929">
      <w:pPr>
        <w:pStyle w:val="TOC2"/>
        <w:rPr>
          <w:rFonts w:asciiTheme="minorHAnsi" w:eastAsiaTheme="minorEastAsia" w:hAnsiTheme="minorHAnsi" w:cstheme="minorBidi"/>
          <w:sz w:val="22"/>
          <w:szCs w:val="22"/>
          <w:lang w:bidi="ar-SA"/>
        </w:rPr>
      </w:pPr>
      <w:r>
        <w:t>3.</w:t>
      </w:r>
      <w:r>
        <w:rPr>
          <w:rFonts w:asciiTheme="minorHAnsi" w:eastAsiaTheme="minorEastAsia" w:hAnsiTheme="minorHAnsi" w:cstheme="minorBidi"/>
          <w:sz w:val="22"/>
          <w:szCs w:val="22"/>
          <w:lang w:bidi="ar-SA"/>
        </w:rPr>
        <w:tab/>
      </w:r>
      <w:r>
        <w:t>Konsolidace</w:t>
      </w:r>
      <w:r>
        <w:tab/>
      </w:r>
      <w:r>
        <w:fldChar w:fldCharType="begin"/>
      </w:r>
      <w:r>
        <w:instrText xml:space="preserve"> PAGEREF _Toc485708532 \h </w:instrText>
      </w:r>
      <w:r>
        <w:fldChar w:fldCharType="separate"/>
      </w:r>
      <w:r>
        <w:t>7</w:t>
      </w:r>
      <w:r>
        <w:fldChar w:fldCharType="end"/>
      </w:r>
    </w:p>
    <w:p w:rsidR="00702929" w:rsidRDefault="00702929">
      <w:pPr>
        <w:pStyle w:val="TOC2"/>
        <w:rPr>
          <w:rFonts w:asciiTheme="minorHAnsi" w:eastAsiaTheme="minorEastAsia" w:hAnsiTheme="minorHAnsi" w:cstheme="minorBidi"/>
          <w:sz w:val="22"/>
          <w:szCs w:val="22"/>
          <w:lang w:bidi="ar-SA"/>
        </w:rPr>
      </w:pPr>
      <w:r>
        <w:t>4.</w:t>
      </w:r>
      <w:r>
        <w:rPr>
          <w:rFonts w:asciiTheme="minorHAnsi" w:eastAsiaTheme="minorEastAsia" w:hAnsiTheme="minorHAnsi" w:cstheme="minorBidi"/>
          <w:sz w:val="22"/>
          <w:szCs w:val="22"/>
          <w:lang w:bidi="ar-SA"/>
        </w:rPr>
        <w:tab/>
      </w:r>
      <w:r>
        <w:t>Účetní portfolia finančních nástrojů</w:t>
      </w:r>
      <w:r>
        <w:tab/>
      </w:r>
      <w:r>
        <w:fldChar w:fldCharType="begin"/>
      </w:r>
      <w:r>
        <w:instrText xml:space="preserve"> PAGEREF _Toc485708533 \h </w:instrText>
      </w:r>
      <w:r>
        <w:fldChar w:fldCharType="separate"/>
      </w:r>
      <w:r>
        <w:t>7</w:t>
      </w:r>
      <w:r>
        <w:fldChar w:fldCharType="end"/>
      </w:r>
    </w:p>
    <w:p w:rsidR="00702929" w:rsidRDefault="00702929">
      <w:pPr>
        <w:pStyle w:val="TOC2"/>
        <w:rPr>
          <w:rFonts w:asciiTheme="minorHAnsi" w:eastAsiaTheme="minorEastAsia" w:hAnsiTheme="minorHAnsi" w:cstheme="minorBidi"/>
          <w:sz w:val="22"/>
          <w:szCs w:val="22"/>
          <w:lang w:bidi="ar-SA"/>
        </w:rPr>
      </w:pPr>
      <w:r>
        <w:t>4.1.</w:t>
      </w:r>
      <w:r>
        <w:rPr>
          <w:rFonts w:asciiTheme="minorHAnsi" w:eastAsiaTheme="minorEastAsia" w:hAnsiTheme="minorHAnsi" w:cstheme="minorBidi"/>
          <w:sz w:val="22"/>
          <w:szCs w:val="22"/>
          <w:lang w:bidi="ar-SA"/>
        </w:rPr>
        <w:tab/>
      </w:r>
      <w:r>
        <w:t>Finanční aktiva</w:t>
      </w:r>
      <w:r>
        <w:tab/>
      </w:r>
      <w:r>
        <w:fldChar w:fldCharType="begin"/>
      </w:r>
      <w:r>
        <w:instrText xml:space="preserve"> PAGEREF _Toc485708534 \h </w:instrText>
      </w:r>
      <w:r>
        <w:fldChar w:fldCharType="separate"/>
      </w:r>
      <w:r>
        <w:t>8</w:t>
      </w:r>
      <w:r>
        <w:fldChar w:fldCharType="end"/>
      </w:r>
    </w:p>
    <w:p w:rsidR="00702929" w:rsidRDefault="00702929">
      <w:pPr>
        <w:pStyle w:val="TOC2"/>
        <w:rPr>
          <w:rFonts w:asciiTheme="minorHAnsi" w:eastAsiaTheme="minorEastAsia" w:hAnsiTheme="minorHAnsi" w:cstheme="minorBidi"/>
          <w:sz w:val="22"/>
          <w:szCs w:val="22"/>
          <w:lang w:bidi="ar-SA"/>
        </w:rPr>
      </w:pPr>
      <w:r>
        <w:t>4.2.</w:t>
      </w:r>
      <w:r>
        <w:rPr>
          <w:rFonts w:asciiTheme="minorHAnsi" w:eastAsiaTheme="minorEastAsia" w:hAnsiTheme="minorHAnsi" w:cstheme="minorBidi"/>
          <w:sz w:val="22"/>
          <w:szCs w:val="22"/>
          <w:lang w:bidi="ar-SA"/>
        </w:rPr>
        <w:tab/>
      </w:r>
      <w:r>
        <w:t>Finanční závazky</w:t>
      </w:r>
      <w:r>
        <w:tab/>
      </w:r>
      <w:r>
        <w:fldChar w:fldCharType="begin"/>
      </w:r>
      <w:r>
        <w:instrText xml:space="preserve"> PAGEREF _Toc485708535 \h </w:instrText>
      </w:r>
      <w:r>
        <w:fldChar w:fldCharType="separate"/>
      </w:r>
      <w:r>
        <w:t>9</w:t>
      </w:r>
      <w:r>
        <w:fldChar w:fldCharType="end"/>
      </w:r>
    </w:p>
    <w:p w:rsidR="00702929" w:rsidRDefault="00702929">
      <w:pPr>
        <w:pStyle w:val="TOC2"/>
        <w:rPr>
          <w:rFonts w:asciiTheme="minorHAnsi" w:eastAsiaTheme="minorEastAsia" w:hAnsiTheme="minorHAnsi" w:cstheme="minorBidi"/>
          <w:sz w:val="22"/>
          <w:szCs w:val="22"/>
          <w:lang w:bidi="ar-SA"/>
        </w:rPr>
      </w:pPr>
      <w:r>
        <w:t>5.</w:t>
      </w:r>
      <w:r>
        <w:rPr>
          <w:rFonts w:asciiTheme="minorHAnsi" w:eastAsiaTheme="minorEastAsia" w:hAnsiTheme="minorHAnsi" w:cstheme="minorBidi"/>
          <w:sz w:val="22"/>
          <w:szCs w:val="22"/>
          <w:lang w:bidi="ar-SA"/>
        </w:rPr>
        <w:tab/>
      </w:r>
      <w:r>
        <w:t>Finanční nástroje</w:t>
      </w:r>
      <w:r>
        <w:tab/>
      </w:r>
      <w:r>
        <w:fldChar w:fldCharType="begin"/>
      </w:r>
      <w:r>
        <w:instrText xml:space="preserve"> PAGEREF _Toc485708536 \h </w:instrText>
      </w:r>
      <w:r>
        <w:fldChar w:fldCharType="separate"/>
      </w:r>
      <w:r>
        <w:t>10</w:t>
      </w:r>
      <w:r>
        <w:fldChar w:fldCharType="end"/>
      </w:r>
    </w:p>
    <w:p w:rsidR="00702929" w:rsidRDefault="00702929">
      <w:pPr>
        <w:pStyle w:val="TOC2"/>
        <w:rPr>
          <w:rFonts w:asciiTheme="minorHAnsi" w:eastAsiaTheme="minorEastAsia" w:hAnsiTheme="minorHAnsi" w:cstheme="minorBidi"/>
          <w:sz w:val="22"/>
          <w:szCs w:val="22"/>
          <w:lang w:bidi="ar-SA"/>
        </w:rPr>
      </w:pPr>
      <w:r>
        <w:t>5.1.</w:t>
      </w:r>
      <w:r>
        <w:rPr>
          <w:rFonts w:asciiTheme="minorHAnsi" w:eastAsiaTheme="minorEastAsia" w:hAnsiTheme="minorHAnsi" w:cstheme="minorBidi"/>
          <w:sz w:val="22"/>
          <w:szCs w:val="22"/>
          <w:lang w:bidi="ar-SA"/>
        </w:rPr>
        <w:tab/>
      </w:r>
      <w:r>
        <w:t>Finanční aktiva</w:t>
      </w:r>
      <w:r>
        <w:tab/>
      </w:r>
      <w:r>
        <w:fldChar w:fldCharType="begin"/>
      </w:r>
      <w:r>
        <w:instrText xml:space="preserve"> PAGEREF _Toc485708537 \h </w:instrText>
      </w:r>
      <w:r>
        <w:fldChar w:fldCharType="separate"/>
      </w:r>
      <w:r>
        <w:t>11</w:t>
      </w:r>
      <w:r>
        <w:fldChar w:fldCharType="end"/>
      </w:r>
    </w:p>
    <w:p w:rsidR="00702929" w:rsidRDefault="00702929">
      <w:pPr>
        <w:pStyle w:val="TOC2"/>
        <w:rPr>
          <w:rFonts w:asciiTheme="minorHAnsi" w:eastAsiaTheme="minorEastAsia" w:hAnsiTheme="minorHAnsi" w:cstheme="minorBidi"/>
          <w:sz w:val="22"/>
          <w:szCs w:val="22"/>
          <w:lang w:bidi="ar-SA"/>
        </w:rPr>
      </w:pPr>
      <w:r>
        <w:t>5.2.</w:t>
      </w:r>
      <w:r>
        <w:rPr>
          <w:rFonts w:asciiTheme="minorHAnsi" w:eastAsiaTheme="minorEastAsia" w:hAnsiTheme="minorHAnsi" w:cstheme="minorBidi"/>
          <w:sz w:val="22"/>
          <w:szCs w:val="22"/>
          <w:lang w:bidi="ar-SA"/>
        </w:rPr>
        <w:tab/>
      </w:r>
      <w:r>
        <w:t>Hrubá účetní hodnota</w:t>
      </w:r>
      <w:r>
        <w:tab/>
      </w:r>
      <w:r>
        <w:fldChar w:fldCharType="begin"/>
      </w:r>
      <w:r>
        <w:instrText xml:space="preserve"> PAGEREF _Toc485708538 \h </w:instrText>
      </w:r>
      <w:r>
        <w:fldChar w:fldCharType="separate"/>
      </w:r>
      <w:r>
        <w:t>11</w:t>
      </w:r>
      <w:r>
        <w:fldChar w:fldCharType="end"/>
      </w:r>
    </w:p>
    <w:p w:rsidR="00702929" w:rsidRDefault="00702929">
      <w:pPr>
        <w:pStyle w:val="TOC2"/>
        <w:rPr>
          <w:rFonts w:asciiTheme="minorHAnsi" w:eastAsiaTheme="minorEastAsia" w:hAnsiTheme="minorHAnsi" w:cstheme="minorBidi"/>
          <w:sz w:val="22"/>
          <w:szCs w:val="22"/>
          <w:lang w:bidi="ar-SA"/>
        </w:rPr>
      </w:pPr>
      <w:r>
        <w:t>5.3.</w:t>
      </w:r>
      <w:r>
        <w:rPr>
          <w:rFonts w:asciiTheme="minorHAnsi" w:eastAsiaTheme="minorEastAsia" w:hAnsiTheme="minorHAnsi" w:cstheme="minorBidi"/>
          <w:sz w:val="22"/>
          <w:szCs w:val="22"/>
          <w:lang w:bidi="ar-SA"/>
        </w:rPr>
        <w:tab/>
      </w:r>
      <w:r>
        <w:t>Finanční závazky</w:t>
      </w:r>
      <w:r>
        <w:tab/>
      </w:r>
      <w:r>
        <w:fldChar w:fldCharType="begin"/>
      </w:r>
      <w:r>
        <w:instrText xml:space="preserve"> PAGEREF _Toc485708539 \h </w:instrText>
      </w:r>
      <w:r>
        <w:fldChar w:fldCharType="separate"/>
      </w:r>
      <w:r>
        <w:t>12</w:t>
      </w:r>
      <w:r>
        <w:fldChar w:fldCharType="end"/>
      </w:r>
    </w:p>
    <w:p w:rsidR="00702929" w:rsidRDefault="00702929">
      <w:pPr>
        <w:pStyle w:val="TOC2"/>
        <w:rPr>
          <w:rFonts w:asciiTheme="minorHAnsi" w:eastAsiaTheme="minorEastAsia" w:hAnsiTheme="minorHAnsi" w:cstheme="minorBidi"/>
          <w:sz w:val="22"/>
          <w:szCs w:val="22"/>
          <w:lang w:bidi="ar-SA"/>
        </w:rPr>
      </w:pPr>
      <w:r>
        <w:t>6.</w:t>
      </w:r>
      <w:r>
        <w:rPr>
          <w:rFonts w:asciiTheme="minorHAnsi" w:eastAsiaTheme="minorEastAsia" w:hAnsiTheme="minorHAnsi" w:cstheme="minorBidi"/>
          <w:sz w:val="22"/>
          <w:szCs w:val="22"/>
          <w:lang w:bidi="ar-SA"/>
        </w:rPr>
        <w:tab/>
      </w:r>
      <w:r>
        <w:t>Struktura podle protistrany</w:t>
      </w:r>
      <w:r>
        <w:tab/>
      </w:r>
      <w:r>
        <w:fldChar w:fldCharType="begin"/>
      </w:r>
      <w:r>
        <w:instrText xml:space="preserve"> PAGEREF _Toc485708540 \h </w:instrText>
      </w:r>
      <w:r>
        <w:fldChar w:fldCharType="separate"/>
      </w:r>
      <w:r>
        <w:t>13</w:t>
      </w:r>
      <w:r>
        <w:fldChar w:fldCharType="end"/>
      </w:r>
    </w:p>
    <w:p w:rsidR="00702929" w:rsidRDefault="00702929">
      <w:pPr>
        <w:pStyle w:val="TOC1"/>
        <w:tabs>
          <w:tab w:val="right" w:leader="dot" w:pos="8296"/>
        </w:tabs>
        <w:rPr>
          <w:rFonts w:asciiTheme="minorHAnsi" w:eastAsiaTheme="minorEastAsia" w:hAnsiTheme="minorHAnsi" w:cstheme="minorBidi"/>
          <w:b w:val="0"/>
          <w:noProof/>
          <w:sz w:val="22"/>
          <w:szCs w:val="22"/>
          <w:lang w:bidi="ar-SA"/>
        </w:rPr>
      </w:pPr>
      <w:r>
        <w:rPr>
          <w:noProof/>
        </w:rPr>
        <w:t>Pokyny k vyplňování šablon</w:t>
      </w:r>
      <w:r>
        <w:rPr>
          <w:noProof/>
        </w:rPr>
        <w:tab/>
      </w:r>
      <w:r>
        <w:rPr>
          <w:noProof/>
        </w:rPr>
        <w:fldChar w:fldCharType="begin"/>
      </w:r>
      <w:r>
        <w:rPr>
          <w:noProof/>
        </w:rPr>
        <w:instrText xml:space="preserve"> PAGEREF _Toc485708541 \h </w:instrText>
      </w:r>
      <w:r>
        <w:rPr>
          <w:noProof/>
        </w:rPr>
      </w:r>
      <w:r>
        <w:rPr>
          <w:noProof/>
        </w:rPr>
        <w:fldChar w:fldCharType="separate"/>
      </w:r>
      <w:r>
        <w:rPr>
          <w:noProof/>
        </w:rPr>
        <w:t>15</w:t>
      </w:r>
      <w:r>
        <w:rPr>
          <w:noProof/>
        </w:rPr>
        <w:fldChar w:fldCharType="end"/>
      </w:r>
    </w:p>
    <w:p w:rsidR="00702929" w:rsidRDefault="00702929">
      <w:pPr>
        <w:pStyle w:val="TOC2"/>
        <w:rPr>
          <w:rFonts w:asciiTheme="minorHAnsi" w:eastAsiaTheme="minorEastAsia" w:hAnsiTheme="minorHAnsi" w:cstheme="minorBidi"/>
          <w:sz w:val="22"/>
          <w:szCs w:val="22"/>
          <w:lang w:bidi="ar-SA"/>
        </w:rPr>
      </w:pPr>
      <w:r>
        <w:t>1.</w:t>
      </w:r>
      <w:r>
        <w:rPr>
          <w:rFonts w:asciiTheme="minorHAnsi" w:eastAsiaTheme="minorEastAsia" w:hAnsiTheme="minorHAnsi" w:cstheme="minorBidi"/>
          <w:sz w:val="22"/>
          <w:szCs w:val="22"/>
          <w:lang w:bidi="ar-SA"/>
        </w:rPr>
        <w:tab/>
      </w:r>
      <w:r>
        <w:t>Rozvaha</w:t>
      </w:r>
      <w:r>
        <w:tab/>
      </w:r>
      <w:r>
        <w:fldChar w:fldCharType="begin"/>
      </w:r>
      <w:r>
        <w:instrText xml:space="preserve"> PAGEREF _Toc485708542 \h </w:instrText>
      </w:r>
      <w:r>
        <w:fldChar w:fldCharType="separate"/>
      </w:r>
      <w:r>
        <w:t>15</w:t>
      </w:r>
      <w:r>
        <w:fldChar w:fldCharType="end"/>
      </w:r>
    </w:p>
    <w:p w:rsidR="00702929" w:rsidRDefault="00702929">
      <w:pPr>
        <w:pStyle w:val="TOC2"/>
        <w:rPr>
          <w:rFonts w:asciiTheme="minorHAnsi" w:eastAsiaTheme="minorEastAsia" w:hAnsiTheme="minorHAnsi" w:cstheme="minorBidi"/>
          <w:sz w:val="22"/>
          <w:szCs w:val="22"/>
          <w:lang w:bidi="ar-SA"/>
        </w:rPr>
      </w:pPr>
      <w:r>
        <w:t>1.1.</w:t>
      </w:r>
      <w:r>
        <w:rPr>
          <w:rFonts w:asciiTheme="minorHAnsi" w:eastAsiaTheme="minorEastAsia" w:hAnsiTheme="minorHAnsi" w:cstheme="minorBidi"/>
          <w:sz w:val="22"/>
          <w:szCs w:val="22"/>
          <w:lang w:bidi="ar-SA"/>
        </w:rPr>
        <w:tab/>
      </w:r>
      <w:r>
        <w:t>Aktiva (1.1)</w:t>
      </w:r>
      <w:r>
        <w:tab/>
      </w:r>
      <w:r>
        <w:fldChar w:fldCharType="begin"/>
      </w:r>
      <w:r>
        <w:instrText xml:space="preserve"> PAGEREF _Toc485708543 \h </w:instrText>
      </w:r>
      <w:r>
        <w:fldChar w:fldCharType="separate"/>
      </w:r>
      <w:r>
        <w:t>15</w:t>
      </w:r>
      <w:r>
        <w:fldChar w:fldCharType="end"/>
      </w:r>
    </w:p>
    <w:p w:rsidR="00702929" w:rsidRDefault="00702929">
      <w:pPr>
        <w:pStyle w:val="TOC2"/>
        <w:rPr>
          <w:rFonts w:asciiTheme="minorHAnsi" w:eastAsiaTheme="minorEastAsia" w:hAnsiTheme="minorHAnsi" w:cstheme="minorBidi"/>
          <w:sz w:val="22"/>
          <w:szCs w:val="22"/>
          <w:lang w:bidi="ar-SA"/>
        </w:rPr>
      </w:pPr>
      <w:r>
        <w:t>1.2.</w:t>
      </w:r>
      <w:r>
        <w:rPr>
          <w:rFonts w:asciiTheme="minorHAnsi" w:eastAsiaTheme="minorEastAsia" w:hAnsiTheme="minorHAnsi" w:cstheme="minorBidi"/>
          <w:sz w:val="22"/>
          <w:szCs w:val="22"/>
          <w:lang w:bidi="ar-SA"/>
        </w:rPr>
        <w:tab/>
      </w:r>
      <w:r>
        <w:t>Závazky (1.2)</w:t>
      </w:r>
      <w:r>
        <w:tab/>
      </w:r>
      <w:r>
        <w:fldChar w:fldCharType="begin"/>
      </w:r>
      <w:r>
        <w:instrText xml:space="preserve"> PAGEREF _Toc485708544 \h </w:instrText>
      </w:r>
      <w:r>
        <w:fldChar w:fldCharType="separate"/>
      </w:r>
      <w:r>
        <w:t>15</w:t>
      </w:r>
      <w:r>
        <w:fldChar w:fldCharType="end"/>
      </w:r>
    </w:p>
    <w:p w:rsidR="00702929" w:rsidRDefault="00702929">
      <w:pPr>
        <w:pStyle w:val="TOC2"/>
        <w:rPr>
          <w:rFonts w:asciiTheme="minorHAnsi" w:eastAsiaTheme="minorEastAsia" w:hAnsiTheme="minorHAnsi" w:cstheme="minorBidi"/>
          <w:sz w:val="22"/>
          <w:szCs w:val="22"/>
          <w:lang w:bidi="ar-SA"/>
        </w:rPr>
      </w:pPr>
      <w:r>
        <w:t>1.3.</w:t>
      </w:r>
      <w:r>
        <w:rPr>
          <w:rFonts w:asciiTheme="minorHAnsi" w:eastAsiaTheme="minorEastAsia" w:hAnsiTheme="minorHAnsi" w:cstheme="minorBidi"/>
          <w:sz w:val="22"/>
          <w:szCs w:val="22"/>
          <w:lang w:bidi="ar-SA"/>
        </w:rPr>
        <w:tab/>
      </w:r>
      <w:r>
        <w:t>Vlastní kapitál (1.3)</w:t>
      </w:r>
      <w:r>
        <w:tab/>
      </w:r>
      <w:r>
        <w:fldChar w:fldCharType="begin"/>
      </w:r>
      <w:r>
        <w:instrText xml:space="preserve"> PAGEREF _Toc485708545 \h </w:instrText>
      </w:r>
      <w:r>
        <w:fldChar w:fldCharType="separate"/>
      </w:r>
      <w:r>
        <w:t>16</w:t>
      </w:r>
      <w:r>
        <w:fldChar w:fldCharType="end"/>
      </w:r>
    </w:p>
    <w:p w:rsidR="00702929" w:rsidRDefault="00702929">
      <w:pPr>
        <w:pStyle w:val="TOC2"/>
        <w:rPr>
          <w:rFonts w:asciiTheme="minorHAnsi" w:eastAsiaTheme="minorEastAsia" w:hAnsiTheme="minorHAnsi" w:cstheme="minorBidi"/>
          <w:sz w:val="22"/>
          <w:szCs w:val="22"/>
          <w:lang w:bidi="ar-SA"/>
        </w:rPr>
      </w:pPr>
      <w:r>
        <w:t>2.</w:t>
      </w:r>
      <w:r>
        <w:rPr>
          <w:rFonts w:asciiTheme="minorHAnsi" w:eastAsiaTheme="minorEastAsia" w:hAnsiTheme="minorHAnsi" w:cstheme="minorBidi"/>
          <w:sz w:val="22"/>
          <w:szCs w:val="22"/>
          <w:lang w:bidi="ar-SA"/>
        </w:rPr>
        <w:tab/>
      </w:r>
      <w:r>
        <w:t>Výkaz zisku nebo ztráty (2)</w:t>
      </w:r>
      <w:r>
        <w:tab/>
      </w:r>
      <w:r>
        <w:fldChar w:fldCharType="begin"/>
      </w:r>
      <w:r>
        <w:instrText xml:space="preserve"> PAGEREF _Toc485708546 \h </w:instrText>
      </w:r>
      <w:r>
        <w:fldChar w:fldCharType="separate"/>
      </w:r>
      <w:r>
        <w:t>18</w:t>
      </w:r>
      <w:r>
        <w:fldChar w:fldCharType="end"/>
      </w:r>
    </w:p>
    <w:p w:rsidR="00702929" w:rsidRDefault="00702929">
      <w:pPr>
        <w:pStyle w:val="TOC2"/>
        <w:rPr>
          <w:rFonts w:asciiTheme="minorHAnsi" w:eastAsiaTheme="minorEastAsia" w:hAnsiTheme="minorHAnsi" w:cstheme="minorBidi"/>
          <w:sz w:val="22"/>
          <w:szCs w:val="22"/>
          <w:lang w:bidi="ar-SA"/>
        </w:rPr>
      </w:pPr>
      <w:r>
        <w:t>3.</w:t>
      </w:r>
      <w:r>
        <w:rPr>
          <w:rFonts w:asciiTheme="minorHAnsi" w:eastAsiaTheme="minorEastAsia" w:hAnsiTheme="minorHAnsi" w:cstheme="minorBidi"/>
          <w:sz w:val="22"/>
          <w:szCs w:val="22"/>
          <w:lang w:bidi="ar-SA"/>
        </w:rPr>
        <w:tab/>
      </w:r>
      <w:r>
        <w:t>Výkaz o úplném výsledku (3)</w:t>
      </w:r>
      <w:r>
        <w:tab/>
      </w:r>
      <w:r>
        <w:fldChar w:fldCharType="begin"/>
      </w:r>
      <w:r>
        <w:instrText xml:space="preserve"> PAGEREF _Toc485708547 \h </w:instrText>
      </w:r>
      <w:r>
        <w:fldChar w:fldCharType="separate"/>
      </w:r>
      <w:r>
        <w:t>23</w:t>
      </w:r>
      <w:r>
        <w:fldChar w:fldCharType="end"/>
      </w:r>
    </w:p>
    <w:p w:rsidR="00702929" w:rsidRDefault="00702929">
      <w:pPr>
        <w:pStyle w:val="TOC2"/>
        <w:rPr>
          <w:rFonts w:asciiTheme="minorHAnsi" w:eastAsiaTheme="minorEastAsia" w:hAnsiTheme="minorHAnsi" w:cstheme="minorBidi"/>
          <w:sz w:val="22"/>
          <w:szCs w:val="22"/>
          <w:lang w:bidi="ar-SA"/>
        </w:rPr>
      </w:pPr>
      <w:r>
        <w:t>4.</w:t>
      </w:r>
      <w:r>
        <w:rPr>
          <w:rFonts w:asciiTheme="minorHAnsi" w:eastAsiaTheme="minorEastAsia" w:hAnsiTheme="minorHAnsi" w:cstheme="minorBidi"/>
          <w:sz w:val="22"/>
          <w:szCs w:val="22"/>
          <w:lang w:bidi="ar-SA"/>
        </w:rPr>
        <w:tab/>
      </w:r>
      <w:r>
        <w:t>Struktura finančních aktiv podle nástroje a podle odvětví protistrany (4)</w:t>
      </w:r>
      <w:r>
        <w:tab/>
      </w:r>
      <w:r>
        <w:fldChar w:fldCharType="begin"/>
      </w:r>
      <w:r>
        <w:instrText xml:space="preserve"> PAGEREF _Toc485708548 \h </w:instrText>
      </w:r>
      <w:r>
        <w:fldChar w:fldCharType="separate"/>
      </w:r>
      <w:r>
        <w:t>24</w:t>
      </w:r>
      <w:r>
        <w:fldChar w:fldCharType="end"/>
      </w:r>
    </w:p>
    <w:p w:rsidR="00702929" w:rsidRDefault="00702929">
      <w:pPr>
        <w:pStyle w:val="TOC2"/>
        <w:rPr>
          <w:rFonts w:asciiTheme="minorHAnsi" w:eastAsiaTheme="minorEastAsia" w:hAnsiTheme="minorHAnsi" w:cstheme="minorBidi"/>
          <w:sz w:val="22"/>
          <w:szCs w:val="22"/>
          <w:lang w:bidi="ar-SA"/>
        </w:rPr>
      </w:pPr>
      <w:r>
        <w:t>5.</w:t>
      </w:r>
      <w:r>
        <w:rPr>
          <w:rFonts w:asciiTheme="minorHAnsi" w:eastAsiaTheme="minorEastAsia" w:hAnsiTheme="minorHAnsi" w:cstheme="minorBidi"/>
          <w:sz w:val="22"/>
          <w:szCs w:val="22"/>
          <w:lang w:bidi="ar-SA"/>
        </w:rPr>
        <w:tab/>
      </w:r>
      <w:r>
        <w:t>Struktura úvěrů a jiných pohledávek podle produktu (5)</w:t>
      </w:r>
      <w:r>
        <w:tab/>
      </w:r>
      <w:r>
        <w:fldChar w:fldCharType="begin"/>
      </w:r>
      <w:r>
        <w:instrText xml:space="preserve"> PAGEREF _Toc485708549 \h </w:instrText>
      </w:r>
      <w:r>
        <w:fldChar w:fldCharType="separate"/>
      </w:r>
      <w:r>
        <w:t>27</w:t>
      </w:r>
      <w:r>
        <w:fldChar w:fldCharType="end"/>
      </w:r>
    </w:p>
    <w:p w:rsidR="00702929" w:rsidRDefault="00702929">
      <w:pPr>
        <w:pStyle w:val="TOC2"/>
        <w:rPr>
          <w:rFonts w:asciiTheme="minorHAnsi" w:eastAsiaTheme="minorEastAsia" w:hAnsiTheme="minorHAnsi" w:cstheme="minorBidi"/>
          <w:sz w:val="22"/>
          <w:szCs w:val="22"/>
          <w:lang w:bidi="ar-SA"/>
        </w:rPr>
      </w:pPr>
      <w:r w:rsidRPr="00C35B6D">
        <w:rPr>
          <w:kern w:val="32"/>
        </w:rPr>
        <w:t>6.</w:t>
      </w:r>
      <w:r>
        <w:rPr>
          <w:rFonts w:asciiTheme="minorHAnsi" w:eastAsiaTheme="minorEastAsia" w:hAnsiTheme="minorHAnsi" w:cstheme="minorBidi"/>
          <w:sz w:val="22"/>
          <w:szCs w:val="22"/>
          <w:lang w:bidi="ar-SA"/>
        </w:rPr>
        <w:tab/>
      </w:r>
      <w:r>
        <w:t>Struktura neobchodních úvěrů a jiných pohledávek za nefinančními podniky podle kódů NACE (6)</w:t>
      </w:r>
      <w:r>
        <w:tab/>
      </w:r>
      <w:r>
        <w:fldChar w:fldCharType="begin"/>
      </w:r>
      <w:r>
        <w:instrText xml:space="preserve"> PAGEREF _Toc485708550 \h </w:instrText>
      </w:r>
      <w:r>
        <w:fldChar w:fldCharType="separate"/>
      </w:r>
      <w:r>
        <w:t>29</w:t>
      </w:r>
      <w:r>
        <w:fldChar w:fldCharType="end"/>
      </w:r>
    </w:p>
    <w:p w:rsidR="00702929" w:rsidRDefault="00702929">
      <w:pPr>
        <w:pStyle w:val="TOC2"/>
        <w:rPr>
          <w:rFonts w:asciiTheme="minorHAnsi" w:eastAsiaTheme="minorEastAsia" w:hAnsiTheme="minorHAnsi" w:cstheme="minorBidi"/>
          <w:sz w:val="22"/>
          <w:szCs w:val="22"/>
          <w:lang w:bidi="ar-SA"/>
        </w:rPr>
      </w:pPr>
      <w:r w:rsidRPr="00C35B6D">
        <w:rPr>
          <w:kern w:val="32"/>
        </w:rPr>
        <w:t>7.</w:t>
      </w:r>
      <w:r>
        <w:rPr>
          <w:rFonts w:asciiTheme="minorHAnsi" w:eastAsiaTheme="minorEastAsia" w:hAnsiTheme="minorHAnsi" w:cstheme="minorBidi"/>
          <w:sz w:val="22"/>
          <w:szCs w:val="22"/>
          <w:lang w:bidi="ar-SA"/>
        </w:rPr>
        <w:tab/>
      </w:r>
      <w:r>
        <w:t>Finanční aktiva podléhající znehodnocení, která jsou po splatnosti (7)</w:t>
      </w:r>
      <w:r>
        <w:tab/>
      </w:r>
      <w:r>
        <w:fldChar w:fldCharType="begin"/>
      </w:r>
      <w:r>
        <w:instrText xml:space="preserve"> PAGEREF _Toc485708551 \h </w:instrText>
      </w:r>
      <w:r>
        <w:fldChar w:fldCharType="separate"/>
      </w:r>
      <w:r>
        <w:t>30</w:t>
      </w:r>
      <w:r>
        <w:fldChar w:fldCharType="end"/>
      </w:r>
    </w:p>
    <w:p w:rsidR="00702929" w:rsidRDefault="00702929">
      <w:pPr>
        <w:pStyle w:val="TOC2"/>
        <w:rPr>
          <w:rFonts w:asciiTheme="minorHAnsi" w:eastAsiaTheme="minorEastAsia" w:hAnsiTheme="minorHAnsi" w:cstheme="minorBidi"/>
          <w:sz w:val="22"/>
          <w:szCs w:val="22"/>
          <w:lang w:bidi="ar-SA"/>
        </w:rPr>
      </w:pPr>
      <w:r>
        <w:t>8.</w:t>
      </w:r>
      <w:r>
        <w:rPr>
          <w:rFonts w:asciiTheme="minorHAnsi" w:eastAsiaTheme="minorEastAsia" w:hAnsiTheme="minorHAnsi" w:cstheme="minorBidi"/>
          <w:sz w:val="22"/>
          <w:szCs w:val="22"/>
          <w:lang w:bidi="ar-SA"/>
        </w:rPr>
        <w:tab/>
      </w:r>
      <w:r>
        <w:t>Struktura finančních závazků (8)</w:t>
      </w:r>
      <w:r>
        <w:tab/>
      </w:r>
      <w:r>
        <w:fldChar w:fldCharType="begin"/>
      </w:r>
      <w:r>
        <w:instrText xml:space="preserve"> PAGEREF _Toc485708552 \h </w:instrText>
      </w:r>
      <w:r>
        <w:fldChar w:fldCharType="separate"/>
      </w:r>
      <w:r>
        <w:t>30</w:t>
      </w:r>
      <w:r>
        <w:fldChar w:fldCharType="end"/>
      </w:r>
    </w:p>
    <w:p w:rsidR="00702929" w:rsidRDefault="00702929">
      <w:pPr>
        <w:pStyle w:val="TOC2"/>
        <w:rPr>
          <w:rFonts w:asciiTheme="minorHAnsi" w:eastAsiaTheme="minorEastAsia" w:hAnsiTheme="minorHAnsi" w:cstheme="minorBidi"/>
          <w:sz w:val="22"/>
          <w:szCs w:val="22"/>
          <w:lang w:bidi="ar-SA"/>
        </w:rPr>
      </w:pPr>
      <w:r>
        <w:t>9.</w:t>
      </w:r>
      <w:r>
        <w:rPr>
          <w:rFonts w:asciiTheme="minorHAnsi" w:eastAsiaTheme="minorEastAsia" w:hAnsiTheme="minorHAnsi" w:cstheme="minorBidi"/>
          <w:sz w:val="22"/>
          <w:szCs w:val="22"/>
          <w:lang w:bidi="ar-SA"/>
        </w:rPr>
        <w:tab/>
      </w:r>
      <w:r>
        <w:t>Úvěrové přísliby, finanční záruky a ostatní přísliby (9)</w:t>
      </w:r>
      <w:r>
        <w:tab/>
      </w:r>
      <w:r>
        <w:fldChar w:fldCharType="begin"/>
      </w:r>
      <w:r>
        <w:instrText xml:space="preserve"> PAGEREF _Toc485708553 \h </w:instrText>
      </w:r>
      <w:r>
        <w:fldChar w:fldCharType="separate"/>
      </w:r>
      <w:r>
        <w:t>31</w:t>
      </w:r>
      <w:r>
        <w:fldChar w:fldCharType="end"/>
      </w:r>
    </w:p>
    <w:p w:rsidR="00702929" w:rsidRDefault="00702929">
      <w:pPr>
        <w:pStyle w:val="TOC2"/>
        <w:rPr>
          <w:rFonts w:asciiTheme="minorHAnsi" w:eastAsiaTheme="minorEastAsia" w:hAnsiTheme="minorHAnsi" w:cstheme="minorBidi"/>
          <w:sz w:val="22"/>
          <w:szCs w:val="22"/>
          <w:lang w:bidi="ar-SA"/>
        </w:rPr>
      </w:pPr>
      <w:r>
        <w:t>10.</w:t>
      </w:r>
      <w:r>
        <w:rPr>
          <w:rFonts w:asciiTheme="minorHAnsi" w:eastAsiaTheme="minorEastAsia" w:hAnsiTheme="minorHAnsi" w:cstheme="minorBidi"/>
          <w:sz w:val="22"/>
          <w:szCs w:val="22"/>
          <w:lang w:bidi="ar-SA"/>
        </w:rPr>
        <w:tab/>
      </w:r>
      <w:r>
        <w:t>Deriváty a zajišťovací účetnictví (10 a 11)</w:t>
      </w:r>
      <w:r>
        <w:tab/>
      </w:r>
      <w:r>
        <w:fldChar w:fldCharType="begin"/>
      </w:r>
      <w:r>
        <w:instrText xml:space="preserve"> PAGEREF _Toc485708554 \h </w:instrText>
      </w:r>
      <w:r>
        <w:fldChar w:fldCharType="separate"/>
      </w:r>
      <w:r>
        <w:t>34</w:t>
      </w:r>
      <w:r>
        <w:fldChar w:fldCharType="end"/>
      </w:r>
    </w:p>
    <w:p w:rsidR="00702929" w:rsidRDefault="00702929">
      <w:pPr>
        <w:pStyle w:val="TOC2"/>
        <w:rPr>
          <w:rFonts w:asciiTheme="minorHAnsi" w:eastAsiaTheme="minorEastAsia" w:hAnsiTheme="minorHAnsi" w:cstheme="minorBidi"/>
          <w:sz w:val="22"/>
          <w:szCs w:val="22"/>
          <w:lang w:bidi="ar-SA"/>
        </w:rPr>
      </w:pPr>
      <w:r>
        <w:t>10.1.</w:t>
      </w:r>
      <w:r>
        <w:rPr>
          <w:rFonts w:asciiTheme="minorHAnsi" w:eastAsiaTheme="minorEastAsia" w:hAnsiTheme="minorHAnsi" w:cstheme="minorBidi"/>
          <w:sz w:val="22"/>
          <w:szCs w:val="22"/>
          <w:lang w:bidi="ar-SA"/>
        </w:rPr>
        <w:tab/>
      </w:r>
      <w:r>
        <w:t>Klasifikace derivátů podle typu rizika</w:t>
      </w:r>
      <w:r>
        <w:tab/>
      </w:r>
      <w:r>
        <w:fldChar w:fldCharType="begin"/>
      </w:r>
      <w:r>
        <w:instrText xml:space="preserve"> PAGEREF _Toc485708555 \h </w:instrText>
      </w:r>
      <w:r>
        <w:fldChar w:fldCharType="separate"/>
      </w:r>
      <w:r>
        <w:t>35</w:t>
      </w:r>
      <w:r>
        <w:fldChar w:fldCharType="end"/>
      </w:r>
    </w:p>
    <w:p w:rsidR="00702929" w:rsidRDefault="00702929">
      <w:pPr>
        <w:pStyle w:val="TOC2"/>
        <w:rPr>
          <w:rFonts w:asciiTheme="minorHAnsi" w:eastAsiaTheme="minorEastAsia" w:hAnsiTheme="minorHAnsi" w:cstheme="minorBidi"/>
          <w:sz w:val="22"/>
          <w:szCs w:val="22"/>
          <w:lang w:bidi="ar-SA"/>
        </w:rPr>
      </w:pPr>
      <w:r>
        <w:t>10.2.</w:t>
      </w:r>
      <w:r>
        <w:rPr>
          <w:rFonts w:asciiTheme="minorHAnsi" w:eastAsiaTheme="minorEastAsia" w:hAnsiTheme="minorHAnsi" w:cstheme="minorBidi"/>
          <w:sz w:val="22"/>
          <w:szCs w:val="22"/>
          <w:lang w:bidi="ar-SA"/>
        </w:rPr>
        <w:tab/>
      </w:r>
      <w:r>
        <w:t>Vykazované hodnoty derivátů</w:t>
      </w:r>
      <w:r>
        <w:tab/>
      </w:r>
      <w:r>
        <w:fldChar w:fldCharType="begin"/>
      </w:r>
      <w:r>
        <w:instrText xml:space="preserve"> PAGEREF _Toc485708556 \h </w:instrText>
      </w:r>
      <w:r>
        <w:fldChar w:fldCharType="separate"/>
      </w:r>
      <w:r>
        <w:t>37</w:t>
      </w:r>
      <w:r>
        <w:fldChar w:fldCharType="end"/>
      </w:r>
    </w:p>
    <w:p w:rsidR="00702929" w:rsidRDefault="00702929">
      <w:pPr>
        <w:pStyle w:val="TOC2"/>
        <w:rPr>
          <w:rFonts w:asciiTheme="minorHAnsi" w:eastAsiaTheme="minorEastAsia" w:hAnsiTheme="minorHAnsi" w:cstheme="minorBidi"/>
          <w:sz w:val="22"/>
          <w:szCs w:val="22"/>
          <w:lang w:bidi="ar-SA"/>
        </w:rPr>
      </w:pPr>
      <w:r>
        <w:t>10.3.</w:t>
      </w:r>
      <w:r>
        <w:rPr>
          <w:rFonts w:asciiTheme="minorHAnsi" w:eastAsiaTheme="minorEastAsia" w:hAnsiTheme="minorHAnsi" w:cstheme="minorBidi"/>
          <w:sz w:val="22"/>
          <w:szCs w:val="22"/>
          <w:lang w:bidi="ar-SA"/>
        </w:rPr>
        <w:tab/>
      </w:r>
      <w:r>
        <w:t>Deriváty klasifikované jako „ekonomické zajištění“</w:t>
      </w:r>
      <w:r>
        <w:tab/>
      </w:r>
      <w:r>
        <w:fldChar w:fldCharType="begin"/>
      </w:r>
      <w:r>
        <w:instrText xml:space="preserve"> PAGEREF _Toc485708557 \h </w:instrText>
      </w:r>
      <w:r>
        <w:fldChar w:fldCharType="separate"/>
      </w:r>
      <w:r>
        <w:t>38</w:t>
      </w:r>
      <w:r>
        <w:fldChar w:fldCharType="end"/>
      </w:r>
    </w:p>
    <w:p w:rsidR="00702929" w:rsidRDefault="00702929">
      <w:pPr>
        <w:pStyle w:val="TOC2"/>
        <w:rPr>
          <w:rFonts w:asciiTheme="minorHAnsi" w:eastAsiaTheme="minorEastAsia" w:hAnsiTheme="minorHAnsi" w:cstheme="minorBidi"/>
          <w:sz w:val="22"/>
          <w:szCs w:val="22"/>
          <w:lang w:bidi="ar-SA"/>
        </w:rPr>
      </w:pPr>
      <w:r>
        <w:t>10.4.</w:t>
      </w:r>
      <w:r>
        <w:rPr>
          <w:rFonts w:asciiTheme="minorHAnsi" w:eastAsiaTheme="minorEastAsia" w:hAnsiTheme="minorHAnsi" w:cstheme="minorBidi"/>
          <w:sz w:val="22"/>
          <w:szCs w:val="22"/>
          <w:lang w:bidi="ar-SA"/>
        </w:rPr>
        <w:tab/>
      </w:r>
      <w:r>
        <w:t>Struktura derivátů podle odvětví protistrany</w:t>
      </w:r>
      <w:r>
        <w:tab/>
      </w:r>
      <w:r>
        <w:fldChar w:fldCharType="begin"/>
      </w:r>
      <w:r>
        <w:instrText xml:space="preserve"> PAGEREF _Toc485708558 \h </w:instrText>
      </w:r>
      <w:r>
        <w:fldChar w:fldCharType="separate"/>
      </w:r>
      <w:r>
        <w:t>39</w:t>
      </w:r>
      <w:r>
        <w:fldChar w:fldCharType="end"/>
      </w:r>
    </w:p>
    <w:p w:rsidR="00702929" w:rsidRDefault="00702929">
      <w:pPr>
        <w:pStyle w:val="TOC2"/>
        <w:rPr>
          <w:rFonts w:asciiTheme="minorHAnsi" w:eastAsiaTheme="minorEastAsia" w:hAnsiTheme="minorHAnsi" w:cstheme="minorBidi"/>
          <w:sz w:val="22"/>
          <w:szCs w:val="22"/>
          <w:lang w:bidi="ar-SA"/>
        </w:rPr>
      </w:pPr>
      <w:r>
        <w:t>10.5.</w:t>
      </w:r>
      <w:r>
        <w:rPr>
          <w:rFonts w:asciiTheme="minorHAnsi" w:eastAsiaTheme="minorEastAsia" w:hAnsiTheme="minorHAnsi" w:cstheme="minorBidi"/>
          <w:sz w:val="22"/>
          <w:szCs w:val="22"/>
          <w:lang w:bidi="ar-SA"/>
        </w:rPr>
        <w:tab/>
      </w:r>
      <w:r>
        <w:t>Zajišťovací účetnictví podle vnitrostátních GAAP (11.2)</w:t>
      </w:r>
      <w:r>
        <w:tab/>
      </w:r>
      <w:r>
        <w:fldChar w:fldCharType="begin"/>
      </w:r>
      <w:r>
        <w:instrText xml:space="preserve"> PAGEREF _Toc485708559 \h </w:instrText>
      </w:r>
      <w:r>
        <w:fldChar w:fldCharType="separate"/>
      </w:r>
      <w:r>
        <w:t>39</w:t>
      </w:r>
      <w:r>
        <w:fldChar w:fldCharType="end"/>
      </w:r>
    </w:p>
    <w:p w:rsidR="00702929" w:rsidRDefault="00702929">
      <w:pPr>
        <w:pStyle w:val="TOC2"/>
        <w:rPr>
          <w:rFonts w:asciiTheme="minorHAnsi" w:eastAsiaTheme="minorEastAsia" w:hAnsiTheme="minorHAnsi" w:cstheme="minorBidi"/>
          <w:sz w:val="22"/>
          <w:szCs w:val="22"/>
          <w:lang w:bidi="ar-SA"/>
        </w:rPr>
      </w:pPr>
      <w:r>
        <w:t>10.6.</w:t>
      </w:r>
      <w:r>
        <w:rPr>
          <w:rFonts w:asciiTheme="minorHAnsi" w:eastAsiaTheme="minorEastAsia" w:hAnsiTheme="minorHAnsi" w:cstheme="minorBidi"/>
          <w:sz w:val="22"/>
          <w:szCs w:val="22"/>
          <w:lang w:bidi="ar-SA"/>
        </w:rPr>
        <w:tab/>
      </w:r>
      <w:r>
        <w:t>Hodnota, která se vykazuje u nederivátových zajišťovacích nástrojů (11.3 a 11.3.1)</w:t>
      </w:r>
      <w:r>
        <w:tab/>
      </w:r>
      <w:r>
        <w:fldChar w:fldCharType="begin"/>
      </w:r>
      <w:r>
        <w:instrText xml:space="preserve"> PAGEREF _Toc485708560 \h </w:instrText>
      </w:r>
      <w:r>
        <w:fldChar w:fldCharType="separate"/>
      </w:r>
      <w:r>
        <w:t>40</w:t>
      </w:r>
      <w:r>
        <w:fldChar w:fldCharType="end"/>
      </w:r>
    </w:p>
    <w:p w:rsidR="00702929" w:rsidRDefault="00702929">
      <w:pPr>
        <w:pStyle w:val="TOC2"/>
        <w:rPr>
          <w:rFonts w:asciiTheme="minorHAnsi" w:eastAsiaTheme="minorEastAsia" w:hAnsiTheme="minorHAnsi" w:cstheme="minorBidi"/>
          <w:sz w:val="22"/>
          <w:szCs w:val="22"/>
          <w:lang w:bidi="ar-SA"/>
        </w:rPr>
      </w:pPr>
      <w:r>
        <w:t>10.7.</w:t>
      </w:r>
      <w:r>
        <w:rPr>
          <w:rFonts w:asciiTheme="minorHAnsi" w:eastAsiaTheme="minorEastAsia" w:hAnsiTheme="minorHAnsi" w:cstheme="minorBidi"/>
          <w:sz w:val="22"/>
          <w:szCs w:val="22"/>
          <w:lang w:bidi="ar-SA"/>
        </w:rPr>
        <w:tab/>
      </w:r>
      <w:r>
        <w:t>Zajištěné položky v zajištění reálné hodnoty (11.4)</w:t>
      </w:r>
      <w:r>
        <w:tab/>
      </w:r>
      <w:r>
        <w:fldChar w:fldCharType="begin"/>
      </w:r>
      <w:r>
        <w:instrText xml:space="preserve"> PAGEREF _Toc485708561 \h </w:instrText>
      </w:r>
      <w:r>
        <w:fldChar w:fldCharType="separate"/>
      </w:r>
      <w:r>
        <w:t>40</w:t>
      </w:r>
      <w:r>
        <w:fldChar w:fldCharType="end"/>
      </w:r>
    </w:p>
    <w:p w:rsidR="00702929" w:rsidRDefault="00702929">
      <w:pPr>
        <w:pStyle w:val="TOC2"/>
        <w:rPr>
          <w:rFonts w:asciiTheme="minorHAnsi" w:eastAsiaTheme="minorEastAsia" w:hAnsiTheme="minorHAnsi" w:cstheme="minorBidi"/>
          <w:sz w:val="22"/>
          <w:szCs w:val="22"/>
          <w:lang w:bidi="ar-SA"/>
        </w:rPr>
      </w:pPr>
      <w:r w:rsidRPr="00C35B6D">
        <w:rPr>
          <w:kern w:val="32"/>
        </w:rPr>
        <w:t>11.</w:t>
      </w:r>
      <w:r>
        <w:rPr>
          <w:rFonts w:asciiTheme="minorHAnsi" w:eastAsiaTheme="minorEastAsia" w:hAnsiTheme="minorHAnsi" w:cstheme="minorBidi"/>
          <w:sz w:val="22"/>
          <w:szCs w:val="22"/>
          <w:lang w:bidi="ar-SA"/>
        </w:rPr>
        <w:tab/>
      </w:r>
      <w:r>
        <w:t>Pohyby opravných položek a rezerv na krytí ztrát z titulu úvěrového rizika (12)</w:t>
      </w:r>
      <w:r>
        <w:tab/>
      </w:r>
      <w:r>
        <w:fldChar w:fldCharType="begin"/>
      </w:r>
      <w:r>
        <w:instrText xml:space="preserve"> PAGEREF _Toc485708562 \h </w:instrText>
      </w:r>
      <w:r>
        <w:fldChar w:fldCharType="separate"/>
      </w:r>
      <w:r>
        <w:t>41</w:t>
      </w:r>
      <w:r>
        <w:fldChar w:fldCharType="end"/>
      </w:r>
    </w:p>
    <w:p w:rsidR="00702929" w:rsidRDefault="00702929">
      <w:pPr>
        <w:pStyle w:val="TOC2"/>
        <w:rPr>
          <w:rFonts w:asciiTheme="minorHAnsi" w:eastAsiaTheme="minorEastAsia" w:hAnsiTheme="minorHAnsi" w:cstheme="minorBidi"/>
          <w:sz w:val="22"/>
          <w:szCs w:val="22"/>
          <w:lang w:bidi="ar-SA"/>
        </w:rPr>
      </w:pPr>
      <w:r>
        <w:lastRenderedPageBreak/>
        <w:t>11.1.</w:t>
      </w:r>
      <w:r>
        <w:rPr>
          <w:rFonts w:asciiTheme="minorHAnsi" w:eastAsiaTheme="minorEastAsia" w:hAnsiTheme="minorHAnsi" w:cstheme="minorBidi"/>
          <w:sz w:val="22"/>
          <w:szCs w:val="22"/>
          <w:lang w:bidi="ar-SA"/>
        </w:rPr>
        <w:tab/>
      </w:r>
      <w:r>
        <w:t>Pohyby opravných položek na krytí ztrát z titulu úvěrového rizika a znehodnocení kapitálových nástrojů podle vnitrostátních GAAP založených na BAD (12.0)</w:t>
      </w:r>
      <w:r>
        <w:tab/>
      </w:r>
      <w:r>
        <w:fldChar w:fldCharType="begin"/>
      </w:r>
      <w:r>
        <w:instrText xml:space="preserve"> PAGEREF _Toc485708563 \h </w:instrText>
      </w:r>
      <w:r>
        <w:fldChar w:fldCharType="separate"/>
      </w:r>
      <w:r>
        <w:t>41</w:t>
      </w:r>
      <w:r>
        <w:fldChar w:fldCharType="end"/>
      </w:r>
    </w:p>
    <w:p w:rsidR="00702929" w:rsidRDefault="00702929">
      <w:pPr>
        <w:pStyle w:val="TOC2"/>
        <w:rPr>
          <w:rFonts w:asciiTheme="minorHAnsi" w:eastAsiaTheme="minorEastAsia" w:hAnsiTheme="minorHAnsi" w:cstheme="minorBidi"/>
          <w:sz w:val="22"/>
          <w:szCs w:val="22"/>
          <w:lang w:bidi="ar-SA"/>
        </w:rPr>
      </w:pPr>
      <w:r>
        <w:t>11.2.</w:t>
      </w:r>
      <w:r>
        <w:rPr>
          <w:rFonts w:asciiTheme="minorHAnsi" w:eastAsiaTheme="minorEastAsia" w:hAnsiTheme="minorHAnsi" w:cstheme="minorBidi"/>
          <w:sz w:val="22"/>
          <w:szCs w:val="22"/>
          <w:lang w:bidi="ar-SA"/>
        </w:rPr>
        <w:tab/>
      </w:r>
      <w:r>
        <w:t>Pohyby opravných položek a rezerv na krytí ztrát z titulu úvěrového rizika podle IFRS (12.1)</w:t>
      </w:r>
      <w:r>
        <w:tab/>
      </w:r>
      <w:r>
        <w:fldChar w:fldCharType="begin"/>
      </w:r>
      <w:r>
        <w:instrText xml:space="preserve"> PAGEREF _Toc485708564 \h </w:instrText>
      </w:r>
      <w:r>
        <w:fldChar w:fldCharType="separate"/>
      </w:r>
      <w:r>
        <w:t>41</w:t>
      </w:r>
      <w:r>
        <w:fldChar w:fldCharType="end"/>
      </w:r>
    </w:p>
    <w:p w:rsidR="00702929" w:rsidRDefault="00702929">
      <w:pPr>
        <w:pStyle w:val="TOC2"/>
        <w:rPr>
          <w:rFonts w:asciiTheme="minorHAnsi" w:eastAsiaTheme="minorEastAsia" w:hAnsiTheme="minorHAnsi" w:cstheme="minorBidi"/>
          <w:sz w:val="22"/>
          <w:szCs w:val="22"/>
          <w:lang w:bidi="ar-SA"/>
        </w:rPr>
      </w:pPr>
      <w:r>
        <w:t>11.3.</w:t>
      </w:r>
      <w:r>
        <w:rPr>
          <w:rFonts w:asciiTheme="minorHAnsi" w:eastAsiaTheme="minorEastAsia" w:hAnsiTheme="minorHAnsi" w:cstheme="minorBidi"/>
          <w:sz w:val="22"/>
          <w:szCs w:val="22"/>
          <w:lang w:bidi="ar-SA"/>
        </w:rPr>
        <w:tab/>
      </w:r>
      <w:r>
        <w:t>Převody mezi stupni znehodnocení (prezentace v hrubé výši) (12.2)</w:t>
      </w:r>
      <w:r>
        <w:tab/>
      </w:r>
      <w:r>
        <w:fldChar w:fldCharType="begin"/>
      </w:r>
      <w:r>
        <w:instrText xml:space="preserve"> PAGEREF _Toc485708565 \h </w:instrText>
      </w:r>
      <w:r>
        <w:fldChar w:fldCharType="separate"/>
      </w:r>
      <w:r>
        <w:t>43</w:t>
      </w:r>
      <w:r>
        <w:fldChar w:fldCharType="end"/>
      </w:r>
    </w:p>
    <w:p w:rsidR="00702929" w:rsidRDefault="00702929">
      <w:pPr>
        <w:pStyle w:val="TOC2"/>
        <w:rPr>
          <w:rFonts w:asciiTheme="minorHAnsi" w:eastAsiaTheme="minorEastAsia" w:hAnsiTheme="minorHAnsi" w:cstheme="minorBidi"/>
          <w:sz w:val="22"/>
          <w:szCs w:val="22"/>
          <w:lang w:bidi="ar-SA"/>
        </w:rPr>
      </w:pPr>
      <w:r>
        <w:t>12.</w:t>
      </w:r>
      <w:r>
        <w:rPr>
          <w:rFonts w:asciiTheme="minorHAnsi" w:eastAsiaTheme="minorEastAsia" w:hAnsiTheme="minorHAnsi" w:cstheme="minorBidi"/>
          <w:sz w:val="22"/>
          <w:szCs w:val="22"/>
          <w:lang w:bidi="ar-SA"/>
        </w:rPr>
        <w:tab/>
      </w:r>
      <w:r>
        <w:t>Přijaté zajištění a záruky (13)</w:t>
      </w:r>
      <w:r>
        <w:tab/>
      </w:r>
      <w:r>
        <w:fldChar w:fldCharType="begin"/>
      </w:r>
      <w:r>
        <w:instrText xml:space="preserve"> PAGEREF _Toc485708566 \h </w:instrText>
      </w:r>
      <w:r>
        <w:fldChar w:fldCharType="separate"/>
      </w:r>
      <w:r>
        <w:t>44</w:t>
      </w:r>
      <w:r>
        <w:fldChar w:fldCharType="end"/>
      </w:r>
    </w:p>
    <w:p w:rsidR="00702929" w:rsidRDefault="00702929">
      <w:pPr>
        <w:pStyle w:val="TOC2"/>
        <w:rPr>
          <w:rFonts w:asciiTheme="minorHAnsi" w:eastAsiaTheme="minorEastAsia" w:hAnsiTheme="minorHAnsi" w:cstheme="minorBidi"/>
          <w:sz w:val="22"/>
          <w:szCs w:val="22"/>
          <w:lang w:bidi="ar-SA"/>
        </w:rPr>
      </w:pPr>
      <w:r>
        <w:t>12.1.</w:t>
      </w:r>
      <w:r>
        <w:rPr>
          <w:rFonts w:asciiTheme="minorHAnsi" w:eastAsiaTheme="minorEastAsia" w:hAnsiTheme="minorHAnsi" w:cstheme="minorBidi"/>
          <w:sz w:val="22"/>
          <w:szCs w:val="22"/>
          <w:lang w:bidi="ar-SA"/>
        </w:rPr>
        <w:tab/>
      </w:r>
      <w:r>
        <w:t>Struktura zajištění a záruk podle úvěrů a jiných pohledávek jiných než držených k obchodování (13.1)</w:t>
      </w:r>
      <w:r>
        <w:tab/>
      </w:r>
      <w:r>
        <w:fldChar w:fldCharType="begin"/>
      </w:r>
      <w:r>
        <w:instrText xml:space="preserve"> PAGEREF _Toc485708567 \h </w:instrText>
      </w:r>
      <w:r>
        <w:fldChar w:fldCharType="separate"/>
      </w:r>
      <w:r>
        <w:t>44</w:t>
      </w:r>
      <w:r>
        <w:fldChar w:fldCharType="end"/>
      </w:r>
    </w:p>
    <w:p w:rsidR="00702929" w:rsidRDefault="00702929">
      <w:pPr>
        <w:pStyle w:val="TOC2"/>
        <w:rPr>
          <w:rFonts w:asciiTheme="minorHAnsi" w:eastAsiaTheme="minorEastAsia" w:hAnsiTheme="minorHAnsi" w:cstheme="minorBidi"/>
          <w:sz w:val="22"/>
          <w:szCs w:val="22"/>
          <w:lang w:bidi="ar-SA"/>
        </w:rPr>
      </w:pPr>
      <w:r>
        <w:t>12.2.</w:t>
      </w:r>
      <w:r>
        <w:rPr>
          <w:rFonts w:asciiTheme="minorHAnsi" w:eastAsiaTheme="minorEastAsia" w:hAnsiTheme="minorHAnsi" w:cstheme="minorBidi"/>
          <w:sz w:val="22"/>
          <w:szCs w:val="22"/>
          <w:lang w:bidi="ar-SA"/>
        </w:rPr>
        <w:tab/>
      </w:r>
      <w:r>
        <w:t>Zajištění získané převzetím během období [držené k datu vykazování] (13.2)</w:t>
      </w:r>
      <w:r>
        <w:tab/>
      </w:r>
      <w:r>
        <w:fldChar w:fldCharType="begin"/>
      </w:r>
      <w:r>
        <w:instrText xml:space="preserve"> PAGEREF _Toc485708568 \h </w:instrText>
      </w:r>
      <w:r>
        <w:fldChar w:fldCharType="separate"/>
      </w:r>
      <w:r>
        <w:t>45</w:t>
      </w:r>
      <w:r>
        <w:fldChar w:fldCharType="end"/>
      </w:r>
    </w:p>
    <w:p w:rsidR="00702929" w:rsidRDefault="00702929">
      <w:pPr>
        <w:pStyle w:val="TOC2"/>
        <w:rPr>
          <w:rFonts w:asciiTheme="minorHAnsi" w:eastAsiaTheme="minorEastAsia" w:hAnsiTheme="minorHAnsi" w:cstheme="minorBidi"/>
          <w:sz w:val="22"/>
          <w:szCs w:val="22"/>
          <w:lang w:bidi="ar-SA"/>
        </w:rPr>
      </w:pPr>
      <w:r>
        <w:t>12.3.</w:t>
      </w:r>
      <w:r>
        <w:rPr>
          <w:rFonts w:asciiTheme="minorHAnsi" w:eastAsiaTheme="minorEastAsia" w:hAnsiTheme="minorHAnsi" w:cstheme="minorBidi"/>
          <w:sz w:val="22"/>
          <w:szCs w:val="22"/>
          <w:lang w:bidi="ar-SA"/>
        </w:rPr>
        <w:tab/>
      </w:r>
      <w:r>
        <w:t>Zajištění získané převzetím (hmotná aktiva), kumulované (13.3)</w:t>
      </w:r>
      <w:r>
        <w:tab/>
      </w:r>
      <w:r>
        <w:fldChar w:fldCharType="begin"/>
      </w:r>
      <w:r>
        <w:instrText xml:space="preserve"> PAGEREF _Toc485708569 \h </w:instrText>
      </w:r>
      <w:r>
        <w:fldChar w:fldCharType="separate"/>
      </w:r>
      <w:r>
        <w:t>45</w:t>
      </w:r>
      <w:r>
        <w:fldChar w:fldCharType="end"/>
      </w:r>
    </w:p>
    <w:p w:rsidR="00702929" w:rsidRDefault="00702929">
      <w:pPr>
        <w:pStyle w:val="TOC2"/>
        <w:rPr>
          <w:rFonts w:asciiTheme="minorHAnsi" w:eastAsiaTheme="minorEastAsia" w:hAnsiTheme="minorHAnsi" w:cstheme="minorBidi"/>
          <w:sz w:val="22"/>
          <w:szCs w:val="22"/>
          <w:lang w:bidi="ar-SA"/>
        </w:rPr>
      </w:pPr>
      <w:r w:rsidRPr="00C35B6D">
        <w:rPr>
          <w:kern w:val="32"/>
        </w:rPr>
        <w:t>13.</w:t>
      </w:r>
      <w:r>
        <w:rPr>
          <w:rFonts w:asciiTheme="minorHAnsi" w:eastAsiaTheme="minorEastAsia" w:hAnsiTheme="minorHAnsi" w:cstheme="minorBidi"/>
          <w:sz w:val="22"/>
          <w:szCs w:val="22"/>
          <w:lang w:bidi="ar-SA"/>
        </w:rPr>
        <w:tab/>
      </w:r>
      <w:r>
        <w:t>Hierarchie reálné hodnoty: finanční nástroje v reálné hodnotě (14)</w:t>
      </w:r>
      <w:r>
        <w:tab/>
      </w:r>
      <w:r>
        <w:fldChar w:fldCharType="begin"/>
      </w:r>
      <w:r>
        <w:instrText xml:space="preserve"> PAGEREF _Toc485708570 \h </w:instrText>
      </w:r>
      <w:r>
        <w:fldChar w:fldCharType="separate"/>
      </w:r>
      <w:r>
        <w:t>45</w:t>
      </w:r>
      <w:r>
        <w:fldChar w:fldCharType="end"/>
      </w:r>
    </w:p>
    <w:p w:rsidR="00702929" w:rsidRDefault="00702929">
      <w:pPr>
        <w:pStyle w:val="TOC2"/>
        <w:rPr>
          <w:rFonts w:asciiTheme="minorHAnsi" w:eastAsiaTheme="minorEastAsia" w:hAnsiTheme="minorHAnsi" w:cstheme="minorBidi"/>
          <w:sz w:val="22"/>
          <w:szCs w:val="22"/>
          <w:lang w:bidi="ar-SA"/>
        </w:rPr>
      </w:pPr>
      <w:r w:rsidRPr="00C35B6D">
        <w:rPr>
          <w:kern w:val="32"/>
        </w:rPr>
        <w:t>14.</w:t>
      </w:r>
      <w:r>
        <w:rPr>
          <w:rFonts w:asciiTheme="minorHAnsi" w:eastAsiaTheme="minorEastAsia" w:hAnsiTheme="minorHAnsi" w:cstheme="minorBidi"/>
          <w:sz w:val="22"/>
          <w:szCs w:val="22"/>
          <w:lang w:bidi="ar-SA"/>
        </w:rPr>
        <w:tab/>
      </w:r>
      <w:r>
        <w:t>Odúčtování a finanční závazky související s převedenými finančními aktivy (15)</w:t>
      </w:r>
      <w:r>
        <w:tab/>
      </w:r>
      <w:r>
        <w:fldChar w:fldCharType="begin"/>
      </w:r>
      <w:r>
        <w:instrText xml:space="preserve"> PAGEREF _Toc485708571 \h </w:instrText>
      </w:r>
      <w:r>
        <w:fldChar w:fldCharType="separate"/>
      </w:r>
      <w:r>
        <w:t>46</w:t>
      </w:r>
      <w:r>
        <w:fldChar w:fldCharType="end"/>
      </w:r>
    </w:p>
    <w:p w:rsidR="00702929" w:rsidRDefault="00702929">
      <w:pPr>
        <w:pStyle w:val="TOC2"/>
        <w:rPr>
          <w:rFonts w:asciiTheme="minorHAnsi" w:eastAsiaTheme="minorEastAsia" w:hAnsiTheme="minorHAnsi" w:cstheme="minorBidi"/>
          <w:sz w:val="22"/>
          <w:szCs w:val="22"/>
          <w:lang w:bidi="ar-SA"/>
        </w:rPr>
      </w:pPr>
      <w:r>
        <w:t>15.</w:t>
      </w:r>
      <w:r>
        <w:rPr>
          <w:rFonts w:asciiTheme="minorHAnsi" w:eastAsiaTheme="minorEastAsia" w:hAnsiTheme="minorHAnsi" w:cstheme="minorBidi"/>
          <w:sz w:val="22"/>
          <w:szCs w:val="22"/>
          <w:lang w:bidi="ar-SA"/>
        </w:rPr>
        <w:tab/>
      </w:r>
      <w:r>
        <w:t>Struktura vybraných položek výkazu zisku nebo ztráty (16)</w:t>
      </w:r>
      <w:r>
        <w:tab/>
      </w:r>
      <w:r>
        <w:fldChar w:fldCharType="begin"/>
      </w:r>
      <w:r>
        <w:instrText xml:space="preserve"> PAGEREF _Toc485708572 \h </w:instrText>
      </w:r>
      <w:r>
        <w:fldChar w:fldCharType="separate"/>
      </w:r>
      <w:r>
        <w:t>46</w:t>
      </w:r>
      <w:r>
        <w:fldChar w:fldCharType="end"/>
      </w:r>
    </w:p>
    <w:p w:rsidR="00702929" w:rsidRDefault="00702929">
      <w:pPr>
        <w:pStyle w:val="TOC2"/>
        <w:rPr>
          <w:rFonts w:asciiTheme="minorHAnsi" w:eastAsiaTheme="minorEastAsia" w:hAnsiTheme="minorHAnsi" w:cstheme="minorBidi"/>
          <w:sz w:val="22"/>
          <w:szCs w:val="22"/>
          <w:lang w:bidi="ar-SA"/>
        </w:rPr>
      </w:pPr>
      <w:r>
        <w:t>15.1.</w:t>
      </w:r>
      <w:r>
        <w:rPr>
          <w:rFonts w:asciiTheme="minorHAnsi" w:eastAsiaTheme="minorEastAsia" w:hAnsiTheme="minorHAnsi" w:cstheme="minorBidi"/>
          <w:sz w:val="22"/>
          <w:szCs w:val="22"/>
          <w:lang w:bidi="ar-SA"/>
        </w:rPr>
        <w:tab/>
      </w:r>
      <w:r>
        <w:t>Úrokové výnosy a náklady podle nástroje a odvětví protistrany (16.1)</w:t>
      </w:r>
      <w:r>
        <w:tab/>
      </w:r>
      <w:r>
        <w:fldChar w:fldCharType="begin"/>
      </w:r>
      <w:r>
        <w:instrText xml:space="preserve"> PAGEREF _Toc485708573 \h </w:instrText>
      </w:r>
      <w:r>
        <w:fldChar w:fldCharType="separate"/>
      </w:r>
      <w:r>
        <w:t>46</w:t>
      </w:r>
      <w:r>
        <w:fldChar w:fldCharType="end"/>
      </w:r>
    </w:p>
    <w:p w:rsidR="00702929" w:rsidRDefault="00702929">
      <w:pPr>
        <w:pStyle w:val="TOC2"/>
        <w:rPr>
          <w:rFonts w:asciiTheme="minorHAnsi" w:eastAsiaTheme="minorEastAsia" w:hAnsiTheme="minorHAnsi" w:cstheme="minorBidi"/>
          <w:sz w:val="22"/>
          <w:szCs w:val="22"/>
          <w:lang w:bidi="ar-SA"/>
        </w:rPr>
      </w:pPr>
      <w:r>
        <w:t>15.2.</w:t>
      </w:r>
      <w:r>
        <w:rPr>
          <w:rFonts w:asciiTheme="minorHAnsi" w:eastAsiaTheme="minorEastAsia" w:hAnsiTheme="minorHAnsi" w:cstheme="minorBidi"/>
          <w:sz w:val="22"/>
          <w:szCs w:val="22"/>
          <w:lang w:bidi="ar-SA"/>
        </w:rPr>
        <w:tab/>
      </w:r>
      <w:r>
        <w:t>Zisky nebo ztráty z odúčtování finančních aktiv a závazků neoceňovaných v reálné hodnotě do zisku nebo ztráty podle nástroje (16.2)</w:t>
      </w:r>
      <w:r>
        <w:tab/>
      </w:r>
      <w:r>
        <w:fldChar w:fldCharType="begin"/>
      </w:r>
      <w:r>
        <w:instrText xml:space="preserve"> PAGEREF _Toc485708574 \h </w:instrText>
      </w:r>
      <w:r>
        <w:fldChar w:fldCharType="separate"/>
      </w:r>
      <w:r>
        <w:t>48</w:t>
      </w:r>
      <w:r>
        <w:fldChar w:fldCharType="end"/>
      </w:r>
    </w:p>
    <w:p w:rsidR="00702929" w:rsidRDefault="00702929">
      <w:pPr>
        <w:pStyle w:val="TOC2"/>
        <w:rPr>
          <w:rFonts w:asciiTheme="minorHAnsi" w:eastAsiaTheme="minorEastAsia" w:hAnsiTheme="minorHAnsi" w:cstheme="minorBidi"/>
          <w:sz w:val="22"/>
          <w:szCs w:val="22"/>
          <w:lang w:bidi="ar-SA"/>
        </w:rPr>
      </w:pPr>
      <w:r>
        <w:t>15.3.</w:t>
      </w:r>
      <w:r>
        <w:rPr>
          <w:rFonts w:asciiTheme="minorHAnsi" w:eastAsiaTheme="minorEastAsia" w:hAnsiTheme="minorHAnsi" w:cstheme="minorBidi"/>
          <w:sz w:val="22"/>
          <w:szCs w:val="22"/>
          <w:lang w:bidi="ar-SA"/>
        </w:rPr>
        <w:tab/>
      </w:r>
      <w:r>
        <w:t>Zisky nebo ztráty z finančních aktiv a závazků k obchodování podle nástroje (16.3)</w:t>
      </w:r>
      <w:r>
        <w:tab/>
      </w:r>
      <w:r>
        <w:fldChar w:fldCharType="begin"/>
      </w:r>
      <w:r>
        <w:instrText xml:space="preserve"> PAGEREF _Toc485708575 \h </w:instrText>
      </w:r>
      <w:r>
        <w:fldChar w:fldCharType="separate"/>
      </w:r>
      <w:r>
        <w:t>48</w:t>
      </w:r>
      <w:r>
        <w:fldChar w:fldCharType="end"/>
      </w:r>
    </w:p>
    <w:p w:rsidR="00702929" w:rsidRDefault="00702929">
      <w:pPr>
        <w:pStyle w:val="TOC2"/>
        <w:rPr>
          <w:rFonts w:asciiTheme="minorHAnsi" w:eastAsiaTheme="minorEastAsia" w:hAnsiTheme="minorHAnsi" w:cstheme="minorBidi"/>
          <w:sz w:val="22"/>
          <w:szCs w:val="22"/>
          <w:lang w:bidi="ar-SA"/>
        </w:rPr>
      </w:pPr>
      <w:r>
        <w:t>15.4.</w:t>
      </w:r>
      <w:r>
        <w:rPr>
          <w:rFonts w:asciiTheme="minorHAnsi" w:eastAsiaTheme="minorEastAsia" w:hAnsiTheme="minorHAnsi" w:cstheme="minorBidi"/>
          <w:sz w:val="22"/>
          <w:szCs w:val="22"/>
          <w:lang w:bidi="ar-SA"/>
        </w:rPr>
        <w:tab/>
      </w:r>
      <w:r>
        <w:t>Zisky nebo ztráty z finančních aktiv a závazků k obchodování podle rizika (16.4)</w:t>
      </w:r>
      <w:r>
        <w:tab/>
      </w:r>
      <w:r>
        <w:fldChar w:fldCharType="begin"/>
      </w:r>
      <w:r>
        <w:instrText xml:space="preserve"> PAGEREF _Toc485708576 \h </w:instrText>
      </w:r>
      <w:r>
        <w:fldChar w:fldCharType="separate"/>
      </w:r>
      <w:r>
        <w:t>48</w:t>
      </w:r>
      <w:r>
        <w:fldChar w:fldCharType="end"/>
      </w:r>
    </w:p>
    <w:p w:rsidR="00702929" w:rsidRDefault="00702929">
      <w:pPr>
        <w:pStyle w:val="TOC2"/>
        <w:rPr>
          <w:rFonts w:asciiTheme="minorHAnsi" w:eastAsiaTheme="minorEastAsia" w:hAnsiTheme="minorHAnsi" w:cstheme="minorBidi"/>
          <w:sz w:val="22"/>
          <w:szCs w:val="22"/>
          <w:lang w:bidi="ar-SA"/>
        </w:rPr>
      </w:pPr>
      <w:r>
        <w:t>15.5.</w:t>
      </w:r>
      <w:r>
        <w:rPr>
          <w:rFonts w:asciiTheme="minorHAnsi" w:eastAsiaTheme="minorEastAsia" w:hAnsiTheme="minorHAnsi" w:cstheme="minorBidi"/>
          <w:sz w:val="22"/>
          <w:szCs w:val="22"/>
          <w:lang w:bidi="ar-SA"/>
        </w:rPr>
        <w:tab/>
      </w:r>
      <w:r>
        <w:t>Zisky nebo ztráty z neobchodních finančních aktiv povinně oceňovaných reálnou hodnotou do zisku nebo ztráty podle nástroje (16.4.1)</w:t>
      </w:r>
      <w:r>
        <w:tab/>
      </w:r>
      <w:r>
        <w:fldChar w:fldCharType="begin"/>
      </w:r>
      <w:r>
        <w:instrText xml:space="preserve"> PAGEREF _Toc485708577 \h </w:instrText>
      </w:r>
      <w:r>
        <w:fldChar w:fldCharType="separate"/>
      </w:r>
      <w:r>
        <w:t>49</w:t>
      </w:r>
      <w:r>
        <w:fldChar w:fldCharType="end"/>
      </w:r>
    </w:p>
    <w:p w:rsidR="00702929" w:rsidRDefault="00702929">
      <w:pPr>
        <w:pStyle w:val="TOC2"/>
        <w:rPr>
          <w:rFonts w:asciiTheme="minorHAnsi" w:eastAsiaTheme="minorEastAsia" w:hAnsiTheme="minorHAnsi" w:cstheme="minorBidi"/>
          <w:sz w:val="22"/>
          <w:szCs w:val="22"/>
          <w:lang w:bidi="ar-SA"/>
        </w:rPr>
      </w:pPr>
      <w:r>
        <w:t>15.6.</w:t>
      </w:r>
      <w:r>
        <w:rPr>
          <w:rFonts w:asciiTheme="minorHAnsi" w:eastAsiaTheme="minorEastAsia" w:hAnsiTheme="minorHAnsi" w:cstheme="minorBidi"/>
          <w:sz w:val="22"/>
          <w:szCs w:val="22"/>
          <w:lang w:bidi="ar-SA"/>
        </w:rPr>
        <w:tab/>
      </w:r>
      <w:r>
        <w:t>Zisky nebo ztráty z finančních aktiv a závazků v reálné hodnotě vykázané do zisku nebo ztráty podle nástroje (16.5)</w:t>
      </w:r>
      <w:r>
        <w:tab/>
      </w:r>
      <w:r>
        <w:fldChar w:fldCharType="begin"/>
      </w:r>
      <w:r>
        <w:instrText xml:space="preserve"> PAGEREF _Toc485708578 \h </w:instrText>
      </w:r>
      <w:r>
        <w:fldChar w:fldCharType="separate"/>
      </w:r>
      <w:r>
        <w:t>49</w:t>
      </w:r>
      <w:r>
        <w:fldChar w:fldCharType="end"/>
      </w:r>
    </w:p>
    <w:p w:rsidR="00702929" w:rsidRDefault="00702929">
      <w:pPr>
        <w:pStyle w:val="TOC2"/>
        <w:rPr>
          <w:rFonts w:asciiTheme="minorHAnsi" w:eastAsiaTheme="minorEastAsia" w:hAnsiTheme="minorHAnsi" w:cstheme="minorBidi"/>
          <w:sz w:val="22"/>
          <w:szCs w:val="22"/>
          <w:lang w:bidi="ar-SA"/>
        </w:rPr>
      </w:pPr>
      <w:r>
        <w:t>15.7.</w:t>
      </w:r>
      <w:r>
        <w:rPr>
          <w:rFonts w:asciiTheme="minorHAnsi" w:eastAsiaTheme="minorEastAsia" w:hAnsiTheme="minorHAnsi" w:cstheme="minorBidi"/>
          <w:sz w:val="22"/>
          <w:szCs w:val="22"/>
          <w:lang w:bidi="ar-SA"/>
        </w:rPr>
        <w:tab/>
      </w:r>
      <w:r>
        <w:t>Zisky nebo ztráty ze zajišťovacího účetnictví (16.6)</w:t>
      </w:r>
      <w:r>
        <w:tab/>
      </w:r>
      <w:r>
        <w:fldChar w:fldCharType="begin"/>
      </w:r>
      <w:r>
        <w:instrText xml:space="preserve"> PAGEREF _Toc485708579 \h </w:instrText>
      </w:r>
      <w:r>
        <w:fldChar w:fldCharType="separate"/>
      </w:r>
      <w:r>
        <w:t>50</w:t>
      </w:r>
      <w:r>
        <w:fldChar w:fldCharType="end"/>
      </w:r>
    </w:p>
    <w:p w:rsidR="00702929" w:rsidRDefault="00702929">
      <w:pPr>
        <w:pStyle w:val="TOC2"/>
        <w:rPr>
          <w:rFonts w:asciiTheme="minorHAnsi" w:eastAsiaTheme="minorEastAsia" w:hAnsiTheme="minorHAnsi" w:cstheme="minorBidi"/>
          <w:sz w:val="22"/>
          <w:szCs w:val="22"/>
          <w:lang w:bidi="ar-SA"/>
        </w:rPr>
      </w:pPr>
      <w:r>
        <w:t>15.8.</w:t>
      </w:r>
      <w:r>
        <w:rPr>
          <w:rFonts w:asciiTheme="minorHAnsi" w:eastAsiaTheme="minorEastAsia" w:hAnsiTheme="minorHAnsi" w:cstheme="minorBidi"/>
          <w:sz w:val="22"/>
          <w:szCs w:val="22"/>
          <w:lang w:bidi="ar-SA"/>
        </w:rPr>
        <w:tab/>
      </w:r>
      <w:r w:rsidRPr="00C35B6D">
        <w:rPr>
          <w:caps/>
        </w:rPr>
        <w:t>Z</w:t>
      </w:r>
      <w:r>
        <w:t>nehodnocení nefinančních aktiv (16.7)</w:t>
      </w:r>
      <w:r>
        <w:tab/>
      </w:r>
      <w:r>
        <w:fldChar w:fldCharType="begin"/>
      </w:r>
      <w:r>
        <w:instrText xml:space="preserve"> PAGEREF _Toc485708580 \h </w:instrText>
      </w:r>
      <w:r>
        <w:fldChar w:fldCharType="separate"/>
      </w:r>
      <w:r>
        <w:t>50</w:t>
      </w:r>
      <w:r>
        <w:fldChar w:fldCharType="end"/>
      </w:r>
    </w:p>
    <w:p w:rsidR="00702929" w:rsidRDefault="00702929">
      <w:pPr>
        <w:pStyle w:val="TOC2"/>
        <w:rPr>
          <w:rFonts w:asciiTheme="minorHAnsi" w:eastAsiaTheme="minorEastAsia" w:hAnsiTheme="minorHAnsi" w:cstheme="minorBidi"/>
          <w:sz w:val="22"/>
          <w:szCs w:val="22"/>
          <w:lang w:bidi="ar-SA"/>
        </w:rPr>
      </w:pPr>
      <w:r>
        <w:t>16.</w:t>
      </w:r>
      <w:r>
        <w:rPr>
          <w:rFonts w:asciiTheme="minorHAnsi" w:eastAsiaTheme="minorEastAsia" w:hAnsiTheme="minorHAnsi" w:cstheme="minorBidi"/>
          <w:sz w:val="22"/>
          <w:szCs w:val="22"/>
          <w:lang w:bidi="ar-SA"/>
        </w:rPr>
        <w:tab/>
      </w:r>
      <w:r>
        <w:t>Rekonciliace účetní konsolidace a obezřetnostní konsolidace (CRR) (17)</w:t>
      </w:r>
      <w:r>
        <w:tab/>
      </w:r>
      <w:r>
        <w:fldChar w:fldCharType="begin"/>
      </w:r>
      <w:r>
        <w:instrText xml:space="preserve"> PAGEREF _Toc485708581 \h </w:instrText>
      </w:r>
      <w:r>
        <w:fldChar w:fldCharType="separate"/>
      </w:r>
      <w:r>
        <w:t>50</w:t>
      </w:r>
      <w:r>
        <w:fldChar w:fldCharType="end"/>
      </w:r>
    </w:p>
    <w:p w:rsidR="00702929" w:rsidRDefault="00702929">
      <w:pPr>
        <w:pStyle w:val="TOC2"/>
        <w:rPr>
          <w:rFonts w:asciiTheme="minorHAnsi" w:eastAsiaTheme="minorEastAsia" w:hAnsiTheme="minorHAnsi" w:cstheme="minorBidi"/>
          <w:sz w:val="22"/>
          <w:szCs w:val="22"/>
          <w:lang w:bidi="ar-SA"/>
        </w:rPr>
      </w:pPr>
      <w:r>
        <w:t>17.</w:t>
      </w:r>
      <w:r>
        <w:rPr>
          <w:rFonts w:asciiTheme="minorHAnsi" w:eastAsiaTheme="minorEastAsia" w:hAnsiTheme="minorHAnsi" w:cstheme="minorBidi"/>
          <w:sz w:val="22"/>
          <w:szCs w:val="22"/>
          <w:lang w:bidi="ar-SA"/>
        </w:rPr>
        <w:tab/>
      </w:r>
      <w:r>
        <w:t>Nevýkonné expozice (18)</w:t>
      </w:r>
      <w:r>
        <w:tab/>
      </w:r>
      <w:r>
        <w:fldChar w:fldCharType="begin"/>
      </w:r>
      <w:r>
        <w:instrText xml:space="preserve"> PAGEREF _Toc485708582 \h </w:instrText>
      </w:r>
      <w:r>
        <w:fldChar w:fldCharType="separate"/>
      </w:r>
      <w:r>
        <w:t>51</w:t>
      </w:r>
      <w:r>
        <w:fldChar w:fldCharType="end"/>
      </w:r>
    </w:p>
    <w:p w:rsidR="00702929" w:rsidRDefault="00702929">
      <w:pPr>
        <w:pStyle w:val="TOC2"/>
        <w:rPr>
          <w:rFonts w:asciiTheme="minorHAnsi" w:eastAsiaTheme="minorEastAsia" w:hAnsiTheme="minorHAnsi" w:cstheme="minorBidi"/>
          <w:sz w:val="22"/>
          <w:szCs w:val="22"/>
          <w:lang w:bidi="ar-SA"/>
        </w:rPr>
      </w:pPr>
      <w:r>
        <w:t>18.</w:t>
      </w:r>
      <w:r>
        <w:rPr>
          <w:rFonts w:asciiTheme="minorHAnsi" w:eastAsiaTheme="minorEastAsia" w:hAnsiTheme="minorHAnsi" w:cstheme="minorBidi"/>
          <w:sz w:val="22"/>
          <w:szCs w:val="22"/>
          <w:lang w:bidi="ar-SA"/>
        </w:rPr>
        <w:tab/>
      </w:r>
      <w:r>
        <w:t>Expozice s úlevou (19)</w:t>
      </w:r>
      <w:r>
        <w:tab/>
      </w:r>
      <w:r>
        <w:fldChar w:fldCharType="begin"/>
      </w:r>
      <w:r>
        <w:instrText xml:space="preserve"> PAGEREF _Toc485708583 \h </w:instrText>
      </w:r>
      <w:r>
        <w:fldChar w:fldCharType="separate"/>
      </w:r>
      <w:r>
        <w:t>56</w:t>
      </w:r>
      <w:r>
        <w:fldChar w:fldCharType="end"/>
      </w:r>
    </w:p>
    <w:p w:rsidR="00702929" w:rsidRDefault="00702929">
      <w:pPr>
        <w:pStyle w:val="TOC2"/>
        <w:rPr>
          <w:rFonts w:asciiTheme="minorHAnsi" w:eastAsiaTheme="minorEastAsia" w:hAnsiTheme="minorHAnsi" w:cstheme="minorBidi"/>
          <w:sz w:val="22"/>
          <w:szCs w:val="22"/>
          <w:lang w:bidi="ar-SA"/>
        </w:rPr>
      </w:pPr>
      <w:r>
        <w:t>19.</w:t>
      </w:r>
      <w:r>
        <w:rPr>
          <w:rFonts w:asciiTheme="minorHAnsi" w:eastAsiaTheme="minorEastAsia" w:hAnsiTheme="minorHAnsi" w:cstheme="minorBidi"/>
          <w:sz w:val="22"/>
          <w:szCs w:val="22"/>
          <w:lang w:bidi="ar-SA"/>
        </w:rPr>
        <w:tab/>
      </w:r>
      <w:r>
        <w:t>Geografická struktura (20)</w:t>
      </w:r>
      <w:r>
        <w:tab/>
      </w:r>
      <w:r>
        <w:fldChar w:fldCharType="begin"/>
      </w:r>
      <w:r>
        <w:instrText xml:space="preserve"> PAGEREF _Toc485708584 \h </w:instrText>
      </w:r>
      <w:r>
        <w:fldChar w:fldCharType="separate"/>
      </w:r>
      <w:r>
        <w:t>60</w:t>
      </w:r>
      <w:r>
        <w:fldChar w:fldCharType="end"/>
      </w:r>
    </w:p>
    <w:p w:rsidR="00702929" w:rsidRDefault="00702929">
      <w:pPr>
        <w:pStyle w:val="TOC2"/>
        <w:rPr>
          <w:rFonts w:asciiTheme="minorHAnsi" w:eastAsiaTheme="minorEastAsia" w:hAnsiTheme="minorHAnsi" w:cstheme="minorBidi"/>
          <w:sz w:val="22"/>
          <w:szCs w:val="22"/>
          <w:lang w:bidi="ar-SA"/>
        </w:rPr>
      </w:pPr>
      <w:r>
        <w:t>19.1.</w:t>
      </w:r>
      <w:r>
        <w:rPr>
          <w:rFonts w:asciiTheme="minorHAnsi" w:eastAsiaTheme="minorEastAsia" w:hAnsiTheme="minorHAnsi" w:cstheme="minorBidi"/>
          <w:sz w:val="22"/>
          <w:szCs w:val="22"/>
          <w:lang w:bidi="ar-SA"/>
        </w:rPr>
        <w:tab/>
      </w:r>
      <w:r>
        <w:t>Geografická struktura podle místa výkonu činností (20.1–20.3)</w:t>
      </w:r>
      <w:r>
        <w:tab/>
      </w:r>
      <w:r>
        <w:fldChar w:fldCharType="begin"/>
      </w:r>
      <w:r>
        <w:instrText xml:space="preserve"> PAGEREF _Toc485708585 \h </w:instrText>
      </w:r>
      <w:r>
        <w:fldChar w:fldCharType="separate"/>
      </w:r>
      <w:r>
        <w:t>60</w:t>
      </w:r>
      <w:r>
        <w:fldChar w:fldCharType="end"/>
      </w:r>
    </w:p>
    <w:p w:rsidR="00702929" w:rsidRDefault="00702929">
      <w:pPr>
        <w:pStyle w:val="TOC2"/>
        <w:rPr>
          <w:rFonts w:asciiTheme="minorHAnsi" w:eastAsiaTheme="minorEastAsia" w:hAnsiTheme="minorHAnsi" w:cstheme="minorBidi"/>
          <w:sz w:val="22"/>
          <w:szCs w:val="22"/>
          <w:lang w:bidi="ar-SA"/>
        </w:rPr>
      </w:pPr>
      <w:r>
        <w:t>19.2.</w:t>
      </w:r>
      <w:r>
        <w:rPr>
          <w:rFonts w:asciiTheme="minorHAnsi" w:eastAsiaTheme="minorEastAsia" w:hAnsiTheme="minorHAnsi" w:cstheme="minorBidi"/>
          <w:sz w:val="22"/>
          <w:szCs w:val="22"/>
          <w:lang w:bidi="ar-SA"/>
        </w:rPr>
        <w:tab/>
      </w:r>
      <w:r>
        <w:t>Geografická struktura podle sídla protistrany (20.4-20.7)</w:t>
      </w:r>
      <w:r>
        <w:tab/>
      </w:r>
      <w:r>
        <w:fldChar w:fldCharType="begin"/>
      </w:r>
      <w:r>
        <w:instrText xml:space="preserve"> PAGEREF _Toc485708586 \h </w:instrText>
      </w:r>
      <w:r>
        <w:fldChar w:fldCharType="separate"/>
      </w:r>
      <w:r>
        <w:t>61</w:t>
      </w:r>
      <w:r>
        <w:fldChar w:fldCharType="end"/>
      </w:r>
    </w:p>
    <w:p w:rsidR="00702929" w:rsidRDefault="00702929">
      <w:pPr>
        <w:pStyle w:val="TOC2"/>
        <w:rPr>
          <w:rFonts w:asciiTheme="minorHAnsi" w:eastAsiaTheme="minorEastAsia" w:hAnsiTheme="minorHAnsi" w:cstheme="minorBidi"/>
          <w:sz w:val="22"/>
          <w:szCs w:val="22"/>
          <w:lang w:bidi="ar-SA"/>
        </w:rPr>
      </w:pPr>
      <w:r>
        <w:t>20.</w:t>
      </w:r>
      <w:r>
        <w:rPr>
          <w:rFonts w:asciiTheme="minorHAnsi" w:eastAsiaTheme="minorEastAsia" w:hAnsiTheme="minorHAnsi" w:cstheme="minorBidi"/>
          <w:sz w:val="22"/>
          <w:szCs w:val="22"/>
          <w:lang w:bidi="ar-SA"/>
        </w:rPr>
        <w:tab/>
      </w:r>
      <w:r>
        <w:t>Hmotná a nehmotná aktiva: aktiva v operačním leasingu (21)</w:t>
      </w:r>
      <w:r>
        <w:tab/>
      </w:r>
      <w:r>
        <w:fldChar w:fldCharType="begin"/>
      </w:r>
      <w:r>
        <w:instrText xml:space="preserve"> PAGEREF _Toc485708587 \h </w:instrText>
      </w:r>
      <w:r>
        <w:fldChar w:fldCharType="separate"/>
      </w:r>
      <w:r>
        <w:t>62</w:t>
      </w:r>
      <w:r>
        <w:fldChar w:fldCharType="end"/>
      </w:r>
    </w:p>
    <w:p w:rsidR="00702929" w:rsidRDefault="00702929">
      <w:pPr>
        <w:pStyle w:val="TOC2"/>
        <w:rPr>
          <w:rFonts w:asciiTheme="minorHAnsi" w:eastAsiaTheme="minorEastAsia" w:hAnsiTheme="minorHAnsi" w:cstheme="minorBidi"/>
          <w:sz w:val="22"/>
          <w:szCs w:val="22"/>
          <w:lang w:bidi="ar-SA"/>
        </w:rPr>
      </w:pPr>
      <w:r>
        <w:t>21.</w:t>
      </w:r>
      <w:r>
        <w:rPr>
          <w:rFonts w:asciiTheme="minorHAnsi" w:eastAsiaTheme="minorEastAsia" w:hAnsiTheme="minorHAnsi" w:cstheme="minorBidi"/>
          <w:sz w:val="22"/>
          <w:szCs w:val="22"/>
          <w:lang w:bidi="ar-SA"/>
        </w:rPr>
        <w:tab/>
      </w:r>
      <w:r>
        <w:t>Obhospodařování aktiv, úschova a správa hodnot a další servisní funkce (22)</w:t>
      </w:r>
      <w:r>
        <w:tab/>
      </w:r>
      <w:r>
        <w:fldChar w:fldCharType="begin"/>
      </w:r>
      <w:r>
        <w:instrText xml:space="preserve"> PAGEREF _Toc485708588 \h </w:instrText>
      </w:r>
      <w:r>
        <w:fldChar w:fldCharType="separate"/>
      </w:r>
      <w:r>
        <w:t>62</w:t>
      </w:r>
      <w:r>
        <w:fldChar w:fldCharType="end"/>
      </w:r>
    </w:p>
    <w:p w:rsidR="00702929" w:rsidRDefault="00702929">
      <w:pPr>
        <w:pStyle w:val="TOC2"/>
        <w:rPr>
          <w:rFonts w:asciiTheme="minorHAnsi" w:eastAsiaTheme="minorEastAsia" w:hAnsiTheme="minorHAnsi" w:cstheme="minorBidi"/>
          <w:sz w:val="22"/>
          <w:szCs w:val="22"/>
          <w:lang w:bidi="ar-SA"/>
        </w:rPr>
      </w:pPr>
      <w:r>
        <w:t>21.1.</w:t>
      </w:r>
      <w:r>
        <w:rPr>
          <w:rFonts w:asciiTheme="minorHAnsi" w:eastAsiaTheme="minorEastAsia" w:hAnsiTheme="minorHAnsi" w:cstheme="minorBidi"/>
          <w:sz w:val="22"/>
          <w:szCs w:val="22"/>
          <w:lang w:bidi="ar-SA"/>
        </w:rPr>
        <w:tab/>
      </w:r>
      <w:r>
        <w:t>Výnosy z poplatků a provizí a náklady na ně podle činnosti (22.1)</w:t>
      </w:r>
      <w:r>
        <w:tab/>
      </w:r>
      <w:r>
        <w:fldChar w:fldCharType="begin"/>
      </w:r>
      <w:r>
        <w:instrText xml:space="preserve"> PAGEREF _Toc485708589 \h </w:instrText>
      </w:r>
      <w:r>
        <w:fldChar w:fldCharType="separate"/>
      </w:r>
      <w:r>
        <w:t>62</w:t>
      </w:r>
      <w:r>
        <w:fldChar w:fldCharType="end"/>
      </w:r>
    </w:p>
    <w:p w:rsidR="00702929" w:rsidRDefault="00702929">
      <w:pPr>
        <w:pStyle w:val="TOC2"/>
        <w:rPr>
          <w:rFonts w:asciiTheme="minorHAnsi" w:eastAsiaTheme="minorEastAsia" w:hAnsiTheme="minorHAnsi" w:cstheme="minorBidi"/>
          <w:sz w:val="22"/>
          <w:szCs w:val="22"/>
          <w:lang w:bidi="ar-SA"/>
        </w:rPr>
      </w:pPr>
      <w:r>
        <w:t>21.2.</w:t>
      </w:r>
      <w:r>
        <w:rPr>
          <w:rFonts w:asciiTheme="minorHAnsi" w:eastAsiaTheme="minorEastAsia" w:hAnsiTheme="minorHAnsi" w:cstheme="minorBidi"/>
          <w:sz w:val="22"/>
          <w:szCs w:val="22"/>
          <w:lang w:bidi="ar-SA"/>
        </w:rPr>
        <w:tab/>
      </w:r>
      <w:r>
        <w:t>Aktiva držená v rámci poskytovaných služeb (22.2)</w:t>
      </w:r>
      <w:r>
        <w:tab/>
      </w:r>
      <w:r>
        <w:fldChar w:fldCharType="begin"/>
      </w:r>
      <w:r>
        <w:instrText xml:space="preserve"> PAGEREF _Toc485708590 \h </w:instrText>
      </w:r>
      <w:r>
        <w:fldChar w:fldCharType="separate"/>
      </w:r>
      <w:r>
        <w:t>63</w:t>
      </w:r>
      <w:r>
        <w:fldChar w:fldCharType="end"/>
      </w:r>
    </w:p>
    <w:p w:rsidR="00702929" w:rsidRDefault="00702929">
      <w:pPr>
        <w:pStyle w:val="TOC2"/>
        <w:rPr>
          <w:rFonts w:asciiTheme="minorHAnsi" w:eastAsiaTheme="minorEastAsia" w:hAnsiTheme="minorHAnsi" w:cstheme="minorBidi"/>
          <w:sz w:val="22"/>
          <w:szCs w:val="22"/>
          <w:lang w:bidi="ar-SA"/>
        </w:rPr>
      </w:pPr>
      <w:r>
        <w:t>22.</w:t>
      </w:r>
      <w:r>
        <w:rPr>
          <w:rFonts w:asciiTheme="minorHAnsi" w:eastAsiaTheme="minorEastAsia" w:hAnsiTheme="minorHAnsi" w:cstheme="minorBidi"/>
          <w:sz w:val="22"/>
          <w:szCs w:val="22"/>
          <w:lang w:bidi="ar-SA"/>
        </w:rPr>
        <w:tab/>
      </w:r>
      <w:r>
        <w:t>Podíly v nekonsolidovaných strukturovaných subjektech (30)</w:t>
      </w:r>
      <w:r>
        <w:tab/>
      </w:r>
      <w:r>
        <w:fldChar w:fldCharType="begin"/>
      </w:r>
      <w:r>
        <w:instrText xml:space="preserve"> PAGEREF _Toc485708591 \h </w:instrText>
      </w:r>
      <w:r>
        <w:fldChar w:fldCharType="separate"/>
      </w:r>
      <w:r>
        <w:t>64</w:t>
      </w:r>
      <w:r>
        <w:fldChar w:fldCharType="end"/>
      </w:r>
    </w:p>
    <w:p w:rsidR="00702929" w:rsidRDefault="00702929">
      <w:pPr>
        <w:pStyle w:val="TOC2"/>
        <w:rPr>
          <w:rFonts w:asciiTheme="minorHAnsi" w:eastAsiaTheme="minorEastAsia" w:hAnsiTheme="minorHAnsi" w:cstheme="minorBidi"/>
          <w:sz w:val="22"/>
          <w:szCs w:val="22"/>
          <w:lang w:bidi="ar-SA"/>
        </w:rPr>
      </w:pPr>
      <w:r>
        <w:t>23.</w:t>
      </w:r>
      <w:r>
        <w:rPr>
          <w:rFonts w:asciiTheme="minorHAnsi" w:eastAsiaTheme="minorEastAsia" w:hAnsiTheme="minorHAnsi" w:cstheme="minorBidi"/>
          <w:sz w:val="22"/>
          <w:szCs w:val="22"/>
          <w:lang w:bidi="ar-SA"/>
        </w:rPr>
        <w:tab/>
      </w:r>
      <w:r>
        <w:t>Spřízněné strany (31)</w:t>
      </w:r>
      <w:r>
        <w:tab/>
      </w:r>
      <w:r>
        <w:fldChar w:fldCharType="begin"/>
      </w:r>
      <w:r>
        <w:instrText xml:space="preserve"> PAGEREF _Toc485708592 \h </w:instrText>
      </w:r>
      <w:r>
        <w:fldChar w:fldCharType="separate"/>
      </w:r>
      <w:r>
        <w:t>65</w:t>
      </w:r>
      <w:r>
        <w:fldChar w:fldCharType="end"/>
      </w:r>
    </w:p>
    <w:p w:rsidR="00702929" w:rsidRDefault="00702929">
      <w:pPr>
        <w:pStyle w:val="TOC2"/>
        <w:rPr>
          <w:rFonts w:asciiTheme="minorHAnsi" w:eastAsiaTheme="minorEastAsia" w:hAnsiTheme="minorHAnsi" w:cstheme="minorBidi"/>
          <w:sz w:val="22"/>
          <w:szCs w:val="22"/>
          <w:lang w:bidi="ar-SA"/>
        </w:rPr>
      </w:pPr>
      <w:r>
        <w:t>23.1.</w:t>
      </w:r>
      <w:r>
        <w:rPr>
          <w:rFonts w:asciiTheme="minorHAnsi" w:eastAsiaTheme="minorEastAsia" w:hAnsiTheme="minorHAnsi" w:cstheme="minorBidi"/>
          <w:sz w:val="22"/>
          <w:szCs w:val="22"/>
          <w:lang w:bidi="ar-SA"/>
        </w:rPr>
        <w:tab/>
      </w:r>
      <w:r>
        <w:t>Spřízněné strany: závazky a pohledávky vůči spřízněným stranám (31.1)</w:t>
      </w:r>
      <w:r>
        <w:tab/>
      </w:r>
      <w:r>
        <w:fldChar w:fldCharType="begin"/>
      </w:r>
      <w:r>
        <w:instrText xml:space="preserve"> PAGEREF _Toc485708593 \h </w:instrText>
      </w:r>
      <w:r>
        <w:fldChar w:fldCharType="separate"/>
      </w:r>
      <w:r>
        <w:t>65</w:t>
      </w:r>
      <w:r>
        <w:fldChar w:fldCharType="end"/>
      </w:r>
    </w:p>
    <w:p w:rsidR="00702929" w:rsidRDefault="00702929">
      <w:pPr>
        <w:pStyle w:val="TOC2"/>
        <w:rPr>
          <w:rFonts w:asciiTheme="minorHAnsi" w:eastAsiaTheme="minorEastAsia" w:hAnsiTheme="minorHAnsi" w:cstheme="minorBidi"/>
          <w:sz w:val="22"/>
          <w:szCs w:val="22"/>
          <w:lang w:bidi="ar-SA"/>
        </w:rPr>
      </w:pPr>
      <w:r>
        <w:t>23.2.</w:t>
      </w:r>
      <w:r>
        <w:rPr>
          <w:rFonts w:asciiTheme="minorHAnsi" w:eastAsiaTheme="minorEastAsia" w:hAnsiTheme="minorHAnsi" w:cstheme="minorBidi"/>
          <w:sz w:val="22"/>
          <w:szCs w:val="22"/>
          <w:lang w:bidi="ar-SA"/>
        </w:rPr>
        <w:tab/>
      </w:r>
      <w:r>
        <w:t>Spřízněné strany: náklady a výnosy vznikající na základě transakcí s těmito stranami (31.2)</w:t>
      </w:r>
      <w:r>
        <w:tab/>
      </w:r>
      <w:r>
        <w:fldChar w:fldCharType="begin"/>
      </w:r>
      <w:r>
        <w:instrText xml:space="preserve"> PAGEREF _Toc485708594 \h </w:instrText>
      </w:r>
      <w:r>
        <w:fldChar w:fldCharType="separate"/>
      </w:r>
      <w:r>
        <w:t>65</w:t>
      </w:r>
      <w:r>
        <w:fldChar w:fldCharType="end"/>
      </w:r>
    </w:p>
    <w:p w:rsidR="00702929" w:rsidRDefault="00702929">
      <w:pPr>
        <w:pStyle w:val="TOC2"/>
        <w:rPr>
          <w:rFonts w:asciiTheme="minorHAnsi" w:eastAsiaTheme="minorEastAsia" w:hAnsiTheme="minorHAnsi" w:cstheme="minorBidi"/>
          <w:sz w:val="22"/>
          <w:szCs w:val="22"/>
          <w:lang w:bidi="ar-SA"/>
        </w:rPr>
      </w:pPr>
      <w:r>
        <w:t>24.</w:t>
      </w:r>
      <w:r>
        <w:rPr>
          <w:rFonts w:asciiTheme="minorHAnsi" w:eastAsiaTheme="minorEastAsia" w:hAnsiTheme="minorHAnsi" w:cstheme="minorBidi"/>
          <w:sz w:val="22"/>
          <w:szCs w:val="22"/>
          <w:lang w:bidi="ar-SA"/>
        </w:rPr>
        <w:tab/>
      </w:r>
      <w:r>
        <w:t>Struktura skupiny (40)</w:t>
      </w:r>
      <w:r>
        <w:tab/>
      </w:r>
      <w:r>
        <w:fldChar w:fldCharType="begin"/>
      </w:r>
      <w:r>
        <w:instrText xml:space="preserve"> PAGEREF _Toc485708595 \h </w:instrText>
      </w:r>
      <w:r>
        <w:fldChar w:fldCharType="separate"/>
      </w:r>
      <w:r>
        <w:t>66</w:t>
      </w:r>
      <w:r>
        <w:fldChar w:fldCharType="end"/>
      </w:r>
    </w:p>
    <w:p w:rsidR="00702929" w:rsidRDefault="00702929">
      <w:pPr>
        <w:pStyle w:val="TOC2"/>
        <w:rPr>
          <w:rFonts w:asciiTheme="minorHAnsi" w:eastAsiaTheme="minorEastAsia" w:hAnsiTheme="minorHAnsi" w:cstheme="minorBidi"/>
          <w:sz w:val="22"/>
          <w:szCs w:val="22"/>
          <w:lang w:bidi="ar-SA"/>
        </w:rPr>
      </w:pPr>
      <w:r>
        <w:t>24.1.</w:t>
      </w:r>
      <w:r>
        <w:rPr>
          <w:rFonts w:asciiTheme="minorHAnsi" w:eastAsiaTheme="minorEastAsia" w:hAnsiTheme="minorHAnsi" w:cstheme="minorBidi"/>
          <w:sz w:val="22"/>
          <w:szCs w:val="22"/>
          <w:lang w:bidi="ar-SA"/>
        </w:rPr>
        <w:tab/>
      </w:r>
      <w:r>
        <w:t>Struktura skupiny: „členové jednotlivě“ (40.1)</w:t>
      </w:r>
      <w:r>
        <w:tab/>
      </w:r>
      <w:r>
        <w:fldChar w:fldCharType="begin"/>
      </w:r>
      <w:r>
        <w:instrText xml:space="preserve"> PAGEREF _Toc485708596 \h </w:instrText>
      </w:r>
      <w:r>
        <w:fldChar w:fldCharType="separate"/>
      </w:r>
      <w:r>
        <w:t>66</w:t>
      </w:r>
      <w:r>
        <w:fldChar w:fldCharType="end"/>
      </w:r>
    </w:p>
    <w:p w:rsidR="00702929" w:rsidRDefault="00702929">
      <w:pPr>
        <w:pStyle w:val="TOC2"/>
        <w:rPr>
          <w:rFonts w:asciiTheme="minorHAnsi" w:eastAsiaTheme="minorEastAsia" w:hAnsiTheme="minorHAnsi" w:cstheme="minorBidi"/>
          <w:sz w:val="22"/>
          <w:szCs w:val="22"/>
          <w:lang w:bidi="ar-SA"/>
        </w:rPr>
      </w:pPr>
      <w:r>
        <w:t>24.2.</w:t>
      </w:r>
      <w:r>
        <w:rPr>
          <w:rFonts w:asciiTheme="minorHAnsi" w:eastAsiaTheme="minorEastAsia" w:hAnsiTheme="minorHAnsi" w:cstheme="minorBidi"/>
          <w:sz w:val="22"/>
          <w:szCs w:val="22"/>
          <w:lang w:bidi="ar-SA"/>
        </w:rPr>
        <w:tab/>
      </w:r>
      <w:r>
        <w:t>Struktura skupiny: „nástroje jednotlivě“ (40.2)</w:t>
      </w:r>
      <w:r>
        <w:tab/>
      </w:r>
      <w:r>
        <w:fldChar w:fldCharType="begin"/>
      </w:r>
      <w:r>
        <w:instrText xml:space="preserve"> PAGEREF _Toc485708597 \h </w:instrText>
      </w:r>
      <w:r>
        <w:fldChar w:fldCharType="separate"/>
      </w:r>
      <w:r>
        <w:t>68</w:t>
      </w:r>
      <w:r>
        <w:fldChar w:fldCharType="end"/>
      </w:r>
    </w:p>
    <w:p w:rsidR="00702929" w:rsidRDefault="00702929">
      <w:pPr>
        <w:pStyle w:val="TOC2"/>
        <w:rPr>
          <w:rFonts w:asciiTheme="minorHAnsi" w:eastAsiaTheme="minorEastAsia" w:hAnsiTheme="minorHAnsi" w:cstheme="minorBidi"/>
          <w:sz w:val="22"/>
          <w:szCs w:val="22"/>
          <w:lang w:bidi="ar-SA"/>
        </w:rPr>
      </w:pPr>
      <w:r>
        <w:lastRenderedPageBreak/>
        <w:t>25.</w:t>
      </w:r>
      <w:r>
        <w:rPr>
          <w:rFonts w:asciiTheme="minorHAnsi" w:eastAsiaTheme="minorEastAsia" w:hAnsiTheme="minorHAnsi" w:cstheme="minorBidi"/>
          <w:sz w:val="22"/>
          <w:szCs w:val="22"/>
          <w:lang w:bidi="ar-SA"/>
        </w:rPr>
        <w:tab/>
      </w:r>
      <w:r>
        <w:t>Reálná hodnota (41)</w:t>
      </w:r>
      <w:r>
        <w:tab/>
      </w:r>
      <w:r>
        <w:fldChar w:fldCharType="begin"/>
      </w:r>
      <w:r>
        <w:instrText xml:space="preserve"> PAGEREF _Toc485708598 \h </w:instrText>
      </w:r>
      <w:r>
        <w:fldChar w:fldCharType="separate"/>
      </w:r>
      <w:r>
        <w:t>68</w:t>
      </w:r>
      <w:r>
        <w:fldChar w:fldCharType="end"/>
      </w:r>
    </w:p>
    <w:p w:rsidR="00702929" w:rsidRDefault="00702929">
      <w:pPr>
        <w:pStyle w:val="TOC2"/>
        <w:rPr>
          <w:rFonts w:asciiTheme="minorHAnsi" w:eastAsiaTheme="minorEastAsia" w:hAnsiTheme="minorHAnsi" w:cstheme="minorBidi"/>
          <w:sz w:val="22"/>
          <w:szCs w:val="22"/>
          <w:lang w:bidi="ar-SA"/>
        </w:rPr>
      </w:pPr>
      <w:r>
        <w:t>25.1.</w:t>
      </w:r>
      <w:r>
        <w:rPr>
          <w:rFonts w:asciiTheme="minorHAnsi" w:eastAsiaTheme="minorEastAsia" w:hAnsiTheme="minorHAnsi" w:cstheme="minorBidi"/>
          <w:sz w:val="22"/>
          <w:szCs w:val="22"/>
          <w:lang w:bidi="ar-SA"/>
        </w:rPr>
        <w:tab/>
      </w:r>
      <w:r>
        <w:t>Hierarchie reálné hodnoty: finanční nástroje v naběhlé hodnotě (41.1)</w:t>
      </w:r>
      <w:r>
        <w:tab/>
      </w:r>
      <w:r>
        <w:fldChar w:fldCharType="begin"/>
      </w:r>
      <w:r>
        <w:instrText xml:space="preserve"> PAGEREF _Toc485708599 \h </w:instrText>
      </w:r>
      <w:r>
        <w:fldChar w:fldCharType="separate"/>
      </w:r>
      <w:r>
        <w:t>68</w:t>
      </w:r>
      <w:r>
        <w:fldChar w:fldCharType="end"/>
      </w:r>
    </w:p>
    <w:p w:rsidR="00702929" w:rsidRDefault="00702929">
      <w:pPr>
        <w:pStyle w:val="TOC2"/>
        <w:rPr>
          <w:rFonts w:asciiTheme="minorHAnsi" w:eastAsiaTheme="minorEastAsia" w:hAnsiTheme="minorHAnsi" w:cstheme="minorBidi"/>
          <w:sz w:val="22"/>
          <w:szCs w:val="22"/>
          <w:lang w:bidi="ar-SA"/>
        </w:rPr>
      </w:pPr>
      <w:r>
        <w:t>25.2.</w:t>
      </w:r>
      <w:r>
        <w:rPr>
          <w:rFonts w:asciiTheme="minorHAnsi" w:eastAsiaTheme="minorEastAsia" w:hAnsiTheme="minorHAnsi" w:cstheme="minorBidi"/>
          <w:sz w:val="22"/>
          <w:szCs w:val="22"/>
          <w:lang w:bidi="ar-SA"/>
        </w:rPr>
        <w:tab/>
      </w:r>
      <w:r>
        <w:t>Použití možnosti ocenění reálnou hodnotu (41.2)</w:t>
      </w:r>
      <w:r>
        <w:tab/>
      </w:r>
      <w:r>
        <w:fldChar w:fldCharType="begin"/>
      </w:r>
      <w:r>
        <w:instrText xml:space="preserve"> PAGEREF _Toc485708600 \h </w:instrText>
      </w:r>
      <w:r>
        <w:fldChar w:fldCharType="separate"/>
      </w:r>
      <w:r>
        <w:t>68</w:t>
      </w:r>
      <w:r>
        <w:fldChar w:fldCharType="end"/>
      </w:r>
    </w:p>
    <w:p w:rsidR="00702929" w:rsidRDefault="00702929">
      <w:pPr>
        <w:pStyle w:val="TOC2"/>
        <w:rPr>
          <w:rFonts w:asciiTheme="minorHAnsi" w:eastAsiaTheme="minorEastAsia" w:hAnsiTheme="minorHAnsi" w:cstheme="minorBidi"/>
          <w:sz w:val="22"/>
          <w:szCs w:val="22"/>
          <w:lang w:bidi="ar-SA"/>
        </w:rPr>
      </w:pPr>
      <w:r>
        <w:t>26.</w:t>
      </w:r>
      <w:r>
        <w:rPr>
          <w:rFonts w:asciiTheme="minorHAnsi" w:eastAsiaTheme="minorEastAsia" w:hAnsiTheme="minorHAnsi" w:cstheme="minorBidi"/>
          <w:sz w:val="22"/>
          <w:szCs w:val="22"/>
          <w:lang w:bidi="ar-SA"/>
        </w:rPr>
        <w:tab/>
      </w:r>
      <w:r>
        <w:t>Hmotná a nehmotná aktiva: účetní hodnota podle metody oceňování (42)</w:t>
      </w:r>
      <w:r>
        <w:tab/>
      </w:r>
      <w:r>
        <w:fldChar w:fldCharType="begin"/>
      </w:r>
      <w:r>
        <w:instrText xml:space="preserve"> PAGEREF _Toc485708601 \h </w:instrText>
      </w:r>
      <w:r>
        <w:fldChar w:fldCharType="separate"/>
      </w:r>
      <w:r>
        <w:t>69</w:t>
      </w:r>
      <w:r>
        <w:fldChar w:fldCharType="end"/>
      </w:r>
    </w:p>
    <w:p w:rsidR="00702929" w:rsidRDefault="00702929">
      <w:pPr>
        <w:pStyle w:val="TOC2"/>
        <w:rPr>
          <w:rFonts w:asciiTheme="minorHAnsi" w:eastAsiaTheme="minorEastAsia" w:hAnsiTheme="minorHAnsi" w:cstheme="minorBidi"/>
          <w:sz w:val="22"/>
          <w:szCs w:val="22"/>
          <w:lang w:bidi="ar-SA"/>
        </w:rPr>
      </w:pPr>
      <w:r>
        <w:t>27.</w:t>
      </w:r>
      <w:r>
        <w:rPr>
          <w:rFonts w:asciiTheme="minorHAnsi" w:eastAsiaTheme="minorEastAsia" w:hAnsiTheme="minorHAnsi" w:cstheme="minorBidi"/>
          <w:sz w:val="22"/>
          <w:szCs w:val="22"/>
          <w:lang w:bidi="ar-SA"/>
        </w:rPr>
        <w:tab/>
      </w:r>
      <w:r>
        <w:t>Rezervy (43)</w:t>
      </w:r>
      <w:r>
        <w:tab/>
      </w:r>
      <w:r>
        <w:fldChar w:fldCharType="begin"/>
      </w:r>
      <w:r>
        <w:instrText xml:space="preserve"> PAGEREF _Toc485708602 \h </w:instrText>
      </w:r>
      <w:r>
        <w:fldChar w:fldCharType="separate"/>
      </w:r>
      <w:r>
        <w:t>69</w:t>
      </w:r>
      <w:r>
        <w:fldChar w:fldCharType="end"/>
      </w:r>
    </w:p>
    <w:p w:rsidR="00702929" w:rsidRDefault="00702929">
      <w:pPr>
        <w:pStyle w:val="TOC2"/>
        <w:rPr>
          <w:rFonts w:asciiTheme="minorHAnsi" w:eastAsiaTheme="minorEastAsia" w:hAnsiTheme="minorHAnsi" w:cstheme="minorBidi"/>
          <w:sz w:val="22"/>
          <w:szCs w:val="22"/>
          <w:lang w:bidi="ar-SA"/>
        </w:rPr>
      </w:pPr>
      <w:r>
        <w:t>28.</w:t>
      </w:r>
      <w:r>
        <w:rPr>
          <w:rFonts w:asciiTheme="minorHAnsi" w:eastAsiaTheme="minorEastAsia" w:hAnsiTheme="minorHAnsi" w:cstheme="minorBidi"/>
          <w:sz w:val="22"/>
          <w:szCs w:val="22"/>
          <w:lang w:bidi="ar-SA"/>
        </w:rPr>
        <w:tab/>
      </w:r>
      <w:r>
        <w:t>Plány definovaných požitků a zaměstnanecké požitky (44)</w:t>
      </w:r>
      <w:r>
        <w:tab/>
      </w:r>
      <w:r>
        <w:fldChar w:fldCharType="begin"/>
      </w:r>
      <w:r>
        <w:instrText xml:space="preserve"> PAGEREF _Toc485708603 \h </w:instrText>
      </w:r>
      <w:r>
        <w:fldChar w:fldCharType="separate"/>
      </w:r>
      <w:r>
        <w:t>69</w:t>
      </w:r>
      <w:r>
        <w:fldChar w:fldCharType="end"/>
      </w:r>
    </w:p>
    <w:p w:rsidR="00702929" w:rsidRDefault="00702929">
      <w:pPr>
        <w:pStyle w:val="TOC2"/>
        <w:rPr>
          <w:rFonts w:asciiTheme="minorHAnsi" w:eastAsiaTheme="minorEastAsia" w:hAnsiTheme="minorHAnsi" w:cstheme="minorBidi"/>
          <w:sz w:val="22"/>
          <w:szCs w:val="22"/>
          <w:lang w:bidi="ar-SA"/>
        </w:rPr>
      </w:pPr>
      <w:r>
        <w:t>28.1.</w:t>
      </w:r>
      <w:r>
        <w:rPr>
          <w:rFonts w:asciiTheme="minorHAnsi" w:eastAsiaTheme="minorEastAsia" w:hAnsiTheme="minorHAnsi" w:cstheme="minorBidi"/>
          <w:sz w:val="22"/>
          <w:szCs w:val="22"/>
          <w:lang w:bidi="ar-SA"/>
        </w:rPr>
        <w:tab/>
      </w:r>
      <w:r>
        <w:t>Složky čistých aktiv a závazků v plánech definovaných požitků (44.1)</w:t>
      </w:r>
      <w:r>
        <w:tab/>
      </w:r>
      <w:r>
        <w:fldChar w:fldCharType="begin"/>
      </w:r>
      <w:r>
        <w:instrText xml:space="preserve"> PAGEREF _Toc485708604 \h </w:instrText>
      </w:r>
      <w:r>
        <w:fldChar w:fldCharType="separate"/>
      </w:r>
      <w:r>
        <w:t>69</w:t>
      </w:r>
      <w:r>
        <w:fldChar w:fldCharType="end"/>
      </w:r>
    </w:p>
    <w:p w:rsidR="00702929" w:rsidRDefault="00702929">
      <w:pPr>
        <w:pStyle w:val="TOC2"/>
        <w:rPr>
          <w:rFonts w:asciiTheme="minorHAnsi" w:eastAsiaTheme="minorEastAsia" w:hAnsiTheme="minorHAnsi" w:cstheme="minorBidi"/>
          <w:sz w:val="22"/>
          <w:szCs w:val="22"/>
          <w:lang w:bidi="ar-SA"/>
        </w:rPr>
      </w:pPr>
      <w:r>
        <w:t>28.2.</w:t>
      </w:r>
      <w:r>
        <w:rPr>
          <w:rFonts w:asciiTheme="minorHAnsi" w:eastAsiaTheme="minorEastAsia" w:hAnsiTheme="minorHAnsi" w:cstheme="minorBidi"/>
          <w:sz w:val="22"/>
          <w:szCs w:val="22"/>
          <w:lang w:bidi="ar-SA"/>
        </w:rPr>
        <w:tab/>
      </w:r>
      <w:r>
        <w:t>Pohyby závazků z plánů definovaných požitků (44.2)</w:t>
      </w:r>
      <w:r>
        <w:tab/>
      </w:r>
      <w:r>
        <w:fldChar w:fldCharType="begin"/>
      </w:r>
      <w:r>
        <w:instrText xml:space="preserve"> PAGEREF _Toc485708605 \h </w:instrText>
      </w:r>
      <w:r>
        <w:fldChar w:fldCharType="separate"/>
      </w:r>
      <w:r>
        <w:t>69</w:t>
      </w:r>
      <w:r>
        <w:fldChar w:fldCharType="end"/>
      </w:r>
    </w:p>
    <w:p w:rsidR="00702929" w:rsidRDefault="00702929">
      <w:pPr>
        <w:pStyle w:val="TOC2"/>
        <w:rPr>
          <w:rFonts w:asciiTheme="minorHAnsi" w:eastAsiaTheme="minorEastAsia" w:hAnsiTheme="minorHAnsi" w:cstheme="minorBidi"/>
          <w:sz w:val="22"/>
          <w:szCs w:val="22"/>
          <w:lang w:bidi="ar-SA"/>
        </w:rPr>
      </w:pPr>
      <w:r>
        <w:t>28.3.</w:t>
      </w:r>
      <w:r>
        <w:rPr>
          <w:rFonts w:asciiTheme="minorHAnsi" w:eastAsiaTheme="minorEastAsia" w:hAnsiTheme="minorHAnsi" w:cstheme="minorBidi"/>
          <w:sz w:val="22"/>
          <w:szCs w:val="22"/>
          <w:lang w:bidi="ar-SA"/>
        </w:rPr>
        <w:tab/>
      </w:r>
      <w:r>
        <w:t>Doplňkové položky [týkající se nákladů na zaměstnance] (44.3)</w:t>
      </w:r>
      <w:r>
        <w:tab/>
      </w:r>
      <w:r>
        <w:fldChar w:fldCharType="begin"/>
      </w:r>
      <w:r>
        <w:instrText xml:space="preserve"> PAGEREF _Toc485708606 \h </w:instrText>
      </w:r>
      <w:r>
        <w:fldChar w:fldCharType="separate"/>
      </w:r>
      <w:r>
        <w:t>70</w:t>
      </w:r>
      <w:r>
        <w:fldChar w:fldCharType="end"/>
      </w:r>
    </w:p>
    <w:p w:rsidR="00702929" w:rsidRDefault="00702929">
      <w:pPr>
        <w:pStyle w:val="TOC2"/>
        <w:rPr>
          <w:rFonts w:asciiTheme="minorHAnsi" w:eastAsiaTheme="minorEastAsia" w:hAnsiTheme="minorHAnsi" w:cstheme="minorBidi"/>
          <w:sz w:val="22"/>
          <w:szCs w:val="22"/>
          <w:lang w:bidi="ar-SA"/>
        </w:rPr>
      </w:pPr>
      <w:r>
        <w:t>29.</w:t>
      </w:r>
      <w:r>
        <w:rPr>
          <w:rFonts w:asciiTheme="minorHAnsi" w:eastAsiaTheme="minorEastAsia" w:hAnsiTheme="minorHAnsi" w:cstheme="minorBidi"/>
          <w:sz w:val="22"/>
          <w:szCs w:val="22"/>
          <w:lang w:bidi="ar-SA"/>
        </w:rPr>
        <w:tab/>
      </w:r>
      <w:r>
        <w:t>Struktura vybraných položek výkazu zisku nebo ztráty (45)</w:t>
      </w:r>
      <w:r>
        <w:tab/>
      </w:r>
      <w:r>
        <w:fldChar w:fldCharType="begin"/>
      </w:r>
      <w:r>
        <w:instrText xml:space="preserve"> PAGEREF _Toc485708607 \h </w:instrText>
      </w:r>
      <w:r>
        <w:fldChar w:fldCharType="separate"/>
      </w:r>
      <w:r>
        <w:t>70</w:t>
      </w:r>
      <w:r>
        <w:fldChar w:fldCharType="end"/>
      </w:r>
    </w:p>
    <w:p w:rsidR="00702929" w:rsidRDefault="00702929">
      <w:pPr>
        <w:pStyle w:val="TOC2"/>
        <w:rPr>
          <w:rFonts w:asciiTheme="minorHAnsi" w:eastAsiaTheme="minorEastAsia" w:hAnsiTheme="minorHAnsi" w:cstheme="minorBidi"/>
          <w:sz w:val="22"/>
          <w:szCs w:val="22"/>
          <w:lang w:bidi="ar-SA"/>
        </w:rPr>
      </w:pPr>
      <w:r>
        <w:t>29.1.</w:t>
      </w:r>
      <w:r>
        <w:rPr>
          <w:rFonts w:asciiTheme="minorHAnsi" w:eastAsiaTheme="minorEastAsia" w:hAnsiTheme="minorHAnsi" w:cstheme="minorBidi"/>
          <w:sz w:val="22"/>
          <w:szCs w:val="22"/>
          <w:lang w:bidi="ar-SA"/>
        </w:rPr>
        <w:tab/>
      </w:r>
      <w:r>
        <w:t>Zisky nebo ztráty z finančních aktiv a závazků v reálné hodnotě vykázané do zisku nebo ztráty podle účetního portfolia (45.1)</w:t>
      </w:r>
      <w:r>
        <w:tab/>
      </w:r>
      <w:r>
        <w:fldChar w:fldCharType="begin"/>
      </w:r>
      <w:r>
        <w:instrText xml:space="preserve"> PAGEREF _Toc485708608 \h </w:instrText>
      </w:r>
      <w:r>
        <w:fldChar w:fldCharType="separate"/>
      </w:r>
      <w:r>
        <w:t>70</w:t>
      </w:r>
      <w:r>
        <w:fldChar w:fldCharType="end"/>
      </w:r>
    </w:p>
    <w:p w:rsidR="00702929" w:rsidRDefault="00702929">
      <w:pPr>
        <w:pStyle w:val="TOC2"/>
        <w:rPr>
          <w:rFonts w:asciiTheme="minorHAnsi" w:eastAsiaTheme="minorEastAsia" w:hAnsiTheme="minorHAnsi" w:cstheme="minorBidi"/>
          <w:sz w:val="22"/>
          <w:szCs w:val="22"/>
          <w:lang w:bidi="ar-SA"/>
        </w:rPr>
      </w:pPr>
      <w:r>
        <w:t>29.2.</w:t>
      </w:r>
      <w:r>
        <w:rPr>
          <w:rFonts w:asciiTheme="minorHAnsi" w:eastAsiaTheme="minorEastAsia" w:hAnsiTheme="minorHAnsi" w:cstheme="minorBidi"/>
          <w:sz w:val="22"/>
          <w:szCs w:val="22"/>
          <w:lang w:bidi="ar-SA"/>
        </w:rPr>
        <w:tab/>
      </w:r>
      <w:r>
        <w:t>Zisky nebo ztráty z odúčtování nefinančních aktiv (45.2)</w:t>
      </w:r>
      <w:r>
        <w:tab/>
      </w:r>
      <w:r>
        <w:fldChar w:fldCharType="begin"/>
      </w:r>
      <w:r>
        <w:instrText xml:space="preserve"> PAGEREF _Toc485708609 \h </w:instrText>
      </w:r>
      <w:r>
        <w:fldChar w:fldCharType="separate"/>
      </w:r>
      <w:r>
        <w:t>70</w:t>
      </w:r>
      <w:r>
        <w:fldChar w:fldCharType="end"/>
      </w:r>
    </w:p>
    <w:p w:rsidR="00702929" w:rsidRDefault="00702929">
      <w:pPr>
        <w:pStyle w:val="TOC2"/>
        <w:rPr>
          <w:rFonts w:asciiTheme="minorHAnsi" w:eastAsiaTheme="minorEastAsia" w:hAnsiTheme="minorHAnsi" w:cstheme="minorBidi"/>
          <w:sz w:val="22"/>
          <w:szCs w:val="22"/>
          <w:lang w:bidi="ar-SA"/>
        </w:rPr>
      </w:pPr>
      <w:r>
        <w:t>29.3.</w:t>
      </w:r>
      <w:r>
        <w:rPr>
          <w:rFonts w:asciiTheme="minorHAnsi" w:eastAsiaTheme="minorEastAsia" w:hAnsiTheme="minorHAnsi" w:cstheme="minorBidi"/>
          <w:sz w:val="22"/>
          <w:szCs w:val="22"/>
          <w:lang w:bidi="ar-SA"/>
        </w:rPr>
        <w:tab/>
      </w:r>
      <w:r>
        <w:t>Ostatní provozní výnosy a náklady (45.3)</w:t>
      </w:r>
      <w:r>
        <w:tab/>
      </w:r>
      <w:r>
        <w:fldChar w:fldCharType="begin"/>
      </w:r>
      <w:r>
        <w:instrText xml:space="preserve"> PAGEREF _Toc485708610 \h </w:instrText>
      </w:r>
      <w:r>
        <w:fldChar w:fldCharType="separate"/>
      </w:r>
      <w:r>
        <w:t>70</w:t>
      </w:r>
      <w:r>
        <w:fldChar w:fldCharType="end"/>
      </w:r>
    </w:p>
    <w:p w:rsidR="00702929" w:rsidRDefault="00702929">
      <w:pPr>
        <w:pStyle w:val="TOC2"/>
        <w:rPr>
          <w:rFonts w:asciiTheme="minorHAnsi" w:eastAsiaTheme="minorEastAsia" w:hAnsiTheme="minorHAnsi" w:cstheme="minorBidi"/>
          <w:sz w:val="22"/>
          <w:szCs w:val="22"/>
          <w:lang w:bidi="ar-SA"/>
        </w:rPr>
      </w:pPr>
      <w:r>
        <w:t>30.</w:t>
      </w:r>
      <w:r>
        <w:rPr>
          <w:rFonts w:asciiTheme="minorHAnsi" w:eastAsiaTheme="minorEastAsia" w:hAnsiTheme="minorHAnsi" w:cstheme="minorBidi"/>
          <w:sz w:val="22"/>
          <w:szCs w:val="22"/>
          <w:lang w:bidi="ar-SA"/>
        </w:rPr>
        <w:tab/>
      </w:r>
      <w:r>
        <w:t>Výkaz změn vlastního kapitálu (46)</w:t>
      </w:r>
      <w:r>
        <w:tab/>
      </w:r>
      <w:r>
        <w:fldChar w:fldCharType="begin"/>
      </w:r>
      <w:r>
        <w:instrText xml:space="preserve"> PAGEREF _Toc485708611 \h </w:instrText>
      </w:r>
      <w:r>
        <w:fldChar w:fldCharType="separate"/>
      </w:r>
      <w:r>
        <w:t>71</w:t>
      </w:r>
      <w:r>
        <w:fldChar w:fldCharType="end"/>
      </w:r>
    </w:p>
    <w:p w:rsidR="00702929" w:rsidRDefault="00702929">
      <w:pPr>
        <w:pStyle w:val="TOC1"/>
        <w:tabs>
          <w:tab w:val="right" w:leader="dot" w:pos="8296"/>
        </w:tabs>
        <w:rPr>
          <w:rFonts w:asciiTheme="minorHAnsi" w:eastAsiaTheme="minorEastAsia" w:hAnsiTheme="minorHAnsi" w:cstheme="minorBidi"/>
          <w:b w:val="0"/>
          <w:noProof/>
          <w:sz w:val="22"/>
          <w:szCs w:val="22"/>
          <w:lang w:bidi="ar-SA"/>
        </w:rPr>
      </w:pPr>
      <w:r>
        <w:rPr>
          <w:noProof/>
        </w:rPr>
        <w:t>Přehled kategorií expozic a odvětví protistran</w:t>
      </w:r>
      <w:r>
        <w:rPr>
          <w:noProof/>
        </w:rPr>
        <w:tab/>
      </w:r>
      <w:r>
        <w:rPr>
          <w:noProof/>
        </w:rPr>
        <w:fldChar w:fldCharType="begin"/>
      </w:r>
      <w:r>
        <w:rPr>
          <w:noProof/>
        </w:rPr>
        <w:instrText xml:space="preserve"> PAGEREF _Toc485708612 \h </w:instrText>
      </w:r>
      <w:r>
        <w:rPr>
          <w:noProof/>
        </w:rPr>
      </w:r>
      <w:r>
        <w:rPr>
          <w:noProof/>
        </w:rPr>
        <w:fldChar w:fldCharType="separate"/>
      </w:r>
      <w:r>
        <w:rPr>
          <w:noProof/>
        </w:rPr>
        <w:t>71</w:t>
      </w:r>
      <w:r>
        <w:rPr>
          <w:noProof/>
        </w:rPr>
        <w:fldChar w:fldCharType="end"/>
      </w:r>
    </w:p>
    <w:p w:rsidR="00752256" w:rsidRDefault="00702929">
      <w:pPr>
        <w:spacing w:after="0"/>
        <w:rPr>
          <w:rFonts w:asciiTheme="minorHAnsi" w:eastAsiaTheme="minorEastAsia" w:hAnsiTheme="minorHAnsi" w:cstheme="minorBidi"/>
          <w:noProof/>
          <w:szCs w:val="22"/>
        </w:rPr>
        <w:sectPr w:rsidR="00752256"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rPr>
          <w:rFonts w:ascii="Cambria" w:hAnsi="Cambria"/>
          <w:b/>
          <w:sz w:val="24"/>
          <w:szCs w:val="24"/>
        </w:rP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2" w:name="_Toc361844198"/>
      <w:r>
        <w:rPr>
          <w:rFonts w:ascii="Times New Roman" w:hAnsi="Times New Roman"/>
          <w:b/>
          <w:sz w:val="24"/>
        </w:rPr>
        <w:t>ČÁST PRVNÍ</w:t>
      </w:r>
      <w:bookmarkEnd w:id="2"/>
    </w:p>
    <w:p w:rsidR="009569C7" w:rsidRPr="00EC4FA2" w:rsidRDefault="00A834F1" w:rsidP="009569C7">
      <w:pPr>
        <w:pStyle w:val="Heading1"/>
      </w:pPr>
      <w:bookmarkStart w:id="3" w:name="_Toc362359270"/>
      <w:bookmarkStart w:id="4" w:name="_Toc467855193"/>
      <w:bookmarkStart w:id="5" w:name="_Toc485708529"/>
      <w:r>
        <w:t>Obecné pokyny</w:t>
      </w:r>
      <w:bookmarkEnd w:id="3"/>
      <w:bookmarkEnd w:id="4"/>
      <w:bookmarkEnd w:id="5"/>
    </w:p>
    <w:p w:rsidR="009569C7" w:rsidRPr="00EC4FA2" w:rsidRDefault="00A834F1" w:rsidP="009569C7">
      <w:pPr>
        <w:pStyle w:val="subtitlenumbered"/>
        <w:numPr>
          <w:ilvl w:val="0"/>
          <w:numId w:val="17"/>
        </w:numPr>
        <w:jc w:val="both"/>
      </w:pPr>
      <w:bookmarkStart w:id="6" w:name="_Toc362359271"/>
      <w:bookmarkStart w:id="7" w:name="_Toc467855194"/>
      <w:bookmarkStart w:id="8" w:name="_Toc361844199"/>
      <w:bookmarkStart w:id="9" w:name="_Toc485708530"/>
      <w:r>
        <w:t>Odkazy</w:t>
      </w:r>
      <w:bookmarkEnd w:id="6"/>
      <w:bookmarkEnd w:id="7"/>
      <w:bookmarkEnd w:id="9"/>
    </w:p>
    <w:bookmarkEnd w:id="8"/>
    <w:p w:rsidR="009569C7" w:rsidRPr="00EC4FA2" w:rsidRDefault="00A834F1" w:rsidP="009569C7">
      <w:pPr>
        <w:pStyle w:val="Baseparagraphnumbered"/>
      </w:pPr>
      <w:r>
        <w:t xml:space="preserve">Tato příloha obsahuje doplňující pokyny k šablonám pro vykazování finančních informací (dále jen „FINREP“), které jsou obsaženy v přílohách III a IV tohoto nařízení. Doplňuje pokyny, které jsou uvedeny formou odkazů v šablonách obsažených v přílohách III a IV. </w:t>
      </w:r>
    </w:p>
    <w:p w:rsidR="009569C7" w:rsidRPr="00EC4FA2" w:rsidRDefault="00A834F1" w:rsidP="009569C7">
      <w:pPr>
        <w:pStyle w:val="Baseparagraphnumbered"/>
      </w:pPr>
      <w:r>
        <w:t xml:space="preserve">Instituce, které používají vnitrostátní účetní standardy slučitelné s mezinárodními standardy účetního výkaznictví (IFRS – International </w:t>
      </w:r>
      <w:proofErr w:type="spellStart"/>
      <w:r>
        <w:t>Financial</w:t>
      </w:r>
      <w:proofErr w:type="spellEnd"/>
      <w:r>
        <w:t xml:space="preserve"> Reporting </w:t>
      </w:r>
      <w:proofErr w:type="spellStart"/>
      <w:proofErr w:type="gramStart"/>
      <w:r>
        <w:t>Standards</w:t>
      </w:r>
      <w:proofErr w:type="spellEnd"/>
      <w:r>
        <w:t>) („slučitelné</w:t>
      </w:r>
      <w:proofErr w:type="gramEnd"/>
      <w:r>
        <w:t xml:space="preserve"> vnitrostátní všeobecně uznávané účetní zásady“ – </w:t>
      </w:r>
      <w:proofErr w:type="spellStart"/>
      <w:r>
        <w:t>Generally</w:t>
      </w:r>
      <w:proofErr w:type="spellEnd"/>
      <w:r>
        <w:t xml:space="preserve"> </w:t>
      </w:r>
      <w:proofErr w:type="spellStart"/>
      <w:r>
        <w:t>Accepted</w:t>
      </w:r>
      <w:proofErr w:type="spellEnd"/>
      <w:r>
        <w:t xml:space="preserve"> </w:t>
      </w:r>
      <w:proofErr w:type="spellStart"/>
      <w:r>
        <w:t>Accounting</w:t>
      </w:r>
      <w:proofErr w:type="spellEnd"/>
      <w:r>
        <w:t xml:space="preserve"> </w:t>
      </w:r>
      <w:proofErr w:type="spellStart"/>
      <w:r>
        <w:t>Principles</w:t>
      </w:r>
      <w:proofErr w:type="spellEnd"/>
      <w:r>
        <w:t xml:space="preserve"> – GAAP), uplatňují společné pokyny a pokyny IFRS obsažené v této příloze, není-li stanoveno jinak.    Tím není dotčen soulad slučitelných vnitrostátních požadavků GAAP s požadavky BAD. Instituce, které používají vnitrostátní GAAP neslučitelné s IFRS, nebo je zatím ještě neuvedly do souladu s požadavky v IFRS 9, uplatňují společné pokyny a pokyny BAD obsažené v této příloze, není-li stanoveno jinak.</w:t>
      </w:r>
    </w:p>
    <w:p w:rsidR="009569C7" w:rsidRPr="00EC4FA2" w:rsidRDefault="00A834F1" w:rsidP="009569C7">
      <w:pPr>
        <w:pStyle w:val="Baseparagraphnumbered"/>
      </w:pPr>
      <w:r>
        <w:t>Údaje určené v šablonách se sestaví v souladu s pravidly uznávání, kompenzování a oceňování platnými v příslušném účetním rámci ve smyslu čl. 4 odst. 1 bodu 77 nařízení (EU) č. 575/2013.</w:t>
      </w:r>
    </w:p>
    <w:p w:rsidR="009569C7" w:rsidRPr="00EC4FA2" w:rsidRDefault="00A834F1" w:rsidP="009569C7">
      <w:pPr>
        <w:pStyle w:val="Baseparagraphnumbered"/>
      </w:pPr>
      <w:r>
        <w:t>Instituce předkládají pouze ty části šablon, které se týkají:</w:t>
      </w:r>
    </w:p>
    <w:p w:rsidR="009569C7" w:rsidRPr="00EC4FA2" w:rsidRDefault="00A834F1" w:rsidP="009569C7">
      <w:pPr>
        <w:pStyle w:val="Baseparagraphnumbered"/>
        <w:numPr>
          <w:ilvl w:val="0"/>
          <w:numId w:val="29"/>
        </w:numPr>
        <w:ind w:left="1134" w:hanging="426"/>
      </w:pPr>
      <w:r>
        <w:t>aktiv, závazků, vlastního kapitálu, výnosů a nákladů, které tato instituce uznává;</w:t>
      </w:r>
    </w:p>
    <w:p w:rsidR="009569C7" w:rsidRPr="00EC4FA2" w:rsidRDefault="00A834F1" w:rsidP="009569C7">
      <w:pPr>
        <w:pStyle w:val="Baseparagraphnumbered"/>
        <w:numPr>
          <w:ilvl w:val="0"/>
          <w:numId w:val="29"/>
        </w:numPr>
        <w:ind w:left="1134" w:hanging="426"/>
      </w:pPr>
      <w:r>
        <w:t>podrozvahových expozic a činností, do nichž je instituce zapojena;</w:t>
      </w:r>
    </w:p>
    <w:p w:rsidR="009569C7" w:rsidRPr="00EC4FA2" w:rsidRDefault="00A834F1" w:rsidP="009569C7">
      <w:pPr>
        <w:pStyle w:val="Baseparagraphnumbered"/>
        <w:numPr>
          <w:ilvl w:val="0"/>
          <w:numId w:val="29"/>
        </w:numPr>
        <w:ind w:left="1134" w:hanging="426"/>
      </w:pPr>
      <w:r>
        <w:t>transakcí uskutečněných touto institucí;</w:t>
      </w:r>
    </w:p>
    <w:p w:rsidR="009569C7" w:rsidRPr="00EC4FA2" w:rsidRDefault="00A834F1" w:rsidP="009569C7">
      <w:pPr>
        <w:pStyle w:val="Baseparagraphnumbered"/>
        <w:numPr>
          <w:ilvl w:val="0"/>
          <w:numId w:val="29"/>
        </w:numPr>
        <w:ind w:left="1134" w:hanging="425"/>
      </w:pPr>
      <w:r>
        <w:t>pravidel oceňování, včetně metod odhadu opravných položek z titulu úvěrového rizika, jež tato instituce uplatňuje.</w:t>
      </w:r>
    </w:p>
    <w:p w:rsidR="009569C7" w:rsidRPr="00EC4FA2" w:rsidRDefault="00A834F1" w:rsidP="009569C7">
      <w:pPr>
        <w:pStyle w:val="Baseparagraphnumbered"/>
        <w:ind w:left="1134"/>
      </w:pPr>
      <w:r>
        <w:t>Pro účely příloh III a IV a rovněž i této přílohy se použijí tyto zkratky:</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„CRR“: nařízení (EU) č. 575/2013 o kapitálových požadavcích.</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 „IAS“ nebo „IFRS“: „mezinárodní účetní standardy“ ve smyslu článku 2 nařízení č. 1606/2002</w:t>
      </w:r>
      <w:r>
        <w:rPr>
          <w:rStyle w:val="FootnoteReference"/>
          <w:rFonts w:ascii="Times New Roman" w:hAnsi="Times New Roman"/>
          <w:sz w:val="24"/>
        </w:rPr>
        <w:footnoteReference w:id="2"/>
      </w:r>
      <w:r>
        <w:rPr>
          <w:rFonts w:ascii="Times New Roman" w:hAnsi="Times New Roman"/>
          <w:sz w:val="24"/>
        </w:rPr>
        <w:t xml:space="preserve"> o uplatňování mezinárodních účetních standardů (</w:t>
      </w:r>
      <w:proofErr w:type="spellStart"/>
      <w:r>
        <w:rPr>
          <w:rFonts w:ascii="Times New Roman" w:hAnsi="Times New Roman"/>
          <w:sz w:val="24"/>
        </w:rPr>
        <w:t>international</w:t>
      </w:r>
      <w:proofErr w:type="spellEnd"/>
      <w:r>
        <w:rPr>
          <w:rFonts w:ascii="Times New Roman" w:hAnsi="Times New Roman"/>
          <w:sz w:val="24"/>
        </w:rPr>
        <w:t xml:space="preserve"> </w:t>
      </w:r>
      <w:proofErr w:type="spellStart"/>
      <w:r>
        <w:rPr>
          <w:rFonts w:ascii="Times New Roman" w:hAnsi="Times New Roman"/>
          <w:sz w:val="24"/>
        </w:rPr>
        <w:t>accounting</w:t>
      </w:r>
      <w:proofErr w:type="spellEnd"/>
      <w:r>
        <w:rPr>
          <w:rFonts w:ascii="Times New Roman" w:hAnsi="Times New Roman"/>
          <w:sz w:val="24"/>
        </w:rPr>
        <w:t xml:space="preserve"> standard – IAS) přijatého Komisí;</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lastRenderedPageBreak/>
        <w:t xml:space="preserve"> „nařízení ECB o BSI“ nebo „ECB/2013/33“: </w:t>
      </w:r>
      <w:bookmarkStart w:id="10" w:name="OLE_LINK2"/>
      <w:r>
        <w:rPr>
          <w:rFonts w:ascii="Times New Roman" w:hAnsi="Times New Roman"/>
          <w:sz w:val="24"/>
        </w:rPr>
        <w:t>nařízení Evropské centrální banky (ES) č. 1071/2013</w:t>
      </w:r>
      <w:r>
        <w:rPr>
          <w:rStyle w:val="FootnoteReference"/>
          <w:rFonts w:ascii="Times New Roman" w:hAnsi="Times New Roman"/>
          <w:sz w:val="24"/>
        </w:rPr>
        <w:footnoteReference w:id="3"/>
      </w:r>
      <w:r>
        <w:rPr>
          <w:rFonts w:ascii="Times New Roman" w:hAnsi="Times New Roman"/>
          <w:sz w:val="24"/>
        </w:rPr>
        <w:t xml:space="preserve">; </w:t>
      </w:r>
      <w:bookmarkEnd w:id="10"/>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„nařízení NACE“: nařízení Evropského parlamentu a Rady (ES) č. 1893/2006</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„kódy NACE“: kódy v nařízení o NACE;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směrnice Rady 86/635/EHS</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„směrnice o účetnictví“: směrnice 2013/34/EU</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„vnitrostátní GAAP“: vnitrostátní obecně uznávané účetní zásady stanovené v souladu se směrnicí BAD;</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 xml:space="preserve">„malé a střední podniky“: </w:t>
      </w:r>
      <w:proofErr w:type="spellStart"/>
      <w:r>
        <w:rPr>
          <w:rFonts w:ascii="Times New Roman" w:hAnsi="Times New Roman"/>
          <w:sz w:val="24"/>
        </w:rPr>
        <w:t>mikropodniky</w:t>
      </w:r>
      <w:proofErr w:type="spellEnd"/>
      <w:r>
        <w:rPr>
          <w:rFonts w:ascii="Times New Roman" w:hAnsi="Times New Roman"/>
          <w:sz w:val="24"/>
        </w:rPr>
        <w:t xml:space="preserve">, malé a střední podniky definované v doporučení </w:t>
      </w:r>
      <w:proofErr w:type="gramStart"/>
      <w:r>
        <w:rPr>
          <w:rFonts w:ascii="Times New Roman" w:hAnsi="Times New Roman"/>
          <w:sz w:val="24"/>
        </w:rPr>
        <w:t>Komise K(2003</w:t>
      </w:r>
      <w:proofErr w:type="gramEnd"/>
      <w:r>
        <w:rPr>
          <w:rFonts w:ascii="Times New Roman" w:hAnsi="Times New Roman"/>
          <w:sz w:val="24"/>
        </w:rPr>
        <w:t>) 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„kód ISIN“: mezinárodní identifikační číslo cenného papíru přidělené cenným papírům, které se skládá z 12 alfanumerických znaků a jednoznačně určuje emisi cenných papírů;</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„kód LEI“: celosvětový identifikační kód právnické osoby, který jednoznačně určuje totožnost určité strany finanční transakce;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1" w:name="_Toc361844200"/>
      <w:r>
        <w:rPr>
          <w:rFonts w:ascii="Times New Roman" w:hAnsi="Times New Roman"/>
          <w:sz w:val="24"/>
        </w:rPr>
        <w:t>„stupně znehodnocení“: kategorie znehodnocení stanovené v odstavci 5.5 IFRS 9. „Stupeň 1“ se vztahuje na znehodnocení oceněné v souladu s odstavcem 5.5.5 IFRS 9. „Stupeň 2“ se vztahuje na znehodnocení oceněné v souladu s odstavcem 5.5.3 IFRS 9. „Stupeň 3“ se vztahuje na znehodnocení úvěrově znehodnocených aktiv stanovených v dodatku A standardu IFRS 9.</w:t>
      </w:r>
    </w:p>
    <w:p w:rsidR="009569C7" w:rsidRPr="00EC4FA2" w:rsidRDefault="00A834F1" w:rsidP="009569C7">
      <w:pPr>
        <w:pStyle w:val="subtitlenumbered"/>
        <w:numPr>
          <w:ilvl w:val="0"/>
          <w:numId w:val="17"/>
        </w:numPr>
        <w:jc w:val="both"/>
      </w:pPr>
      <w:bookmarkStart w:id="12" w:name="_Toc362359272"/>
      <w:bookmarkStart w:id="13" w:name="_Toc467855195"/>
      <w:bookmarkStart w:id="14" w:name="_Toc485708531"/>
      <w:r>
        <w:lastRenderedPageBreak/>
        <w:t>Konvence</w:t>
      </w:r>
      <w:bookmarkEnd w:id="12"/>
      <w:bookmarkEnd w:id="13"/>
      <w:bookmarkEnd w:id="14"/>
    </w:p>
    <w:bookmarkEnd w:id="11"/>
    <w:p w:rsidR="009569C7" w:rsidRPr="00EC4FA2" w:rsidRDefault="00A834F1" w:rsidP="009569C7">
      <w:pPr>
        <w:pStyle w:val="Baseparagraphnumbered"/>
      </w:pPr>
      <w:r>
        <w:t>Pro účely příloh III a IV šedé pozadí polí značí, že údaje v těchto polích nejsou vyžadovány, nebo že je není možné vykazovat. V příloze IV značí černé pozadí odkazů na určitém řádku nebo v určitém sloupci, že příslušná pole by neměly vyplňovat instituce, které se řídí odkazy na daném řádku nebo v daném sloupci.</w:t>
      </w:r>
    </w:p>
    <w:p w:rsidR="009569C7" w:rsidRPr="00EC4FA2" w:rsidRDefault="00A834F1" w:rsidP="009569C7">
      <w:pPr>
        <w:pStyle w:val="Baseparagraphnumbered"/>
      </w:pPr>
      <w:r>
        <w:t>Šablony obsažené v přílohách III a IV zahrnují implicitní pravidla pro ověřování, která jsou v těchto šablonách stanovena pomocí konvencí.</w:t>
      </w:r>
    </w:p>
    <w:p w:rsidR="009569C7" w:rsidRPr="00EC4FA2" w:rsidRDefault="00A834F1" w:rsidP="009569C7">
      <w:pPr>
        <w:pStyle w:val="Baseparagraphnumbered"/>
      </w:pPr>
      <w:r>
        <w:t>Je-li v označení položky v šabloně použito závorek, znamená to, že tato položka má být při celkovém součtu odečtena, ale neznamená to, že musí být vykazována jako záporná.</w:t>
      </w:r>
    </w:p>
    <w:p w:rsidR="009569C7" w:rsidRPr="00EC4FA2" w:rsidRDefault="00A834F1" w:rsidP="009569C7">
      <w:pPr>
        <w:pStyle w:val="Baseparagraphnumbered"/>
      </w:pPr>
      <w:r>
        <w:t>Položky, které musí být vykazovány jako záporné, jsou v souhrnných šablonách před uvedením jejich názvu označeny pomocí znaménka „(-)“, například takto: „(-) Vlastní akcie“.</w:t>
      </w:r>
    </w:p>
    <w:p w:rsidR="009569C7" w:rsidRPr="00EC4FA2" w:rsidRDefault="00A834F1" w:rsidP="009569C7">
      <w:pPr>
        <w:pStyle w:val="Baseparagraphnumbered"/>
      </w:pPr>
      <w:r>
        <w:t xml:space="preserve">V „modelu datových polí“ („DPM“) pro šablony výkazů finančních informací uvedené v přílohách III a IV má každé pole (buňka) určitou „základní položku“, která má přidělený atribut „kredit/debet“. Tato alokace zajišťuje, že všechny vykazující osoby zasílají údaje podle „znaménkové konvence“, a současně je tak možné u každého údaje zjistit jeho odpovídající atribut „kredit/debet“. </w:t>
      </w:r>
    </w:p>
    <w:p w:rsidR="009569C7" w:rsidRPr="00EC4FA2" w:rsidRDefault="00A834F1" w:rsidP="009569C7">
      <w:pPr>
        <w:pStyle w:val="Baseparagraphnumbered"/>
      </w:pPr>
      <w:r>
        <w:t>Schématické znázornění toho, jak tato konvence funguje, je uvedeno v tabulce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Tabulka 1 Konvence pro uvádění atributu „kredit/debet“, kladná a záporná znaménka.</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Prvek</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Bilance</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/pohyb</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Vykázaná hodnota</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Aktiva</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Vyrovnaná bilance aktiv</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proofErr w:type="gramStart"/>
            <w:r>
              <w:rPr>
                <w:rFonts w:ascii="Times New Roman" w:hAnsi="Times New Roman"/>
              </w:rPr>
              <w:t>Kladná                                            („normální</w:t>
            </w:r>
            <w:proofErr w:type="gramEnd"/>
            <w:r>
              <w:rPr>
                <w:rFonts w:ascii="Times New Roman" w:hAnsi="Times New Roman"/>
              </w:rPr>
              <w:t>“,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Zvýšení aktiv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Kladná                                            („normální</w:t>
            </w:r>
            <w:proofErr w:type="gramEnd"/>
            <w:r>
              <w:rPr>
                <w:rFonts w:ascii="Times New Roman" w:hAnsi="Times New Roman"/>
              </w:rPr>
              <w:t>“,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bilance aktiv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Záporná                                        (nutno</w:t>
            </w:r>
            <w:proofErr w:type="gramEnd"/>
            <w:r>
              <w:rPr>
                <w:rFonts w:ascii="Times New Roman" w:hAnsi="Times New Roman"/>
              </w:rPr>
              <w:t xml:space="preserve"> uvést znaménko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Snížení aktiv</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Záporná                                        (nutno</w:t>
            </w:r>
            <w:proofErr w:type="gramEnd"/>
            <w:r>
              <w:rPr>
                <w:rFonts w:ascii="Times New Roman" w:hAnsi="Times New Roman"/>
              </w:rPr>
              <w:t xml:space="preserve"> uvést znaménko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Výdaje</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Vyrovnaná bilance výdajů</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Kladná                                            („normální</w:t>
            </w:r>
            <w:proofErr w:type="gramEnd"/>
            <w:r>
              <w:rPr>
                <w:rFonts w:ascii="Times New Roman" w:hAnsi="Times New Roman"/>
              </w:rPr>
              <w:t>“,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Zvýšení výdajů</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Kladná                                            („normální</w:t>
            </w:r>
            <w:proofErr w:type="gramEnd"/>
            <w:r>
              <w:rPr>
                <w:rFonts w:ascii="Times New Roman" w:hAnsi="Times New Roman"/>
              </w:rPr>
              <w:t>“,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bilance výdajů (včetně stornování)</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Záporná                                        (nutno</w:t>
            </w:r>
            <w:proofErr w:type="gramEnd"/>
            <w:r>
              <w:rPr>
                <w:rFonts w:ascii="Times New Roman" w:hAnsi="Times New Roman"/>
              </w:rPr>
              <w:t xml:space="preserve"> uvést znaménko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Snížení výdajů</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Záporná                                        (nutno</w:t>
            </w:r>
            <w:proofErr w:type="gramEnd"/>
            <w:r>
              <w:rPr>
                <w:rFonts w:ascii="Times New Roman" w:hAnsi="Times New Roman"/>
              </w:rPr>
              <w:t xml:space="preserve"> uvést znaménko minus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lastRenderedPageBreak/>
              <w:t>Pasiva</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Vyrovnaná bilance závazků</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Kladná                                            („normální</w:t>
            </w:r>
            <w:proofErr w:type="gramEnd"/>
            <w:r>
              <w:rPr>
                <w:rFonts w:ascii="Times New Roman" w:hAnsi="Times New Roman"/>
              </w:rPr>
              <w:t>“,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Zvýšení závazků</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Kladná                                            („normální</w:t>
            </w:r>
            <w:proofErr w:type="gramEnd"/>
            <w:r>
              <w:rPr>
                <w:rFonts w:ascii="Times New Roman" w:hAnsi="Times New Roman"/>
              </w:rPr>
              <w:t>“,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Záporná bilance závazků</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Záporná                                        (nutno</w:t>
            </w:r>
            <w:proofErr w:type="gramEnd"/>
            <w:r>
              <w:rPr>
                <w:rFonts w:ascii="Times New Roman" w:hAnsi="Times New Roman"/>
              </w:rPr>
              <w:t xml:space="preserve"> uvést znaménko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Snížení závazků</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Záporná                                        (nutno</w:t>
            </w:r>
            <w:proofErr w:type="gramEnd"/>
            <w:r>
              <w:rPr>
                <w:rFonts w:ascii="Times New Roman" w:hAnsi="Times New Roman"/>
              </w:rPr>
              <w:t xml:space="preserve"> uvést znaménko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Vlastní kapitál</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Vyrovnaná bilance vlastního kapitálu</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Kladná                                            („normální</w:t>
            </w:r>
            <w:proofErr w:type="gramEnd"/>
            <w:r>
              <w:rPr>
                <w:rFonts w:ascii="Times New Roman" w:hAnsi="Times New Roman"/>
              </w:rPr>
              <w:t>“,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Zvýšení vlastního kapitálu</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Kladná                                            („normální</w:t>
            </w:r>
            <w:proofErr w:type="gramEnd"/>
            <w:r>
              <w:rPr>
                <w:rFonts w:ascii="Times New Roman" w:hAnsi="Times New Roman"/>
              </w:rPr>
              <w:t>“,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Záporná bilance vlastního kapitálu</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Záporná                                        (nutno</w:t>
            </w:r>
            <w:proofErr w:type="gramEnd"/>
            <w:r>
              <w:rPr>
                <w:rFonts w:ascii="Times New Roman" w:hAnsi="Times New Roman"/>
              </w:rPr>
              <w:t xml:space="preserve"> uvést znaménko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Snížení vlastního kapitálu</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Záporná                                        (nutno</w:t>
            </w:r>
            <w:proofErr w:type="gramEnd"/>
            <w:r>
              <w:rPr>
                <w:rFonts w:ascii="Times New Roman" w:hAnsi="Times New Roman"/>
              </w:rPr>
              <w:t xml:space="preserve"> uvést znaménko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Výnos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Vyrovnaná bilance výnosů</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Kladná                                            („normální</w:t>
            </w:r>
            <w:proofErr w:type="gramEnd"/>
            <w:r>
              <w:rPr>
                <w:rFonts w:ascii="Times New Roman" w:hAnsi="Times New Roman"/>
              </w:rPr>
              <w:t>“,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Zvýšení výnosů</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Kladná                                            („normální</w:t>
            </w:r>
            <w:proofErr w:type="gramEnd"/>
            <w:r>
              <w:rPr>
                <w:rFonts w:ascii="Times New Roman" w:hAnsi="Times New Roman"/>
              </w:rPr>
              <w:t>“, znaménko není třeba)</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Záporná bilance výnosu (včetně stornování)</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Záporná                                        (nutno</w:t>
            </w:r>
            <w:proofErr w:type="gramEnd"/>
            <w:r>
              <w:rPr>
                <w:rFonts w:ascii="Times New Roman" w:hAnsi="Times New Roman"/>
              </w:rPr>
              <w:t xml:space="preserve"> uvést znaménko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Snížení výnosů</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Záporná                                        (nutno</w:t>
            </w:r>
            <w:proofErr w:type="gramEnd"/>
            <w:r>
              <w:rPr>
                <w:rFonts w:ascii="Times New Roman" w:hAnsi="Times New Roman"/>
              </w:rPr>
              <w:t xml:space="preserve"> uvést znaménko minus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5" w:name="_Toc362359273"/>
      <w:bookmarkStart w:id="16" w:name="_Toc467855196"/>
      <w:bookmarkStart w:id="17" w:name="_Toc485708532"/>
      <w:r>
        <w:t>Konsolidace</w:t>
      </w:r>
      <w:bookmarkEnd w:id="15"/>
      <w:bookmarkEnd w:id="16"/>
      <w:bookmarkEnd w:id="17"/>
    </w:p>
    <w:p w:rsidR="009569C7" w:rsidRPr="00EC4FA2" w:rsidRDefault="00A834F1" w:rsidP="009569C7">
      <w:pPr>
        <w:pStyle w:val="Baseparagraphnumbered"/>
      </w:pPr>
      <w:r>
        <w:t xml:space="preserve">Není-li v této příloze uvedeno jinak, jsou šablony FINREP sestavovány v rozsahu obezřetnostní konsolidace v souladu s částí první hlavou II kapitolou 2 oddílem 2 nařízení o kapitálových požadavcích. Instituce sestavují výkazy za své dceřiné, společné a přidružené podniky za použití týchž metod, jakých se používá pro obezřetnostní konsolidaci: </w:t>
      </w:r>
    </w:p>
    <w:p w:rsidR="009569C7" w:rsidRPr="00EC4FA2" w:rsidRDefault="00A834F1" w:rsidP="009569C7">
      <w:pPr>
        <w:pStyle w:val="Baseparagraphnumbered"/>
        <w:numPr>
          <w:ilvl w:val="1"/>
          <w:numId w:val="27"/>
        </w:numPr>
        <w:ind w:left="993"/>
      </w:pPr>
      <w:r>
        <w:t xml:space="preserve">institucím může být povoleno či uloženo, aby u investic do pojišťovacích a nefinančních dceřiných podniků používaly ekvivalenční metodu v souladu s čl. 18 odst. 5 nařízení o kapitálových požadavcích;  </w:t>
      </w:r>
    </w:p>
    <w:p w:rsidR="009569C7" w:rsidRPr="00EC4FA2" w:rsidRDefault="00A834F1" w:rsidP="009569C7">
      <w:pPr>
        <w:pStyle w:val="Baseparagraphnumbered"/>
        <w:numPr>
          <w:ilvl w:val="1"/>
          <w:numId w:val="27"/>
        </w:numPr>
        <w:ind w:left="993"/>
      </w:pPr>
      <w:r>
        <w:t>institucím může být povoleno, aby u finančních dceřiných podniků používaly metodu poměrné konsolidace v souladu s čl. 18 odst. 2 nařízení o kapitálových požadavcích;</w:t>
      </w:r>
    </w:p>
    <w:p w:rsidR="009569C7" w:rsidRPr="00EC4FA2" w:rsidRDefault="00A834F1" w:rsidP="009569C7">
      <w:pPr>
        <w:pStyle w:val="Baseparagraphnumbered"/>
        <w:numPr>
          <w:ilvl w:val="1"/>
          <w:numId w:val="27"/>
        </w:numPr>
        <w:ind w:left="993"/>
      </w:pPr>
      <w:r>
        <w:t>institucím může být uloženo, aby u investic do společných podniků používaly metodu poměrné konsolidace v souladu s čl. 18 odst. 4 nařízení o kapitálových požadavcích.</w:t>
      </w:r>
    </w:p>
    <w:p w:rsidR="009569C7" w:rsidRPr="00EC4FA2" w:rsidRDefault="00A834F1" w:rsidP="009569C7">
      <w:pPr>
        <w:pStyle w:val="subtitlenumbered"/>
        <w:numPr>
          <w:ilvl w:val="0"/>
          <w:numId w:val="17"/>
        </w:numPr>
        <w:jc w:val="both"/>
      </w:pPr>
      <w:bookmarkStart w:id="18" w:name="_Toc361844202"/>
      <w:bookmarkStart w:id="19" w:name="_Toc362359274"/>
      <w:bookmarkStart w:id="20" w:name="_Toc467855197"/>
      <w:bookmarkStart w:id="21" w:name="_Toc485708533"/>
      <w:r>
        <w:t>Účetní portfolia</w:t>
      </w:r>
      <w:bookmarkEnd w:id="18"/>
      <w:bookmarkEnd w:id="19"/>
      <w:r>
        <w:t xml:space="preserve"> finančních nástrojů</w:t>
      </w:r>
      <w:bookmarkEnd w:id="20"/>
      <w:bookmarkEnd w:id="21"/>
      <w:r>
        <w:t xml:space="preserve"> </w:t>
      </w:r>
    </w:p>
    <w:p w:rsidR="009569C7" w:rsidRPr="00EC4FA2" w:rsidRDefault="00A834F1" w:rsidP="009569C7">
      <w:pPr>
        <w:pStyle w:val="Baseparagraphnumbered"/>
      </w:pPr>
      <w:r>
        <w:lastRenderedPageBreak/>
        <w:t>Pro účely příloh III a IV a rovněž i této přílohy se „účetními portfolii“ rozumí finanční nástroje agregované pravidly oceňování. Mezi tato seskupení nepatří investice do dceřiných, společných a přidružených podniků, pohledávky splatné na požádání zahrnované do položky „pokladní hotovost, hotovost u centrálních bank a ostatní vklady na požádání“ ani finanční nástroje klasifikované jako „k obchodování“, které jsou zahrnuty do položek „neoběžná aktiva a vyřazované skupiny určené k prodeji“ a „závazky zahrnuté do vyřazovaných skupin určených k prodeji“.</w:t>
      </w:r>
    </w:p>
    <w:p w:rsidR="009569C7" w:rsidRPr="00EC4FA2" w:rsidRDefault="00A834F1" w:rsidP="009569C7">
      <w:pPr>
        <w:pStyle w:val="Baseparagraphnumbered"/>
      </w:pPr>
      <w:r>
        <w:t>Instituce, kterým bylo povoleno nebo uloženo, aby pro finanční nástroje používaly určitá pravidla oceňování podle IFRS, předloží v souladu s vnitrostátními GAAP a v míře odpovídají rozsahu používání těchto pravidel příslušná účetní portfolia IFRS. Odkazují-li pravidla oceňování pro finanční nástroje, které tyto instituce mohou nebo musí používat podle vnitrostátních GAPP založených na BAD, na pravidla oceňování v IAS 39, instituce předloží účetní portfolia na základě BAD pro všechny své finanční nástroje, pokud se pravidla oceňování, která používají, vztahují na pravidla oceňování v IFRS 9.</w:t>
      </w:r>
    </w:p>
    <w:p w:rsidR="009569C7" w:rsidRPr="00EC4FA2" w:rsidRDefault="00A834F1" w:rsidP="009569C7">
      <w:pPr>
        <w:pStyle w:val="sub-subtitlenumbered"/>
      </w:pPr>
      <w:bookmarkStart w:id="22" w:name="_Toc467855198"/>
      <w:bookmarkStart w:id="23" w:name="_Toc485708534"/>
      <w:r>
        <w:t>Finanční aktiva</w:t>
      </w:r>
      <w:bookmarkEnd w:id="22"/>
      <w:bookmarkEnd w:id="23"/>
    </w:p>
    <w:p w:rsidR="009569C7" w:rsidRPr="00EC4FA2" w:rsidRDefault="00A834F1" w:rsidP="009569C7">
      <w:pPr>
        <w:pStyle w:val="Baseparagraphnumbered"/>
      </w:pPr>
      <w:r>
        <w:t>Pro finanční aktiva se použijí tato účetní portfolia založená na IFRS: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„finanční aktiva k obchodování“;</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„neobchodní finanční aktiva povinně oceňovaná v reálné hodnotě vykázané do zisku nebo ztráty“;</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„finanční aktiva v reálné hodnotě vykázané do zisku nebo ztráty“;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„finanční aktiva v reálné hodnotě prostřednictvím ostatního úplného výsledku“;</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„finanční aktiva v naběhlé hodnotě“. </w:t>
      </w:r>
    </w:p>
    <w:p w:rsidR="009569C7" w:rsidRPr="00EC4FA2" w:rsidRDefault="00A834F1" w:rsidP="009569C7">
      <w:pPr>
        <w:pStyle w:val="Baseparagraphnumbered"/>
      </w:pPr>
      <w:r>
        <w:t>Pro finanční aktiva se použijí tato účetní portfolia založená na vnitrostátních GAAP:</w:t>
      </w:r>
    </w:p>
    <w:p w:rsidR="009569C7" w:rsidRPr="00EC4FA2" w:rsidRDefault="00A834F1" w:rsidP="009569C7">
      <w:pPr>
        <w:pStyle w:val="Baseparagraphnumbered"/>
        <w:numPr>
          <w:ilvl w:val="0"/>
          <w:numId w:val="34"/>
        </w:numPr>
        <w:ind w:left="1134"/>
      </w:pPr>
      <w:r>
        <w:t xml:space="preserve">„obchodovatelná finanční aktiva“; </w:t>
      </w:r>
    </w:p>
    <w:p w:rsidR="009569C7" w:rsidRPr="00EC4FA2" w:rsidRDefault="00A834F1" w:rsidP="009569C7">
      <w:pPr>
        <w:pStyle w:val="Baseparagraphnumbered"/>
        <w:numPr>
          <w:ilvl w:val="0"/>
          <w:numId w:val="34"/>
        </w:numPr>
        <w:ind w:left="1134"/>
      </w:pPr>
      <w:r>
        <w:t xml:space="preserve">„neobchodní nederivátová finanční aktiva v reálné hodnotě vykázané do zisku nebo ztráty“; </w:t>
      </w:r>
    </w:p>
    <w:p w:rsidR="009569C7" w:rsidRPr="00EC4FA2" w:rsidRDefault="00A834F1" w:rsidP="009569C7">
      <w:pPr>
        <w:pStyle w:val="Baseparagraphnumbered"/>
        <w:numPr>
          <w:ilvl w:val="0"/>
          <w:numId w:val="0"/>
        </w:numPr>
        <w:ind w:left="1134" w:hanging="360"/>
      </w:pPr>
      <w:r>
        <w:t>c) „neobchodní nederivátová finanční aktiva v reálné hodnotě zaúčtované do vlastního kapitálu“;</w:t>
      </w:r>
    </w:p>
    <w:p w:rsidR="009569C7" w:rsidRPr="00EC4FA2" w:rsidRDefault="00A834F1" w:rsidP="009569C7">
      <w:pPr>
        <w:pStyle w:val="Baseparagraphnumbered"/>
        <w:numPr>
          <w:ilvl w:val="0"/>
          <w:numId w:val="0"/>
        </w:numPr>
        <w:ind w:left="1134" w:hanging="360"/>
      </w:pPr>
      <w:r>
        <w:t xml:space="preserve">d) „neobchodní nederivátová finanční aktiva v pořizovací ceně“; a </w:t>
      </w:r>
    </w:p>
    <w:p w:rsidR="009569C7" w:rsidRPr="00EC4FA2" w:rsidRDefault="00A834F1" w:rsidP="009569C7">
      <w:pPr>
        <w:pStyle w:val="Baseparagraphnumbered"/>
        <w:numPr>
          <w:ilvl w:val="0"/>
          <w:numId w:val="0"/>
        </w:numPr>
        <w:ind w:left="1134" w:hanging="360"/>
      </w:pPr>
      <w:r>
        <w:t>e) „ostatní neobchodní nederivátová finanční aktiva“.</w:t>
      </w:r>
    </w:p>
    <w:p w:rsidR="009569C7" w:rsidRPr="00EC4FA2" w:rsidRDefault="00A834F1" w:rsidP="009569C7">
      <w:pPr>
        <w:pStyle w:val="Baseparagraphnumbered"/>
      </w:pPr>
      <w:r>
        <w:t xml:space="preserve">„Obchodovatelná finanční aktiva“ zahrnují všechna finanční aktiva klasifikovaná jako obchodovatelná podle příslušných vnitrostátních GAAP </w:t>
      </w:r>
      <w:r>
        <w:lastRenderedPageBreak/>
        <w:t>založených na BAD. Bez ohledu na metodiku oceňování používanou podle příslušných vnitrostátních GAAP založených na BAD všechny deriváty s kladnou bilancí pro vykazující instituce, které nejsou klasifikovány jako zajišťovací účetnictví v souladu s odstavcem 22 této části, se vykazují jako obchodovatelná finanční aktiva. Tato klasifikace platí i pro deriváty, které se podle vnitrostátních GAAP založených na BAD nevykazují v rozvaze, nebo u nichž se v rozvaze vykazují pouze změny jejich reálné hodnoty, nebo které se používají jako ekonomické zajištění stanovené v odstavci 137 části druhé této přílohy.</w:t>
      </w:r>
    </w:p>
    <w:p w:rsidR="009569C7" w:rsidRPr="00EC4FA2" w:rsidRDefault="00A834F1" w:rsidP="009569C7">
      <w:pPr>
        <w:pStyle w:val="Baseparagraphnumbered"/>
      </w:pPr>
      <w:r>
        <w:t xml:space="preserve">Podle vnitrostátních GAAP založených na BAD u finančních aktiv zahrnují „metody oceňování pořizovací cenou“ všechna pravidla oceňování, která slouží k ocenění dluhových nástrojů v pořizovací ceně s připočtením vzniklých úroků a s odečtením ztrát způsobených znehodnocením aktiv. </w:t>
      </w:r>
    </w:p>
    <w:p w:rsidR="009569C7" w:rsidRPr="00EC4FA2" w:rsidRDefault="00A834F1" w:rsidP="009569C7">
      <w:pPr>
        <w:pStyle w:val="Baseparagraphnumbered"/>
      </w:pPr>
      <w:r>
        <w:t xml:space="preserve">Podle vnitrostátních GAAP založených na BAD „neobchodní nederivátová finanční aktiva v pořizovací ceně“ zahrnují finanční nástroje v pořizovací ceně a také nástroje, které se ohodnocují nižší z pořizovací ceny nebo tržní hodnoty („LOCOM“ – </w:t>
      </w:r>
      <w:proofErr w:type="spellStart"/>
      <w:r>
        <w:t>lower</w:t>
      </w:r>
      <w:proofErr w:type="spellEnd"/>
      <w:r>
        <w:t xml:space="preserve"> </w:t>
      </w:r>
      <w:proofErr w:type="spellStart"/>
      <w:r>
        <w:t>of</w:t>
      </w:r>
      <w:proofErr w:type="spellEnd"/>
      <w:r>
        <w:t xml:space="preserve"> </w:t>
      </w:r>
      <w:proofErr w:type="spellStart"/>
      <w:r>
        <w:t>cost</w:t>
      </w:r>
      <w:proofErr w:type="spellEnd"/>
      <w:r>
        <w:t xml:space="preserve"> </w:t>
      </w:r>
      <w:proofErr w:type="spellStart"/>
      <w:r>
        <w:t>or</w:t>
      </w:r>
      <w:proofErr w:type="spellEnd"/>
      <w:r>
        <w:t xml:space="preserve"> </w:t>
      </w:r>
      <w:proofErr w:type="gramStart"/>
      <w:r>
        <w:t>market) (méně</w:t>
      </w:r>
      <w:proofErr w:type="gramEnd"/>
      <w:r>
        <w:t xml:space="preserve"> striktní metoda LOCOM), bez ohledu na jejich skutečné ohodnocení od referenčního data vykazování. Aktiva oceněná podle méně striktní metody LOCOM jsou aktiva, u nichž se LOCOM používá pouze za zvláštních okolností. Tyto okolnosti stanoví použitelný účetní rámec, jako je znehodnocení, dlouhotrvající pokles reálné </w:t>
      </w:r>
      <w:proofErr w:type="gramStart"/>
      <w:r>
        <w:t>hodnoty  ve</w:t>
      </w:r>
      <w:proofErr w:type="gramEnd"/>
      <w:r>
        <w:t xml:space="preserve"> srovnání s náklady nebo změna záměru vedení.  </w:t>
      </w:r>
    </w:p>
    <w:p w:rsidR="009569C7" w:rsidRPr="00EC4FA2" w:rsidRDefault="00A834F1" w:rsidP="009569C7">
      <w:pPr>
        <w:pStyle w:val="Baseparagraphnumbered"/>
      </w:pPr>
      <w:r>
        <w:t>Podle vnitrostátních GAAP založených na BAD patří mezi „ostatní neobchodní nederivátová finanční aktiva“ finanční aktiva, která nesplňují podmínky pro zahrnutí těchto aktiv do jiných účetních portfolií. Toto účetní portfolio zahrnuje kromě jiného finanční aktiva oceněná trvale podle LOCOM („striktní metoda LOCOM“). Aktiva oceněná podle striktní metody LOCOM jsou aktiva, u nichž použitelný účetní rámec buď stanoví počáteční a následné ocenění podle LOCOM, nebo počáteční ocenění v pořizovací ceně a následné ocenění podle LOCOM.</w:t>
      </w:r>
    </w:p>
    <w:p w:rsidR="009569C7" w:rsidRPr="00EC4FA2" w:rsidRDefault="00A834F1" w:rsidP="009569C7">
      <w:pPr>
        <w:pStyle w:val="Baseparagraphnumbered"/>
      </w:pPr>
      <w:r>
        <w:t>Bez ohledu na jejich metodu ocenění, investice do dceřiných, společných a přidružených podniků, které nejsou plně nebo poměrně konsolidovány na základě konsolidace podle právních předpisů, se vykazují v „investicích do dceřiných, společných a přidružených podniků“ s výjimkou případů, když jsou klasifikovány jako určené k prodeji v souladu s IFRS 5.</w:t>
      </w:r>
    </w:p>
    <w:p w:rsidR="009569C7" w:rsidRPr="00EC4FA2" w:rsidRDefault="00A834F1" w:rsidP="009569C7">
      <w:pPr>
        <w:pStyle w:val="Baseparagraphnumbered"/>
      </w:pPr>
      <w:r>
        <w:t xml:space="preserve"> „Deriváty – zajišťovací účetnictví“ zahrnují deriváty s pozitivní bilancí pro vykazující instituce držené pro zajišťovací účetnictví podle IFRS.  Podle vnitrostátních GAAP založených na BAD se deriváty bankovního portfolia roztřídí jako deriváty držené k zajišťovacímu účetnictví, pouze pokud pro ně podle příslušných vnitrostátních GAAP založených na BAD existují zvláštní účetní pravidla a pokud deriváty snižují riziko jiné pozice v bankovním portfoliu. </w:t>
      </w:r>
    </w:p>
    <w:p w:rsidR="009569C7" w:rsidRPr="00EC4FA2" w:rsidRDefault="00A834F1" w:rsidP="009569C7">
      <w:pPr>
        <w:pStyle w:val="sub-subtitlenumbered"/>
        <w:keepNext/>
        <w:ind w:left="788" w:hanging="431"/>
        <w:jc w:val="both"/>
      </w:pPr>
      <w:r>
        <w:t xml:space="preserve"> </w:t>
      </w:r>
      <w:bookmarkStart w:id="24" w:name="_Toc361844204"/>
      <w:bookmarkStart w:id="25" w:name="_Toc362359276"/>
      <w:bookmarkStart w:id="26" w:name="_Toc467855199"/>
      <w:bookmarkStart w:id="27" w:name="_Toc485708535"/>
      <w:r>
        <w:t>Finanční závazky</w:t>
      </w:r>
      <w:bookmarkEnd w:id="24"/>
      <w:bookmarkEnd w:id="25"/>
      <w:bookmarkEnd w:id="26"/>
      <w:bookmarkEnd w:id="27"/>
    </w:p>
    <w:p w:rsidR="009569C7" w:rsidRPr="00EC4FA2" w:rsidRDefault="00A834F1" w:rsidP="009569C7">
      <w:pPr>
        <w:pStyle w:val="Baseparagraphnumbered"/>
      </w:pPr>
      <w:r>
        <w:t xml:space="preserve">Pro finanční závazky se použijí tato účetní portfolia založená na IFRS: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 xml:space="preserve">„finanční závazky k obchodování“;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„finanční závazky v reálné hodnotě vykázané do zisku nebo ztráty“;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„finanční závazky oceněné naběhlou hodnotou“.</w:t>
      </w:r>
    </w:p>
    <w:p w:rsidR="009569C7" w:rsidRPr="00EC4FA2" w:rsidRDefault="00A834F1" w:rsidP="009569C7">
      <w:pPr>
        <w:pStyle w:val="Baseparagraphnumbered"/>
      </w:pPr>
      <w:r>
        <w:t xml:space="preserve">Pro finanční závazky se použijí tato účetní portfolia založená na vnitrostátních GAAP: </w:t>
      </w:r>
    </w:p>
    <w:p w:rsidR="009569C7" w:rsidRPr="00EC4FA2" w:rsidRDefault="00A834F1" w:rsidP="009569C7">
      <w:pPr>
        <w:pStyle w:val="Baseparagraphnumbered"/>
        <w:numPr>
          <w:ilvl w:val="0"/>
          <w:numId w:val="0"/>
        </w:numPr>
        <w:ind w:left="1134" w:hanging="283"/>
      </w:pPr>
      <w:r>
        <w:t xml:space="preserve">a) „obchodovatelné finanční závazky“; </w:t>
      </w:r>
    </w:p>
    <w:p w:rsidR="009569C7" w:rsidRPr="00EC4FA2" w:rsidRDefault="00A834F1" w:rsidP="009569C7">
      <w:pPr>
        <w:pStyle w:val="Baseparagraphnumbered"/>
        <w:numPr>
          <w:ilvl w:val="0"/>
          <w:numId w:val="0"/>
        </w:numPr>
        <w:ind w:left="1134" w:hanging="283"/>
      </w:pPr>
      <w:r>
        <w:t>b) „neobchodní nederivátové finanční závazky v pořizovací ceně“.</w:t>
      </w:r>
    </w:p>
    <w:p w:rsidR="009569C7" w:rsidRPr="00EC4FA2" w:rsidRDefault="00A834F1" w:rsidP="009569C7">
      <w:pPr>
        <w:pStyle w:val="Baseparagraphnumbered"/>
      </w:pPr>
      <w:r>
        <w:t>„Obchodovatelné finanční závazky“ zahrnují všechny finanční závazky klasifikované jako obchodovatelné podle příslušných vnitrostátních GAAP založených na BAD. Bez ohledu na metodiku oceňování používanou podle příslušných vnitrostátních GAAP založených na BAD, všechny deriváty se zápornou bilancí pro vykazující instituce, které se neklasifikují jako zajišťovací účetnictví v souladu s odstavcem 26 této části, se vykazují jako obchodovatelné finanční závazky. Tato klasifikace platí i pro deriváty, které se podle vnitrostátních GAAP založených na BAD nevykazují v rozvaze, nebo u nichž se v rozvaze vykazují pouze změny jejich reálné hodnoty, nebo které se používají jako ekonomické zajištění stanovené v odstavci 137 části druhé této přílohy.</w:t>
      </w:r>
    </w:p>
    <w:p w:rsidR="009569C7" w:rsidRPr="00EC4FA2" w:rsidRDefault="00A834F1" w:rsidP="009569C7">
      <w:pPr>
        <w:pStyle w:val="Baseparagraphnumbered"/>
      </w:pPr>
      <w:r>
        <w:t xml:space="preserve">„Deriváty – zajišťovací účetnictví“ zahrnují deriváty s negativní bilancí pro vykazující instituce držené pro zajišťovací účetnictví podle IFRS. Podle vnitrostátních GAAP založených na BAD se deriváty bankovního portfolia roztřídí jako zajišťovací účetnictví, pouze pokud pro ně podle příslušných vnitrostátních GAAP založených na BAD existují zvláštní účetní pravidla a pokud deriváty snižují riziko jiné pozice v bankovním portfoliu. </w:t>
      </w:r>
    </w:p>
    <w:p w:rsidR="009569C7" w:rsidRPr="00EC4FA2" w:rsidRDefault="00A834F1" w:rsidP="009569C7">
      <w:pPr>
        <w:pStyle w:val="subtitlenumbered"/>
        <w:numPr>
          <w:ilvl w:val="0"/>
          <w:numId w:val="17"/>
        </w:numPr>
        <w:jc w:val="both"/>
      </w:pPr>
      <w:bookmarkStart w:id="28" w:name="_Toc362359277"/>
      <w:bookmarkStart w:id="29" w:name="_Toc467855200"/>
      <w:bookmarkStart w:id="30" w:name="_Toc485708536"/>
      <w:r>
        <w:t>Finanční nástroje</w:t>
      </w:r>
      <w:bookmarkEnd w:id="28"/>
      <w:bookmarkEnd w:id="29"/>
      <w:bookmarkEnd w:id="30"/>
    </w:p>
    <w:p w:rsidR="009569C7" w:rsidRPr="00EC4FA2" w:rsidRDefault="00A834F1" w:rsidP="009569C7">
      <w:pPr>
        <w:pStyle w:val="Baseparagraphnumbered"/>
      </w:pPr>
      <w:r>
        <w:t>Pro účely přílohy III a IV i této přílohy se „účetní hodnotou“ rozumí hodnota vykazovaná v rozvaze.  Do účetní hodnoty finančních aktiv jsou zahrnuty naběhlé úroky. Podle příslušných vnitrostátních GAAP založených na BAD je účetní hodnotou derivátů buď účetní hodnota podle vnitrostátních GAAP včetně případných položek časového rozlišení, hodnoty prémií a rezerv, nebo se může rovnat nule, když deriváty nejsou v rozvaze vykázány.</w:t>
      </w:r>
    </w:p>
    <w:p w:rsidR="009569C7" w:rsidRPr="00EC4FA2" w:rsidRDefault="00A834F1" w:rsidP="009569C7">
      <w:pPr>
        <w:pStyle w:val="Baseparagraphnumbered"/>
      </w:pPr>
      <w:r>
        <w:t xml:space="preserve">Vykazuje-li se podle příslušných vnitrostátních GAAP založených na BAD u finančních nástrojů časové rozlišení včetně naběhlých úroků, prémií a diskontů nebo transakčních nákladů, vykazuje se společně s daným nástrojem, nikoli jako ostatní aktiva nebo ostatní závazky. </w:t>
      </w:r>
    </w:p>
    <w:p w:rsidR="009569C7" w:rsidRPr="00EC4FA2" w:rsidRDefault="00A834F1" w:rsidP="009569C7">
      <w:pPr>
        <w:pStyle w:val="Baseparagraphnumbered"/>
      </w:pPr>
      <w:r>
        <w:t>Je-li to použitelné podle vnitrostátních GAPP založených na BAD, vykazují se „srážky u obchodovatelných pozic oceněných reálnou hodnotou“. Tyto srážky snižují hodnotu obchodovatelných aktiv a zvyšují hodnotu obchodovatelných závazků.</w:t>
      </w:r>
    </w:p>
    <w:p w:rsidR="009569C7" w:rsidRPr="00EC4FA2" w:rsidRDefault="00A834F1" w:rsidP="009569C7">
      <w:pPr>
        <w:pStyle w:val="sub-subtitlenumbered"/>
        <w:jc w:val="both"/>
      </w:pPr>
      <w:bookmarkStart w:id="31" w:name="_Toc467855201"/>
      <w:bookmarkStart w:id="32" w:name="_Toc485708537"/>
      <w:r>
        <w:lastRenderedPageBreak/>
        <w:t>Finanční aktiva</w:t>
      </w:r>
      <w:bookmarkEnd w:id="31"/>
      <w:bookmarkEnd w:id="32"/>
      <w:r>
        <w:t xml:space="preserve"> </w:t>
      </w:r>
    </w:p>
    <w:p w:rsidR="009569C7" w:rsidRPr="00EC4FA2" w:rsidRDefault="00A834F1" w:rsidP="009569C7">
      <w:pPr>
        <w:pStyle w:val="Baseparagraphnumbered"/>
      </w:pPr>
      <w:r>
        <w:t>Finanční aktiva jsou rozdělena do následujících kategorií nástrojů: „pokladní hotovost“, „deriváty“, „kapitálové nástroje“, „dluhové cenné papíry“ a „úvěry a jiné pohledávky“.</w:t>
      </w:r>
    </w:p>
    <w:p w:rsidR="009569C7" w:rsidRPr="00EC4FA2" w:rsidRDefault="00A834F1" w:rsidP="009569C7">
      <w:pPr>
        <w:pStyle w:val="Baseparagraphnumbered"/>
      </w:pPr>
      <w:r>
        <w:t>„Dluhové cenné papíry“ jsou dluhové nástroje, které jsou v držení dané instituce a které jsou vydané jako cenné papíry, jež ve smyslu nařízení ECB o BSI nejsou považovány za úvěry.</w:t>
      </w:r>
    </w:p>
    <w:p w:rsidR="009569C7" w:rsidRPr="00EC4FA2" w:rsidRDefault="00A834F1" w:rsidP="009569C7">
      <w:pPr>
        <w:pStyle w:val="Baseparagraphnumbered"/>
      </w:pPr>
      <w:r>
        <w:t xml:space="preserve">„Úvěry a jiné pohledávky“ jsou dluhové nástroje, které jsou v držení dané instituce a které nejsou cennými papíry; do této položky patří „úvěry“ ve smyslu nařízení ECB o BSI a jiné pohledávky, které nelze klasifikovat jako „úvěry“ ve smyslu nařízení ECB o BSI. „Jiné pohledávky, které nejsou úvěry“, jsou blíže charakterizovány v odst. 85 písm. g) části druhé této přílohy. </w:t>
      </w:r>
    </w:p>
    <w:p w:rsidR="009569C7" w:rsidRPr="00EC4FA2" w:rsidRDefault="00A834F1" w:rsidP="009569C7">
      <w:pPr>
        <w:pStyle w:val="Baseparagraphnumbered"/>
      </w:pPr>
      <w:r>
        <w:t>Mezi „dluhové nástroje“ patří ve FINREP „úvěry a jiné pohledávky“ a „dluhové cenné papíry“.</w:t>
      </w:r>
    </w:p>
    <w:p w:rsidR="009569C7" w:rsidRPr="00EC4FA2" w:rsidRDefault="00A834F1" w:rsidP="009569C7">
      <w:pPr>
        <w:pStyle w:val="sub-subtitlenumbered"/>
        <w:jc w:val="both"/>
      </w:pPr>
      <w:bookmarkStart w:id="33" w:name="_Toc467855202"/>
      <w:bookmarkStart w:id="34" w:name="_Toc485708538"/>
      <w:r>
        <w:t>Hrubá účetní hodnota</w:t>
      </w:r>
      <w:bookmarkEnd w:id="33"/>
      <w:bookmarkEnd w:id="34"/>
    </w:p>
    <w:p w:rsidR="009569C7" w:rsidRPr="00EC4FA2" w:rsidRDefault="00A834F1" w:rsidP="009569C7">
      <w:pPr>
        <w:pStyle w:val="Baseparagraphnumbered"/>
      </w:pPr>
      <w:r>
        <w:t>Hrubou účetní hodnotou dluhových nástrojů se rozumí:</w:t>
      </w:r>
    </w:p>
    <w:p w:rsidR="009569C7" w:rsidRPr="00EC4FA2" w:rsidRDefault="00A834F1" w:rsidP="00152278">
      <w:pPr>
        <w:pStyle w:val="Baseparagraphnumbered"/>
        <w:numPr>
          <w:ilvl w:val="1"/>
          <w:numId w:val="27"/>
        </w:numPr>
      </w:pPr>
      <w:r>
        <w:t xml:space="preserve"> podle IFRS a vnitrostátních GAAP založených na BAD u dluhových nástrojů oceněných reálnou hodnotou do zisku nebo ztráty, aniž by byly začleněny do držby pro obchodování nebo do obchodovatelného portfolia, hrubá účetní hodnota závisí na tom, zda jsou klasifikovány jako výkonné nebo nevýkonné. U výkonných dluhových nástrojů je hrubou účetní hodnotou reálná hodnota. U nevýkonných dluhových nástrojů je hrubou účetní hodnotou reálná hodnota po připočítání kumulované úpravy záporné reálné hodnoty z důvodu úvěrového rizika ve smyslu odstavce 69 části druhé této přílohy. Pro účel ocenění hrubé účetní hodnoty se ocenění dluhového nástroje vykonává na úrovni jediného finančního nástroje;</w:t>
      </w:r>
    </w:p>
    <w:p w:rsidR="009569C7" w:rsidRPr="00EC4FA2" w:rsidRDefault="00A834F1" w:rsidP="009569C7">
      <w:pPr>
        <w:pStyle w:val="Baseparagraphnumbered"/>
        <w:numPr>
          <w:ilvl w:val="1"/>
          <w:numId w:val="27"/>
        </w:numPr>
        <w:ind w:left="1134" w:hanging="425"/>
      </w:pPr>
      <w:r>
        <w:t>podle IFRS u dluhových nástrojů oceněných naběhlou nebo reálnou hodnotou do ostatního úplného výsledku se hrubou účetní hodnotou rozumí účetní hodnota před úpravou o jakoukoli opravnou položku;</w:t>
      </w:r>
    </w:p>
    <w:p w:rsidR="009569C7" w:rsidRPr="00EC4FA2" w:rsidRDefault="00A834F1" w:rsidP="009569C7">
      <w:pPr>
        <w:pStyle w:val="Baseparagraphnumbered"/>
        <w:numPr>
          <w:ilvl w:val="1"/>
          <w:numId w:val="27"/>
        </w:numPr>
        <w:ind w:left="1134" w:hanging="425"/>
      </w:pPr>
      <w:r>
        <w:t xml:space="preserve">podle vnitrostátních GAAP založených na BAD se u dluhových nástrojů klasifikovaných jako „neobchodní nederivátová finanční aktiva v pořizovací ceně“ hrubá účetní hodnota znehodnocených aktiv rovná účetní hodnotě před úpravou o specifické opravné položky na úvěrové riziko. Hrubá účetní hodnota neznehodnocených aktiv je účetní hodnota před úpravou o všeobecné opravné položky na úvěrové riziko a o všeobecné opravné položky na bankovní riziko, dotýká-li se účetní hodnoty; </w:t>
      </w:r>
    </w:p>
    <w:p w:rsidR="009569C7" w:rsidRPr="00EC4FA2" w:rsidRDefault="00A834F1" w:rsidP="009569C7">
      <w:pPr>
        <w:pStyle w:val="Baseparagraphnumbered"/>
        <w:numPr>
          <w:ilvl w:val="1"/>
          <w:numId w:val="27"/>
        </w:numPr>
        <w:ind w:left="1134" w:hanging="425"/>
      </w:pPr>
      <w:r>
        <w:t xml:space="preserve">podle vnitrostátních GAAP založených na BAD hrubá účetní hodnota dluhových nástrojů klasifikovaných jako „neobchodní nederivátová finanční aktiva v reálné hodnotě zaúčtovaná do vlastního kapitálu“ závisí </w:t>
      </w:r>
      <w:r>
        <w:lastRenderedPageBreak/>
        <w:t>na tom, zda pro tyto finanční aktiva platí požadavky na znehodnocení. Pokud pro ně platí požadavky na znehodnocení, hrubá účetní hodnota je účetní hodnota před úpravou o kumulované ztráty ze znehodnocení podle požadavků na znehodnocená a neznehodnocená aktiva uvedených výše v písmenu c) nebo kumulovaná částka úpravy reálné hodnoty, která se považuje za ztrátu ze znehodnocení. Pokud pro tato finanční aktiva neplatí požadavky na znehodnocení, jejich hrubá účetní hodnota je reálná hodnota pro výkonné expozice a u nevýkonných expozic reálná hodnota po připočítání kumulované záporné úpravy reálné hodnoty v důsledku úvěrového rizika;</w:t>
      </w:r>
    </w:p>
    <w:p w:rsidR="009569C7" w:rsidRPr="00EC4FA2" w:rsidRDefault="00A834F1" w:rsidP="009569C7">
      <w:pPr>
        <w:pStyle w:val="Baseparagraphnumbered"/>
        <w:numPr>
          <w:ilvl w:val="1"/>
          <w:numId w:val="27"/>
        </w:numPr>
        <w:ind w:left="1134" w:hanging="425"/>
      </w:pPr>
      <w:r>
        <w:t xml:space="preserve">podle vnitrostátních GAAP založených na BAD je hrubou účetní hodnotou dluhových nástrojů oceněných podle striktní nebo méně striktní metody LOCOM pořizovací cena, pokud se oceňují pořizovací cenou během účetního období. Oceňují-li se dluhové nástroje podle tržní hodnoty, hrubou účetní hodnotou je tržní hodnota před úpravou v důsledku úprav ocenění vyvolaných úvěrovým rizikem; </w:t>
      </w:r>
    </w:p>
    <w:p w:rsidR="009569C7" w:rsidRPr="00EC4FA2" w:rsidRDefault="00A834F1" w:rsidP="009569C7">
      <w:pPr>
        <w:pStyle w:val="Baseparagraphnumbered"/>
        <w:numPr>
          <w:ilvl w:val="1"/>
          <w:numId w:val="27"/>
        </w:numPr>
        <w:ind w:left="1134" w:hanging="425"/>
      </w:pPr>
      <w:r>
        <w:t>podle vnitrostátních GAAP založených na BAD u dluhových nástrojů vykazovaných pod „jinými neobchodními nederivátovými finančními aktivy“ podle jiné metody oceňování než LOCOM je hrubou účetní hodnotou účetní hodnota před zohledněním úpravy ocenění, které se kvalifikuje jako znehodnocení;</w:t>
      </w:r>
    </w:p>
    <w:p w:rsidR="009569C7" w:rsidRPr="00EC4FA2" w:rsidRDefault="00A834F1" w:rsidP="009569C7">
      <w:pPr>
        <w:pStyle w:val="Baseparagraphnumbered"/>
        <w:numPr>
          <w:ilvl w:val="1"/>
          <w:numId w:val="27"/>
        </w:numPr>
        <w:ind w:left="1134" w:hanging="425"/>
      </w:pPr>
      <w:r>
        <w:t xml:space="preserve">u obchodovatelných finančních aktiv podle GAAP založených na BAD </w:t>
      </w:r>
      <w:proofErr w:type="gramStart"/>
      <w:r>
        <w:t>nebo  finančních</w:t>
      </w:r>
      <w:proofErr w:type="gramEnd"/>
      <w:r>
        <w:t xml:space="preserve"> aktiv držených k obchodování podle IFRS je hrubou účetní hodnotou reálná hodnota. Pokud GAAP založené na BAD vyžadují srážky u obchodovatelných nástrojů a nástrojů oceněných reálnou hodnotou, účetní hodnotou finančních nástrojů je reálná hodnota před těmito srážkami.</w:t>
      </w:r>
    </w:p>
    <w:p w:rsidR="009569C7" w:rsidRPr="00EC4FA2" w:rsidRDefault="00A834F1" w:rsidP="009569C7">
      <w:pPr>
        <w:pStyle w:val="sub-subtitlenumbered"/>
        <w:jc w:val="both"/>
      </w:pPr>
      <w:bookmarkStart w:id="35" w:name="_Toc361844207"/>
      <w:bookmarkStart w:id="36" w:name="_Toc362359279"/>
      <w:bookmarkStart w:id="37" w:name="_Toc467855203"/>
      <w:bookmarkStart w:id="38" w:name="_Toc485708539"/>
      <w:r>
        <w:t>Finanční závazky</w:t>
      </w:r>
      <w:bookmarkEnd w:id="35"/>
      <w:bookmarkEnd w:id="36"/>
      <w:bookmarkEnd w:id="37"/>
      <w:bookmarkEnd w:id="38"/>
    </w:p>
    <w:p w:rsidR="009569C7" w:rsidRPr="00EC4FA2" w:rsidRDefault="00A834F1" w:rsidP="009569C7">
      <w:pPr>
        <w:pStyle w:val="Baseparagraphnumbered"/>
      </w:pPr>
      <w:r>
        <w:t>Finanční závazky jsou rozděleny do následujících kategorií nástrojů: „deriváty“, „krátké pozice“, „vklady“, „vydané dluhové cenné papíry“ a „ostatní finanční závazky“.</w:t>
      </w:r>
    </w:p>
    <w:p w:rsidR="009569C7" w:rsidRPr="00EC4FA2" w:rsidRDefault="00A834F1" w:rsidP="009569C7">
      <w:pPr>
        <w:pStyle w:val="Baseparagraphnumbered"/>
      </w:pPr>
      <w:r>
        <w:t xml:space="preserve">Pro účely příloh III a IV a rovněž i této přílohy se používá definice „vkladů“ v příloze II části druhé nařízení FCB o BSI. </w:t>
      </w:r>
    </w:p>
    <w:p w:rsidR="009569C7" w:rsidRPr="00EC4FA2" w:rsidRDefault="00A834F1" w:rsidP="009569C7">
      <w:pPr>
        <w:pStyle w:val="Baseparagraphnumbered"/>
      </w:pPr>
      <w:r>
        <w:t xml:space="preserve"> „Vydané dluhové cenné papíry“ jsou dluhové nástroje vydané danou institucí jako cenné papíry, jež nejsou vklady ve smyslu nařízení ECB o BSI.</w:t>
      </w:r>
    </w:p>
    <w:p w:rsidR="009569C7" w:rsidRPr="00EC4FA2" w:rsidRDefault="00A834F1" w:rsidP="009569C7">
      <w:pPr>
        <w:pStyle w:val="Baseparagraphnumbered"/>
      </w:pPr>
      <w:r>
        <w:t xml:space="preserve">„Ostatní finanční závazky“ zahrnují veškeré finanční závazky kromě derivátů, krátkých pozic, vkladů a vydaných dluhových cenných papírů. </w:t>
      </w:r>
    </w:p>
    <w:p w:rsidR="009569C7" w:rsidRPr="00EC4FA2" w:rsidRDefault="00A834F1" w:rsidP="009569C7">
      <w:pPr>
        <w:pStyle w:val="Baseparagraphnumbered"/>
      </w:pPr>
      <w:r>
        <w:t xml:space="preserve">V souladu s IFRS „ostatní finanční závazky“ zahrnují poskytnuté finanční záruky, jsou-li tyto záruky oceněné buď reálnou hodnotou do zisku nebo ztráty [odst. 4.2.1 písm. a) IFRS 9], nebo původně zaúčtovanou hodnotou při odečtení kumulovaných odpisů [odst. 4.2.1 písm. c) bod </w:t>
      </w:r>
      <w:proofErr w:type="spellStart"/>
      <w:r>
        <w:t>ii</w:t>
      </w:r>
      <w:proofErr w:type="spellEnd"/>
      <w:r>
        <w:t xml:space="preserve">) IFRS 9]. Poskytnuté úvěrové přísliby jsou vykazovány jako „ostatní finanční závazky“ </w:t>
      </w:r>
      <w:r>
        <w:lastRenderedPageBreak/>
        <w:t xml:space="preserve">tehdy, jsou-li zařazeny do kategorie finančních závazků v reálné hodnotě vykázané do zisku nebo ztráty [odst. 4.2.1 písm. a) IFRS 9], nebo se jedná o přísliby poskytnutí úvěru s úrokem nižším, než je tržní sazba [odst. 2.3 písm. c) IFRS 9, odst. 4.2.1 písm. d) IFRS 9]. </w:t>
      </w:r>
    </w:p>
    <w:p w:rsidR="009569C7" w:rsidRPr="00EC4FA2" w:rsidRDefault="00A834F1" w:rsidP="009569C7">
      <w:pPr>
        <w:pStyle w:val="Baseparagraphnumbered"/>
      </w:pPr>
      <w:r>
        <w:t xml:space="preserve">Oceňují-li se poskytnuté úvěrové přísliby, finanční záruky a jiné závazky reálnou hodnotou do zisku nebo ztráty, každá změna reálné hodnoty, včetně změny v důsledku úvěrového rizika, se vykazuje jako „jiné finanční závazky“ a ne jako rezervy pro „poskytnuté přísliby a záruky“. </w:t>
      </w:r>
    </w:p>
    <w:p w:rsidR="009569C7" w:rsidRPr="00EC4FA2" w:rsidRDefault="00A834F1" w:rsidP="009569C7">
      <w:pPr>
        <w:pStyle w:val="Baseparagraphnumbered"/>
      </w:pPr>
      <w:r>
        <w:t>„Ostatní finanční závazky“ zahrnují rovněž závazky z nevyplacených dividend, částky splatné v souvislosti s vyrovnáním přechodných a transitních závazků a částky splatné v souvislosti s budoucím vypořádáním transakcí s cennými papíry nebo devizových operací, jsou-li splatné závazky za transakce zaúčtované před datem splatnosti.</w:t>
      </w:r>
    </w:p>
    <w:p w:rsidR="009569C7" w:rsidRPr="00EC4FA2" w:rsidRDefault="00A834F1" w:rsidP="009569C7">
      <w:pPr>
        <w:pStyle w:val="subtitlenumbered"/>
        <w:numPr>
          <w:ilvl w:val="0"/>
          <w:numId w:val="17"/>
        </w:numPr>
        <w:jc w:val="both"/>
      </w:pPr>
      <w:bookmarkStart w:id="39" w:name="_Toc361844208"/>
      <w:bookmarkStart w:id="40" w:name="_Toc362359280"/>
      <w:bookmarkStart w:id="41" w:name="_Toc467855204"/>
      <w:bookmarkStart w:id="42" w:name="_Toc485708540"/>
      <w:r>
        <w:t>Struktura podle protistrany</w:t>
      </w:r>
      <w:bookmarkEnd w:id="39"/>
      <w:bookmarkEnd w:id="40"/>
      <w:bookmarkEnd w:id="41"/>
      <w:bookmarkEnd w:id="42"/>
    </w:p>
    <w:p w:rsidR="009569C7" w:rsidRPr="00EC4FA2" w:rsidRDefault="00A834F1" w:rsidP="009569C7">
      <w:pPr>
        <w:pStyle w:val="Baseparagraphnumbered"/>
      </w:pPr>
      <w:r>
        <w:t>Je-li vyžadována struktura podle protistrany, použijí se tato odvětví protistran:</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centrální banky;</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vládní instituce: ústřední vlády, státní nebo regionální vlády a místní vlády, včetně administrativních a nekomerčních podniků, ale kromě veřejnoprávních a soukromých společností, které jsou ve vlastnictví těchto správních orgánů vykonávajících obchodní činnost (a které jsou vykazovány pod hlavičkou „úvěrové instituce“, „jiné finanční podniky“ nebo „nefinanční podniky“ v závislosti na jejich činnosti); fondy sociálního zabezpečení; a mezinárodní organizace, jako jsou orgány Evropské unie, Mezinárodní měnový fond a Banka pro mezinárodní platby;</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úvěrové instituce: veškeré instituce, na něž se vztahuje definice v čl. 4 odst. 1 bodě 1 nařízení o kapitálových požadavcích („podnik, jehož činnost spočívá v přijímání vkladů nebo jiných splatných peněžních prostředků od veřejnosti a poskytování úvěrů na vlastní účet“) a mezinárodní rozvojové banky (MDB);</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ostatní finanční instituce: kromě úvěrových institucí veškeré finanční podniky a </w:t>
      </w:r>
      <w:proofErr w:type="spellStart"/>
      <w:r>
        <w:rPr>
          <w:rFonts w:ascii="Times New Roman" w:hAnsi="Times New Roman"/>
          <w:sz w:val="24"/>
        </w:rPr>
        <w:t>kvazispolečnosti</w:t>
      </w:r>
      <w:proofErr w:type="spellEnd"/>
      <w:r>
        <w:rPr>
          <w:rFonts w:ascii="Times New Roman" w:hAnsi="Times New Roman"/>
          <w:sz w:val="24"/>
        </w:rPr>
        <w:t xml:space="preserve">, jako jsou investiční podniky, investiční fondy, pojišťovny, penzijní fondy, subjekty kolektivního investování, clearingové systémy a ostatní finanční zprostředkovatelé, pomocné finanční instituce a </w:t>
      </w:r>
      <w:proofErr w:type="spellStart"/>
      <w:r>
        <w:rPr>
          <w:rFonts w:ascii="Times New Roman" w:hAnsi="Times New Roman"/>
          <w:sz w:val="24"/>
        </w:rPr>
        <w:t>kaptivní</w:t>
      </w:r>
      <w:proofErr w:type="spellEnd"/>
      <w:r>
        <w:rPr>
          <w:rFonts w:ascii="Times New Roman" w:hAnsi="Times New Roman"/>
          <w:sz w:val="24"/>
        </w:rPr>
        <w:t xml:space="preserve"> finanční instituce a půjčovatelé peněz;</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nefinanční podniky: společnosti a </w:t>
      </w:r>
      <w:proofErr w:type="spellStart"/>
      <w:r>
        <w:rPr>
          <w:rFonts w:ascii="Times New Roman" w:hAnsi="Times New Roman"/>
          <w:sz w:val="24"/>
        </w:rPr>
        <w:t>kvazispolečnosti</w:t>
      </w:r>
      <w:proofErr w:type="spellEnd"/>
      <w:r>
        <w:rPr>
          <w:rFonts w:ascii="Times New Roman" w:hAnsi="Times New Roman"/>
          <w:sz w:val="24"/>
        </w:rPr>
        <w:t xml:space="preserve">, které se nezabývají finančním zprostředkováním, nýbrž převážně výrobou tržního zboží a poskytováním nefinančních služeb ve smyslu nařízení ECB o BSI;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domácnosti; jednotlivci nebo skupiny jednotlivců jako spotřebitelé a výrobci zboží a poskytovatelé nefinančních služeb určených výhradně pro jejich vlastní konečnou spotřebu a jako výrobci tržního zboží a </w:t>
      </w:r>
      <w:r>
        <w:rPr>
          <w:rFonts w:ascii="Times New Roman" w:hAnsi="Times New Roman"/>
          <w:sz w:val="24"/>
        </w:rPr>
        <w:lastRenderedPageBreak/>
        <w:t xml:space="preserve">poskytovatelé nefinančních a finančních služeb, nejsou-li jejich aktivity aktivitami </w:t>
      </w:r>
      <w:proofErr w:type="spellStart"/>
      <w:r>
        <w:rPr>
          <w:rFonts w:ascii="Times New Roman" w:hAnsi="Times New Roman"/>
          <w:sz w:val="24"/>
        </w:rPr>
        <w:t>kvazispolečností</w:t>
      </w:r>
      <w:proofErr w:type="spellEnd"/>
      <w:r>
        <w:rPr>
          <w:rFonts w:ascii="Times New Roman" w:hAnsi="Times New Roman"/>
          <w:sz w:val="24"/>
        </w:rPr>
        <w:t xml:space="preserve">. Patří sem i neziskové organizace, které slouží domácnostem („NPISH – non-profit </w:t>
      </w:r>
      <w:proofErr w:type="spellStart"/>
      <w:r>
        <w:rPr>
          <w:rFonts w:ascii="Times New Roman" w:hAnsi="Times New Roman"/>
          <w:sz w:val="24"/>
        </w:rPr>
        <w:t>institutions</w:t>
      </w:r>
      <w:proofErr w:type="spellEnd"/>
      <w:r>
        <w:rPr>
          <w:rFonts w:ascii="Times New Roman" w:hAnsi="Times New Roman"/>
          <w:sz w:val="24"/>
        </w:rPr>
        <w:t xml:space="preserve"> </w:t>
      </w:r>
      <w:proofErr w:type="spellStart"/>
      <w:r>
        <w:rPr>
          <w:rFonts w:ascii="Times New Roman" w:hAnsi="Times New Roman"/>
          <w:sz w:val="24"/>
        </w:rPr>
        <w:t>which</w:t>
      </w:r>
      <w:proofErr w:type="spellEnd"/>
      <w:r>
        <w:rPr>
          <w:rFonts w:ascii="Times New Roman" w:hAnsi="Times New Roman"/>
          <w:sz w:val="24"/>
        </w:rPr>
        <w:t xml:space="preserve"> serve </w:t>
      </w:r>
      <w:proofErr w:type="spellStart"/>
      <w:r>
        <w:rPr>
          <w:rFonts w:ascii="Times New Roman" w:hAnsi="Times New Roman"/>
          <w:sz w:val="24"/>
        </w:rPr>
        <w:t>households</w:t>
      </w:r>
      <w:proofErr w:type="spellEnd"/>
      <w:r>
        <w:rPr>
          <w:rFonts w:ascii="Times New Roman" w:hAnsi="Times New Roman"/>
          <w:sz w:val="24"/>
        </w:rPr>
        <w:t xml:space="preserve">“) a které se zabývají převážně výrobou netržního zboží a poskytováním netržních služeb, jež jsou určeny pro konkrétní skupiny domácností. </w:t>
      </w:r>
    </w:p>
    <w:p w:rsidR="009569C7" w:rsidRPr="00EC4FA2" w:rsidRDefault="00A834F1" w:rsidP="009569C7">
      <w:pPr>
        <w:pStyle w:val="Baseparagraphnumbered"/>
      </w:pPr>
      <w:r>
        <w:t>Zařazení protistrany do určitého odvětví se řídí výhradně povahou dotyčné protistrany. Klasifikace expozic nabytých společně více než jedním dlužníkem se provádí na základě vlastností toho dlužníka, který byl pro danou instituci z hlediska poskytnutí této expozice významnějším nebo rozhodujícím. Kromě jiných klasifikací by se i rozdělení společně nabytých expozic podle kategorie protistrany, země trvalého pobytu/sídla a kódů statistické klasifikace ekonomických činností v Evropské unii (NACE) mělo řídit vlastnostmi významnějšího nebo rozhodujícího dlužníka.</w:t>
      </w:r>
    </w:p>
    <w:p w:rsidR="009569C7" w:rsidRPr="00EC4FA2" w:rsidRDefault="00A834F1" w:rsidP="009569C7">
      <w:pPr>
        <w:pStyle w:val="Baseparagraphnumbered"/>
      </w:pPr>
      <w:r>
        <w:t>Bezprostředními protistranami v těchto transakcích jsou:</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u úvěrů a jiných pohledávek přímý půjčovatel.</w:t>
      </w:r>
      <w:r>
        <w:t xml:space="preserve"> </w:t>
      </w:r>
      <w:r>
        <w:rPr>
          <w:rFonts w:ascii="Times New Roman" w:hAnsi="Times New Roman"/>
          <w:sz w:val="24"/>
        </w:rPr>
        <w:t>U obchodních pohledávek je přímý půjčovatel protistranou povinnou platit pohledávky kromě pohledávek v transakcích s možností zpětného postihu, je-li přímý půjčovatel převodcem pohledávek, pokud vykazující instituce výrazně nenabývá všechna rizika a výhody vlastnictví převáděných pohledávek;</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u dluhových cenných papírů a kapitálových nástrojů emitent cenných papírů;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u vkladů vkladatel;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u krátkých pozic protistrana transakce výpůjčky na cenné papíry nebo dohody o zpětném odkupu;</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u derivátů přímá protistrana derivátových smluv. U mimoburzovních derivátů (derivátové smlouvy </w:t>
      </w:r>
      <w:proofErr w:type="gramStart"/>
      <w:r>
        <w:rPr>
          <w:rFonts w:ascii="Times New Roman" w:hAnsi="Times New Roman"/>
          <w:sz w:val="24"/>
        </w:rPr>
        <w:t>OTC</w:t>
      </w:r>
      <w:proofErr w:type="gramEnd"/>
      <w:r>
        <w:rPr>
          <w:rFonts w:ascii="Times New Roman" w:hAnsi="Times New Roman"/>
          <w:sz w:val="24"/>
        </w:rPr>
        <w:t xml:space="preserve"> –</w:t>
      </w:r>
      <w:proofErr w:type="spellStart"/>
      <w:proofErr w:type="gramStart"/>
      <w:r>
        <w:rPr>
          <w:rFonts w:ascii="Times New Roman" w:hAnsi="Times New Roman"/>
          <w:sz w:val="24"/>
        </w:rPr>
        <w:t>over-the-counter</w:t>
      </w:r>
      <w:proofErr w:type="spellEnd"/>
      <w:proofErr w:type="gramEnd"/>
      <w:r>
        <w:rPr>
          <w:rFonts w:ascii="Times New Roman" w:hAnsi="Times New Roman"/>
          <w:sz w:val="24"/>
        </w:rPr>
        <w:t xml:space="preserve"> </w:t>
      </w:r>
      <w:proofErr w:type="spellStart"/>
      <w:r>
        <w:rPr>
          <w:rFonts w:ascii="Times New Roman" w:hAnsi="Times New Roman"/>
          <w:sz w:val="24"/>
        </w:rPr>
        <w:t>derivatives</w:t>
      </w:r>
      <w:proofErr w:type="spellEnd"/>
      <w:r>
        <w:rPr>
          <w:rFonts w:ascii="Times New Roman" w:hAnsi="Times New Roman"/>
          <w:sz w:val="24"/>
        </w:rPr>
        <w:t>), jejichž clearing provádí ústřední protistrana, je přímá protistrana zúčtovacím místem fungujícím jako ústřední protistrana.   V případě úvěrových derivátů se při jejich rozdělení podle protistran odkáže na odvětví, do něhož je zařazena protistrana kontraktu (příjemce nebo poskytovatel zajištění);</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u poskytnutých finančních záruk je protistranou přímá protistrana zaručeného dluhového nástroje;</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u úvěrových příslibů a jiných poskytnutých příslibů je </w:t>
      </w:r>
      <w:proofErr w:type="gramStart"/>
      <w:r>
        <w:rPr>
          <w:rFonts w:ascii="Times New Roman" w:hAnsi="Times New Roman"/>
          <w:sz w:val="24"/>
        </w:rPr>
        <w:t>to  protistrana</w:t>
      </w:r>
      <w:proofErr w:type="gramEnd"/>
      <w:r>
        <w:rPr>
          <w:rFonts w:ascii="Times New Roman" w:hAnsi="Times New Roman"/>
          <w:sz w:val="24"/>
        </w:rPr>
        <w:t xml:space="preserve">, jejíž úvěrové riziko předpokládá vykazující instituce;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u úvěrových příslibů, finančních záruk a jiných získaných příslibů je to ručitel nebo protistrana, která vykazující instituci poskytla příslib.</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3" w:name="_Toc361844209"/>
      <w:r>
        <w:rPr>
          <w:rFonts w:ascii="Times New Roman" w:hAnsi="Times New Roman"/>
          <w:b/>
          <w:sz w:val="24"/>
        </w:rPr>
        <w:t>ČÁST DRUHÁ</w:t>
      </w:r>
      <w:bookmarkEnd w:id="43"/>
    </w:p>
    <w:p w:rsidR="009569C7" w:rsidRPr="00EC4FA2" w:rsidRDefault="00A834F1" w:rsidP="009569C7">
      <w:pPr>
        <w:pStyle w:val="Heading1"/>
        <w:jc w:val="both"/>
      </w:pPr>
      <w:bookmarkStart w:id="44" w:name="_Toc362359281"/>
      <w:bookmarkStart w:id="45" w:name="_Toc467855205"/>
      <w:bookmarkStart w:id="46" w:name="_Toc485708541"/>
      <w:r>
        <w:lastRenderedPageBreak/>
        <w:t>Pokyny k vyplňování šablon</w:t>
      </w:r>
      <w:bookmarkEnd w:id="44"/>
      <w:bookmarkEnd w:id="45"/>
      <w:bookmarkEnd w:id="46"/>
    </w:p>
    <w:p w:rsidR="009569C7" w:rsidRPr="00EC4FA2" w:rsidRDefault="00A834F1" w:rsidP="009569C7">
      <w:pPr>
        <w:pStyle w:val="subtitlenumbered"/>
        <w:keepNext/>
        <w:numPr>
          <w:ilvl w:val="0"/>
          <w:numId w:val="36"/>
        </w:numPr>
        <w:jc w:val="both"/>
      </w:pPr>
      <w:bookmarkStart w:id="47" w:name="_Toc361844211"/>
      <w:bookmarkStart w:id="48" w:name="_Toc362359282"/>
      <w:bookmarkStart w:id="49" w:name="_Toc467855206"/>
      <w:bookmarkStart w:id="50" w:name="_Toc485708542"/>
      <w:r>
        <w:t>Rozvaha</w:t>
      </w:r>
      <w:bookmarkEnd w:id="47"/>
      <w:bookmarkEnd w:id="48"/>
      <w:bookmarkEnd w:id="49"/>
      <w:bookmarkEnd w:id="50"/>
    </w:p>
    <w:p w:rsidR="009569C7" w:rsidRPr="00EC4FA2" w:rsidRDefault="00A834F1" w:rsidP="009569C7">
      <w:pPr>
        <w:pStyle w:val="sub-subtitlenumbered"/>
        <w:jc w:val="both"/>
      </w:pPr>
      <w:bookmarkStart w:id="51" w:name="_Toc361844212"/>
      <w:bookmarkStart w:id="52" w:name="_Toc362359283"/>
      <w:bookmarkStart w:id="53" w:name="_Toc467855207"/>
      <w:bookmarkStart w:id="54" w:name="_Toc485708543"/>
      <w:r>
        <w:t>Aktiva (1.1)</w:t>
      </w:r>
      <w:bookmarkEnd w:id="51"/>
      <w:bookmarkEnd w:id="52"/>
      <w:bookmarkEnd w:id="53"/>
      <w:bookmarkEnd w:id="54"/>
    </w:p>
    <w:p w:rsidR="009569C7" w:rsidRPr="00EC4FA2" w:rsidRDefault="00A834F1" w:rsidP="009569C7">
      <w:pPr>
        <w:pStyle w:val="Baseparagraphnumbered"/>
        <w:numPr>
          <w:ilvl w:val="0"/>
          <w:numId w:val="35"/>
        </w:numPr>
      </w:pPr>
      <w:bookmarkStart w:id="55" w:name="_Toc246513943"/>
      <w:bookmarkStart w:id="56" w:name="_Toc246730615"/>
      <w:bookmarkStart w:id="57" w:name="_Toc246730706"/>
      <w:bookmarkEnd w:id="55"/>
      <w:bookmarkEnd w:id="56"/>
      <w:bookmarkEnd w:id="57"/>
      <w:r>
        <w:t>„Pokladní hotovost“ zahrnuje držení bankovek a mincí v národních a jiných měnách uvedených do oběhu, které se běžně používají k provádění plateb.</w:t>
      </w:r>
    </w:p>
    <w:p w:rsidR="009569C7" w:rsidRPr="00EC4FA2" w:rsidRDefault="00A834F1" w:rsidP="009569C7">
      <w:pPr>
        <w:pStyle w:val="Baseparagraphnumbered"/>
      </w:pPr>
      <w:r>
        <w:t>„Hotovost u centrálních bank“ zahrnuje zůstatky pohledávek u centrálních bank, které lze vybrat na požádání.</w:t>
      </w:r>
    </w:p>
    <w:p w:rsidR="009569C7" w:rsidRPr="00EC4FA2" w:rsidRDefault="00A834F1" w:rsidP="009569C7">
      <w:pPr>
        <w:pStyle w:val="Baseparagraphnumbered"/>
      </w:pPr>
      <w:r>
        <w:t xml:space="preserve">„Ostatní vklady na požádání“ zahrnují zůstatky pohledávek u úvěrových institucí, které lze vybrat na požádání. </w:t>
      </w:r>
    </w:p>
    <w:p w:rsidR="009569C7" w:rsidRPr="00EC4FA2" w:rsidRDefault="00A834F1" w:rsidP="009569C7">
      <w:pPr>
        <w:pStyle w:val="Baseparagraphnumbered"/>
      </w:pPr>
      <w:r>
        <w:t xml:space="preserve">„Investice do dceřiných společností a společných a přidružených podniků“ zahrnují investice do přidružených a společných podniků a dceřiných společností, které nejsou plně nebo poměrně konsolidovány na základě konsolidace podle právních předpisů, s výjimkou případů, když jsou klasifikovány jako držené k prodeji v souladu s IFRS 5 bez ohledu na to, jak jsou oceňovány, mimo jiné i když účetní standardy umožňují jejich zařazení do rozdílných účetních portfolií používaných pro finanční nástroje.  Účetní hodnota investic zúčtovaná pomocí ekvivalenční metody zahrnuje příslušný goodwill. </w:t>
      </w:r>
    </w:p>
    <w:p w:rsidR="009569C7" w:rsidRPr="00EC4FA2" w:rsidRDefault="00A834F1" w:rsidP="009569C7">
      <w:pPr>
        <w:pStyle w:val="Baseparagraphnumbered"/>
      </w:pPr>
      <w:r>
        <w:t xml:space="preserve">Aktiva, která nejsou finančními aktivy a která jsou té povahy, že je nelze zařadit do samostatných položek rozvahy, se vykáží jako „ostatní aktiva“. Mezi tato ostatní aktiva patří například zlato, stříbro a další komodity, a to i v případě, že jsou drženy se záměrem obchodování. </w:t>
      </w:r>
    </w:p>
    <w:p w:rsidR="009569C7" w:rsidRPr="00EC4FA2" w:rsidRDefault="00A834F1" w:rsidP="009569C7">
      <w:pPr>
        <w:pStyle w:val="Baseparagraphnumbered"/>
      </w:pPr>
      <w:r>
        <w:t xml:space="preserve">Podle příslušných vnitrostátních GAAP založených na BAD se účetní hodnota odkoupených vlastních akcií vykáže jako „ostatní aktiva“, je-li vykázání jako aktiva možné podle příslušných vnitrostátních GAAP.   </w:t>
      </w:r>
    </w:p>
    <w:p w:rsidR="009569C7" w:rsidRPr="00EC4FA2" w:rsidRDefault="00A834F1" w:rsidP="009569C7">
      <w:pPr>
        <w:pStyle w:val="Baseparagraphnumbered"/>
      </w:pPr>
      <w:r>
        <w:t xml:space="preserve">„Neoběžná aktiva a vyřazované skupiny určené k prodeji“ mají týž význam jako v rámci IFRS 5. </w:t>
      </w:r>
    </w:p>
    <w:p w:rsidR="009569C7" w:rsidRPr="00EC4FA2" w:rsidRDefault="00A834F1" w:rsidP="009569C7">
      <w:pPr>
        <w:pStyle w:val="sub-subtitlenumbered"/>
        <w:jc w:val="both"/>
      </w:pPr>
      <w:bookmarkStart w:id="58" w:name="_Toc361844213"/>
      <w:bookmarkStart w:id="59" w:name="_Toc362359284"/>
      <w:bookmarkStart w:id="60" w:name="_Toc467855208"/>
      <w:bookmarkStart w:id="61" w:name="_Toc485708544"/>
      <w:r>
        <w:t>Závazky (1.2)</w:t>
      </w:r>
      <w:bookmarkEnd w:id="58"/>
      <w:bookmarkEnd w:id="59"/>
      <w:bookmarkEnd w:id="60"/>
      <w:bookmarkEnd w:id="61"/>
    </w:p>
    <w:p w:rsidR="009569C7" w:rsidRPr="00EC4FA2" w:rsidRDefault="00A834F1" w:rsidP="009569C7">
      <w:pPr>
        <w:pStyle w:val="Baseparagraphnumbered"/>
      </w:pPr>
      <w:bookmarkStart w:id="62" w:name="_Toc246513946"/>
      <w:bookmarkStart w:id="63" w:name="_Toc246730618"/>
      <w:bookmarkStart w:id="64" w:name="_Toc246730709"/>
      <w:bookmarkEnd w:id="62"/>
      <w:bookmarkEnd w:id="63"/>
      <w:bookmarkEnd w:id="64"/>
      <w:r>
        <w:t xml:space="preserve"> Rezervy na hrozící ztráty z neefektivní části zajišťovacího vztahu portfolia podle vnitrostátních GAAP založených na BAD se vykazují na řádku „Deriváty – zajišťovací účetnictví“, pokud ztráta vznikla z ocenění zajišťovacího derivátu, nebo na řádku „Změny reálné hodnoty zajišťovaných položek v zajištění úrokového rizika na bázi portfolia“, pokud ztráta vznikla z ocenění zajištěné pozice. Není-li možné rozlišit mezi ztrátami vzniklými z ocenění zajišťovacího derivátu a ztrátou vzniklou z ocenění zajištěné pozice, veškeré rezervy na hrozící ztráty z neefektivní části zajišťovacího vztahu portfolia se vykazují na řádku „Deriváty – zajišťovací účetnictví“.</w:t>
      </w:r>
    </w:p>
    <w:p w:rsidR="009569C7" w:rsidRPr="00EC4FA2" w:rsidRDefault="00A834F1" w:rsidP="009569C7">
      <w:pPr>
        <w:pStyle w:val="Baseparagraphnumbered"/>
      </w:pPr>
      <w:r>
        <w:t xml:space="preserve">Rezerva na „závazky z penzijních a jiných definovaných požitků po skončení pracovního poměru“ zahrnuje částku čistých závazků definovaných požitků. </w:t>
      </w:r>
    </w:p>
    <w:p w:rsidR="009569C7" w:rsidRPr="00EC4FA2" w:rsidRDefault="00A834F1" w:rsidP="009569C7">
      <w:pPr>
        <w:pStyle w:val="Baseparagraphnumbered"/>
      </w:pPr>
      <w:r>
        <w:lastRenderedPageBreak/>
        <w:t>V rámci IFRS zahrnují rezervy na „ostatní dlouhodobé zaměstnanecké požitky“ částku odpovídající deficitům v dlouhodobých plánech zaměstnaneckých požitků, jejichž seznam je uveden v odst. 153 IAS 19. Výdaje příštího období určené na krátkodobé zaměstnanecké požitky [odst. 11 písm. a) IAS 19], plány definovaných příspěvků [odst. 51 písm. a) IAS 19] a požitky při ukončení pracovního poměru [odst. 169 písm. a) IAS 19] se uvedou jako „ostatní závazky“.</w:t>
      </w:r>
    </w:p>
    <w:p w:rsidR="009569C7" w:rsidRPr="00EC4FA2" w:rsidRDefault="00A834F1" w:rsidP="009569C7">
      <w:pPr>
        <w:pStyle w:val="Baseparagraphnumbered"/>
      </w:pPr>
      <w:r>
        <w:t>Podle IFRS rezervy na „poskytnuté přísliby a záruky“ zahrnují rezervy týkající se všech příslibů a záruk bez ohledu na to, zda se jejich znehodnocení určuje v souladu s IFRS 9, nebo jejich rezervy dodržují IAS 37, nebo se považují za pojišťovací smlouvy podle IFRS 4. Závazky vyplývající z příslibů a finančních záruk oceněných reálnou hodnotou do zisku nebo ztráty se nevykazují jako rezervy, ačkoli vyplývají z úvěrového rizika, ale v „ostatních finančních závazcích“ v souladu s odstavcem 40 částí první této přílohy.  Podle vnitrostátních GAAP založených na BAD, rezervy pro „poskytnuté přísliby a záruky“ zahrnují rezervy týkající se veškerých příslibů a záruk.</w:t>
      </w:r>
    </w:p>
    <w:p w:rsidR="009569C7" w:rsidRPr="00EC4FA2" w:rsidRDefault="00A834F1" w:rsidP="009569C7">
      <w:pPr>
        <w:pStyle w:val="Baseparagraphnumbered"/>
      </w:pPr>
      <w:r>
        <w:t>„Základní kapitál splatný na požádání“ zahrnuje kapitálové nástroje vydané danou institucí, které nesplňují kritéria nezbytná pro jejich zařazení do kategorie vlastního kapitálu. Pod tuto položku instituce zahrnou družstevní podíly, které nesplňují kritéria nezbytná pro jejich zařazení do kategorie vlastního kapitálu.</w:t>
      </w:r>
    </w:p>
    <w:p w:rsidR="009569C7" w:rsidRPr="00EC4FA2" w:rsidRDefault="00A834F1" w:rsidP="009569C7">
      <w:pPr>
        <w:pStyle w:val="Baseparagraphnumbered"/>
      </w:pPr>
      <w:r>
        <w:t xml:space="preserve">Závazky, které nejsou finančními závazky a které jsou té povahy, že je nelze zařadit do samostatných položek rozvahy, se vykáží jako „ostatní závazky“. </w:t>
      </w:r>
    </w:p>
    <w:p w:rsidR="009569C7" w:rsidRPr="00EC4FA2" w:rsidRDefault="00A834F1" w:rsidP="009569C7">
      <w:pPr>
        <w:pStyle w:val="Baseparagraphnumbered"/>
      </w:pPr>
      <w:r>
        <w:t xml:space="preserve">„Závazky spojené s vyřazovanými skupinami určenými k prodeji“ mají týž význam jako v rámci IFRS 5. </w:t>
      </w:r>
    </w:p>
    <w:p w:rsidR="009569C7" w:rsidRPr="00EC4FA2" w:rsidRDefault="00A834F1" w:rsidP="009569C7">
      <w:pPr>
        <w:pStyle w:val="Baseparagraphnumbered"/>
      </w:pPr>
      <w:r>
        <w:t>Podle vnitrostátních GAAP založených na BAD, „rezervy na všeobecná bankovní rizika“ jsou částky, které byly vyčleněny v souladu s článkem 38 BAD. V případě jejich zaúčtování jsou vedeny jako samostatná položka, buď jako závazek v položce „rezervy“, nebo v rámci vlastního kapitálu jako „ostatní rezervy“, v souladu s příslušnými vnitrostátními GAAP.</w:t>
      </w:r>
    </w:p>
    <w:p w:rsidR="009569C7" w:rsidRPr="00EC4FA2" w:rsidRDefault="00A834F1" w:rsidP="009569C7">
      <w:pPr>
        <w:pStyle w:val="sub-subtitlenumbered"/>
        <w:jc w:val="both"/>
      </w:pPr>
      <w:bookmarkStart w:id="65" w:name="_Toc361844214"/>
      <w:bookmarkStart w:id="66" w:name="_Toc362359285"/>
      <w:bookmarkStart w:id="67" w:name="_Toc467855209"/>
      <w:bookmarkStart w:id="68" w:name="_Toc485708545"/>
      <w:r>
        <w:t>Vlastní kapitál (1.3)</w:t>
      </w:r>
      <w:bookmarkEnd w:id="65"/>
      <w:bookmarkEnd w:id="66"/>
      <w:bookmarkEnd w:id="67"/>
      <w:bookmarkEnd w:id="68"/>
    </w:p>
    <w:p w:rsidR="009569C7" w:rsidRPr="00EC4FA2" w:rsidRDefault="00A834F1" w:rsidP="009569C7">
      <w:pPr>
        <w:pStyle w:val="Baseparagraphnumbered"/>
      </w:pPr>
      <w:r>
        <w:t xml:space="preserve">V rámci IFRS zahrnují kapitálové nástroje, které jsou nástroji finančními, kontrakty spadající do působnosti IAS 32. </w:t>
      </w:r>
    </w:p>
    <w:p w:rsidR="009569C7" w:rsidRPr="00EC4FA2" w:rsidRDefault="00A834F1" w:rsidP="009569C7">
      <w:pPr>
        <w:pStyle w:val="Baseparagraphnumbered"/>
      </w:pPr>
      <w:r>
        <w:t>Podle vnitrostátních GAAP založených na BAD, „upsaný dosud nesplacený kapitál“ zahrnuje účetní hodnotu kapitálu vydaného danou institucí, který byl upsán upisovatelem, k referenčnímu datu však nebyl splacen. Vykazuje-li se navýšení ještě nesplaceného kapitálu jako navýšení základního kapitálu, nesplacený kapitál, který byl upsán, se vykazuje v „nesplaceném kapitálu, který byl upsán“ v šabloně 1.3 a také v „ostatních aktivech“ v šabloně 1.1.   Jestliže podle příslušných vnitrostátních GAAP založených na BAD lze navýšení kapitálu vykázat pouze po přijetí platby od akcionářů, nevykáže se nesplacený kapitál v šabloně 1.3.</w:t>
      </w:r>
    </w:p>
    <w:p w:rsidR="009569C7" w:rsidRPr="00EC4FA2" w:rsidRDefault="00A834F1" w:rsidP="009569C7">
      <w:pPr>
        <w:pStyle w:val="Baseparagraphnumbered"/>
      </w:pPr>
      <w:r>
        <w:lastRenderedPageBreak/>
        <w:t>„Kapitálová složka složených finančních nástrojů“ zahrnuje kapitálovou složku složených finančních nástrojů (tj. finančních nástrojů, které obsahují závazkovou a kapitálovou složku) vydaných danou institucí, je-li oddělena v souladu s příslušným účetním rámcem (zahrnuje také složené finanční nástroje s vícenásobnými vloženými deriváty, jejichž hodnoty na sobě vzájemně závisejí).</w:t>
      </w:r>
    </w:p>
    <w:p w:rsidR="009569C7" w:rsidRPr="00EC4FA2" w:rsidRDefault="00A834F1" w:rsidP="009569C7">
      <w:pPr>
        <w:pStyle w:val="Baseparagraphnumbered"/>
      </w:pPr>
      <w:r>
        <w:t xml:space="preserve">„Ostatní vydané kapitálové nástroje“ zahrnují kapitálové nástroje, které jsou nástroji finančními, kromě „kapitálu“ a „kapitálových složek složených finančních nástrojů“. </w:t>
      </w:r>
    </w:p>
    <w:p w:rsidR="009569C7" w:rsidRPr="00EC4FA2" w:rsidRDefault="00A834F1" w:rsidP="009569C7">
      <w:pPr>
        <w:pStyle w:val="Baseparagraphnumbered"/>
      </w:pPr>
      <w:r>
        <w:t xml:space="preserve">„Ostatní vlastní kapitál“ zahrnuje veškeré kapitálové nástroje, které nejsou nástroji finančními, mj. úhrady vázané na akcie vypořádané kapitálovými nástroji [odstavec 10 IFRS 2]. </w:t>
      </w:r>
    </w:p>
    <w:p w:rsidR="009569C7" w:rsidRPr="00EC4FA2" w:rsidRDefault="00A834F1" w:rsidP="009569C7">
      <w:pPr>
        <w:pStyle w:val="Baseparagraphnumbered"/>
      </w:pPr>
      <w:r>
        <w:t xml:space="preserve">„Reálná hodnota kapitálových nástrojů oceněných reálnou hodnotou do ostatního úplného výsledku“ zahrnuje kumulované zisky a ztráty v důsledku změn v reálné hodnotě investicí do kapitálových nástrojů, u nichž vykazující účetní jednotka neodvolatelně zvolila, že bude vykazovat změny v reálné hodnotě v ostatním úplném výsledku. </w:t>
      </w:r>
    </w:p>
    <w:p w:rsidR="009569C7" w:rsidRPr="00EC4FA2" w:rsidRDefault="00A834F1" w:rsidP="009569C7">
      <w:pPr>
        <w:pStyle w:val="Baseparagraphnumbered"/>
      </w:pPr>
      <w:r>
        <w:t xml:space="preserve">„Neefektivnost zajištění reálné hodnoty kapitálových nástrojů oceněných reálnou hodnotou do ostatního úplného výsledku“ zahrnuje kumulovanou neefektivnost zajištění vznikající v zajištění reálné hodnoty, v níž zajištěnou položkou je kapitálový nástroj oceněný reálnou hodnotou do ostatního úplného výsledku. Neefektivnost zajištění vykazovaná v tomto řádku je rozdíl mezi kumulovanou změnou reálné hodnoty kapitálového nástroje vykazovaného ve „změnách reálné hodnoty kapitálových nástrojů oceněných reálnou </w:t>
      </w:r>
      <w:proofErr w:type="gramStart"/>
      <w:r>
        <w:t>hodnotou  do</w:t>
      </w:r>
      <w:proofErr w:type="gramEnd"/>
      <w:r>
        <w:t xml:space="preserve"> ostatního úplného výsledku [zajištěná položka]“ a kumulovanou změnou reálné hodnoty zajišťovacího derivátu vykazovanou ve „změnách reálné hodnoty kapitálových nástrojů oceněných reálnou hodnotou do ostatního úplného výsledku [zajišťovací nástroj]“ [odstavec 6.5.3 IFRS 9 a odstavec 6.5.8 IFRS 9].   </w:t>
      </w:r>
    </w:p>
    <w:p w:rsidR="009569C7" w:rsidRPr="00EC4FA2" w:rsidRDefault="00A834F1" w:rsidP="009569C7">
      <w:pPr>
        <w:pStyle w:val="Baseparagraphnumbered"/>
      </w:pPr>
      <w:r>
        <w:t xml:space="preserve">„Změny reálné hodnoty finančních závazků v reálné hodnotě vykazované do zisku nebo ztráty započitatelné do změn v úvěrovém riziku“ zahrnují kumulované zisky a ztráty zaúčtované v ostatním úplném výsledku a související s vlastním úvěrovým rizikem u závazků </w:t>
      </w:r>
      <w:proofErr w:type="gramStart"/>
      <w:r>
        <w:t>oceňovaných  reálnou</w:t>
      </w:r>
      <w:proofErr w:type="gramEnd"/>
      <w:r>
        <w:t xml:space="preserve"> hodnotou do zisku nebo ztráty bez ohledu na to, zda k ocenění došlo při prvotním zaúčtování nebo následně.   </w:t>
      </w:r>
    </w:p>
    <w:p w:rsidR="009569C7" w:rsidRPr="00EC4FA2" w:rsidRDefault="00A834F1" w:rsidP="009569C7">
      <w:pPr>
        <w:pStyle w:val="Baseparagraphnumbered"/>
      </w:pPr>
      <w:r>
        <w:t xml:space="preserve">„Zajištění čistých investicí do zahraničních jednotek [efektivní část]“ zahrnuje přecenění čistých aktiv z investic v zahraničí pro efektivní část průběžných zajištění čistých investicí do zahraničních jednotek a zajištění čistých investicí do zahraničních jednotek, které se už neuplatňují, zatímco zahraniční jednotky se nadále vykazují v rozvaze. </w:t>
      </w:r>
    </w:p>
    <w:p w:rsidR="009569C7" w:rsidRPr="00EC4FA2" w:rsidRDefault="00A834F1" w:rsidP="009569C7">
      <w:pPr>
        <w:pStyle w:val="Baseparagraphnumbered"/>
      </w:pPr>
      <w:r>
        <w:t xml:space="preserve">„Zajišťovací deriváty. Rezerva zajištění peněžních toků [efektivní část]“ zahrnuje rezervu zajištění peněžních toků pro efektivní část rozdílu v reálné hodnotě zajišťovacích derivátů při zajištění peněžních toků jak pro zajištění </w:t>
      </w:r>
      <w:r>
        <w:lastRenderedPageBreak/>
        <w:t xml:space="preserve">průběžných peněžních toků, tak i pro zajištění peněžních toků, které se už neuplatňují. </w:t>
      </w:r>
    </w:p>
    <w:p w:rsidR="009569C7" w:rsidRPr="00EC4FA2" w:rsidRDefault="00A834F1" w:rsidP="009569C7">
      <w:pPr>
        <w:pStyle w:val="Baseparagraphnumbered"/>
      </w:pPr>
      <w:r>
        <w:t xml:space="preserve">„Změny reálné hodnoty dluhových nástrojů oceněných reálnou hodnotou do ostatního úplného výsledku“ zahrnují kumulované zisky nebo ztráty z dluhových nástrojů oceněných reálnou hodnotou do ostatního úplného výsledku, po odečtení opravné položky, která se oceňuje k datu vykazování v souladu s odstavcem 5.5 IFRS 9. </w:t>
      </w:r>
    </w:p>
    <w:p w:rsidR="009569C7" w:rsidRPr="00EC4FA2" w:rsidRDefault="00A834F1" w:rsidP="009569C7">
      <w:pPr>
        <w:pStyle w:val="Baseparagraphnumbered"/>
      </w:pPr>
      <w:r>
        <w:t xml:space="preserve">„Zajišťovací nástroje [neurčené prvky]“ zahrnují kumulované změny reálné hodnoty všeho následujícího: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časová hodnota možnosti, když jsou změny časové hodnoty a vnitřní hodnoty této možnosti oddělené a pouze změna vnitřní hodnoty plní funkci zajišťovacího nástroje [odstavec </w:t>
      </w:r>
      <w:proofErr w:type="gramStart"/>
      <w:r>
        <w:rPr>
          <w:rFonts w:ascii="Times New Roman" w:hAnsi="Times New Roman"/>
          <w:sz w:val="24"/>
        </w:rPr>
        <w:t>6.5.15</w:t>
      </w:r>
      <w:proofErr w:type="gramEnd"/>
      <w:r>
        <w:rPr>
          <w:rFonts w:ascii="Times New Roman" w:hAnsi="Times New Roman"/>
          <w:sz w:val="24"/>
        </w:rPr>
        <w:t xml:space="preserve"> IFRS 9];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proofErr w:type="spellStart"/>
      <w:r>
        <w:rPr>
          <w:rFonts w:ascii="Times New Roman" w:hAnsi="Times New Roman"/>
          <w:sz w:val="24"/>
        </w:rPr>
        <w:t>forwardová</w:t>
      </w:r>
      <w:proofErr w:type="spellEnd"/>
      <w:r>
        <w:rPr>
          <w:rFonts w:ascii="Times New Roman" w:hAnsi="Times New Roman"/>
          <w:sz w:val="24"/>
        </w:rPr>
        <w:t xml:space="preserve"> část forwardové smlouvy, pokud je </w:t>
      </w:r>
      <w:proofErr w:type="spellStart"/>
      <w:r>
        <w:rPr>
          <w:rFonts w:ascii="Times New Roman" w:hAnsi="Times New Roman"/>
          <w:sz w:val="24"/>
        </w:rPr>
        <w:t>forwardová</w:t>
      </w:r>
      <w:proofErr w:type="spellEnd"/>
      <w:r>
        <w:rPr>
          <w:rFonts w:ascii="Times New Roman" w:hAnsi="Times New Roman"/>
          <w:sz w:val="24"/>
        </w:rPr>
        <w:t xml:space="preserve"> část a spotová část této forwardové smlouvy oddělena a pouze změna ve spotové části forwardové smlouvy plní funkci zajišťovacího nástroje;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měnové bazické rozpětí (</w:t>
      </w:r>
      <w:proofErr w:type="spellStart"/>
      <w:r>
        <w:rPr>
          <w:rFonts w:ascii="Times New Roman" w:hAnsi="Times New Roman"/>
          <w:sz w:val="24"/>
        </w:rPr>
        <w:t>basis</w:t>
      </w:r>
      <w:proofErr w:type="spellEnd"/>
      <w:r>
        <w:rPr>
          <w:rFonts w:ascii="Times New Roman" w:hAnsi="Times New Roman"/>
          <w:sz w:val="24"/>
        </w:rPr>
        <w:t xml:space="preserve"> </w:t>
      </w:r>
      <w:proofErr w:type="spellStart"/>
      <w:r>
        <w:rPr>
          <w:rFonts w:ascii="Times New Roman" w:hAnsi="Times New Roman"/>
          <w:sz w:val="24"/>
        </w:rPr>
        <w:t>spread</w:t>
      </w:r>
      <w:proofErr w:type="spellEnd"/>
      <w:r>
        <w:rPr>
          <w:rFonts w:ascii="Times New Roman" w:hAnsi="Times New Roman"/>
          <w:sz w:val="24"/>
        </w:rPr>
        <w:t xml:space="preserve">) z finančního nástroje, je-li toto rozpětí vyloučeno z použití tohoto finančního nástroje jako zajišťovacího nástroje [odstavec </w:t>
      </w:r>
      <w:proofErr w:type="gramStart"/>
      <w:r>
        <w:rPr>
          <w:rFonts w:ascii="Times New Roman" w:hAnsi="Times New Roman"/>
          <w:sz w:val="24"/>
        </w:rPr>
        <w:t>6.5.15</w:t>
      </w:r>
      <w:proofErr w:type="gramEnd"/>
      <w:r>
        <w:rPr>
          <w:rFonts w:ascii="Times New Roman" w:hAnsi="Times New Roman"/>
          <w:sz w:val="24"/>
        </w:rPr>
        <w:t xml:space="preserve"> IFRS 9 a odstavec 6.5.16 IFRS 9].</w:t>
      </w:r>
    </w:p>
    <w:p w:rsidR="009569C7" w:rsidRPr="00EC4FA2" w:rsidRDefault="00A834F1" w:rsidP="009569C7">
      <w:pPr>
        <w:pStyle w:val="Baseparagraphnumbered"/>
      </w:pPr>
      <w:r>
        <w:t xml:space="preserve">V rámci IFRS zahrnují „rezervní fondy z přecenění“ hodnotu rezervních fondů stanovených na základě prvního přijetí IAS, pokud nebyly rozpuštěny do jiných rezervních fondů. </w:t>
      </w:r>
    </w:p>
    <w:p w:rsidR="009569C7" w:rsidRPr="00EC4FA2" w:rsidRDefault="00A834F1" w:rsidP="009569C7">
      <w:pPr>
        <w:pStyle w:val="Baseparagraphnumbered"/>
      </w:pPr>
      <w:r>
        <w:t>„Ostatní rezervní fondy“ se dělí na „rezervní fondy nebo kumulované ztráty z investic do dceřiných, společných a přidružených podniků zaúčtované použitím ekvivalenční metody“ a „ostatní“. „Rezervní fondy nebo kumulované ztráty investic do dceřiných, společných a přidružených podniků zaúčtované použitím ekvivalenční metody“ zahrnují kumulovanou částku výnosů a nákladů vzniklých v důsledku výše zmíněných investic a vykázaných do zisku nebo ztráty v minulých letech, pokud jsou zaúčtovány použitím ekvivalenční metody. Pod položku „ostatní“ spadají rezervní fondy, které nejsou vykazovány samostatně v rámci jiných položek, a mezi které může patřit zákonný rezervní fond a stanovami určený rezervní fond.</w:t>
      </w:r>
    </w:p>
    <w:p w:rsidR="009569C7" w:rsidRPr="00EC4FA2" w:rsidRDefault="00A834F1" w:rsidP="009569C7">
      <w:pPr>
        <w:pStyle w:val="Baseparagraphnumbered"/>
      </w:pPr>
      <w:r>
        <w:t xml:space="preserve">„Vlastní akcie“ zahrnují všechny finanční nástroje, které mají vlastnosti nástrojů vlastního kapitálu a znovu je získala instituce, dokud nejsou prodány nebo amortizovány, s výjimkou případů, kdy se podle příslušných vnitrostátních GAAP založených na BAD vykáží v „ostatních aktivech“. </w:t>
      </w:r>
    </w:p>
    <w:p w:rsidR="009569C7" w:rsidRPr="00EC4FA2" w:rsidRDefault="00A834F1" w:rsidP="009569C7">
      <w:pPr>
        <w:pStyle w:val="subtitlenumbered"/>
        <w:jc w:val="both"/>
      </w:pPr>
      <w:bookmarkStart w:id="69" w:name="_Toc246513955"/>
      <w:bookmarkStart w:id="70" w:name="_Toc246730627"/>
      <w:bookmarkStart w:id="71" w:name="_Toc246730718"/>
      <w:bookmarkStart w:id="72" w:name="_Toc361844215"/>
      <w:bookmarkStart w:id="73" w:name="_Toc362359286"/>
      <w:bookmarkStart w:id="74" w:name="_Toc467855210"/>
      <w:bookmarkStart w:id="75" w:name="_Toc485708546"/>
      <w:bookmarkEnd w:id="69"/>
      <w:bookmarkEnd w:id="70"/>
      <w:bookmarkEnd w:id="71"/>
      <w:r>
        <w:t>Výkaz zisku nebo ztráty (2)</w:t>
      </w:r>
      <w:bookmarkEnd w:id="72"/>
      <w:bookmarkEnd w:id="73"/>
      <w:bookmarkEnd w:id="74"/>
      <w:bookmarkEnd w:id="75"/>
    </w:p>
    <w:p w:rsidR="009569C7" w:rsidRPr="00EC4FA2" w:rsidRDefault="00A834F1" w:rsidP="009569C7">
      <w:pPr>
        <w:pStyle w:val="Baseparagraphnumbered"/>
      </w:pPr>
      <w:r>
        <w:t>Úrokové výnosy nebo úrokové náklady z finančních nástrojů oceněných reálnou hodnotou do zisku nebo ztráty a ze zajišťovacích derivátů začleněných do kategorie „zajišťovací účetnictví“ se vykazují buď odděleně od jiných zisků a ztrát v rámci položek „úrokový výnos“ nebo „úrokový náklad“ (tzv. „</w:t>
      </w:r>
      <w:proofErr w:type="spellStart"/>
      <w:r>
        <w:t>clean</w:t>
      </w:r>
      <w:proofErr w:type="spellEnd"/>
      <w:r>
        <w:t xml:space="preserve"> </w:t>
      </w:r>
      <w:proofErr w:type="spellStart"/>
      <w:r>
        <w:t>price</w:t>
      </w:r>
      <w:proofErr w:type="spellEnd"/>
      <w:r>
        <w:t xml:space="preserve"> – čistá cena“), nebo jako součást zisků či ztrát z </w:t>
      </w:r>
      <w:r>
        <w:lastRenderedPageBreak/>
        <w:t>těchto kategorií nástrojů (tzv. „</w:t>
      </w:r>
      <w:proofErr w:type="spellStart"/>
      <w:r>
        <w:t>dirty</w:t>
      </w:r>
      <w:proofErr w:type="spellEnd"/>
      <w:r>
        <w:t xml:space="preserve"> </w:t>
      </w:r>
      <w:proofErr w:type="spellStart"/>
      <w:r>
        <w:t>price</w:t>
      </w:r>
      <w:proofErr w:type="spellEnd"/>
      <w:r>
        <w:t xml:space="preserve"> – hrubá cena“). Metoda čisté nebo hrubé ceny se důsledně uplatňuje u všech finančních nástrojů oceňovaných reálnou hodnotou do zisku nebo ztráty a u zajišťovacích derivátů začleněných do kategorie „zajišťovací účetnictví“. </w:t>
      </w:r>
    </w:p>
    <w:p w:rsidR="009569C7" w:rsidRPr="00EC4FA2" w:rsidRDefault="00A834F1" w:rsidP="009569C7">
      <w:pPr>
        <w:pStyle w:val="Baseparagraphnumbered"/>
      </w:pPr>
      <w:r>
        <w:t>Instituce vykazují tyto položky, které zahrnují výnos a náklady ve vztahu k příslušným stranám nekonsolidované plně nebo úměrně na základě konsolidace podle právních předpisů ve struktuře podle účetních portfolií:</w:t>
      </w:r>
    </w:p>
    <w:p w:rsidR="009569C7" w:rsidRPr="00EC4FA2" w:rsidRDefault="00A834F1" w:rsidP="009569C7">
      <w:pPr>
        <w:pStyle w:val="Baseparagraphnumbered"/>
        <w:numPr>
          <w:ilvl w:val="0"/>
          <w:numId w:val="30"/>
        </w:numPr>
        <w:ind w:left="1134" w:hanging="425"/>
      </w:pPr>
      <w:r>
        <w:t>„úrokové výnosy“;</w:t>
      </w:r>
    </w:p>
    <w:p w:rsidR="009569C7" w:rsidRPr="00EC4FA2" w:rsidRDefault="00A834F1" w:rsidP="009569C7">
      <w:pPr>
        <w:pStyle w:val="Baseparagraphnumbered"/>
        <w:numPr>
          <w:ilvl w:val="0"/>
          <w:numId w:val="30"/>
        </w:numPr>
        <w:ind w:left="1134" w:hanging="425"/>
      </w:pPr>
      <w:r>
        <w:t>„úrokové náklady“;</w:t>
      </w:r>
    </w:p>
    <w:p w:rsidR="009569C7" w:rsidRPr="00EC4FA2" w:rsidRDefault="00A834F1" w:rsidP="009569C7">
      <w:pPr>
        <w:pStyle w:val="Baseparagraphnumbered"/>
        <w:numPr>
          <w:ilvl w:val="0"/>
          <w:numId w:val="30"/>
        </w:numPr>
        <w:ind w:left="1134" w:hanging="425"/>
      </w:pPr>
      <w:r>
        <w:t>„výnosy z dividend“;</w:t>
      </w:r>
    </w:p>
    <w:p w:rsidR="009569C7" w:rsidRPr="00EC4FA2" w:rsidRDefault="00A834F1" w:rsidP="009569C7">
      <w:pPr>
        <w:pStyle w:val="Baseparagraphnumbered"/>
        <w:numPr>
          <w:ilvl w:val="0"/>
          <w:numId w:val="30"/>
        </w:numPr>
        <w:ind w:left="1134" w:hanging="425"/>
      </w:pPr>
      <w:r>
        <w:t>„čisté zisky nebo ztráty z odúčtování finančních aktiv a závazků neoceňovaných reálnou hodnotou do zisku nebo ztráty“;</w:t>
      </w:r>
    </w:p>
    <w:p w:rsidR="009569C7" w:rsidRPr="00EC4FA2" w:rsidRDefault="00A834F1" w:rsidP="009569C7">
      <w:pPr>
        <w:pStyle w:val="Baseparagraphnumbered"/>
        <w:numPr>
          <w:ilvl w:val="0"/>
          <w:numId w:val="30"/>
        </w:numPr>
        <w:ind w:left="1134" w:hanging="425"/>
      </w:pPr>
      <w:r>
        <w:t xml:space="preserve">„čistý zisk nebo ztráta z úpravy“;  </w:t>
      </w:r>
    </w:p>
    <w:p w:rsidR="009569C7" w:rsidRPr="00EC4FA2" w:rsidRDefault="00A834F1" w:rsidP="009569C7">
      <w:pPr>
        <w:pStyle w:val="Baseparagraphnumbered"/>
        <w:numPr>
          <w:ilvl w:val="0"/>
          <w:numId w:val="30"/>
        </w:numPr>
        <w:ind w:left="1134" w:hanging="425"/>
      </w:pPr>
      <w:r>
        <w:t>„ztráty ze znehodnocení nebo (-) jejich reverzování u finančních aktiv neoceňovaných reálnou hodnotou do zisku nebo ztráty“;</w:t>
      </w:r>
    </w:p>
    <w:p w:rsidR="009569C7" w:rsidRPr="00EC4FA2" w:rsidRDefault="00A834F1" w:rsidP="009569C7">
      <w:pPr>
        <w:pStyle w:val="Baseparagraphnumbered"/>
      </w:pPr>
      <w:r>
        <w:t xml:space="preserve">„úrokové výnosy“; „finanční aktiva k obchodování“ a „úrokové náklady. Finanční závazky k obchodování“, pokud se používá čistá cena, zahrnují částky týkající se derivátů začleněných do kategorie „držených k obchodování“, což jsou zajišťovací nástroje z ekonomického ale ne z účetního hlediska za účelem vykázání správných úrokových výnosů a výdajů z finančních nástrojů, které jsou zajištěné. </w:t>
      </w:r>
    </w:p>
    <w:p w:rsidR="009569C7" w:rsidRPr="00EC4FA2" w:rsidRDefault="00A834F1" w:rsidP="009569C7">
      <w:pPr>
        <w:pStyle w:val="Baseparagraphnumbered"/>
      </w:pPr>
      <w:r>
        <w:t xml:space="preserve">Pokud se používá čistá cena, „úrokové výnosy. Finanční aktiva k obchodování“ a „úrokové náklady. Finanční závazky k obchodování“ zahrnují také časově rozdělené poplatky a výplatu doplatků, pokud jde o úvěrové deriváty oceněné reálnou hodnotou a použité za účelem řízení úvěrového rizika části nebo celého finančního nástroje, který je při této příležitosti oceněn reálnou hodnotou [odstavec 6.7 IFRS 9]. </w:t>
      </w:r>
    </w:p>
    <w:p w:rsidR="009569C7" w:rsidRPr="00EC4FA2" w:rsidRDefault="00A834F1" w:rsidP="009569C7">
      <w:pPr>
        <w:pStyle w:val="Baseparagraphnumbered"/>
      </w:pPr>
      <w:r>
        <w:t>„Úrokové výnosy. Deriváty – zajišťovací účetnictví, úrokové riziko“ a „úrokové náklady. Deriváty – zajišťovací účetnictví, úrokové riziko“ zahrnují, používá-li se čistá cena, částky týkající se derivátů začleněných do kategorie „zajišťovací účetnictví“, které se vztahuje na úrokové riziko, včetně zajištění skupiny položek se započtením rizikových pozicí (zajištění čisté pozice), jejichž zajištěné riziko ovlivňuje různé rámcové položky ve výkazu zisku nebo ztráty. Používá-li se čistá cena, vykazují se tyto částky jako úrokové výnosy a úrokové náklady v hrubých částkách, z nichž je patrná správná výše úrokových výnosů a nákladů u zajištěných položek, na něž se vztahují. U čisté ceny, kde zajištěná položka generuje úrokové výnosy (náklady), se tyto částky vykazují jako úrokové výnosy (náklady), i když jde o zápornou (kladnou) částku.</w:t>
      </w:r>
    </w:p>
    <w:p w:rsidR="009569C7" w:rsidRPr="00EC4FA2" w:rsidRDefault="00A834F1" w:rsidP="009569C7">
      <w:pPr>
        <w:pStyle w:val="Baseparagraphnumbered"/>
      </w:pPr>
      <w:r>
        <w:lastRenderedPageBreak/>
        <w:t>„Úrokové výnosy – jiná aktiva“ zahrnují částky úrokových výnosů nezačleněných do jiných položek, jako jsou úrokové výnosy vázané na pokladní hotovost, hotovost u centrálních bank a ostatní vklady na požádání, neoběžná aktiva a vyřazované skupiny určené k prodeji a čisté úrokové výnosy z čistých aktiv definovaných požitků.</w:t>
      </w:r>
    </w:p>
    <w:p w:rsidR="009569C7" w:rsidRPr="00EC4FA2" w:rsidRDefault="00A834F1" w:rsidP="009569C7">
      <w:pPr>
        <w:pStyle w:val="Baseparagraphnumbered"/>
      </w:pPr>
      <w:r>
        <w:t xml:space="preserve">V rámci IFRS, a není-li ve vnitrostátních GAAP založených na BAD stanoveno jinak, vykazují se úroky spojené s finančními závazky se zápornou efektivní úrokovou mírou v položce „úrokové výnosy ze závazků“. Tyto závazky a úroky z nich generují instituci kladný výnos.  </w:t>
      </w:r>
    </w:p>
    <w:p w:rsidR="009569C7" w:rsidRPr="00EC4FA2" w:rsidRDefault="00A834F1" w:rsidP="009569C7">
      <w:pPr>
        <w:pStyle w:val="Baseparagraphnumbered"/>
      </w:pPr>
      <w:r>
        <w:t xml:space="preserve"> „Úrokové výnosy – ostatní závazky“ mohou zahrnovat částky úrokových nákladů nezačleněných do jiných položek, jako jsou úrokové náklady vázané na závazky spojené s vyřazovanými skupinami určenými k prodeji, náklady vyplývající ze zvyšování účetní hodnoty rezervy v průběhu času nebo čisté úrokové náklady z čistých závazků definovaných požitků. </w:t>
      </w:r>
    </w:p>
    <w:p w:rsidR="009569C7" w:rsidRPr="00EC4FA2" w:rsidRDefault="00A834F1" w:rsidP="009569C7">
      <w:pPr>
        <w:pStyle w:val="Baseparagraphnumbered"/>
      </w:pPr>
      <w:r>
        <w:t xml:space="preserve">V rámci IFRS, a není-li ve vnitrostátních GAAP stanoveno jinak, vykazují se úroky spojené s finančními aktivy se zápornou efektivní úrokovou mírou v položce „úrokové náklady na aktiva“. Tato aktiva a úroky z nich generují instituci záporný výnos. </w:t>
      </w:r>
    </w:p>
    <w:p w:rsidR="009569C7" w:rsidRPr="00EC4FA2" w:rsidRDefault="00A834F1" w:rsidP="009569C7">
      <w:pPr>
        <w:pStyle w:val="Baseparagraphnumbered"/>
      </w:pPr>
      <w:r>
        <w:t xml:space="preserve">Výnos z dividend nástrojů vlastního kapitálu oceněný reálnou hodnotou do zisku nebo ztráty se vykazuje buď jako „výnos z dividend“ odděleně od ostatních zisků a ztrát z těchto tříd nástrojů, používá-li se čistá cena, nebo jako část zisků nebo ztrát z těchto tříd nástrojů, používá-li se hrubá cena. </w:t>
      </w:r>
    </w:p>
    <w:p w:rsidR="009569C7" w:rsidRPr="00EC4FA2" w:rsidRDefault="00A834F1" w:rsidP="009569C7">
      <w:pPr>
        <w:pStyle w:val="Baseparagraphnumbered"/>
      </w:pPr>
      <w:r>
        <w:t>Výnos z dividend kapitálových nástrojů oceněný reálnou hodnotou do ostatního úplného výsledku zahrnuje dividendy, které souvisí s nástroji převedenými bez odúčtování z rozvahy během daného období a dividendy související s nástroji drženými ke konci účetního období.</w:t>
      </w:r>
    </w:p>
    <w:p w:rsidR="009569C7" w:rsidRPr="00EC4FA2" w:rsidRDefault="00A834F1" w:rsidP="009569C7">
      <w:pPr>
        <w:pStyle w:val="Baseparagraphnumbered"/>
      </w:pPr>
      <w:r>
        <w:t xml:space="preserve">Výnos dividend z investicí do dceřiných, společných a přidružených podniků zahrnuje dividendy z těchto investicí účtované jinou než ekvivalenční metodou. </w:t>
      </w:r>
    </w:p>
    <w:p w:rsidR="009569C7" w:rsidRPr="00EC4FA2" w:rsidRDefault="00A834F1" w:rsidP="009569C7">
      <w:pPr>
        <w:pStyle w:val="Baseparagraphnumbered"/>
      </w:pPr>
      <w:r>
        <w:t xml:space="preserve">„Čisté zisky nebo (-) ztráty z finančních aktiv a závazků k obchodování“ zahrnují zisky a ztráty v přecenění a převedení finančních nástrojů, klasifikovaných jako držených k obchodování a jejich odúčtování z rozvahy. Tato položka zahrnuje rovněž zisky a ztráty z úvěrových derivátů oceněných reálnou hodnotou do zisku nebo ztráty použitých za účelem řízení úvěrového rizika celého finančního nástroje nebo jeho části určeného za oceněný reálnou hodnotou do zisku nebo ztráty a také výnosy z dividend a úrokové výnosy a náklady finančních aktiv a závazků k obchodování, používá-li se hrubá cena. </w:t>
      </w:r>
    </w:p>
    <w:p w:rsidR="009569C7" w:rsidRPr="00EC4FA2" w:rsidRDefault="00A834F1" w:rsidP="009569C7">
      <w:pPr>
        <w:pStyle w:val="Baseparagraphnumbered"/>
      </w:pPr>
      <w:r>
        <w:t xml:space="preserve">„Zisky nebo ztráty z finančních aktiv a závazků oceněných reálnou hodnotou do zisku nebo ztráty“ zahrnují také částku zaúčtovanou do výkazu zisku nebo ztráty u vlastního úvěrového rizika závazků oceňovaných reálnou hodnotou, pokud zaúčtování změn vlastního úvěrového rizika do jiného úplného výsledku vytváří nebo zvyšuje účetní neshodu [odstavec 5.7.8 IFRS 9]. Tato </w:t>
      </w:r>
      <w:r>
        <w:lastRenderedPageBreak/>
        <w:t>položka zahrnuje rovněž zisky a ztráty ze zajištěných nástrojů určených za oceněné reálnou hodnotou do zisku nebo ztráty, pokud se určení používá k řízení úvěrového rizika, a také úrokové výnosy a náklady z finančních aktiv a závazků oceněných reálnou hodnotou do zisku nebo ztráty, používá-li se hrubá cena.</w:t>
      </w:r>
    </w:p>
    <w:p w:rsidR="009569C7" w:rsidRPr="00EC4FA2" w:rsidRDefault="00A834F1" w:rsidP="009569C7">
      <w:pPr>
        <w:pStyle w:val="Baseparagraphnumbered"/>
      </w:pPr>
      <w:r>
        <w:t xml:space="preserve">„Zisky nebo (-) ztráty z odúčtování finančních aktiv a závazků neoceňovaných reálnou hodnotou do zisku nebo ztráty“ nezahrnují zisky z kapitálových nástrojů, které si vykazující účetní jednotka zvolila za účelem oceňování reálnou hodnotou do ostatního úplného výsledku [odst. </w:t>
      </w:r>
      <w:proofErr w:type="gramStart"/>
      <w:r>
        <w:t>5.7.l písm.</w:t>
      </w:r>
      <w:proofErr w:type="gramEnd"/>
      <w:r>
        <w:t xml:space="preserve"> b) IFRS 9].</w:t>
      </w:r>
    </w:p>
    <w:p w:rsidR="009569C7" w:rsidRPr="00EC4FA2" w:rsidRDefault="00A834F1" w:rsidP="009569C7">
      <w:pPr>
        <w:pStyle w:val="Baseparagraphnumbered"/>
      </w:pPr>
      <w:r>
        <w:t xml:space="preserve">Pokud změna v obchodním modelu vede k </w:t>
      </w:r>
      <w:proofErr w:type="spellStart"/>
      <w:r>
        <w:t>reklasifikaci</w:t>
      </w:r>
      <w:proofErr w:type="spellEnd"/>
      <w:r>
        <w:t xml:space="preserve"> finančních aktiv do rozdílného účetního portfolia, zisky nebo ztráty z </w:t>
      </w:r>
      <w:proofErr w:type="spellStart"/>
      <w:r>
        <w:t>reklasifikace</w:t>
      </w:r>
      <w:proofErr w:type="spellEnd"/>
      <w:r>
        <w:t xml:space="preserve"> se vykazují v příslušných řádcích účetního portfolia, v němž jsou finanční aktiva </w:t>
      </w:r>
      <w:proofErr w:type="spellStart"/>
      <w:r>
        <w:t>reklasifikována</w:t>
      </w:r>
      <w:proofErr w:type="spellEnd"/>
      <w:r>
        <w:t xml:space="preserve">, v souladu s následujícím: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pokud je finanční aktivum </w:t>
      </w:r>
      <w:proofErr w:type="spellStart"/>
      <w:r>
        <w:rPr>
          <w:rFonts w:ascii="Times New Roman" w:hAnsi="Times New Roman"/>
          <w:sz w:val="24"/>
        </w:rPr>
        <w:t>reklasifikováno</w:t>
      </w:r>
      <w:proofErr w:type="spellEnd"/>
      <w:r>
        <w:rPr>
          <w:rFonts w:ascii="Times New Roman" w:hAnsi="Times New Roman"/>
          <w:sz w:val="24"/>
        </w:rPr>
        <w:t xml:space="preserve"> z kategorie oceňování naběhlou hodnotou do účetního </w:t>
      </w:r>
      <w:proofErr w:type="spellStart"/>
      <w:r>
        <w:rPr>
          <w:rFonts w:ascii="Times New Roman" w:hAnsi="Times New Roman"/>
          <w:sz w:val="24"/>
        </w:rPr>
        <w:t>portforlia</w:t>
      </w:r>
      <w:proofErr w:type="spellEnd"/>
      <w:r>
        <w:rPr>
          <w:rFonts w:ascii="Times New Roman" w:hAnsi="Times New Roman"/>
          <w:sz w:val="24"/>
        </w:rPr>
        <w:t xml:space="preserve"> kategorie nástrojů oceňovaných reálnou hodnotou do zisku nebo ztráty [odstavec 5.6.2 IFRS 9], zisky nebo ztráty v důsledku </w:t>
      </w:r>
      <w:proofErr w:type="spellStart"/>
      <w:r>
        <w:rPr>
          <w:rFonts w:ascii="Times New Roman" w:hAnsi="Times New Roman"/>
          <w:sz w:val="24"/>
        </w:rPr>
        <w:t>reklasifikace</w:t>
      </w:r>
      <w:proofErr w:type="spellEnd"/>
      <w:r>
        <w:rPr>
          <w:rFonts w:ascii="Times New Roman" w:hAnsi="Times New Roman"/>
          <w:sz w:val="24"/>
        </w:rPr>
        <w:t xml:space="preserve"> se vykazují v položce „čisté zisky nebo (-) ztráty z finančních aktiv a závazků k obchodování“, případně v položce „čisté zisky nebo (-) ztráty z neobchodních finančních aktiv povinně oceňovaných reálnou hodnotou do zisku nebo ztráty“;</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pokud je finanční aktivum </w:t>
      </w:r>
      <w:proofErr w:type="spellStart"/>
      <w:r>
        <w:rPr>
          <w:rFonts w:ascii="Times New Roman" w:hAnsi="Times New Roman"/>
          <w:sz w:val="24"/>
        </w:rPr>
        <w:t>reklasifikováno</w:t>
      </w:r>
      <w:proofErr w:type="spellEnd"/>
      <w:r>
        <w:rPr>
          <w:rFonts w:ascii="Times New Roman" w:hAnsi="Times New Roman"/>
          <w:sz w:val="24"/>
        </w:rPr>
        <w:t xml:space="preserve"> z kategorie nástrojů oceňovaných reálnou hodnotou do ostatního úplného výsledku do kategorie nástrojů oceňovaných reálnou hodnotou do zisku nebo ztráty [odstavec 5.6.7 IFRS 9], kumulované zisky nebo ztráty dříve vykázané do ostatního úplného výsledku </w:t>
      </w:r>
      <w:proofErr w:type="spellStart"/>
      <w:r>
        <w:rPr>
          <w:rFonts w:ascii="Times New Roman" w:hAnsi="Times New Roman"/>
          <w:sz w:val="24"/>
        </w:rPr>
        <w:t>reklasifikované</w:t>
      </w:r>
      <w:proofErr w:type="spellEnd"/>
      <w:r>
        <w:rPr>
          <w:rFonts w:ascii="Times New Roman" w:hAnsi="Times New Roman"/>
          <w:sz w:val="24"/>
        </w:rPr>
        <w:t xml:space="preserve"> do zisku nebo ztráty </w:t>
      </w:r>
      <w:proofErr w:type="gramStart"/>
      <w:r>
        <w:rPr>
          <w:rFonts w:ascii="Times New Roman" w:hAnsi="Times New Roman"/>
          <w:sz w:val="24"/>
        </w:rPr>
        <w:t>se  vykazují</w:t>
      </w:r>
      <w:proofErr w:type="gramEnd"/>
      <w:r>
        <w:rPr>
          <w:rFonts w:ascii="Times New Roman" w:hAnsi="Times New Roman"/>
          <w:sz w:val="24"/>
        </w:rPr>
        <w:t xml:space="preserve"> v položce „čisté zisky nebo (-) ztráty z finančních aktiv a závazků k obchodování“ případně v položce „čisté zisky nebo (-) ztráty z neobchodních finančních aktiv povinně oceňovaných reálnou hodnotou do zisku nebo ztráty“.</w:t>
      </w:r>
    </w:p>
    <w:p w:rsidR="009569C7" w:rsidRPr="00EC4FA2" w:rsidRDefault="00A834F1" w:rsidP="009569C7">
      <w:pPr>
        <w:pStyle w:val="Baseparagraphnumbered"/>
      </w:pPr>
      <w:r>
        <w:t xml:space="preserve">„Čisté zisky nebo (-) ztráty ze zajišťovacího účetnictví“ zahrnují zisky a ztráty ze zajišťovacích nástrojů a zajištěných položek, včetně zajištěných položek oceněných reálnou hodnotou do ostatního úplného výsledku, vyjma kapitálových nástrojů, v rámci zajištění reálné hodnoty v souladu s odstavcem 6.5.8 IFRS 9. Zahrnují také neefektivní část změny reálné hodnoty zajišťovacích nástrojů při zajištění peněžních toků.  </w:t>
      </w:r>
      <w:proofErr w:type="spellStart"/>
      <w:r>
        <w:t>Reklasifikace</w:t>
      </w:r>
      <w:proofErr w:type="spellEnd"/>
      <w:r>
        <w:t xml:space="preserve"> rezervy na zajištění peněžních toků nebo rezervy na zajištění čisté investice do zahraniční jednotky se vykazuje na stejném řádku „výkazu zisku nebo ztráty“ jako zajištění ovlivněná peněžními toky ze zajištěných položek. „Čisté zisky nebo (-) ztráty ze zajišťovacího účetnictví“ zahrnují rovněž zisky a ztráty ze zajištění čisté investice do zahraniční jednotky. Tato položka zahrnuje také zisky ze zajištění čistých pozic.</w:t>
      </w:r>
    </w:p>
    <w:p w:rsidR="009569C7" w:rsidRPr="00EC4FA2" w:rsidRDefault="00A834F1" w:rsidP="009569C7">
      <w:pPr>
        <w:pStyle w:val="Baseparagraphnumbered"/>
      </w:pPr>
      <w:r>
        <w:t xml:space="preserve"> „Zisky nebo ztráty z odúčtování nefinančních aktiv“ zahrnují zisky a ztráty a ztráty z odúčtování nefinančních aktiv s výjimkou aktiv klasifikovaných jako </w:t>
      </w:r>
      <w:r>
        <w:lastRenderedPageBreak/>
        <w:t>určených k prodeji nebo jako investice do dceřiných, společných a přidružených podniků.</w:t>
      </w:r>
    </w:p>
    <w:p w:rsidR="009569C7" w:rsidRPr="00EC4FA2" w:rsidRDefault="00A834F1" w:rsidP="009569C7">
      <w:pPr>
        <w:pStyle w:val="Baseparagraphnumbered"/>
      </w:pPr>
      <w:r>
        <w:t>„Čisté zisky nebo ztráty (-) z modifikace“ zahrnují částky vznikající z úpravy hrubých účetních hodnot finančních aktiv, aby se odrazily znovu sjednané nebo modifikované smluvní peněžní toky [odstavec 5.4.3 a dodatek A IFRS 9] Zisky nebo ztráty z modifikace nezahrnují dopad modifikací na výši očekávaných úvěrových ztrát, které se vykazují v položce „znehodnocení nebo (-) zrušení znehodnocení z finančních aktiv neoceňovaných reálnou hodnotou do zisku nebo ztráty“.</w:t>
      </w:r>
    </w:p>
    <w:p w:rsidR="009569C7" w:rsidRPr="00EC4FA2" w:rsidRDefault="00A834F1" w:rsidP="009569C7">
      <w:pPr>
        <w:pStyle w:val="Baseparagraphnumbered"/>
      </w:pPr>
      <w:r>
        <w:t>„Rezervy nebo (-) zrušení rezerv. Poskytnuté přísliby a záruky“ zahrnují čisté poplatky ve „výkazu zisku nebo ztráty“ u rezerv na veškeré přísliby a záruky spadající do působnosti IFRS 9, IAS 37 nebo IFRS 4 v souladu s odstavcem 11 této části nebo podle vnitrostátních GAAP založených na BAD. Podle IFRS se každá změna v reálné hodnotě příslibů a finančních záruk oceněných reálnou hodnotou vykazuje v položce „čisté zisky nebo (-) ztráty z finančních aktiv a závazků oceněných reálnou hodnotou do zisku nebo ztráty“. Rezervy proto zahrnují znehodnocení částky příslibů a záruk, u nichž se znehodnocení určuje v souladu s IFRS 9, nebo jejich rezervy dodržují IAS 37, nebo se považují za pojišťovací smlouvy podle IFRS 4.</w:t>
      </w:r>
    </w:p>
    <w:p w:rsidR="009569C7" w:rsidRPr="00EC4FA2" w:rsidRDefault="00A834F1" w:rsidP="009569C7">
      <w:pPr>
        <w:pStyle w:val="Baseparagraphnumbered"/>
      </w:pPr>
      <w:r>
        <w:t xml:space="preserve">Podle IFRS „znehodnocení nebo (-) zrušení znehodnocení z finančních aktiv neoceněných reálnou hodnotou do zisku nebo ztráty“ zahrnuje veškeré zisky a ztráty ze znehodnocení u dluhových nástrojů vznikající z uplatňování pravidel o znehodnocení v odstavci 5.5 IFRS 9 bez ohledu na to, zda se očekávané úvěrové ztráty v souladu s odstavcem 5.5 IFRS 9 odhadují za dobu 12 měsíců, nebo za dobu trvání, včetně zisků nebo ztrát ze znehodnocení u pohledávek z obchodního styku, smluvních aktiv a pohledávek z leasingu [odstavec </w:t>
      </w:r>
      <w:proofErr w:type="gramStart"/>
      <w:r>
        <w:t>5.5.15</w:t>
      </w:r>
      <w:proofErr w:type="gramEnd"/>
      <w:r>
        <w:t xml:space="preserve"> IFRS 9]. </w:t>
      </w:r>
    </w:p>
    <w:p w:rsidR="009569C7" w:rsidRPr="00EC4FA2" w:rsidRDefault="00A834F1" w:rsidP="009569C7">
      <w:pPr>
        <w:pStyle w:val="Baseparagraphnumbered"/>
      </w:pPr>
      <w:r>
        <w:t xml:space="preserve">Podle vnitrostátních GAAP založených na BAD „znehodnocení nebo (-) zrušení znehodnocení z finančních aktiv neoceněných reálnou hodnotou do zisku a ztráty“ zahrnuje veškeré opravné položky a zrušení opravných položek finančních nástrojů v pořizovací ceně v důsledku změny bonity dlužníka nebo emitenta, a v závislosti na specifikacích vnitrostátních GAAP rovněž opravné položky v důsledku znehodnocení finančních nástrojů oceněných reálnou hodnotou pomocí ekvivalenční metody a jiných metod oceňování, včetně LOCOM.   </w:t>
      </w:r>
    </w:p>
    <w:p w:rsidR="009569C7" w:rsidRPr="00EC4FA2" w:rsidRDefault="00A834F1" w:rsidP="009569C7">
      <w:pPr>
        <w:pStyle w:val="Baseparagraphnumbered"/>
      </w:pPr>
      <w:r>
        <w:t xml:space="preserve"> „Znehodnocení nebo (-) zrušení znehodnocení z finančních aktiv neoceňovaných reálnou hodnotou do zisku nebo ztráty“ zahrnuje také odepsané částky – stanovené v odstavcích 72, 74 a odst. 165 písm. b) této části této přílohy – které překračují částku opravných položek k datu odepsání, a proto jsou zaúčtovány jako ztráty přímo do zisku nebo ztráty, a rovněž úhrady dříve odepsaných částek vykazovaných přímo do výkazu zisku nebo ztráty.  </w:t>
      </w:r>
    </w:p>
    <w:p w:rsidR="009569C7" w:rsidRPr="00EC4FA2" w:rsidRDefault="00A834F1" w:rsidP="009569C7">
      <w:pPr>
        <w:pStyle w:val="Baseparagraphnumbered"/>
      </w:pPr>
      <w:r>
        <w:t xml:space="preserve">Podíl na zisku nebo ztrátě z dceřiných, přidružených a společných podniků, o nichž se účtuje ekvivalentní metodou na základě konsolidace podle právních </w:t>
      </w:r>
      <w:r>
        <w:lastRenderedPageBreak/>
        <w:t xml:space="preserve">předpisů, se vykazují v položce „podíl zisku nebo (-) ztráty z investicí do dceřiných, společných a přidružených podniků, o nichž se účtuje s použitím ekvivalentní metody“.  Podle odst. 10 IAS 28 účetní hodnota investice se sníží o částku dividend vyplacenou těmito účetními jednotkami. Znehodnocení těchto investic se vykáže v položce „(znehodnocení nebo (–) zrušení znehodnocení investic do dceřiných, společných a přidružených podniků)“. Zisky nebo ztráty z odúčtování těchto investicí se vykazují v souladu s odstavci 55 a 56 této části. </w:t>
      </w:r>
    </w:p>
    <w:p w:rsidR="009569C7" w:rsidRPr="00EC4FA2" w:rsidRDefault="00A834F1" w:rsidP="009569C7">
      <w:pPr>
        <w:pStyle w:val="Baseparagraphnumbered"/>
      </w:pPr>
      <w:r>
        <w:t>„Zisky nebo ztráty z neoběžných aktiv nebo vyřazovaných skupin určených k prodeji, jež nelze považovat za ukončované činnosti“, zahrnují zisky nebo ztráty generované neoběžnými aktivy a vyřazovanými skupinami určenými k prodeji, jež nelze považovat za ukončované činnosti.</w:t>
      </w:r>
    </w:p>
    <w:p w:rsidR="009569C7" w:rsidRPr="00EC4FA2" w:rsidRDefault="00A834F1" w:rsidP="009569C7">
      <w:pPr>
        <w:pStyle w:val="Baseparagraphnumbered"/>
      </w:pPr>
      <w:bookmarkStart w:id="76" w:name="_Toc246513959"/>
      <w:bookmarkStart w:id="77" w:name="_Toc246730631"/>
      <w:bookmarkStart w:id="78" w:name="_Toc246730722"/>
      <w:bookmarkEnd w:id="76"/>
      <w:bookmarkEnd w:id="77"/>
      <w:bookmarkEnd w:id="78"/>
      <w:r>
        <w:t xml:space="preserve">Podle IFRS se zisky nebo ztráty z odúčtování investicí do dceřiných, společných a přidružených podniků vykazují v </w:t>
      </w:r>
      <w:proofErr w:type="gramStart"/>
      <w:r>
        <w:t>položce  „zisk</w:t>
      </w:r>
      <w:proofErr w:type="gramEnd"/>
      <w:r>
        <w:t xml:space="preserve"> nebo (-) ztráta z ukončované činnosti před zdaněním“, pokud se považují za ukončované činnosti podle IFRS 5. Podle vnitrostátních GAAP založených na BAD se tyto zisky a ztráty vykazují v položce „čisté zisky nebo (-) ztráty z odúčtování investic do dceřiných, společných a přidružených podniků“. </w:t>
      </w:r>
    </w:p>
    <w:p w:rsidR="009569C7" w:rsidRPr="00EC4FA2" w:rsidRDefault="00A834F1" w:rsidP="009569C7">
      <w:pPr>
        <w:pStyle w:val="subtitlenumbered"/>
        <w:jc w:val="both"/>
      </w:pPr>
      <w:bookmarkStart w:id="79" w:name="_Toc246513968"/>
      <w:bookmarkStart w:id="80" w:name="_Toc246730640"/>
      <w:bookmarkStart w:id="81" w:name="_Toc246730731"/>
      <w:bookmarkStart w:id="82" w:name="_Toc246513969"/>
      <w:bookmarkStart w:id="83" w:name="_Toc246730641"/>
      <w:bookmarkStart w:id="84" w:name="_Toc246730732"/>
      <w:bookmarkStart w:id="85" w:name="_Toc246513971"/>
      <w:bookmarkStart w:id="86" w:name="_Toc246730643"/>
      <w:bookmarkStart w:id="87" w:name="_Toc246730734"/>
      <w:bookmarkStart w:id="88" w:name="_Toc246513972"/>
      <w:bookmarkStart w:id="89" w:name="_Toc246730644"/>
      <w:bookmarkStart w:id="90" w:name="_Toc246730735"/>
      <w:bookmarkStart w:id="91" w:name="_Toc361844216"/>
      <w:bookmarkStart w:id="92" w:name="_Toc362359287"/>
      <w:bookmarkStart w:id="93" w:name="_Toc467855211"/>
      <w:bookmarkStart w:id="94" w:name="_Toc246770619"/>
      <w:bookmarkStart w:id="95" w:name="_Toc485708547"/>
      <w:bookmarkEnd w:id="79"/>
      <w:bookmarkEnd w:id="80"/>
      <w:bookmarkEnd w:id="81"/>
      <w:bookmarkEnd w:id="82"/>
      <w:bookmarkEnd w:id="83"/>
      <w:bookmarkEnd w:id="84"/>
      <w:bookmarkEnd w:id="85"/>
      <w:bookmarkEnd w:id="86"/>
      <w:bookmarkEnd w:id="87"/>
      <w:bookmarkEnd w:id="88"/>
      <w:bookmarkEnd w:id="89"/>
      <w:bookmarkEnd w:id="90"/>
      <w:r>
        <w:t>Výkaz o úplném výsledku (3)</w:t>
      </w:r>
      <w:bookmarkEnd w:id="91"/>
      <w:bookmarkEnd w:id="92"/>
      <w:bookmarkEnd w:id="93"/>
      <w:bookmarkEnd w:id="95"/>
    </w:p>
    <w:p w:rsidR="009569C7" w:rsidRPr="00EC4FA2" w:rsidRDefault="00A834F1" w:rsidP="009569C7">
      <w:pPr>
        <w:pStyle w:val="Baseparagraphnumbered"/>
      </w:pPr>
      <w:r>
        <w:t>„Zisky nebo (-) ztráty ze zajišťovacího účetnictví kapitálových nástrojů oceněných reálnou hodnotou do ostatního úplného výsledku“ zahrnuje změnu kumulované neefektivnosti zajištění vzniklou v zajištění reálné hodnoty, v níž zajištěnou položkou je kapitálový nástroj oceněný reálnou hodnotou do ostatního úplného výsledku. Změna v kumulované neefektivnosti zajištění vykazovaná na tomto řádku je rozdíl mezi změnami v kolísání reálné hodnoty kapitálového nástroje vykazovanými ve „změnách reálné hodnoty kapitálových nástrojů oceněných reálnou hodnotou do ostatního úplného výsledku [zajištěná položka]“ a změnami v kolísání reálné hodnoty zajišťovacího derivátu vykazovanými ve „změnách reálné hodnoty kapitálových nástrojů oceněných reálnou hodnotou do ostatního úplného výsledku [zajišťovací nástroj]“.</w:t>
      </w:r>
    </w:p>
    <w:p w:rsidR="009569C7" w:rsidRPr="00EC4FA2" w:rsidRDefault="00A834F1" w:rsidP="009569C7">
      <w:pPr>
        <w:pStyle w:val="Baseparagraphnumbered"/>
      </w:pPr>
      <w:r>
        <w:t xml:space="preserve"> „Zajištění čistých investic do zahraničních jednotek [efektivní část]“ zahrnuje změnu nakumulovanou v přecenění čistých aktiv z investic v zahraničí u efektivní části probíhajících a ukončených zajištění čistých investic do zahraničních jednotek.  </w:t>
      </w:r>
    </w:p>
    <w:p w:rsidR="009569C7" w:rsidRPr="00EC4FA2" w:rsidRDefault="00A834F1" w:rsidP="009569C7">
      <w:pPr>
        <w:pStyle w:val="Baseparagraphnumbered"/>
      </w:pPr>
      <w:r>
        <w:t xml:space="preserve">U zajištění čistých investic do zahraničních jednotek a zajištění peněžních toků příslušné částky vykazované v položce „převedené do zisku nebo ztráty“ zahrnují převedené částky, neboť zajištěné toky vznikly a už se jejich výskyt neočekává. </w:t>
      </w:r>
    </w:p>
    <w:p w:rsidR="009569C7" w:rsidRPr="00EC4FA2" w:rsidRDefault="00A834F1" w:rsidP="009569C7">
      <w:pPr>
        <w:pStyle w:val="Baseparagraphnumbered"/>
      </w:pPr>
      <w:r>
        <w:t xml:space="preserve">„Zajišťovací nástroje [neurčené prvky]“ zahrnují změny v kumulovaných změnách reálné hodnoty všeho následujícího, nejsou-li označené jako zajišťovací složka: </w:t>
      </w:r>
    </w:p>
    <w:p w:rsidR="009569C7" w:rsidRPr="00EC4FA2" w:rsidRDefault="00A834F1" w:rsidP="009569C7">
      <w:pPr>
        <w:pStyle w:val="Baseparagraphnumbered"/>
        <w:numPr>
          <w:ilvl w:val="0"/>
          <w:numId w:val="57"/>
        </w:numPr>
        <w:ind w:left="1134" w:hanging="425"/>
      </w:pPr>
      <w:r>
        <w:t xml:space="preserve">časová hodnota opcí; </w:t>
      </w:r>
    </w:p>
    <w:p w:rsidR="009569C7" w:rsidRPr="00EC4FA2" w:rsidRDefault="00A834F1" w:rsidP="009569C7">
      <w:pPr>
        <w:pStyle w:val="Baseparagraphnumbered"/>
        <w:numPr>
          <w:ilvl w:val="0"/>
          <w:numId w:val="57"/>
        </w:numPr>
        <w:ind w:left="1134" w:hanging="425"/>
      </w:pPr>
      <w:r>
        <w:lastRenderedPageBreak/>
        <w:t xml:space="preserve">forwardové prvky forwardových smluv;  </w:t>
      </w:r>
    </w:p>
    <w:p w:rsidR="009569C7" w:rsidRPr="00EC4FA2" w:rsidRDefault="00A834F1" w:rsidP="009569C7">
      <w:pPr>
        <w:pStyle w:val="Baseparagraphnumbered"/>
        <w:numPr>
          <w:ilvl w:val="0"/>
          <w:numId w:val="57"/>
        </w:numPr>
        <w:ind w:left="1134" w:hanging="425"/>
      </w:pPr>
      <w:r>
        <w:t>měnové bazické rozpětí (</w:t>
      </w:r>
      <w:proofErr w:type="spellStart"/>
      <w:r>
        <w:t>basis</w:t>
      </w:r>
      <w:proofErr w:type="spellEnd"/>
      <w:r>
        <w:t xml:space="preserve"> </w:t>
      </w:r>
      <w:proofErr w:type="spellStart"/>
      <w:r>
        <w:t>spread</w:t>
      </w:r>
      <w:proofErr w:type="spellEnd"/>
      <w:r>
        <w:t xml:space="preserve">) finančních nástrojů. </w:t>
      </w:r>
    </w:p>
    <w:p w:rsidR="009569C7" w:rsidRPr="00EC4FA2" w:rsidRDefault="00A834F1" w:rsidP="009569C7">
      <w:pPr>
        <w:pStyle w:val="Baseparagraphnumbered"/>
      </w:pPr>
      <w:r>
        <w:t xml:space="preserve">U uvedených opcí částky </w:t>
      </w:r>
      <w:proofErr w:type="spellStart"/>
      <w:r>
        <w:t>reklasifikované</w:t>
      </w:r>
      <w:proofErr w:type="spellEnd"/>
      <w:r>
        <w:t xml:space="preserve"> do zisku nebo ztráty a vykazované v položce „převedené do zisku nebo ztráty“ zahrnují </w:t>
      </w:r>
      <w:proofErr w:type="spellStart"/>
      <w:r>
        <w:t>reklasifikace</w:t>
      </w:r>
      <w:proofErr w:type="spellEnd"/>
      <w:r>
        <w:t xml:space="preserve"> v důsledku opcí, které zajišťují zajištěné položky spojené s transakcí, a opcí, které zajišťují zajištěné položky spojené s časovým obdobím. </w:t>
      </w:r>
    </w:p>
    <w:p w:rsidR="009569C7" w:rsidRPr="00EC4FA2" w:rsidRDefault="00A834F1" w:rsidP="009569C7">
      <w:pPr>
        <w:pStyle w:val="Baseparagraphnumbered"/>
      </w:pPr>
      <w:r>
        <w:t xml:space="preserve">„Dluhové nástroje v reálné hodnotě vykazované do ostatního úplného výsledku“ zahrnují zisky nebo ztráty z dluhových nástrojů oceněných reálnou hodnotou do jiného ostatního úplného výsledku než znehodnocené zisky nebo ztráty a kurzové zisky a ztráty, které se vykazují ve „(znehodnocení nebo (-) zrušení znehodnocení z finančních aktiv neoceněných reálnou hodnotou do zisku nebo ztráty)“ respektive v „čistých kurzových rozdílech [zisk nebo (-) ztráta]“ v šabloně 2. „Převedené do zisku nebo ztráty“ zahrnuje zejména převod do zisku nebo ztráty v důsledku odúčtování nebo </w:t>
      </w:r>
      <w:proofErr w:type="spellStart"/>
      <w:r>
        <w:t>reklasifikace</w:t>
      </w:r>
      <w:proofErr w:type="spellEnd"/>
      <w:r>
        <w:t xml:space="preserve"> do reálné hodnoty vykazované v kategorii oceňování zisku nebo ztráty.</w:t>
      </w:r>
    </w:p>
    <w:p w:rsidR="009569C7" w:rsidRPr="00EC4FA2" w:rsidRDefault="00A834F1" w:rsidP="009569C7">
      <w:pPr>
        <w:pStyle w:val="Baseparagraphnumbered"/>
      </w:pPr>
      <w:r>
        <w:t xml:space="preserve">Při </w:t>
      </w:r>
      <w:proofErr w:type="spellStart"/>
      <w:r>
        <w:t>reklasifikaci</w:t>
      </w:r>
      <w:proofErr w:type="spellEnd"/>
      <w:r>
        <w:t xml:space="preserve"> finančního aktiva z kategorie nástrojů oceňovaných naběhlou hodnotou do kategorie nástrojů oceňovaných reálnou hodnotou do ostatního úplného výsledku [odstavec 5.6.4 IFRS 9], zisky nebo ztráty vznikající v důsledku rekvalifikace se vykazují v „dluhových nástrojích v reálné hodnotě vykazované do ostatního úplného výsledku“.</w:t>
      </w:r>
    </w:p>
    <w:p w:rsidR="009569C7" w:rsidRPr="00EC4FA2" w:rsidRDefault="00A834F1" w:rsidP="009569C7">
      <w:pPr>
        <w:pStyle w:val="Baseparagraphnumbered"/>
      </w:pPr>
      <w:r>
        <w:t xml:space="preserve">Pokud se finanční aktivum </w:t>
      </w:r>
      <w:proofErr w:type="spellStart"/>
      <w:r>
        <w:t>reklasifikuje</w:t>
      </w:r>
      <w:proofErr w:type="spellEnd"/>
      <w:r>
        <w:t xml:space="preserve"> z kategorie nástrojů oceňovaných reálnou hodnotou do ostatního úplného výsledku do kategorie nástrojů oceňovaných reálnou hodnotou do zisku nebo ztráty [odstavec 5.6.7 IFRS 9] nebo do kategorie nástrojů oceňovaných naběhlou hodnotou [odstavec 5.6.5 IFRS 9], </w:t>
      </w:r>
      <w:proofErr w:type="spellStart"/>
      <w:r>
        <w:t>reklasifikované</w:t>
      </w:r>
      <w:proofErr w:type="spellEnd"/>
      <w:r>
        <w:t xml:space="preserve"> kumulované zisky a ztráty dříve zaúčtované do ostatního úplného výsledku se vykazují v položkách „převedené do zisku nebo ztráty“ a „jiné </w:t>
      </w:r>
      <w:proofErr w:type="spellStart"/>
      <w:r>
        <w:t>reklasifikace</w:t>
      </w:r>
      <w:proofErr w:type="spellEnd"/>
      <w:r>
        <w:t>“, přičemž v posledním případě se upraví účetní hodnota finančního aktiva.</w:t>
      </w:r>
    </w:p>
    <w:p w:rsidR="009569C7" w:rsidRPr="00EC4FA2" w:rsidRDefault="00A834F1" w:rsidP="009569C7">
      <w:pPr>
        <w:pStyle w:val="Baseparagraphnumbered"/>
      </w:pPr>
      <w:r>
        <w:t xml:space="preserve">U všech složek ostatního úplného výsledku „ostatní </w:t>
      </w:r>
      <w:proofErr w:type="spellStart"/>
      <w:r>
        <w:t>reklasifikace</w:t>
      </w:r>
      <w:proofErr w:type="spellEnd"/>
      <w:r>
        <w:t xml:space="preserve">“ zahrnují jiné převody než </w:t>
      </w:r>
      <w:proofErr w:type="spellStart"/>
      <w:r>
        <w:t>reklasifikace</w:t>
      </w:r>
      <w:proofErr w:type="spellEnd"/>
      <w:r>
        <w:t xml:space="preserve"> z ostatního úplného výsledku do zisku nebo ztráty nebo do počáteční účetní hodnoty zajištěných položek v případě zajištění peněžních toků. </w:t>
      </w:r>
    </w:p>
    <w:p w:rsidR="009569C7" w:rsidRPr="00EC4FA2" w:rsidRDefault="00A834F1" w:rsidP="009569C7">
      <w:pPr>
        <w:pStyle w:val="Baseparagraphnumbered"/>
      </w:pPr>
      <w:r>
        <w:t xml:space="preserve">V rámci IFRS se „daň z příjmů související s položkami, které se </w:t>
      </w:r>
      <w:proofErr w:type="spellStart"/>
      <w:r>
        <w:t>nereklasifikují</w:t>
      </w:r>
      <w:proofErr w:type="spellEnd"/>
      <w:r>
        <w:t xml:space="preserve">“, a „daň z příjmů související s položkami, které mohou být </w:t>
      </w:r>
      <w:proofErr w:type="spellStart"/>
      <w:r>
        <w:t>reklasifikovány</w:t>
      </w:r>
      <w:proofErr w:type="spellEnd"/>
      <w:r>
        <w:t xml:space="preserve"> do zisku nebo (-) ztráty“, [odst. 91 písm. b) IAS 1, IG6], vykazují jako samostatné položky.</w:t>
      </w:r>
    </w:p>
    <w:p w:rsidR="009569C7" w:rsidRPr="00EC4FA2" w:rsidRDefault="00A834F1" w:rsidP="009569C7">
      <w:pPr>
        <w:pStyle w:val="subtitlenumbered"/>
        <w:jc w:val="both"/>
      </w:pPr>
      <w:bookmarkStart w:id="96" w:name="_Toc361844217"/>
      <w:bookmarkStart w:id="97" w:name="_Toc362359288"/>
      <w:bookmarkStart w:id="98" w:name="_Toc467855212"/>
      <w:bookmarkStart w:id="99" w:name="_Toc485708548"/>
      <w:r>
        <w:t>Struktura finančních aktiv podle nástroje a podle odvětví protistrany (4)</w:t>
      </w:r>
      <w:bookmarkEnd w:id="96"/>
      <w:bookmarkEnd w:id="97"/>
      <w:bookmarkEnd w:id="98"/>
      <w:bookmarkEnd w:id="99"/>
    </w:p>
    <w:p w:rsidR="009569C7" w:rsidRPr="00EC4FA2" w:rsidRDefault="00A834F1" w:rsidP="009569C7">
      <w:pPr>
        <w:pStyle w:val="Baseparagraphnumbered"/>
      </w:pPr>
      <w:r>
        <w:t xml:space="preserve">Finanční aktiva se rozčlení podle účetního portfolia a nástroje a – je-li to vyžadováno – též podle protistrany. U dluhových nástrojů oceněných reálnou hodnotou do ostatního úplného výsledku a naběhlou hodnotou se hrubá účetní </w:t>
      </w:r>
      <w:r>
        <w:lastRenderedPageBreak/>
        <w:t>hodnota aktiv a kumulovaných znehodnocení rozčlení podle stupňů znehodnocení.</w:t>
      </w:r>
    </w:p>
    <w:p w:rsidR="009569C7" w:rsidRPr="00EC4FA2" w:rsidRDefault="00A834F1" w:rsidP="009569C7">
      <w:pPr>
        <w:pStyle w:val="Baseparagraphnumbered"/>
      </w:pPr>
      <w:r>
        <w:t>Deriváty vykazované jako obchodovatelná finanční aktiva podle GAAP založených na BAD zahrnují nástroje oceněné reálnou hodnotou a také nástroje oceněné metodami pořizovací ceny nebo LOCOM.</w:t>
      </w:r>
    </w:p>
    <w:p w:rsidR="009569C7" w:rsidRPr="00EC4FA2" w:rsidRDefault="00A834F1" w:rsidP="009569C7">
      <w:pPr>
        <w:pStyle w:val="Baseparagraphnumbered"/>
      </w:pPr>
      <w:r>
        <w:t>Pro účely příloh III a IV a rovněž i této přílohy se u nevýkonných expozic „akumulovanými zápornými změnami reálné hodnoty v důsledku úvěrového rizika“ rozumí akumulované změny v reálné hodnotě v důsledku úvěrového rizika, pokud je akumulovaná čistá změna záporná. Akumulovaná změna reálné hodnoty z důvodu úvěrového rizika se vypočítá připočtením všech záporných a kladných změn reálné hodnoty v důsledku úvěrového rizika, k nimž došlo od zaúčtování dluhového nástroje. Tato částka se vykazuje pouze tehdy, když připočtení kladných a záporných změn reálné hodnoty z titulu úvěrového rizika má za následek zápornou částku. Ocenění dluhových nástrojů se provádí na úrovni jediného finančního nástroje.  U každého dluhového nástroje se „akumulované záporné změny reálné hodnoty v důsledku úvěrového rizika“ vykazují až do odúčtování nástroje.</w:t>
      </w:r>
    </w:p>
    <w:p w:rsidR="009569C7" w:rsidRPr="00EC4FA2" w:rsidRDefault="00A834F1" w:rsidP="009569C7">
      <w:pPr>
        <w:pStyle w:val="Baseparagraphnumbered"/>
      </w:pPr>
      <w:r>
        <w:t>Pro účely příloh III a IV a rovněž i této přílohy se „kumulovanou ztrátou ze znehodnocení“ rozumí:</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u dluhových nástrojů oceněných naběhlou hodnotou nebo pořizovací cenou je kumulovanou ztrátou ze znehodnocení kumulovaná částka ztrát ze znehodnocení, snížená o použití a zrušení znehodnocení, která byla případně zaúčtována pro každý stupeň znehodnocení.     Kumulovaná ztráta ze znehodnocení snižuje účetní hodnotu dluhového nástroje použitím účtu oprávek podle IFRS a vnitrostátních GAAP založených na BAD nebo přímými sníženími, které nepředstavují případ odúčtování podle vnitrostátních GAAP založených na BAD;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u dluhových nástrojů oceněných reálnou hodnotou do ostatního úplného výsledku podle IFRS kumulovanou ztrátou ze znehodnocení je částka očekávaných úvěrových ztrát a jejich změny zaúčtované jako snížení reálné hodnoty daného nástroje od počátečního zaúčtování;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u dluhových nástrojů oceněných reálnou hodnotou do vlastního kapitálu podle vnitrostátních GAAP založených na BAD podléhajících znehodnocení, kumulovanou ztrátou ze znehodnocení je kumulovaná částka ztrát ze znehodnocení snížená o použití a zrušení znehodnocení, která byla zaúčtována.  Snížení účetní hodnoty se provádí buď použitím účtu oprávek, nebo přímými sníženími, které nepředstavují případ odúčtování.</w:t>
      </w:r>
    </w:p>
    <w:p w:rsidR="009569C7" w:rsidRPr="00EC4FA2" w:rsidRDefault="00A834F1" w:rsidP="009569C7">
      <w:pPr>
        <w:pStyle w:val="Baseparagraphnumbered"/>
      </w:pPr>
      <w:r>
        <w:t xml:space="preserve">Podle IFRS kumulovaná ztráta ze znehodnocení zahrnuje opravnou položku pro očekávané úvěrové ztráty u finančních aktiv v každém stupni znehodnocení uvedené v IFRS 9. Podle vnitrostátních GAAP založených na BAD zahrnuje specifickou a všeobecnou opravnou položku pro úvěrové riziko a rovněž všeobecnou opravnou položku pro bankovní riziko, snižuje-li účetní hodnotu dluhových nástrojů. Kumulovaná ztráta ze znehodnocení </w:t>
      </w:r>
      <w:r>
        <w:lastRenderedPageBreak/>
        <w:t>zahrnuje také úpravy ocenění finančních aktiv vyvolané úvěrovým rizikem podle LOCOM.</w:t>
      </w:r>
    </w:p>
    <w:p w:rsidR="009569C7" w:rsidRPr="00EC4FA2" w:rsidRDefault="00A834F1" w:rsidP="009569C7">
      <w:pPr>
        <w:pStyle w:val="Baseparagraphnumbered"/>
      </w:pPr>
      <w:r>
        <w:t>„Kumulované částečné odpisy“ a „kumulované celkové odpisy“ zahrnují kumulovanou částečnou respektive celkovou částku jistiny a narostlých úroků a poplatků po termínu splatnosti z každého dluhového nástroje k referenčnímu datu, který byl dosud odúčtován s použitím jedné z metod popsaných v odstavci 74, protože instituce nemá žádná přiměřená očekávání týkající se splacení smluvních peněžních toků. Tyto částky se vykazují až do úplného zániku všech práv vykazující instituce podle data uplynutí stanovené promlčecí lhůty, prominutí či jiných příčin, nebo až do splacení. Proto v případě, že se odepsané částky nesplatí, vykáží se, dokud podléhají vymáhání.</w:t>
      </w:r>
    </w:p>
    <w:p w:rsidR="009569C7" w:rsidRPr="00EC4FA2" w:rsidRDefault="00A834F1" w:rsidP="009569C7">
      <w:pPr>
        <w:pStyle w:val="Baseparagraphnumbered"/>
      </w:pPr>
      <w:r>
        <w:t xml:space="preserve">Je-li dluhový nástroj nakonec úplně odepsaný jako důsledek postupných částečných odpisů, kumulovaná částka odpisu je </w:t>
      </w:r>
      <w:proofErr w:type="spellStart"/>
      <w:r>
        <w:t>reklasifikována</w:t>
      </w:r>
      <w:proofErr w:type="spellEnd"/>
      <w:r>
        <w:t xml:space="preserve"> ze sloupce „kumulované částečné odpisy“ do sloupce „kumulované celkové odpisy“. </w:t>
      </w:r>
    </w:p>
    <w:p w:rsidR="009569C7" w:rsidRPr="00EC4FA2" w:rsidRDefault="00A834F1" w:rsidP="009569C7">
      <w:pPr>
        <w:pStyle w:val="Baseparagraphnumbered"/>
      </w:pPr>
      <w:r>
        <w:t xml:space="preserve">Odpisy představují případ odúčtování a týkají se finančního aktiva jako celku nebo jeho části, kromě jiného i pokud úprava aktiva vede instituci k tomu, že instituce se vzdá svého práva na vybírání peněžních toků z části nebo celkového tohoto aktiva, jak je vysvětleno dál v odstavci 72. Odpisy zahrnují částky vzniklé snížením účetní hodnoty finančních aktiv vykázané přímo do zisku nebo ztráty, ale i kvůli snížení objemu opravných položek na ztráty z titulu úvěrového rizika oproti účetní hodnotě finančních aktiv. </w:t>
      </w:r>
    </w:p>
    <w:p w:rsidR="009569C7" w:rsidRPr="00EC4FA2" w:rsidRDefault="00A834F1" w:rsidP="009569C7">
      <w:pPr>
        <w:pStyle w:val="Baseparagraphnumbered"/>
      </w:pPr>
      <w:r>
        <w:t xml:space="preserve">Sloupec „z toho: Nástroje s nízkým úvěrovým  rizikem“ zahrnuje nástroje s nízkým úvěrovým rizikem k datu vykázání, u nichž instituce předpokládá, že úvěrové riziko se  od prvotního zaúčtování podstatně nezvýšilo, v souladu s odstavcem </w:t>
      </w:r>
      <w:proofErr w:type="gramStart"/>
      <w:r>
        <w:t>5.5.10</w:t>
      </w:r>
      <w:proofErr w:type="gramEnd"/>
      <w:r>
        <w:t xml:space="preserve"> IFRS 9.</w:t>
      </w:r>
    </w:p>
    <w:p w:rsidR="009569C7" w:rsidRPr="00EC4FA2" w:rsidRDefault="00A834F1" w:rsidP="009569C7">
      <w:pPr>
        <w:pStyle w:val="Baseparagraphnumbered"/>
      </w:pPr>
      <w:r>
        <w:t xml:space="preserve">Pohledávky z obchodního styku ve smyslu odst. 54 písm. h) IAS 1, smluvní aktiva a pohledávky z leasingu, u nichž se pro odhad opravných položek použil zjednodušený postup podle odstavce </w:t>
      </w:r>
      <w:proofErr w:type="gramStart"/>
      <w:r>
        <w:t>5.5.15</w:t>
      </w:r>
      <w:proofErr w:type="gramEnd"/>
      <w:r>
        <w:t xml:space="preserve"> IFRS 9, se vykazují v rámci úvěrů a jiných pohledávek v šabloně 4.4.1. Odpovídající opravná položka se u těchto aktiv vykáže buď v „kumulované ztrátě ze znehodnocení aktiv s podstatným zvýšením úvěrového rizika od prvotního zaúčtování, ale ne úvěrově znehodnocených (2. stupeň)“, nebo v „kumulované ztrátě ze znehodnocení úvěrově znehodnocených aktiv (3. stupeň)“, v závislosti na tom, zda se pohledávky z obchodního styku, smluvní aktiva nebo pohledávky z leasingu na základě zjednodušeného postupu považují za úvěrově znehodnocená aktiva.</w:t>
      </w:r>
    </w:p>
    <w:p w:rsidR="009569C7" w:rsidRPr="00EC4FA2" w:rsidRDefault="00A834F1" w:rsidP="009569C7">
      <w:pPr>
        <w:pStyle w:val="Baseparagraphnumbered"/>
      </w:pPr>
      <w:r>
        <w:t xml:space="preserve">Nakoupená nebo vzniklá finanční aktiva, která jsou úvěrově znehodnocena při prvotním zaúčtování, se vykazují zvlášť v šablonách 4.3.1 a 4.4.1. U těchto úvěrů zahrnuje kumulovaná ztráta ze znehodnocení pouze kumulované změny v očekávaných úvěrových ztrátách za dobu trvání od prvotního zaúčtování [odstavec </w:t>
      </w:r>
      <w:proofErr w:type="gramStart"/>
      <w:r>
        <w:t>5.5.13</w:t>
      </w:r>
      <w:proofErr w:type="gramEnd"/>
      <w:r>
        <w:t xml:space="preserve"> IFRS 9].</w:t>
      </w:r>
    </w:p>
    <w:p w:rsidR="009569C7" w:rsidRPr="00EC4FA2" w:rsidRDefault="00A834F1" w:rsidP="009569C7">
      <w:pPr>
        <w:pStyle w:val="Baseparagraphnumbered"/>
        <w:ind w:left="785"/>
      </w:pPr>
      <w:r>
        <w:lastRenderedPageBreak/>
        <w:t>V šabloně 4.5 instituce vykazují účetní hodnotu „úvěrů a jiných pohledávek“ a „dluhových cenných papírů“, které spadají do definice „podřízeného dluhu“ uvedené v odstavci 100 této části.</w:t>
      </w:r>
      <w:bookmarkStart w:id="100" w:name="_Toc361844218"/>
      <w:bookmarkStart w:id="101" w:name="_Toc362359289"/>
      <w:bookmarkEnd w:id="94"/>
    </w:p>
    <w:p w:rsidR="009569C7" w:rsidRPr="00EC4FA2" w:rsidRDefault="00A834F1" w:rsidP="009569C7">
      <w:pPr>
        <w:pStyle w:val="Baseparagraphnumbered"/>
      </w:pPr>
      <w:r>
        <w:t>V šabloně 4.8 závisí vykazované informace na tom, zda pro neobchodní nederivátová finanční aktiva oceněná reálnou hodnotou do vlastního kapitálu platí požadavky na znehodnocení podle vnitrostátních GAAP založených na BAD. Pokud tato finanční aktiva podléhají znehodnocení, instituce vykáží v této šabloně informace, které se týkají účetní hodnoty, hrubé účetní hodnoty neznehodnocených aktiv a znehodnocených aktiv, kumulované ztráty ze znehodnocení a kumulovaných odpisů. Pokud tato finanční aktiva nepodléhají znehodnocení, instituce vykáží kumulované záporné změny reálné hodnoty v důsledku úvěrového rizika nevýkonných expozic.</w:t>
      </w:r>
    </w:p>
    <w:p w:rsidR="009569C7" w:rsidRPr="00EC4FA2" w:rsidRDefault="00A834F1" w:rsidP="009569C7">
      <w:pPr>
        <w:pStyle w:val="Baseparagraphnumbered"/>
      </w:pPr>
      <w:r>
        <w:t xml:space="preserve">V šabloně 4.9 se finanční aktiva oceněná podle méně striktní metody LOCOM a s nimi spojené úpravy ocenění uvádějí odděleně od ostatních finančních aktiv v pořizovací ceně a s nimi spojeného znehodnocení. Finanční aktiva v pořizovací ceně, včetně finančních aktiv oceněných podle méně striktní metody LOCOM, se vykazují jako neznehodnocená aktiva, pokud u nich nedošlo k žádným úpravám hodnot nebo ke znehodnocení souvisejícímu s nimi, a jako znehodnocená aktiva, v případě že u nich došlo k úpravám ocenění, které se posuzují jako znehodnocení nebo znehodnocení související s nimi. Úpravy ocenění posuzované jako znehodnocení jsou úpravy ocenění vyvolané úvěrovým rizikem, které odrážejí zhoršení úvěrové spolehlivosti protistrany. Finanční aktiva podle méně striktní metody LOCOM s úpravami ocenění vyvolanými tržním rizikem, které odrážejí dopad změn v tržních podmínkách na hodnotu aktiva, se neposuzují jako znehodnocené. Kumulované úpravy ocenění vyvolané úvěrovým a tržním rizikem se vykazují odděleně. </w:t>
      </w:r>
    </w:p>
    <w:p w:rsidR="009569C7" w:rsidRPr="00EC4FA2" w:rsidRDefault="00A834F1" w:rsidP="009569C7">
      <w:pPr>
        <w:pStyle w:val="Baseparagraphnumbered"/>
      </w:pPr>
      <w:r>
        <w:t>V šabloně 4.10 se aktiva oceněná podle striktní metody LOCOM a také související s nimi úpravy ocenění vykazují odděleně od aktiv oceněných podle jiných metod. Finanční aktiva oceňovaná podle striktní metody LOCOM a finanční aktiva podle jiných metod oceňování se vykazují jako znehodnocená aktiva, pokud u nich došlo k úpravám ocenění vyvolaným úvěrovým rizikem ve smyslu odstavce 80, nebo ke znehodnocení spojenému s nimi. Finanční aktiva oceňovaná podle striktní metody LOCOM s úpravami ocenění vyvolanými tržním rizikem podle odstavce 80, se nepovažují za znehodnocená. Kumulované úpravy ocenění vyvolané úvěrovým a tržním rizikem se vykazují odděleně.</w:t>
      </w:r>
    </w:p>
    <w:p w:rsidR="009569C7" w:rsidRPr="00EC4FA2" w:rsidRDefault="00A834F1" w:rsidP="009569C7">
      <w:pPr>
        <w:pStyle w:val="Baseparagraphnumbered"/>
      </w:pPr>
      <w:r>
        <w:t>Podle vnitrostátních GAAP založených na BAD částka obecných opravných položek u bankovního rizika vykazovaná v použitelných šablonách je pouze ta část, která ovlivňuje účetní hodnotu dluhových nástrojů [článek 37 odst. 2 BAD].</w:t>
      </w:r>
    </w:p>
    <w:p w:rsidR="009569C7" w:rsidRPr="00EC4FA2" w:rsidRDefault="00A834F1" w:rsidP="009569C7">
      <w:pPr>
        <w:pStyle w:val="subtitlenumbered"/>
        <w:jc w:val="both"/>
      </w:pPr>
      <w:bookmarkStart w:id="102" w:name="_Toc467855213"/>
      <w:bookmarkStart w:id="103" w:name="_Toc485708549"/>
      <w:r>
        <w:t>Struktura úvěrů a jiných pohledávek podle produktu (5)</w:t>
      </w:r>
      <w:bookmarkEnd w:id="102"/>
      <w:bookmarkEnd w:id="103"/>
    </w:p>
    <w:bookmarkEnd w:id="100"/>
    <w:p w:rsidR="009569C7" w:rsidRPr="00EC4FA2" w:rsidRDefault="00A834F1" w:rsidP="009569C7">
      <w:pPr>
        <w:pStyle w:val="Baseparagraphnumbered"/>
      </w:pPr>
      <w:r>
        <w:t xml:space="preserve">Úvěry a jiné pohledávky vyjma těch, které jsou drženy k obchodování, nebo obchodovatelná aktiva, se rozčlení podle druhu produktu a podle </w:t>
      </w:r>
      <w:bookmarkEnd w:id="101"/>
      <w:r>
        <w:t xml:space="preserve">odvětví </w:t>
      </w:r>
      <w:r>
        <w:lastRenderedPageBreak/>
        <w:t xml:space="preserve">protistrany pro účetní hodnotu a podle druhu produktů pouze pro hrubou účetní hodnotu. </w:t>
      </w:r>
    </w:p>
    <w:p w:rsidR="009569C7" w:rsidRPr="00EC4FA2" w:rsidRDefault="00A834F1" w:rsidP="009569C7">
      <w:pPr>
        <w:pStyle w:val="Baseparagraphnumbered"/>
      </w:pPr>
      <w:r>
        <w:t xml:space="preserve">Zůstatky splatné na požádání, které jsou zahrnuty v položce „pokladní hotovost, hotovost u centrálních bank a ostatní vklady na požádání“ se rovněž vykazují v této šabloně nezávisle na tom, jak se oceňují </w:t>
      </w:r>
    </w:p>
    <w:p w:rsidR="009569C7" w:rsidRPr="00EC4FA2" w:rsidRDefault="00A834F1" w:rsidP="009569C7">
      <w:pPr>
        <w:pStyle w:val="Baseparagraphnumbered"/>
      </w:pPr>
      <w:r>
        <w:t xml:space="preserve">Úvěry a jiné pohledávky se rozloží na tyto produkty: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„splatné na požádání (výzvu) a s krátkou lhůtou (běžný účet)“ zahrnuje pohledávky splatné na požádání (výzvu) a s krátkou lhůtou (při ukončení obchodního dne následujícího po dni, kdy byla žádost podána), běžné účty a podobná salda, včetně úvěrů, které jsou jednodenními vklady pro vypůjčovatele (úvěry splatné při ukončení obchodního dne v den následující po dni, kdy byly poskytnuty), bez ohledu na jejich právní formu.  Zahrnuje také „přečerpání“ ve smyslu debetních zůstatků na běžných účtech;</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„pohledávky z kreditních karet“ zahrnují úvěr poskytnutý prostřednictvím debetních karet s funkcí odloženého debetu nebo prostřednictvím kreditních karet [nařízení ECB o BSI];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„obchodní pohledávky“ zahrnují úvěry jiným dlužníkům poskytnuté na základě směnek nebo jiných dokumentů, které dávají právo na čerpání výnosů z transakcí za prodej zboží či poskytování služeb. Tato položka zahrnuje veškerý faktoring a podobné transakce jako akceptace, přímý nákup obchodovatelných pohledávek, obchodování s úvěry, diskontování faktury, směnky, obchodovatelné jistiny a jiné nároky, pokud vykazující instituce nakupuje obchodovatelné pohledávky (s regresem nebo bez něj);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„finanční leasing“ zahrnuje účetní hodnotu pohledávek z finančního leasingu. V rámci IFRS jsou „pohledávky z finančního leasingu“ definovány v IAS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„reverzní </w:t>
      </w:r>
      <w:proofErr w:type="spellStart"/>
      <w:r>
        <w:rPr>
          <w:rFonts w:ascii="Times New Roman" w:hAnsi="Times New Roman"/>
          <w:sz w:val="24"/>
        </w:rPr>
        <w:t>repo</w:t>
      </w:r>
      <w:proofErr w:type="spellEnd"/>
      <w:r>
        <w:rPr>
          <w:rFonts w:ascii="Times New Roman" w:hAnsi="Times New Roman"/>
          <w:sz w:val="24"/>
        </w:rPr>
        <w:t xml:space="preserve"> obchody“ zahrnují finanční prostředky poskytnuté výměnou za nákup cenných papírů nebo zlata podle smluv na zpětný odkup nebo půjčené podle smluv na půjčku cenných papírů podle odstavců 183 a 184 této části;</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„ostatní termínované úvěry“ zahrnují debetní zůstatky se smluvně stanovenými dobami splatnosti nebo podmínkami, které nejsou zahrnuty v jiných položkách;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„jiné pohledávky, které nejsou úvěry“ zahrnují pohledávky, které nelze klasifikovat jako „úvěry“ ve smyslu nařízení ECB o BSI. Tato položka zahrnuje mj. hrubou hodnotu odložených pohledávek (fondy připravené na investování, převody nebo vypořádání) a přechodné položky (jako jsou šeky a jiné formy platebního styku, které byly odeslány za účelem výběru peněžních prostředků).</w:t>
      </w:r>
    </w:p>
    <w:p w:rsidR="009569C7" w:rsidRPr="00EC4FA2" w:rsidRDefault="00A834F1" w:rsidP="009569C7">
      <w:pPr>
        <w:pStyle w:val="Baseparagraphnumbered"/>
      </w:pPr>
      <w:r>
        <w:t>Úvěry a jiné pohledávky se roztřídí na základě přijatého kolaterálu takto:</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 xml:space="preserve">„úvěry zajištěné nemovitým majetkem“ zahrnují úvěry a pohledávky formálně zaručené zajištěním obytného nebo komerčního nemovitého </w:t>
      </w:r>
      <w:r>
        <w:rPr>
          <w:rFonts w:ascii="Times New Roman" w:hAnsi="Times New Roman"/>
          <w:sz w:val="24"/>
        </w:rPr>
        <w:lastRenderedPageBreak/>
        <w:t>majetku nezávisle na jejich poměru úvěru k zajištění (obecně uváděné jako „poměr úvěru k hodnotě“) a právní formě zajištění;</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„ostatní zajištěné úvěry“ zahrnují úvěry a pohledávky formálně zaručené zajištěním nezávisle na jejich poměru úvěru k zajištění (obecně uváděné jako „poměr úvěru k hodnotě“) a jiné právní formě zajištění než „úroky zajištěné nemovitým majetkem“. Toto zajištění zahrnuje zástavy cenných papírů, peněžní prostředky a jiné zajištění nezávisle na jeho právní formě.</w:t>
      </w:r>
    </w:p>
    <w:p w:rsidR="009569C7" w:rsidRPr="00EC4FA2" w:rsidRDefault="00A834F1" w:rsidP="009569C7">
      <w:pPr>
        <w:pStyle w:val="Baseparagraphnumbered"/>
      </w:pPr>
      <w:r>
        <w:t xml:space="preserve">Úvěry a jiné pohledávky se roztřídí na základě zajištění a bez ohledu na účel úvěru. Účetní hodnota úvěrů a jiných pohledávek zaručených více než jedním druhem zajištění se roztřídí a vykazuje jako zajištění zajištěné nemovitým majetkem, pokud jsou zaručeny zajištěním nemovitého majetku bez ohledu na to, zda jsou zaručeny rovněž jiným druhem zajištění. </w:t>
      </w:r>
    </w:p>
    <w:p w:rsidR="009569C7" w:rsidRPr="00EC4FA2" w:rsidRDefault="00A834F1" w:rsidP="009569C7">
      <w:pPr>
        <w:pStyle w:val="Baseparagraphnumbered"/>
      </w:pPr>
      <w:r>
        <w:t xml:space="preserve"> Úvěry a jiné pohledávky se roztřídí na základě jejich účelu takto:</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„spotřebitelský úvěr“ zahrnuje úvěry poskytované převážně pro osobní spotřebu zboží a služeb [nařízení ECB o BSI];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„úvěry na bydlení“ zahrnují úvěry rozšířené na domácnosti k financování investic do obytných nemovitostí k vlastnímu bydlení nebo k pronájmu, včetně stavby a rekonstrukce těchto obytných nemovitostí [nařízení ECB o BSI];</w:t>
      </w:r>
    </w:p>
    <w:p w:rsidR="009569C7" w:rsidRPr="00EC4FA2" w:rsidRDefault="00A834F1" w:rsidP="009569C7">
      <w:pPr>
        <w:pStyle w:val="Baseparagraphnumbered"/>
      </w:pPr>
      <w:r>
        <w:t xml:space="preserve">Úvěry se roztřídí na základě toho, jak je lze zpětně získat. „Úvěry na projektové financování“ zahrnují úvěry, které splňují charakteristiky specializovaných úvěrových expozic ve smyslu čl. 147 odst. 8 nařízení o kapitálových požadavcích. </w:t>
      </w:r>
    </w:p>
    <w:p w:rsidR="009569C7" w:rsidRPr="00EC4FA2" w:rsidRDefault="00A834F1" w:rsidP="009569C7">
      <w:pPr>
        <w:pStyle w:val="subtitlenumbered"/>
        <w:keepNext/>
        <w:numPr>
          <w:ilvl w:val="0"/>
          <w:numId w:val="17"/>
        </w:numPr>
        <w:ind w:left="357" w:hanging="357"/>
        <w:jc w:val="both"/>
        <w:rPr>
          <w:kern w:val="32"/>
        </w:rPr>
      </w:pPr>
      <w:bookmarkStart w:id="104" w:name="_Toc362359290"/>
      <w:bookmarkStart w:id="105" w:name="_Toc467855214"/>
      <w:bookmarkStart w:id="106" w:name="_Toc361844219"/>
      <w:bookmarkStart w:id="107" w:name="_Toc485708550"/>
      <w:r>
        <w:t xml:space="preserve">Struktura neobchodních úvěrů a jiných pohledávek za nefinančními podniky podle kódů NACE </w:t>
      </w:r>
      <w:bookmarkEnd w:id="104"/>
      <w:r>
        <w:t>(6)</w:t>
      </w:r>
      <w:bookmarkEnd w:id="105"/>
      <w:bookmarkEnd w:id="107"/>
    </w:p>
    <w:bookmarkEnd w:id="106"/>
    <w:p w:rsidR="009569C7" w:rsidRPr="00EC4FA2" w:rsidRDefault="00A834F1" w:rsidP="009569C7">
      <w:pPr>
        <w:pStyle w:val="Baseparagraphnumbered"/>
      </w:pPr>
      <w:r>
        <w:t xml:space="preserve">Hrubá účetní hodnota úvěrů a jiných pohledávek za nefinančními podniky kromě těch, které jsou drženy k obchodování nebo pro portfolio obchodovatelných aktiv, se člení podle odvětví hospodářských činností s použitím kódů NACE na základě hlavní činnosti protistrany. </w:t>
      </w:r>
    </w:p>
    <w:p w:rsidR="009569C7" w:rsidRPr="00EC4FA2" w:rsidRDefault="00A834F1" w:rsidP="009569C7">
      <w:pPr>
        <w:pStyle w:val="Baseparagraphnumbered"/>
      </w:pPr>
      <w:r>
        <w:t xml:space="preserve">Klasifikace expozic nabytých společně více než jedním dlužníkem se provádí v souladu s odstavcem 43 části první této přílohy. </w:t>
      </w:r>
    </w:p>
    <w:p w:rsidR="009569C7" w:rsidRPr="00EC4FA2" w:rsidRDefault="00A834F1" w:rsidP="009569C7">
      <w:pPr>
        <w:pStyle w:val="Baseparagraphnumbered"/>
      </w:pPr>
      <w:r>
        <w:t>Kódy NACE se vykazují na úrovni prvního stupně třídění (podle „sekcí“). Instituce vykazují úvěry a jiné pohledávky za nefinančními podniky, které vykonávají finanční nebo pojišťovací činnosti, v části „K – Finanční a pojišťovací činnosti“.</w:t>
      </w:r>
    </w:p>
    <w:p w:rsidR="009569C7" w:rsidRPr="00EC4FA2" w:rsidRDefault="00A834F1" w:rsidP="009569C7">
      <w:pPr>
        <w:pStyle w:val="Baseparagraphnumbered"/>
      </w:pPr>
      <w:r>
        <w:t xml:space="preserve">Podle IFRS finanční aktiva podléhající znehodnocení zahrnují i) finanční aktiva v naběhlé hodnotě a </w:t>
      </w:r>
      <w:proofErr w:type="spellStart"/>
      <w:r>
        <w:t>ii</w:t>
      </w:r>
      <w:proofErr w:type="spellEnd"/>
      <w:r>
        <w:t xml:space="preserve">) finanční aktiva v reálné hodnotě vykazovaná do ostatního úplného výsledku. Podle vnitrostátních GAAP založených na BAD finanční aktiva podléhající znehodnocení zahrnují finanční aktiva oceněná metodou pořizovací ceny, včetně LOCOM. V závislosti na specifikacích v každých vnitrostátních GAAP mohou zahrnovat i) finanční aktiva oceněná </w:t>
      </w:r>
      <w:r>
        <w:lastRenderedPageBreak/>
        <w:t xml:space="preserve">reálnou hodnotou do vlastního kapitálu a </w:t>
      </w:r>
      <w:proofErr w:type="spellStart"/>
      <w:r>
        <w:t>ii</w:t>
      </w:r>
      <w:proofErr w:type="spellEnd"/>
      <w:r>
        <w:t>) finanční aktiva podle ostatních metod ocenění.</w:t>
      </w:r>
    </w:p>
    <w:p w:rsidR="009569C7" w:rsidRPr="00EC4FA2" w:rsidRDefault="00A834F1" w:rsidP="009569C7">
      <w:pPr>
        <w:pStyle w:val="subtitlenumbered"/>
        <w:keepNext/>
        <w:numPr>
          <w:ilvl w:val="0"/>
          <w:numId w:val="17"/>
        </w:numPr>
        <w:ind w:left="357" w:hanging="357"/>
        <w:jc w:val="both"/>
        <w:rPr>
          <w:kern w:val="32"/>
        </w:rPr>
      </w:pPr>
      <w:bookmarkStart w:id="108" w:name="_Toc437268742"/>
      <w:bookmarkStart w:id="109" w:name="_Toc437268743"/>
      <w:bookmarkStart w:id="110" w:name="_Toc362359291"/>
      <w:bookmarkStart w:id="111" w:name="_Toc467855215"/>
      <w:bookmarkStart w:id="112" w:name="_Toc361844220"/>
      <w:bookmarkStart w:id="113" w:name="_Toc485708551"/>
      <w:bookmarkEnd w:id="108"/>
      <w:bookmarkEnd w:id="109"/>
      <w:r>
        <w:t>Finanční aktiva podléhající znehodnocení, která jsou po splatnosti (7)</w:t>
      </w:r>
      <w:bookmarkEnd w:id="110"/>
      <w:bookmarkEnd w:id="111"/>
      <w:bookmarkEnd w:id="113"/>
    </w:p>
    <w:bookmarkEnd w:id="112"/>
    <w:p w:rsidR="009569C7" w:rsidRPr="00EC4FA2" w:rsidRDefault="00A834F1" w:rsidP="009569C7">
      <w:pPr>
        <w:pStyle w:val="Baseparagraphnumbered"/>
      </w:pPr>
      <w:r>
        <w:t>Účetní hodnota dluhových nástrojů, které jsou zařazeny do účetních portfolií podléhajících znehodnocení, se vykazují v šabloně 7.1, pouze když jsou po splatnosti.  Nástroje po splatnosti se přiřadí do příslušných košů po splatnosti na základě jejich individuální situace.</w:t>
      </w:r>
    </w:p>
    <w:p w:rsidR="009569C7" w:rsidRPr="00EC4FA2" w:rsidRDefault="00A834F1" w:rsidP="009569C7">
      <w:pPr>
        <w:pStyle w:val="Baseparagraphnumbered"/>
      </w:pPr>
      <w:r>
        <w:t xml:space="preserve"> Účetní portfolia podléhající znehodnocení jsou definována tak jako v odst. 93 této části.</w:t>
      </w:r>
    </w:p>
    <w:p w:rsidR="009569C7" w:rsidRPr="00EC4FA2" w:rsidRDefault="00A834F1" w:rsidP="009569C7">
      <w:pPr>
        <w:pStyle w:val="Baseparagraphnumbered"/>
      </w:pPr>
      <w:r>
        <w:t xml:space="preserve">Finanční aktiva se posuzují jako finanční aktiva po splatnosti, pokud k datu splatnosti nebyla uhrazena jakákoli částka jistiny, úroků nebo poplatků. Expozice po splatnosti se vykazují v jejich celé účetní hodnotě. Účetní hodnoty těchto aktiv se vykazují podle stupňů nebo stavu znehodnocení v souladu s použitelnými účetními standardy a ve struktuře podle počtu dní nejstarší částky po splatnosti nesplacené k referenčnímu datu. </w:t>
      </w:r>
    </w:p>
    <w:p w:rsidR="009569C7" w:rsidRPr="00EC4FA2" w:rsidRDefault="00A834F1" w:rsidP="009569C7">
      <w:pPr>
        <w:pStyle w:val="subtitlenumbered"/>
        <w:numPr>
          <w:ilvl w:val="0"/>
          <w:numId w:val="17"/>
        </w:numPr>
        <w:jc w:val="both"/>
      </w:pPr>
      <w:bookmarkStart w:id="114" w:name="_Toc437268745"/>
      <w:bookmarkStart w:id="115" w:name="_Toc437268746"/>
      <w:bookmarkStart w:id="116" w:name="_Toc362359292"/>
      <w:bookmarkStart w:id="117" w:name="_Toc467855216"/>
      <w:bookmarkStart w:id="118" w:name="_Toc361844221"/>
      <w:bookmarkStart w:id="119" w:name="_Toc485708552"/>
      <w:bookmarkEnd w:id="114"/>
      <w:bookmarkEnd w:id="115"/>
      <w:r>
        <w:t>Struktura finančních závazků (8)</w:t>
      </w:r>
      <w:bookmarkEnd w:id="116"/>
      <w:bookmarkEnd w:id="117"/>
      <w:bookmarkEnd w:id="119"/>
    </w:p>
    <w:bookmarkEnd w:id="118"/>
    <w:p w:rsidR="009569C7" w:rsidRPr="00EC4FA2" w:rsidRDefault="00A834F1" w:rsidP="009569C7">
      <w:pPr>
        <w:pStyle w:val="Baseparagraphnumbered"/>
      </w:pPr>
      <w:r>
        <w:t>„Vklady“ a struktura produktů jsou definovány stejně jako v nařízení ECB o BSI, a proto jsou regulované úsporné vklady klasifikovány v souladu s nařízením ECB o BSI a rozděleny podle protistrany. Zejména nepřevoditelné úsporné vklady na viděnou, které jsou sice právně vyplatitelné na požádání, avšak podléhají výrazným sankcím a omezením, a které se svými vlastnostmi velmi podobají jednodenním vkladům, jsou klasifikovány jako vklady s výpovědní lhůtou.</w:t>
      </w:r>
    </w:p>
    <w:p w:rsidR="009569C7" w:rsidRPr="00EC4FA2" w:rsidRDefault="00A834F1" w:rsidP="009569C7">
      <w:pPr>
        <w:pStyle w:val="Baseparagraphnumbered"/>
      </w:pPr>
      <w:r>
        <w:t xml:space="preserve">„Vydané dluhové cenné papíry“ se rozčlení na následující typy produktů: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„vkladové certifikáty“ jsou cenné papíry, které svým držitelům umožňují vybírat finanční prostředky z účtu;</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„cenné papíry zajištěné aktivy“ podle čl. 4 odst. 1 bodu 61 nařízení o kapitálových požadavcích;</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„kryté dluhopisy“ podle čl. 129 odst. 1 nařízení o kapitálových požadavcích;</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„hybridní kontrakty“ zahrnují kontrakty s vloženými deriváty;</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„ostatní vydané dluhové cenné papíry“ zahrnují dluhové cenné papíry, které nejsou uvedeny na předchozích řádcích, přičemž se v této kategorii rozlišují konvertibilní složené finanční nástroje a nekonvertibilní nástroje.</w:t>
      </w:r>
    </w:p>
    <w:p w:rsidR="009569C7" w:rsidRPr="00EC4FA2" w:rsidRDefault="00A834F1" w:rsidP="009569C7">
      <w:pPr>
        <w:pStyle w:val="Baseparagraphnumbered"/>
      </w:pPr>
      <w:r>
        <w:t>S vydanými „podřízenými finančními závazky“ se zachází týmž způsobem jako s ostatními finančními závazky. Podřízené závazky vydané ve formě cenných papírů jsou klasifikovány jako „vydané dluhové cenné papíry“, zatímco podřízené závazky vydané ve formě vkladů jsou klasifikovány jako „vklady“.</w:t>
      </w:r>
    </w:p>
    <w:p w:rsidR="009569C7" w:rsidRPr="00EC4FA2" w:rsidRDefault="00A834F1" w:rsidP="009569C7">
      <w:pPr>
        <w:pStyle w:val="Baseparagraphnumbered"/>
      </w:pPr>
      <w:r>
        <w:lastRenderedPageBreak/>
        <w:t>Šablona 8.2 zahrnuje účetní hodnotu „vkladů“ a „vydaných dluhových cenných papírů“, které odpovídají definici podřízeného dluhu v členění podle účetních portfolií. Nástroje spadající do kategorie „podřízeného dluhu“ představují podřízenou pohledávku za vydávající institucí, která může být uplatněna až poté, co byly uspokojeny všechny pohledávky s vyšším statusem (nařízení ECB o BSI).</w:t>
      </w:r>
    </w:p>
    <w:p w:rsidR="009569C7" w:rsidRPr="00EC4FA2" w:rsidRDefault="00A834F1" w:rsidP="009569C7">
      <w:pPr>
        <w:pStyle w:val="Baseparagraphnumbered"/>
      </w:pPr>
      <w:r>
        <w:t xml:space="preserve">„Kumulované změny reálné hodnoty v důsledku změn ve vlastním úvěrovém riziku“ zahrnují všechny uvedené kumulované změny reálné hodnoty bez ohledu na to, zda jsou zaúčtovány do zisku nebo ztráty, nebo do ostatního úplného výsledku.  </w:t>
      </w:r>
    </w:p>
    <w:p w:rsidR="009569C7" w:rsidRPr="00EC4FA2" w:rsidRDefault="00A834F1" w:rsidP="009569C7">
      <w:pPr>
        <w:pStyle w:val="subtitlenumbered"/>
        <w:numPr>
          <w:ilvl w:val="0"/>
          <w:numId w:val="17"/>
        </w:numPr>
        <w:jc w:val="both"/>
      </w:pPr>
      <w:bookmarkStart w:id="120" w:name="_Toc361844222"/>
      <w:bookmarkStart w:id="121" w:name="_Toc362359293"/>
      <w:bookmarkStart w:id="122" w:name="_Toc467855217"/>
      <w:bookmarkStart w:id="123" w:name="_Toc485708553"/>
      <w:r>
        <w:t>Úvěrové přísliby, finanční záruky a ostatní přísliby (9)</w:t>
      </w:r>
      <w:bookmarkEnd w:id="120"/>
      <w:bookmarkEnd w:id="121"/>
      <w:bookmarkEnd w:id="122"/>
      <w:bookmarkEnd w:id="123"/>
    </w:p>
    <w:p w:rsidR="009569C7" w:rsidRPr="00EC4FA2" w:rsidRDefault="00A834F1" w:rsidP="009569C7">
      <w:pPr>
        <w:pStyle w:val="Baseparagraphnumbered"/>
      </w:pPr>
      <w:r>
        <w:t>Podrozvahové expozice zahrnují podrozvahové položky, jejichž seznam je uveden v příloze I nařízení o kapitálových požadavcích. V šablonách 9.1, 9.1.1 a 9.2 se všechny podrozvahové expozice uvedené v příloze 1 nařízení o kapitálových požadavcích rozčlení na úvěrové přísliby, finanční záruky a ostatní přísliby.</w:t>
      </w:r>
    </w:p>
    <w:p w:rsidR="009569C7" w:rsidRPr="00EC4FA2" w:rsidRDefault="00A834F1" w:rsidP="009569C7">
      <w:pPr>
        <w:pStyle w:val="Baseparagraphnumbered"/>
      </w:pPr>
      <w:bookmarkStart w:id="124" w:name="_Toc246513992"/>
      <w:bookmarkStart w:id="125" w:name="_Toc246730664"/>
      <w:bookmarkStart w:id="126" w:name="_Toc246730755"/>
      <w:bookmarkStart w:id="127" w:name="_Toc246513993"/>
      <w:bookmarkStart w:id="128" w:name="_Toc246730665"/>
      <w:bookmarkStart w:id="129" w:name="_Toc246730756"/>
      <w:bookmarkEnd w:id="124"/>
      <w:bookmarkEnd w:id="125"/>
      <w:bookmarkEnd w:id="126"/>
      <w:bookmarkEnd w:id="127"/>
      <w:bookmarkEnd w:id="128"/>
      <w:bookmarkEnd w:id="129"/>
      <w:r>
        <w:t xml:space="preserve">Informace o poskytnutých a přijatých úvěrových příslibech, finančních zárukách a ostatních příslibech zahrnují jak přísliby odvolatelné, tak i přísliby neodvolatelné. </w:t>
      </w:r>
    </w:p>
    <w:p w:rsidR="009569C7" w:rsidRPr="00EC4FA2" w:rsidRDefault="00A834F1" w:rsidP="009569C7">
      <w:pPr>
        <w:pStyle w:val="Baseparagraphnumbered"/>
      </w:pPr>
      <w:r>
        <w:t xml:space="preserve">Poskytnuté úvěrové přísliby, finanční záruky a ostatní přísliby uvedené v příloze I nařízení o kapitálových požadavcích mohou být nástroje spadající do působnosti IFRS 9, pokud se oceňují reálnou hodnotou do zisku nebo ztráty, nebo podléhají požadavkům IFRS 9 na znehodnocení, a také nástroje spadající do působnosti IAS 37 nebo IFRS 4.  </w:t>
      </w:r>
    </w:p>
    <w:p w:rsidR="009569C7" w:rsidRPr="00EC4FA2" w:rsidRDefault="00A834F1" w:rsidP="009569C7">
      <w:pPr>
        <w:pStyle w:val="Baseparagraphnumbered"/>
      </w:pPr>
      <w:r>
        <w:t>Podle IFRS se poskytnuté úvěrové přísliby, finanční záruky a ostatní přísliby vykazují v šabloně 9.1.1, jsou-li splněny jakékoli z těchto podmínek:</w:t>
      </w:r>
    </w:p>
    <w:p w:rsidR="009569C7" w:rsidRPr="00EC4FA2" w:rsidRDefault="00A834F1" w:rsidP="009569C7">
      <w:pPr>
        <w:pStyle w:val="Baseparagraphnumbered"/>
        <w:numPr>
          <w:ilvl w:val="0"/>
          <w:numId w:val="56"/>
        </w:numPr>
        <w:ind w:left="1134" w:hanging="425"/>
      </w:pPr>
      <w:r>
        <w:t xml:space="preserve"> podléhají požadavkům IFRS 9 na znehodnocení;</w:t>
      </w:r>
    </w:p>
    <w:p w:rsidR="009569C7" w:rsidRPr="00EC4FA2" w:rsidRDefault="00A834F1" w:rsidP="009569C7">
      <w:pPr>
        <w:pStyle w:val="Baseparagraphnumbered"/>
        <w:numPr>
          <w:ilvl w:val="0"/>
          <w:numId w:val="56"/>
        </w:numPr>
        <w:ind w:left="1134" w:hanging="425"/>
      </w:pPr>
      <w:r>
        <w:t>jsou oceněné v reálné hodnotě do zisku nebo ztráty podle IFRS 9;</w:t>
      </w:r>
    </w:p>
    <w:p w:rsidR="009569C7" w:rsidRPr="00EC4FA2" w:rsidRDefault="00A834F1" w:rsidP="009569C7">
      <w:pPr>
        <w:pStyle w:val="Baseparagraphnumbered"/>
        <w:numPr>
          <w:ilvl w:val="0"/>
          <w:numId w:val="56"/>
        </w:numPr>
        <w:ind w:left="1134" w:hanging="425"/>
      </w:pPr>
      <w:r>
        <w:t xml:space="preserve">spadají do působnosti IAS 37 nebo IFRS 4. </w:t>
      </w:r>
    </w:p>
    <w:p w:rsidR="009569C7" w:rsidRPr="00EC4FA2" w:rsidRDefault="00A834F1" w:rsidP="009569C7">
      <w:pPr>
        <w:pStyle w:val="Baseparagraphnumbered"/>
      </w:pPr>
      <w:r>
        <w:t xml:space="preserve">Závazky se </w:t>
      </w:r>
      <w:proofErr w:type="spellStart"/>
      <w:r>
        <w:t>zaúčtovávají</w:t>
      </w:r>
      <w:proofErr w:type="spellEnd"/>
      <w:r>
        <w:t xml:space="preserve"> jako úvěrové ztráty za finanční záruky a poskytnuté přísliby uvedené v odst. 105 písm. a) a c) této části této přílohy se vykazují jako rezervy nezávisle na uplatňovaných kritériích ocenění.</w:t>
      </w:r>
    </w:p>
    <w:p w:rsidR="009569C7" w:rsidRPr="00EC4FA2" w:rsidRDefault="00A834F1" w:rsidP="009569C7">
      <w:pPr>
        <w:pStyle w:val="Baseparagraphnumbered"/>
      </w:pPr>
      <w:r>
        <w:t xml:space="preserve">Instituce podle IFRS vykazují nominální částku a rezervy nástrojů podléhajících požadavkům IFRS 9 na znehodnocení, včetně těch, které se oceňují počátečními náklady s odečtením kumulovaného zaúčtovaného výnosu s rozčleněním podle stupňů znehodnocení. </w:t>
      </w:r>
    </w:p>
    <w:p w:rsidR="009569C7" w:rsidRPr="00EC4FA2" w:rsidRDefault="00A834F1" w:rsidP="009569C7">
      <w:pPr>
        <w:pStyle w:val="Baseparagraphnumbered"/>
      </w:pPr>
      <w:r>
        <w:t xml:space="preserve">V šabloně 9.1.1 se vykazuje pouze nominální hodnota příslibu, pokud dluhový nástroj zahrnuje nástroj vykazovaný v rozvaze a podrozvahovou složku. Nemůže-li vykazující účetní jednotka určit odděleně očekávané </w:t>
      </w:r>
      <w:r>
        <w:lastRenderedPageBreak/>
        <w:t xml:space="preserve">úvěrové ztráty rozvahových a podrozvahových složek, očekávané úvěrové ztráty z příslibu se vykáží spolu s kumulovanou ztrátou ze snížené hodnoty v rozvahové složce. Pokud kombinované očekávané úvěrové ztráty překročí účetní hodnotu dluhového nástroje, zbývající saldo očekávaných úvěrových ztrát se vykáže jako rezerva v příslušném stupni znehodnocení v šabloně 9.1.1 [odstavec </w:t>
      </w:r>
      <w:proofErr w:type="gramStart"/>
      <w:r>
        <w:t>5.5.20</w:t>
      </w:r>
      <w:proofErr w:type="gramEnd"/>
      <w:r>
        <w:t xml:space="preserve"> IFRS 9 a odstavec B8E IFRS 7].</w:t>
      </w:r>
    </w:p>
    <w:p w:rsidR="009569C7" w:rsidRPr="00EC4FA2" w:rsidRDefault="00A834F1" w:rsidP="009569C7">
      <w:pPr>
        <w:pStyle w:val="Baseparagraphnumbered"/>
      </w:pPr>
      <w:r>
        <w:t>Pokud se finanční záruka nebo příslib poskytnutí úvěru s úrokovou sazbou pod tržní úrovní oceňuje v souladu s odst. 4.2.1 písm. d) IFRS 9 a její opravná položka se určuje v souladu s odstavcem 5.5 IFRS 9, vykáže se v příslušném stupni znehodnocení.</w:t>
      </w:r>
    </w:p>
    <w:p w:rsidR="009569C7" w:rsidRPr="00EC4FA2" w:rsidRDefault="00A834F1" w:rsidP="009569C7">
      <w:pPr>
        <w:pStyle w:val="Baseparagraphnumbered"/>
      </w:pPr>
      <w:r>
        <w:t>Jestliže se úvěrové přísliby, finanční záruky a ostatní přísliby oceňují reálnou hodnotou v souladu s IFRS 9, instituce vykáží v šabloně 9.1.1 nominální hodnotu a kumulované záporné změny reálné hodnoty v důsledku úvěrového rizika těchto finančních záruk a příslibů ve zvláštních sloupcích. „Kumulované záporné změny reálné hodnoty v důsledku úvěrového rizika se vykazují s uplatněním kritéria odstavce 69 této části.</w:t>
      </w:r>
    </w:p>
    <w:p w:rsidR="009569C7" w:rsidRPr="00EC4FA2" w:rsidRDefault="00A834F1" w:rsidP="009569C7">
      <w:pPr>
        <w:pStyle w:val="Baseparagraphnumbered"/>
      </w:pPr>
      <w:r>
        <w:t>Nominální hodnota a rezervy ostatních příslibů nebo záruk spadajících do působnosti IAS 37 nebo IFRS 4 se vykazují ve zvláštních sloupcích.</w:t>
      </w:r>
    </w:p>
    <w:p w:rsidR="009569C7" w:rsidRPr="00EC4FA2" w:rsidRDefault="00A834F1" w:rsidP="009569C7">
      <w:pPr>
        <w:pStyle w:val="Baseparagraphnumbered"/>
      </w:pPr>
      <w:r>
        <w:t>Instituce podle vnitrostátních GAAP založených na BAD vykazují v šabloně 9.1 nominální hodnotu příslibů a finanční záruky uvedené v odstavcích 102 a 103 a rovněž výši rezerv, které se musí držet proti těmto podrozvahovým expozicím.</w:t>
      </w:r>
    </w:p>
    <w:p w:rsidR="009569C7" w:rsidRPr="00EC4FA2" w:rsidRDefault="00A834F1" w:rsidP="009569C7">
      <w:pPr>
        <w:pStyle w:val="Baseparagraphnumbered"/>
      </w:pPr>
      <w:r>
        <w:t xml:space="preserve">„Úvěrové přísliby“ jsou závazné přísliby, na jejichž základě má být za předem stanovených podmínek poskytnut úvěr, vyjma příslibů, které mají charakter derivátů, protože je lze vypořádat v hotovosti nebo vydáním dalšího finančního nástroje. Jako „úvěrové přísliby“ jsou klasifikovány následující položky uvedené v příloze I nařízení o kapitálových požadavcích: </w:t>
      </w:r>
    </w:p>
    <w:p w:rsidR="009569C7" w:rsidRPr="00EC4FA2" w:rsidRDefault="00A834F1" w:rsidP="009569C7">
      <w:pPr>
        <w:pStyle w:val="Baseparagraphnumbered"/>
        <w:numPr>
          <w:ilvl w:val="0"/>
          <w:numId w:val="31"/>
        </w:numPr>
        <w:ind w:left="1134" w:hanging="425"/>
      </w:pPr>
      <w:r>
        <w:t>„forwardové vklady“;</w:t>
      </w:r>
    </w:p>
    <w:p w:rsidR="009569C7" w:rsidRPr="00EC4FA2" w:rsidRDefault="00A834F1" w:rsidP="009569C7">
      <w:pPr>
        <w:pStyle w:val="Baseparagraphnumbered"/>
        <w:numPr>
          <w:ilvl w:val="0"/>
          <w:numId w:val="31"/>
        </w:numPr>
        <w:ind w:left="1134" w:hanging="425"/>
      </w:pPr>
      <w:r>
        <w:t>„nevyčerpané úvěrové přísliby“, které zahrnují dohody o „půjčce“ či „akceptaci“ za předem stanovených podmínek.</w:t>
      </w:r>
    </w:p>
    <w:p w:rsidR="009569C7" w:rsidRPr="00EC4FA2" w:rsidRDefault="00A834F1" w:rsidP="009569C7">
      <w:pPr>
        <w:pStyle w:val="Baseparagraphnumbered"/>
      </w:pPr>
      <w:r>
        <w:t xml:space="preserve">„Finanční záruky“ jsou smlouvy, které jejich emitentovi ukládají, aby provedl stanovené platby, jimiž držiteli těchto záruk nahradí ztrátu vzniklou v důsledku toho, že určitý dlužník neprovedl v souladu s původními nebo upravenými podmínkami dluhového nástroje platbu ve lhůtě její splatnosti, včetně záruk poskytnutých na ostatní finanční záruky. Podle IFRS tyto smlouvy splňují definici smluv o finančních zárukách v odst. 2.1 písm. e) IFRS 9 a dodatku A IFRS 4. Jako „finanční záruky“ jsou klasifikovány následující položky uvedené v příloze I nařízení o kapitálových požadavcích: </w:t>
      </w:r>
    </w:p>
    <w:p w:rsidR="009569C7" w:rsidRPr="00EC4FA2" w:rsidRDefault="00A834F1" w:rsidP="009569C7">
      <w:pPr>
        <w:pStyle w:val="Baseparagraphnumbered"/>
        <w:numPr>
          <w:ilvl w:val="0"/>
          <w:numId w:val="69"/>
        </w:numPr>
      </w:pPr>
      <w:r>
        <w:t xml:space="preserve">„záruky mající charakter úvěrového substitutu“; </w:t>
      </w:r>
    </w:p>
    <w:p w:rsidR="009569C7" w:rsidRPr="00EC4FA2" w:rsidRDefault="00A834F1" w:rsidP="009569C7">
      <w:pPr>
        <w:pStyle w:val="Baseparagraphnumbered"/>
        <w:numPr>
          <w:ilvl w:val="0"/>
          <w:numId w:val="69"/>
        </w:numPr>
        <w:ind w:left="1134" w:hanging="425"/>
      </w:pPr>
      <w:r>
        <w:t>„úvěrové deriváty“, které vyhovují definici finanční záruky;</w:t>
      </w:r>
    </w:p>
    <w:p w:rsidR="009569C7" w:rsidRPr="00EC4FA2" w:rsidRDefault="00A834F1" w:rsidP="009569C7">
      <w:pPr>
        <w:pStyle w:val="Baseparagraphnumbered"/>
        <w:numPr>
          <w:ilvl w:val="0"/>
          <w:numId w:val="69"/>
        </w:numPr>
        <w:ind w:left="1134" w:hanging="425"/>
      </w:pPr>
      <w:r>
        <w:lastRenderedPageBreak/>
        <w:t xml:space="preserve">„neodvolatelné </w:t>
      </w:r>
      <w:proofErr w:type="spellStart"/>
      <w:r>
        <w:t>stand</w:t>
      </w:r>
      <w:proofErr w:type="spellEnd"/>
      <w:r>
        <w:t>-by (záložní) akreditivy mající charakter úvěrových substitutů“.</w:t>
      </w:r>
    </w:p>
    <w:p w:rsidR="009569C7" w:rsidRPr="00EC4FA2" w:rsidRDefault="00A834F1" w:rsidP="009569C7">
      <w:pPr>
        <w:pStyle w:val="Baseparagraphnumbered"/>
      </w:pPr>
      <w:r>
        <w:t xml:space="preserve">„Ostatní přísliby“ zahrnují následující položky uvedené v příloze I nařízení o kapitálových požadavcích:  </w:t>
      </w:r>
    </w:p>
    <w:p w:rsidR="009569C7" w:rsidRPr="00EC4FA2" w:rsidRDefault="00A834F1" w:rsidP="009569C7">
      <w:pPr>
        <w:pStyle w:val="Baseparagraphnumbered"/>
        <w:numPr>
          <w:ilvl w:val="0"/>
          <w:numId w:val="32"/>
        </w:numPr>
        <w:ind w:left="1134" w:hanging="425"/>
      </w:pPr>
      <w:r>
        <w:t xml:space="preserve">„nesplacená část částečně splacených akcií, podílů a cenných papírů“; </w:t>
      </w:r>
    </w:p>
    <w:p w:rsidR="009569C7" w:rsidRPr="00EC4FA2" w:rsidRDefault="00A834F1" w:rsidP="009569C7">
      <w:pPr>
        <w:pStyle w:val="Baseparagraphnumbered"/>
        <w:numPr>
          <w:ilvl w:val="0"/>
          <w:numId w:val="32"/>
        </w:numPr>
        <w:ind w:left="1134" w:hanging="425"/>
      </w:pPr>
      <w:r>
        <w:t xml:space="preserve">„poskytnuté nebo potvrzené dokumentární akreditivy“; </w:t>
      </w:r>
    </w:p>
    <w:p w:rsidR="009569C7" w:rsidRPr="00EC4FA2" w:rsidRDefault="00A834F1" w:rsidP="009569C7">
      <w:pPr>
        <w:pStyle w:val="Baseparagraphnumbered"/>
        <w:numPr>
          <w:ilvl w:val="0"/>
          <w:numId w:val="32"/>
        </w:numPr>
        <w:ind w:left="1134" w:hanging="425"/>
      </w:pPr>
      <w:r>
        <w:t>„podrozvahové položky financování obchodu“;</w:t>
      </w:r>
    </w:p>
    <w:p w:rsidR="009569C7" w:rsidRPr="00EC4FA2" w:rsidRDefault="00A834F1" w:rsidP="009569C7">
      <w:pPr>
        <w:pStyle w:val="Baseparagraphnumbered"/>
        <w:numPr>
          <w:ilvl w:val="0"/>
          <w:numId w:val="32"/>
        </w:numPr>
        <w:ind w:left="1134" w:hanging="425"/>
      </w:pPr>
      <w:r>
        <w:t xml:space="preserve">„dokumentární akreditivy zajištěné cenným papírem ke zboží a jiné </w:t>
      </w:r>
      <w:proofErr w:type="spellStart"/>
      <w:r>
        <w:t>samolikvidující</w:t>
      </w:r>
      <w:proofErr w:type="spellEnd"/>
      <w:r>
        <w:t xml:space="preserve"> operace“; </w:t>
      </w:r>
    </w:p>
    <w:p w:rsidR="009569C7" w:rsidRPr="00EC4FA2" w:rsidRDefault="00A834F1" w:rsidP="009569C7">
      <w:pPr>
        <w:pStyle w:val="Baseparagraphnumbered"/>
        <w:numPr>
          <w:ilvl w:val="0"/>
          <w:numId w:val="32"/>
        </w:numPr>
        <w:ind w:left="1134" w:hanging="425"/>
      </w:pPr>
      <w:r>
        <w:t>„jistoty a sliby odškodnění“ (včetně záruky za předloženou nabídku a za náležité provedení smlouvy) a „záruky nemající charakter úvěrových substitutů“;</w:t>
      </w:r>
    </w:p>
    <w:p w:rsidR="009569C7" w:rsidRPr="00EC4FA2" w:rsidRDefault="00A834F1" w:rsidP="009569C7">
      <w:pPr>
        <w:pStyle w:val="Baseparagraphnumbered"/>
        <w:numPr>
          <w:ilvl w:val="0"/>
          <w:numId w:val="32"/>
        </w:numPr>
        <w:ind w:left="1134" w:hanging="425"/>
      </w:pPr>
      <w:r>
        <w:t>„přepravní záruky, celní a daňové jistoty“;</w:t>
      </w:r>
    </w:p>
    <w:p w:rsidR="009569C7" w:rsidRPr="00EC4FA2" w:rsidRDefault="00A834F1" w:rsidP="009569C7">
      <w:pPr>
        <w:pStyle w:val="Baseparagraphnumbered"/>
        <w:numPr>
          <w:ilvl w:val="0"/>
          <w:numId w:val="32"/>
        </w:numPr>
        <w:ind w:left="1134" w:hanging="425"/>
      </w:pPr>
      <w:r>
        <w:t>„přísliby nakoupit dluhové cenné papíry“ (</w:t>
      </w:r>
      <w:proofErr w:type="spellStart"/>
      <w:r>
        <w:t>note</w:t>
      </w:r>
      <w:proofErr w:type="spellEnd"/>
      <w:r>
        <w:t xml:space="preserve"> </w:t>
      </w:r>
      <w:proofErr w:type="spellStart"/>
      <w:r>
        <w:t>issuance</w:t>
      </w:r>
      <w:proofErr w:type="spellEnd"/>
      <w:r>
        <w:t xml:space="preserve"> </w:t>
      </w:r>
      <w:proofErr w:type="spellStart"/>
      <w:r>
        <w:t>facility</w:t>
      </w:r>
      <w:proofErr w:type="spellEnd"/>
      <w:r>
        <w:t>, NIF) a „přísliby revolvingových úvěrů“ (</w:t>
      </w:r>
      <w:proofErr w:type="spellStart"/>
      <w:r>
        <w:t>revolving</w:t>
      </w:r>
      <w:proofErr w:type="spellEnd"/>
      <w:r>
        <w:t xml:space="preserve"> </w:t>
      </w:r>
      <w:proofErr w:type="spellStart"/>
      <w:r>
        <w:t>underwriting</w:t>
      </w:r>
      <w:proofErr w:type="spellEnd"/>
      <w:r>
        <w:t xml:space="preserve"> </w:t>
      </w:r>
      <w:proofErr w:type="spellStart"/>
      <w:r>
        <w:t>facility</w:t>
      </w:r>
      <w:proofErr w:type="spellEnd"/>
      <w:r>
        <w:t>, RUF);</w:t>
      </w:r>
    </w:p>
    <w:p w:rsidR="009569C7" w:rsidRPr="00EC4FA2" w:rsidRDefault="00A834F1" w:rsidP="009569C7">
      <w:pPr>
        <w:pStyle w:val="Baseparagraphnumbered"/>
        <w:numPr>
          <w:ilvl w:val="0"/>
          <w:numId w:val="32"/>
        </w:numPr>
        <w:ind w:left="1134" w:hanging="425"/>
      </w:pPr>
      <w:r>
        <w:t xml:space="preserve">„nevyčerpané úvěrové přísliby“, které zahrnují dohody o „půjčce“ či „akceptaci“ v případě, kdy nejsou předem stanoveny příslušné podmínky; </w:t>
      </w:r>
    </w:p>
    <w:p w:rsidR="009569C7" w:rsidRPr="00EC4FA2" w:rsidRDefault="00A834F1" w:rsidP="009569C7">
      <w:pPr>
        <w:pStyle w:val="Baseparagraphnumbered"/>
        <w:numPr>
          <w:ilvl w:val="0"/>
          <w:numId w:val="32"/>
        </w:numPr>
        <w:ind w:left="1134" w:hanging="425"/>
      </w:pPr>
      <w:r>
        <w:t>„nevyčerpané úvěrové přísliby“, které zahrnují dohody o „koupi cenných papírů“ či „poskytnutí záruk“;</w:t>
      </w:r>
    </w:p>
    <w:p w:rsidR="009569C7" w:rsidRPr="00EC4FA2" w:rsidRDefault="00A834F1" w:rsidP="009569C7">
      <w:pPr>
        <w:pStyle w:val="Baseparagraphnumbered"/>
        <w:numPr>
          <w:ilvl w:val="0"/>
          <w:numId w:val="32"/>
        </w:numPr>
        <w:ind w:left="1134" w:hanging="425"/>
      </w:pPr>
      <w:r>
        <w:t>„nevyčerpané úvěrové přísliby pro záruky za předloženou nabídku a za náležité provedení smlouvy“;</w:t>
      </w:r>
    </w:p>
    <w:p w:rsidR="009569C7" w:rsidRPr="00EC4FA2" w:rsidRDefault="00A834F1" w:rsidP="009569C7">
      <w:pPr>
        <w:pStyle w:val="Baseparagraphnumbered"/>
        <w:numPr>
          <w:ilvl w:val="0"/>
          <w:numId w:val="32"/>
        </w:numPr>
        <w:ind w:left="1134" w:hanging="425"/>
      </w:pPr>
      <w:r>
        <w:t>„jiné podrozvahové položky“, které jsou uvedeny v příloze I nařízení o kapitálových požadavcích.</w:t>
      </w:r>
    </w:p>
    <w:p w:rsidR="009569C7" w:rsidRPr="00EC4FA2" w:rsidRDefault="00A834F1" w:rsidP="009569C7">
      <w:pPr>
        <w:pStyle w:val="Baseparagraphnumbered"/>
      </w:pPr>
      <w:r>
        <w:t>V rámci IFRS se v rozvaze zachycují následující položky, které by proto neměly být vykazovány jako podrozvahové expozice:</w:t>
      </w:r>
    </w:p>
    <w:p w:rsidR="009569C7" w:rsidRPr="00EC4FA2" w:rsidRDefault="00A834F1" w:rsidP="009569C7">
      <w:pPr>
        <w:pStyle w:val="Baseparagraphnumbered"/>
        <w:numPr>
          <w:ilvl w:val="0"/>
          <w:numId w:val="33"/>
        </w:numPr>
        <w:ind w:left="1134" w:hanging="425"/>
      </w:pPr>
      <w:r>
        <w:t>„úvěrové deriváty“, které neodpovídají definici finančních záruk, jsou „deriváty“ ve smyslu IFRS 9;</w:t>
      </w:r>
    </w:p>
    <w:p w:rsidR="009569C7" w:rsidRPr="00EC4FA2" w:rsidRDefault="00A834F1" w:rsidP="009569C7">
      <w:pPr>
        <w:pStyle w:val="Baseparagraphnumbered"/>
        <w:numPr>
          <w:ilvl w:val="0"/>
          <w:numId w:val="33"/>
        </w:numPr>
        <w:ind w:left="1134" w:hanging="425"/>
      </w:pPr>
      <w:r>
        <w:t xml:space="preserve"> „akceptace směnek“ jsou závazky určité instituce, které ji zavazují uhradit ve lhůtě splatnosti nominální hodnotu směnky, zahrnující zpravidla prodej zboží. V rozvaze jsou proto klasifikovány jako „obchodní pohledávky“;</w:t>
      </w:r>
    </w:p>
    <w:p w:rsidR="009569C7" w:rsidRPr="00EC4FA2" w:rsidRDefault="00A834F1" w:rsidP="009569C7">
      <w:pPr>
        <w:pStyle w:val="Baseparagraphnumbered"/>
        <w:numPr>
          <w:ilvl w:val="0"/>
          <w:numId w:val="33"/>
        </w:numPr>
        <w:ind w:left="1134" w:hanging="425"/>
      </w:pPr>
      <w:r>
        <w:t>„indosamenty směnek“, které podle IFRS 9 nesplňují kritéria pro odúčtování z rozvahy;</w:t>
      </w:r>
    </w:p>
    <w:p w:rsidR="009569C7" w:rsidRPr="00EC4FA2" w:rsidRDefault="00A834F1" w:rsidP="009569C7">
      <w:pPr>
        <w:pStyle w:val="Baseparagraphnumbered"/>
        <w:numPr>
          <w:ilvl w:val="0"/>
          <w:numId w:val="33"/>
        </w:numPr>
        <w:ind w:left="1134" w:hanging="425"/>
      </w:pPr>
      <w:r>
        <w:t>„transakce s možností zpětného postihu“, které podle IFRS 9 nesplňují kritéria pro odúčtování z rozvahy;</w:t>
      </w:r>
    </w:p>
    <w:p w:rsidR="009569C7" w:rsidRPr="00EC4FA2" w:rsidRDefault="00A834F1" w:rsidP="009569C7">
      <w:pPr>
        <w:pStyle w:val="Baseparagraphnumbered"/>
        <w:numPr>
          <w:ilvl w:val="0"/>
          <w:numId w:val="33"/>
        </w:numPr>
        <w:ind w:left="1134" w:hanging="425"/>
      </w:pPr>
      <w:r>
        <w:lastRenderedPageBreak/>
        <w:t>„aktiva pořízená na základě přímých forwardů na koupi“ jsou podle IFRS 9 „deriváty“;</w:t>
      </w:r>
    </w:p>
    <w:p w:rsidR="009569C7" w:rsidRPr="00EC4FA2" w:rsidRDefault="00A834F1" w:rsidP="009569C7">
      <w:pPr>
        <w:pStyle w:val="Baseparagraphnumbered"/>
        <w:numPr>
          <w:ilvl w:val="0"/>
          <w:numId w:val="33"/>
        </w:numPr>
        <w:ind w:left="1134" w:hanging="425"/>
      </w:pPr>
      <w:r>
        <w:t>„dohody o prodeji a zpětném odkupu aktiv stanovené v čl. 12 odst. 3 a 5 směrnice 86/635/EHS“. Nabyvatel má na základě těchto smluv možnost, nikoli však povinnost převést aktiva zpět za předem dohodnutou cenu a ve stanoveném termínu nebo v termínu, který bude stanoven. Tyto smlouvy tudíž odpovídají definici derivátů podle dodatku A IFRS 9.</w:t>
      </w:r>
    </w:p>
    <w:p w:rsidR="009569C7" w:rsidRPr="00EC4FA2" w:rsidRDefault="00A834F1" w:rsidP="009569C7">
      <w:pPr>
        <w:pStyle w:val="Baseparagraphnumbered"/>
      </w:pPr>
      <w:r>
        <w:t xml:space="preserve">Položka „z toho: „nevýkonné“ zahrnuje nominální hodnotu těch poskytnutých úvěrových příslibů, finančních záruk a jiných příslibů, které se považují za nevýkonné v souladu s odstavci 213–239 této části. </w:t>
      </w:r>
    </w:p>
    <w:p w:rsidR="009569C7" w:rsidRPr="00EC4FA2" w:rsidRDefault="00A834F1" w:rsidP="009569C7">
      <w:pPr>
        <w:pStyle w:val="Baseparagraphnumbered"/>
      </w:pPr>
      <w:r>
        <w:t>U poskytnutých finančních záruk, úvěrových příslibů a jiných příslibů se „nominální hodnotou“ rozumí hodnota, která nejlépe představuje maximální expozici dané instituce vůči úvěrovému riziku bez zohlednění drženého zajištění nebo jiného úvěrového posílení. Zejména u poskytnutých finančních záruk se nominální hodnota rovná nejvyšší částce, kterou by subjekt musel zaplatit, kdyby byla záruka uplatněna. V případě úvěrových příslibů je nominální hodnota rovna nevyčerpané částce, kterou daná instituce přislíbila půjčit. Nominální hodnoty se rovnají hodnotám expozice před uplatněním konverzních faktorů a metod snižování úvěrového rizika.</w:t>
      </w:r>
    </w:p>
    <w:p w:rsidR="009569C7" w:rsidRPr="00EC4FA2" w:rsidRDefault="00A834F1" w:rsidP="009569C7">
      <w:pPr>
        <w:pStyle w:val="Baseparagraphnumbered"/>
      </w:pPr>
      <w:r>
        <w:t>V šabloně 9.2 je nominální hodnota u přijatých úvěrových příslibů rovna celkové nevyčerpané částce, kterou dané instituci její protistrana přislíbila půjčit. V případě jiných přijatých příslibů je nominální hodnota rovna celkové částce, kterou protistrana v rámci dané transakce přislíbila půjčit. U přijatých finančních záruk je „maximální akceptovatelná výše záruky“ rovna nejvyšší částce, kterou by protistrana zaplatila, kdyby byla záruka uplatněna. Vydá-li určitou získanou finanční záruku více než jeden ručitel, vykáže se zaručená částka v této šabloně pouze jednou; zaručená částka se uvede pod ručitelem, který je z hlediska zmírnění úvěrového rizika významnější.</w:t>
      </w:r>
    </w:p>
    <w:p w:rsidR="009569C7" w:rsidRPr="00EC4FA2" w:rsidRDefault="00A834F1" w:rsidP="009569C7">
      <w:pPr>
        <w:pStyle w:val="subtitlenumbered"/>
        <w:numPr>
          <w:ilvl w:val="0"/>
          <w:numId w:val="17"/>
        </w:numPr>
        <w:jc w:val="both"/>
      </w:pPr>
      <w:bookmarkStart w:id="130" w:name="_Toc361844223"/>
      <w:bookmarkStart w:id="131" w:name="_Toc362359294"/>
      <w:bookmarkStart w:id="132" w:name="_Toc467855218"/>
      <w:bookmarkStart w:id="133" w:name="_Toc485708554"/>
      <w:r>
        <w:t>Deriváty a zajišťovací účetnictví (10 a 11)</w:t>
      </w:r>
      <w:bookmarkEnd w:id="130"/>
      <w:bookmarkEnd w:id="131"/>
      <w:bookmarkEnd w:id="132"/>
      <w:bookmarkEnd w:id="133"/>
    </w:p>
    <w:p w:rsidR="009569C7" w:rsidRPr="00EC4FA2" w:rsidRDefault="00A834F1" w:rsidP="009569C7">
      <w:pPr>
        <w:pStyle w:val="Baseparagraphnumbered"/>
      </w:pPr>
      <w:r>
        <w:t xml:space="preserve">Pro účely šablony 10 a 11 se za deriváty považují buď zajišťovací deriváty, pokud se používají ve způsobilém zajišťovacím vztahu v souladu s IFRS nebo použitelnými vnitrostátními GAAP založenými na BAD, nebo </w:t>
      </w:r>
      <w:proofErr w:type="gramStart"/>
      <w:r>
        <w:t>deriváty  k obchodování</w:t>
      </w:r>
      <w:proofErr w:type="gramEnd"/>
      <w:r>
        <w:t xml:space="preserve"> v jiných případech.   </w:t>
      </w:r>
    </w:p>
    <w:p w:rsidR="009569C7" w:rsidRPr="00EC4FA2" w:rsidRDefault="00A834F1" w:rsidP="009569C7">
      <w:pPr>
        <w:pStyle w:val="Baseparagraphnumbered"/>
      </w:pPr>
      <w:r>
        <w:t>Účetní hodnota a pomyslná hodnota derivátů k obchodování, včetně ekonomických zajištění, a rovněž derivátů k zajišťovacímu účetnictví se vykazuje v šablonách 10 a 11 ve struktuře podle typu podkladového rizika, typu trhu a typu produktu. Deriváty k zajišťovacímu účetnictví vykazují instituce rovněž ve struktuře podle typu rizika, které zajišťují. Informace o nederivátových zajišťovacích nástrojích se vykazují zvlášť ve struktuře podle typu zajištění.</w:t>
      </w:r>
    </w:p>
    <w:p w:rsidR="009569C7" w:rsidRPr="00EC4FA2" w:rsidRDefault="00A834F1" w:rsidP="009569C7">
      <w:pPr>
        <w:pStyle w:val="Baseparagraphnumbered"/>
      </w:pPr>
      <w:r>
        <w:lastRenderedPageBreak/>
        <w:t>Veškeré deriváty se podle příslušných vnitrostátních GAAP založených na BAD vykazují v těchto šablonách bez ohledu na to, zda jsou podle příslušných vnitrostátních GAAP zachyceny v rozvaze, či nikoli.</w:t>
      </w:r>
    </w:p>
    <w:p w:rsidR="009569C7" w:rsidRPr="00EC4FA2" w:rsidRDefault="00A834F1" w:rsidP="009569C7">
      <w:pPr>
        <w:pStyle w:val="Baseparagraphnumbered"/>
      </w:pPr>
      <w:r>
        <w:t xml:space="preserve">Struktura účetní hodnoty, reálné hodnoty a pomyslné hodnoty obchodovatelných a zajišťovacích derivátů podle účetních portfolií a typů zajištění se uplatňuje s přihlédnutím k účetním portfoliím a typům zajištění, které jsou použitelné v IFRS nebo vnitrostátních GAPP založených na BAD, ať se na vykazující účetní jednotku vztahuje jakýkoli rámec. </w:t>
      </w:r>
    </w:p>
    <w:p w:rsidR="009569C7" w:rsidRPr="00EC4FA2" w:rsidRDefault="00A834F1" w:rsidP="009569C7">
      <w:pPr>
        <w:pStyle w:val="Baseparagraphnumbered"/>
      </w:pPr>
      <w:r>
        <w:t>Obchodovatelné deriváty a zajišťovací deriváty, které se v souladu s vnitrostátními GAAP založenými na BAD oceňují pořizovací cenou nebo metodou LOCOM, se určují zvlášť.</w:t>
      </w:r>
    </w:p>
    <w:p w:rsidR="009569C7" w:rsidRPr="00EC4FA2" w:rsidRDefault="00A834F1" w:rsidP="009569C7">
      <w:pPr>
        <w:pStyle w:val="Baseparagraphnumbered"/>
      </w:pPr>
      <w:r>
        <w:t xml:space="preserve">Šablona 11 zahrnuje zajišťovací nástroje a zajištěné položky bez ohledu na účetní standard používaný k zaúčtování způsobilého zajišťovacího vztahu, je-li tento způsobilý zajišťovací vztah ve vztahu k čisté pozici. Pokud se instituce rozhodla, že pro zajišťovací účetnictví bude i nadále uplatňovat IAS 39 [odstavec </w:t>
      </w:r>
      <w:proofErr w:type="gramStart"/>
      <w:r>
        <w:t>7.2.21</w:t>
      </w:r>
      <w:proofErr w:type="gramEnd"/>
      <w:r>
        <w:t xml:space="preserve"> IFRS 9], odkazy a názvy typů zajištění a účetních portfolií se rozumí příslušné odkazy a názvy v IAS 39.9: „finanční aktiva oceněná reálnou hodnotou do ostatního úplného výsledku“ se vztahují na „aktiva, která jsou k dispozici k prodeji“, a „aktiva v naběhlé hodnotě“ spojují položky „držena do splatnosti“ a rovněž „úvěry a pohledávky“.</w:t>
      </w:r>
    </w:p>
    <w:p w:rsidR="009569C7" w:rsidRPr="00EC4FA2" w:rsidRDefault="00A834F1" w:rsidP="009569C7">
      <w:pPr>
        <w:pStyle w:val="Baseparagraphnumbered"/>
      </w:pPr>
      <w:r>
        <w:t xml:space="preserve">Deriváty, které jsou součástí hybridních nástrojů, ale nejsou součástí hostitelské smlouvy, se vykazují v šablonách 10 a 11 podle povahy příslušného derivátu. Částka vyjadřující hodnotu hostitelské smlouvy se v těchto šablonách neuvádí. Pokud se však hybridní nástroj oceňuje reálnou </w:t>
      </w:r>
      <w:proofErr w:type="gramStart"/>
      <w:r>
        <w:t>hodnotou  do</w:t>
      </w:r>
      <w:proofErr w:type="gramEnd"/>
      <w:r>
        <w:t xml:space="preserve"> zisku nebo ztráty, smlouva se vykazuje jako celek a začleněné deriváty se v šablonách 10 a 11 nevykazují.</w:t>
      </w:r>
    </w:p>
    <w:p w:rsidR="009569C7" w:rsidRPr="00EC4FA2" w:rsidRDefault="00A834F1" w:rsidP="009569C7">
      <w:pPr>
        <w:pStyle w:val="Baseparagraphnumbered"/>
      </w:pPr>
      <w:r>
        <w:t xml:space="preserve">Přísliby považované za deriváty [odst. 2.3 písm. b) IFRS 9] a úvěrové deriváty, které neodpovídají definici finanční záruky v odstavci 114 této části této přílohy, se vykazují v šablonách 10 a 11 podle stejných struktur jako ostatní derivátové nástroje, ale nevykazované v šabloně 9. </w:t>
      </w:r>
    </w:p>
    <w:p w:rsidR="009569C7" w:rsidRPr="00EC4FA2" w:rsidRDefault="00A834F1" w:rsidP="009569C7">
      <w:pPr>
        <w:pStyle w:val="Baseparagraphnumbered"/>
      </w:pPr>
      <w:r>
        <w:t xml:space="preserve">Účetní hodnota nederivátových finančních aktiv nebo nederivátových finančních závazků, která je zaúčtována jako zajišťovací nástroj v souladu s IFRS nebo příslušnými vnitrostátními GAAP založenými na BAD, se vykazuje zvlášť v šabloně 11.3. </w:t>
      </w:r>
    </w:p>
    <w:p w:rsidR="009569C7" w:rsidRPr="00EC4FA2" w:rsidRDefault="00A834F1" w:rsidP="009569C7">
      <w:pPr>
        <w:pStyle w:val="sub-subtitlenumbered"/>
        <w:keepNext/>
        <w:ind w:left="788" w:hanging="431"/>
        <w:jc w:val="both"/>
      </w:pPr>
      <w:bookmarkStart w:id="134" w:name="_Toc361844224"/>
      <w:bookmarkStart w:id="135" w:name="_Toc362359295"/>
      <w:bookmarkStart w:id="136" w:name="_Toc467855219"/>
      <w:bookmarkStart w:id="137" w:name="_Toc485708555"/>
      <w:r>
        <w:t>Klasifikace derivátů podle typu rizika</w:t>
      </w:r>
      <w:bookmarkEnd w:id="134"/>
      <w:bookmarkEnd w:id="135"/>
      <w:bookmarkEnd w:id="136"/>
      <w:bookmarkEnd w:id="137"/>
    </w:p>
    <w:p w:rsidR="009569C7" w:rsidRPr="00EC4FA2" w:rsidRDefault="00A834F1" w:rsidP="009569C7">
      <w:pPr>
        <w:pStyle w:val="Baseparagraphnumbered"/>
      </w:pPr>
      <w:r>
        <w:t>Všechny deriváty se roztřídí do následujících kategorií podle rizika: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úrokové míry: úrokové deriváty jsou kontrakty vztahující se k úrokovému finančnímu nástroji, jehož peněžní toky jsou určeny referenčními úrokovými mírami či nějakou jinou smlouvou o úrokových sazbách, jakou může být například opce na smlouvu typu </w:t>
      </w:r>
      <w:proofErr w:type="spellStart"/>
      <w:r>
        <w:rPr>
          <w:rFonts w:ascii="Times New Roman" w:hAnsi="Times New Roman"/>
          <w:sz w:val="24"/>
        </w:rPr>
        <w:t>futures</w:t>
      </w:r>
      <w:proofErr w:type="spellEnd"/>
      <w:r>
        <w:rPr>
          <w:rFonts w:ascii="Times New Roman" w:hAnsi="Times New Roman"/>
          <w:sz w:val="24"/>
        </w:rPr>
        <w:t xml:space="preserve"> týkající se nákupu státních pokladničních poukázek. Do této kategorie patří pouze kontrakty, ve kterých jsou všechny platební komponenty zatíženy úrokovou mírou </w:t>
      </w:r>
      <w:r>
        <w:rPr>
          <w:rFonts w:ascii="Times New Roman" w:hAnsi="Times New Roman"/>
          <w:sz w:val="24"/>
        </w:rPr>
        <w:lastRenderedPageBreak/>
        <w:t xml:space="preserve">pouze v jedné měně. Vyloučeny jsou tak kontrakty, jejichž součástí je směňování jedné nebo více cizích měn, jako jsou swapy v různých měnách a měnové opce, jakož i ostatní kontrakty, jejichž převažující rizikovou charakteristikou je měnové riziko. Tyto kontrakty musí být vykázány jako měnové kontrakty. Jedinou výjimkou je případ, když se měnové swapy používají jako součást zajištění úrokového rizika na bázi portfolia, pokud se vykazují na zvláštních řádcích určených pro tyto typy zajištění.  Úrokové kontrakty zahrnují dohody o budoucích úrokových sazbách, swapy úrokových sazeb v jedné měně, úrokové </w:t>
      </w:r>
      <w:proofErr w:type="spellStart"/>
      <w:r>
        <w:rPr>
          <w:rFonts w:ascii="Times New Roman" w:hAnsi="Times New Roman"/>
          <w:sz w:val="24"/>
        </w:rPr>
        <w:t>futures</w:t>
      </w:r>
      <w:proofErr w:type="spellEnd"/>
      <w:r>
        <w:rPr>
          <w:rFonts w:ascii="Times New Roman" w:hAnsi="Times New Roman"/>
          <w:sz w:val="24"/>
        </w:rPr>
        <w:t xml:space="preserve">, úrokové opce (včetně stropů, </w:t>
      </w:r>
      <w:proofErr w:type="spellStart"/>
      <w:r>
        <w:rPr>
          <w:rFonts w:ascii="Times New Roman" w:hAnsi="Times New Roman"/>
          <w:sz w:val="24"/>
        </w:rPr>
        <w:t>floorů</w:t>
      </w:r>
      <w:proofErr w:type="spellEnd"/>
      <w:r>
        <w:rPr>
          <w:rFonts w:ascii="Times New Roman" w:hAnsi="Times New Roman"/>
          <w:sz w:val="24"/>
        </w:rPr>
        <w:t xml:space="preserve">, </w:t>
      </w:r>
      <w:proofErr w:type="spellStart"/>
      <w:r>
        <w:rPr>
          <w:rFonts w:ascii="Times New Roman" w:hAnsi="Times New Roman"/>
          <w:sz w:val="24"/>
        </w:rPr>
        <w:t>collarů</w:t>
      </w:r>
      <w:proofErr w:type="spellEnd"/>
      <w:r>
        <w:rPr>
          <w:rFonts w:ascii="Times New Roman" w:hAnsi="Times New Roman"/>
          <w:sz w:val="24"/>
        </w:rPr>
        <w:t xml:space="preserve"> a koridorů), úrokové </w:t>
      </w:r>
      <w:proofErr w:type="spellStart"/>
      <w:r>
        <w:rPr>
          <w:rFonts w:ascii="Times New Roman" w:hAnsi="Times New Roman"/>
          <w:sz w:val="24"/>
        </w:rPr>
        <w:t>swapce</w:t>
      </w:r>
      <w:proofErr w:type="spellEnd"/>
      <w:r>
        <w:rPr>
          <w:rFonts w:ascii="Times New Roman" w:hAnsi="Times New Roman"/>
          <w:sz w:val="24"/>
        </w:rPr>
        <w:t xml:space="preserve"> a úrokové opční listy;</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akcie; akciové deriváty jsou kontrakty, ve kterých je výnos nebo část jejich výnosu vázaná na cenu určité akcie nebo na hodnotu akciového indexu;</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cizí měny a zlato: mezi tyto deriváty patří kontrakty zahrnující směny měn na forwardových trzích a expozice vůči zlatu. Do této kategorie tudíž spadají přímé forwardy, swapy v cizích měnách, měnové swapy (včetně swapů úrokových sazeb v různých měnách), měnové </w:t>
      </w:r>
      <w:proofErr w:type="spellStart"/>
      <w:r>
        <w:rPr>
          <w:rFonts w:ascii="Times New Roman" w:hAnsi="Times New Roman"/>
          <w:sz w:val="24"/>
        </w:rPr>
        <w:t>futures</w:t>
      </w:r>
      <w:proofErr w:type="spellEnd"/>
      <w:r>
        <w:rPr>
          <w:rFonts w:ascii="Times New Roman" w:hAnsi="Times New Roman"/>
          <w:sz w:val="24"/>
        </w:rPr>
        <w:t xml:space="preserve">, měnové opce, měnové </w:t>
      </w:r>
      <w:proofErr w:type="spellStart"/>
      <w:r>
        <w:rPr>
          <w:rFonts w:ascii="Times New Roman" w:hAnsi="Times New Roman"/>
          <w:sz w:val="24"/>
        </w:rPr>
        <w:t>swapce</w:t>
      </w:r>
      <w:proofErr w:type="spellEnd"/>
      <w:r>
        <w:rPr>
          <w:rFonts w:ascii="Times New Roman" w:hAnsi="Times New Roman"/>
          <w:sz w:val="24"/>
        </w:rPr>
        <w:t xml:space="preserve"> a měnové záruky. Mezi měnové deriváty patří veškeré kontrakty zahrnující expozici vůči více než jedné měně, ať už ve směnných kurzech nebo úrokových sazbách, vyjma případů, když se swapy úrokových sazeb v různých měnách používají </w:t>
      </w:r>
      <w:proofErr w:type="gramStart"/>
      <w:r>
        <w:rPr>
          <w:rFonts w:ascii="Times New Roman" w:hAnsi="Times New Roman"/>
          <w:sz w:val="24"/>
        </w:rPr>
        <w:t>jako  součást</w:t>
      </w:r>
      <w:proofErr w:type="gramEnd"/>
      <w:r>
        <w:rPr>
          <w:rFonts w:ascii="Times New Roman" w:hAnsi="Times New Roman"/>
          <w:sz w:val="24"/>
        </w:rPr>
        <w:t xml:space="preserve"> zajištění úrokového rizika na bázi portfolia. Mezi kontrakty týkající se zlata patří veškeré kontrakty zahrnující expozici vůči této komoditě;</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úvěr: úvěrové deriváty jsou kontrakty, v nichž je výplata spojena především s určitým opatřením úvěrové spolehlivosti konkrétního referenčního úvěru, který nesplňuje definici finančních záruk [IFRS 9].   Ve smlouvách je stanoven postup výměny plateb, kdy přinejmenším jedna z obou platebních komponent je určována výkonností referenčního úvěru. Vyplácení prostředků může být podmíněno řadou událostí, jako je selhání, snížení ratingu nebo ujednaná změna v úrokovém rozpětí referenčního aktiva. Úvěrové deriváty, které splňují definici finanční záruky v odstavci 114 této části této přílohy, se vykazují pouze v šabloně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komodita: tyto deriváty jsou kontrakty, ve kterých je výnos nebo část výnosu vázaná na cenu nebo index cen určité komodity, jako jsou drahé kovy (kromě zlata), ropa, řezivo nebo zemědělské produkty;</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ostatní: mezi tyto deriváty patří všechny ostatní derivátové kontrakty, které nezahrnují expozici vůči cizí měně, úrokové sazbě, akciím, komoditám nebo úvěrovým rizikům, jako jsou klimatické deriváty či pojistné deriváty.</w:t>
      </w:r>
    </w:p>
    <w:p w:rsidR="009569C7" w:rsidRPr="00EC4FA2" w:rsidRDefault="00A834F1" w:rsidP="009569C7">
      <w:pPr>
        <w:pStyle w:val="Baseparagraphnumbered"/>
      </w:pPr>
      <w:r>
        <w:t>Má-li na určitý derivát vliv více než jeden typ podkladového rizika, zařadí se tento nástroj do kategorie rizikově nejcitlivějších nástrojů. U derivátů s vícečetnými expozicemi se v případě nejistoty kontrakty zařazují v tomto pořadí:</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komoditní: v rámci této kategorie se vykazují veškeré derivátové transakce zahrnující expozici vůči určité komoditě nebo indexu komodit </w:t>
      </w:r>
      <w:r>
        <w:rPr>
          <w:rFonts w:ascii="Times New Roman" w:hAnsi="Times New Roman"/>
          <w:sz w:val="24"/>
        </w:rPr>
        <w:lastRenderedPageBreak/>
        <w:t>bez ohledu na to, jestli vůči komoditám mají či nemají společnou expozici, nebo je s nimi spojen nějaký jiný typ rizika, jakým může být například riziko měnové, úrokové či akciové;</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akciové; s výjimkou kontraktů zahrnujících společnou expozici vůči komoditám a akciím, které se vykazují jako komodity, se v kategorii akcií vykazují veškeré derivátové transakce, které jsou vázané na výkonnost akcií či akciových indexů. Do této kategorie se zařazují akciové kontrakty zahrnující expozici vůči směnným kurzům nebo úrokovým sazbám;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cizí měny a zlato: do této kategorie patří veškeré derivátové transakce (s výjimkou transakcí, které již byly vykázány v kategorii komodit nebo akcií) zahrnující expozici vůči více než jedné měně bez ohledu na to, zda jsou vázané na úročené finanční nástroje nebo na směnné kurzy, s výjimkou případů, když se swapy v různých měnách používají </w:t>
      </w:r>
      <w:proofErr w:type="gramStart"/>
      <w:r>
        <w:rPr>
          <w:rFonts w:ascii="Times New Roman" w:hAnsi="Times New Roman"/>
          <w:sz w:val="24"/>
        </w:rPr>
        <w:t>jako  součást</w:t>
      </w:r>
      <w:proofErr w:type="gramEnd"/>
      <w:r>
        <w:rPr>
          <w:rFonts w:ascii="Times New Roman" w:hAnsi="Times New Roman"/>
          <w:sz w:val="24"/>
        </w:rPr>
        <w:t xml:space="preserve"> zajištění úrokového rizika na bázi portfolia.</w:t>
      </w:r>
    </w:p>
    <w:p w:rsidR="009569C7" w:rsidRPr="00EC4FA2" w:rsidRDefault="00A834F1" w:rsidP="009569C7">
      <w:pPr>
        <w:pStyle w:val="sub-subtitlenumbered"/>
        <w:jc w:val="both"/>
      </w:pPr>
      <w:bookmarkStart w:id="138" w:name="_Toc361844225"/>
      <w:bookmarkStart w:id="139" w:name="_Toc362359296"/>
      <w:bookmarkStart w:id="140" w:name="_Toc467855220"/>
      <w:bookmarkStart w:id="141" w:name="_Toc485708556"/>
      <w:r>
        <w:t>Vykazované hodnoty derivátů</w:t>
      </w:r>
      <w:bookmarkEnd w:id="138"/>
      <w:bookmarkEnd w:id="139"/>
      <w:bookmarkEnd w:id="140"/>
      <w:bookmarkEnd w:id="141"/>
    </w:p>
    <w:p w:rsidR="009569C7" w:rsidRPr="00EC4FA2" w:rsidRDefault="00A834F1" w:rsidP="009569C7">
      <w:pPr>
        <w:pStyle w:val="Baseparagraphnumbered"/>
      </w:pPr>
      <w:r>
        <w:t xml:space="preserve">Podle IFRS je „účetní hodnotou“ u všech derivátů (zajišťovacích i obchodních) reálná hodnota. Deriváty, které mají kladnou reálnou hodnotu (vyšší než nula), jsou „finanční aktiva“ a deriváty, které mají zápornou reálnou hodnotu (nižší než nula), jsou „finanční závazky“. „Účetní hodnota“ se vykazuje zvlášť pro deriváty s kladnou reálnou hodnotou („finanční aktiva“) a zvlášť pro deriváty, jejichž reálná hodnota je záporná („finanční závazky“). K datu počátečního zaúčtování je derivát podle své počáteční reálné hodnoty klasifikován jako „finanční aktivum“ nebo jako „finanční závazek“. Po počátečním zaúčtování spolu s tím, jak se reálná hodnota derivátu zvyšuje nebo snižuje, se mění dopady kontraktu, které mohou být pro danou instituci buď příznivé (derivát je pak klasifikován jako „finanční aktivum“), anebo nepříznivé (derivát je pak klasifikován jako „finanční závazek“). Účetní hodnota zajišťovacích derivátů je jejich úplná reálná hodnota, včetně případně složek této reálné hodnoty, které nejsou určeny jako zajišťovací nástroje. </w:t>
      </w:r>
    </w:p>
    <w:p w:rsidR="009569C7" w:rsidRPr="00EC4FA2" w:rsidRDefault="00A834F1" w:rsidP="009569C7">
      <w:pPr>
        <w:pStyle w:val="Baseparagraphnumbered"/>
      </w:pPr>
      <w:r>
        <w:t>Kromě účetní hodnoty stanovené v odst. 27 části první této přílohy vykazující instituce vykazují reálnou hodnotu podle vnitrostátních GAAP založených na BAD u všech derivátových nástrojů, ať už vnitrostátní GAAP založené na BAD vyžadují, aby se vykazovaly v rozvaze, nebo mimo ní.</w:t>
      </w:r>
    </w:p>
    <w:p w:rsidR="009569C7" w:rsidRPr="00EC4FA2" w:rsidRDefault="00A834F1" w:rsidP="009569C7">
      <w:pPr>
        <w:pStyle w:val="Baseparagraphnumbered"/>
        <w:ind w:left="851"/>
      </w:pPr>
      <w:r>
        <w:t>„Pomyslná hodnota“ je hrubá nominální hodnota všech uzavřených a zatím k referenčnímu datu nevypořádaných kontraktů bez ohledu na to, zda tyto kontrakty vedou k tomu, že derivátové expozice se vykazují v rozvaze. Při stanovení pomyslné hodnoty se zohlední zejména tyto body:</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u smluv s proměnlivými jmenovitými či pomyslnými hodnotami jistin vychází jejich vykazování ze jmenovitých či pomyslných hodnot jistin k danému referenčnímu datu;</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výše pomyslné hodnoty vykazované u derivátového kontraktu s multiplikační složkou je rovna efektivní pomyslné hodnotě nebo nominální hodnotě;</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lastRenderedPageBreak/>
        <w:t>swapy, pomyslná hodnota swapu je rovna podkladové hodnotě jistiny, na níž se zakládají úrokové směny, devizové směny či jiné výnosy nebo náklady;</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akciové kontrakty a komoditní kontrakty: pomyslná hodnota vykazovaná v případě akciového nebo komoditního kontraktu je rovna množství komodity či akciového nástroje, jehož koupi nebo prodej tento kontrakt sjednává, násobené jednotkovou smluvní cenou. U komoditních kontraktů s vícenásobnými výměnami jistiny je vykazovaná pomyslná hodnota rovna hodnotě smluvní částky násobené počtem zbývajících výměn jistiny uvedených ve smlouvě;</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úvěrové deriváty, smluvní částka vykazovaná v případě úvěrových derivátů je rovna nominální hodnotě příslušného referenčního úvěru;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vyplácení digitálních opcí je předem stanoveno buď v podobě peněžní částky, nebo v podobě určitého množství smluv o podkladovém nástroji. Pomyslná hodnota je v případě digitálních opcí definována buď jako předem stanovená peněžní částka, nebo reálná hodnota podkladového nástroje k určitému referenčnímu datu.</w:t>
      </w:r>
    </w:p>
    <w:p w:rsidR="009569C7" w:rsidRPr="00EC4FA2" w:rsidRDefault="00A834F1" w:rsidP="009569C7">
      <w:pPr>
        <w:pStyle w:val="Baseparagraphnumbered"/>
      </w:pPr>
      <w:r>
        <w:t>Ve sloupci „pomyslná hodnota“ derivátů se na každém řádku příslušné položky uvádí celková pomyslná hodnota všech smluv, jejichž je daná instituce protistranou, a to bez ohledu na to, zda jsou tyto deriváty v rozvaze považovány za aktiva nebo závazky, nebo se v rozvaze nevykazují. Vykazují se všechny pomyslné hodnoty bez ohledu na to, zda je reálná hodnota derivátů kladná, záporná nebo rovna nule. U pomyslných hodnot není povoleno provádět započtení.</w:t>
      </w:r>
    </w:p>
    <w:p w:rsidR="009569C7" w:rsidRPr="00EC4FA2" w:rsidRDefault="00A834F1" w:rsidP="009569C7">
      <w:pPr>
        <w:pStyle w:val="Baseparagraphnumbered"/>
      </w:pPr>
      <w:r>
        <w:t>„Nominální hodnota“ se vykazuje jako „celkem“ a „z toho: prodáno“ pro tyto řádkové položky: „OTC opce“, „opce na organizovaných trzích“, „úvěr“ „komodity“ a „ostatní“. Položka „z toho prodáno“ zahrnuje pomyslné hodnoty (realizační cenu) smluv, ve kterých mají protistrany (držitelé opcí) dané instituce (upisovatele opce) právo uskutečnit danou opci, a v případě položek vztahujících se na deriváty úvěrového rizika pomyslné hodnoty smluv, na jejichž základě daná instituce (poskytovatel zajištění) prodala (poskytuje) zajištění svým protistranám (příjemcům zajištění).</w:t>
      </w:r>
    </w:p>
    <w:p w:rsidR="009569C7" w:rsidRPr="00EC4FA2" w:rsidRDefault="00A834F1" w:rsidP="009569C7">
      <w:pPr>
        <w:pStyle w:val="Baseparagraphnumbered"/>
      </w:pPr>
      <w:r>
        <w:t>Přiřazení transakce jako „OTC“ nebo „organizovaný trh“ je založeno na charakteru trhu, pokud se transakce uskutečňuje, a ne na tom, zda je pro tuto transakci závazná povinnost clearingu.  „Organizovaný trh“ je regulovaný trh ve smyslu čl. 4 odst. 92 nařízení o kapitálových požadavcích. Proto když vykazující účetní jednotka uzavře derivátovou smlouvu na trhu OTC, kde je centrální clearing povinný, klasifikuje tento derivát jako „OTC“ a ne jako „organizovaný trh“.</w:t>
      </w:r>
    </w:p>
    <w:p w:rsidR="009569C7" w:rsidRPr="00EC4FA2" w:rsidRDefault="00A834F1" w:rsidP="009569C7">
      <w:pPr>
        <w:pStyle w:val="sub-subtitlenumbered"/>
        <w:jc w:val="both"/>
      </w:pPr>
      <w:bookmarkStart w:id="142" w:name="_Toc361844226"/>
      <w:bookmarkStart w:id="143" w:name="_Toc362359297"/>
      <w:bookmarkStart w:id="144" w:name="_Toc467855221"/>
      <w:bookmarkStart w:id="145" w:name="_Toc485708557"/>
      <w:r>
        <w:t>Deriváty klasifikované jako „ekonomické zajištění“</w:t>
      </w:r>
      <w:bookmarkEnd w:id="142"/>
      <w:bookmarkEnd w:id="143"/>
      <w:bookmarkEnd w:id="144"/>
      <w:bookmarkEnd w:id="145"/>
    </w:p>
    <w:p w:rsidR="009569C7" w:rsidRPr="00EC4FA2" w:rsidRDefault="00A834F1" w:rsidP="009569C7">
      <w:pPr>
        <w:pStyle w:val="Baseparagraphnumbered"/>
      </w:pPr>
      <w:r>
        <w:t>Deriváty držené za účelem zajištění, které však nesplňují kritéria jako efektivní zajišťující nástroje v souladu s IFRS 9, IAS 39, pokud se IAS 39 používá pro účely zajišťovacího účetnictví, nebo v souladu s účetním rámcem podle vnitrostátních GAAP založených na BAD, se vykazují v šabloně 10 jako „ekonomické zajištění“. Vztahuje se to rovněž na všechny tyto případy:</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lastRenderedPageBreak/>
        <w:t>deriváty zajišťující nekotované kapitálové nástroje, u nichž pořizovací cena může být vhodným oceněním reálné hodnoty;</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úvěrové deriváty oceněné reálnou hodnotou do zisku nebo ztráty používané k řízení úvěrového rizika celého finančního nástroje nebo jejich části, určeného za oceněný reálnou hodnotou do zisku nebo ztráty při prvotním zaúčtování nebo později, nebo když nejsou zaúčtovány v souladu s odstavcem 6.7 IFRS 9;</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deriváty klasifikované „k obchodování“ v souladu s dodatkem A IFRS 9 nebo obchodovatelná aktiva v souladu s vnitrostátními GAAP založených na BAD, které ale nejsou součástí obchodního portfolia ve smyslu čl. 4 odst. 1 bodu 86 nařízení o kapitálových požadavcích. </w:t>
      </w:r>
    </w:p>
    <w:p w:rsidR="009569C7" w:rsidRPr="00EC4FA2" w:rsidRDefault="00A834F1" w:rsidP="009569C7">
      <w:pPr>
        <w:pStyle w:val="Baseparagraphnumbered"/>
      </w:pPr>
      <w:r>
        <w:t>Položka „ekonomické zajištění“ nezahrnuje deriváty obchodované na vlastní účet.</w:t>
      </w:r>
    </w:p>
    <w:p w:rsidR="009569C7" w:rsidRPr="00EC4FA2" w:rsidRDefault="00A834F1" w:rsidP="009569C7">
      <w:pPr>
        <w:pStyle w:val="Baseparagraphnumbered"/>
      </w:pPr>
      <w:r>
        <w:t>Deriváty, které vyhovují definici „ekonomického zajištění“, se vykazují v šabloně 10 zvlášť pro každý typ rizika.</w:t>
      </w:r>
    </w:p>
    <w:p w:rsidR="009569C7" w:rsidRPr="00EC4FA2" w:rsidRDefault="00A834F1" w:rsidP="009569C7">
      <w:pPr>
        <w:pStyle w:val="Baseparagraphnumbered"/>
      </w:pPr>
      <w:r>
        <w:t xml:space="preserve">Úvěrové deriváty používané k řízení úvěrového rizika celého finančního nástroje nebo jejich části, určeného za oceněný reálnou hodnotou do zisku nebo ztráty při prvotním zaúčtování nebo později, nebo když nejsou zaúčtovány v souladu s odstavcem 6.7 IFRS 9, se vykazují na zvláštním řádku v šabloně 10 v rámci úvěrového rizika. Ostatní ekonomická zajištění úvěrového rizika, u nichž vykazující účetní jednotka neuplatňuje odstavec 6.7 IFRS 9, se vykazují zvlášť. </w:t>
      </w:r>
    </w:p>
    <w:p w:rsidR="009569C7" w:rsidRPr="00EC4FA2" w:rsidRDefault="00A834F1" w:rsidP="009569C7">
      <w:pPr>
        <w:pStyle w:val="sub-subtitlenumbered"/>
        <w:jc w:val="both"/>
      </w:pPr>
      <w:bookmarkStart w:id="146" w:name="_Toc361844227"/>
      <w:bookmarkStart w:id="147" w:name="_Toc362359298"/>
      <w:bookmarkStart w:id="148" w:name="_Toc467855222"/>
      <w:bookmarkStart w:id="149" w:name="_Toc485708558"/>
      <w:r>
        <w:t>Struktura derivátů podle odvětví protistrany</w:t>
      </w:r>
      <w:bookmarkEnd w:id="146"/>
      <w:bookmarkEnd w:id="147"/>
      <w:bookmarkEnd w:id="148"/>
      <w:bookmarkEnd w:id="149"/>
    </w:p>
    <w:p w:rsidR="009569C7" w:rsidRPr="00EC4FA2" w:rsidRDefault="00A834F1" w:rsidP="009569C7">
      <w:pPr>
        <w:pStyle w:val="Baseparagraphnumbered"/>
        <w:tabs>
          <w:tab w:val="left" w:pos="851"/>
        </w:tabs>
        <w:ind w:left="709"/>
      </w:pPr>
      <w:r>
        <w:t xml:space="preserve">Účetní hodnota a celková pomyslná hodnota derivátů k obchodování, jakož i derivátů držených k zajišťovacímu účetnictví, které jsou obchodovány na mimoburzovním trhu (OTC), se vykazují podle protistrany za pomoci těchto kategorií: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„úvěrové instituce“;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„jiné finanční podniky“;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„ostatní“, mezi něž patří všechny ostatní protistrany. </w:t>
      </w:r>
    </w:p>
    <w:p w:rsidR="009569C7" w:rsidRPr="00EC4FA2" w:rsidRDefault="00A834F1" w:rsidP="009569C7">
      <w:pPr>
        <w:pStyle w:val="Baseparagraphnumbered"/>
        <w:tabs>
          <w:tab w:val="left" w:pos="851"/>
        </w:tabs>
        <w:ind w:left="709"/>
      </w:pPr>
      <w:r>
        <w:t xml:space="preserve">Podle těchto kategorií protistrany se rozdělí všechny OTC deriváty bez ohledu na typ rizika, které je s nimi spojeno. </w:t>
      </w:r>
    </w:p>
    <w:p w:rsidR="009569C7" w:rsidRPr="00EC4FA2" w:rsidRDefault="00A834F1" w:rsidP="009569C7">
      <w:pPr>
        <w:pStyle w:val="sub-subtitlenumbered"/>
        <w:jc w:val="both"/>
      </w:pPr>
      <w:bookmarkStart w:id="150" w:name="_Toc467855223"/>
      <w:bookmarkStart w:id="151" w:name="_Toc362359299"/>
      <w:bookmarkStart w:id="152" w:name="_Toc485708559"/>
      <w:r>
        <w:t>Zajišťovací účetnictví podle vnitrostátních GAAP (11.2)</w:t>
      </w:r>
      <w:bookmarkEnd w:id="150"/>
      <w:bookmarkEnd w:id="152"/>
    </w:p>
    <w:p w:rsidR="009569C7" w:rsidRPr="00EC4FA2" w:rsidRDefault="00A834F1" w:rsidP="009569C7">
      <w:pPr>
        <w:pStyle w:val="Baseparagraphnumbered"/>
      </w:pPr>
      <w:r>
        <w:t>Pokud vnitrostátní GAAP založené na BAD vyžadují alokaci zajišťovacích derivátů ve všech kategoriích zajištění, zajišťovací deriváty se vykazují zvlášť pro každou použitelnou kategorii: „zajištění reálné hodnoty“, „zajištění peněžních toků“, „zajištění pořizovací ceny“, „zajištění čistých investic do zahraniční jednotky“, „</w:t>
      </w:r>
      <w:proofErr w:type="gramStart"/>
      <w:r>
        <w:t>zajištění  reálné</w:t>
      </w:r>
      <w:proofErr w:type="gramEnd"/>
      <w:r>
        <w:t xml:space="preserve"> hodnoty úrokového rizika na bázi portfolia“ a „zajištění peněžních toků úrokového rizika na bázi portfolia“.</w:t>
      </w:r>
    </w:p>
    <w:p w:rsidR="009569C7" w:rsidRPr="00EC4FA2" w:rsidRDefault="00A834F1" w:rsidP="009569C7">
      <w:pPr>
        <w:pStyle w:val="Baseparagraphnumbered"/>
      </w:pPr>
      <w:r>
        <w:lastRenderedPageBreak/>
        <w:t>Je-li to vhodné podle vnitrostátních GAAP založených na BAD, „zajištění pořizovací ceny“ se vztahuje na kategorii zajištění, v níž se zajišťovací derivát obecně oceňuje pořizovací cenou.</w:t>
      </w:r>
    </w:p>
    <w:p w:rsidR="009569C7" w:rsidRPr="00EC4FA2" w:rsidRDefault="00A834F1" w:rsidP="009569C7">
      <w:pPr>
        <w:pStyle w:val="sub-subtitlenumbered"/>
        <w:jc w:val="both"/>
      </w:pPr>
      <w:bookmarkStart w:id="153" w:name="_Toc467855224"/>
      <w:bookmarkStart w:id="154" w:name="_Toc485708560"/>
      <w:r>
        <w:t>Hodnota, která se vykazuje u nederivátových zajišťovacích nástrojů (11.3 a 11.3.1)</w:t>
      </w:r>
      <w:bookmarkEnd w:id="151"/>
      <w:bookmarkEnd w:id="153"/>
      <w:bookmarkEnd w:id="154"/>
    </w:p>
    <w:p w:rsidR="009569C7" w:rsidRPr="00EC4FA2" w:rsidRDefault="00A834F1" w:rsidP="009569C7">
      <w:pPr>
        <w:pStyle w:val="Baseparagraphnumbered"/>
      </w:pPr>
      <w:r>
        <w:t>U nederivátových zajišťovacích nástrojů je vykazovanou hodnotou jejich účetní hodnota v souladu s příslušnými pravidly oceňování pro účetní portfolia, k nimž patří v IFRS nebo v GAAP založených na BAD. U nederivátových zajišťovacích nástrojů se nevykazuje žádná „pomyslná hodnota“.</w:t>
      </w:r>
    </w:p>
    <w:p w:rsidR="009569C7" w:rsidRPr="00EC4FA2" w:rsidRDefault="00A834F1" w:rsidP="009569C7">
      <w:pPr>
        <w:pStyle w:val="sub-subtitlenumbered"/>
        <w:jc w:val="both"/>
      </w:pPr>
      <w:bookmarkStart w:id="155" w:name="_Toc467855225"/>
      <w:bookmarkStart w:id="156" w:name="_Toc485708561"/>
      <w:r>
        <w:t>Zajištěné položky v zajištění reálné hodnoty (11.4)</w:t>
      </w:r>
      <w:bookmarkEnd w:id="155"/>
      <w:bookmarkEnd w:id="156"/>
    </w:p>
    <w:p w:rsidR="009569C7" w:rsidRPr="00EC4FA2" w:rsidRDefault="00A834F1" w:rsidP="009569C7">
      <w:pPr>
        <w:pStyle w:val="Baseparagraphnumbered"/>
        <w:tabs>
          <w:tab w:val="left" w:pos="851"/>
        </w:tabs>
        <w:ind w:left="709"/>
      </w:pPr>
      <w:r>
        <w:t xml:space="preserve">Účetní hodnota zajištěných položek v zajištění reálné hodnoty zaúčtovaná do výkazu o finanční pozici se rozčlení podle účetního portfolia a typu zajištěného rizika pro zajištěná finanční aktiva a zajištěné finanční závazky. Je-li finanční nástroj zajištěný vůči více než jednomu riziku, vykazuje se v typu rizika, v němž se vykazuje zajišťovací nástroj, v souladu s odstavcem 129.     </w:t>
      </w:r>
    </w:p>
    <w:p w:rsidR="009569C7" w:rsidRPr="00EC4FA2" w:rsidRDefault="00A834F1" w:rsidP="009569C7">
      <w:pPr>
        <w:pStyle w:val="Baseparagraphnumbered"/>
      </w:pPr>
      <w:r>
        <w:t>„</w:t>
      </w:r>
      <w:proofErr w:type="spellStart"/>
      <w:r>
        <w:t>Mikrozajištění</w:t>
      </w:r>
      <w:proofErr w:type="spellEnd"/>
      <w:r>
        <w:t xml:space="preserve"> jsou jiná zajištění než zajištění úrokového rizika na bázi portfolia v souladu s odstavcem 89A standardu IAS 39. </w:t>
      </w:r>
      <w:proofErr w:type="spellStart"/>
      <w:r>
        <w:t>Mikrozajištění</w:t>
      </w:r>
      <w:proofErr w:type="spellEnd"/>
      <w:r>
        <w:t xml:space="preserve"> zahrnují zajištění čistých pozic v souladu s odstavcem 6.6 IFRS 9.</w:t>
      </w:r>
    </w:p>
    <w:p w:rsidR="009569C7" w:rsidRPr="00EC4FA2" w:rsidRDefault="00A834F1" w:rsidP="009569C7">
      <w:pPr>
        <w:pStyle w:val="Baseparagraphnumbered"/>
      </w:pPr>
      <w:r>
        <w:t xml:space="preserve">„Úpravy zajištění u </w:t>
      </w:r>
      <w:proofErr w:type="spellStart"/>
      <w:r>
        <w:t>mikrozajištění</w:t>
      </w:r>
      <w:proofErr w:type="spellEnd"/>
      <w:r>
        <w:t xml:space="preserve">“ zahrnují veškeré úpravy zajištění u všech </w:t>
      </w:r>
      <w:proofErr w:type="spellStart"/>
      <w:r>
        <w:t>mikrozajištění</w:t>
      </w:r>
      <w:proofErr w:type="spellEnd"/>
      <w:r>
        <w:t xml:space="preserve"> stanovených v odstavci 147. </w:t>
      </w:r>
    </w:p>
    <w:p w:rsidR="009569C7" w:rsidRPr="00EC4FA2" w:rsidRDefault="00A834F1" w:rsidP="009569C7">
      <w:pPr>
        <w:pStyle w:val="Baseparagraphnumbered"/>
      </w:pPr>
      <w:r>
        <w:t xml:space="preserve"> „Úpravy zajištění zahrnuté do účetní hodnoty aktiv/závazků“ je kumulovaná hodnota zisku a ztrát ze zajištěných položek, kterými se upravila účetní hodnota těchto položek a byly zaúčtovány do zisku nebo ztráty.  Úpravy zajištění pro zajištěné položky, které jsou kapitálovými nástroji oceňovanými reálnou hodnotou do ostatního úplného výsledku, se vykazují v šabloně 1.3. Úpravy zajištění pro nezaúčtované závazné přísliby nebo jejich složky se nevykazují.</w:t>
      </w:r>
    </w:p>
    <w:p w:rsidR="009569C7" w:rsidRPr="00EC4FA2" w:rsidRDefault="00A834F1" w:rsidP="009569C7">
      <w:pPr>
        <w:pStyle w:val="Baseparagraphnumbered"/>
      </w:pPr>
      <w:r>
        <w:t xml:space="preserve">„Zbývající úpravy pro ukončená </w:t>
      </w:r>
      <w:proofErr w:type="spellStart"/>
      <w:r>
        <w:t>mikrozajištění</w:t>
      </w:r>
      <w:proofErr w:type="spellEnd"/>
      <w:r>
        <w:t xml:space="preserve">, včetně zajištění čistých pozic“, zahrnují takové úpravy zajištění, které po ukončení zajišťovacího vztahu a úpravy zajištěných položek pro zajišťovací zisky a ztráty se odepisují do zisku nebo ztráty přepočtenou efektivní úrokovou sazbou pro zajištěné položky oceněné naběhlou hodnotou, nebo do částky, která představuje dříve zaúčtovaný kumulovaný zajišťovací zisk nebo ztrátu pro zajištěná aktiva oceněná reálnou hodnotou do ostatního úplného výsledku.   </w:t>
      </w:r>
    </w:p>
    <w:p w:rsidR="009569C7" w:rsidRPr="00EC4FA2" w:rsidRDefault="00A834F1" w:rsidP="009569C7">
      <w:pPr>
        <w:pStyle w:val="Baseparagraphnumbered"/>
      </w:pPr>
      <w:r>
        <w:t xml:space="preserve">Pokud skupina finančních aktiv nebo finančních závazků, včetně skupiny finančních aktiv nebo finančních závazků, která představuje čistou pozici, je způsobilá jako zajištěná položka, finanční aktiva a finanční závazky představující tuto skupinu se vykazují v jejich hrubé účetní hodnotě před započtením mezi nástroji v rámci skupiny do „aktiv nebo závazků zahrnutých v zajištění čisté pozice (před započtením)“. </w:t>
      </w:r>
    </w:p>
    <w:p w:rsidR="009569C7" w:rsidRPr="00EC4FA2" w:rsidRDefault="00A834F1" w:rsidP="009569C7">
      <w:pPr>
        <w:pStyle w:val="Baseparagraphnumbered"/>
      </w:pPr>
      <w:r>
        <w:lastRenderedPageBreak/>
        <w:t>„Zajištěné položky v zajištění úrokového rizika na bázi portfolia“ zahrnují finanční aktiva a finanční závazky zahrnuté do zajištění reálné hodnoty portfolia finančních aktiv nebo finančních závazků vůči expozici úrokovému riziku.  Tyto finanční nástroje se vykazují v jejich hrubé účetní hodnotě před započtením mezi nástroji v rámci portfolia.</w:t>
      </w:r>
    </w:p>
    <w:p w:rsidR="009569C7" w:rsidRPr="00EC4FA2" w:rsidRDefault="00A834F1" w:rsidP="009569C7">
      <w:pPr>
        <w:pStyle w:val="subtitlenumbered"/>
        <w:numPr>
          <w:ilvl w:val="0"/>
          <w:numId w:val="17"/>
        </w:numPr>
        <w:jc w:val="both"/>
        <w:rPr>
          <w:kern w:val="32"/>
        </w:rPr>
      </w:pPr>
      <w:bookmarkStart w:id="157" w:name="_Toc461526818"/>
      <w:bookmarkStart w:id="158" w:name="_Toc461526819"/>
      <w:bookmarkStart w:id="159" w:name="_Toc461526820"/>
      <w:bookmarkStart w:id="160" w:name="_Toc461526821"/>
      <w:bookmarkStart w:id="161" w:name="_Toc461526822"/>
      <w:bookmarkStart w:id="162" w:name="_Toc361844228"/>
      <w:bookmarkStart w:id="163" w:name="_Toc467855226"/>
      <w:bookmarkStart w:id="164" w:name="_Toc485708562"/>
      <w:bookmarkEnd w:id="157"/>
      <w:bookmarkEnd w:id="158"/>
      <w:bookmarkEnd w:id="159"/>
      <w:bookmarkEnd w:id="160"/>
      <w:bookmarkEnd w:id="161"/>
      <w:r>
        <w:t>Pohyby opravných položek a rezerv na krytí ztrát z titulu úvěrového rizika (12)</w:t>
      </w:r>
      <w:bookmarkEnd w:id="162"/>
      <w:bookmarkEnd w:id="163"/>
      <w:bookmarkEnd w:id="164"/>
    </w:p>
    <w:p w:rsidR="009569C7" w:rsidRPr="00EC4FA2" w:rsidRDefault="00A834F1" w:rsidP="009569C7">
      <w:pPr>
        <w:pStyle w:val="sub-subtitlenumbered"/>
      </w:pPr>
      <w:bookmarkStart w:id="165" w:name="_Toc437268758"/>
      <w:bookmarkStart w:id="166" w:name="_Toc437268759"/>
      <w:bookmarkStart w:id="167" w:name="_Toc467855227"/>
      <w:bookmarkStart w:id="168" w:name="_Toc485708563"/>
      <w:bookmarkEnd w:id="165"/>
      <w:bookmarkEnd w:id="166"/>
      <w:r>
        <w:t>Pohyby opravných položek na krytí ztrát z titulu úvěrového rizika a znehodnocení kapitálových nástrojů podle vnitrostátních GAAP založených na BAD (12.0)</w:t>
      </w:r>
      <w:bookmarkEnd w:id="167"/>
      <w:bookmarkEnd w:id="168"/>
    </w:p>
    <w:p w:rsidR="009569C7" w:rsidRPr="00EC4FA2" w:rsidRDefault="00A834F1" w:rsidP="009569C7">
      <w:pPr>
        <w:pStyle w:val="Baseparagraphnumbered"/>
      </w:pPr>
      <w:r>
        <w:t xml:space="preserve">Šablona 12.0 obsahuje odsouhlasení počátečních a konečných zůstatků účtu oprávek pro finanční aktiva oceněná podle pořizovací ceny a rovněž pro finanční aktiva oceněná podle jiných metod nebo oceňovaných reálnou hodnotou do vlastního kapitálu, jestliže vnitrostátní GAAP založené na BAD vyžadují, aby tato aktiva podléhala znehodnocení.  Úpravy hodnoty aktiv oceněných nižší z pořizovací ceny nebo tržní hodnoty se v šabloně 12.0 nevykazují.  </w:t>
      </w:r>
    </w:p>
    <w:p w:rsidR="009569C7" w:rsidRPr="00EC4FA2" w:rsidRDefault="00A834F1" w:rsidP="009569C7">
      <w:pPr>
        <w:pStyle w:val="Baseparagraphnumbered"/>
      </w:pPr>
      <w:r>
        <w:t>„Zvýšení způsobená vyčleněním částek na odhadované ztráty z titulu úvěrového rizika během období“ se vykáží v případě, že odhad znehodnocení za dané období v hlavní kategorii aktiv či protistrany znamená čisté náklady; tedy v případě, že pro danou kategorii či protistranu je nárůst ztrát ze znehodnocení za dané období vyšší než jejich pokles. „Snížení způsobená reverzováním částek na odhadované ztráty z titulu úvěrového rizika během období“ se vykáží v případě, že odhad znehodnocení za dané období v hlavní kategorii aktiv či protistrany znamená čisté výnosy; tedy v případě, že pro danou kategorii či protistranu je pokles znehodnocení za dané období vyšší než jejich nárůst.</w:t>
      </w:r>
    </w:p>
    <w:p w:rsidR="009569C7" w:rsidRPr="00EC4FA2" w:rsidRDefault="00A834F1" w:rsidP="009569C7">
      <w:pPr>
        <w:pStyle w:val="Baseparagraphnumbered"/>
      </w:pPr>
      <w:r>
        <w:t>Změny v hodnotách opravných položek v důsledku splacení a vyřazení finančních aktiv se vykazují v „Ostatních úpravách“. Odpisy se vykazují podle odstavců 72 až 74.</w:t>
      </w:r>
    </w:p>
    <w:p w:rsidR="009569C7" w:rsidRPr="00EC4FA2" w:rsidRDefault="00A834F1" w:rsidP="009569C7">
      <w:pPr>
        <w:pStyle w:val="sub-subtitlenumbered"/>
        <w:jc w:val="both"/>
      </w:pPr>
      <w:bookmarkStart w:id="169" w:name="_Toc467855228"/>
      <w:bookmarkStart w:id="170" w:name="_Toc485708564"/>
      <w:r>
        <w:t>Pohyby opravných položek a rezerv na krytí ztrát z titulu úvěrového rizika podle IFRS (12.1)</w:t>
      </w:r>
      <w:bookmarkEnd w:id="169"/>
      <w:bookmarkEnd w:id="170"/>
    </w:p>
    <w:p w:rsidR="009569C7" w:rsidRPr="00EC4FA2" w:rsidRDefault="00A834F1" w:rsidP="009569C7">
      <w:pPr>
        <w:pStyle w:val="Baseparagraphnumbered"/>
        <w:rPr>
          <w:kern w:val="32"/>
        </w:rPr>
      </w:pPr>
      <w:r>
        <w:t xml:space="preserve"> Šablona 12.1 obsahuje odsouhlasení počátečních a konečných zůstatků účtu oprávek pro finanční aktiva oceněná naběhlou hodnotou a reálnou hodnotou do ostatního úplného výsledku rozdělená podle stupňů znehodnocení, nástroje nebo protistrany.  </w:t>
      </w:r>
    </w:p>
    <w:p w:rsidR="009569C7" w:rsidRPr="00EC4FA2" w:rsidRDefault="00A834F1" w:rsidP="009569C7">
      <w:pPr>
        <w:pStyle w:val="Baseparagraphnumbered"/>
        <w:rPr>
          <w:kern w:val="32"/>
        </w:rPr>
      </w:pPr>
      <w:r>
        <w:t xml:space="preserve">Rezervy pro podrozvahové expozice, které podléhají požadavkům IFRS 9 na znehodnocení, se vykazují podle stupňů znehodnocení.  Znehodnocení úvěrových příslibů se vykazuje jako rezervy pouze v případě, že se neposuzují spolu se znehodnocením rozvahových aktiv v souladu s IFRS 9 odstavcem 7.B8E a odstavcem 108 této části. Pohyby v rezervách na přísliby a finanční záruky oceněné podle IAS 37 a finanční záruky považované za pojišťovací smlouvy podle IFRS 4 se nevykazují v této šabloně ale v šabloně 43.  Změny reálné hodnoty v důsledku úvěrového rizika </w:t>
      </w:r>
      <w:r>
        <w:lastRenderedPageBreak/>
        <w:t xml:space="preserve">příslibů a finančních záruk oceňovaných reálnou hodnotou do zisku nebo ztráty v souladu s IFRS 9 se nevykazují v této šabloně ale v položce „čisté zisky nebo (-) ztráty z finančních aktiv a závazků oceněných reálnou hodnotou do zisku nebo ztráty“ v souladu s odstavcem 50 této části. </w:t>
      </w:r>
    </w:p>
    <w:p w:rsidR="009569C7" w:rsidRPr="00EC4FA2" w:rsidRDefault="00A834F1" w:rsidP="009569C7">
      <w:pPr>
        <w:pStyle w:val="Baseparagraphnumbered"/>
        <w:rPr>
          <w:kern w:val="32"/>
        </w:rPr>
      </w:pPr>
      <w:r>
        <w:t xml:space="preserve">Položka „z toho: společně oceňované opravné položky“ a „z </w:t>
      </w:r>
      <w:proofErr w:type="gramStart"/>
      <w:r>
        <w:t>toho:  jednotlivě</w:t>
      </w:r>
      <w:proofErr w:type="gramEnd"/>
      <w:r>
        <w:t xml:space="preserve"> oceňované opravné položky“ zahrnují pohyby v kumulované hodnotě znehodnocení týkajícího se finančních aktiv, které bylo oceněno společně respektive jednotlivě. </w:t>
      </w:r>
    </w:p>
    <w:p w:rsidR="009569C7" w:rsidRPr="00EC4FA2" w:rsidRDefault="00A834F1" w:rsidP="009569C7">
      <w:pPr>
        <w:pStyle w:val="Baseparagraphnumbered"/>
      </w:pPr>
      <w:r>
        <w:t xml:space="preserve">„Zvýšení v důsledku vzniku a akvizice“ zahrnují hodnotu zvýšení v očekávaných ztrátách zdůvodněných počátečním zaúčtováním vzniklých nebo získaných finančních aktiv.  Toto zvýšení opravných položek se vykazuje první referenční den vykazování následující po vzniku nebo akvizici uvedených finančních aktiv. Zvýšení nebo snížení očekávaných ztrát z těchto finančních aktiv po jejich počátečním zaúčtování se případně vykazuje v ostatních sloupcích. Vzniklá nebo získaná aktiva zahrnují aktiva vyplývající z čerpání poskytnutých podrozvahových příslibů. </w:t>
      </w:r>
    </w:p>
    <w:p w:rsidR="009569C7" w:rsidRPr="00EC4FA2" w:rsidRDefault="00A834F1" w:rsidP="009569C7">
      <w:pPr>
        <w:pStyle w:val="Baseparagraphnumbered"/>
      </w:pPr>
      <w:r>
        <w:t>„Snížení v důsledku odúčtování“ zahrnuje hodnotu změn v očekávaných ztrátách v důsledku finančních aktiv úplně odúčtovaných z rozvahy v účetním období z jiných důvodů než odpisů, které zahrnují převody pro třetí strany nebo uplynutí smluvních práv z důvodu úplného splacení, prodej těchto finančních aktiv nebo jejich převod na jiné účetní portfolio.  Změna opravné položky se zaúčtuje v tomto sloupci první referenční den vykazování následující po splacení, prodeji nebo převedení. U podrozvahových expozicí zahrnuje tato položka rovněž snížení znehodnocení v důsledku podrozvahové položky, která se stává rozvahovým aktivem.</w:t>
      </w:r>
    </w:p>
    <w:p w:rsidR="009569C7" w:rsidRPr="00EC4FA2" w:rsidRDefault="00A834F1" w:rsidP="009569C7">
      <w:pPr>
        <w:pStyle w:val="Baseparagraphnumbered"/>
      </w:pPr>
      <w:r>
        <w:t>„Změny v důsledku změny v úvěrovém riziku (čisté)“ zahrnují čistou hodnotu změn v očekávaných ztrátách na konci účetního období z titulu zvýšení nebo snížení úvěrového rizika od počátečního zaúčtování bez ohledu na to, zda vedly k převodu finančního aktiva do jiného stupně.  V tomto sloupci se vykazuje dopad v opravných položkách kvůli zvýšení nebo snížení hodnoty finančních aktiv jako důsledek získaného a zaplaceného výnosu z úroků.  Tato položka zahrnuje rovněž dopad plynoucího času na očekávané ztráty v souladu s odst. 5.4.1 písm. a) a b) IFRS 9. V tomto sloupci se vykazují také změny v ocenění v důsledku aktualizací nebo přezkumu parametrů rizika a rovněž změny v perspektivních ekonomických údajích.  V tomto sloupci se vykazují změny v očekávaných ztrátách z důvodu částečného splacení expozic prostřednictvím splátek s výjimkou poslední splátky, která se vykazuje ve sloupci „snížení v důsledku vynětí z rozvahy“.</w:t>
      </w:r>
    </w:p>
    <w:p w:rsidR="009569C7" w:rsidRPr="00EC4FA2" w:rsidRDefault="00A834F1" w:rsidP="009569C7">
      <w:pPr>
        <w:pStyle w:val="Baseparagraphnumbered"/>
      </w:pPr>
      <w:r>
        <w:t>Všechny změny v očekávaných úvěrových ztrátách týkajících se revolvingových expozic se vykazují v položce „změny v důsledku změny v úvěrovém riziku (čisté)“ s výjimkou změn souvisejících s odpisy a aktualizacemi v metodice instituce pro oceňování úvěrových ztrát. V tomto smyslu jsou revolvingové expozice ty expozice, u nichž mohou zůstatky na účtech klientů kolísat na základě jejich rozhodnutí půjčit si nebo splatit dluh, a to až do určitého limitu stanoveného institucí.</w:t>
      </w:r>
    </w:p>
    <w:p w:rsidR="009569C7" w:rsidRPr="00EC4FA2" w:rsidRDefault="00A834F1" w:rsidP="009569C7">
      <w:pPr>
        <w:pStyle w:val="Baseparagraphnumbered"/>
      </w:pPr>
      <w:r>
        <w:lastRenderedPageBreak/>
        <w:t>„Změny v důsledku aktualizace metodiky instituce pro oceňování (čisté)“ zahrnují změny z důvodu aktualizací v metodice instituce pro oceňování odhadnutých ztrát kvůli změnám v existujících modelech nebo vytvoření nových modelů používaných k ocenění znehodnocení. Metodické aktualizace zahrnují rovněž vliv přijetí nových standardů. Změny v metodice, které dávají podnět k tomu, aby aktivum změnilo stupeň znehodnocení, se u změny modelu posuzují jako celek. V tomto sloupci se nevykazují změny v ocenění v důsledku aktualizací nebo přezkumu parametrů rizika a rovněž změny v perspektivních ekonomických údajích.</w:t>
      </w:r>
    </w:p>
    <w:p w:rsidR="009569C7" w:rsidRPr="00EC4FA2" w:rsidRDefault="00A834F1" w:rsidP="009569C7">
      <w:pPr>
        <w:pStyle w:val="Baseparagraphnumbered"/>
      </w:pPr>
      <w:r>
        <w:t xml:space="preserve">Vykazování změn v očekávaných ztrátách týkajících se upravených aktiv [odstavec 5.4.3 a dodatek A IFRS 9] závisí na charakteru úpravy v souladu s následujícím: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v případě, že úprava má za následek částečné nebo úplné odúčtování aktiva z rozvahy v důsledku odpisu, jak je to stanoveno v odstavci 74, dopad očekávaných ztrát kvůli odúčtování se vykáže v položce „snížení v účtu oprávek v důsledku odpisů“ a jakýkoli jiný dopad úpravy na očekávané úvěrové ztráty se vykáže v ostatních příslušných sloupcích;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pokud má úprava za následek úplné odúčtování aktiva z rozvahy z jiných důvodů než z důvodu odpisu, jak je to stanoveno v odstavci 74, a jeho náhradu novým aktivem, dopad úpravy na očekávané úvěrové ztráty se vykáže v položce „změny v důsledku odúčtování“ u změn kvůli odúčtování aktiva z rozvahy a v položce „zvýšení v důsledku vzniku a akvizice“ u změn kvůli nově zaúčtovanému upravenému aktivu.  Odúčtování z jiných důvodů než odpisů zahrnuje odúčtování, jestliže se podmínky upravených aktiv podstatně změnily;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pokud úprava neměla za následek odúčtování celého upraveného aktiva nebo jeho části, její dopad na očekávané ztráty se vykáže v položce „změny v důsledku úprav bez vynětí z rozvahy“.  </w:t>
      </w:r>
    </w:p>
    <w:p w:rsidR="009569C7" w:rsidRPr="00EC4FA2" w:rsidRDefault="00A834F1" w:rsidP="009569C7">
      <w:pPr>
        <w:pStyle w:val="Baseparagraphnumbered"/>
      </w:pPr>
      <w:r>
        <w:t xml:space="preserve">Odpisy se vykazují v souladu s odstavci 72 až 74 této části této přílohy a v souladu s následujícím: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je-li dluhový nástroj částečně nebo úplně odúčtován z rozvahy, neboť se nedá důvodně očekávat jeho splacení, snížení v opravných položkách vykázaných v důsledku odepsaných částek se vykazuje v položkách: „snížení účtu oprávek z důvodu odpisů;</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„částky odepsané přímo do výkazu zisku nebo ztráty“ jsou částky finančních aktiv odepsané v průběhu účetního období, které k datu odúčtování překračují účet oprávek příslušných finančních aktiv. Zahrnují veškeré částky odepsané během účetního období a ne pouze ty, které jsou předmětem vymáhání. </w:t>
      </w:r>
    </w:p>
    <w:p w:rsidR="009569C7" w:rsidRPr="00EC4FA2" w:rsidRDefault="00A834F1" w:rsidP="009569C7">
      <w:pPr>
        <w:pStyle w:val="Baseparagraphnumbered"/>
      </w:pPr>
      <w:r>
        <w:t xml:space="preserve">„Ostatní úpravy“ zahrnují každou částku nevykázanou v předcházejících sloupcích, včetně kromě jiného úpravy očekávaných ztrát v důsledku kurzovních rozdílů, jsou-li v souladu s vykazováním dopadu devizových prostředků v šabloně 2.  </w:t>
      </w:r>
    </w:p>
    <w:p w:rsidR="009569C7" w:rsidRPr="00EC4FA2" w:rsidRDefault="00A834F1" w:rsidP="009569C7">
      <w:pPr>
        <w:pStyle w:val="sub-subtitlenumbered"/>
        <w:jc w:val="both"/>
      </w:pPr>
      <w:bookmarkStart w:id="171" w:name="_Toc467855229"/>
      <w:bookmarkStart w:id="172" w:name="_Toc485708565"/>
      <w:r>
        <w:t xml:space="preserve">Převody mezi stupni znehodnocení (prezentace v hrubé </w:t>
      </w:r>
      <w:proofErr w:type="gramStart"/>
      <w:r>
        <w:t>výši) (12.2</w:t>
      </w:r>
      <w:proofErr w:type="gramEnd"/>
      <w:r>
        <w:t>)</w:t>
      </w:r>
      <w:bookmarkEnd w:id="171"/>
      <w:bookmarkEnd w:id="172"/>
    </w:p>
    <w:p w:rsidR="009569C7" w:rsidRPr="00EC4FA2" w:rsidRDefault="00A834F1" w:rsidP="009569C7">
      <w:pPr>
        <w:pStyle w:val="Baseparagraphnumbered"/>
      </w:pPr>
      <w:r>
        <w:lastRenderedPageBreak/>
        <w:t xml:space="preserve">U finančních aktiv se hrubá účetní hodnota a u podrozvahových expozic, které podléhají požadavkům IFRS 9 na znehodnocení, nominální hodnota převedená mezi stupni znehodnocení během účetního období, vykazují v šabloně 12.2. </w:t>
      </w:r>
    </w:p>
    <w:p w:rsidR="009569C7" w:rsidRPr="00EC4FA2" w:rsidRDefault="00A834F1" w:rsidP="009569C7">
      <w:pPr>
        <w:pStyle w:val="Baseparagraphnumbered"/>
      </w:pPr>
      <w:r>
        <w:t xml:space="preserve">Vykazuje se pouze hrubá účetní hodnota nebo nominální hodnota těch finančních aktiv nebo podrozvahových expozic, které jsou k referenčnímu datu vykazovány v odlišném stupni znehodnocení, než byly na začátku finančního roku nebo při jejich prvotním zaúčtování.  U rozvahových expozic, u nichž znehodnocení vykázané v šabloně 12.1 zahrnuje podrozvahovou složku [odstavec  </w:t>
      </w:r>
      <w:proofErr w:type="gramStart"/>
      <w:r>
        <w:t>5.5.20</w:t>
      </w:r>
      <w:proofErr w:type="gramEnd"/>
      <w:r>
        <w:t xml:space="preserve"> IFRS 9 a odstavec B8E IFRS 9], se vezme v úvahu změna ve stupni rozvahové a podrozvahové složky.</w:t>
      </w:r>
    </w:p>
    <w:p w:rsidR="009569C7" w:rsidRPr="00EC4FA2" w:rsidRDefault="00A834F1" w:rsidP="009569C7">
      <w:pPr>
        <w:pStyle w:val="Baseparagraphnumbered"/>
      </w:pPr>
      <w:r>
        <w:t>U vykazování převodů, k nimž došlo během finančního roku, finanční aktiva nebo podrozvahové expozice, u nichž se od začátku finančního roku nebo od jejich počátečního zaúčtování vícekrát změnil stupeň znehodnocení, se vykazují jako převedené z jejich stupně znehodnocení při zahájení finančního roku nebo počátečním zaúčtování do stupně znehodnocení, do něhož jsou zařazeny k referenčnímu datu vykazování.</w:t>
      </w:r>
    </w:p>
    <w:p w:rsidR="009569C7" w:rsidRPr="00EC4FA2" w:rsidRDefault="00A834F1" w:rsidP="009569C7">
      <w:pPr>
        <w:pStyle w:val="Baseparagraphnumbered"/>
      </w:pPr>
      <w:r>
        <w:t>Hrubá účetní hodnota nebo nominální hodnota vykazovaná v šabloně 12.2 je hrubá účetní hodnota nebo nominální hodnota k datu vykazování bez ohledu na to, zda je tato hodnota k datu převodu vyšší nebo nižší.</w:t>
      </w:r>
    </w:p>
    <w:p w:rsidR="009569C7" w:rsidRPr="00EC4FA2" w:rsidRDefault="00A834F1" w:rsidP="009569C7">
      <w:pPr>
        <w:pStyle w:val="subtitlenumbered"/>
        <w:keepNext/>
        <w:ind w:left="357" w:hanging="357"/>
        <w:jc w:val="both"/>
      </w:pPr>
      <w:bookmarkStart w:id="173" w:name="_Toc362359300"/>
      <w:bookmarkStart w:id="174" w:name="_Toc467855230"/>
      <w:bookmarkStart w:id="175" w:name="_Toc361844229"/>
      <w:bookmarkStart w:id="176" w:name="_Toc485708566"/>
      <w:r>
        <w:t>Přijaté zajištění a záruky (13)</w:t>
      </w:r>
      <w:bookmarkEnd w:id="173"/>
      <w:bookmarkEnd w:id="174"/>
      <w:bookmarkEnd w:id="176"/>
    </w:p>
    <w:p w:rsidR="009569C7" w:rsidRPr="00EC4FA2" w:rsidRDefault="00A834F1" w:rsidP="009569C7">
      <w:pPr>
        <w:pStyle w:val="sub-subtitlenumbered"/>
        <w:jc w:val="both"/>
      </w:pPr>
      <w:bookmarkStart w:id="177" w:name="_Toc361844230"/>
      <w:bookmarkStart w:id="178" w:name="_Toc362359301"/>
      <w:bookmarkStart w:id="179" w:name="_Toc467855231"/>
      <w:bookmarkStart w:id="180" w:name="_Toc485708567"/>
      <w:bookmarkEnd w:id="175"/>
      <w:r>
        <w:t>Struktura zajištění a záruk podle úvěrů a jiných pohledávek jiných než držených k obchodování (13.1)</w:t>
      </w:r>
      <w:bookmarkEnd w:id="177"/>
      <w:bookmarkEnd w:id="178"/>
      <w:bookmarkEnd w:id="179"/>
      <w:bookmarkEnd w:id="180"/>
    </w:p>
    <w:p w:rsidR="009569C7" w:rsidRPr="00EC4FA2" w:rsidRDefault="00A834F1" w:rsidP="009569C7">
      <w:pPr>
        <w:pStyle w:val="Baseparagraphnumbered"/>
        <w:tabs>
          <w:tab w:val="left" w:pos="851"/>
        </w:tabs>
        <w:ind w:left="709"/>
      </w:pPr>
      <w:r>
        <w:t xml:space="preserve">Zajištění a záruky kryjící úvěry a jiné pohledávky nezávisle na jejich právní formě se vykazují podle typu zástav: úvěry zajištěné nemovitým majetkem a ostatní zajištěné úvěry, a podle přijatých finančních záruk. Úvěry a jiné pohledávky se rozčlení podle protistran a účelu. </w:t>
      </w:r>
    </w:p>
    <w:p w:rsidR="009569C7" w:rsidRPr="00EC4FA2" w:rsidRDefault="00A834F1" w:rsidP="009569C7">
      <w:pPr>
        <w:pStyle w:val="Baseparagraphnumbered"/>
        <w:tabs>
          <w:tab w:val="left" w:pos="851"/>
        </w:tabs>
        <w:ind w:left="709"/>
      </w:pPr>
      <w:r>
        <w:t xml:space="preserve">V šabloně 13.1 se vykáže „maximální akceptovatelná výše zajištění nebo záruky“. Součet všech částek finanční záruky a/nebo zajištění uvedených v příslušných sloupcích šablony 13.1 nepřesáhne částku představující účetní hodnotu příslušného úvěru. </w:t>
      </w:r>
    </w:p>
    <w:p w:rsidR="009569C7" w:rsidRPr="00EC4FA2" w:rsidRDefault="00A834F1" w:rsidP="009569C7">
      <w:pPr>
        <w:pStyle w:val="Baseparagraphnumbered"/>
        <w:tabs>
          <w:tab w:val="left" w:pos="851"/>
        </w:tabs>
        <w:ind w:left="709"/>
      </w:pPr>
      <w:r>
        <w:t>V souvislosti s vykazováním úvěrů a jiných pohledávek podle typu zástav se použijí tyto definice:</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v rámci „úvěrů zajištěných nemovitým majetkem“ „obytné“ zahrnují úvěry zaručené zajištěním obytného nemovitého majetku a „komerční“ zahrnují úvěry zaručené zástavami jiného než obytného nemovitého majetku, včetně kanceláří, obchodních objektů a jiných druhů komerčního nemovitého majetku. Stanovení, zda zajištění nemovitého majetku je obytné, nebo komerční, se provádí v souladu s nařízením o kapitálových požadavcích;</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„hotovost [vydané dluhové nástroje]“ v rámci „ostatních zajištěných úvěrů“ zahrnuje: a) vklady u vykazující instituce zastavené jako kolaterál </w:t>
      </w:r>
      <w:r>
        <w:rPr>
          <w:rFonts w:ascii="Times New Roman" w:hAnsi="Times New Roman"/>
          <w:sz w:val="24"/>
        </w:rPr>
        <w:lastRenderedPageBreak/>
        <w:t>za úvěr a b) dluhové cenné papíry vydané vykazující institucí, které jsou zastavené jako kolaterál za úvěr. „Ostatní“ zahrnuje zástavy ostatních cenných papírů vydaných třetími stranami či zástavy ostatních aktiv;</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„přijaté finanční záruky“ zahrnují smlouvy, které v souladu s odstavcem 114 této části této přílohy jejich emitentovi ukládají, aby provedl stanovené platby, jimiž dané instituci nahradí ztrátu vzniklou v důsledku toho, že určitý dlužník neprovedl v souladu s původními nebo upravenými podmínkami dluhového nástroje platbu ve lhůtě její splatnosti.</w:t>
      </w:r>
    </w:p>
    <w:p w:rsidR="009569C7" w:rsidRPr="00EC4FA2" w:rsidRDefault="00A834F1" w:rsidP="009569C7">
      <w:pPr>
        <w:pStyle w:val="Baseparagraphnumbered"/>
      </w:pPr>
      <w:r>
        <w:t xml:space="preserve">V případě úvěrů a jiných pohledávek, které jsou současně zajištěny více než jedním typem zajištění či záruky, se „maximální akceptovatelná výše zajištění nebo záruky“ rozloží podle kvality zajištění s tím, že se postupuje od nejlepšího k nejhoršímu. U úvěrů zajištěných nemovitým majetkem se kolaterál ve formě nemovitého majetku vykazuje vždy jako první bez ohledu na jeho kvalitu ve srovnání s jiným kolaterálem. Pokud „maximální akceptovatelná výše zajištění nebo záruky“ překračuje hodnotu kolaterálu ve formě nemovitého majetku, jeho zbývající hodnota se rozloží na jiné druhy zajištění a záruk podle jeho kvality s tím, že se postupuje od nejlepšího k nejhoršímu. </w:t>
      </w:r>
    </w:p>
    <w:p w:rsidR="009569C7" w:rsidRPr="00EC4FA2" w:rsidRDefault="00A834F1" w:rsidP="009569C7">
      <w:pPr>
        <w:pStyle w:val="sub-subtitlenumbered"/>
        <w:jc w:val="both"/>
      </w:pPr>
      <w:bookmarkStart w:id="181" w:name="_Toc361844231"/>
      <w:bookmarkStart w:id="182" w:name="_Toc362359302"/>
      <w:bookmarkStart w:id="183" w:name="_Toc467855232"/>
      <w:bookmarkStart w:id="184" w:name="_Toc485708568"/>
      <w:r>
        <w:t>Zajištění získané převzetím během období [držené k datu vykazování] (13.2)</w:t>
      </w:r>
      <w:bookmarkEnd w:id="181"/>
      <w:bookmarkEnd w:id="182"/>
      <w:bookmarkEnd w:id="183"/>
      <w:bookmarkEnd w:id="184"/>
    </w:p>
    <w:p w:rsidR="009569C7" w:rsidRPr="00EC4FA2" w:rsidRDefault="00A834F1" w:rsidP="009569C7">
      <w:pPr>
        <w:pStyle w:val="Baseparagraphnumbered"/>
        <w:tabs>
          <w:tab w:val="left" w:pos="851"/>
        </w:tabs>
        <w:ind w:left="709"/>
      </w:pPr>
      <w:r>
        <w:t xml:space="preserve">Tato šablona obsahuje účetní hodnotu zajištění, které bylo získáno mezi začátkem a koncem referenčního období a které zůstává k referenčnímu datu zaúčtováno v rozvaze. </w:t>
      </w:r>
    </w:p>
    <w:p w:rsidR="009569C7" w:rsidRPr="00EC4FA2" w:rsidRDefault="00A834F1" w:rsidP="009569C7">
      <w:pPr>
        <w:pStyle w:val="sub-subtitlenumbered"/>
        <w:jc w:val="both"/>
      </w:pPr>
      <w:bookmarkStart w:id="185" w:name="_Toc361844232"/>
      <w:bookmarkStart w:id="186" w:name="_Toc362359303"/>
      <w:bookmarkStart w:id="187" w:name="_Toc467855233"/>
      <w:bookmarkStart w:id="188" w:name="_Toc485708569"/>
      <w:r>
        <w:t>Zajištění získané převzetím (hmotná aktiva), kumulované (13.3)</w:t>
      </w:r>
      <w:bookmarkEnd w:id="185"/>
      <w:bookmarkEnd w:id="186"/>
      <w:bookmarkEnd w:id="187"/>
      <w:bookmarkEnd w:id="188"/>
    </w:p>
    <w:p w:rsidR="009569C7" w:rsidRPr="00EC4FA2" w:rsidRDefault="00A834F1" w:rsidP="009569C7">
      <w:pPr>
        <w:pStyle w:val="Baseparagraphnumbered"/>
        <w:tabs>
          <w:tab w:val="left" w:pos="851"/>
        </w:tabs>
        <w:ind w:left="709"/>
      </w:pPr>
      <w:r>
        <w:t>„Zabavení [hmotná aktiva]“ je kumulovaná účetní hodnota hmotných aktiv získaných převzetím zajištění, která zůstává k referenčnímu datu zaúčtována v rozvaze, s výjimkou aktiv klasifikovaných jako „pozemky, budovy a zařízení“.</w:t>
      </w:r>
    </w:p>
    <w:p w:rsidR="009569C7" w:rsidRPr="00EC4FA2" w:rsidRDefault="00A834F1" w:rsidP="009569C7">
      <w:pPr>
        <w:pStyle w:val="subtitlenumbered"/>
        <w:keepNext/>
        <w:numPr>
          <w:ilvl w:val="0"/>
          <w:numId w:val="17"/>
        </w:numPr>
        <w:ind w:left="357" w:hanging="357"/>
        <w:jc w:val="both"/>
        <w:rPr>
          <w:kern w:val="32"/>
        </w:rPr>
      </w:pPr>
      <w:bookmarkStart w:id="189" w:name="_Toc246770622"/>
      <w:bookmarkStart w:id="190" w:name="_Toc361844233"/>
      <w:bookmarkStart w:id="191" w:name="_Toc362359304"/>
      <w:bookmarkStart w:id="192" w:name="_Toc467855234"/>
      <w:bookmarkStart w:id="193" w:name="_Toc485708570"/>
      <w:r>
        <w:t>Hierarchie</w:t>
      </w:r>
      <w:bookmarkEnd w:id="189"/>
      <w:r>
        <w:t xml:space="preserve"> reálné hodnoty: finanční nástroje v reálné hodnotě (14)</w:t>
      </w:r>
      <w:bookmarkEnd w:id="190"/>
      <w:bookmarkEnd w:id="191"/>
      <w:bookmarkEnd w:id="192"/>
      <w:bookmarkEnd w:id="193"/>
    </w:p>
    <w:p w:rsidR="009569C7" w:rsidRPr="00EC4FA2" w:rsidRDefault="00A834F1" w:rsidP="009569C7">
      <w:pPr>
        <w:pStyle w:val="Baseparagraphnumbered"/>
        <w:tabs>
          <w:tab w:val="left" w:pos="851"/>
        </w:tabs>
        <w:ind w:left="709"/>
      </w:pPr>
      <w:r>
        <w:t>Instituce vykazují hodnotu finančních nástrojů oceněných reálnou hodnotou v souladu s hierarchií stanovenou v odstavci 72 IFRS 13. Pokud vnitrostátní GAAP založené na BAD vyžadují také rozčlenění aktiv oceněných reálnou hodnotou mezi různé úrovně reálné hodnoty, instituce vykáží podle vnitrostátních GAAP rovněž tuto šablonu.</w:t>
      </w:r>
    </w:p>
    <w:p w:rsidR="009569C7" w:rsidRPr="00EC4FA2" w:rsidRDefault="00A834F1" w:rsidP="009569C7">
      <w:pPr>
        <w:pStyle w:val="Baseparagraphnumbered"/>
        <w:ind w:left="709" w:hanging="283"/>
      </w:pPr>
      <w:r>
        <w:t>„Změna reálné hodnoty za dané období“ zahrnuje zisky a ztráty plynoucí z přecenění příslušných nástrojů v souladu s IFRS 9, IFRS 13 případně vnitrostátních GAAP, které nadále existují k datu vykazování v daném období. Tyto zisky a ztráty se vykazují jako součást výkazu zisku nebo ztráty, případně ve výkazu úplného výsledku; vykazují se proto částky před zdaněním.</w:t>
      </w:r>
    </w:p>
    <w:p w:rsidR="009569C7" w:rsidRPr="00EC4FA2" w:rsidRDefault="00A834F1" w:rsidP="009569C7">
      <w:pPr>
        <w:pStyle w:val="Baseparagraphnumbered"/>
        <w:tabs>
          <w:tab w:val="left" w:pos="851"/>
        </w:tabs>
        <w:ind w:left="709"/>
      </w:pPr>
      <w:r>
        <w:t>„Kumulovaná změna reálné hodnoty před zdaněním“ zahrnuje částku představující zisky nebo ztráty plynoucí z přecenění příslušných nástrojů ve výši kumulované od počátečního zaúčtování k referenčnímu datu.</w:t>
      </w:r>
    </w:p>
    <w:p w:rsidR="009569C7" w:rsidRPr="00EC4FA2" w:rsidRDefault="00A834F1" w:rsidP="009569C7">
      <w:pPr>
        <w:pStyle w:val="subtitlenumbered"/>
        <w:numPr>
          <w:ilvl w:val="0"/>
          <w:numId w:val="17"/>
        </w:numPr>
        <w:jc w:val="both"/>
        <w:rPr>
          <w:kern w:val="32"/>
        </w:rPr>
      </w:pPr>
      <w:bookmarkStart w:id="194" w:name="_Toc361844234"/>
      <w:bookmarkStart w:id="195" w:name="_Toc362359305"/>
      <w:bookmarkStart w:id="196" w:name="_Toc467855235"/>
      <w:bookmarkStart w:id="197" w:name="_Toc485708571"/>
      <w:r>
        <w:lastRenderedPageBreak/>
        <w:t>Odúčtování a finanční závazky související s převedenými finančními aktivy (15)</w:t>
      </w:r>
      <w:bookmarkEnd w:id="194"/>
      <w:bookmarkEnd w:id="195"/>
      <w:bookmarkEnd w:id="196"/>
      <w:bookmarkEnd w:id="197"/>
    </w:p>
    <w:p w:rsidR="009569C7" w:rsidRPr="00EC4FA2" w:rsidRDefault="00A834F1" w:rsidP="009569C7">
      <w:pPr>
        <w:pStyle w:val="Baseparagraphnumbered"/>
        <w:tabs>
          <w:tab w:val="left" w:pos="851"/>
        </w:tabs>
        <w:ind w:left="709"/>
      </w:pPr>
      <w:r>
        <w:t xml:space="preserve">Šablona 15 obsahuje informace o převedených finančních aktivech, z nichž některá nebo všechna nesplňují podmínky pro odúčtování, a zcela odúčtovaných finančních </w:t>
      </w:r>
      <w:proofErr w:type="gramStart"/>
      <w:r>
        <w:t>aktivech</w:t>
      </w:r>
      <w:proofErr w:type="gramEnd"/>
      <w:r>
        <w:t xml:space="preserve">, na jejichž správu si instituce podrží příslušná práva. </w:t>
      </w:r>
    </w:p>
    <w:p w:rsidR="009569C7" w:rsidRPr="00EC4FA2" w:rsidRDefault="00A834F1" w:rsidP="009569C7">
      <w:pPr>
        <w:pStyle w:val="Baseparagraphnumbered"/>
        <w:tabs>
          <w:tab w:val="left" w:pos="851"/>
        </w:tabs>
        <w:ind w:left="709"/>
      </w:pPr>
      <w:r>
        <w:t xml:space="preserve">Související závazky se vykazují podle portfolia, ve kterém jsou příslušná převedená finanční aktiva uvedena na straně aktiv, nikoli podle portfolia, ve kterém jsou uvedena na straně závazků. </w:t>
      </w:r>
      <w:bookmarkStart w:id="198" w:name="_Toc119725774"/>
      <w:bookmarkEnd w:id="198"/>
    </w:p>
    <w:p w:rsidR="009569C7" w:rsidRPr="00EC4FA2" w:rsidRDefault="00A834F1" w:rsidP="009569C7">
      <w:pPr>
        <w:pStyle w:val="Baseparagraphnumbered"/>
      </w:pPr>
      <w:r>
        <w:t xml:space="preserve">Ve sloupci „hodnoty odúčtované pro kapitálové účely“ se uvádí účetní hodnota finančních aktiv uznaných pro účely účetnictví, ale odúčtovaných pro účely obezřetnostního dohledu, protože instituce s nimi nakládá jako se </w:t>
      </w:r>
      <w:proofErr w:type="spellStart"/>
      <w:r>
        <w:t>sekuritizovanými</w:t>
      </w:r>
      <w:proofErr w:type="spellEnd"/>
      <w:r>
        <w:t xml:space="preserve"> pozicemi pro kapitálové účely v souladu s články 109, 243 a 244 nařízení o kapitálových požadavcích. </w:t>
      </w:r>
    </w:p>
    <w:p w:rsidR="009569C7" w:rsidRPr="00EC4FA2" w:rsidRDefault="00A834F1" w:rsidP="009569C7">
      <w:pPr>
        <w:pStyle w:val="Baseparagraphnumbered"/>
      </w:pPr>
      <w:r>
        <w:t>„Dohody o zpětném odkupu“ („</w:t>
      </w:r>
      <w:proofErr w:type="spellStart"/>
      <w:r>
        <w:t>repa</w:t>
      </w:r>
      <w:proofErr w:type="spellEnd"/>
      <w:r>
        <w:t>“) jsou transakce, jejichž prostřednictvím instituce získává hotovost výměnou za finanční aktiva prodaná za danou cenu se závazkem zpětného odkupu těchto (nebo identických) aktiv za pevnou cenu ke stanovenému budoucímu datu. Za „dohody o zpětném odkupu“ („</w:t>
      </w:r>
      <w:proofErr w:type="spellStart"/>
      <w:r>
        <w:t>repa</w:t>
      </w:r>
      <w:proofErr w:type="spellEnd"/>
      <w:r>
        <w:t xml:space="preserve">“) se považují rovněž transakce, při nichž dochází k dočasnému převodu zlata proti hotovostnímu zajištění. Částky, které instituce získá výměnou za finanční aktiva převedená na třetí stranu („dočasného nabyvatele“), se zařadí do kategorie „dohod o zpětném odkupu aktiv“ v těch případech, kdy existuje závazek provedení zpětné operace, a nejen pouze možnost tak učinit. Mezi dohody o zpětném odkupu patří rovněž operace typu </w:t>
      </w:r>
      <w:proofErr w:type="spellStart"/>
      <w:r>
        <w:t>repo</w:t>
      </w:r>
      <w:proofErr w:type="spellEnd"/>
      <w:r>
        <w:t>, mezi něž lze zařadit:</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částky získané výměnou za cenné papíry dočasně převedené na třetí osobu formou půjčky cenných papírů proti hotovostnímu zajištění;</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částky získané výměnou za cenné papíry dočasně převedené na třetí osobu formou dohody o prodeji a zpětné koupi.</w:t>
      </w:r>
    </w:p>
    <w:p w:rsidR="009569C7" w:rsidRPr="00EC4FA2" w:rsidRDefault="00A834F1" w:rsidP="009569C7">
      <w:pPr>
        <w:pStyle w:val="Baseparagraphnumbered"/>
        <w:tabs>
          <w:tab w:val="left" w:pos="851"/>
        </w:tabs>
        <w:ind w:left="709"/>
      </w:pPr>
      <w:r>
        <w:t>„Dohody o zpětném odkupu“ („</w:t>
      </w:r>
      <w:proofErr w:type="spellStart"/>
      <w:r>
        <w:t>repa</w:t>
      </w:r>
      <w:proofErr w:type="spellEnd"/>
      <w:r>
        <w:t xml:space="preserve">“) a „reverzní </w:t>
      </w:r>
      <w:proofErr w:type="spellStart"/>
      <w:r>
        <w:t>repo</w:t>
      </w:r>
      <w:proofErr w:type="spellEnd"/>
      <w:r>
        <w:t xml:space="preserve"> operace“ („reverzní </w:t>
      </w:r>
      <w:proofErr w:type="spellStart"/>
      <w:r>
        <w:t>repa</w:t>
      </w:r>
      <w:proofErr w:type="spellEnd"/>
      <w:r>
        <w:t xml:space="preserve">“) zahrnují hotovost, kterou daná instituce obdržela nebo půjčila formou úvěru. </w:t>
      </w:r>
    </w:p>
    <w:p w:rsidR="009569C7" w:rsidRPr="00EC4FA2" w:rsidRDefault="00A834F1" w:rsidP="009569C7">
      <w:pPr>
        <w:pStyle w:val="Baseparagraphnumbered"/>
        <w:tabs>
          <w:tab w:val="left" w:pos="851"/>
        </w:tabs>
        <w:ind w:left="709"/>
      </w:pPr>
      <w:r>
        <w:t xml:space="preserve">V rámci </w:t>
      </w:r>
      <w:proofErr w:type="spellStart"/>
      <w:r>
        <w:t>sekuritizace</w:t>
      </w:r>
      <w:proofErr w:type="spellEnd"/>
      <w:r>
        <w:t>, kdy dojde k odúčtování převedených finančních aktiv, uvedou instituce zisky (ztráty) vytvořené danou položkou ve výkazu zisku nebo ztráty odpovídající „účetním portfoliím“, do kterých byla příslušná finanční aktiva zahrnuta před jejich odúčtováním.</w:t>
      </w:r>
    </w:p>
    <w:p w:rsidR="009569C7" w:rsidRPr="00EC4FA2" w:rsidRDefault="00A834F1" w:rsidP="009569C7">
      <w:pPr>
        <w:pStyle w:val="subtitlenumbered"/>
        <w:keepNext/>
        <w:numPr>
          <w:ilvl w:val="0"/>
          <w:numId w:val="17"/>
        </w:numPr>
        <w:ind w:left="357" w:hanging="357"/>
        <w:jc w:val="both"/>
      </w:pPr>
      <w:bookmarkStart w:id="199" w:name="_Toc246513983"/>
      <w:bookmarkStart w:id="200" w:name="_Toc246730655"/>
      <w:bookmarkStart w:id="201" w:name="_Toc246730746"/>
      <w:bookmarkStart w:id="202" w:name="_Toc246513985"/>
      <w:bookmarkStart w:id="203" w:name="_Toc246730657"/>
      <w:bookmarkStart w:id="204" w:name="_Toc246730748"/>
      <w:bookmarkStart w:id="205" w:name="_Toc246513986"/>
      <w:bookmarkStart w:id="206" w:name="_Toc246730658"/>
      <w:bookmarkStart w:id="207" w:name="_Toc246730749"/>
      <w:bookmarkStart w:id="208" w:name="_Toc246770632"/>
      <w:bookmarkStart w:id="209" w:name="_Toc361844235"/>
      <w:bookmarkStart w:id="210" w:name="_Toc362359306"/>
      <w:bookmarkStart w:id="211" w:name="_Toc467855236"/>
      <w:bookmarkStart w:id="212" w:name="_Toc246770626"/>
      <w:bookmarkStart w:id="213" w:name="_Toc485708572"/>
      <w:bookmarkEnd w:id="199"/>
      <w:bookmarkEnd w:id="200"/>
      <w:bookmarkEnd w:id="201"/>
      <w:bookmarkEnd w:id="202"/>
      <w:bookmarkEnd w:id="203"/>
      <w:bookmarkEnd w:id="204"/>
      <w:bookmarkEnd w:id="205"/>
      <w:bookmarkEnd w:id="206"/>
      <w:bookmarkEnd w:id="207"/>
      <w:r>
        <w:t>Struktura vybraných položek výkazu zisku</w:t>
      </w:r>
      <w:bookmarkEnd w:id="208"/>
      <w:r>
        <w:t xml:space="preserve"> nebo ztráty (16)</w:t>
      </w:r>
      <w:bookmarkEnd w:id="209"/>
      <w:bookmarkEnd w:id="210"/>
      <w:bookmarkEnd w:id="211"/>
      <w:bookmarkEnd w:id="213"/>
    </w:p>
    <w:p w:rsidR="009569C7" w:rsidRPr="00EC4FA2" w:rsidRDefault="00A834F1" w:rsidP="009569C7">
      <w:pPr>
        <w:pStyle w:val="Baseparagraphnumbered"/>
        <w:tabs>
          <w:tab w:val="left" w:pos="851"/>
        </w:tabs>
        <w:ind w:left="709"/>
      </w:pPr>
      <w:r>
        <w:t xml:space="preserve">U vybraných položek výkazu zisku se vykáže podrobná struktura zisků (či výnosů) a ztrát (či nákladů). </w:t>
      </w:r>
    </w:p>
    <w:p w:rsidR="009569C7" w:rsidRPr="00EC4FA2" w:rsidRDefault="00A834F1" w:rsidP="009569C7">
      <w:pPr>
        <w:pStyle w:val="sub-subtitlenumbered"/>
        <w:jc w:val="both"/>
      </w:pPr>
      <w:bookmarkStart w:id="214" w:name="_Toc361844236"/>
      <w:bookmarkStart w:id="215" w:name="_Toc362359307"/>
      <w:bookmarkStart w:id="216" w:name="_Toc467855237"/>
      <w:bookmarkStart w:id="217" w:name="_Toc485708573"/>
      <w:r>
        <w:t>Úrokové výnosy a náklady podle nástroje a odvětví protistrany (16.1)</w:t>
      </w:r>
      <w:bookmarkEnd w:id="214"/>
      <w:bookmarkEnd w:id="215"/>
      <w:bookmarkEnd w:id="216"/>
      <w:bookmarkEnd w:id="217"/>
    </w:p>
    <w:p w:rsidR="009569C7" w:rsidRPr="00EC4FA2" w:rsidRDefault="00A834F1" w:rsidP="009569C7">
      <w:pPr>
        <w:pStyle w:val="Baseparagraphnumbered"/>
        <w:tabs>
          <w:tab w:val="left" w:pos="851"/>
        </w:tabs>
        <w:ind w:left="709" w:hanging="283"/>
      </w:pPr>
      <w:r>
        <w:lastRenderedPageBreak/>
        <w:t>Úrokové výnosy se rozčlení podle:</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úrokových výnosů z finančních a jiných aktiv;</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 xml:space="preserve">úrokových výnosů z </w:t>
      </w:r>
      <w:proofErr w:type="gramStart"/>
      <w:r>
        <w:rPr>
          <w:rFonts w:ascii="Times New Roman" w:hAnsi="Times New Roman"/>
          <w:sz w:val="24"/>
        </w:rPr>
        <w:t>finančních  závazků</w:t>
      </w:r>
      <w:proofErr w:type="gramEnd"/>
      <w:r>
        <w:rPr>
          <w:rFonts w:ascii="Times New Roman" w:hAnsi="Times New Roman"/>
          <w:sz w:val="24"/>
        </w:rPr>
        <w:t xml:space="preserve"> se zápornou efektivní úrokovou mírou.</w:t>
      </w:r>
    </w:p>
    <w:p w:rsidR="009569C7" w:rsidRPr="00EC4FA2" w:rsidRDefault="00A834F1" w:rsidP="009569C7">
      <w:pPr>
        <w:pStyle w:val="Baseparagraphnumbered"/>
      </w:pPr>
      <w:r>
        <w:t>Úrokové náklady se rozčlení podle:</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úrokových nákladů plynoucích z finančních a jiných závazků;</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 xml:space="preserve">úrokových nákladů plynoucích z </w:t>
      </w:r>
      <w:proofErr w:type="gramStart"/>
      <w:r>
        <w:rPr>
          <w:rFonts w:ascii="Times New Roman" w:hAnsi="Times New Roman"/>
          <w:sz w:val="24"/>
        </w:rPr>
        <w:t>finančních  aktiv</w:t>
      </w:r>
      <w:proofErr w:type="gramEnd"/>
      <w:r>
        <w:rPr>
          <w:rFonts w:ascii="Times New Roman" w:hAnsi="Times New Roman"/>
          <w:sz w:val="24"/>
        </w:rPr>
        <w:t xml:space="preserve"> se zápornou efektivní úrokovou mírou.</w:t>
      </w:r>
    </w:p>
    <w:p w:rsidR="009569C7" w:rsidRPr="00EC4FA2" w:rsidRDefault="00A834F1" w:rsidP="009569C7">
      <w:pPr>
        <w:pStyle w:val="Baseparagraphnumbered"/>
        <w:tabs>
          <w:tab w:val="left" w:pos="851"/>
        </w:tabs>
        <w:ind w:left="709" w:hanging="283"/>
      </w:pPr>
      <w:r>
        <w:t xml:space="preserve">Úrokové náklady z finančních aktiv a finančních závazků se zápornou efektivní úrokovou mírou zahrnují úrokové výnosy z derivátů k obchodování, dluhových cenných papírů, úvěrů a jiných pohledávek, jakož i z vkladů, vydaných dluhových cenných papírů a ostatních finančních závazků se zápornou efektivní úrokovou mírou. </w:t>
      </w:r>
    </w:p>
    <w:p w:rsidR="009569C7" w:rsidRPr="00EC4FA2" w:rsidRDefault="00A834F1" w:rsidP="009569C7">
      <w:pPr>
        <w:pStyle w:val="Baseparagraphnumbered"/>
      </w:pPr>
      <w:r>
        <w:t xml:space="preserve">Úrokové náklady plynoucí z finančních závazků a finančních aktiv se zápornou efektivní úrokovou mírou zahrnují úrokové náklady na deriváty k obchodování, vklady, dluhové cenné papíry a ostatní finanční závazky, jakož i na dluhové cenné papíry a úvěry a jiné pohledávky se zápornou efektivní úrokovou mírou. </w:t>
      </w:r>
    </w:p>
    <w:p w:rsidR="009569C7" w:rsidRPr="00EC4FA2" w:rsidRDefault="00A834F1" w:rsidP="009569C7">
      <w:pPr>
        <w:pStyle w:val="Baseparagraphnumbered"/>
      </w:pPr>
      <w:r>
        <w:t xml:space="preserve">Pro účely šablony 16.1 se krátké pozice považují za ostatní finanční závazky. Vykazují se všechny nástroje v jednotlivých portfoliích s výjimkou nástrojů uvedených v položkách „deriváty – zajišťovací účetnictví“, které nebyly využity k zajištění úrokového rizika. </w:t>
      </w:r>
    </w:p>
    <w:p w:rsidR="009569C7" w:rsidRPr="00EC4FA2" w:rsidRDefault="00A834F1" w:rsidP="009569C7">
      <w:pPr>
        <w:pStyle w:val="Baseparagraphnumbered"/>
      </w:pPr>
      <w:r>
        <w:t xml:space="preserve">„Deriváty – zajišťovací účetnictví, úrokové riziko“ zahrnují úrokové výnosy a náklady plynoucí ze zajišťovacích nástrojů, pokud zajištěné položky tvoří úrok.  </w:t>
      </w:r>
    </w:p>
    <w:p w:rsidR="009569C7" w:rsidRPr="00EC4FA2" w:rsidRDefault="00A834F1" w:rsidP="009569C7">
      <w:pPr>
        <w:pStyle w:val="Baseparagraphnumbered"/>
      </w:pPr>
      <w:r>
        <w:t>Používá-li se čistá cena, úroky z derivátů k obchodování zahrnují částky týkající se derivátů k obchodování, které splňují kritéria pro zařazení do kategorie „ekonomického zajištění“, uvedené jako úrokové výnosy nebo náklady za účelem opravy výnosů a nákladů zajištěných finančních nástrojů z ekonomického, avšak nikoli z účetního hlediska. V tomto případě se úrokový výnos z derivátů ekonomického zajištění vykazuje zvlášť v úrokovém výnosu z obchodovatelných derivátů. Časově rozdělené poplatky nebo výplata doplatků, pokud jde o úvěrové deriváty oceněné reálnou hodnotou a použité za účelem řízení úvěrového rizika části nebo celého finančního nástroje, který je při této příležitosti oceněný reálnou hodnotou, se vykazují rovněž v rámci úroků z derivátů k obchodování.</w:t>
      </w:r>
    </w:p>
    <w:p w:rsidR="009569C7" w:rsidRPr="00EC4FA2" w:rsidRDefault="00A834F1" w:rsidP="009569C7">
      <w:pPr>
        <w:pStyle w:val="Baseparagraphnumbered"/>
      </w:pPr>
      <w:r>
        <w:t xml:space="preserve">Podle IFRS se položkou „z toho: úrokový výnos ze znehodnocených finančních aktiv“ rozumí úrokový výnos z úvěrově znehodnocených finančních aktiv, včetně nakoupených nebo vzniklých úvěrově znehodnocených aktiv. Podle vnitrostátních GAAP založených na BAD </w:t>
      </w:r>
      <w:r>
        <w:lastRenderedPageBreak/>
        <w:t>zahrnuje úrokový výnos z aktiv znehodnocených se specifickou nebo všeobecnou opravnou položkou na znehodnocení z titulu úvěrového rizika.</w:t>
      </w:r>
    </w:p>
    <w:p w:rsidR="009569C7" w:rsidRPr="00EC4FA2" w:rsidRDefault="00A834F1" w:rsidP="009569C7">
      <w:pPr>
        <w:pStyle w:val="sub-subtitlenumbered"/>
        <w:jc w:val="both"/>
      </w:pPr>
      <w:bookmarkStart w:id="218" w:name="_Toc361844237"/>
      <w:bookmarkStart w:id="219" w:name="_Toc362359308"/>
      <w:bookmarkStart w:id="220" w:name="_Toc467855238"/>
      <w:bookmarkStart w:id="221" w:name="_Toc485708574"/>
      <w:r>
        <w:t>Zisky nebo ztráty z odúčtování finančních aktiv a závazků neoceňovaných v reálné hodnotě do zisku nebo ztráty podle nástroje (16.2)</w:t>
      </w:r>
      <w:bookmarkEnd w:id="218"/>
      <w:bookmarkEnd w:id="219"/>
      <w:bookmarkEnd w:id="220"/>
      <w:bookmarkEnd w:id="221"/>
    </w:p>
    <w:p w:rsidR="009569C7" w:rsidRPr="00EC4FA2" w:rsidRDefault="00A834F1" w:rsidP="009569C7">
      <w:pPr>
        <w:pStyle w:val="Baseparagraphnumbered"/>
        <w:tabs>
          <w:tab w:val="left" w:pos="851"/>
        </w:tabs>
        <w:ind w:left="709"/>
      </w:pPr>
      <w:r>
        <w:t>Zisky a ztráty plynoucí z odúčtování finančních aktiv a finančních závazků, které se neoceňují reálnou hodnotou do zisku nebo ztráty, se rozčlení podle typu finančního nástroje a účetního portfolia. U každé položky se vykáže čistý realizovaný zisk nebo ztráta plynoucí z odúčtované transakce. Čistá hodnota vyjadřuje rozdíl mezi realizovanými zisky a realizovanými ztrátami.</w:t>
      </w:r>
    </w:p>
    <w:p w:rsidR="009569C7" w:rsidRPr="00EC4FA2" w:rsidRDefault="00A834F1" w:rsidP="009569C7">
      <w:pPr>
        <w:pStyle w:val="Baseparagraphnumbered"/>
      </w:pPr>
      <w:r>
        <w:t>Podle IFRS se šablona 16.2 vztahuje na finanční aktiva a závazky v naběhlé hodnotě a na dluhové nástroje oceněné reálnou hodnotou do ostatního úplného výsledku. Podle vnitrostátních GAAP založených na BAD se šablona 16.2 vztahuje na finanční aktiva oceněná pořizovací cenou, reálnou hodnotou do vlastního kapitálu a podle jiných metod oceňování, jako je nižší z pořizovací ceny nebo tržní hodnoty. Zisky a ztráty z finančních nástrojů klasifikovaných podle příslušných vnitrostátních GAAP založených na BAD jako finanční nástroje k obchodování se bez ohledu na pravidla oceňování platná pro tyto nástroje v této šabloně nevykáží.</w:t>
      </w:r>
    </w:p>
    <w:p w:rsidR="009569C7" w:rsidRPr="00EC4FA2" w:rsidRDefault="00A834F1" w:rsidP="009569C7">
      <w:pPr>
        <w:pStyle w:val="sub-subtitlenumbered"/>
        <w:jc w:val="both"/>
      </w:pPr>
      <w:bookmarkStart w:id="222" w:name="_Toc361844238"/>
      <w:bookmarkStart w:id="223" w:name="_Toc362359309"/>
      <w:bookmarkStart w:id="224" w:name="_Toc467855239"/>
      <w:bookmarkStart w:id="225" w:name="_Toc485708575"/>
      <w:r>
        <w:t>Zisky nebo ztráty z finančních aktiv a závazků k obchodování podle nástroje (16.3)</w:t>
      </w:r>
      <w:bookmarkEnd w:id="222"/>
      <w:bookmarkEnd w:id="223"/>
      <w:bookmarkEnd w:id="224"/>
      <w:bookmarkEnd w:id="225"/>
    </w:p>
    <w:p w:rsidR="009569C7" w:rsidRPr="00EC4FA2" w:rsidRDefault="00A834F1" w:rsidP="009569C7">
      <w:pPr>
        <w:pStyle w:val="Baseparagraphnumbered"/>
        <w:tabs>
          <w:tab w:val="left" w:pos="851"/>
        </w:tabs>
        <w:ind w:left="709"/>
      </w:pPr>
      <w:r>
        <w:t>Zisky a ztráty z finančních aktiv a závazků k obchodování se rozčlení podle typu nástroje; každá položka této struktury představuje čistou realizovanou a nerealizovanou hodnotu (zisky snížené o ztráty) daného finančního nástroje.</w:t>
      </w:r>
    </w:p>
    <w:p w:rsidR="009569C7" w:rsidRPr="00EC4FA2" w:rsidRDefault="00A834F1" w:rsidP="009569C7">
      <w:pPr>
        <w:pStyle w:val="Baseparagraphnumbered"/>
      </w:pPr>
      <w:r>
        <w:t>Zisky a ztráty z obchodování s cizími měnami na spotovém trhu, s výjimkou směny bankovek či mincí v cizí měně, by měly být zahrnuty v ziscích a ztrátách z obchodování. Zisky a ztráty z obchodování s drahými kovy nebo z odúčtování a přecenění se nezařadí do obchodních zisků a ztrát, ale do „ostatního provozního výsledku“ nebo do „ostatních provozních nákladů“ v souladu s odstavcem 316 této části.</w:t>
      </w:r>
    </w:p>
    <w:p w:rsidR="009569C7" w:rsidRPr="00EC4FA2" w:rsidRDefault="00A834F1" w:rsidP="009569C7">
      <w:pPr>
        <w:pStyle w:val="Baseparagraphnumbered"/>
      </w:pPr>
      <w:r>
        <w:t xml:space="preserve">Položka „z toho: ekonomické zajištění s použitím možnosti oceňování reálnou hodnotou“ zahrnuje pouze zisky a ztráty z úvěrových derivátů oceněných reálnou hodnotou do zisku nebo ztráty a používanou za účelem řízení úvěrového rizika celého finančního nástroje nebo jeho části, který je při této příležitosti oceněný reálnou hodnotou do zisku nebo ztráty v souladu s odstavcem 6.7 IFRS 9.  Zisky nebo ztráty z důvodu </w:t>
      </w:r>
      <w:proofErr w:type="spellStart"/>
      <w:r>
        <w:t>reklasifikace</w:t>
      </w:r>
      <w:proofErr w:type="spellEnd"/>
      <w:r>
        <w:t xml:space="preserve"> finančních aktiv z účetního portfolia naběhlé hodnoty do účetního portfolia reálné hodnoty vykazované do zisku nebo ztráty nebo do </w:t>
      </w:r>
      <w:proofErr w:type="spellStart"/>
      <w:r>
        <w:t>do</w:t>
      </w:r>
      <w:proofErr w:type="spellEnd"/>
      <w:r>
        <w:t xml:space="preserve"> portfolia „k obchodování“ [odstavec 5.6.2 IFRS 9] se vykáží v položce „z toho: zisky a ztráty v důsledku </w:t>
      </w:r>
      <w:proofErr w:type="spellStart"/>
      <w:r>
        <w:t>reklasifikace</w:t>
      </w:r>
      <w:proofErr w:type="spellEnd"/>
      <w:r>
        <w:t xml:space="preserve"> aktiv oceněných naběhlou hodnotou“.</w:t>
      </w:r>
    </w:p>
    <w:p w:rsidR="009569C7" w:rsidRPr="00EC4FA2" w:rsidRDefault="00A834F1" w:rsidP="009569C7">
      <w:pPr>
        <w:pStyle w:val="sub-subtitlenumbered"/>
        <w:jc w:val="both"/>
      </w:pPr>
      <w:bookmarkStart w:id="226" w:name="_Toc361844239"/>
      <w:bookmarkStart w:id="227" w:name="_Toc362359310"/>
      <w:bookmarkStart w:id="228" w:name="_Toc467855240"/>
      <w:bookmarkStart w:id="229" w:name="_Toc485708576"/>
      <w:r>
        <w:t>Zisky nebo ztráty z finančních aktiv a závazků k obchodování podle rizika (16.4)</w:t>
      </w:r>
      <w:bookmarkEnd w:id="226"/>
      <w:bookmarkEnd w:id="227"/>
      <w:bookmarkEnd w:id="228"/>
      <w:bookmarkEnd w:id="229"/>
    </w:p>
    <w:p w:rsidR="009569C7" w:rsidRPr="00EC4FA2" w:rsidRDefault="00A834F1" w:rsidP="009569C7">
      <w:pPr>
        <w:pStyle w:val="Baseparagraphnumbered"/>
        <w:tabs>
          <w:tab w:val="left" w:pos="851"/>
        </w:tabs>
        <w:ind w:left="709"/>
      </w:pPr>
      <w:r>
        <w:lastRenderedPageBreak/>
        <w:t>Zisky a ztráty z finančních aktiv a finančních závazků k obchodování se rozčlení podle typu rizika; každá položka této struktury představuje čistou realizovanou a nerealizovanou hodnotu (zisky snížené o ztráty) výchozího rizika (úrokového rizika, akciového rizika, měnového rizika, úvěrového rizika, komoditního rizika aj.) spojeného s expozicí, včetně souvisejících derivátů. Zisky a ztráty z kurzových rozdílů se uvedou v položce, v níž jsou uvedeny ostatní zisky a ztráty plynoucí z konvertovaného nástroje. Zisky a ztráty z finančních aktiv a finančních závazků, jež nepatří mezi deriváty, se zahrnou do kategorií rizik takto:</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úroková míra: zahrnuje obchodování s úvěry a jinými pohledávkami, vklady a dluhovými cennými papíry (drženými nebo vydanými);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akcie: zahrnují obchodování s akciemi, kvótami SKIPCP a dalšími kapitálovými nástroji;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obchodování s cizími měnami: zahrnuje výlučně obchodování s cizími měnami;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úvěrové riziko; zahrnuje obchodování s úvěrovými dluhovými cennými papíry;</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komoditní: tato položka zahrnuje pouze deriváty, protože zisky a ztráty z komodit určených k obchodování se vykazují v položce „ostatní provozní výnosy“ nebo „ostatní provozní náklady“ v souladu s odstavcem 316 této části;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ostatní: zahrnuje obchodování s finančními nástroji, které nelze zařadit do jiných rozčlenění.</w:t>
      </w:r>
    </w:p>
    <w:p w:rsidR="009569C7" w:rsidRPr="00EC4FA2" w:rsidRDefault="00A834F1" w:rsidP="009569C7">
      <w:pPr>
        <w:pStyle w:val="sub-subtitlenumbered"/>
        <w:jc w:val="both"/>
      </w:pPr>
      <w:bookmarkStart w:id="230" w:name="_Toc467855241"/>
      <w:bookmarkStart w:id="231" w:name="_Toc485708577"/>
      <w:r>
        <w:t>Zisky nebo ztráty z neobchodních finančních aktiv povinně oceňovaných reálnou hodnotou do zisku nebo ztráty podle nástroje (16.4.1)</w:t>
      </w:r>
      <w:bookmarkEnd w:id="230"/>
      <w:bookmarkEnd w:id="231"/>
    </w:p>
    <w:p w:rsidR="009569C7" w:rsidRPr="00EC4FA2" w:rsidRDefault="00A834F1" w:rsidP="009569C7">
      <w:pPr>
        <w:pStyle w:val="Baseparagraphnumbered"/>
        <w:tabs>
          <w:tab w:val="left" w:pos="851"/>
        </w:tabs>
        <w:ind w:left="709"/>
      </w:pPr>
      <w:r>
        <w:t>Zisky a ztráty z neobchodních finančních aktiv povinně oceňovaných reálnou hodnotou do zisku nebo ztráty se rozčlení podle typu nástroje; každá položka této struktury představuje čistou realizovanou nebo nerealizovanou hodnotu (zisky snížené o ztráty) daného finančního nástroje.</w:t>
      </w:r>
    </w:p>
    <w:p w:rsidR="009569C7" w:rsidRPr="00EC4FA2" w:rsidRDefault="00A834F1" w:rsidP="009569C7">
      <w:pPr>
        <w:pStyle w:val="Baseparagraphnumbered"/>
        <w:tabs>
          <w:tab w:val="left" w:pos="567"/>
        </w:tabs>
      </w:pPr>
      <w:r>
        <w:t xml:space="preserve">Zisky nebo ztráty z důvodu </w:t>
      </w:r>
      <w:proofErr w:type="spellStart"/>
      <w:r>
        <w:t>reklasifikace</w:t>
      </w:r>
      <w:proofErr w:type="spellEnd"/>
      <w:r>
        <w:t xml:space="preserve"> finančních aktiv z účetního portfolia naběhlé hodnoty do neobchodních finančních aktiv povinně oceňovaných reálnou hodnotou do účetního portfolia zisku nebo ztráty [odstavec 5.6.2 IFRS 9] se vykáží v položce „z toho: zisky a ztráty v důsledku </w:t>
      </w:r>
      <w:proofErr w:type="spellStart"/>
      <w:r>
        <w:t>reklasifikace</w:t>
      </w:r>
      <w:proofErr w:type="spellEnd"/>
      <w:r>
        <w:t xml:space="preserve"> aktiv oceněných naběhlou hodnotou“.</w:t>
      </w:r>
    </w:p>
    <w:p w:rsidR="009569C7" w:rsidRPr="00EC4FA2" w:rsidRDefault="00A834F1" w:rsidP="009569C7">
      <w:pPr>
        <w:pStyle w:val="sub-subtitlenumbered"/>
        <w:jc w:val="both"/>
      </w:pPr>
      <w:bookmarkStart w:id="232" w:name="_Toc361844240"/>
      <w:bookmarkStart w:id="233" w:name="_Toc362359311"/>
      <w:bookmarkStart w:id="234" w:name="_Toc467855242"/>
      <w:bookmarkStart w:id="235" w:name="_Toc485708578"/>
      <w:r>
        <w:t>Zisky nebo ztráty z finančních aktiv a závazků v reálné hodnotě vykázané do zisku nebo ztráty podle nástroje (16.5)</w:t>
      </w:r>
      <w:bookmarkEnd w:id="232"/>
      <w:bookmarkEnd w:id="233"/>
      <w:bookmarkEnd w:id="234"/>
      <w:bookmarkEnd w:id="235"/>
    </w:p>
    <w:p w:rsidR="009569C7" w:rsidRPr="00EC4FA2" w:rsidRDefault="00A834F1" w:rsidP="009569C7">
      <w:pPr>
        <w:pStyle w:val="Baseparagraphnumbered"/>
        <w:tabs>
          <w:tab w:val="left" w:pos="851"/>
        </w:tabs>
        <w:ind w:left="709"/>
      </w:pPr>
      <w:r>
        <w:t xml:space="preserve">Zisky a ztráty z finančních aktiv a závazků oceňovaných reálnou hodnotou vykazované do zisku nebo ztráty se rozčlení podle typu nástroje. Instituce vykazují čisté realizované a nerealizované zisky nebo ztráty a hodnotu vyjadřující změnu reálné hodnoty finančních závazků, k níž došlo v průběhu </w:t>
      </w:r>
      <w:r>
        <w:lastRenderedPageBreak/>
        <w:t>daného období z titulu změn úvěrového rizika (vlastní úvěrové riziko dlužníka nebo emitenta), pokud se vlastní úvěrové riziko nevykazuje v ostatním úplném výsledku.</w:t>
      </w:r>
    </w:p>
    <w:p w:rsidR="009569C7" w:rsidRPr="00EC4FA2" w:rsidRDefault="00A834F1" w:rsidP="009569C7">
      <w:pPr>
        <w:pStyle w:val="Baseparagraphnumbered"/>
      </w:pPr>
      <w:r>
        <w:t>Používá-li se úvěrový derivát oceněný reálnou hodnotou za účelem řízení úvěrového rizika celého finančního nástroje nebo jeho části oceněného reálnou hodnotou vykazovanou při této příležitosti do zisku nebo ztráty, zisky nebo ztráty finančního nástroje na základě tohoto ocenění se vykáží v položce „z toho: čisté zisky nebo (-) ztráty z označení finančních aktiv a závazků za oceněné reálnou hodnotou do zisku nebo ztráty pro účely zajištění“. Následné zisky nebo ztráty z těchto finančních nástrojů oceněné reálnou hodnotou se vykáží v položce „z toho: čisté zisky nebo (-) ztráty po označení finančních aktiv a pasiv za oceněná v reálné hodnotě do zisku nebo ztráty pro účely zajištění“.</w:t>
      </w:r>
    </w:p>
    <w:p w:rsidR="009569C7" w:rsidRPr="00EC4FA2" w:rsidRDefault="00A834F1" w:rsidP="009569C7">
      <w:pPr>
        <w:pStyle w:val="sub-subtitlenumbered"/>
        <w:jc w:val="both"/>
      </w:pPr>
      <w:bookmarkStart w:id="236" w:name="_Toc361844241"/>
      <w:bookmarkStart w:id="237" w:name="_Toc362359312"/>
      <w:bookmarkStart w:id="238" w:name="_Toc467855243"/>
      <w:bookmarkStart w:id="239" w:name="_Toc485708579"/>
      <w:r>
        <w:t>Zisky nebo ztráty ze zajišťovacího účetnictví (16.6)</w:t>
      </w:r>
      <w:bookmarkEnd w:id="236"/>
      <w:bookmarkEnd w:id="237"/>
      <w:bookmarkEnd w:id="238"/>
      <w:bookmarkEnd w:id="239"/>
    </w:p>
    <w:p w:rsidR="009569C7" w:rsidRPr="00EC4FA2" w:rsidRDefault="00A834F1" w:rsidP="009569C7">
      <w:pPr>
        <w:pStyle w:val="Baseparagraphnumbered"/>
      </w:pPr>
      <w:r>
        <w:t xml:space="preserve">Veškeré zisky a ztráty ze zajišťovacího účetnictví s výjimkou úrokových výnosů nebo nákladů, pokud se používá čistá cena, se rozčlení podle typu zajišťovacího účetnictví: zajištění reálné hodnoty, zajištění peněžních toků a zajištění čistých investic do zahraničních jednotek. Zisky a ztráty vázané na reálnou hodnotu zajištění se rozčlení mezi zajišťovací nástroj a zajišťovanou položku. Zisky a ztráty ze zajišťovacích nástrojů nezahrnují zisky a ztráty související s prvky zajišťovacích nástrojů, které neplní funkci zajišťovacích nástrojů v souladu s odstavcem 6.2.4 IFRS 9. Tyto neurčené zajišťovací nástroje se vykazují v souladu s odstavcem 60 této části. Zisky a ztráty ze zajišťovacího účetnictví zahrnují rovněž zisky a ztráty ze zajištění skupiny položek s pozicemi započítaných rizik (zajištění čisté pozice). </w:t>
      </w:r>
    </w:p>
    <w:p w:rsidR="009569C7" w:rsidRPr="00EC4FA2" w:rsidRDefault="00A834F1" w:rsidP="009569C7">
      <w:pPr>
        <w:pStyle w:val="Baseparagraphnumbered"/>
      </w:pPr>
      <w:r>
        <w:t>„Změny reálné hodnoty zajištěné položky související se zajištěným rizikem“ zahrnují také zisky a ztráty ze zajištěných položek, jestliže dané položky jsou dluhovými nástroji o\ceněnými reálnou hodnotou do ostatního úplného výsledku v souladu s odstavcem 4.1.2A IFRS 9 [odstavec 6.5.8 IFRS 9].</w:t>
      </w:r>
    </w:p>
    <w:p w:rsidR="009569C7" w:rsidRPr="00EC4FA2" w:rsidRDefault="00A834F1" w:rsidP="009569C7">
      <w:pPr>
        <w:pStyle w:val="Baseparagraphnumbered"/>
      </w:pPr>
      <w:r>
        <w:t>Podle vnitrostátních GAAP založených na BAD se rozčlenění podle typu zajištění stanovené v této šabloně vykazuje v rozsahu, v jakém je rozčlenění slučitelné s příslušnými účetními požadavky.</w:t>
      </w:r>
    </w:p>
    <w:p w:rsidR="009569C7" w:rsidRPr="00EC4FA2" w:rsidRDefault="00A834F1" w:rsidP="009569C7">
      <w:pPr>
        <w:pStyle w:val="sub-subtitlenumbered"/>
        <w:jc w:val="both"/>
      </w:pPr>
      <w:bookmarkStart w:id="240" w:name="_Toc361844242"/>
      <w:bookmarkStart w:id="241" w:name="_Toc362359313"/>
      <w:bookmarkStart w:id="242" w:name="_Toc467855244"/>
      <w:bookmarkStart w:id="243" w:name="_Toc485708580"/>
      <w:r>
        <w:rPr>
          <w:caps/>
        </w:rPr>
        <w:t>Z</w:t>
      </w:r>
      <w:r>
        <w:t>nehodnocení nefinančních aktiv (16.7)</w:t>
      </w:r>
      <w:bookmarkEnd w:id="240"/>
      <w:bookmarkEnd w:id="241"/>
      <w:bookmarkEnd w:id="242"/>
      <w:bookmarkEnd w:id="243"/>
    </w:p>
    <w:p w:rsidR="009569C7" w:rsidRPr="00EC4FA2" w:rsidRDefault="00A834F1" w:rsidP="009569C7">
      <w:pPr>
        <w:pStyle w:val="Baseparagraphnumbered"/>
        <w:tabs>
          <w:tab w:val="left" w:pos="851"/>
        </w:tabs>
        <w:ind w:left="709"/>
      </w:pPr>
      <w:r>
        <w:t>„Přírůstky“ se vykazují v případě, že v daném účetním portfoliu či hlavní kategorii aktiv vede odhad znehodnocení za dané období k uznání čistých výdajů. „Reverzování“ se vykazuje v případě, že v daném účetním portfoliu či hlavní kategorii aktiv vede odhad znehodnocení za dané období k zaúčtování čistých příjmů.</w:t>
      </w:r>
    </w:p>
    <w:p w:rsidR="009569C7" w:rsidRPr="00EC4FA2" w:rsidRDefault="00A834F1" w:rsidP="009569C7">
      <w:pPr>
        <w:pStyle w:val="subtitlenumbered"/>
        <w:numPr>
          <w:ilvl w:val="0"/>
          <w:numId w:val="17"/>
        </w:numPr>
        <w:jc w:val="both"/>
      </w:pPr>
      <w:bookmarkStart w:id="244" w:name="_Toc361844243"/>
      <w:bookmarkStart w:id="245" w:name="_Toc362359314"/>
      <w:bookmarkStart w:id="246" w:name="_Toc467855245"/>
      <w:bookmarkStart w:id="247" w:name="_Toc485708581"/>
      <w:r>
        <w:t>Rekonciliace účetní konsolidace a obezřetnostní konsolidace (</w:t>
      </w:r>
      <w:proofErr w:type="gramStart"/>
      <w:r>
        <w:t>CRR) (17</w:t>
      </w:r>
      <w:proofErr w:type="gramEnd"/>
      <w:r>
        <w:t>)</w:t>
      </w:r>
      <w:bookmarkEnd w:id="244"/>
      <w:bookmarkEnd w:id="245"/>
      <w:bookmarkEnd w:id="246"/>
      <w:bookmarkEnd w:id="247"/>
    </w:p>
    <w:p w:rsidR="009569C7" w:rsidRPr="00EC4FA2" w:rsidRDefault="00A834F1" w:rsidP="009569C7">
      <w:pPr>
        <w:pStyle w:val="Baseparagraphnumbered"/>
        <w:tabs>
          <w:tab w:val="left" w:pos="851"/>
        </w:tabs>
        <w:ind w:left="709"/>
      </w:pPr>
      <w:r>
        <w:t xml:space="preserve">„Účetní rozsah konsolidace“ zahrnuje účetní hodnotu aktiv, závazků a kapitálu a nominální hodnoty podrozvahových expozic vzniklých za použití </w:t>
      </w:r>
      <w:r>
        <w:lastRenderedPageBreak/>
        <w:t>účetního rozsahu konsolidace; tzn. včetně konsolidačních dceřiných podniků, kterými jsou pojišťovny a nefinanční podniky. Instituce sestavují výkazy za své dceřiné, společné a přidružené podniky za použití týchž metod jako v jejich finančních výkazech.</w:t>
      </w:r>
    </w:p>
    <w:p w:rsidR="009569C7" w:rsidRPr="00EC4FA2" w:rsidRDefault="00A834F1" w:rsidP="009569C7">
      <w:pPr>
        <w:pStyle w:val="Baseparagraphnumbered"/>
        <w:tabs>
          <w:tab w:val="left" w:pos="851"/>
        </w:tabs>
        <w:ind w:left="709"/>
      </w:pPr>
      <w:r>
        <w:t xml:space="preserve">V této šabloně položka „investice do dceřiných, společných a přidružených podniků“ nezahrnuje dceřiné podniky, protože v rámci účetního rozsahu konsolidace jsou všechny dceřiné podniky plně konsolidovány. </w:t>
      </w:r>
    </w:p>
    <w:p w:rsidR="009569C7" w:rsidRPr="00EC4FA2" w:rsidRDefault="00A834F1" w:rsidP="009569C7">
      <w:pPr>
        <w:pStyle w:val="Baseparagraphnumbered"/>
        <w:tabs>
          <w:tab w:val="left" w:pos="851"/>
        </w:tabs>
        <w:ind w:left="709"/>
      </w:pPr>
      <w:r>
        <w:t>„Aktiva vázaná zajistnými a pojistnými smlouvami“ zahrnují aktiva postoupená v rámci zajištění a případně též aktiva vztahující se k vydaným pojistným a zajistným smlouvám.</w:t>
      </w:r>
    </w:p>
    <w:p w:rsidR="009569C7" w:rsidRPr="00EC4FA2" w:rsidRDefault="00A834F1" w:rsidP="009569C7">
      <w:pPr>
        <w:pStyle w:val="Baseparagraphnumbered"/>
        <w:tabs>
          <w:tab w:val="left" w:pos="851"/>
        </w:tabs>
        <w:ind w:left="709"/>
      </w:pPr>
      <w:r>
        <w:t>„Závazky vázané pojistnými a zajistnými smlouvami“ zahrnují závazky vázané vydanými pojistnými a zajistnými smlouvami.</w:t>
      </w:r>
    </w:p>
    <w:p w:rsidR="009569C7" w:rsidRPr="00EC4FA2" w:rsidRDefault="00A834F1" w:rsidP="009569C7">
      <w:pPr>
        <w:pStyle w:val="subtitlenumbered"/>
        <w:jc w:val="both"/>
      </w:pPr>
      <w:bookmarkStart w:id="248" w:name="_Toc467855246"/>
      <w:bookmarkStart w:id="249" w:name="_Toc485708582"/>
      <w:r>
        <w:t>Nevýkonné expozice (18)</w:t>
      </w:r>
      <w:bookmarkEnd w:id="248"/>
      <w:bookmarkEnd w:id="249"/>
    </w:p>
    <w:p w:rsidR="009569C7" w:rsidRPr="00EC4FA2" w:rsidRDefault="00A834F1" w:rsidP="009569C7">
      <w:pPr>
        <w:pStyle w:val="Baseparagraphnumbered"/>
        <w:tabs>
          <w:tab w:val="left" w:pos="851"/>
        </w:tabs>
        <w:ind w:left="709"/>
      </w:pPr>
      <w:r>
        <w:t>Pro účely šablony 18 jsou nevýkonné expozice takové, které splňují některé z těchto kritérií:</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významné expozice, jež jsou déle než 90 dnů po splatnosti;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bez ohledu na existenci případné částky po splatnosti nebo na počet dnů po splatnosti se u dlužníka na základě posouzení považuje za nepravděpodobné, že plně splatí své úvěrové závazky bez realizace zajištění. </w:t>
      </w:r>
    </w:p>
    <w:p w:rsidR="009569C7" w:rsidRPr="00EC4FA2" w:rsidRDefault="00A834F1" w:rsidP="009569C7">
      <w:pPr>
        <w:pStyle w:val="Baseparagraphnumbered"/>
        <w:tabs>
          <w:tab w:val="left" w:pos="851"/>
        </w:tabs>
        <w:ind w:left="709"/>
      </w:pPr>
      <w:r>
        <w:t xml:space="preserve">Uvedená kategorizace nevýkonných expozic se použije bez ohledu na zařazení expozice jako expozice v selhání pro regulační účely v souladu s článkem 178 nařízení o kapitálových požadavcích nebo jako znehodnocené expozice pro účetní účely v souladu s použitelným účetním rámcem. </w:t>
      </w:r>
    </w:p>
    <w:p w:rsidR="009569C7" w:rsidRPr="00EC4FA2" w:rsidRDefault="00A834F1" w:rsidP="009569C7">
      <w:pPr>
        <w:pStyle w:val="Baseparagraphnumbered"/>
        <w:tabs>
          <w:tab w:val="left" w:pos="851"/>
        </w:tabs>
        <w:ind w:left="709"/>
      </w:pPr>
      <w:r>
        <w:t xml:space="preserve">Expozice, u nichž se má za to, že došlo k selhání podle článku 178 nařízení o kapitálových požadavcích, a expozice, u nichž bylo zjištěno znehodnocení podle použitelného účetního rámce, se vždy považují za nevýkonné expozice. Podle IFRS znehodnocené expozice pro účely šablony 18 jsou takové, u nichž se zjistilo úvěrové znehodnocení (stupeň 3), včetně zakoupených nebo vzniklých úvěrově znehodnocených aktiv. Expozice zařazené do jiných stupňů znehodnocení než stupně 3 se považují za nevýkonné, splňují-li kritéria, aby byly považovány za nevýkonné.  </w:t>
      </w:r>
    </w:p>
    <w:p w:rsidR="009569C7" w:rsidRPr="00EC4FA2" w:rsidRDefault="00A834F1" w:rsidP="009569C7">
      <w:pPr>
        <w:pStyle w:val="Baseparagraphnumbered"/>
        <w:tabs>
          <w:tab w:val="left" w:pos="851"/>
        </w:tabs>
        <w:ind w:left="709"/>
      </w:pPr>
      <w:r>
        <w:t>Expozice se zařadí v celé své výši a bez zohlednění existence případného zajištění. Podstatnost se posoudí v souladu s článkem 178 nařízení o kapitálových požadavcích.</w:t>
      </w:r>
    </w:p>
    <w:p w:rsidR="009569C7" w:rsidRPr="00EC4FA2" w:rsidRDefault="00A834F1" w:rsidP="009569C7">
      <w:pPr>
        <w:pStyle w:val="Baseparagraphnumbered"/>
        <w:tabs>
          <w:tab w:val="left" w:pos="851"/>
        </w:tabs>
        <w:ind w:left="709"/>
      </w:pPr>
      <w:r>
        <w:t xml:space="preserve">Pro účely šablony 18 zahrnují „expozice“ veškeré dluhové nástroje (dluhové cenné papíry a úvěry a jiné pohledávky, které zahrnují také hotovost u centrálních bank a ostatní vklady na požádání) a podrozvahové expozice, s výjimkou těch, které jsou drženy pro obchodní expozice. </w:t>
      </w:r>
    </w:p>
    <w:p w:rsidR="009569C7" w:rsidRPr="00EC4FA2" w:rsidRDefault="00A834F1" w:rsidP="009569C7">
      <w:pPr>
        <w:pStyle w:val="Baseparagraphnumbered"/>
        <w:tabs>
          <w:tab w:val="left" w:pos="851"/>
        </w:tabs>
        <w:ind w:left="709"/>
      </w:pPr>
      <w:r>
        <w:lastRenderedPageBreak/>
        <w:t xml:space="preserve">Dluhové nástroje se zařadí do těchto účetních portfolií: a) dluhové nástroje v pořizovací ceně nebo v naběhlé hodnotě, b) dluhové nástroje v reálné hodnotě vykazované do ostatního úplného výsledku nebo do vlastního kapitálu podléhajícího znehodnocení a c) dluhové nástroje oceněné striktní metodou LOCOM nebo v reálné hodnotě vykazované do zisku nebo ztráty nebo do vlastního kapitálu, který nepodléhá znehodnocení, v souladu s kritérii odstavce 233 této části. Každá kategorie se rozčlení podle nástroje a podle protistrany. </w:t>
      </w:r>
    </w:p>
    <w:p w:rsidR="009569C7" w:rsidRPr="00EC4FA2" w:rsidRDefault="00A834F1" w:rsidP="009569C7">
      <w:pPr>
        <w:pStyle w:val="Baseparagraphnumbered"/>
        <w:tabs>
          <w:tab w:val="left" w:pos="851"/>
        </w:tabs>
        <w:ind w:left="709"/>
      </w:pPr>
      <w:r>
        <w:t xml:space="preserve">Podle IFRS a příslušných vnitrostátních účetních zásad založených na BAD podrozvahové expozice zahrnují tyto odvolatelné a neodvolatelné položky: </w:t>
      </w:r>
    </w:p>
    <w:p w:rsidR="009569C7" w:rsidRPr="00EC4FA2" w:rsidRDefault="00A834F1" w:rsidP="009569C7">
      <w:pPr>
        <w:pStyle w:val="Text1"/>
        <w:numPr>
          <w:ilvl w:val="1"/>
          <w:numId w:val="40"/>
        </w:numPr>
        <w:ind w:left="1134" w:hanging="425"/>
      </w:pPr>
      <w:r>
        <w:t>poskytnuté úvěrové přísliby;</w:t>
      </w:r>
    </w:p>
    <w:p w:rsidR="009569C7" w:rsidRPr="00EC4FA2" w:rsidRDefault="00A834F1" w:rsidP="009569C7">
      <w:pPr>
        <w:pStyle w:val="Text1"/>
        <w:numPr>
          <w:ilvl w:val="1"/>
          <w:numId w:val="40"/>
        </w:numPr>
        <w:ind w:left="1134" w:hanging="425"/>
      </w:pPr>
      <w:r>
        <w:t>poskytnuté finanční záruky;</w:t>
      </w:r>
    </w:p>
    <w:p w:rsidR="009569C7" w:rsidRPr="00EC4FA2" w:rsidRDefault="00A834F1" w:rsidP="009569C7">
      <w:pPr>
        <w:pStyle w:val="Text1"/>
        <w:numPr>
          <w:ilvl w:val="1"/>
          <w:numId w:val="40"/>
        </w:numPr>
        <w:ind w:left="1134" w:hanging="425"/>
      </w:pPr>
      <w:r>
        <w:t>ostatní poskytnuté přísliby.</w:t>
      </w:r>
    </w:p>
    <w:p w:rsidR="009569C7" w:rsidRPr="00EC4FA2" w:rsidRDefault="00A834F1" w:rsidP="009569C7">
      <w:pPr>
        <w:pStyle w:val="Baseparagraphnumbered"/>
      </w:pPr>
      <w:r>
        <w:t xml:space="preserve">Dluhové nástroje klasifikované jako určené k prodeji v souladu s IFRS 5 se vykazují zvlášť. </w:t>
      </w:r>
    </w:p>
    <w:p w:rsidR="009569C7" w:rsidRPr="00EC4FA2" w:rsidRDefault="00A834F1" w:rsidP="009569C7">
      <w:pPr>
        <w:pStyle w:val="Baseparagraphnumbered"/>
      </w:pPr>
      <w:r>
        <w:t>V šabloně 18 vztahující se na dluhové nástroje se vykáže „hrubá účetní hodnota“ ve smyslu odstavce 34 části první této přílohy. U podrozvahových expozic se vykáže nominální hodnota ve smyslu odstavce 118 této části této přílohy.</w:t>
      </w:r>
    </w:p>
    <w:p w:rsidR="009569C7" w:rsidRPr="00EC4FA2" w:rsidRDefault="00A834F1" w:rsidP="009569C7">
      <w:pPr>
        <w:pStyle w:val="Baseparagraphnumbered"/>
      </w:pPr>
      <w:r>
        <w:t>Pro účely šablony 18 je expozice „po splatnosti“, splňuje-li kritéria odstavce 96 této části.</w:t>
      </w:r>
    </w:p>
    <w:p w:rsidR="009569C7" w:rsidRPr="00EC4FA2" w:rsidRDefault="00A834F1" w:rsidP="009569C7">
      <w:pPr>
        <w:pStyle w:val="Baseparagraphnumbered"/>
        <w:tabs>
          <w:tab w:val="left" w:pos="851"/>
        </w:tabs>
        <w:ind w:left="709"/>
      </w:pPr>
      <w:r>
        <w:t xml:space="preserve"> Pro účely šablony 18 se „dlužníkem“ rozumí dlužník ve smyslu článku 178 nařízení o kapitálových požadavcích.</w:t>
      </w:r>
    </w:p>
    <w:p w:rsidR="009569C7" w:rsidRPr="00EC4FA2" w:rsidRDefault="00A834F1" w:rsidP="009569C7">
      <w:pPr>
        <w:pStyle w:val="Baseparagraphnumbered"/>
        <w:tabs>
          <w:tab w:val="left" w:pos="851"/>
        </w:tabs>
        <w:ind w:left="709"/>
      </w:pPr>
      <w:r>
        <w:t xml:space="preserve"> Příslib se považuje za nevýkonnou expozici ve své nominální výši, pokud by jeho čerpání či jiné použití vedlo k expozicím, které představují riziko, že nebudou plně splaceny bez realizace zajištění. </w:t>
      </w:r>
    </w:p>
    <w:p w:rsidR="009569C7" w:rsidRPr="00EC4FA2" w:rsidRDefault="00A834F1" w:rsidP="009569C7">
      <w:pPr>
        <w:pStyle w:val="Baseparagraphnumbered"/>
        <w:tabs>
          <w:tab w:val="left" w:pos="851"/>
        </w:tabs>
        <w:ind w:left="709"/>
      </w:pPr>
      <w:r>
        <w:t xml:space="preserve"> Finanční záruky se považují za nevýkonné expozice ve své nominální výši, pokud hrozí, že finanční záruka bude zaručeným subjektem využita, zejména včetně případů, kdy podkladová zaručená expozice splňuje kritéria pro to, aby byla považována za nevýkonnou podle bodu 213. Pokud je zaručený subjekt v prodlení s platbou částky splatné podle smlouvy o finanční záruce, vykazující instituce posoudí, zda vzniklá pohledávka splňuje kritéria pro nevýkonné expozice.</w:t>
      </w:r>
    </w:p>
    <w:p w:rsidR="009569C7" w:rsidRPr="00EC4FA2" w:rsidRDefault="00A834F1" w:rsidP="009569C7">
      <w:pPr>
        <w:pStyle w:val="Baseparagraphnumbered"/>
        <w:tabs>
          <w:tab w:val="left" w:pos="851"/>
        </w:tabs>
        <w:ind w:left="709"/>
      </w:pPr>
      <w:r>
        <w:t xml:space="preserve"> Expozice klasifikované jako nevýkonné v souladu s bodem 213 se kategorizují buď jako individuálně nevýkonné („ve spojení s transakcí“), nebo jako nevýkonné s ohledem na celkovou expozici vůči danému dlužníkovi („ve spojení s dlužníkem“). Pro účely kategorizace nevýkonných expozic jako nevýkonných individuálně nebo ve spojení s daným dlužníkem se pro různé druhy nevýkonných expozic použijí tyto kategorizační postupy: </w:t>
      </w:r>
    </w:p>
    <w:p w:rsidR="009569C7" w:rsidRPr="00EC4FA2" w:rsidRDefault="00A834F1" w:rsidP="009569C7">
      <w:pPr>
        <w:pStyle w:val="Text1"/>
        <w:numPr>
          <w:ilvl w:val="2"/>
          <w:numId w:val="40"/>
        </w:numPr>
        <w:ind w:left="1134" w:hanging="425"/>
      </w:pPr>
      <w:r>
        <w:lastRenderedPageBreak/>
        <w:t xml:space="preserve">pro nevýkonné expozice klasifikované jako expozice v selhání podle článku 178 nařízení o kapitálových požadavcích se použije kategorizační postup tohoto článku; </w:t>
      </w:r>
    </w:p>
    <w:p w:rsidR="009569C7" w:rsidRPr="00EC4FA2" w:rsidRDefault="00A834F1" w:rsidP="009569C7">
      <w:pPr>
        <w:pStyle w:val="Text1"/>
        <w:numPr>
          <w:ilvl w:val="2"/>
          <w:numId w:val="40"/>
        </w:numPr>
        <w:ind w:left="1134" w:hanging="425"/>
      </w:pPr>
      <w:r>
        <w:t>pro expozice klasifikované na základě použitelného účetního rámce jako nevýkonné v důsledku znehodnocení se použijí kritéria pro zaúčtování znehodnocení podle použitelného účetního rámce;</w:t>
      </w:r>
    </w:p>
    <w:p w:rsidR="009569C7" w:rsidRPr="00EC4FA2" w:rsidRDefault="00A834F1" w:rsidP="009569C7">
      <w:pPr>
        <w:pStyle w:val="Text1"/>
        <w:numPr>
          <w:ilvl w:val="2"/>
          <w:numId w:val="40"/>
        </w:numPr>
        <w:ind w:left="1134" w:hanging="425"/>
      </w:pPr>
      <w:r>
        <w:t xml:space="preserve">pro ostatní nevýkonné expozice, které nejsou klasifikovány jako expozice v selhání ani jako expozice se znehodnocením, se použijí ustanovení článku 178 nařízení o kapitálových požadavcích pro expozice v selhání. </w:t>
      </w:r>
    </w:p>
    <w:p w:rsidR="009569C7" w:rsidRPr="00EC4FA2" w:rsidRDefault="00A834F1" w:rsidP="009569C7">
      <w:pPr>
        <w:pStyle w:val="Baseparagraphnumbered"/>
        <w:tabs>
          <w:tab w:val="left" w:pos="851"/>
        </w:tabs>
        <w:ind w:left="709"/>
      </w:pPr>
      <w:r>
        <w:t xml:space="preserve"> Pokud má instituce vůči určitému dlužníkovi rozvahové expozice, které jsou déle než 90 dnů po splatnosti, a hrubá účetní hodnota expozic po splatnosti představuje více než 20 % hrubé účetní hodnoty všech rozvahových expozic vůči tomuto dlužníkovi, považují se všechny rozvahové i podrozvahové expozice vůči tomuto dlužníkovi za nevýkonné. Pokud je dlužník součástí skupiny, posoudí se rovněž potřeba klasifikovat jako nevýkonné expozice vůči ostatním subjektům skupiny, nejsou-li již považovány za znehodnocené nebo v selhání podle článku 178 nařízení o kapitálových požadavcích, s výjimkou expozic ovlivněných izolovanými spory, které nesouvisejí s platební schopností protistrany. </w:t>
      </w:r>
    </w:p>
    <w:p w:rsidR="009569C7" w:rsidRPr="00EC4FA2" w:rsidRDefault="00A834F1" w:rsidP="009569C7">
      <w:pPr>
        <w:pStyle w:val="Baseparagraphnumbered"/>
      </w:pPr>
      <w:r>
        <w:t>Má se za to, že expozice již nejsou nevýkonné, jsou-li splněny všechny tyto podmínky:</w:t>
      </w:r>
    </w:p>
    <w:p w:rsidR="009569C7" w:rsidRPr="00EC4FA2" w:rsidRDefault="00A834F1" w:rsidP="009569C7">
      <w:pPr>
        <w:pStyle w:val="Text1"/>
        <w:numPr>
          <w:ilvl w:val="1"/>
          <w:numId w:val="41"/>
        </w:numPr>
        <w:tabs>
          <w:tab w:val="left" w:pos="1276"/>
        </w:tabs>
        <w:ind w:left="1134" w:hanging="426"/>
      </w:pPr>
      <w:r>
        <w:t>expozice splňuje výstupní kritéria uplatňovaná vykazující institucí pro přerušení znehodnocení a standardní klasifikaci v souladu s použitelným účetním rámcem respektive článkem 178 nařízení o kapitálových požadavcích;</w:t>
      </w:r>
    </w:p>
    <w:p w:rsidR="009569C7" w:rsidRPr="00EC4FA2" w:rsidRDefault="00A834F1" w:rsidP="009569C7">
      <w:pPr>
        <w:pStyle w:val="Text1"/>
        <w:numPr>
          <w:ilvl w:val="1"/>
          <w:numId w:val="41"/>
        </w:numPr>
        <w:tabs>
          <w:tab w:val="left" w:pos="1276"/>
        </w:tabs>
        <w:ind w:left="1134" w:hanging="426"/>
      </w:pPr>
      <w:r>
        <w:t>situace dlužníka se zlepšila do té míry, že pravděpodobně dojde k plnému splacení v souladu s původními nebo případně upravenými podmínkami;</w:t>
      </w:r>
    </w:p>
    <w:p w:rsidR="009569C7" w:rsidRPr="00EC4FA2" w:rsidRDefault="00A834F1" w:rsidP="009569C7">
      <w:pPr>
        <w:pStyle w:val="Text1"/>
        <w:numPr>
          <w:ilvl w:val="1"/>
          <w:numId w:val="41"/>
        </w:numPr>
        <w:tabs>
          <w:tab w:val="left" w:pos="1276"/>
        </w:tabs>
        <w:ind w:left="1134" w:hanging="426"/>
      </w:pPr>
      <w:r>
        <w:t xml:space="preserve">dlužník nemá žádnou částku déle než 90 dnů po splatnosti. </w:t>
      </w:r>
    </w:p>
    <w:p w:rsidR="009569C7" w:rsidRPr="00EC4FA2" w:rsidRDefault="00A834F1" w:rsidP="009569C7">
      <w:pPr>
        <w:pStyle w:val="Baseparagraphnumbered"/>
      </w:pPr>
      <w:r>
        <w:t xml:space="preserve">Expozice zůstane klasifikována jako nevýkonná, </w:t>
      </w:r>
      <w:proofErr w:type="gramStart"/>
      <w:r>
        <w:t>dokud  podmínky</w:t>
      </w:r>
      <w:proofErr w:type="gramEnd"/>
      <w:r>
        <w:t xml:space="preserve"> uvedené v čl. 228 písm. a), b) a c) této části této přílohy nejsou splněny, i když expozice již splnila výstupní kritéria, která vykazující instituce uplatňuje pro klasifikaci znehodnocení a v selhání podle použitelného účetního rámce, respektive článku 178 nařízení o kapitálových požadavcích. </w:t>
      </w:r>
    </w:p>
    <w:p w:rsidR="009569C7" w:rsidRPr="00EC4FA2" w:rsidRDefault="00A834F1" w:rsidP="009569C7">
      <w:pPr>
        <w:pStyle w:val="Baseparagraphnumbered"/>
      </w:pPr>
      <w:r>
        <w:t>Klasifikace nevýkonné expozice jako neoběžného aktiva drženého k prodeji v souladu s IFRS 5 neukončuje její klasifikaci jako nevýkonné expozice.</w:t>
      </w:r>
    </w:p>
    <w:p w:rsidR="009569C7" w:rsidRPr="00EC4FA2" w:rsidRDefault="00A834F1" w:rsidP="009569C7">
      <w:pPr>
        <w:pStyle w:val="Baseparagraphnumbered"/>
        <w:tabs>
          <w:tab w:val="left" w:pos="851"/>
        </w:tabs>
        <w:ind w:left="709"/>
      </w:pPr>
      <w:r>
        <w:t xml:space="preserve"> Poskytnutí opatření týkajících se úlevy pro nevýkonnou expozici neukončí nevýkonný stav této expozice. V případě nevýkonných expozic s opatřeními týkajícími se </w:t>
      </w:r>
      <w:proofErr w:type="gramStart"/>
      <w:r>
        <w:t>úlevy  uvedenými</w:t>
      </w:r>
      <w:proofErr w:type="gramEnd"/>
      <w:r>
        <w:t xml:space="preserve"> v odstavci 262 se má za to, že uvedené expozice již nejsou nevýkonné, jsou-li splněny všechny tyto podmínky:</w:t>
      </w:r>
    </w:p>
    <w:p w:rsidR="009569C7" w:rsidRPr="00EC4FA2" w:rsidRDefault="00A834F1" w:rsidP="009569C7">
      <w:pPr>
        <w:pStyle w:val="Text1"/>
        <w:numPr>
          <w:ilvl w:val="0"/>
          <w:numId w:val="51"/>
        </w:numPr>
        <w:ind w:left="1134"/>
      </w:pPr>
      <w:r>
        <w:lastRenderedPageBreak/>
        <w:t xml:space="preserve">expozice se nepovažují za znehodnocené vykazující institucí nebo za expozice v selhání podle použitelného účetního rámce respektive článku 178 nařízení o kapitálových požadavcích; </w:t>
      </w:r>
    </w:p>
    <w:p w:rsidR="009569C7" w:rsidRPr="00EC4FA2" w:rsidRDefault="00A834F1" w:rsidP="009569C7">
      <w:pPr>
        <w:pStyle w:val="Text1"/>
        <w:numPr>
          <w:ilvl w:val="0"/>
          <w:numId w:val="51"/>
        </w:numPr>
        <w:ind w:left="1134"/>
      </w:pPr>
      <w:r>
        <w:t>uplynul jeden rok mezi okamžikem, kdy byla uplatněna opatření týkající se úlevy, a okamžikem, kdy expozice byly klasifikovány jako nevýkonné;</w:t>
      </w:r>
    </w:p>
    <w:p w:rsidR="009569C7" w:rsidRPr="00EC4FA2" w:rsidRDefault="00A834F1" w:rsidP="009569C7">
      <w:pPr>
        <w:pStyle w:val="Text1"/>
        <w:numPr>
          <w:ilvl w:val="0"/>
          <w:numId w:val="51"/>
        </w:numPr>
        <w:ind w:left="1134"/>
      </w:pPr>
      <w:r>
        <w:t xml:space="preserve">po uplatnění opatření týkajících se úlevy neexistuje žádná částka po splatnosti ani obavy ohledně plného splacení expozice v souladu s podmínkami stanovenými po uplatnění opatření týkajících se úlevy. Neexistence obav se stanoví poté, co instituce provede analýzu finanční situace dlužníka. Lze mít za to, že již neexistují obavy, pokud dlužník prostřednictvím svých pravidelných plateb v souladu s podmínkami stanovenými po uplatnění opatření týkajících se úlevy uhradil celkovou částku rovnající se částce, která byla dříve po splatnosti (pokud existovaly částky po splatnosti), nebo která byla odepsána (pokud neexistovaly částky po splatnosti) na základě opatření týkajících se úlevy, nebo pokud dlužník jinak prokázal svou schopnost dodržet podmínky stanovené po uplatnění opatření týkajících se úlevy. </w:t>
      </w:r>
    </w:p>
    <w:p w:rsidR="009569C7" w:rsidRPr="00EC4FA2" w:rsidRDefault="00A834F1" w:rsidP="009569C7">
      <w:pPr>
        <w:pStyle w:val="Text1"/>
        <w:ind w:left="709" w:firstLine="1"/>
      </w:pPr>
      <w:r>
        <w:t>Specifické výstupní podmínky uvedené v písmenech a), b) a c) se uplatní navíc ke kritériím, která vykazující instituce uplatňují na znehodnocené expozice a expozice v selhání podle použitelného účetního rámce, respektive článku 178 nařízení o kapitálových požadavcích.</w:t>
      </w:r>
    </w:p>
    <w:p w:rsidR="009569C7" w:rsidRPr="00EC4FA2" w:rsidRDefault="00A834F1" w:rsidP="009569C7">
      <w:pPr>
        <w:pStyle w:val="Baseparagraphnumbered"/>
        <w:tabs>
          <w:tab w:val="left" w:pos="851"/>
        </w:tabs>
        <w:ind w:left="709"/>
      </w:pPr>
      <w:r>
        <w:t>Nejsou-li splněny podmínky uvedené v článku 231 této části na konci období jednoho roku uvedeného v písmenu b) tohoto článku, považuje se expozice nadále za nevýkonnou expozici s úlevou, dokud nebudou všechny podmínky splněny. Tyto podmínky se posuzují alespoň jednou za čtvrtletí.</w:t>
      </w:r>
    </w:p>
    <w:p w:rsidR="009569C7" w:rsidRPr="00EC4FA2" w:rsidRDefault="00A834F1" w:rsidP="00152278">
      <w:pPr>
        <w:pStyle w:val="Baseparagraphnumbered"/>
      </w:pPr>
      <w:r>
        <w:t xml:space="preserve">Účetní portfolio podle účetních standardů IFRS uvedených v odstavci 15 části první této přílohy a podle příslušných vnitrostátních GAAP založených na BAD uvedených v odstavci 16 části první této přílohy se vykazují v šabloně 18 takto: </w:t>
      </w:r>
    </w:p>
    <w:p w:rsidR="009569C7" w:rsidRPr="00EC4FA2" w:rsidRDefault="00A834F1" w:rsidP="009569C7">
      <w:pPr>
        <w:pStyle w:val="Baseparagraphnumbered"/>
        <w:numPr>
          <w:ilvl w:val="0"/>
          <w:numId w:val="0"/>
        </w:numPr>
        <w:ind w:left="1134" w:hanging="425"/>
      </w:pPr>
      <w:r>
        <w:t xml:space="preserve">a) „dluhové nástroje v pořizovací ceně nebo v naběhlé hodnotě“ zahrnují dluhové nástroje začleněné do jedné z těchto kategorií: </w:t>
      </w:r>
    </w:p>
    <w:p w:rsidR="009569C7" w:rsidRPr="00EC4FA2" w:rsidRDefault="00A834F1" w:rsidP="009569C7">
      <w:pPr>
        <w:pStyle w:val="Baseparagraphnumbered"/>
        <w:numPr>
          <w:ilvl w:val="0"/>
          <w:numId w:val="0"/>
        </w:numPr>
        <w:ind w:left="1440"/>
      </w:pPr>
      <w:r>
        <w:t>i) „finanční aktiva v naběhlé hodnotě“ (IFRS);</w:t>
      </w:r>
    </w:p>
    <w:p w:rsidR="009569C7" w:rsidRPr="00EC4FA2" w:rsidRDefault="00A834F1" w:rsidP="009569C7">
      <w:pPr>
        <w:pStyle w:val="Baseparagraphnumbered"/>
        <w:numPr>
          <w:ilvl w:val="0"/>
          <w:numId w:val="0"/>
        </w:numPr>
        <w:ind w:left="1440"/>
      </w:pPr>
      <w:proofErr w:type="spellStart"/>
      <w:r>
        <w:t>ii</w:t>
      </w:r>
      <w:proofErr w:type="spellEnd"/>
      <w:r>
        <w:t>) „neobchodní nederivátová finanční aktiva v pořizovací ceně“, včetně dluhových nástrojů oceněných podle méně striktní metody LOCOM (vnitrostátní účetní zásady GAAP založené na BAD);</w:t>
      </w:r>
    </w:p>
    <w:p w:rsidR="009569C7" w:rsidRPr="00EC4FA2" w:rsidRDefault="00A834F1" w:rsidP="009569C7">
      <w:pPr>
        <w:pStyle w:val="Baseparagraphnumbered"/>
        <w:numPr>
          <w:ilvl w:val="0"/>
          <w:numId w:val="0"/>
        </w:numPr>
        <w:ind w:left="1440"/>
      </w:pPr>
      <w:proofErr w:type="spellStart"/>
      <w:r>
        <w:t>iii</w:t>
      </w:r>
      <w:proofErr w:type="spellEnd"/>
      <w:r>
        <w:t xml:space="preserve">) „ostatní neobchodní nederivátová finanční aktiva“ s výjimkou dluhových nástrojů oceněných striktní metodou LOCOM (vnitrostátní účetní zásady GAAP založené na BAD);  </w:t>
      </w:r>
    </w:p>
    <w:p w:rsidR="009569C7" w:rsidRPr="00EC4FA2" w:rsidRDefault="00A834F1" w:rsidP="009569C7">
      <w:pPr>
        <w:pStyle w:val="Baseparagraphnumbered"/>
        <w:numPr>
          <w:ilvl w:val="0"/>
          <w:numId w:val="0"/>
        </w:numPr>
        <w:ind w:left="1134" w:hanging="425"/>
      </w:pPr>
      <w:r>
        <w:t>b) „dluhové nástroje v reálné hodnotě vykazované do ostatního úplného výsledku nebo do vlastního kapitálu a podléhající znehodnocení“ zahrnuje dluhové nástroje začleněné do jedné z těchto kategorií:</w:t>
      </w:r>
    </w:p>
    <w:p w:rsidR="009569C7" w:rsidRPr="00EC4FA2" w:rsidRDefault="00A834F1" w:rsidP="009569C7">
      <w:pPr>
        <w:pStyle w:val="Baseparagraphnumbered"/>
        <w:numPr>
          <w:ilvl w:val="0"/>
          <w:numId w:val="0"/>
        </w:numPr>
        <w:ind w:left="1440"/>
      </w:pPr>
      <w:r>
        <w:lastRenderedPageBreak/>
        <w:t>i) „finanční aktiva v reálné hodnotě prostřednictvím ostatního úplného výsledku“ (IFRS);</w:t>
      </w:r>
    </w:p>
    <w:p w:rsidR="009569C7" w:rsidRPr="00EC4FA2" w:rsidRDefault="00A834F1" w:rsidP="009569C7">
      <w:pPr>
        <w:pStyle w:val="Baseparagraphnumbered"/>
        <w:numPr>
          <w:ilvl w:val="0"/>
          <w:numId w:val="0"/>
        </w:numPr>
        <w:ind w:left="1440"/>
      </w:pPr>
      <w:proofErr w:type="spellStart"/>
      <w:r>
        <w:t>ii</w:t>
      </w:r>
      <w:proofErr w:type="spellEnd"/>
      <w:r>
        <w:t>) „neobchodní nederivátová aktiva oceňovaná reálnou hodnotou do vlastního kapitálu“, pokud nástroje v této kategorii oceňování mohou podléhat znehodnocení v souladu s použitelným účetním rámcem podle vnitrostátních GAAP založených na BAD;</w:t>
      </w:r>
    </w:p>
    <w:p w:rsidR="009569C7" w:rsidRPr="00EC4FA2" w:rsidRDefault="00A834F1" w:rsidP="009569C7">
      <w:pPr>
        <w:pStyle w:val="Baseparagraphnumbered"/>
        <w:numPr>
          <w:ilvl w:val="0"/>
          <w:numId w:val="0"/>
        </w:numPr>
        <w:ind w:left="1134" w:hanging="425"/>
      </w:pPr>
      <w:r>
        <w:t>c) „dluhové nástroje oceněné striktní metodou LOCOM nebo v reálné hodnotě vykazované do zisku nebo ztráty nebo do vlastního kapitálu a nepodléhající znehodnocení“ zahrnuje dluhové nástroje začleněné do jedné z těchto kategorií:</w:t>
      </w:r>
    </w:p>
    <w:p w:rsidR="009569C7" w:rsidRPr="00EC4FA2" w:rsidRDefault="00A834F1" w:rsidP="009569C7">
      <w:pPr>
        <w:pStyle w:val="Baseparagraphnumbered"/>
        <w:numPr>
          <w:ilvl w:val="0"/>
          <w:numId w:val="0"/>
        </w:numPr>
        <w:ind w:left="1418"/>
      </w:pPr>
      <w:r>
        <w:t>i) „neobchodní finanční aktiva povinně oceňovaná v reálné hodnotě vykázané do zisku nebo ztráty“ (IFRS);</w:t>
      </w:r>
    </w:p>
    <w:p w:rsidR="009569C7" w:rsidRPr="00EC4FA2" w:rsidRDefault="00A834F1" w:rsidP="009569C7">
      <w:pPr>
        <w:pStyle w:val="Baseparagraphnumbered"/>
        <w:numPr>
          <w:ilvl w:val="0"/>
          <w:numId w:val="0"/>
        </w:numPr>
        <w:ind w:left="1418"/>
      </w:pPr>
      <w:proofErr w:type="spellStart"/>
      <w:r>
        <w:t>ii</w:t>
      </w:r>
      <w:proofErr w:type="spellEnd"/>
      <w:r>
        <w:t>) „finanční aktiva určená za oceněná reálnou hodnotou do zisku nebo ztráty“ (IFRS);</w:t>
      </w:r>
    </w:p>
    <w:p w:rsidR="009569C7" w:rsidRPr="00EC4FA2" w:rsidRDefault="00A834F1" w:rsidP="009569C7">
      <w:pPr>
        <w:pStyle w:val="Baseparagraphnumbered"/>
        <w:numPr>
          <w:ilvl w:val="0"/>
          <w:numId w:val="0"/>
        </w:numPr>
        <w:ind w:left="1418"/>
      </w:pPr>
      <w:proofErr w:type="spellStart"/>
      <w:r>
        <w:t>Iii</w:t>
      </w:r>
      <w:proofErr w:type="spellEnd"/>
      <w:r>
        <w:t>) „neobchodní nederivátová finanční aktiva v reálné hodnotě vykázané do zisku nebo ztráty“ (vnitrostátní GAAP založené na BAD);</w:t>
      </w:r>
    </w:p>
    <w:p w:rsidR="009569C7" w:rsidRPr="00EC4FA2" w:rsidRDefault="00A834F1" w:rsidP="009569C7">
      <w:pPr>
        <w:pStyle w:val="Baseparagraphnumbered"/>
        <w:numPr>
          <w:ilvl w:val="0"/>
          <w:numId w:val="0"/>
        </w:numPr>
        <w:ind w:left="1418"/>
      </w:pPr>
      <w:proofErr w:type="spellStart"/>
      <w:r>
        <w:t>iv</w:t>
      </w:r>
      <w:proofErr w:type="spellEnd"/>
      <w:r>
        <w:t>) „ostatní neobchodní nederivátová finanční aktiva“, pokud se dluhové nástroje oceňují podle striktní metody LOCOM  (vnitrostátní GAAP založené na BAD);</w:t>
      </w:r>
    </w:p>
    <w:p w:rsidR="009569C7" w:rsidRPr="00EC4FA2" w:rsidRDefault="00A834F1" w:rsidP="009569C7">
      <w:pPr>
        <w:pStyle w:val="Baseparagraphnumbered"/>
        <w:numPr>
          <w:ilvl w:val="0"/>
          <w:numId w:val="0"/>
        </w:numPr>
        <w:ind w:left="1418"/>
      </w:pPr>
      <w:r>
        <w:t>v) „neobchodní nederivátová finanční aktiva v reálné hodnotě vykazované do vlastního kapitálu“, pokud dluhové nástroje v této kategorii oceňování nepodléhají znehodnocení v souladu s použitelným účetním rámcem podle zásad GAAP založených na BAD.</w:t>
      </w:r>
    </w:p>
    <w:p w:rsidR="009569C7" w:rsidRPr="00EC4FA2" w:rsidRDefault="00A834F1" w:rsidP="009569C7">
      <w:pPr>
        <w:pStyle w:val="Baseparagraphnumbered"/>
      </w:pPr>
      <w:r>
        <w:t>Stanovují-li IFRS nebo příslušné vnitrostátní GAAP založené na BAD určení příslibů za oceněné v reálné hodnotě do zisku a ztráty, účetní hodnota každého aktiva vyplývající z tohoto určení a ocenění v reálné hodnotě se vykáže v položce „finanční aktiva určená reálnou hodnotou do zisku nebo ztráty“ (IFRS) nebo v položce „neobchodní nederivátová finanční aktiva oceněná reálnou hodnotou do zisku nebo ztráty“ (vnitrostátní GAAP založené na BAD). Účetní hodnota každého závazku vyplývající z tohoto určení se v šabloně 18 nevykazuje. Pomyslná hodnota všech příslibů určených za oceněné reálnou hodnotou do zisku nebo ztráty se vykazuje v šabloně 9.</w:t>
      </w:r>
    </w:p>
    <w:p w:rsidR="009569C7" w:rsidRPr="00EC4FA2" w:rsidRDefault="00A834F1" w:rsidP="009569C7">
      <w:pPr>
        <w:pStyle w:val="Baseparagraphnumbered"/>
        <w:tabs>
          <w:tab w:val="left" w:pos="851"/>
        </w:tabs>
        <w:ind w:left="709"/>
      </w:pPr>
      <w:r>
        <w:t xml:space="preserve">Expozice po splatnosti se vykazují zvlášť v rámci kategorií výkonných a nevýkonných expozic v celé výši, jak je to stanoveno v odstavci 96 této části. Expozice po splatnosti déle než 90 dní, které však nejsou významné v souladu s článkem 178 nařízení o kapitálových požadavcích, se vykazují v rámci výkonných expozic v položce „po splatnosti &gt; 30 dní &lt;= 90 dní“. </w:t>
      </w:r>
    </w:p>
    <w:p w:rsidR="009569C7" w:rsidRPr="00EC4FA2" w:rsidRDefault="00A834F1" w:rsidP="009569C7">
      <w:pPr>
        <w:pStyle w:val="Baseparagraphnumbered"/>
        <w:tabs>
          <w:tab w:val="left" w:pos="851"/>
        </w:tabs>
        <w:ind w:left="709"/>
      </w:pPr>
      <w:r>
        <w:t xml:space="preserve">Nevýkonné expozice se vykazují v rozčlenění podle jednotlivých období po splatnosti. Expozice, které nejsou po splatnosti, nebo jsou po splatnosti nejvýše 90 dnů, jsou však nicméně vzhledem k pravděpodobnosti nesplacení plné částky označeny za nevýkonné, se vykáží ve zvláštním sloupci. Expozice, </w:t>
      </w:r>
      <w:r>
        <w:lastRenderedPageBreak/>
        <w:t xml:space="preserve">které mají jak částky po splatnosti, tak i pravděpodobnost nesplacení plné částky, se rozdělí do jednotlivých období po splatnosti podle počtu dnů, který od splatnosti uplynul. </w:t>
      </w:r>
    </w:p>
    <w:p w:rsidR="009569C7" w:rsidRPr="00EC4FA2" w:rsidRDefault="00A834F1" w:rsidP="009569C7">
      <w:pPr>
        <w:pStyle w:val="Baseparagraphnumbered"/>
        <w:tabs>
          <w:tab w:val="left" w:pos="851"/>
        </w:tabs>
        <w:ind w:left="709"/>
      </w:pPr>
      <w:r>
        <w:t>Následující expozice se vykáží ve zvláštních sloupcích:</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expozice, které se považují za znehodnocené v souladu s použitelným účetním rámcem; v tomto sloupci se podle IFRS vykazuje hodnota úvěrově znehodnocených aktiv (stupeň 3), včetně nakoupených nebo vzniklých úvěrově znehodnocených aktiv;</w:t>
      </w:r>
    </w:p>
    <w:p w:rsidR="009569C7" w:rsidRPr="00EC4FA2" w:rsidRDefault="00A834F1" w:rsidP="009569C7">
      <w:pPr>
        <w:pStyle w:val="Text1"/>
        <w:numPr>
          <w:ilvl w:val="0"/>
          <w:numId w:val="44"/>
        </w:numPr>
        <w:ind w:left="1134"/>
      </w:pPr>
      <w:r>
        <w:t xml:space="preserve">expozice, u nichž se má za to, že došlo k selhání podle článku 178 nařízení o kapitálových požadavcích. </w:t>
      </w:r>
    </w:p>
    <w:p w:rsidR="009569C7" w:rsidRPr="00EC4FA2" w:rsidRDefault="00A834F1" w:rsidP="009569C7">
      <w:pPr>
        <w:pStyle w:val="Baseparagraphnumbered"/>
        <w:tabs>
          <w:tab w:val="left" w:pos="851"/>
        </w:tabs>
        <w:ind w:left="709"/>
      </w:pPr>
      <w:r>
        <w:t xml:space="preserve">Údaje o „kumulované ztrátě ze znehodnocení a kumulovaných záporných změnách reálné hodnoty z titulu úvěrového rizika a rezerv“ se vykazují v souladu s odstavci 11, 69 až 71, 106 a110 této části. </w:t>
      </w:r>
    </w:p>
    <w:p w:rsidR="009569C7" w:rsidRPr="00EC4FA2" w:rsidRDefault="00A834F1" w:rsidP="009569C7">
      <w:pPr>
        <w:pStyle w:val="Baseparagraphnumbered"/>
        <w:tabs>
          <w:tab w:val="left" w:pos="851"/>
        </w:tabs>
        <w:ind w:left="709"/>
      </w:pPr>
      <w:r>
        <w:t xml:space="preserve">Informace o kolaterálu v držení a o zárukách přijatých k nevýkonným expozicím se vykazují odděleně. Částky vykázané pro přijatý kolaterál a přijaté záruky se vypočítají v souladu s odstavci 172 a 174 této části. Součet částek vykázaných pro kolaterál a záruky je  </w:t>
      </w:r>
      <w:proofErr w:type="spellStart"/>
      <w:r>
        <w:t>zastropován</w:t>
      </w:r>
      <w:proofErr w:type="spellEnd"/>
      <w:r>
        <w:t xml:space="preserve"> na účetní hodnotě nebo nominální hodnotě související expozice.</w:t>
      </w:r>
    </w:p>
    <w:p w:rsidR="009569C7" w:rsidRPr="00EC4FA2" w:rsidRDefault="00A834F1" w:rsidP="009569C7">
      <w:pPr>
        <w:pStyle w:val="subtitlenumbered"/>
        <w:jc w:val="both"/>
      </w:pPr>
      <w:bookmarkStart w:id="250" w:name="_Toc467855247"/>
      <w:bookmarkStart w:id="251" w:name="_Toc485708583"/>
      <w:r>
        <w:t>Expozice s úlevou (19)</w:t>
      </w:r>
      <w:bookmarkEnd w:id="250"/>
      <w:bookmarkEnd w:id="251"/>
    </w:p>
    <w:p w:rsidR="009569C7" w:rsidRPr="00EC4FA2" w:rsidRDefault="00A834F1" w:rsidP="009569C7">
      <w:pPr>
        <w:pStyle w:val="Baseparagraphnumbered"/>
        <w:tabs>
          <w:tab w:val="left" w:pos="851"/>
        </w:tabs>
        <w:ind w:left="709"/>
      </w:pPr>
      <w:r>
        <w:t xml:space="preserve"> Pro účely šablony 19 jsou expozice s úlevou dluhovými smlouvami, na něž byla uplatněna opatření týkající se úlevy. Opatření týkající se úlevy spočívají ve shovívavosti vůči dlužníkovi, který má, nebo v nejbližší době bude mít obtíže při plnění svých finančních závazků („finanční obtíže“).</w:t>
      </w:r>
    </w:p>
    <w:p w:rsidR="009569C7" w:rsidRPr="00EC4FA2" w:rsidRDefault="00A834F1" w:rsidP="009569C7">
      <w:pPr>
        <w:pStyle w:val="Baseparagraphnumbered"/>
        <w:tabs>
          <w:tab w:val="left" w:pos="851"/>
        </w:tabs>
        <w:ind w:left="709"/>
      </w:pPr>
      <w:r>
        <w:t xml:space="preserve"> Pro účely šablony 19 může úleva způsobit věřiteli ztrátu a vztahuje se na některé z těchto opatření:  </w:t>
      </w:r>
    </w:p>
    <w:p w:rsidR="009569C7" w:rsidRPr="00EC4FA2" w:rsidRDefault="00A834F1" w:rsidP="009569C7">
      <w:pPr>
        <w:pStyle w:val="Text1"/>
        <w:numPr>
          <w:ilvl w:val="1"/>
          <w:numId w:val="42"/>
        </w:numPr>
        <w:ind w:left="1134"/>
      </w:pPr>
      <w:r>
        <w:t>úprava předchozích podmínek smlouvy, které dlužník zřejmě není schopen dodržet vzhledem ke svým finančním obtížím („obtížný dluh“), a které mají za následek nedostatečnou schopnost dluhové služby, přičemž tato úprava by nebyla umožněna, kdyby dlužník neměl finanční obtíže;</w:t>
      </w:r>
    </w:p>
    <w:p w:rsidR="009569C7" w:rsidRPr="00EC4FA2" w:rsidRDefault="00A834F1" w:rsidP="009569C7">
      <w:pPr>
        <w:pStyle w:val="Text1"/>
        <w:numPr>
          <w:ilvl w:val="1"/>
          <w:numId w:val="42"/>
        </w:numPr>
        <w:ind w:left="1134"/>
      </w:pPr>
      <w:r>
        <w:t>celkové nebo částečné refinancování smlouvy s obtížným dluhem, které by nebylo umožněno, kdyby dlužník neměl finanční obtíže.</w:t>
      </w:r>
    </w:p>
    <w:p w:rsidR="009569C7" w:rsidRPr="00EC4FA2" w:rsidRDefault="00A834F1" w:rsidP="009569C7">
      <w:pPr>
        <w:pStyle w:val="Baseparagraphnumbered"/>
        <w:tabs>
          <w:tab w:val="left" w:pos="851"/>
        </w:tabs>
        <w:ind w:left="709"/>
      </w:pPr>
      <w:r>
        <w:t xml:space="preserve"> Důkaz o úlevě zahrnuje nejméně:</w:t>
      </w:r>
    </w:p>
    <w:p w:rsidR="009569C7" w:rsidRPr="00EC4FA2" w:rsidRDefault="00A834F1" w:rsidP="009569C7">
      <w:pPr>
        <w:pStyle w:val="Text1"/>
        <w:numPr>
          <w:ilvl w:val="0"/>
          <w:numId w:val="43"/>
        </w:numPr>
        <w:ind w:left="1134"/>
      </w:pPr>
      <w:r>
        <w:t>rozdíl mezi upravenými a předchozími podmínkami smlouvy ve prospěch dlužníka;</w:t>
      </w:r>
    </w:p>
    <w:p w:rsidR="009569C7" w:rsidRPr="00EC4FA2" w:rsidRDefault="00A834F1" w:rsidP="009569C7">
      <w:pPr>
        <w:pStyle w:val="Text1"/>
        <w:numPr>
          <w:ilvl w:val="0"/>
          <w:numId w:val="43"/>
        </w:numPr>
        <w:ind w:left="1134"/>
      </w:pPr>
      <w:r>
        <w:t xml:space="preserve">začlenění příznivějších podmínek do pozměněné smlouvy, než které od stejné instituce mohli v dané době získat jiní dlužníci s podobným rizikovým profilem. </w:t>
      </w:r>
    </w:p>
    <w:p w:rsidR="009569C7" w:rsidRPr="00EC4FA2" w:rsidRDefault="00A834F1" w:rsidP="009569C7">
      <w:pPr>
        <w:pStyle w:val="Baseparagraphnumbered"/>
        <w:tabs>
          <w:tab w:val="left" w:pos="851"/>
        </w:tabs>
        <w:ind w:left="709"/>
      </w:pPr>
      <w:r>
        <w:t xml:space="preserve"> Uplatnění ustanovení, která, jsou-li použita na základě uvážení dlužníka, umožňují dlužníkovi změnit podmínky smlouvy („začleněná ustanovení o </w:t>
      </w:r>
      <w:r>
        <w:lastRenderedPageBreak/>
        <w:t xml:space="preserve">úlevě“), se považuje za shovívavost, pokud instituce uplatnění uvedených ustanovení schválí a dojde k závěru, že dlužník má finanční obtíže. </w:t>
      </w:r>
    </w:p>
    <w:p w:rsidR="009569C7" w:rsidRPr="00EC4FA2" w:rsidRDefault="00A834F1" w:rsidP="00152278">
      <w:pPr>
        <w:pStyle w:val="Baseparagraphnumbered"/>
      </w:pPr>
      <w:r>
        <w:t xml:space="preserve">Pro účely příloh III a IV a rovněž této přílohy se „refinancováním“ rozumí využití dluhových smluv k zajištění plného nebo částečného splacení jiných dluhových smluv, jejichž současné podmínky není dlužník schopen dodržet. </w:t>
      </w:r>
    </w:p>
    <w:p w:rsidR="009569C7" w:rsidRPr="00EC4FA2" w:rsidRDefault="00A834F1" w:rsidP="009569C7">
      <w:pPr>
        <w:pStyle w:val="Baseparagraphnumbered"/>
        <w:tabs>
          <w:tab w:val="left" w:pos="851"/>
        </w:tabs>
        <w:ind w:left="709"/>
      </w:pPr>
      <w:r>
        <w:t xml:space="preserve">Pro účely šablony 19 zahrnuje pojem „dlužník“ všechny právnické osoby ve skupině dlužníka, které spadají do účetního rozsahu konsolidace, a fyzické osoby, které ovládají tuto skupinu. </w:t>
      </w:r>
    </w:p>
    <w:p w:rsidR="009569C7" w:rsidRPr="00EC4FA2" w:rsidRDefault="00A834F1" w:rsidP="009569C7">
      <w:pPr>
        <w:pStyle w:val="Baseparagraphnumbered"/>
      </w:pPr>
      <w:r>
        <w:t xml:space="preserve">Pro účely šablony 19 zahrnuje pojem „dluh“ úvěry a jiné pohledávky (které zahrnují také hotovost u centrálních bank a ostatní vklady na požádání), dluhové cenné papíry a odvolatelné i neodvolatelné poskytnuté úvěrové přísliby, včetně úvěrových příslibů určených za oceněné reálnou hodnotou do zisku nebo ztráty, které jsou k datu vykazování aktivy.  „Dluh“ nezahrnuje expozice držené k obchodování. </w:t>
      </w:r>
    </w:p>
    <w:p w:rsidR="009569C7" w:rsidRPr="00EC4FA2" w:rsidRDefault="00A834F1" w:rsidP="009569C7">
      <w:pPr>
        <w:pStyle w:val="Baseparagraphnumbered"/>
      </w:pPr>
      <w:r>
        <w:t>„Dluh“ zahrnuje také úvěry a ostatní pohledávky a dluhové cenné papíry klasifikované jako neoběžná aktiva a vyřazované skupiny určené k prodeji v souladu s IFRS 5.</w:t>
      </w:r>
    </w:p>
    <w:p w:rsidR="009569C7" w:rsidRPr="00EC4FA2" w:rsidRDefault="00A834F1" w:rsidP="009569C7">
      <w:pPr>
        <w:pStyle w:val="Baseparagraphnumbered"/>
        <w:tabs>
          <w:tab w:val="left" w:pos="851"/>
        </w:tabs>
        <w:ind w:left="709"/>
      </w:pPr>
      <w:r>
        <w:t xml:space="preserve"> Pro účely šablony 19 má pojem „expozice“ stejný význam jako pojem „dluh“ v odstavci 247 této části. </w:t>
      </w:r>
    </w:p>
    <w:p w:rsidR="009569C7" w:rsidRPr="00EC4FA2" w:rsidRDefault="00A834F1" w:rsidP="00152278">
      <w:pPr>
        <w:pStyle w:val="Baseparagraphnumbered"/>
      </w:pPr>
      <w:r>
        <w:t xml:space="preserve">Účetní portfolia podle účetních standardů IFRS uvedených v odstavci 15 části první této přílohy a podle příslušných vnitrostátních GAAP založených na BAD uvedených v odstavci 16 části první této přílohy se vykazují v šabloně 19 podle ustanovení odstavce 233 této části. </w:t>
      </w:r>
    </w:p>
    <w:p w:rsidR="009569C7" w:rsidRPr="00EC4FA2" w:rsidRDefault="00A834F1" w:rsidP="009569C7">
      <w:pPr>
        <w:pStyle w:val="Baseparagraphnumbered"/>
        <w:tabs>
          <w:tab w:val="left" w:pos="851"/>
        </w:tabs>
        <w:ind w:left="709"/>
      </w:pPr>
      <w:r>
        <w:t>Pro účely šablony 19 se „institucí“ rozumí instituce, která uplatnila opatření týkající se úlevy.</w:t>
      </w:r>
    </w:p>
    <w:p w:rsidR="009569C7" w:rsidRPr="00EC4FA2" w:rsidRDefault="00A834F1" w:rsidP="009569C7">
      <w:pPr>
        <w:pStyle w:val="Baseparagraphnumbered"/>
        <w:tabs>
          <w:tab w:val="left" w:pos="851"/>
        </w:tabs>
        <w:ind w:left="709"/>
      </w:pPr>
      <w:r>
        <w:t>V šabloně 19 se u „dluhu“ vykáže „hrubá účetní hodnota“ ve smyslu odstavce 34 části první této přílohy. U poskytnutých úvěrových příslibů, které jsou podrozvahovými expozicemi, se vykáže nominální hodnota ve smyslu odstavce 118 této části této přílohy.</w:t>
      </w:r>
    </w:p>
    <w:p w:rsidR="009569C7" w:rsidRPr="00EC4FA2" w:rsidRDefault="00A834F1" w:rsidP="009569C7">
      <w:pPr>
        <w:pStyle w:val="Baseparagraphnumbered"/>
      </w:pPr>
      <w:r>
        <w:t>Expozice se považují za expozice s úlevou, byla-li uplatněna shovívavost, a to bez ohledu na to, zda je jakákoli částka po splatnosti, nebo na klasifikaci expozic jako znehodnocené podle použitelného účetního rámce nebo jako expozice v selhání podle článku 178 nařízení o kapitálových požadavcích. Expozice se nepovažují za expozice s úlevou, pokud dlužník nemá finanční obtíže. Podle IFRS se modifikovaná finanční aktiva [odstavec 5.4.3 a dodatek A IFRS 9] považují za expozice s úlevou, pokud shovívavost vymezená v odstavcích 240 a 241 této části této přílohy byla uplatněna, a to bez ohledu na dopad modifikace na změnu úvěrového rizika finančního aktiva od počátečního zaúčtování. Za opatření týkající se úlevy se považují následující opatření:</w:t>
      </w:r>
    </w:p>
    <w:p w:rsidR="009569C7" w:rsidRPr="00EC4FA2" w:rsidRDefault="00A834F1" w:rsidP="009569C7">
      <w:pPr>
        <w:pStyle w:val="Text1"/>
        <w:numPr>
          <w:ilvl w:val="1"/>
          <w:numId w:val="45"/>
        </w:numPr>
        <w:ind w:left="1134" w:hanging="425"/>
      </w:pPr>
      <w:r>
        <w:lastRenderedPageBreak/>
        <w:t>modifikovaná smlouva, jež byla před modifikací klasifikována jako nevýkonná, nebo by za absence modifikace byla klasifikována jako nevýkonná;</w:t>
      </w:r>
    </w:p>
    <w:p w:rsidR="009569C7" w:rsidRPr="00EC4FA2" w:rsidRDefault="00A834F1" w:rsidP="009569C7">
      <w:pPr>
        <w:pStyle w:val="Text1"/>
        <w:numPr>
          <w:ilvl w:val="1"/>
          <w:numId w:val="45"/>
        </w:numPr>
        <w:ind w:left="1134" w:hanging="425"/>
      </w:pPr>
      <w:r>
        <w:t>provedená modifikace smlouvy zahrnuje úplné nebo částečné zrušení dluhu prostřednictvím odpisů;</w:t>
      </w:r>
    </w:p>
    <w:p w:rsidR="009569C7" w:rsidRPr="00EC4FA2" w:rsidRDefault="00A834F1" w:rsidP="009569C7">
      <w:pPr>
        <w:pStyle w:val="Text1"/>
        <w:numPr>
          <w:ilvl w:val="1"/>
          <w:numId w:val="45"/>
        </w:numPr>
        <w:ind w:left="1134" w:hanging="425"/>
      </w:pPr>
      <w:r>
        <w:t>instituce schvaluje použití začleněných ustanovení o úlevě dlužníkovi, jenž je nevýkonný, nebo by bez použití uvedených ustanovení byl považován za nevýkonného;</w:t>
      </w:r>
    </w:p>
    <w:p w:rsidR="009569C7" w:rsidRPr="00EC4FA2" w:rsidRDefault="00A834F1" w:rsidP="009569C7">
      <w:pPr>
        <w:pStyle w:val="Text1"/>
        <w:numPr>
          <w:ilvl w:val="1"/>
          <w:numId w:val="45"/>
        </w:numPr>
        <w:ind w:left="1134" w:hanging="425"/>
      </w:pPr>
      <w:r>
        <w:t>současně s tím, kdy instituce povolila další dluh, nebo časově blízko k tomuto okamžiku, provedl dlužník platby jistiny nebo úroků z jiné smlouvy s touto institucí, přičemž tato smlouva byla nevýkonná, nebo by za absence refinancování byla klasifikována jako nevýkonná.</w:t>
      </w:r>
    </w:p>
    <w:p w:rsidR="009569C7" w:rsidRPr="00EC4FA2" w:rsidRDefault="00A834F1" w:rsidP="009569C7">
      <w:pPr>
        <w:pStyle w:val="Baseparagraphnumbered"/>
        <w:tabs>
          <w:tab w:val="left" w:pos="851"/>
        </w:tabs>
        <w:ind w:left="709"/>
      </w:pPr>
      <w:r>
        <w:t>Modifikace zahrnující splátky provedené převzetím kolaterálu do vlastnictví se považuje za opatření týkající se úlevy, pokud tato modifikace představuje shovívavost.</w:t>
      </w:r>
    </w:p>
    <w:p w:rsidR="009569C7" w:rsidRPr="00EC4FA2" w:rsidRDefault="00A834F1" w:rsidP="009569C7">
      <w:pPr>
        <w:pStyle w:val="Baseparagraphnumbered"/>
        <w:tabs>
          <w:tab w:val="left" w:pos="851"/>
        </w:tabs>
        <w:ind w:left="709"/>
      </w:pPr>
      <w:r>
        <w:t>Za následujících okolností existuje vyvratitelná domněnka, že došlo k úlevě:</w:t>
      </w:r>
    </w:p>
    <w:p w:rsidR="009569C7" w:rsidRPr="00EC4FA2" w:rsidRDefault="00A834F1" w:rsidP="009569C7">
      <w:pPr>
        <w:pStyle w:val="Text1"/>
        <w:numPr>
          <w:ilvl w:val="0"/>
          <w:numId w:val="47"/>
        </w:numPr>
        <w:ind w:left="1134" w:hanging="425"/>
      </w:pPr>
      <w:r>
        <w:t xml:space="preserve">modifikovaná smlouva byla nejméně jednou v průběhu tří měsíců před modifikací déle než 30 dnů zcela nebo částečně po splatnosti (aniž by byla nevýkonná), nebo by byla déle než 30 dnů zcela nebo částečně po splatnosti, pokud by k modifikaci nedošlo; </w:t>
      </w:r>
    </w:p>
    <w:p w:rsidR="009569C7" w:rsidRPr="00EC4FA2" w:rsidRDefault="00A834F1" w:rsidP="009569C7">
      <w:pPr>
        <w:pStyle w:val="Text1"/>
        <w:numPr>
          <w:ilvl w:val="0"/>
          <w:numId w:val="47"/>
        </w:numPr>
        <w:ind w:left="1134" w:hanging="425"/>
      </w:pPr>
      <w:r>
        <w:t>současně s tím, kdy instituce povolila další dluh, nebo časově blízko k tomuto okamžiku, provedl dlužník platby jistiny nebo úroků z jiné smlouvy s touto institucí, přičemž tato smlouva byla nejméně jednou v průběhu tří měsíců před jejím refinancováním 30 dnů zcela nebo částečně po splatnosti;</w:t>
      </w:r>
    </w:p>
    <w:p w:rsidR="009569C7" w:rsidRPr="00EC4FA2" w:rsidRDefault="00A834F1" w:rsidP="009569C7">
      <w:pPr>
        <w:pStyle w:val="Text1"/>
        <w:numPr>
          <w:ilvl w:val="0"/>
          <w:numId w:val="47"/>
        </w:numPr>
        <w:ind w:left="1134" w:hanging="425"/>
      </w:pPr>
      <w:r>
        <w:t>instituce schvaluje použití začleněných ustanovení o úlevě dlužníkům, kteří jsou 30 dnů v prodlení, nebo by bez použití uvedených ustanovení byli 30 dnů v prodlení.</w:t>
      </w:r>
    </w:p>
    <w:p w:rsidR="009569C7" w:rsidRPr="00EC4FA2" w:rsidRDefault="00A834F1" w:rsidP="009569C7">
      <w:pPr>
        <w:pStyle w:val="Baseparagraphnumbered"/>
        <w:tabs>
          <w:tab w:val="left" w:pos="851"/>
        </w:tabs>
        <w:ind w:left="709"/>
      </w:pPr>
      <w:r>
        <w:t>Finanční obtíže se posuzují na úrovni dlužníka, jak je uvedeno v odstavci 245. Za expozice s úlevou se považují pouze expozice, na něž byla uplatněna opatření týkající se úlevy.</w:t>
      </w:r>
    </w:p>
    <w:p w:rsidR="009569C7" w:rsidRPr="00EC4FA2" w:rsidRDefault="00A834F1" w:rsidP="009569C7">
      <w:pPr>
        <w:pStyle w:val="Baseparagraphnumbered"/>
        <w:tabs>
          <w:tab w:val="left" w:pos="851"/>
        </w:tabs>
        <w:ind w:left="709"/>
      </w:pPr>
      <w:r>
        <w:t>Expozice s úlevou se zahrnují do kategorie nevýkonných expozic nebo do kategorie výkonných expozic v souladu s odstavci 213 až 224 a 260 této části. Klasifikace expozice jako expozic s úlevou se zruší, jsou-li splněny všechny tyto podmínky:</w:t>
      </w:r>
    </w:p>
    <w:p w:rsidR="009569C7" w:rsidRPr="00EC4FA2" w:rsidRDefault="00A834F1" w:rsidP="009569C7">
      <w:pPr>
        <w:pStyle w:val="Text1"/>
        <w:numPr>
          <w:ilvl w:val="0"/>
          <w:numId w:val="46"/>
        </w:numPr>
        <w:ind w:left="1134" w:hanging="425"/>
      </w:pPr>
      <w:r>
        <w:t xml:space="preserve">expozice s úlevou je považována za výkonnou, včetně případů, kdy byla </w:t>
      </w:r>
      <w:proofErr w:type="spellStart"/>
      <w:r>
        <w:t>reklasifikována</w:t>
      </w:r>
      <w:proofErr w:type="spellEnd"/>
      <w:r>
        <w:t xml:space="preserve"> z kategorie nevýkonných expozic poté, co analýza finanční situace dlužníka ukázala, že již nejsou splněny podmínky pro to, aby expozice byla považována za nevýkonnou;</w:t>
      </w:r>
    </w:p>
    <w:p w:rsidR="009569C7" w:rsidRPr="00EC4FA2" w:rsidRDefault="00A834F1" w:rsidP="009569C7">
      <w:pPr>
        <w:pStyle w:val="Text1"/>
        <w:numPr>
          <w:ilvl w:val="0"/>
          <w:numId w:val="46"/>
        </w:numPr>
        <w:ind w:left="1134" w:hanging="425"/>
      </w:pPr>
      <w:r>
        <w:t>od data, kdy byla expozice s úlevou označena za výkonnou, uplynula doba nejméně dvou let („zkušební doba“);</w:t>
      </w:r>
    </w:p>
    <w:p w:rsidR="009569C7" w:rsidRPr="00EC4FA2" w:rsidRDefault="00A834F1" w:rsidP="009569C7">
      <w:pPr>
        <w:pStyle w:val="Text1"/>
        <w:numPr>
          <w:ilvl w:val="0"/>
          <w:numId w:val="46"/>
        </w:numPr>
        <w:ind w:left="1134" w:hanging="425"/>
      </w:pPr>
      <w:r>
        <w:lastRenderedPageBreak/>
        <w:t xml:space="preserve">v průběhu nejméně poloviny zkušební doby byly prováděny pravidelné platby větší než nevýznamné celkové částky jistiny nebo úroků; </w:t>
      </w:r>
    </w:p>
    <w:p w:rsidR="009569C7" w:rsidRPr="00EC4FA2" w:rsidRDefault="00A834F1" w:rsidP="009569C7">
      <w:pPr>
        <w:pStyle w:val="Text1"/>
        <w:numPr>
          <w:ilvl w:val="0"/>
          <w:numId w:val="46"/>
        </w:numPr>
        <w:ind w:left="1134" w:hanging="425"/>
      </w:pPr>
      <w:r>
        <w:t xml:space="preserve">na konci zkušební doby není žádná z expozic vůči dlužníkovi déle než 30 dnů po splatnosti. </w:t>
      </w:r>
    </w:p>
    <w:p w:rsidR="009569C7" w:rsidRPr="00EC4FA2" w:rsidRDefault="00A834F1" w:rsidP="009569C7">
      <w:pPr>
        <w:pStyle w:val="Baseparagraphnumbered"/>
        <w:tabs>
          <w:tab w:val="left" w:pos="851"/>
        </w:tabs>
        <w:ind w:left="709"/>
      </w:pPr>
      <w:r>
        <w:t xml:space="preserve">Nejsou-li podmínky uvedené v odstavci 256 na konci zkušební doby splněny, považuje se expozice nadále za výkonnou expozici s úlevou ve zkušební době, dokud nebudou všechny podmínky splněny. Tyto podmínky se posuzují alespoň jednou za čtvrtletí. </w:t>
      </w:r>
    </w:p>
    <w:p w:rsidR="009569C7" w:rsidRPr="00EC4FA2" w:rsidRDefault="00A834F1" w:rsidP="009569C7">
      <w:pPr>
        <w:pStyle w:val="Baseparagraphnumbered"/>
        <w:tabs>
          <w:tab w:val="left" w:pos="851"/>
        </w:tabs>
        <w:ind w:left="709"/>
      </w:pPr>
      <w:r>
        <w:t>Expozice s úlevou klasifikované jako neoběžná aktiva k prodeji v souladu s IFRS 5 se i nadále klasifikují jako expozice s úlevou.</w:t>
      </w:r>
    </w:p>
    <w:p w:rsidR="009569C7" w:rsidRPr="00EC4FA2" w:rsidRDefault="00A834F1" w:rsidP="009569C7">
      <w:pPr>
        <w:pStyle w:val="Baseparagraphnumbered"/>
        <w:tabs>
          <w:tab w:val="left" w:pos="851"/>
        </w:tabs>
        <w:ind w:left="709"/>
      </w:pPr>
      <w:r>
        <w:t>Expozice s úlevou může být považována za výkonnou ode dne, kdy byla uplatněna opatření týkající se úlevy, pokud jsou splněny obě tyto podmínky:</w:t>
      </w:r>
    </w:p>
    <w:p w:rsidR="009569C7" w:rsidRPr="00EC4FA2" w:rsidRDefault="00A834F1" w:rsidP="009569C7">
      <w:pPr>
        <w:pStyle w:val="Text1"/>
        <w:numPr>
          <w:ilvl w:val="0"/>
          <w:numId w:val="48"/>
        </w:numPr>
        <w:ind w:left="1134" w:hanging="425"/>
      </w:pPr>
      <w:r>
        <w:t>uvedené uplatnění nemělo za následek klasifikaci expozice jako nevýkonné;</w:t>
      </w:r>
    </w:p>
    <w:p w:rsidR="009569C7" w:rsidRPr="00EC4FA2" w:rsidRDefault="00A834F1" w:rsidP="009569C7">
      <w:pPr>
        <w:pStyle w:val="Text1"/>
        <w:numPr>
          <w:ilvl w:val="0"/>
          <w:numId w:val="48"/>
        </w:numPr>
        <w:ind w:left="1134" w:hanging="425"/>
      </w:pPr>
      <w:r>
        <w:t xml:space="preserve">ke dni, kdy byla opatření týkající se úlevy uplatněna, nebyla expozice považována za nevýkonnou. </w:t>
      </w:r>
    </w:p>
    <w:p w:rsidR="009569C7" w:rsidRPr="00EC4FA2" w:rsidRDefault="00A834F1" w:rsidP="009569C7">
      <w:pPr>
        <w:pStyle w:val="Baseparagraphnumbered"/>
        <w:tabs>
          <w:tab w:val="left" w:pos="851"/>
        </w:tabs>
        <w:ind w:left="709"/>
      </w:pPr>
      <w:r>
        <w:t xml:space="preserve">Jsou-li na výkonnou expozici s úlevou ve zkušební době, která byla </w:t>
      </w:r>
      <w:proofErr w:type="spellStart"/>
      <w:r>
        <w:t>reklasifikována</w:t>
      </w:r>
      <w:proofErr w:type="spellEnd"/>
      <w:r>
        <w:t xml:space="preserve"> z kategorie nevýkonné, uplatněna další opatření týkající se úlevy, nebo bude-li expozice déle než 30 dnů po splatnosti, klasifikuje se jako nevýkonná. </w:t>
      </w:r>
    </w:p>
    <w:p w:rsidR="009569C7" w:rsidRPr="00EC4FA2" w:rsidRDefault="00A834F1" w:rsidP="009569C7">
      <w:pPr>
        <w:pStyle w:val="Baseparagraphnumbered"/>
        <w:tabs>
          <w:tab w:val="left" w:pos="851"/>
        </w:tabs>
        <w:ind w:left="709"/>
      </w:pPr>
      <w:r>
        <w:t xml:space="preserve">„Výkonné expozice s opatřeními týkajícími se úlevy“ (výkonné expozice s úlevou) zahrnují expozice s úlevou, které nesplňují kritéria pro to, aby byly považovány za nevýkonné, a jsou zahrnuty v kategorii výkonných expozic. Výkonné expozice s úlevou jsou ve zkušební době podle odstavce 256, včetně případů, kdy se použije odstavec 259. Expozice s úlevou ve zkušební době, jež byly </w:t>
      </w:r>
      <w:proofErr w:type="spellStart"/>
      <w:r>
        <w:t>reklasifikovány</w:t>
      </w:r>
      <w:proofErr w:type="spellEnd"/>
      <w:r>
        <w:t xml:space="preserve"> z kategorie nevýkonné expozice, se vykazují odděleně v rámci výkonných expozic s opatřeními týkajícími se úlevy v kolonce „z toho: výkonné expozice s úlevou ve zkušební době </w:t>
      </w:r>
      <w:proofErr w:type="spellStart"/>
      <w:r>
        <w:t>reklasifikované</w:t>
      </w:r>
      <w:proofErr w:type="spellEnd"/>
      <w:r>
        <w:t xml:space="preserve"> z nevýkonných“. </w:t>
      </w:r>
    </w:p>
    <w:p w:rsidR="009569C7" w:rsidRPr="00EC4FA2" w:rsidRDefault="00A834F1" w:rsidP="009569C7">
      <w:pPr>
        <w:pStyle w:val="Baseparagraphnumbered"/>
        <w:tabs>
          <w:tab w:val="left" w:pos="851"/>
        </w:tabs>
        <w:ind w:left="709"/>
      </w:pPr>
      <w:r>
        <w:t xml:space="preserve">„Nevýkonné expozice s opatřeními týkajícími se úlevy“ (nevýkonné expozice s úlevou) zahrnují expozice s úlevou, které splňují kritéria pro to, aby byly považovány za nevýkonné, a jsou zahrnuty v kategorii nevýkonných expozic. Uvedené nevýkonné expozice s úlevou zahrnují: </w:t>
      </w:r>
    </w:p>
    <w:p w:rsidR="009569C7" w:rsidRPr="00EC4FA2" w:rsidRDefault="00A834F1" w:rsidP="009569C7">
      <w:pPr>
        <w:pStyle w:val="Text1"/>
        <w:numPr>
          <w:ilvl w:val="0"/>
          <w:numId w:val="49"/>
        </w:numPr>
        <w:ind w:left="1134" w:hanging="425"/>
      </w:pPr>
      <w:r>
        <w:t xml:space="preserve">expozice, jež se v důsledku uplatnění opatření týkajících se úlevy staly nevýkonnými; </w:t>
      </w:r>
    </w:p>
    <w:p w:rsidR="009569C7" w:rsidRPr="00EC4FA2" w:rsidRDefault="00A834F1" w:rsidP="009569C7">
      <w:pPr>
        <w:pStyle w:val="Text1"/>
        <w:numPr>
          <w:ilvl w:val="0"/>
          <w:numId w:val="49"/>
        </w:numPr>
        <w:ind w:left="1134" w:hanging="425"/>
      </w:pPr>
      <w:r>
        <w:t xml:space="preserve">expozice, jež byly před uplatněním opatření týkajících se úlevy nevýkonné;  </w:t>
      </w:r>
    </w:p>
    <w:p w:rsidR="009569C7" w:rsidRPr="00EC4FA2" w:rsidRDefault="00A834F1" w:rsidP="009569C7">
      <w:pPr>
        <w:pStyle w:val="Text1"/>
        <w:numPr>
          <w:ilvl w:val="0"/>
          <w:numId w:val="49"/>
        </w:numPr>
        <w:ind w:left="1134" w:hanging="425"/>
      </w:pPr>
      <w:r>
        <w:t xml:space="preserve">expozice s úlevou, které byly </w:t>
      </w:r>
      <w:proofErr w:type="spellStart"/>
      <w:r>
        <w:t>reklasifikovány</w:t>
      </w:r>
      <w:proofErr w:type="spellEnd"/>
      <w:r>
        <w:t xml:space="preserve"> z kategorie výkonných expozic, včetně expozic </w:t>
      </w:r>
      <w:proofErr w:type="spellStart"/>
      <w:r>
        <w:t>reklasifikovaných</w:t>
      </w:r>
      <w:proofErr w:type="spellEnd"/>
      <w:r>
        <w:t xml:space="preserve"> za použití odstavce 260. </w:t>
      </w:r>
    </w:p>
    <w:p w:rsidR="009569C7" w:rsidRPr="00EC4FA2" w:rsidRDefault="00A834F1" w:rsidP="009569C7">
      <w:pPr>
        <w:pStyle w:val="Baseparagraphnumbered"/>
        <w:tabs>
          <w:tab w:val="left" w:pos="851"/>
        </w:tabs>
        <w:ind w:left="709"/>
      </w:pPr>
      <w:r>
        <w:t xml:space="preserve">V případě, že se opatření o úlevě vztahují na expozice, které byly nevýkonné před uplatněním opatření týkajících se úlevy, částka uvedených expozic s </w:t>
      </w:r>
      <w:r>
        <w:lastRenderedPageBreak/>
        <w:t>úlevou se určuje zvlášť v kolonce „z toho: úlevy týkající se expozic, jež byly před uplatněním opatření úlevy nevýkonné“.</w:t>
      </w:r>
    </w:p>
    <w:p w:rsidR="009569C7" w:rsidRPr="00EC4FA2" w:rsidRDefault="00A834F1" w:rsidP="009569C7">
      <w:pPr>
        <w:pStyle w:val="Baseparagraphnumbered"/>
        <w:tabs>
          <w:tab w:val="left" w:pos="851"/>
        </w:tabs>
        <w:ind w:left="709"/>
      </w:pPr>
      <w:r>
        <w:t>V oddělených sloupcích se uvedou tyto nevýkonné expozice s opatřeními týkajícími se úlevy:</w:t>
      </w:r>
    </w:p>
    <w:p w:rsidR="009569C7" w:rsidRPr="00EC4FA2" w:rsidRDefault="00A834F1" w:rsidP="009569C7">
      <w:pPr>
        <w:pStyle w:val="Text1"/>
        <w:numPr>
          <w:ilvl w:val="0"/>
          <w:numId w:val="50"/>
        </w:numPr>
        <w:ind w:left="1134" w:hanging="425"/>
      </w:pPr>
      <w:r>
        <w:t>expozice, které se považují za znehodnocené v souladu s použitelným účetním rámcem. V tomto sloupci se podle IFRS vykazuje hodnota úvěrově znehodnocených aktiv (stupeň 3), včetně nakoupených nebo vzniklých úvěrově znehodnocených aktiv;</w:t>
      </w:r>
    </w:p>
    <w:p w:rsidR="009569C7" w:rsidRPr="00EC4FA2" w:rsidRDefault="00A834F1" w:rsidP="009569C7">
      <w:pPr>
        <w:pStyle w:val="Text1"/>
        <w:numPr>
          <w:ilvl w:val="0"/>
          <w:numId w:val="50"/>
        </w:numPr>
        <w:ind w:left="1134" w:hanging="425"/>
      </w:pPr>
      <w:r>
        <w:t>expozice, u nichž se má za to, že došlo k selhání podle článku 178 nařízení o kapitálových požadavcích.</w:t>
      </w:r>
    </w:p>
    <w:p w:rsidR="009569C7" w:rsidRPr="00EC4FA2" w:rsidRDefault="00A834F1" w:rsidP="009569C7">
      <w:pPr>
        <w:pStyle w:val="Baseparagraphnumbered"/>
        <w:tabs>
          <w:tab w:val="left" w:pos="851"/>
        </w:tabs>
        <w:ind w:left="709"/>
      </w:pPr>
      <w:r>
        <w:t xml:space="preserve">Sloupec „Refinancování“ zahrnuje hrubou účetní hodnotu nové smlouvy („refinancování dluhu“) poskytnuté v rámci refinanční operace, která se kvalifikuje jako opatření týkající se úlevy, jakož i hrubou účetní </w:t>
      </w:r>
      <w:proofErr w:type="gramStart"/>
      <w:r>
        <w:t>hodnotu</w:t>
      </w:r>
      <w:proofErr w:type="gramEnd"/>
      <w:r>
        <w:t xml:space="preserve"> částky staré splacené smlouvy, která dosud nebyla vypořádána. </w:t>
      </w:r>
    </w:p>
    <w:p w:rsidR="009569C7" w:rsidRPr="00EC4FA2" w:rsidRDefault="00A834F1" w:rsidP="009569C7">
      <w:pPr>
        <w:pStyle w:val="Baseparagraphnumbered"/>
        <w:tabs>
          <w:tab w:val="left" w:pos="851"/>
        </w:tabs>
        <w:ind w:left="709"/>
      </w:pPr>
      <w:r>
        <w:t>Expozice s úlevou, jež kombinují úpravy a refinancování, se přiřadí do sloupce „Nástroje s úpravami podmínek“ nebo do kolonky „Refinancování“, podle toho opatření, které má největší dopad na peněžní toky. Refinancování ze strany seskupení bank se vykazuje ve sloupci „Refinancování“ pro celou částku refinancování dluhu poskytnutou vykazující institucí, nebo částku refinancovaného dluhu, která dosud nebyla ve vykazující instituci vypořádána. Přeskupení několika dluhů do nového dluhu se vykazuje jako úprava, neexistuje-li rovněž refinanční operace, která má na peněžní toky větší dopad. Pokud má úleva prostřednictvím úpravy podmínek problémové expozice za následek její odúčtování a zaúčtování nové expozice, považuje se tato nová expozice za dluh s úlevou.</w:t>
      </w:r>
    </w:p>
    <w:p w:rsidR="009569C7" w:rsidRPr="00EC4FA2" w:rsidRDefault="00A834F1" w:rsidP="009569C7">
      <w:pPr>
        <w:pStyle w:val="Baseparagraphnumbered"/>
        <w:tabs>
          <w:tab w:val="left" w:pos="851"/>
        </w:tabs>
        <w:ind w:left="709"/>
      </w:pPr>
      <w:r>
        <w:t xml:space="preserve">Kumulovaná ztráta ze znehodnocení a kumulované záporné změny reálné hodnoty z titulu úvěrového rizika a rezerv se vykazují v souladu s odstavci 11, 69 až 71 a 110 této části.  </w:t>
      </w:r>
    </w:p>
    <w:p w:rsidR="009569C7" w:rsidRPr="00EC4FA2" w:rsidRDefault="00A834F1" w:rsidP="009569C7">
      <w:pPr>
        <w:pStyle w:val="Baseparagraphnumbered"/>
        <w:tabs>
          <w:tab w:val="left" w:pos="851"/>
        </w:tabs>
        <w:ind w:left="709"/>
      </w:pPr>
      <w:r>
        <w:t xml:space="preserve">Kolaterál a záruky přijaté za expozice s opatřeními týkajícími se úlevy se vykazují u všech expozic s opatřeními týkajícími se úlevy bez ohledu na to, zda jsou výkonné nebo nevýkonné. Částky vykázané pro přijatý kolaterál a přijaté záruky se vypočítají v souladu s odstavci 172 až 174 této části. Součet částek vykázaných pro kolaterál a záruky je </w:t>
      </w:r>
      <w:proofErr w:type="spellStart"/>
      <w:r>
        <w:t>zastropován</w:t>
      </w:r>
      <w:proofErr w:type="spellEnd"/>
      <w:r>
        <w:t xml:space="preserve"> na účetní hodnotě související expozice.</w:t>
      </w:r>
    </w:p>
    <w:p w:rsidR="009569C7" w:rsidRPr="00EC4FA2" w:rsidRDefault="00A834F1" w:rsidP="009569C7">
      <w:pPr>
        <w:pStyle w:val="subtitlenumbered"/>
        <w:jc w:val="both"/>
      </w:pPr>
      <w:bookmarkStart w:id="252" w:name="_Toc361844244"/>
      <w:bookmarkStart w:id="253" w:name="_Toc362359315"/>
      <w:bookmarkStart w:id="254" w:name="_Toc467855248"/>
      <w:bookmarkStart w:id="255" w:name="_Toc485708584"/>
      <w:r>
        <w:t>Geografická struktura</w:t>
      </w:r>
      <w:bookmarkEnd w:id="212"/>
      <w:r>
        <w:t xml:space="preserve"> (20)</w:t>
      </w:r>
      <w:bookmarkEnd w:id="252"/>
      <w:bookmarkEnd w:id="253"/>
      <w:bookmarkEnd w:id="254"/>
      <w:bookmarkEnd w:id="255"/>
    </w:p>
    <w:p w:rsidR="009569C7" w:rsidRPr="00EC4FA2" w:rsidRDefault="00A834F1" w:rsidP="009569C7">
      <w:pPr>
        <w:pStyle w:val="Baseparagraphnumbered"/>
      </w:pPr>
      <w:r>
        <w:t xml:space="preserve">Šablona 20 se sestavuje v případě, že instituce překročí práh popsaný v čl. 5 odst. 1 písm. a) bodě </w:t>
      </w:r>
      <w:proofErr w:type="spellStart"/>
      <w:r>
        <w:t>iv</w:t>
      </w:r>
      <w:proofErr w:type="spellEnd"/>
      <w:r>
        <w:t xml:space="preserve">) tohoto nařízení. </w:t>
      </w:r>
    </w:p>
    <w:p w:rsidR="009569C7" w:rsidRPr="00EC4FA2" w:rsidRDefault="00A834F1" w:rsidP="009569C7">
      <w:pPr>
        <w:pStyle w:val="sub-subtitlenumbered"/>
        <w:jc w:val="both"/>
      </w:pPr>
      <w:bookmarkStart w:id="256" w:name="_Toc467855249"/>
      <w:bookmarkStart w:id="257" w:name="_Toc485708585"/>
      <w:r>
        <w:t>Geografická struktura podle místa výkonu činností (20.1–20.3)</w:t>
      </w:r>
      <w:bookmarkEnd w:id="256"/>
      <w:bookmarkEnd w:id="257"/>
    </w:p>
    <w:p w:rsidR="009569C7" w:rsidRPr="00EC4FA2" w:rsidRDefault="00A834F1" w:rsidP="009569C7">
      <w:pPr>
        <w:pStyle w:val="Baseparagraphnumbered"/>
      </w:pPr>
      <w:r>
        <w:t xml:space="preserve">Geografická struktura podle místa výkonu činností v šablonách 20.1 až 20.3 rozlišuje mezi „tuzemskými“ a „zahraničními činnostmi“. Pro účely této části se „místem“ rozumí jurisdikce založení právního subjektu, ke kterému </w:t>
      </w:r>
      <w:r>
        <w:lastRenderedPageBreak/>
        <w:t>se vztahuje odpovídající aktivum či závazek; u poboček se „místem“ rozumí jurisdikce, do jejíž působnosti spadá jejich sídlo. Pro tyto účely položka „tuzemské“ zahrnuje činnosti vykázané v členském státě, ve kterém má instituce své sídlo.</w:t>
      </w:r>
    </w:p>
    <w:p w:rsidR="009569C7" w:rsidRPr="00EC4FA2" w:rsidRDefault="00A834F1" w:rsidP="009569C7">
      <w:pPr>
        <w:pStyle w:val="sub-subtitlenumbered"/>
        <w:jc w:val="both"/>
      </w:pPr>
      <w:bookmarkStart w:id="258" w:name="_Toc467855250"/>
      <w:bookmarkStart w:id="259" w:name="_Toc485708586"/>
      <w:r>
        <w:t>Geografická struktura podle sídla protistrany (20.4-20.7)</w:t>
      </w:r>
      <w:bookmarkEnd w:id="258"/>
      <w:bookmarkEnd w:id="259"/>
    </w:p>
    <w:p w:rsidR="009569C7" w:rsidRPr="00EC4FA2" w:rsidRDefault="00A834F1" w:rsidP="009569C7">
      <w:pPr>
        <w:pStyle w:val="Baseparagraphnumbered"/>
      </w:pPr>
      <w:r>
        <w:t xml:space="preserve">Šablony 20.4 až 20.7 obsahují informace „podle jednotlivých zemí“ na základě sídla přímé protistrany ve smyslu odstavce 43 části první této přílohy. Struktura zahrnuje expozice nebo závazky vůči rezidentům ve všech cizích zemích, ve kterých má instituce své expozice. Expozice nebo závazky vůči mezinárodním organizacím a </w:t>
      </w:r>
      <w:proofErr w:type="gramStart"/>
      <w:r>
        <w:t>mezinárodním  rozvojovým</w:t>
      </w:r>
      <w:proofErr w:type="gramEnd"/>
      <w:r>
        <w:t xml:space="preserve"> bankám se nepřiřazují zemi sídla instituce, ale zeměpisné oblasti „Ostatní země“.</w:t>
      </w:r>
    </w:p>
    <w:p w:rsidR="009569C7" w:rsidRPr="00EC4FA2" w:rsidRDefault="00A834F1" w:rsidP="009569C7">
      <w:pPr>
        <w:pStyle w:val="Baseparagraphnumbered"/>
      </w:pPr>
      <w:r>
        <w:t xml:space="preserve">„Deriváty“ zahrnují obchodovatelné deriváty, včetně ekonomického zajištění, a rovněž zajišťovací deriváty podle IFRS a GAAP vykazované v šabloně 10 a 11. </w:t>
      </w:r>
    </w:p>
    <w:p w:rsidR="009569C7" w:rsidRPr="00EC4FA2" w:rsidRDefault="00A834F1" w:rsidP="009569C7">
      <w:pPr>
        <w:pStyle w:val="Baseparagraphnumbered"/>
      </w:pPr>
      <w:r>
        <w:t xml:space="preserve">Aktiva k obchodování podle IFRS a obchodovatelná aktiva podle GAAP se určují odděleně. Finanční aktiva podléhající znehodnocení mají stejný </w:t>
      </w:r>
      <w:proofErr w:type="gramStart"/>
      <w:r>
        <w:t>význam  jako</w:t>
      </w:r>
      <w:proofErr w:type="gramEnd"/>
      <w:r>
        <w:t xml:space="preserve"> v odstavci 93 této části. Aktiva oceněná podle LOCOM, u nichž úvěrové riziko vyvolalo úpravy hodnoty, se považují za znehodnocená.</w:t>
      </w:r>
    </w:p>
    <w:p w:rsidR="009569C7" w:rsidRPr="00EC4FA2" w:rsidRDefault="00A834F1" w:rsidP="009569C7">
      <w:pPr>
        <w:pStyle w:val="Baseparagraphnumbered"/>
      </w:pPr>
      <w:r>
        <w:t>V šablonách 20.4 a 20.7 se „kumulované ztráty ze znehodnocení“ a „kumulované záporné změny reálné hodnoty v důsledku úvěrového rizika nevýkonných expozicí“ vykazují podle ustanovení odstavců 69 až 71 této části.</w:t>
      </w:r>
    </w:p>
    <w:p w:rsidR="009569C7" w:rsidRPr="00EC4FA2" w:rsidRDefault="00A834F1" w:rsidP="009569C7">
      <w:pPr>
        <w:pStyle w:val="Baseparagraphnumbered"/>
      </w:pPr>
      <w:r>
        <w:t xml:space="preserve">V šabloně 20.4 vztahující se na dluhové nástroje se vykáže „hrubá účetní hodnota“ ve smyslu odstavce 34 části první této přílohy. U derivátů a kapitálových nástrojů odpovídá vykazovaná částka účetní hodnotě. V kolonce „z toho: nevýkonné“ se dluhové nástroje vykazují podle odstavců 213 až 232 této části. Dluhová úleva zahrnuje všechny „dluhové“ smlouvy pro účely šablony 19, na něž se vztahují opatření o úlevě podle definice v odstavcích 240 až 255 této přílohy. </w:t>
      </w:r>
    </w:p>
    <w:p w:rsidR="009569C7" w:rsidRPr="00EC4FA2" w:rsidRDefault="00A834F1" w:rsidP="009569C7">
      <w:pPr>
        <w:pStyle w:val="Baseparagraphnumbered"/>
      </w:pPr>
      <w:r>
        <w:t>V šabloně 20.5 „rezervy pro poskytnuté přísliby a záruky“ zahrnují rezervy oceněné podle IAS 37, úvěrové ztráty finančních záruk považované za pojišťovací smlouvy podle IFRS 4 a rezervy na úvěrové přísliby a finanční záruky podle požadavků IFRS 9 na znehodnocení a rezervy na přísliby a záruky podle vnitrostátních GAAP založených na BAD v souladu s odstavcem 11 této části.</w:t>
      </w:r>
    </w:p>
    <w:p w:rsidR="009569C7" w:rsidRPr="00EC4FA2" w:rsidRDefault="00A834F1" w:rsidP="009569C7">
      <w:pPr>
        <w:pStyle w:val="Baseparagraphnumbered"/>
      </w:pPr>
      <w:r>
        <w:t>V šabloně 20.7 se úvěry a ostatní pohledávky, které nejsou drženy za účelem obchodování, vykáží „podle jednotlivých zemí“ s uvedením kódů statistické klasifikace ekonomických činností v Evropské unii (NACE). Kódy NACE se vykazují na úrovni prvního stupně třídění (podle „oddílu“). Úvěry a jiné pohledávky podléhající znehodnocení se vztahují na stejná portfolia, jako jsou uvedena v odstavci 93 této části.</w:t>
      </w:r>
    </w:p>
    <w:p w:rsidR="009569C7" w:rsidRPr="00EC4FA2" w:rsidRDefault="00A834F1" w:rsidP="009569C7">
      <w:pPr>
        <w:pStyle w:val="subtitlenumbered"/>
        <w:jc w:val="both"/>
      </w:pPr>
      <w:bookmarkStart w:id="260" w:name="_Toc359315675"/>
      <w:bookmarkStart w:id="261" w:name="_Toc359315676"/>
      <w:bookmarkStart w:id="262" w:name="_Toc361844245"/>
      <w:bookmarkStart w:id="263" w:name="_Toc362359316"/>
      <w:bookmarkStart w:id="264" w:name="_Toc467855251"/>
      <w:bookmarkStart w:id="265" w:name="_Toc246770636"/>
      <w:bookmarkStart w:id="266" w:name="_Toc485708587"/>
      <w:bookmarkEnd w:id="260"/>
      <w:bookmarkEnd w:id="261"/>
      <w:r>
        <w:lastRenderedPageBreak/>
        <w:t>Hmotná a nehmotná aktiva: aktiva v operačním leasingu (21)</w:t>
      </w:r>
      <w:bookmarkEnd w:id="262"/>
      <w:bookmarkEnd w:id="263"/>
      <w:bookmarkEnd w:id="264"/>
      <w:bookmarkEnd w:id="266"/>
    </w:p>
    <w:p w:rsidR="009569C7" w:rsidRPr="00EC4FA2" w:rsidRDefault="00A834F1" w:rsidP="009569C7">
      <w:pPr>
        <w:pStyle w:val="Baseparagraphnumbered"/>
      </w:pPr>
      <w:r>
        <w:t>Pro účely výpočtu prahové hodnoty uvedené v čl. 9 písm. e) tohoto nařízení se hmotná aktiva, která byla danou institucí (pronajímatelem) pronajata třetím stranám na základě dohod, které splňují kritéria operačních leasingů platná v příslušném účetním rámci, vydělí celkovým součtem všech hmotných aktiv.</w:t>
      </w:r>
    </w:p>
    <w:p w:rsidR="009569C7" w:rsidRPr="00EC4FA2" w:rsidRDefault="00A834F1" w:rsidP="009569C7">
      <w:pPr>
        <w:pStyle w:val="Baseparagraphnumbered"/>
      </w:pPr>
      <w:r>
        <w:t>V rámci IFRS se aktiva, která byla danou institucí (pronajímatelem) pronajata třetím stranám formou operačních leasingů, vykazují tak, že se rozčlení podle metody ocenění.</w:t>
      </w:r>
    </w:p>
    <w:p w:rsidR="009569C7" w:rsidRPr="00EC4FA2" w:rsidRDefault="00A834F1" w:rsidP="009569C7">
      <w:pPr>
        <w:pStyle w:val="subtitlenumbered"/>
        <w:jc w:val="both"/>
      </w:pPr>
      <w:bookmarkStart w:id="267" w:name="_Toc362359317"/>
      <w:bookmarkStart w:id="268" w:name="_Toc467855252"/>
      <w:bookmarkStart w:id="269" w:name="_Toc361844246"/>
      <w:bookmarkStart w:id="270" w:name="_Toc244498341"/>
      <w:bookmarkStart w:id="271" w:name="_Toc244500572"/>
      <w:bookmarkStart w:id="272" w:name="_Toc246770631"/>
      <w:bookmarkStart w:id="273" w:name="_Toc485708588"/>
      <w:r>
        <w:t>Obhospodařování aktiv, úschova a správa hodnot a další servisní funkce (22)</w:t>
      </w:r>
      <w:bookmarkEnd w:id="267"/>
      <w:bookmarkEnd w:id="268"/>
      <w:bookmarkEnd w:id="273"/>
    </w:p>
    <w:bookmarkEnd w:id="269"/>
    <w:p w:rsidR="009569C7" w:rsidRPr="00EC4FA2" w:rsidRDefault="00A834F1" w:rsidP="009569C7">
      <w:pPr>
        <w:pStyle w:val="Baseparagraphnumbered"/>
      </w:pPr>
      <w:r>
        <w:t>Pro účely výpočtu prahové hodnoty uvedené v čl. 9 písm. f) tohoto nařízení se v položce „čisté výnosy z poplatků a provizí“ uvede částka vyjadřující absolutní hodnotu rozdílu mezi „výnosy z poplatků a provizí“ a „náklady na poplatky a provize“. Pro tytéž účely se v položce „čistý úrok“ uvede částka vyjadřující absolutní hodnotu rozdílu mezi „úrokovými výnosy“ a „úrokovými náklady“.</w:t>
      </w:r>
    </w:p>
    <w:p w:rsidR="009569C7" w:rsidRPr="00EC4FA2" w:rsidRDefault="00A834F1" w:rsidP="009569C7">
      <w:pPr>
        <w:pStyle w:val="sub-subtitlenumbered"/>
        <w:jc w:val="both"/>
      </w:pPr>
      <w:bookmarkStart w:id="274" w:name="_Toc361844247"/>
      <w:bookmarkStart w:id="275" w:name="_Toc362359318"/>
      <w:bookmarkStart w:id="276" w:name="_Toc467855253"/>
      <w:bookmarkStart w:id="277" w:name="_Toc485708589"/>
      <w:r>
        <w:t>Výnosy z poplatků a provizí a náklady na ně</w:t>
      </w:r>
      <w:bookmarkEnd w:id="270"/>
      <w:bookmarkEnd w:id="271"/>
      <w:bookmarkEnd w:id="272"/>
      <w:r>
        <w:t xml:space="preserve"> podle činnosti (22.1)</w:t>
      </w:r>
      <w:bookmarkEnd w:id="274"/>
      <w:bookmarkEnd w:id="275"/>
      <w:bookmarkEnd w:id="276"/>
      <w:bookmarkEnd w:id="277"/>
    </w:p>
    <w:p w:rsidR="009569C7" w:rsidRPr="00EC4FA2" w:rsidRDefault="00A834F1" w:rsidP="009569C7">
      <w:pPr>
        <w:pStyle w:val="Baseparagraphnumbered"/>
      </w:pPr>
      <w:r>
        <w:t xml:space="preserve">Výnosy z poplatků a provizí a náklady na poplatky a provize se vykazují podle typu činnosti. Podle IFRS zahrnuje tato šablona výnosy z poplatků a provizí a náklady na ně kromě těchto: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částky zahrnuté do výpočtu efektivní úrokové sazby finančních nástrojů [odst. 20 písm. c) IFRS 7];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částky získané z finančních nástrojů v reálné hodnotě vykázané do zisku nebo ztráty (odst. 20 písm. c) bod i) IFRS 7). </w:t>
      </w:r>
    </w:p>
    <w:p w:rsidR="009569C7" w:rsidRPr="00EC4FA2" w:rsidRDefault="00A834F1" w:rsidP="009569C7">
      <w:pPr>
        <w:pStyle w:val="Baseparagraphnumbered"/>
      </w:pPr>
      <w:r>
        <w:t>Transakční náklady, které lze přímo spojovat s akvizicí nebo emisí finančních nástrojů neoceňovaných reálnou hodnotou do zisku nebo ztráty, se nezahrnují; tyto náklady tvoří součást počáteční akviziční / emisní hodnoty těchto nástrojů a odepisují se ze zisku nebo ztráty po zbývající dobu jejich trvání, a to s použitím metody efektivní úrokové míry [viz odst. 5.1.1 IFRS 9].</w:t>
      </w:r>
    </w:p>
    <w:p w:rsidR="009569C7" w:rsidRPr="00EC4FA2" w:rsidRDefault="00A834F1" w:rsidP="009569C7">
      <w:pPr>
        <w:pStyle w:val="Baseparagraphnumbered"/>
      </w:pPr>
      <w:r>
        <w:t>Podle IFRS transakční náklady, které lze přímo spojovat s akvizicí nebo emisí finančních nástrojů v reálné hodnotě vykázané do zisku nebo ztráty, se uvádějí jako součást „čistých zisků nebo ztrát z finančních aktiv a závazků k obchodování“ nebo „čistých zisků nebo ztrát z neobchodních finančních aktiv povinně oceňovaných reálnou hodnotou do zisku nebo ztráty“ a „čistých zisků nebo ztrát z finančních aktiv a závazků určených za oceněné reálnou hodnotou do zisku nebo ztráty“ v závislosti na účetním portfoliu, do něhož jsou zatříděny. Nejsou součástí počáteční akviziční nebo emisní hodnoty těchto nástrojů a jsou okamžitě vykázány do zisku nebo ztráty.</w:t>
      </w:r>
    </w:p>
    <w:p w:rsidR="009569C7" w:rsidRPr="00EC4FA2" w:rsidRDefault="00A834F1" w:rsidP="009569C7">
      <w:pPr>
        <w:pStyle w:val="Baseparagraphnumbered"/>
      </w:pPr>
      <w:r>
        <w:lastRenderedPageBreak/>
        <w:t xml:space="preserve">Výnosy z poplatků a provizí a náklady na poplatky a provize vykazují instituce v souladu s těmito kritérii: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„cenné papíry. Emise“ zahrnují poplatky a provize získané za podíl na vzniku či vydání cenných papírů, jejichž původcem či emitentem není daná instituce;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„cenné papíry: převodní příkazy“ zahrnují poplatky a provize vznikající přijetím, převodem a provedením příkazů jménem klientů za účelem nákupu nebo prodeje cenných papírů;</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„cenné papíry: ostatní“ zahrnují poplatky a provize účtované institucí, která poskytuje ostatní služby týkající se cenných papírů, jejichž tato instituce není původcem či emitentem;</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„clearing a vypořádání“ zahrnuje výnosy z poplatků a provizí (náklady na poplatky a provize) vznikající dané instituci na základě její účasti v rámci nástrojů protistrany, zúčtování a vypořádání;</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„obhospodařování aktiv“, „úschova a správa hodnot“, „ústřední administrativní služby pro subjekty kolektivního investování“, „svěřenecké transakce“, „platební služby“ zahrnují výnosy z poplatků a provizí (náklady na poplatky a provize) vznikající dané instituci na základě poskytování těchto služeb;</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„strukturované financování“ zahrnuje poplatky a provize získané za podíl na vzniku či vydání jiných finančních nástrojů než cenných papírů, jejichž původcem či emitentem je daná instituce;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poplatky z „činností splácení úvěrů“ zahrnují na straně příjmů výnosy z poplatků a provizí vznikající instituci, která poskytuje služby v oblasti správy úvěrů, a na straně výdajů náklady na poplatky a provize, které instituci účtují poskytovatelé úvěrových služeb;</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„poskytnuté úvěrové přísliby“ a „poskytnuté finanční záruky“ zahrnují částku odpovídající výši umořených poplatků a provizí za tyto činnosti vykázané jako příjmy za dané období, původně vykazované jako „ostatní závazky“;</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„získané úvěrové přísliby“ a „získané finanční záruky“ zahrnují náklady na poplatky a provize, které instituce vykazuje během daného období jako částku účtovanou protistranou, která příslušný úvěrový příslib či finanční záruku poskytla, a která se původně vykazovala jako „ostatní aktiva;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„ostatní“ zahrnuje ostatní výnosy z poplatků a provizí (náklady na poplatky a provize) vznikající dané instituci, jako jsou výnosy a náklady vyplývající z „ostatních příslibů“, z měnových služeb (například směny bankovek či mincí v cizí měně) nebo z poskytování (využívání) poradenství a jiných zpoplatněných služeb.</w:t>
      </w:r>
    </w:p>
    <w:p w:rsidR="009569C7" w:rsidRPr="00EC4FA2" w:rsidRDefault="00A834F1" w:rsidP="009569C7">
      <w:pPr>
        <w:pStyle w:val="sub-subtitlenumbered"/>
        <w:jc w:val="both"/>
      </w:pPr>
      <w:bookmarkStart w:id="278" w:name="_Toc361844248"/>
      <w:bookmarkStart w:id="279" w:name="_Toc362359319"/>
      <w:bookmarkStart w:id="280" w:name="_Toc467855254"/>
      <w:bookmarkStart w:id="281" w:name="_Toc485708590"/>
      <w:r>
        <w:t>Aktiva držená v rámci poskytovaných služeb (22.2)</w:t>
      </w:r>
      <w:bookmarkEnd w:id="278"/>
      <w:bookmarkEnd w:id="279"/>
      <w:bookmarkEnd w:id="280"/>
      <w:bookmarkEnd w:id="281"/>
    </w:p>
    <w:p w:rsidR="009569C7" w:rsidRPr="00EC4FA2" w:rsidRDefault="00A834F1" w:rsidP="009569C7">
      <w:pPr>
        <w:pStyle w:val="Baseparagraphnumbered"/>
      </w:pPr>
      <w:r>
        <w:t>Obchodní činnost spojená s obhospodařováním aktiv, úschovou a správou hodnot a jinými službami poskytovanými danou institucí se vykazuje za použití těchto definic:</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„obhospodařování aktiv“ se týká aktiv, která patří přímo klientům, pro které daná instituce zajišťuje obhospodařování. „Obhospodařování aktiv“ se vykazuje podle typu klienta: subjekty kolektivního investování, penzijní fondy, zákaznická portfolia spravovaná podle vlastního uvážení a další investiční subjekty;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„aktiva v úschově“ se týkají služeb v oblasti ukládání a správy finančních nástrojů na účet klientů, které daná instituce poskytuje, a služeb souvisejících s úschovou a správou hodnot, jako například správa peněžních prostředků či zajištění. „Aktiva v úschově“ se vykazují podle typu klientů, pro které daná instituce drží aktiva, přičemž se rozlišuje mezi subjekty kolektivního investování a ostatními. Položka „z toho: svěřeno jiným subjektům“ se týká hodnoty aktiv zahrnutých mezi aktiva v úschově, jejichž skutečnou úschovou pověřila instituce jiné subjekty;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„ústřední administrativní služby pro subjekty kolektivního investování“ se týkají administrativních služeb, které daná instituce poskytuje subjektům kolektivního investování. Patří mezi ně mimo jiné služby převodního zmocněnce; služby z oblasti účetní dokumentace; služby týkající se zpracování prospektu, finančních výkazů a všech ostatních typů dokumentů určených investorům; obstarávání korespondence rozesíláním finančních výkazů a všech ostatních dokumentů určených investorům; zajišťování emisí a splácení a vedení rejstříku investorů; a také výpočet čisté účetní hodnoty;</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„svěřenecké transakce“ se týkají činností, v nichž instituce jedná svým vlastním jménem, ale na účet a riziko svých zákazníků. V rámci svěřeneckých transakcí poskytuje instituce často služby, jako jsou služby v oblasti obhospodařování aktiv v úschově poskytované strukturovanému subjektu nebo správa portfolií podle vlastního uvážení. Veškeré svěřenecké transakce se vykazují výhradně v této položce bez ohledu na to, zda instituce nadto poskytuje i další služby;</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„platební služby“ se týkají vybírání plateb jménem zákazníků, které jsou generovány dluhovými nástroji, jež daná instituce nevykazuje ve své rozvaze ani není jejich původcem;</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„distribuované, ale neobhospodařované prostředky klientů“ se týkají produktů vydaných subjekty, které nejsou součástí obezřetnostního dohledu nad skupinou, a distribuovaných danou institucí jejím současným zákazníkům. Tato položka se vykazuje podle typu produktu;</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„hodnota aktiv držených v rámci poskytovaných služeb“ zahrnuje částku vyjadřující reálnou hodnotu aktiv, na která se vztahuje činnost dané instituce. Není-li možné zjistit reálnou hodnotu, lze použít jiné základny oceňování, včetně nominální hodnoty. V případech, kdy instituce poskytuje služby subjektům, jako jsou subjekty kolektivního investování či penzijní fondy, lze příslušná aktiva vykázat jako hodnotu, jíž tyto subjekty vykazují tato aktiva ve své vlastní rozvaze. V příslušných případech zahrnují vykazované hodnoty naběhlý úrok.</w:t>
      </w:r>
    </w:p>
    <w:p w:rsidR="009569C7" w:rsidRPr="00EC4FA2" w:rsidRDefault="00A834F1" w:rsidP="009569C7">
      <w:pPr>
        <w:pStyle w:val="subtitlenumbered"/>
        <w:jc w:val="both"/>
      </w:pPr>
      <w:bookmarkStart w:id="282" w:name="_Toc361844249"/>
      <w:bookmarkStart w:id="283" w:name="_Toc362359320"/>
      <w:bookmarkStart w:id="284" w:name="_Toc467855255"/>
      <w:bookmarkStart w:id="285" w:name="_Toc485708591"/>
      <w:r>
        <w:t>Podíly v nekonsolidovaných strukturovaných subjektech (30)</w:t>
      </w:r>
      <w:bookmarkEnd w:id="282"/>
      <w:bookmarkEnd w:id="283"/>
      <w:bookmarkEnd w:id="284"/>
      <w:bookmarkEnd w:id="285"/>
    </w:p>
    <w:p w:rsidR="009569C7" w:rsidRPr="00EC4FA2" w:rsidRDefault="00A834F1" w:rsidP="009569C7">
      <w:pPr>
        <w:pStyle w:val="Baseparagraphnumbered"/>
      </w:pPr>
      <w:r>
        <w:lastRenderedPageBreak/>
        <w:t>Pro účely příloh III a IV a rovněž této přílohy se „čerpanou podporou likvidity“ rozumí součet účetní hodnoty úvěru a jiných pohledávek přidělených nekonsolidovaným strukturovaným subjektům a účetní hodnoty držených dluhových cenných papírů, které byly vydány nekonsolidovanými strukturovanými subjekty.</w:t>
      </w:r>
    </w:p>
    <w:p w:rsidR="009569C7" w:rsidRPr="00EC4FA2" w:rsidRDefault="00A834F1" w:rsidP="009569C7">
      <w:pPr>
        <w:pStyle w:val="Baseparagraphnumbered"/>
      </w:pPr>
      <w:r>
        <w:t>„Ztráty vzniklé vykazující instituci v běžném období“ zahrnují ztráty v důsledku znehodnocení a jakékoli jiné ztráty způsobené vykazující instituci během účetního období, které se týkají podílů v nekonsolidovaných strukturovaných jednotkách.</w:t>
      </w:r>
    </w:p>
    <w:p w:rsidR="009569C7" w:rsidRPr="00EC4FA2" w:rsidRDefault="00A834F1" w:rsidP="009569C7">
      <w:pPr>
        <w:pStyle w:val="subtitlenumbered"/>
        <w:numPr>
          <w:ilvl w:val="0"/>
          <w:numId w:val="17"/>
        </w:numPr>
        <w:jc w:val="both"/>
      </w:pPr>
      <w:bookmarkStart w:id="286" w:name="_Toc361844250"/>
      <w:bookmarkStart w:id="287" w:name="_Toc362359321"/>
      <w:bookmarkStart w:id="288" w:name="_Toc467855256"/>
      <w:bookmarkStart w:id="289" w:name="_Toc485708592"/>
      <w:r>
        <w:t>Spřízněné stra</w:t>
      </w:r>
      <w:bookmarkEnd w:id="265"/>
      <w:r>
        <w:t>ny (31)</w:t>
      </w:r>
      <w:bookmarkEnd w:id="286"/>
      <w:bookmarkEnd w:id="287"/>
      <w:bookmarkEnd w:id="288"/>
      <w:bookmarkEnd w:id="289"/>
    </w:p>
    <w:p w:rsidR="009569C7" w:rsidRPr="00EC4FA2" w:rsidRDefault="00A834F1" w:rsidP="009569C7">
      <w:pPr>
        <w:pStyle w:val="Baseparagraphnumbered"/>
      </w:pPr>
      <w:r>
        <w:t xml:space="preserve">Instituce vykazují částky a/nebo transakce týkající se rozvahových a podrozvahových expozic, u kterých je protistranou spřízněná strana v souladu s IAS 24. </w:t>
      </w:r>
    </w:p>
    <w:p w:rsidR="009569C7" w:rsidRPr="00EC4FA2" w:rsidRDefault="00A834F1" w:rsidP="009569C7">
      <w:pPr>
        <w:pStyle w:val="Baseparagraphnumbered"/>
      </w:pPr>
      <w:r>
        <w:t>Transakce uvnitř skupiny a vnitroskupinové aktuální stavy zůstatků obezřetnostního dohledu nad skupinou jsou eliminovány. V položce „dceřiné podniky a jiné subjekty patřící do téže skupiny“ instituce uvedou zůstatky a transakce s dceřinými podniky, které nebyly eliminovány buď proto, že dceřiné podniky nejsou plně konsolidovány v rámci obezřetnostní konsolidace, nebo proto, že v souladu s článkem 19 nařízení o kapitálových požadavcích jsou dceřiné podniky vyloučeny z obezřetnostní konsolidace jako nepodstatné, nebo proto, že v případě institucí, které jsou součástí širší skupiny, jsou dceřiné podniky součástí nejvyššího mateřského podniku, nikoli součástí dané instituce. V položce „přidružené a společné podniky“ instituce uvádějí příslušné podíly na zůstatcích a převodech u společných a přidružených podniků v rámci skupiny, do níž příslušný subjekt náleží, pakliže nebyly eliminovány na základě poměrné konsolidace.</w:t>
      </w:r>
    </w:p>
    <w:p w:rsidR="009569C7" w:rsidRPr="00EC4FA2" w:rsidRDefault="00A834F1" w:rsidP="009569C7">
      <w:pPr>
        <w:pStyle w:val="sub-subtitlenumbered"/>
        <w:jc w:val="both"/>
      </w:pPr>
      <w:bookmarkStart w:id="290" w:name="_Toc361844251"/>
      <w:bookmarkStart w:id="291" w:name="_Toc362359322"/>
      <w:bookmarkStart w:id="292" w:name="_Toc467855257"/>
      <w:bookmarkStart w:id="293" w:name="_Toc485708593"/>
      <w:r>
        <w:t>Spřízněné strany: závazky a pohledávky vůči spřízněným stranám (31.1)</w:t>
      </w:r>
      <w:bookmarkEnd w:id="290"/>
      <w:bookmarkEnd w:id="291"/>
      <w:bookmarkEnd w:id="292"/>
      <w:bookmarkEnd w:id="293"/>
    </w:p>
    <w:p w:rsidR="009569C7" w:rsidRPr="00EC4FA2" w:rsidRDefault="00A834F1" w:rsidP="009569C7">
      <w:pPr>
        <w:pStyle w:val="Baseparagraphnumbered"/>
      </w:pPr>
      <w:r>
        <w:t>U „přijatých úvěrových příslibů, finančních záruk a jiných příslibů“ jsou vykazované částky součtem „nominální hodnoty“ přijatých úvěrových a jiných příslibů a „maximální akceptovatelné výše záruky“ přijatých finančních záruk ve smyslu odstavce 119 této části.</w:t>
      </w:r>
    </w:p>
    <w:p w:rsidR="009569C7" w:rsidRPr="00EC4FA2" w:rsidRDefault="00A834F1" w:rsidP="009569C7">
      <w:pPr>
        <w:pStyle w:val="Baseparagraphnumbered"/>
      </w:pPr>
      <w:r>
        <w:t>„Kumulované ztráty ze znehodnocení a kumulované záporné změny reálné hodnoty v důsledku úvěrového rizika nevýkonných expozic“ se vykazují podle ustanovení odstavců 69 až 71 této části pouze u nevýkonných expozic. „Rezervy na nevýkonné podrozvahové expozice“ zahrnují rezervy vymezené v odstavcích 11, 106 a 111 této části v případě expozic, které jsou nevýkonné v souladu s odstavci 213 až 239 této části.</w:t>
      </w:r>
    </w:p>
    <w:p w:rsidR="009569C7" w:rsidRPr="00EC4FA2" w:rsidRDefault="00A834F1" w:rsidP="009569C7">
      <w:pPr>
        <w:pStyle w:val="sub-subtitlenumbered"/>
        <w:jc w:val="both"/>
      </w:pPr>
      <w:bookmarkStart w:id="294" w:name="_Toc246513988"/>
      <w:bookmarkStart w:id="295" w:name="_Toc246730660"/>
      <w:bookmarkStart w:id="296" w:name="_Toc246730751"/>
      <w:bookmarkStart w:id="297" w:name="_Toc246513990"/>
      <w:bookmarkStart w:id="298" w:name="_Toc246730662"/>
      <w:bookmarkStart w:id="299" w:name="_Toc246730753"/>
      <w:bookmarkStart w:id="300" w:name="_Toc246513995"/>
      <w:bookmarkStart w:id="301" w:name="_Toc246730667"/>
      <w:bookmarkStart w:id="302" w:name="_Toc246730758"/>
      <w:bookmarkStart w:id="303" w:name="_Toc246513999"/>
      <w:bookmarkStart w:id="304" w:name="_Toc246730671"/>
      <w:bookmarkStart w:id="305" w:name="_Toc246730762"/>
      <w:bookmarkStart w:id="306" w:name="_Toc246514001"/>
      <w:bookmarkStart w:id="307" w:name="_Toc246730673"/>
      <w:bookmarkStart w:id="308" w:name="_Toc246730764"/>
      <w:bookmarkStart w:id="309" w:name="_Toc361844252"/>
      <w:bookmarkStart w:id="310" w:name="_Toc362359323"/>
      <w:bookmarkStart w:id="311" w:name="_Toc467855258"/>
      <w:bookmarkStart w:id="312" w:name="_Toc485708594"/>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t>Spřízněné strany: náklady a výnosy vznikající na základě transakcí s těmito stranami (31.2)</w:t>
      </w:r>
      <w:bookmarkEnd w:id="309"/>
      <w:bookmarkEnd w:id="310"/>
      <w:bookmarkEnd w:id="311"/>
      <w:bookmarkEnd w:id="312"/>
    </w:p>
    <w:p w:rsidR="009569C7" w:rsidRPr="00EC4FA2" w:rsidRDefault="00A834F1" w:rsidP="009569C7">
      <w:pPr>
        <w:pStyle w:val="Baseparagraphnumbered"/>
      </w:pPr>
      <w:r>
        <w:t xml:space="preserve">„Zisky nebo ztráty z odúčtování jiných než finančních aktiv“ zahrnují veškeré zisky a ztráty z odúčtování nefinančních aktiv vzniklé na základě transakcí se spřízněnými stranami. Tato položka zahrnuje zisky a ztráty z </w:t>
      </w:r>
      <w:r>
        <w:lastRenderedPageBreak/>
        <w:t xml:space="preserve">odúčtování nefinančních aktiv, které vznikly na základě transakcí se spřízněnými stranami a které jsou součástí následujících položek „výkazu zisku nebo ztráty“: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„zisky nebo ztráty z odúčtování investic do dceřiných, společných a přidružených podniků“, pokud se vykazují podle vnitrostátních GAAP založených na BAD;</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„zisky nebo ztráty z odúčtování nefinančních aktiv“;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„zisk nebo ztráta z neoběžných aktiv a vyřazovaných skupin klasifikovaných jako držené k prodeji, které se nekvalifikují jako ukončované činnosti;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„zisk nebo ztráta po zdanění z ukončovaných činností“.</w:t>
      </w:r>
    </w:p>
    <w:p w:rsidR="009569C7" w:rsidRPr="00EC4FA2" w:rsidRDefault="00A834F1" w:rsidP="009569C7">
      <w:pPr>
        <w:pStyle w:val="Baseparagraphnumbered"/>
      </w:pPr>
      <w:r>
        <w:t xml:space="preserve">„Ztráta ze znehodnocení nebo (-) zrušení ztráty ze znehodnocení u nevýkonných expozic“ zahrnuje ztráty ze znehodnocení vymezené v odstavcích 51 až 53 této části v případě expozic, které jsou nevýkonné v souladu s odstavci 213 až 239 této části. „Rezervy nebo (-) zrušení rezerv u nevýkonných expozic“ zahrnuje rezervy vymezené v odstavci 50 této části v případě podrozvahových expozic, které jsou nevýkonné v souladu s odstavci 213 až 239 této části. </w:t>
      </w:r>
    </w:p>
    <w:p w:rsidR="009569C7" w:rsidRPr="00EC4FA2" w:rsidRDefault="00A834F1" w:rsidP="009569C7">
      <w:pPr>
        <w:pStyle w:val="subtitlenumbered"/>
        <w:keepNext/>
        <w:ind w:left="357" w:hanging="357"/>
        <w:jc w:val="both"/>
      </w:pPr>
      <w:bookmarkStart w:id="313" w:name="_Toc362359324"/>
      <w:bookmarkStart w:id="314" w:name="_Toc467855259"/>
      <w:bookmarkStart w:id="315" w:name="_Toc361844253"/>
      <w:bookmarkStart w:id="316" w:name="_Toc485708595"/>
      <w:r>
        <w:t>Struktura skupiny (40)</w:t>
      </w:r>
      <w:bookmarkEnd w:id="313"/>
      <w:bookmarkEnd w:id="314"/>
      <w:bookmarkEnd w:id="316"/>
    </w:p>
    <w:bookmarkEnd w:id="315"/>
    <w:p w:rsidR="009569C7" w:rsidRPr="00EC4FA2" w:rsidRDefault="00A834F1" w:rsidP="009569C7">
      <w:pPr>
        <w:pStyle w:val="Baseparagraphnumbered"/>
      </w:pPr>
      <w:r>
        <w:t xml:space="preserve">Instituce poskytnou k datu vykázání podrobné informace o dceřiných, společných a přidružených podnicích plně nebo úměrně konsolidovaných v účetním rámci konsolidace a také subjektech vykazovaných jako „investice do dceřiných, společných a přidružených podniků“ v souladu s odstavcem 4 </w:t>
      </w:r>
      <w:proofErr w:type="gramStart"/>
      <w:r>
        <w:t>této</w:t>
      </w:r>
      <w:proofErr w:type="gramEnd"/>
      <w:r>
        <w:t xml:space="preserve"> části, včetně rovněž těch subjektů, v nichž jsou investice drženy za účelem prodeje podle IFRS 5. Vykazují se všechny subjekty bez ohledu na typ činnosti, kterou vykonávají. </w:t>
      </w:r>
    </w:p>
    <w:p w:rsidR="009569C7" w:rsidRPr="00EC4FA2" w:rsidRDefault="00A834F1" w:rsidP="009569C7">
      <w:pPr>
        <w:pStyle w:val="Baseparagraphnumbered"/>
      </w:pPr>
      <w:r>
        <w:t xml:space="preserve"> Kapitálové nástroje, které nesplňují kritéria pro klasifikaci jako investice do dceřiných, společných a přidružených podniků, a vlastní akcie vykazující instituce, které vlastní („vlastní akcie podniku“), jsou vyloučeny z rozsahu této šablony.</w:t>
      </w:r>
    </w:p>
    <w:p w:rsidR="009569C7" w:rsidRPr="00EC4FA2" w:rsidRDefault="00A834F1" w:rsidP="009569C7">
      <w:pPr>
        <w:pStyle w:val="sub-subtitlenumbered"/>
        <w:jc w:val="both"/>
      </w:pPr>
      <w:bookmarkStart w:id="317" w:name="_Toc361844254"/>
      <w:bookmarkStart w:id="318" w:name="_Toc362359325"/>
      <w:bookmarkStart w:id="319" w:name="_Toc467855260"/>
      <w:bookmarkStart w:id="320" w:name="_Toc485708596"/>
      <w:r>
        <w:t>Struktura skupiny: „členové jednotlivě“ (40.1)</w:t>
      </w:r>
      <w:bookmarkEnd w:id="317"/>
      <w:bookmarkEnd w:id="318"/>
      <w:bookmarkEnd w:id="319"/>
      <w:bookmarkEnd w:id="320"/>
    </w:p>
    <w:p w:rsidR="009569C7" w:rsidRPr="00EC4FA2" w:rsidRDefault="00A834F1" w:rsidP="009569C7">
      <w:pPr>
        <w:pStyle w:val="Baseparagraphnumbered"/>
      </w:pPr>
      <w:r>
        <w:t>Na základě struktury „členové jednotlivě“ se oznamují tyto informace a pro účely příloh III a IV a rovněž této přílohy se používají tyto definice: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„LEI“ je identifikační kód právnické osoby té jednotky, do které se investovalo. Existuje-li kód LEI pro tu jednotku, do které se investovalo, vykáže se;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„kód subjektu“ je identifikační kód jednotky, do které se investovalo. Kód subjektu je identifikátorem řádku a je pro každý řádek v šabloně 40.1 jedinečný;</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„název subjektu“ je název jednotky, do které se investovalo;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„datem vstupu“ se rozumí datum, k němuž jednotka, do které se investovalo, vstoupila do „skupiny“;</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„základním kapitálem jednotky, do které se investovalo“ se rozumí celková výše kapitálu vydaného jednotkou, do které se investovalo, k referenčnímu datu;</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„vlastní kapitál jednotky, do které se investovalo“, „celková aktiva jednotky, do které se investovalo“ a „zisk (nebo ztráta) jednotky, do které se investovalo“ zahrnují hodnoty těchto položek v posledních účetních závěrkách jednotky, do které se investovalo;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„sídlem jednotky, do které se investovalo“ se rozumí země, v níž má jednotka, do které se investovalo, své sídlo;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„sektorem jednotky, do které se investovalo“ se rozumí sektor protistrany ve smyslu definovaném v odstavci 42 části první této přílohy;</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„kód NACE“ se stanoví na základě hlavní činnosti jednotky, do které se investovalo. U nefinančních podniků se kódy NACE vykazují na úrovni prvního stupně třídění („podle oddílu“); u finančních podniků se kódy NACE vykazují na úrovni dvoustupňového třídění (podle „divize“);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„kumulovaný podíl na vlastním kapitálu (%)“ je procentuálně vyjádřený podíl vlastnických nástrojů, které má daná instituce k referenčnímu datu ve svém držení;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„hlasovacími právy (%)“ se rozumí procentuálně vyjádřený podíl hlasovacích práv spojených s vlastnickými nástroji, které má daná instituce k referenčnímu datu ve svém držení;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„struktura skupiny [vztah]“ určuje vztah mezi poslední mateřskou společností a jednotkou, do které se investovalo (mateřská společnost nebo subjekt se společnou kontrolou vykazující instituce a dceřiného, společného nebo přidruženého podniku);</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„účetní postup [účetní skupina]“ určuje vztah mezi účetním postupem uplatněným v rámci účetní konsolidace (úplná konsolidace, poměrná konsolidace, ekvivalenční metoda nebo jiná);</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„účetní postup [skupina podle CRR]“ určuje vztah mezi účetním postupem uplatněným v rámci konsolidace podle CRR (úplná konsolidace, poměrná konsolidace, ekvivalenční metoda nebo jiná);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„účetní hodnotou“ se rozumí částky vykazované v rozvaze dané instituce pro jednotku, do které se investovalo, které nejsou ani úplně, ani poměrně konsolidovány;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„pořizovacími náklady“ se rozumí částka uhrazená investory;</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„vazbou goodwillu na jednotku, do které se investovalo“, se rozumí hodnota goodwillu vykázána v konsolidované rozvaze vykazující instituce pro jednotku, do které se investovalo, v položkách „goodwill“ nebo „investice do dceřiných, společných a přidružených podniků“;</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„reálnou hodnotou investic, u nichž se zveřejňují kotované ceny“, se rozumí cena k referenčnímu datu; uvede se pouze tehdy, jsou-li dané nástroje kotované.</w:t>
      </w:r>
    </w:p>
    <w:p w:rsidR="009569C7" w:rsidRPr="00EC4FA2" w:rsidRDefault="00A834F1" w:rsidP="009569C7">
      <w:pPr>
        <w:pStyle w:val="sub-subtitlenumbered"/>
        <w:keepNext/>
        <w:ind w:left="788" w:hanging="431"/>
        <w:jc w:val="both"/>
      </w:pPr>
      <w:bookmarkStart w:id="321" w:name="_Toc361844255"/>
      <w:bookmarkStart w:id="322" w:name="_Toc362359326"/>
      <w:bookmarkStart w:id="323" w:name="_Toc467855261"/>
      <w:bookmarkStart w:id="324" w:name="_Toc485708597"/>
      <w:r>
        <w:t>Struktura skupiny: „nástroje jednotlivě“ (40.2)</w:t>
      </w:r>
      <w:bookmarkEnd w:id="321"/>
      <w:bookmarkEnd w:id="322"/>
      <w:bookmarkEnd w:id="323"/>
      <w:bookmarkEnd w:id="324"/>
    </w:p>
    <w:p w:rsidR="009569C7" w:rsidRPr="00EC4FA2" w:rsidRDefault="00A834F1" w:rsidP="009569C7">
      <w:pPr>
        <w:pStyle w:val="Baseparagraphnumbered"/>
      </w:pPr>
      <w:r>
        <w:t>Následující informace se vykazují na základě struktury „nástroje jednotlivě“:</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„kód cenného papíru“ představuje mezinárodní identifikační číslo cenného papíru (ISIN). U cenných papírů, které nemají přidělený kód ISIN, jím je jiný kód, který jednoznačně identifikuje daný cenný papír. „Kód cenného papíru“ a „kód holdingové společnosti“ jsou složeným identifikátorem řádku, jenž je společně pro každý řádek v šabloně 40.2 jedinečný;</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„kód holdingové společnosti“ je identifikační kód subjektu v rámci skupiny, která je držitelem příslušné investice; „kód LEI holdingové společnosti“ je kód LEI pro společnost, která je držitelem cenných papírů. Existuje-li kód LEI pro holdingovou společnost, vykáže se;</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položky „kód subjektu“, „kumulovaný podíl na vlastním kapitálu (%)“, „účetní hodnota“ a „pořizovací náklady“ jsou definovány výše. Částky odpovídají cennému papíru, který má v držení spřízněná holdingová společnost.</w:t>
      </w:r>
    </w:p>
    <w:p w:rsidR="009569C7" w:rsidRPr="00EC4FA2" w:rsidRDefault="00A834F1" w:rsidP="009569C7">
      <w:pPr>
        <w:pStyle w:val="subtitlenumbered"/>
        <w:numPr>
          <w:ilvl w:val="0"/>
          <w:numId w:val="17"/>
        </w:numPr>
        <w:jc w:val="both"/>
      </w:pPr>
      <w:bookmarkStart w:id="325" w:name="_Toc361844256"/>
      <w:bookmarkStart w:id="326" w:name="_Toc362359327"/>
      <w:bookmarkStart w:id="327" w:name="_Toc467855262"/>
      <w:bookmarkStart w:id="328" w:name="_Toc485708598"/>
      <w:r>
        <w:t>Reálná hodnota (41)</w:t>
      </w:r>
      <w:bookmarkEnd w:id="325"/>
      <w:bookmarkEnd w:id="326"/>
      <w:bookmarkEnd w:id="327"/>
      <w:bookmarkEnd w:id="328"/>
    </w:p>
    <w:p w:rsidR="009569C7" w:rsidRPr="00EC4FA2" w:rsidRDefault="00A834F1" w:rsidP="009569C7">
      <w:pPr>
        <w:pStyle w:val="sub-subtitlenumbered"/>
        <w:jc w:val="both"/>
      </w:pPr>
      <w:bookmarkStart w:id="329" w:name="_Toc361844257"/>
      <w:bookmarkStart w:id="330" w:name="_Toc362359328"/>
      <w:bookmarkStart w:id="331" w:name="_Toc467855263"/>
      <w:bookmarkStart w:id="332" w:name="_Toc485708599"/>
      <w:r>
        <w:t>Hierarchie reálné hodnoty: finanční nástroje v naběhlé hodnotě (41.1)</w:t>
      </w:r>
      <w:bookmarkEnd w:id="329"/>
      <w:bookmarkEnd w:id="330"/>
      <w:bookmarkEnd w:id="331"/>
      <w:bookmarkEnd w:id="332"/>
      <w:r>
        <w:t xml:space="preserve"> </w:t>
      </w:r>
    </w:p>
    <w:p w:rsidR="009569C7" w:rsidRPr="00EC4FA2" w:rsidRDefault="00A834F1" w:rsidP="009569C7">
      <w:pPr>
        <w:pStyle w:val="Baseparagraphnumbered"/>
      </w:pPr>
      <w:r>
        <w:t>V této šabloně se uvádějí informace o reálné hodnotě finančních nástrojů oceněných naběhlou hodnotou za použití hierarchie podle odstavců 72, 76, 81 a 86 IFRS 13. Pokud vnitrostátní GAAP založené na BAD vyžadují také rozčlenění aktiv oceněných reálnou hodnotou mezi různé úrovně reálné hodnoty, instituce vykáží podle vnitrostátních GAAP rovněž tuto šablonu.</w:t>
      </w:r>
    </w:p>
    <w:p w:rsidR="009569C7" w:rsidRPr="00EC4FA2" w:rsidRDefault="00A834F1" w:rsidP="009569C7">
      <w:pPr>
        <w:pStyle w:val="sub-subtitlenumbered"/>
        <w:jc w:val="both"/>
      </w:pPr>
      <w:bookmarkStart w:id="333" w:name="_Toc361844258"/>
      <w:bookmarkStart w:id="334" w:name="_Toc362359329"/>
      <w:bookmarkStart w:id="335" w:name="_Toc467855264"/>
      <w:bookmarkStart w:id="336" w:name="_Toc485708600"/>
      <w:r>
        <w:t>Použití možnosti ocenění reálnou hodnotu (41.2)</w:t>
      </w:r>
      <w:bookmarkEnd w:id="333"/>
      <w:bookmarkEnd w:id="334"/>
      <w:bookmarkEnd w:id="335"/>
      <w:bookmarkEnd w:id="336"/>
    </w:p>
    <w:p w:rsidR="009569C7" w:rsidRPr="00EC4FA2" w:rsidRDefault="00A834F1" w:rsidP="009569C7">
      <w:pPr>
        <w:pStyle w:val="Baseparagraphnumbered"/>
      </w:pPr>
      <w:r>
        <w:t xml:space="preserve">V této šabloně se uvádějí informace o využití možnosti ocenění reálnou hodnotou týkající se finančních aktiv a závazků v reálné hodnotě vykázané do zisku nebo ztráty. </w:t>
      </w:r>
    </w:p>
    <w:p w:rsidR="009569C7" w:rsidRPr="00EC4FA2" w:rsidRDefault="00A834F1" w:rsidP="009569C7">
      <w:pPr>
        <w:pStyle w:val="Baseparagraphnumbered"/>
      </w:pPr>
      <w:r>
        <w:t>Položka „hybridní kontrakty“ zahrnuje v případě závazků účetní hodnotu hybridních finančních nástrojů zařazených jako celek do těchto účetních portfolií; tzn., že se v ní uvádějí neoddělené hybridní nástroje v celém svém rozsahu.</w:t>
      </w:r>
    </w:p>
    <w:p w:rsidR="009569C7" w:rsidRPr="00EC4FA2" w:rsidRDefault="00A834F1" w:rsidP="009569C7">
      <w:pPr>
        <w:pStyle w:val="Baseparagraphnumbered"/>
      </w:pPr>
      <w:r>
        <w:t xml:space="preserve">„Použití k řízení úvěrového rizika“ zahrnuje účetní hodnotu nástrojů určených za oceněné reálnou hodnotou do zisku nebo ztráty při příležitosti jejich zajištění vůči úvěrovému riziku úvěrovými deriváty oceněnými reálnou hodnotou do zisku nebo ztráty v souladu s odstavcem 6.7 IFRS 9. </w:t>
      </w:r>
    </w:p>
    <w:p w:rsidR="009569C7" w:rsidRPr="00EC4FA2" w:rsidRDefault="00A834F1" w:rsidP="009569C7">
      <w:pPr>
        <w:pStyle w:val="subtitlenumbered"/>
        <w:jc w:val="both"/>
      </w:pPr>
      <w:bookmarkStart w:id="337" w:name="_Toc361844260"/>
      <w:bookmarkStart w:id="338" w:name="_Toc362359331"/>
      <w:bookmarkStart w:id="339" w:name="_Toc467855265"/>
      <w:bookmarkStart w:id="340" w:name="_Toc485708601"/>
      <w:r>
        <w:lastRenderedPageBreak/>
        <w:t>Hmotná a nehmotná aktiva: účetní hodnota podle metody oceňování (42)</w:t>
      </w:r>
      <w:bookmarkEnd w:id="337"/>
      <w:bookmarkEnd w:id="338"/>
      <w:bookmarkEnd w:id="339"/>
      <w:bookmarkEnd w:id="340"/>
    </w:p>
    <w:p w:rsidR="009569C7" w:rsidRPr="00EC4FA2" w:rsidRDefault="00A834F1" w:rsidP="009569C7">
      <w:pPr>
        <w:pStyle w:val="Baseparagraphnumbered"/>
      </w:pPr>
      <w:r>
        <w:t xml:space="preserve"> „Pozemky, budovy a zařízení“, „investiční nemovitý majetek“ a „jiná nehmotná aktiva“ se vykáží podle kritérií použitých při oceňování jejich hodnoty.</w:t>
      </w:r>
    </w:p>
    <w:p w:rsidR="009569C7" w:rsidRPr="00EC4FA2" w:rsidRDefault="00A834F1" w:rsidP="009569C7">
      <w:pPr>
        <w:pStyle w:val="Baseparagraphnumbered"/>
      </w:pPr>
      <w:r>
        <w:t>„Ostatní nehmotná aktiva“ zahrnují všechna ostatní nehmotná aktiva kromě goodwillu.</w:t>
      </w:r>
    </w:p>
    <w:p w:rsidR="009569C7" w:rsidRPr="00EC4FA2" w:rsidRDefault="00A834F1" w:rsidP="009569C7">
      <w:pPr>
        <w:pStyle w:val="subtitlenumbered"/>
        <w:numPr>
          <w:ilvl w:val="0"/>
          <w:numId w:val="17"/>
        </w:numPr>
        <w:jc w:val="both"/>
      </w:pPr>
      <w:bookmarkStart w:id="341" w:name="_Toc361844261"/>
      <w:bookmarkStart w:id="342" w:name="_Toc362359332"/>
      <w:bookmarkStart w:id="343" w:name="_Toc467855266"/>
      <w:bookmarkStart w:id="344" w:name="_Toc485708602"/>
      <w:r>
        <w:t>Rezervy (43)</w:t>
      </w:r>
      <w:bookmarkEnd w:id="341"/>
      <w:bookmarkEnd w:id="342"/>
      <w:bookmarkEnd w:id="343"/>
      <w:bookmarkEnd w:id="344"/>
    </w:p>
    <w:p w:rsidR="009569C7" w:rsidRPr="00EC4FA2" w:rsidRDefault="00A834F1" w:rsidP="009569C7">
      <w:pPr>
        <w:pStyle w:val="Baseparagraphnumbered"/>
      </w:pPr>
      <w:r>
        <w:t>Tato šablona obsahuje bilanci účetní hodnoty položky „rezervy“ na začátku a na konci období podle povahy jednotlivých pohybů, kromě rezerv oceněných podle IFRS 9, které se namísto toho vykazují v šabloně 12.</w:t>
      </w:r>
    </w:p>
    <w:p w:rsidR="009569C7" w:rsidRPr="00EC4FA2" w:rsidRDefault="00A834F1" w:rsidP="009569C7">
      <w:pPr>
        <w:pStyle w:val="Baseparagraphnumbered"/>
      </w:pPr>
      <w:r>
        <w:t xml:space="preserve">„Ostatní poskytnuté přísliby a záruky oceněné podle IAS 37 a poskytnuté záruky oceněné podle IFRS 4“ zahrnují rezervy oceněné podle IAS 37 a úvěrové ztráty z finančních záruk považovaných za pojišťovací smlouvy podle IFRS 4. </w:t>
      </w:r>
    </w:p>
    <w:p w:rsidR="009569C7" w:rsidRPr="00EC4FA2" w:rsidRDefault="00A834F1" w:rsidP="009569C7">
      <w:pPr>
        <w:pStyle w:val="subtitlenumbered"/>
        <w:numPr>
          <w:ilvl w:val="0"/>
          <w:numId w:val="17"/>
        </w:numPr>
        <w:jc w:val="both"/>
      </w:pPr>
      <w:bookmarkStart w:id="345" w:name="_Toc361844262"/>
      <w:bookmarkStart w:id="346" w:name="_Toc362359333"/>
      <w:bookmarkStart w:id="347" w:name="_Toc467855267"/>
      <w:bookmarkStart w:id="348" w:name="_Toc485708603"/>
      <w:r>
        <w:t>Plány definovaných požitků a zaměstnanecké požitky (44)</w:t>
      </w:r>
      <w:bookmarkEnd w:id="345"/>
      <w:bookmarkEnd w:id="346"/>
      <w:bookmarkEnd w:id="347"/>
      <w:bookmarkEnd w:id="348"/>
    </w:p>
    <w:p w:rsidR="009569C7" w:rsidRPr="00EC4FA2" w:rsidRDefault="00A834F1" w:rsidP="009569C7">
      <w:pPr>
        <w:pStyle w:val="Baseparagraphnumbered"/>
      </w:pPr>
      <w:r>
        <w:t>Tyto šablony zahrnují kumulované informace o všech plánech definovaných požitků dané instituce. Existuje-li více než jeden plán definovaných požitků, vykáže se souhrnná částka odpovídající všem plánům.</w:t>
      </w:r>
    </w:p>
    <w:p w:rsidR="009569C7" w:rsidRPr="00EC4FA2" w:rsidRDefault="00A834F1" w:rsidP="009569C7">
      <w:pPr>
        <w:pStyle w:val="sub-subtitlenumbered"/>
        <w:keepNext/>
        <w:ind w:left="788" w:hanging="431"/>
        <w:jc w:val="both"/>
      </w:pPr>
      <w:bookmarkStart w:id="349" w:name="_Toc361844263"/>
      <w:bookmarkStart w:id="350" w:name="_Toc362359334"/>
      <w:bookmarkStart w:id="351" w:name="_Toc467855268"/>
      <w:bookmarkStart w:id="352" w:name="_Toc485708604"/>
      <w:r>
        <w:t>Složky čistých aktiv a závazků v plánech definovaných požitků (44.1)</w:t>
      </w:r>
      <w:bookmarkEnd w:id="349"/>
      <w:bookmarkEnd w:id="350"/>
      <w:bookmarkEnd w:id="351"/>
      <w:bookmarkEnd w:id="352"/>
    </w:p>
    <w:p w:rsidR="009569C7" w:rsidRPr="00EC4FA2" w:rsidRDefault="00A834F1" w:rsidP="009569C7">
      <w:pPr>
        <w:pStyle w:val="Baseparagraphnumbered"/>
      </w:pPr>
      <w:r>
        <w:t>V šabloně složek čistých aktiv a závazků v plánech definovaných požitků se uvádí bilance kumulované současné hodnoty všech čistých závazků (aktiv) definovaných požitků a práv na náhradu [odst. 140 písm. a) a b) IAS 19].</w:t>
      </w:r>
    </w:p>
    <w:p w:rsidR="009569C7" w:rsidRPr="00EC4FA2" w:rsidRDefault="00A834F1" w:rsidP="009569C7">
      <w:pPr>
        <w:pStyle w:val="Baseparagraphnumbered"/>
      </w:pPr>
      <w:r>
        <w:t xml:space="preserve">Položka „čistá aktiva z definovaných požitků“ zahrnuje v případě přebytku hodnotu tohoto přebytku, která je vykázána v rozvaze, bez uplatnění mezních hodnot stanovených v odst. 63 IAS 19. Částka uvedená v této položce a částka uvedená v doplňkové položce „reálná hodnota práva na náhradu vykázaného jako aktivum“ se uvede v rozvahové položce „ostatní aktiva“. </w:t>
      </w:r>
    </w:p>
    <w:p w:rsidR="009569C7" w:rsidRPr="00EC4FA2" w:rsidRDefault="00A834F1" w:rsidP="009569C7">
      <w:pPr>
        <w:pStyle w:val="sub-subtitlenumbered"/>
        <w:jc w:val="both"/>
      </w:pPr>
      <w:r>
        <w:t xml:space="preserve"> </w:t>
      </w:r>
      <w:bookmarkStart w:id="353" w:name="_Toc361844264"/>
      <w:bookmarkStart w:id="354" w:name="_Toc362359335"/>
      <w:bookmarkStart w:id="355" w:name="_Toc467855269"/>
      <w:bookmarkStart w:id="356" w:name="_Toc485708605"/>
      <w:r>
        <w:t>Pohyby závazků z plánů definovaných požitků (44.2)</w:t>
      </w:r>
      <w:bookmarkEnd w:id="353"/>
      <w:bookmarkEnd w:id="354"/>
      <w:bookmarkEnd w:id="355"/>
      <w:bookmarkEnd w:id="356"/>
    </w:p>
    <w:p w:rsidR="009569C7" w:rsidRPr="00EC4FA2" w:rsidRDefault="00A834F1" w:rsidP="009569C7">
      <w:pPr>
        <w:pStyle w:val="Baseparagraphnumbered"/>
      </w:pPr>
      <w:r>
        <w:t>V šabloně pohybů závazků z plánů definovaných požitků se uvádí bilance počátečních a konečných zůstatků závazků ze všech definovaných požitků dané instituce vyjádřených v kumulované současné hodnotě. Účinky různých faktorů uvedených v odst. 141 IAS 19 během daného období se uvádějí samostatně.</w:t>
      </w:r>
    </w:p>
    <w:p w:rsidR="009569C7" w:rsidRPr="00EC4FA2" w:rsidRDefault="00A834F1" w:rsidP="009569C7">
      <w:pPr>
        <w:pStyle w:val="Baseparagraphnumbered"/>
      </w:pPr>
      <w:r>
        <w:t>Hodnota „konečného zůstatku [současná hodnota]“ v šabloně pro pohyby závazků z definovaných požitků je rovna „současné hodnotě závazků z definovaných požitků“.</w:t>
      </w:r>
    </w:p>
    <w:p w:rsidR="009569C7" w:rsidRPr="00EC4FA2" w:rsidRDefault="00A834F1" w:rsidP="009569C7">
      <w:pPr>
        <w:pStyle w:val="sub-subtitlenumbered"/>
        <w:jc w:val="both"/>
      </w:pPr>
      <w:bookmarkStart w:id="357" w:name="_Toc361844265"/>
      <w:bookmarkStart w:id="358" w:name="_Toc362359336"/>
      <w:bookmarkStart w:id="359" w:name="_Toc467855270"/>
      <w:bookmarkStart w:id="360" w:name="_Toc485708606"/>
      <w:r>
        <w:lastRenderedPageBreak/>
        <w:t>Doplňkové položky [týkající se nákladů na zaměstnance] (44.3)</w:t>
      </w:r>
      <w:bookmarkEnd w:id="357"/>
      <w:bookmarkEnd w:id="358"/>
      <w:bookmarkEnd w:id="359"/>
      <w:bookmarkEnd w:id="360"/>
    </w:p>
    <w:p w:rsidR="009569C7" w:rsidRPr="00EC4FA2" w:rsidRDefault="00A834F1" w:rsidP="009569C7">
      <w:pPr>
        <w:pStyle w:val="Baseparagraphnumbered"/>
      </w:pPr>
      <w:r>
        <w:t xml:space="preserve">Při vykazování doplňkových položek týkajících se nákladů na zaměstnance se použijí tyto definice: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bookmarkStart w:id="361" w:name="_GoBack"/>
      <w:bookmarkEnd w:id="361"/>
      <w:r>
        <w:rPr>
          <w:rFonts w:ascii="Times New Roman" w:hAnsi="Times New Roman"/>
          <w:sz w:val="24"/>
        </w:rPr>
        <w:t xml:space="preserve">v položce „penzijní a podobné náklady“ se uvede částka uznaná pro dané období jako náklady na zaměstnance – závazky ze zaměstnaneckých požitků (definovaných plánů příspěvků i definovaných plánů požitků) a příspěvky do fondů sociálního zabezpečení;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„úhrady vázané na akcie“ zahrnují částku uznanou v daném období jako výdaje na zaměstnance pro úhrady vázané na akcie.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485708607"/>
      <w:r>
        <w:t>Struktura vybraných položek výkazu zisku nebo ztráty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485708608"/>
      <w:r>
        <w:t>Zisky nebo ztráty z finančních aktiv a závazků v reálné hodnotě vykázané do zisku nebo ztráty podle účetního portfolia (45.1)</w:t>
      </w:r>
      <w:bookmarkEnd w:id="366"/>
      <w:bookmarkEnd w:id="369"/>
    </w:p>
    <w:p w:rsidR="009569C7" w:rsidRPr="00EC4FA2" w:rsidRDefault="00A834F1" w:rsidP="009569C7">
      <w:pPr>
        <w:pStyle w:val="Baseparagraphnumbered"/>
      </w:pPr>
      <w:r>
        <w:t>„Finanční závazky určené za oceněné reálnou hodnotou do zisku nebo ztráty“ zahrnují pouze zisky nebo ztráty z důvodu změny vlastního úvěrového rizika těch subjektů, které vydaly závazky určené za oceněné reálnou hodnotou do zisku nebo ztráty, rozhodla-li se vykazující instituce zaúčtovat je do zisku nebo ztráty, neboť zaúčtování do ostatního úplného výsledku by vytvořilo nebo zvýšilo účetní nesoulad.</w:t>
      </w:r>
    </w:p>
    <w:p w:rsidR="009569C7" w:rsidRPr="00EC4FA2" w:rsidRDefault="00A834F1" w:rsidP="009569C7">
      <w:pPr>
        <w:pStyle w:val="sub-subtitlenumbered"/>
        <w:jc w:val="both"/>
      </w:pPr>
      <w:bookmarkStart w:id="370" w:name="_Toc467855273"/>
      <w:bookmarkStart w:id="371" w:name="_Toc485708609"/>
      <w:r>
        <w:t>Zisky nebo ztráty z odúčtování nefinančních aktiv (45.2)</w:t>
      </w:r>
      <w:bookmarkEnd w:id="367"/>
      <w:bookmarkEnd w:id="368"/>
      <w:bookmarkEnd w:id="370"/>
      <w:bookmarkEnd w:id="371"/>
    </w:p>
    <w:p w:rsidR="009569C7" w:rsidRPr="00EC4FA2" w:rsidRDefault="00A834F1" w:rsidP="009569C7">
      <w:pPr>
        <w:pStyle w:val="Baseparagraphnumbered"/>
      </w:pPr>
      <w:r>
        <w:t xml:space="preserve">„Zisky nebo ztráty z odúčtování nefinančních aktiv“ se rozčlení podle typu aktiva; v každé řádkové položce se uvede zisk nebo ztráta z daného aktiva, které bylo odúčtováno. „Ostatní aktiva“ zahrnují jiná hmotná aktiva, nehmotná aktiva a investice nevykázané jinde.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485708610"/>
      <w:r>
        <w:t>Ostatní provozní výnosy a náklady (45.3)</w:t>
      </w:r>
      <w:bookmarkEnd w:id="372"/>
      <w:bookmarkEnd w:id="373"/>
      <w:bookmarkEnd w:id="374"/>
      <w:bookmarkEnd w:id="375"/>
    </w:p>
    <w:p w:rsidR="009569C7" w:rsidRPr="00EC4FA2" w:rsidRDefault="00A834F1" w:rsidP="009569C7">
      <w:pPr>
        <w:pStyle w:val="Baseparagraphnumbered"/>
      </w:pPr>
      <w:r>
        <w:t xml:space="preserve">Ostatní provozní výnosy a náklady se rozčlení do následujících položek: úpravy reálné hodnoty hmotných aktiv oceněné pomocí modelu oceňování reálnou hodnotou; výnosy z nájemného a přímé provozní výdaje vzniklé z investic do nemovitostí; příjmy a výdaje vzniklé na základě operačního leasingu, kromě investic do nemovitostí, a ostatní provozní výnosy a náklady. </w:t>
      </w:r>
    </w:p>
    <w:p w:rsidR="009569C7" w:rsidRPr="00EC4FA2" w:rsidRDefault="00A834F1" w:rsidP="009569C7">
      <w:pPr>
        <w:pStyle w:val="Baseparagraphnumbered"/>
      </w:pPr>
      <w:r>
        <w:t>„Operační leasing jiný než investiční nemovitý majetek“ zahrnuje v kolonce „výnosy“ příjmy, které daná instituce získala, a v kolonce „náklady“ výdaje vzniklé této instituci jako pronajímateli v souvislosti s činností týkající se operačního leasingu kromě činnosti zahrnující aktiva klasifikovaná jako investiční nemovitý majetek. Náklady vzniklé instituci jako nájemci se uvedou v položce „ostatní správní náklady“.</w:t>
      </w:r>
    </w:p>
    <w:p w:rsidR="009569C7" w:rsidRPr="00EC4FA2" w:rsidRDefault="00A834F1" w:rsidP="009569C7">
      <w:pPr>
        <w:pStyle w:val="Baseparagraphnumbered"/>
      </w:pPr>
      <w:r>
        <w:t>Zisky nebo ztráty z odúčtování a přecenění investic do zlata, jiných vzácných kovů a jiných komodit oceněných reálnou hodnotou sníženou o náklady na prodej se vykáží mezi položkami zahrnutými v položce „ostatní provozní výnosy. Jiné“ nebo „ostatní provozní náklady. Jiné“.</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485708611"/>
      <w:r>
        <w:lastRenderedPageBreak/>
        <w:t xml:space="preserve">Výkaz změn vlastního kapitálu </w:t>
      </w:r>
      <w:bookmarkEnd w:id="376"/>
      <w:r>
        <w:t>(46)</w:t>
      </w:r>
      <w:bookmarkEnd w:id="377"/>
      <w:bookmarkEnd w:id="378"/>
      <w:bookmarkEnd w:id="379"/>
      <w:bookmarkEnd w:id="380"/>
    </w:p>
    <w:p w:rsidR="009569C7" w:rsidRPr="00EC4FA2" w:rsidRDefault="00A834F1" w:rsidP="009569C7">
      <w:pPr>
        <w:pStyle w:val="Baseparagraphnumbered"/>
      </w:pPr>
      <w:r>
        <w:t>Ve výkazu změn vlastního kapitálu se pro každou složku vlastního kapitálu uvádí bilance účetní hodnoty za sledované období – na začátku období (počáteční zůstatek) a na konci období (konečný zůstatek).</w:t>
      </w:r>
    </w:p>
    <w:p w:rsidR="009569C7" w:rsidRPr="00EC4FA2" w:rsidRDefault="00A834F1" w:rsidP="009569C7">
      <w:pPr>
        <w:pStyle w:val="Baseparagraphnumbered"/>
        <w:rPr>
          <w:caps/>
        </w:rPr>
      </w:pPr>
      <w:r>
        <w:t xml:space="preserve">„Převody mezi složkami vlastního kapitálu“ zahrnují veškeré částky převáděné v rámci vlastního kapitálu, včetně zisků a ztrát v důsledku vlastního úvěrového rizika závazků oceněných reálnou hodnotou do zisku nebo ztráty, a změny kumulované reálné hodnoty kapitálových nástrojů oceněných reálnou hodnotou do ostatního úplného výsledku, které se převádí do jiných složek vlastního kapitálu na základě odúčtování z rozvahy.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ČÁST TŘETÍ</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485708612"/>
      <w:r>
        <w:t>Přehled kategorií expozic a odvětví protistran</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V tabulkách 2 a 3 jsou kategorie expozic používané pro výpočet kapitálových požadavků podle nařízení o kapitálových požadavcích přiřazeny ke kategoriím odvětví protistran, které se používají v tabulkách FINREP.</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Tabulka 2 Standardizovaný přístup (SA)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Kategorie expozic podle SA (článek 112 nařízení o kapitálových požadavcích)</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Odvětví protistran podle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Poznámky</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Ústřední vládní instituce nebo centrální banky</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Centrální banky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Vládní instituce</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Regionální vládní instituce nebo místní orgány</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Vládní instituce</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Subjekty veřejného sektoru</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Vládní instituce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Mezinárodní rozvojové banky</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Mezinárodní organizace: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Vládní instituce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(tj. úvěrové instituce a investiční podniky)</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Podniky</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Nefinanční podniky.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6. Domácnosti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 xml:space="preserve">Tyto expozice se přiřadí odvětvím protistrany podle FINREP s ohledem na </w:t>
            </w:r>
            <w:r>
              <w:rPr>
                <w:rFonts w:ascii="Times New Roman" w:hAnsi="Times New Roman"/>
                <w:sz w:val="18"/>
              </w:rPr>
              <w:lastRenderedPageBreak/>
              <w:t>povahu přímé protistrany.</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h) Maloobchod</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Domácnosti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Zajištěné hypotékou na nemovitosti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Vládní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Domácnosti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V selhání</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Centrální banky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Vládní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Domácnosti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proofErr w:type="spellStart"/>
            <w:r>
              <w:rPr>
                <w:rFonts w:ascii="Times New Roman" w:hAnsi="Times New Roman"/>
                <w:sz w:val="18"/>
              </w:rPr>
              <w:t>ja</w:t>
            </w:r>
            <w:proofErr w:type="spellEnd"/>
            <w:r>
              <w:rPr>
                <w:rFonts w:ascii="Times New Roman" w:hAnsi="Times New Roman"/>
                <w:sz w:val="18"/>
              </w:rPr>
              <w:t>) Položky spojené s obzvlášť vysokým rizikem</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Centrální banky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Vládní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Domácnosti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Kryté dluhopisy</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l) </w:t>
            </w:r>
            <w:proofErr w:type="spellStart"/>
            <w:r>
              <w:rPr>
                <w:rFonts w:ascii="Times New Roman" w:hAnsi="Times New Roman"/>
                <w:sz w:val="18"/>
              </w:rPr>
              <w:t>Sekuritizované</w:t>
            </w:r>
            <w:proofErr w:type="spellEnd"/>
            <w:r>
              <w:rPr>
                <w:rFonts w:ascii="Times New Roman" w:hAnsi="Times New Roman"/>
                <w:sz w:val="18"/>
              </w:rPr>
              <w:t xml:space="preserve"> pozice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Vládní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Domácnosti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Tyto expozice se přiřadí odvětvím protistrany podle FINREP s ohledem na </w:t>
            </w:r>
            <w:proofErr w:type="gramStart"/>
            <w:r>
              <w:rPr>
                <w:rFonts w:ascii="Times New Roman" w:hAnsi="Times New Roman"/>
                <w:sz w:val="18"/>
              </w:rPr>
              <w:t>podkladové  riziko</w:t>
            </w:r>
            <w:proofErr w:type="gramEnd"/>
            <w:r>
              <w:rPr>
                <w:rFonts w:ascii="Times New Roman" w:hAnsi="Times New Roman"/>
                <w:sz w:val="18"/>
              </w:rPr>
              <w:t xml:space="preserve"> </w:t>
            </w:r>
            <w:proofErr w:type="spellStart"/>
            <w:r>
              <w:rPr>
                <w:rFonts w:ascii="Times New Roman" w:hAnsi="Times New Roman"/>
                <w:sz w:val="18"/>
              </w:rPr>
              <w:t>sekuritizačných</w:t>
            </w:r>
            <w:proofErr w:type="spellEnd"/>
            <w:r>
              <w:rPr>
                <w:rFonts w:ascii="Times New Roman" w:hAnsi="Times New Roman"/>
                <w:sz w:val="18"/>
              </w:rPr>
              <w:t xml:space="preserve"> pozic. V rámci FINREP jsou v případě, kdy </w:t>
            </w:r>
            <w:proofErr w:type="spellStart"/>
            <w:r>
              <w:rPr>
                <w:rFonts w:ascii="Times New Roman" w:hAnsi="Times New Roman"/>
                <w:sz w:val="18"/>
              </w:rPr>
              <w:t>sekuritizované</w:t>
            </w:r>
            <w:proofErr w:type="spellEnd"/>
            <w:r>
              <w:rPr>
                <w:rFonts w:ascii="Times New Roman" w:hAnsi="Times New Roman"/>
                <w:sz w:val="18"/>
              </w:rPr>
              <w:t xml:space="preserve"> pozice zůstávají zaúčtovány v rozvaze, za sektory protistrany považovány sektory přímých protistran těchto expozic.</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Instituce a podniky s krátkodobým úvěrovým hodnocením</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Nefinanční podniky</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Subjekty kolektivního investování</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Kapitálové nástroje</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Investice do subjektů kolektivního investování se v rámci FINREP řadí do kategorie kapitálových nástrojů bez ohledu na to, zda nařízení o kapitálových požadavcích umožňuje přístup se zohledněním podkladových aktiv.</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Vlastní kapitál</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Kapitálové nástroje</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V rámci FINREP jsou akcie rozděleny jako nástroje spadající do různých kategorií finančních aktiv.</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Ostatní položky.</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Jiné rozvahové položky</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V rámci FINREP mohou být jiné položky uvedeny v různých kategoriích aktiv.</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Tabulka 3 Přístup založený na interním ratingu (IRBA)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Kategorie expozic podle IRBA</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(článek 147 nařízení o kapitálových požadavcích)</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Odvětví protistran podle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Poznámky</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Ústřední vládní instituce a centrální banky</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Centrální banky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Vládní instituce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Úvěrové instituce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Tyto expozice se přiřadí odvětvím protistrany podle FINREP s ohledem na povahu přímé protistrany.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Instituce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(tj. úvěrové instituce a investiční podniky, jakož i některé orgány obecné správy a mezinárodní banky)</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Vládní instituce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Ostatní finanční podniky</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Podniky</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Domácnosti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Maloobchod</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Domácnosti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Tyto expozice se přiřadí odvětvím protistrany podle FINREP s ohledem na povahu přímé protistrany.</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Vlastní kapitál</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Kapitálové nástroje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V rámci FINREP jsou akcie rozděleny jako nástroje spadající do různých kategorií finančních aktiv.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 </w:t>
            </w:r>
            <w:proofErr w:type="spellStart"/>
            <w:r>
              <w:rPr>
                <w:rFonts w:ascii="Times New Roman" w:hAnsi="Times New Roman"/>
                <w:sz w:val="18"/>
              </w:rPr>
              <w:t>Sekuritizované</w:t>
            </w:r>
            <w:proofErr w:type="spellEnd"/>
            <w:r>
              <w:rPr>
                <w:rFonts w:ascii="Times New Roman" w:hAnsi="Times New Roman"/>
                <w:sz w:val="18"/>
              </w:rPr>
              <w:t xml:space="preserve"> pozice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Vládní instituce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Úvěrové instituce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Ostatní finanční podniky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Nefinanční podniky</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Domácnosti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Tyto expozice se přiřadí odvětvím protistrany podle FINREP s ohledem na podkladové riziko </w:t>
            </w:r>
            <w:proofErr w:type="spellStart"/>
            <w:r>
              <w:rPr>
                <w:rFonts w:ascii="Times New Roman" w:hAnsi="Times New Roman"/>
                <w:sz w:val="18"/>
              </w:rPr>
              <w:t>sekuritizačních</w:t>
            </w:r>
            <w:proofErr w:type="spellEnd"/>
            <w:r>
              <w:rPr>
                <w:rFonts w:ascii="Times New Roman" w:hAnsi="Times New Roman"/>
                <w:sz w:val="18"/>
              </w:rPr>
              <w:t xml:space="preserve"> pozic. V rámci FINREP jsou v případě, kdy </w:t>
            </w:r>
            <w:proofErr w:type="spellStart"/>
            <w:r>
              <w:rPr>
                <w:rFonts w:ascii="Times New Roman" w:hAnsi="Times New Roman"/>
                <w:sz w:val="18"/>
              </w:rPr>
              <w:t>sekuritizované</w:t>
            </w:r>
            <w:proofErr w:type="spellEnd"/>
            <w:r>
              <w:rPr>
                <w:rFonts w:ascii="Times New Roman" w:hAnsi="Times New Roman"/>
                <w:sz w:val="18"/>
              </w:rPr>
              <w:t xml:space="preserve"> pozice zůstávají zaúčtovány v rozvaze, za sektory protistrany považovány sektory přímých protistran těchto expozic.</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Jiné neúvěrové závazky</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Jiné rozvahové položky</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V rámci FINREP mohou být jiné položky uvedeny v různých kategoriích aktiv.</w:t>
            </w:r>
          </w:p>
        </w:tc>
      </w:tr>
    </w:tbl>
    <w:p w:rsidR="009569C7" w:rsidRPr="00014814" w:rsidRDefault="009569C7" w:rsidP="009569C7">
      <w:pPr>
        <w:spacing w:after="0"/>
        <w:jc w:val="center"/>
        <w:rPr>
          <w:rFonts w:ascii="Times New Roman" w:hAnsi="Times New Roman"/>
          <w:b/>
          <w:sz w:val="24"/>
          <w:szCs w:val="24"/>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929" w:rsidRDefault="00702929">
      <w:pPr>
        <w:spacing w:after="0"/>
      </w:pPr>
      <w:r>
        <w:separator/>
      </w:r>
    </w:p>
  </w:endnote>
  <w:endnote w:type="continuationSeparator" w:id="0">
    <w:p w:rsidR="00702929" w:rsidRDefault="007029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929" w:rsidRDefault="007029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929" w:rsidRDefault="00702929">
    <w:pPr>
      <w:pStyle w:val="Footer"/>
      <w:jc w:val="right"/>
    </w:pPr>
    <w:r>
      <w:fldChar w:fldCharType="begin"/>
    </w:r>
    <w:r>
      <w:instrText xml:space="preserve"> PAGE   \* MERGEFORMAT </w:instrText>
    </w:r>
    <w:r>
      <w:fldChar w:fldCharType="separate"/>
    </w:r>
    <w:r w:rsidR="00FA6D2B">
      <w:rPr>
        <w:noProof/>
      </w:rPr>
      <w:t>3</w:t>
    </w:r>
    <w:r>
      <w:rPr>
        <w:noProof/>
      </w:rPr>
      <w:fldChar w:fldCharType="end"/>
    </w:r>
  </w:p>
  <w:p w:rsidR="00702929" w:rsidRDefault="007029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929" w:rsidRDefault="0070292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929" w:rsidRDefault="00702929">
    <w:pPr>
      <w:pStyle w:val="Footer"/>
      <w:jc w:val="right"/>
    </w:pPr>
    <w:r>
      <w:fldChar w:fldCharType="begin"/>
    </w:r>
    <w:r>
      <w:instrText xml:space="preserve"> PAGE   \* MERGEFORMAT </w:instrText>
    </w:r>
    <w:r>
      <w:fldChar w:fldCharType="separate"/>
    </w:r>
    <w:r w:rsidR="00FA6D2B">
      <w:rPr>
        <w:noProof/>
      </w:rPr>
      <w:t>73</w:t>
    </w:r>
    <w:r>
      <w:rPr>
        <w:noProof/>
      </w:rPr>
      <w:fldChar w:fldCharType="end"/>
    </w:r>
  </w:p>
  <w:p w:rsidR="00702929" w:rsidRDefault="007029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929" w:rsidRDefault="00702929" w:rsidP="009569C7">
      <w:pPr>
        <w:spacing w:after="0"/>
      </w:pPr>
      <w:r>
        <w:separator/>
      </w:r>
    </w:p>
  </w:footnote>
  <w:footnote w:type="continuationSeparator" w:id="0">
    <w:p w:rsidR="00702929" w:rsidRDefault="00702929" w:rsidP="009569C7">
      <w:pPr>
        <w:spacing w:after="0"/>
      </w:pPr>
      <w:r>
        <w:continuationSeparator/>
      </w:r>
    </w:p>
  </w:footnote>
  <w:footnote w:type="continuationNotice" w:id="1">
    <w:p w:rsidR="00702929" w:rsidRDefault="00702929">
      <w:pPr>
        <w:spacing w:after="0"/>
      </w:pPr>
    </w:p>
  </w:footnote>
  <w:footnote w:id="2">
    <w:p w:rsidR="00702929" w:rsidRPr="001118C7" w:rsidRDefault="00702929" w:rsidP="009569C7">
      <w:pPr>
        <w:pStyle w:val="FootnoteText"/>
      </w:pPr>
      <w:r>
        <w:rPr>
          <w:rStyle w:val="FootnoteReference"/>
        </w:rPr>
        <w:footnoteRef/>
      </w:r>
      <w:r>
        <w:t xml:space="preserve"> </w:t>
      </w:r>
      <w:r>
        <w:tab/>
        <w:t>Nařízení Evropského parlamentu a Rady (ES) č. 1606/2002 ze dne 19. července 2002 o uplatňování mezinárodních účetních standardů (</w:t>
      </w:r>
      <w:proofErr w:type="spellStart"/>
      <w:r>
        <w:t>Úř</w:t>
      </w:r>
      <w:proofErr w:type="spellEnd"/>
      <w:r>
        <w:t xml:space="preserve">. </w:t>
      </w:r>
      <w:proofErr w:type="spellStart"/>
      <w:proofErr w:type="gramStart"/>
      <w:r>
        <w:t>věst</w:t>
      </w:r>
      <w:proofErr w:type="spellEnd"/>
      <w:proofErr w:type="gramEnd"/>
      <w:r>
        <w:t xml:space="preserve">. L 243, </w:t>
      </w:r>
      <w:proofErr w:type="gramStart"/>
      <w:r>
        <w:t>11.9.2002</w:t>
      </w:r>
      <w:proofErr w:type="gramEnd"/>
      <w:r>
        <w:t>, s. 1).</w:t>
      </w:r>
    </w:p>
  </w:footnote>
  <w:footnote w:id="3">
    <w:p w:rsidR="00702929" w:rsidRPr="004F7202" w:rsidRDefault="00702929" w:rsidP="009569C7">
      <w:pPr>
        <w:pStyle w:val="FootnoteText"/>
        <w:spacing w:after="120"/>
        <w:rPr>
          <w:lang w:val="et-EE"/>
        </w:rPr>
      </w:pPr>
      <w:r>
        <w:rPr>
          <w:rStyle w:val="FootnoteReference"/>
        </w:rPr>
        <w:footnoteRef/>
      </w:r>
      <w:r>
        <w:t xml:space="preserve"> </w:t>
      </w:r>
      <w:r>
        <w:tab/>
        <w:t>Nařízení Evropské centrální banky (ES) č. 1071/2013 ze dne 24. září 2013 o rozvaze sektoru měnových finančních institucí (přepracované znění) (ECB/2013/33) (</w:t>
      </w:r>
      <w:proofErr w:type="spellStart"/>
      <w:r>
        <w:t>Úř</w:t>
      </w:r>
      <w:proofErr w:type="spellEnd"/>
      <w:r>
        <w:t xml:space="preserve">. </w:t>
      </w:r>
      <w:proofErr w:type="spellStart"/>
      <w:proofErr w:type="gramStart"/>
      <w:r>
        <w:t>věst</w:t>
      </w:r>
      <w:proofErr w:type="spellEnd"/>
      <w:proofErr w:type="gramEnd"/>
      <w:r>
        <w:t xml:space="preserve">. L 297, </w:t>
      </w:r>
      <w:proofErr w:type="gramStart"/>
      <w:r>
        <w:t>7.11.2013</w:t>
      </w:r>
      <w:proofErr w:type="gramEnd"/>
      <w:r>
        <w:t>, s. 1).</w:t>
      </w:r>
    </w:p>
  </w:footnote>
  <w:footnote w:id="4">
    <w:p w:rsidR="00702929" w:rsidRPr="004F7202" w:rsidRDefault="00702929">
      <w:pPr>
        <w:pStyle w:val="FootnoteText"/>
        <w:rPr>
          <w:lang w:val="et-EE"/>
        </w:rPr>
      </w:pPr>
      <w:r>
        <w:rPr>
          <w:rStyle w:val="FootnoteReference"/>
        </w:rPr>
        <w:footnoteRef/>
      </w:r>
      <w:r>
        <w:t xml:space="preserve"> </w:t>
      </w:r>
      <w:r>
        <w:tab/>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w:t>
      </w:r>
      <w:proofErr w:type="spellStart"/>
      <w:r>
        <w:t>Úř</w:t>
      </w:r>
      <w:proofErr w:type="spellEnd"/>
      <w:r>
        <w:t xml:space="preserve">. </w:t>
      </w:r>
      <w:proofErr w:type="spellStart"/>
      <w:proofErr w:type="gramStart"/>
      <w:r>
        <w:t>věst</w:t>
      </w:r>
      <w:proofErr w:type="spellEnd"/>
      <w:proofErr w:type="gramEnd"/>
      <w:r>
        <w:t xml:space="preserve">. L 393, </w:t>
      </w:r>
      <w:proofErr w:type="gramStart"/>
      <w:r>
        <w:t>30.12.2006</w:t>
      </w:r>
      <w:proofErr w:type="gramEnd"/>
      <w:r>
        <w:t>, s. 1).</w:t>
      </w:r>
    </w:p>
  </w:footnote>
  <w:footnote w:id="5">
    <w:p w:rsidR="00702929" w:rsidRPr="004F7202" w:rsidRDefault="00702929">
      <w:pPr>
        <w:pStyle w:val="FootnoteText"/>
        <w:rPr>
          <w:lang w:val="et-EE"/>
        </w:rPr>
      </w:pPr>
      <w:r>
        <w:rPr>
          <w:rStyle w:val="FootnoteReference"/>
        </w:rPr>
        <w:footnoteRef/>
      </w:r>
      <w:r>
        <w:t xml:space="preserve"> </w:t>
      </w:r>
      <w:r>
        <w:tab/>
        <w:t>Směrnice Rady 86/635/EHS ze dne 8. prosince 1986 o ročních účetních závěrkách a konsolidovaných účetních závěrkách bank a ostatních finančních institucí (</w:t>
      </w:r>
      <w:proofErr w:type="spellStart"/>
      <w:r>
        <w:t>Úř</w:t>
      </w:r>
      <w:proofErr w:type="spellEnd"/>
      <w:r>
        <w:t xml:space="preserve">. </w:t>
      </w:r>
      <w:proofErr w:type="spellStart"/>
      <w:proofErr w:type="gramStart"/>
      <w:r>
        <w:t>věst</w:t>
      </w:r>
      <w:proofErr w:type="spellEnd"/>
      <w:proofErr w:type="gramEnd"/>
      <w:r>
        <w:t xml:space="preserve">. L 372, </w:t>
      </w:r>
      <w:proofErr w:type="gramStart"/>
      <w:r>
        <w:t>31.12.1986</w:t>
      </w:r>
      <w:proofErr w:type="gramEnd"/>
      <w:r>
        <w:t>, s. 1).</w:t>
      </w:r>
    </w:p>
  </w:footnote>
  <w:footnote w:id="6">
    <w:p w:rsidR="00702929" w:rsidRPr="00BA387A" w:rsidRDefault="00702929" w:rsidP="009569C7">
      <w:pPr>
        <w:pStyle w:val="FootnoteText"/>
      </w:pPr>
      <w:r>
        <w:rPr>
          <w:rStyle w:val="FootnoteReference"/>
        </w:rPr>
        <w:footnoteRef/>
      </w:r>
      <w:r>
        <w:t xml:space="preserve"> </w:t>
      </w:r>
      <w:r>
        <w:tab/>
        <w:t>Směrnice Evropského parlamentu a Rady 2013/34/EU ze dne 26. června 2013 o ročních účetních závěrkách, konsolidovaných účetních závěrkách a souvisejících zprávách některých forem podniků, o změně směrnice Evropského parlamentu a Rady 2006/43/ES a o zrušení směrnic Rady 78/660/EHS a 83/349/EHS (</w:t>
      </w:r>
      <w:proofErr w:type="spellStart"/>
      <w:r>
        <w:t>Úř</w:t>
      </w:r>
      <w:proofErr w:type="spellEnd"/>
      <w:r>
        <w:t xml:space="preserve">. </w:t>
      </w:r>
      <w:proofErr w:type="spellStart"/>
      <w:proofErr w:type="gramStart"/>
      <w:r>
        <w:t>věst</w:t>
      </w:r>
      <w:proofErr w:type="spellEnd"/>
      <w:proofErr w:type="gramEnd"/>
      <w:r>
        <w:t xml:space="preserve">. L 182, </w:t>
      </w:r>
      <w:proofErr w:type="gramStart"/>
      <w:r>
        <w:t>29.6.2013</w:t>
      </w:r>
      <w:proofErr w:type="gramEnd"/>
      <w:r>
        <w:t>, s. 19).</w:t>
      </w:r>
    </w:p>
  </w:footnote>
  <w:footnote w:id="7">
    <w:p w:rsidR="00702929" w:rsidRPr="00BA387A" w:rsidRDefault="00702929" w:rsidP="009569C7">
      <w:pPr>
        <w:pStyle w:val="FootnoteText"/>
      </w:pPr>
      <w:r>
        <w:rPr>
          <w:rStyle w:val="FootnoteReference"/>
        </w:rPr>
        <w:footnoteRef/>
      </w:r>
      <w:r>
        <w:tab/>
        <w:t xml:space="preserve">Doporučení Komise ze dne 6. května 2003 o definici </w:t>
      </w:r>
      <w:proofErr w:type="spellStart"/>
      <w:r>
        <w:t>mikropodniků</w:t>
      </w:r>
      <w:proofErr w:type="spellEnd"/>
      <w:r>
        <w:t xml:space="preserve"> a malých a středních podniků (K(2003) 1422) (</w:t>
      </w:r>
      <w:proofErr w:type="spellStart"/>
      <w:r>
        <w:t>Úř</w:t>
      </w:r>
      <w:proofErr w:type="spellEnd"/>
      <w:r>
        <w:t xml:space="preserve">. </w:t>
      </w:r>
      <w:proofErr w:type="spellStart"/>
      <w:proofErr w:type="gramStart"/>
      <w:r>
        <w:t>věst</w:t>
      </w:r>
      <w:proofErr w:type="spellEnd"/>
      <w:proofErr w:type="gramEnd"/>
      <w:r>
        <w:t xml:space="preserve">. L 124, </w:t>
      </w:r>
      <w:proofErr w:type="gramStart"/>
      <w:r>
        <w:t>20.5.2003</w:t>
      </w:r>
      <w:proofErr w:type="gramEnd"/>
      <w:r>
        <w:t xml:space="preserve">, s.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929" w:rsidRDefault="007029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929" w:rsidRDefault="007029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929" w:rsidRDefault="007029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0DEA4BDE"/>
    <w:lvl w:ilvl="0" w:tplc="7610AAF2">
      <w:start w:val="1"/>
      <w:numFmt w:val="lowerLetter"/>
      <w:lvlText w:val="%1)"/>
      <w:lvlJc w:val="left"/>
      <w:pPr>
        <w:ind w:left="720" w:hanging="360"/>
      </w:pPr>
      <w:rPr>
        <w:rFonts w:cs="Times New Roman" w:hint="default"/>
        <w:sz w:val="24"/>
        <w:szCs w:val="24"/>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2A9896FE"/>
    <w:lvl w:ilvl="0" w:tplc="7610AAF2">
      <w:start w:val="1"/>
      <w:numFmt w:val="lowerLetter"/>
      <w:lvlText w:val="%1)"/>
      <w:lvlJc w:val="left"/>
      <w:pPr>
        <w:ind w:left="1800" w:hanging="360"/>
      </w:pPr>
      <w:rPr>
        <w:rFonts w:cs="Times New Roman" w:hint="default"/>
        <w:sz w:val="24"/>
        <w:szCs w:val="24"/>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A81004E0"/>
    <w:lvl w:ilvl="0" w:tplc="7610AAF2">
      <w:start w:val="1"/>
      <w:numFmt w:val="lowerLetter"/>
      <w:lvlText w:val="%1)"/>
      <w:lvlJc w:val="left"/>
      <w:pPr>
        <w:ind w:left="720" w:hanging="360"/>
      </w:pPr>
      <w:rPr>
        <w:rFonts w:cs="Times New Roman" w:hint="default"/>
        <w:sz w:val="24"/>
        <w:szCs w:val="24"/>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D4C8768E"/>
    <w:lvl w:ilvl="0" w:tplc="7610AAF2">
      <w:start w:val="1"/>
      <w:numFmt w:val="lowerLetter"/>
      <w:lvlText w:val="%1)"/>
      <w:lvlJc w:val="left"/>
      <w:pPr>
        <w:ind w:left="1637" w:hanging="360"/>
      </w:pPr>
      <w:rPr>
        <w:rFonts w:cs="Times New Roman" w:hint="default"/>
        <w:sz w:val="24"/>
        <w:szCs w:val="24"/>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A9EE848C"/>
    <w:lvl w:ilvl="0" w:tplc="7610AAF2">
      <w:start w:val="1"/>
      <w:numFmt w:val="lowerLetter"/>
      <w:lvlText w:val="%1)"/>
      <w:lvlJc w:val="left"/>
      <w:pPr>
        <w:ind w:left="1440" w:hanging="360"/>
      </w:pPr>
      <w:rPr>
        <w:rFonts w:cs="Times New Roman" w:hint="default"/>
        <w:color w:val="auto"/>
        <w:sz w:val="24"/>
        <w:szCs w:val="24"/>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43A44D60"/>
    <w:lvl w:ilvl="0" w:tplc="829AB43C">
      <w:start w:val="1"/>
      <w:numFmt w:val="decimal"/>
      <w:pStyle w:val="Baseparagraphnumbered"/>
      <w:lvlText w:val="%1."/>
      <w:lvlJc w:val="left"/>
      <w:pPr>
        <w:ind w:left="786" w:hanging="360"/>
      </w:pPr>
      <w:rPr>
        <w:lang w:val="en-US"/>
      </w:rPr>
    </w:lvl>
    <w:lvl w:ilvl="1" w:tplc="7610AAF2">
      <w:start w:val="1"/>
      <w:numFmt w:val="lowerLetter"/>
      <w:lvlText w:val="%2)"/>
      <w:lvlJc w:val="left"/>
      <w:pPr>
        <w:ind w:left="1494" w:hanging="360"/>
      </w:pPr>
      <w:rPr>
        <w:rFonts w:cs="Times New Roman" w:hint="default"/>
        <w:sz w:val="24"/>
        <w:szCs w:val="24"/>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34D669C0"/>
    <w:lvl w:ilvl="0" w:tplc="7610AAF2">
      <w:start w:val="1"/>
      <w:numFmt w:val="lowerLetter"/>
      <w:lvlText w:val="%1)"/>
      <w:lvlJc w:val="left"/>
      <w:pPr>
        <w:ind w:left="1637" w:hanging="360"/>
      </w:pPr>
      <w:rPr>
        <w:rFonts w:cs="Times New Roman" w:hint="default"/>
        <w:sz w:val="24"/>
        <w:szCs w:val="24"/>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60ACFD70"/>
    <w:lvl w:ilvl="0" w:tplc="7610AAF2">
      <w:start w:val="1"/>
      <w:numFmt w:val="lowerLetter"/>
      <w:lvlText w:val="%1)"/>
      <w:lvlJc w:val="left"/>
      <w:pPr>
        <w:ind w:left="1080" w:hanging="360"/>
      </w:pPr>
      <w:rPr>
        <w:rFonts w:cs="Times New Roman" w:hint="default"/>
        <w:sz w:val="24"/>
        <w:szCs w:val="24"/>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A568FB84"/>
    <w:lvl w:ilvl="0" w:tplc="7610AAF2">
      <w:start w:val="1"/>
      <w:numFmt w:val="lowerLetter"/>
      <w:lvlText w:val="%1)"/>
      <w:lvlJc w:val="left"/>
      <w:pPr>
        <w:ind w:left="1080" w:hanging="360"/>
      </w:pPr>
      <w:rPr>
        <w:rFonts w:cs="Times New Roman" w:hint="default"/>
        <w:sz w:val="24"/>
        <w:szCs w:val="24"/>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2E024AD8"/>
    <w:lvl w:ilvl="0" w:tplc="7610AAF2">
      <w:start w:val="1"/>
      <w:numFmt w:val="lowerLetter"/>
      <w:lvlText w:val="%1)"/>
      <w:lvlJc w:val="left"/>
      <w:pPr>
        <w:tabs>
          <w:tab w:val="num" w:pos="360"/>
        </w:tabs>
        <w:ind w:left="360" w:hanging="360"/>
      </w:pPr>
      <w:rPr>
        <w:rFonts w:cs="Times New Roman" w:hint="default"/>
        <w:sz w:val="24"/>
        <w:szCs w:val="24"/>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1C1A8BEC"/>
    <w:lvl w:ilvl="0" w:tplc="7610AAF2">
      <w:start w:val="1"/>
      <w:numFmt w:val="lowerLetter"/>
      <w:lvlText w:val="%1)"/>
      <w:lvlJc w:val="left"/>
      <w:pPr>
        <w:ind w:left="1637" w:hanging="360"/>
      </w:pPr>
      <w:rPr>
        <w:rFonts w:cs="Times New Roman" w:hint="default"/>
        <w:sz w:val="24"/>
        <w:szCs w:val="24"/>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559E0220"/>
    <w:lvl w:ilvl="0" w:tplc="7610AAF2">
      <w:start w:val="1"/>
      <w:numFmt w:val="lowerLetter"/>
      <w:lvlText w:val="%1)"/>
      <w:lvlJc w:val="left"/>
      <w:pPr>
        <w:ind w:left="1637" w:hanging="360"/>
      </w:pPr>
      <w:rPr>
        <w:rFonts w:cs="Times New Roman" w:hint="default"/>
        <w:sz w:val="24"/>
        <w:szCs w:val="24"/>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3DF8AE3E"/>
    <w:lvl w:ilvl="0" w:tplc="7610AAF2">
      <w:start w:val="1"/>
      <w:numFmt w:val="lowerLetter"/>
      <w:lvlText w:val="%1)"/>
      <w:lvlJc w:val="left"/>
      <w:pPr>
        <w:ind w:left="1142" w:hanging="360"/>
      </w:pPr>
      <w:rPr>
        <w:rFonts w:cs="Times New Roman" w:hint="default"/>
        <w:sz w:val="24"/>
        <w:szCs w:val="24"/>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A2FAE162"/>
    <w:lvl w:ilvl="0" w:tplc="7610AAF2">
      <w:start w:val="1"/>
      <w:numFmt w:val="lowerLetter"/>
      <w:lvlText w:val="%1)"/>
      <w:lvlJc w:val="left"/>
      <w:pPr>
        <w:ind w:left="1440" w:hanging="360"/>
      </w:pPr>
      <w:rPr>
        <w:rFonts w:cs="Times New Roman" w:hint="default"/>
        <w:sz w:val="24"/>
        <w:szCs w:val="24"/>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2974A248"/>
    <w:lvl w:ilvl="0" w:tplc="7610AAF2">
      <w:start w:val="1"/>
      <w:numFmt w:val="lowerLetter"/>
      <w:lvlText w:val="%1)"/>
      <w:lvlJc w:val="left"/>
      <w:pPr>
        <w:ind w:left="1440" w:hanging="360"/>
      </w:pPr>
      <w:rPr>
        <w:rFonts w:cs="Times New Roman" w:hint="default"/>
        <w:sz w:val="24"/>
        <w:szCs w:val="24"/>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CA92E7C4"/>
    <w:lvl w:ilvl="0" w:tplc="7610AAF2">
      <w:start w:val="1"/>
      <w:numFmt w:val="lowerLetter"/>
      <w:lvlText w:val="%1)"/>
      <w:lvlJc w:val="left"/>
      <w:pPr>
        <w:ind w:left="1145" w:hanging="360"/>
      </w:pPr>
      <w:rPr>
        <w:rFonts w:cs="Times New Roman" w:hint="default"/>
        <w:sz w:val="24"/>
        <w:szCs w:val="24"/>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0AC206F2"/>
    <w:lvl w:ilvl="0" w:tplc="DB447DF4">
      <w:start w:val="191"/>
      <w:numFmt w:val="decimal"/>
      <w:lvlText w:val="%1."/>
      <w:lvlJc w:val="left"/>
      <w:pPr>
        <w:ind w:left="720" w:hanging="360"/>
      </w:pPr>
      <w:rPr>
        <w:rFonts w:hint="default"/>
      </w:rPr>
    </w:lvl>
    <w:lvl w:ilvl="1" w:tplc="7610AAF2">
      <w:start w:val="1"/>
      <w:numFmt w:val="lowerLetter"/>
      <w:lvlText w:val="%2)"/>
      <w:lvlJc w:val="left"/>
      <w:pPr>
        <w:ind w:left="1440" w:hanging="360"/>
      </w:pPr>
      <w:rPr>
        <w:rFonts w:cs="Times New Roman" w:hint="default"/>
        <w:sz w:val="24"/>
        <w:szCs w:val="24"/>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B52CE390"/>
    <w:lvl w:ilvl="0" w:tplc="7610AAF2">
      <w:start w:val="1"/>
      <w:numFmt w:val="lowerLetter"/>
      <w:lvlText w:val="%1)"/>
      <w:lvlJc w:val="left"/>
      <w:pPr>
        <w:ind w:left="1800" w:hanging="360"/>
      </w:pPr>
      <w:rPr>
        <w:rFonts w:cs="Times New Roman" w:hint="default"/>
        <w:sz w:val="24"/>
        <w:szCs w:val="24"/>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1E1EA722"/>
    <w:lvl w:ilvl="0" w:tplc="7610AAF2">
      <w:start w:val="1"/>
      <w:numFmt w:val="lowerLetter"/>
      <w:lvlText w:val="%1)"/>
      <w:lvlJc w:val="left"/>
      <w:pPr>
        <w:ind w:left="1080" w:hanging="360"/>
      </w:pPr>
      <w:rPr>
        <w:rFonts w:cs="Times New Roman" w:hint="default"/>
        <w:sz w:val="24"/>
        <w:szCs w:val="24"/>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A0427FBA"/>
    <w:lvl w:ilvl="0" w:tplc="7610AAF2">
      <w:start w:val="1"/>
      <w:numFmt w:val="lowerLetter"/>
      <w:lvlText w:val="%1)"/>
      <w:lvlJc w:val="left"/>
      <w:pPr>
        <w:ind w:left="1145" w:hanging="360"/>
      </w:pPr>
      <w:rPr>
        <w:rFonts w:cs="Times New Roman" w:hint="default"/>
        <w:sz w:val="24"/>
        <w:szCs w:val="24"/>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0CBCD822"/>
    <w:lvl w:ilvl="0" w:tplc="7610AAF2">
      <w:start w:val="1"/>
      <w:numFmt w:val="lowerLetter"/>
      <w:lvlText w:val="%1)"/>
      <w:lvlJc w:val="left"/>
      <w:pPr>
        <w:ind w:left="1637" w:hanging="360"/>
      </w:pPr>
      <w:rPr>
        <w:rFonts w:cs="Times New Roman" w:hint="default"/>
        <w:sz w:val="24"/>
        <w:szCs w:val="24"/>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8558FE16"/>
    <w:lvl w:ilvl="0" w:tplc="7610AAF2">
      <w:start w:val="1"/>
      <w:numFmt w:val="lowerLetter"/>
      <w:lvlText w:val="%1)"/>
      <w:lvlJc w:val="left"/>
      <w:pPr>
        <w:ind w:left="720" w:hanging="360"/>
      </w:pPr>
      <w:rPr>
        <w:rFonts w:cs="Times New Roman" w:hint="default"/>
        <w:sz w:val="24"/>
        <w:szCs w:val="24"/>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3CE6D3AA"/>
    <w:lvl w:ilvl="0" w:tplc="7610AAF2">
      <w:start w:val="1"/>
      <w:numFmt w:val="lowerLetter"/>
      <w:lvlText w:val="%1)"/>
      <w:lvlJc w:val="left"/>
      <w:pPr>
        <w:ind w:left="1800" w:hanging="360"/>
      </w:pPr>
      <w:rPr>
        <w:rFonts w:cs="Times New Roman" w:hint="default"/>
        <w:sz w:val="24"/>
        <w:szCs w:val="24"/>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F6E09E86"/>
    <w:lvl w:ilvl="0" w:tplc="67B4C9DC">
      <w:start w:val="183"/>
      <w:numFmt w:val="decimal"/>
      <w:lvlText w:val="%1."/>
      <w:lvlJc w:val="left"/>
      <w:pPr>
        <w:ind w:left="720" w:hanging="360"/>
      </w:pPr>
      <w:rPr>
        <w:rFonts w:hint="default"/>
      </w:rPr>
    </w:lvl>
    <w:lvl w:ilvl="1" w:tplc="7610AAF2">
      <w:start w:val="1"/>
      <w:numFmt w:val="lowerLetter"/>
      <w:lvlText w:val="%2)"/>
      <w:lvlJc w:val="left"/>
      <w:pPr>
        <w:ind w:left="360" w:hanging="360"/>
      </w:pPr>
      <w:rPr>
        <w:rFonts w:cs="Times New Roman" w:hint="default"/>
        <w:color w:val="auto"/>
        <w:sz w:val="24"/>
        <w:szCs w:val="24"/>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97BA376E"/>
    <w:lvl w:ilvl="0" w:tplc="7610AAF2">
      <w:start w:val="1"/>
      <w:numFmt w:val="lowerLetter"/>
      <w:lvlText w:val="%1)"/>
      <w:lvlJc w:val="left"/>
      <w:pPr>
        <w:ind w:left="1146" w:hanging="360"/>
      </w:pPr>
      <w:rPr>
        <w:rFonts w:cs="Times New Roman" w:hint="default"/>
        <w:sz w:val="24"/>
        <w:szCs w:val="24"/>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675CD4AC"/>
    <w:lvl w:ilvl="0" w:tplc="7610AAF2">
      <w:start w:val="1"/>
      <w:numFmt w:val="lowerLetter"/>
      <w:lvlText w:val="%1)"/>
      <w:lvlJc w:val="left"/>
      <w:pPr>
        <w:ind w:left="1637" w:hanging="360"/>
      </w:pPr>
      <w:rPr>
        <w:rFonts w:cs="Times New Roman" w:hint="default"/>
        <w:sz w:val="24"/>
        <w:szCs w:val="24"/>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1D7C94E8"/>
    <w:lvl w:ilvl="0" w:tplc="7610AAF2">
      <w:start w:val="1"/>
      <w:numFmt w:val="lowerLetter"/>
      <w:lvlText w:val="%1)"/>
      <w:lvlJc w:val="left"/>
      <w:pPr>
        <w:ind w:left="1145" w:hanging="360"/>
      </w:pPr>
      <w:rPr>
        <w:rFonts w:cs="Times New Roman" w:hint="default"/>
        <w:sz w:val="24"/>
        <w:szCs w:val="24"/>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ADEEF49E"/>
    <w:lvl w:ilvl="0" w:tplc="7610AAF2">
      <w:start w:val="1"/>
      <w:numFmt w:val="lowerLetter"/>
      <w:lvlText w:val="%1)"/>
      <w:lvlJc w:val="left"/>
      <w:pPr>
        <w:ind w:left="720" w:hanging="360"/>
      </w:pPr>
      <w:rPr>
        <w:rFonts w:cs="Times New Roman" w:hint="default"/>
        <w:sz w:val="24"/>
        <w:szCs w:val="24"/>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21EE1CFE"/>
    <w:lvl w:ilvl="0" w:tplc="7610AAF2">
      <w:start w:val="1"/>
      <w:numFmt w:val="lowerLetter"/>
      <w:lvlText w:val="%1)"/>
      <w:lvlJc w:val="left"/>
      <w:pPr>
        <w:ind w:left="1637" w:hanging="360"/>
      </w:pPr>
      <w:rPr>
        <w:rFonts w:cs="Times New Roman" w:hint="default"/>
        <w:sz w:val="24"/>
        <w:szCs w:val="24"/>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2BACEF8"/>
    <w:lvl w:ilvl="0" w:tplc="7610AAF2">
      <w:start w:val="1"/>
      <w:numFmt w:val="lowerLetter"/>
      <w:lvlText w:val="%1)"/>
      <w:lvlJc w:val="left"/>
      <w:pPr>
        <w:ind w:left="1637" w:hanging="360"/>
      </w:pPr>
      <w:rPr>
        <w:rFonts w:cs="Times New Roman" w:hint="default"/>
        <w:sz w:val="24"/>
        <w:szCs w:val="24"/>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20B07CB8"/>
    <w:lvl w:ilvl="0" w:tplc="7610AAF2">
      <w:start w:val="1"/>
      <w:numFmt w:val="lowerLetter"/>
      <w:lvlText w:val="%1)"/>
      <w:lvlJc w:val="left"/>
      <w:pPr>
        <w:ind w:left="1080" w:hanging="360"/>
      </w:pPr>
      <w:rPr>
        <w:rFonts w:cs="Times New Roman" w:hint="default"/>
        <w:sz w:val="24"/>
        <w:szCs w:val="24"/>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B8588E04"/>
    <w:lvl w:ilvl="0" w:tplc="9F18CFAC">
      <w:start w:val="195"/>
      <w:numFmt w:val="decimal"/>
      <w:lvlText w:val="%1."/>
      <w:lvlJc w:val="left"/>
      <w:pPr>
        <w:ind w:left="720" w:hanging="360"/>
      </w:pPr>
      <w:rPr>
        <w:rFonts w:hint="default"/>
      </w:rPr>
    </w:lvl>
    <w:lvl w:ilvl="1" w:tplc="7610AAF2">
      <w:start w:val="1"/>
      <w:numFmt w:val="lowerLetter"/>
      <w:lvlText w:val="%2)"/>
      <w:lvlJc w:val="left"/>
      <w:pPr>
        <w:ind w:left="1637" w:hanging="360"/>
      </w:pPr>
      <w:rPr>
        <w:rFonts w:cs="Times New Roman" w:hint="default"/>
        <w:sz w:val="24"/>
        <w:szCs w:val="24"/>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99A84A98"/>
    <w:lvl w:ilvl="0" w:tplc="7610AAF2">
      <w:start w:val="1"/>
      <w:numFmt w:val="lowerLetter"/>
      <w:lvlText w:val="%1)"/>
      <w:lvlJc w:val="left"/>
      <w:pPr>
        <w:ind w:left="1637" w:hanging="360"/>
      </w:pPr>
      <w:rPr>
        <w:rFonts w:cs="Times New Roman" w:hint="default"/>
        <w:sz w:val="24"/>
        <w:szCs w:val="24"/>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C45810BA"/>
    <w:lvl w:ilvl="0" w:tplc="7610AAF2">
      <w:start w:val="1"/>
      <w:numFmt w:val="lowerLetter"/>
      <w:lvlText w:val="%1)"/>
      <w:lvlJc w:val="left"/>
      <w:pPr>
        <w:ind w:left="1637" w:hanging="360"/>
      </w:pPr>
      <w:rPr>
        <w:rFonts w:cs="Times New Roman" w:hint="default"/>
        <w:sz w:val="24"/>
        <w:szCs w:val="24"/>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F6FE1AAA"/>
    <w:lvl w:ilvl="0" w:tplc="7610AAF2">
      <w:start w:val="1"/>
      <w:numFmt w:val="lowerLetter"/>
      <w:lvlText w:val="%1)"/>
      <w:lvlJc w:val="left"/>
      <w:pPr>
        <w:ind w:left="1145" w:hanging="360"/>
      </w:pPr>
      <w:rPr>
        <w:rFonts w:cs="Times New Roman" w:hint="default"/>
        <w:sz w:val="24"/>
        <w:szCs w:val="24"/>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E8E08EB4"/>
    <w:lvl w:ilvl="0" w:tplc="7610AAF2">
      <w:start w:val="1"/>
      <w:numFmt w:val="lowerLetter"/>
      <w:lvlText w:val="%1)"/>
      <w:lvlJc w:val="left"/>
      <w:pPr>
        <w:ind w:left="1637" w:hanging="360"/>
      </w:pPr>
      <w:rPr>
        <w:rFonts w:cs="Times New Roman" w:hint="default"/>
        <w:sz w:val="24"/>
        <w:szCs w:val="24"/>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A134BD0"/>
    <w:multiLevelType w:val="hybridMultilevel"/>
    <w:tmpl w:val="FE44144A"/>
    <w:lvl w:ilvl="0" w:tplc="7610AAF2">
      <w:start w:val="1"/>
      <w:numFmt w:val="lowerLetter"/>
      <w:lvlText w:val="%1)"/>
      <w:lvlJc w:val="left"/>
      <w:pPr>
        <w:ind w:left="1080" w:hanging="360"/>
      </w:pPr>
      <w:rPr>
        <w:rFonts w:cs="Times New Roman" w:hint="default"/>
        <w:sz w:val="24"/>
        <w:szCs w:val="24"/>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8">
    <w:nsid w:val="5D641C81"/>
    <w:multiLevelType w:val="hybridMultilevel"/>
    <w:tmpl w:val="4EFECE82"/>
    <w:lvl w:ilvl="0" w:tplc="7610AAF2">
      <w:start w:val="1"/>
      <w:numFmt w:val="lowerLetter"/>
      <w:lvlText w:val="%1)"/>
      <w:lvlJc w:val="left"/>
      <w:pPr>
        <w:ind w:left="1637" w:hanging="360"/>
      </w:pPr>
      <w:rPr>
        <w:rFonts w:cs="Times New Roman" w:hint="default"/>
        <w:sz w:val="24"/>
        <w:szCs w:val="24"/>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9">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0">
    <w:nsid w:val="60641D12"/>
    <w:multiLevelType w:val="hybridMultilevel"/>
    <w:tmpl w:val="F8F44864"/>
    <w:lvl w:ilvl="0" w:tplc="7610AAF2">
      <w:start w:val="1"/>
      <w:numFmt w:val="lowerLetter"/>
      <w:lvlText w:val="%1)"/>
      <w:lvlJc w:val="left"/>
      <w:pPr>
        <w:ind w:left="1200" w:hanging="360"/>
      </w:pPr>
      <w:rPr>
        <w:rFonts w:cs="Times New Roman" w:hint="default"/>
        <w:sz w:val="24"/>
        <w:szCs w:val="24"/>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1">
    <w:nsid w:val="630B7BDD"/>
    <w:multiLevelType w:val="hybridMultilevel"/>
    <w:tmpl w:val="F38A8E06"/>
    <w:lvl w:ilvl="0" w:tplc="7610AAF2">
      <w:start w:val="1"/>
      <w:numFmt w:val="lowerLetter"/>
      <w:lvlText w:val="%1)"/>
      <w:lvlJc w:val="left"/>
      <w:pPr>
        <w:ind w:left="720" w:hanging="360"/>
      </w:pPr>
      <w:rPr>
        <w:rFonts w:cs="Times New Roman" w:hint="default"/>
        <w:sz w:val="24"/>
        <w:szCs w:val="24"/>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2">
    <w:nsid w:val="63737DAF"/>
    <w:multiLevelType w:val="hybridMultilevel"/>
    <w:tmpl w:val="A356B02C"/>
    <w:lvl w:ilvl="0" w:tplc="7610AAF2">
      <w:start w:val="1"/>
      <w:numFmt w:val="lowerLetter"/>
      <w:lvlText w:val="%1)"/>
      <w:lvlJc w:val="left"/>
      <w:pPr>
        <w:ind w:left="1142" w:hanging="360"/>
      </w:pPr>
      <w:rPr>
        <w:rFonts w:cs="Times New Roman" w:hint="default"/>
        <w:sz w:val="24"/>
        <w:szCs w:val="24"/>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3">
    <w:nsid w:val="63AE5626"/>
    <w:multiLevelType w:val="hybridMultilevel"/>
    <w:tmpl w:val="4CF2599A"/>
    <w:lvl w:ilvl="0" w:tplc="7610AAF2">
      <w:start w:val="1"/>
      <w:numFmt w:val="lowerLetter"/>
      <w:lvlText w:val="%1)"/>
      <w:lvlJc w:val="left"/>
      <w:pPr>
        <w:ind w:left="720" w:hanging="360"/>
      </w:pPr>
      <w:rPr>
        <w:rFonts w:cs="Times New Roman" w:hint="default"/>
        <w:sz w:val="24"/>
        <w:szCs w:val="24"/>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4">
    <w:nsid w:val="663542C2"/>
    <w:multiLevelType w:val="hybridMultilevel"/>
    <w:tmpl w:val="3C10C068"/>
    <w:lvl w:ilvl="0" w:tplc="7610AAF2">
      <w:start w:val="1"/>
      <w:numFmt w:val="lowerLetter"/>
      <w:lvlText w:val="%1)"/>
      <w:lvlJc w:val="left"/>
      <w:pPr>
        <w:ind w:left="1637" w:hanging="360"/>
      </w:pPr>
      <w:rPr>
        <w:rFonts w:cs="Times New Roman" w:hint="default"/>
        <w:sz w:val="24"/>
        <w:szCs w:val="24"/>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5">
    <w:nsid w:val="670D35CB"/>
    <w:multiLevelType w:val="hybridMultilevel"/>
    <w:tmpl w:val="EB466850"/>
    <w:lvl w:ilvl="0" w:tplc="7610AAF2">
      <w:start w:val="1"/>
      <w:numFmt w:val="lowerLetter"/>
      <w:lvlText w:val="%1)"/>
      <w:lvlJc w:val="left"/>
      <w:pPr>
        <w:ind w:left="132" w:hanging="360"/>
      </w:pPr>
      <w:rPr>
        <w:rFonts w:cs="Times New Roman" w:hint="default"/>
        <w:sz w:val="24"/>
        <w:szCs w:val="24"/>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CB36654"/>
    <w:multiLevelType w:val="hybridMultilevel"/>
    <w:tmpl w:val="CDBAD790"/>
    <w:lvl w:ilvl="0" w:tplc="7610AAF2">
      <w:start w:val="1"/>
      <w:numFmt w:val="lowerLetter"/>
      <w:lvlText w:val="%1)"/>
      <w:lvlJc w:val="left"/>
      <w:pPr>
        <w:ind w:left="1146" w:hanging="360"/>
      </w:pPr>
      <w:rPr>
        <w:rFonts w:cs="Times New Roman" w:hint="default"/>
        <w:sz w:val="24"/>
        <w:szCs w:val="24"/>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8">
    <w:nsid w:val="6E2664DF"/>
    <w:multiLevelType w:val="hybridMultilevel"/>
    <w:tmpl w:val="3D2086D4"/>
    <w:lvl w:ilvl="0" w:tplc="7610AAF2">
      <w:start w:val="1"/>
      <w:numFmt w:val="lowerLetter"/>
      <w:lvlText w:val="%1)"/>
      <w:lvlJc w:val="left"/>
      <w:pPr>
        <w:ind w:left="720" w:hanging="360"/>
      </w:pPr>
      <w:rPr>
        <w:rFonts w:cs="Times New Roman" w:hint="default"/>
        <w:sz w:val="24"/>
        <w:szCs w:val="24"/>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9">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1">
    <w:nsid w:val="737A69F1"/>
    <w:multiLevelType w:val="hybridMultilevel"/>
    <w:tmpl w:val="2C5C46FA"/>
    <w:lvl w:ilvl="0" w:tplc="7610AAF2">
      <w:start w:val="1"/>
      <w:numFmt w:val="lowerLetter"/>
      <w:lvlText w:val="%1)"/>
      <w:lvlJc w:val="left"/>
      <w:pPr>
        <w:ind w:left="1637" w:hanging="360"/>
      </w:pPr>
      <w:rPr>
        <w:rFonts w:cs="Times New Roman" w:hint="default"/>
        <w:sz w:val="24"/>
        <w:szCs w:val="24"/>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2">
    <w:nsid w:val="74F11725"/>
    <w:multiLevelType w:val="hybridMultilevel"/>
    <w:tmpl w:val="FF64407C"/>
    <w:lvl w:ilvl="0" w:tplc="6E3206BC">
      <w:start w:val="177"/>
      <w:numFmt w:val="decimal"/>
      <w:lvlText w:val="%1."/>
      <w:lvlJc w:val="left"/>
      <w:pPr>
        <w:ind w:left="720" w:hanging="360"/>
      </w:pPr>
      <w:rPr>
        <w:rFonts w:hint="default"/>
      </w:rPr>
    </w:lvl>
    <w:lvl w:ilvl="1" w:tplc="7610AAF2">
      <w:start w:val="1"/>
      <w:numFmt w:val="lowerLetter"/>
      <w:lvlText w:val="%2)"/>
      <w:lvlJc w:val="left"/>
      <w:pPr>
        <w:ind w:left="1440" w:hanging="360"/>
      </w:pPr>
      <w:rPr>
        <w:rFonts w:cs="Times New Roman" w:hint="default"/>
        <w:color w:val="auto"/>
        <w:sz w:val="24"/>
        <w:szCs w:val="24"/>
      </w:rPr>
    </w:lvl>
    <w:lvl w:ilvl="2" w:tplc="7610AAF2">
      <w:start w:val="1"/>
      <w:numFmt w:val="lowerLetter"/>
      <w:lvlText w:val="%3)"/>
      <w:lvlJc w:val="left"/>
      <w:pPr>
        <w:ind w:left="2340" w:hanging="360"/>
      </w:pPr>
      <w:rPr>
        <w:rFonts w:cs="Times New Roman" w:hint="default"/>
        <w:sz w:val="24"/>
        <w:szCs w:val="24"/>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3">
    <w:nsid w:val="76BE2CAB"/>
    <w:multiLevelType w:val="hybridMultilevel"/>
    <w:tmpl w:val="52E457CA"/>
    <w:lvl w:ilvl="0" w:tplc="7610AAF2">
      <w:start w:val="1"/>
      <w:numFmt w:val="lowerLetter"/>
      <w:lvlText w:val="%1)"/>
      <w:lvlJc w:val="left"/>
      <w:pPr>
        <w:ind w:left="1647" w:hanging="360"/>
      </w:pPr>
      <w:rPr>
        <w:rFonts w:cs="Times New Roman" w:hint="default"/>
        <w:sz w:val="24"/>
        <w:szCs w:val="24"/>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4">
    <w:nsid w:val="79591479"/>
    <w:multiLevelType w:val="hybridMultilevel"/>
    <w:tmpl w:val="D6E6D31E"/>
    <w:lvl w:ilvl="0" w:tplc="7610AAF2">
      <w:start w:val="1"/>
      <w:numFmt w:val="lowerLetter"/>
      <w:lvlText w:val="%1)"/>
      <w:lvlJc w:val="left"/>
      <w:pPr>
        <w:ind w:left="1637" w:hanging="360"/>
      </w:pPr>
      <w:rPr>
        <w:rFonts w:cs="Times New Roman" w:hint="default"/>
        <w:sz w:val="24"/>
        <w:szCs w:val="24"/>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5">
    <w:nsid w:val="79E92780"/>
    <w:multiLevelType w:val="hybridMultilevel"/>
    <w:tmpl w:val="FDF42516"/>
    <w:lvl w:ilvl="0" w:tplc="7610AAF2">
      <w:start w:val="1"/>
      <w:numFmt w:val="lowerLetter"/>
      <w:lvlText w:val="%1)"/>
      <w:lvlJc w:val="left"/>
      <w:pPr>
        <w:ind w:left="1800" w:hanging="360"/>
      </w:pPr>
      <w:rPr>
        <w:rFonts w:cs="Times New Roman" w:hint="default"/>
        <w:sz w:val="24"/>
        <w:szCs w:val="24"/>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6">
    <w:nsid w:val="7DCB34EC"/>
    <w:multiLevelType w:val="hybridMultilevel"/>
    <w:tmpl w:val="08B2E146"/>
    <w:lvl w:ilvl="0" w:tplc="7610AAF2">
      <w:start w:val="1"/>
      <w:numFmt w:val="lowerLetter"/>
      <w:lvlText w:val="%1)"/>
      <w:lvlJc w:val="left"/>
      <w:pPr>
        <w:ind w:left="1800" w:hanging="360"/>
      </w:pPr>
      <w:rPr>
        <w:rFonts w:cs="Times New Roman" w:hint="default"/>
        <w:sz w:val="24"/>
        <w:szCs w:val="24"/>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7">
    <w:nsid w:val="7EE1606F"/>
    <w:multiLevelType w:val="hybridMultilevel"/>
    <w:tmpl w:val="68FE5734"/>
    <w:lvl w:ilvl="0" w:tplc="7610AAF2">
      <w:start w:val="1"/>
      <w:numFmt w:val="lowerLetter"/>
      <w:lvlText w:val="%1)"/>
      <w:lvlJc w:val="left"/>
      <w:pPr>
        <w:ind w:left="1637" w:hanging="360"/>
      </w:pPr>
      <w:rPr>
        <w:rFonts w:cs="Times New Roman" w:hint="default"/>
        <w:sz w:val="24"/>
        <w:szCs w:val="24"/>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49"/>
  </w:num>
  <w:num w:numId="3">
    <w:abstractNumId w:val="8"/>
  </w:num>
  <w:num w:numId="4">
    <w:abstractNumId w:val="16"/>
  </w:num>
  <w:num w:numId="5">
    <w:abstractNumId w:val="34"/>
  </w:num>
  <w:num w:numId="6">
    <w:abstractNumId w:val="0"/>
  </w:num>
  <w:num w:numId="7">
    <w:abstractNumId w:val="46"/>
  </w:num>
  <w:num w:numId="8">
    <w:abstractNumId w:val="1"/>
  </w:num>
  <w:num w:numId="9">
    <w:abstractNumId w:val="13"/>
  </w:num>
  <w:num w:numId="10">
    <w:abstractNumId w:val="65"/>
  </w:num>
  <w:num w:numId="11">
    <w:abstractNumId w:val="35"/>
  </w:num>
  <w:num w:numId="12">
    <w:abstractNumId w:val="66"/>
  </w:num>
  <w:num w:numId="13">
    <w:abstractNumId w:val="56"/>
  </w:num>
  <w:num w:numId="14">
    <w:abstractNumId w:val="25"/>
  </w:num>
  <w:num w:numId="15">
    <w:abstractNumId w:val="44"/>
  </w:num>
  <w:num w:numId="16">
    <w:abstractNumId w:val="55"/>
  </w:num>
  <w:num w:numId="17">
    <w:abstractNumId w:val="5"/>
  </w:num>
  <w:num w:numId="18">
    <w:abstractNumId w:val="48"/>
  </w:num>
  <w:num w:numId="19">
    <w:abstractNumId w:val="4"/>
  </w:num>
  <w:num w:numId="20">
    <w:abstractNumId w:val="9"/>
  </w:num>
  <w:num w:numId="21">
    <w:abstractNumId w:val="42"/>
  </w:num>
  <w:num w:numId="22">
    <w:abstractNumId w:val="14"/>
  </w:num>
  <w:num w:numId="23">
    <w:abstractNumId w:val="63"/>
  </w:num>
  <w:num w:numId="24">
    <w:abstractNumId w:val="38"/>
  </w:num>
  <w:num w:numId="25">
    <w:abstractNumId w:val="15"/>
  </w:num>
  <w:num w:numId="26">
    <w:abstractNumId w:val="5"/>
  </w:num>
  <w:num w:numId="27">
    <w:abstractNumId w:val="7"/>
  </w:num>
  <w:num w:numId="28">
    <w:abstractNumId w:val="52"/>
  </w:num>
  <w:num w:numId="29">
    <w:abstractNumId w:val="17"/>
  </w:num>
  <w:num w:numId="30">
    <w:abstractNumId w:val="47"/>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0"/>
  </w:num>
  <w:num w:numId="39">
    <w:abstractNumId w:val="11"/>
  </w:num>
  <w:num w:numId="40">
    <w:abstractNumId w:val="62"/>
  </w:num>
  <w:num w:numId="41">
    <w:abstractNumId w:val="30"/>
  </w:num>
  <w:num w:numId="42">
    <w:abstractNumId w:val="21"/>
  </w:num>
  <w:num w:numId="43">
    <w:abstractNumId w:val="59"/>
  </w:num>
  <w:num w:numId="44">
    <w:abstractNumId w:val="19"/>
  </w:num>
  <w:num w:numId="45">
    <w:abstractNumId w:val="40"/>
  </w:num>
  <w:num w:numId="46">
    <w:abstractNumId w:val="41"/>
  </w:num>
  <w:num w:numId="47">
    <w:abstractNumId w:val="64"/>
  </w:num>
  <w:num w:numId="48">
    <w:abstractNumId w:val="37"/>
  </w:num>
  <w:num w:numId="49">
    <w:abstractNumId w:val="32"/>
  </w:num>
  <w:num w:numId="50">
    <w:abstractNumId w:val="18"/>
  </w:num>
  <w:num w:numId="51">
    <w:abstractNumId w:val="6"/>
  </w:num>
  <w:num w:numId="52">
    <w:abstractNumId w:val="22"/>
  </w:num>
  <w:num w:numId="53">
    <w:abstractNumId w:val="57"/>
  </w:num>
  <w:num w:numId="54">
    <w:abstractNumId w:val="27"/>
  </w:num>
  <w:num w:numId="55">
    <w:abstractNumId w:val="61"/>
  </w:num>
  <w:num w:numId="56">
    <w:abstractNumId w:val="10"/>
  </w:num>
  <w:num w:numId="57">
    <w:abstractNumId w:val="39"/>
  </w:num>
  <w:num w:numId="58">
    <w:abstractNumId w:val="3"/>
  </w:num>
  <w:num w:numId="59">
    <w:abstractNumId w:val="67"/>
  </w:num>
  <w:num w:numId="60">
    <w:abstractNumId w:val="54"/>
  </w:num>
  <w:num w:numId="61">
    <w:abstractNumId w:val="45"/>
  </w:num>
  <w:num w:numId="62">
    <w:abstractNumId w:val="53"/>
  </w:num>
  <w:num w:numId="63">
    <w:abstractNumId w:val="28"/>
  </w:num>
  <w:num w:numId="64">
    <w:abstractNumId w:val="24"/>
  </w:num>
  <w:num w:numId="65">
    <w:abstractNumId w:val="31"/>
  </w:num>
  <w:num w:numId="66">
    <w:abstractNumId w:val="36"/>
  </w:num>
  <w:num w:numId="67">
    <w:abstractNumId w:val="51"/>
  </w:num>
  <w:num w:numId="68">
    <w:abstractNumId w:val="58"/>
  </w:num>
  <w:num w:numId="69">
    <w:abstractNumId w:val="12"/>
  </w:num>
  <w:num w:numId="70">
    <w:abstractNumId w:val="2"/>
  </w:num>
  <w:num w:numId="71">
    <w:abstractNumId w:val="29"/>
  </w:num>
  <w:num w:numId="72">
    <w:abstractNumId w:val="7"/>
  </w:num>
  <w:num w:numId="73">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2C06EE"/>
    <w:rsid w:val="0030521D"/>
    <w:rsid w:val="00316C77"/>
    <w:rsid w:val="003A35E6"/>
    <w:rsid w:val="005427F9"/>
    <w:rsid w:val="005F4BF4"/>
    <w:rsid w:val="0062687D"/>
    <w:rsid w:val="006A2EB8"/>
    <w:rsid w:val="00702929"/>
    <w:rsid w:val="00752256"/>
    <w:rsid w:val="00837ED5"/>
    <w:rsid w:val="00860F58"/>
    <w:rsid w:val="0093244C"/>
    <w:rsid w:val="009569C7"/>
    <w:rsid w:val="009E0809"/>
    <w:rsid w:val="00A00717"/>
    <w:rsid w:val="00A834F1"/>
    <w:rsid w:val="00AA6762"/>
    <w:rsid w:val="00B420BD"/>
    <w:rsid w:val="00C82C90"/>
    <w:rsid w:val="00ED3B87"/>
    <w:rsid w:val="00FA6D2B"/>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cs-CZ"/>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cs-CZ"/>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cs-CZ"/>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cs-CZ"/>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cs-CZ"/>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cs-CZ"/>
    </w:rPr>
  </w:style>
  <w:style w:type="character" w:customStyle="1" w:styleId="subtitlenonumberChar">
    <w:name w:val="subtitle no number Char"/>
    <w:link w:val="subtitlenonumber"/>
    <w:rsid w:val="00AD63B8"/>
    <w:rPr>
      <w:b/>
      <w:i/>
      <w:sz w:val="24"/>
      <w:szCs w:val="24"/>
      <w:lang w:val="cs-CZ" w:eastAsia="cs-CZ"/>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cs-CZ" w:eastAsia="cs-CZ"/>
    </w:rPr>
  </w:style>
  <w:style w:type="character" w:customStyle="1" w:styleId="Heading2Char">
    <w:name w:val="Heading 2 Char"/>
    <w:link w:val="Heading2"/>
    <w:rsid w:val="005100D0"/>
    <w:rPr>
      <w:rFonts w:ascii="Cambria" w:hAnsi="Cambria"/>
      <w:b/>
      <w:bCs/>
      <w:color w:val="4F81BD"/>
      <w:sz w:val="26"/>
      <w:szCs w:val="26"/>
      <w:lang w:val="cs-CZ" w:eastAsia="cs-CZ"/>
    </w:rPr>
  </w:style>
  <w:style w:type="character" w:customStyle="1" w:styleId="Heading3Char">
    <w:name w:val="Heading 3 Char"/>
    <w:link w:val="Heading3"/>
    <w:rsid w:val="005100D0"/>
    <w:rPr>
      <w:rFonts w:ascii="Cambria" w:hAnsi="Cambria"/>
      <w:b/>
      <w:bCs/>
      <w:color w:val="4F81BD"/>
      <w:sz w:val="22"/>
      <w:szCs w:val="22"/>
      <w:lang w:val="cs-CZ" w:eastAsia="cs-CZ"/>
    </w:rPr>
  </w:style>
  <w:style w:type="character" w:customStyle="1" w:styleId="Heading4Char">
    <w:name w:val="Heading 4 Char"/>
    <w:link w:val="Heading4"/>
    <w:rsid w:val="005100D0"/>
    <w:rPr>
      <w:rFonts w:ascii="Cambria" w:hAnsi="Cambria"/>
      <w:b/>
      <w:bCs/>
      <w:i/>
      <w:iCs/>
      <w:color w:val="4F81BD"/>
      <w:sz w:val="22"/>
      <w:szCs w:val="22"/>
      <w:lang w:val="cs-CZ" w:eastAsia="cs-CZ"/>
    </w:rPr>
  </w:style>
  <w:style w:type="character" w:customStyle="1" w:styleId="Heading5Char">
    <w:name w:val="Heading 5 Char"/>
    <w:link w:val="Heading5"/>
    <w:rsid w:val="005100D0"/>
    <w:rPr>
      <w:rFonts w:ascii="Cambria" w:hAnsi="Cambria"/>
      <w:color w:val="243F60"/>
      <w:sz w:val="22"/>
      <w:szCs w:val="22"/>
      <w:lang w:val="cs-CZ" w:eastAsia="cs-CZ"/>
    </w:rPr>
  </w:style>
  <w:style w:type="character" w:customStyle="1" w:styleId="Heading6Char">
    <w:name w:val="Heading 6 Char"/>
    <w:link w:val="Heading6"/>
    <w:rsid w:val="005100D0"/>
    <w:rPr>
      <w:rFonts w:ascii="Cambria" w:hAnsi="Cambria"/>
      <w:i/>
      <w:iCs/>
      <w:color w:val="243F60"/>
      <w:sz w:val="22"/>
      <w:szCs w:val="22"/>
      <w:lang w:val="cs-CZ" w:eastAsia="cs-CZ"/>
    </w:rPr>
  </w:style>
  <w:style w:type="character" w:customStyle="1" w:styleId="Heading7Char">
    <w:name w:val="Heading 7 Char"/>
    <w:link w:val="Heading7"/>
    <w:rsid w:val="005100D0"/>
    <w:rPr>
      <w:rFonts w:ascii="Cambria" w:hAnsi="Cambria"/>
      <w:i/>
      <w:iCs/>
      <w:color w:val="404040"/>
      <w:sz w:val="22"/>
      <w:szCs w:val="22"/>
      <w:lang w:val="cs-CZ" w:eastAsia="cs-CZ"/>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cs-CZ" w:eastAsia="cs-CZ"/>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cs-CZ" w:eastAsia="cs-CZ"/>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cs-CZ" w:eastAsia="cs-CZ"/>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cs-CZ" w:eastAsia="cs-CZ"/>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cs-CZ" w:eastAsia="cs-CZ"/>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cs-CZ" w:eastAsia="cs-CZ"/>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cs-CZ"/>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cs-CZ"/>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cs-CZ"/>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cs-CZ"/>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cs-CZ"/>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cs-CZ"/>
    </w:rPr>
  </w:style>
  <w:style w:type="character" w:customStyle="1" w:styleId="subtitlenonumberChar">
    <w:name w:val="subtitle no number Char"/>
    <w:link w:val="subtitlenonumber"/>
    <w:rsid w:val="00AD63B8"/>
    <w:rPr>
      <w:b/>
      <w:i/>
      <w:sz w:val="24"/>
      <w:szCs w:val="24"/>
      <w:lang w:val="cs-CZ" w:eastAsia="cs-CZ"/>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cs-CZ" w:eastAsia="cs-CZ"/>
    </w:rPr>
  </w:style>
  <w:style w:type="character" w:customStyle="1" w:styleId="Heading2Char">
    <w:name w:val="Heading 2 Char"/>
    <w:link w:val="Heading2"/>
    <w:rsid w:val="005100D0"/>
    <w:rPr>
      <w:rFonts w:ascii="Cambria" w:hAnsi="Cambria"/>
      <w:b/>
      <w:bCs/>
      <w:color w:val="4F81BD"/>
      <w:sz w:val="26"/>
      <w:szCs w:val="26"/>
      <w:lang w:val="cs-CZ" w:eastAsia="cs-CZ"/>
    </w:rPr>
  </w:style>
  <w:style w:type="character" w:customStyle="1" w:styleId="Heading3Char">
    <w:name w:val="Heading 3 Char"/>
    <w:link w:val="Heading3"/>
    <w:rsid w:val="005100D0"/>
    <w:rPr>
      <w:rFonts w:ascii="Cambria" w:hAnsi="Cambria"/>
      <w:b/>
      <w:bCs/>
      <w:color w:val="4F81BD"/>
      <w:sz w:val="22"/>
      <w:szCs w:val="22"/>
      <w:lang w:val="cs-CZ" w:eastAsia="cs-CZ"/>
    </w:rPr>
  </w:style>
  <w:style w:type="character" w:customStyle="1" w:styleId="Heading4Char">
    <w:name w:val="Heading 4 Char"/>
    <w:link w:val="Heading4"/>
    <w:rsid w:val="005100D0"/>
    <w:rPr>
      <w:rFonts w:ascii="Cambria" w:hAnsi="Cambria"/>
      <w:b/>
      <w:bCs/>
      <w:i/>
      <w:iCs/>
      <w:color w:val="4F81BD"/>
      <w:sz w:val="22"/>
      <w:szCs w:val="22"/>
      <w:lang w:val="cs-CZ" w:eastAsia="cs-CZ"/>
    </w:rPr>
  </w:style>
  <w:style w:type="character" w:customStyle="1" w:styleId="Heading5Char">
    <w:name w:val="Heading 5 Char"/>
    <w:link w:val="Heading5"/>
    <w:rsid w:val="005100D0"/>
    <w:rPr>
      <w:rFonts w:ascii="Cambria" w:hAnsi="Cambria"/>
      <w:color w:val="243F60"/>
      <w:sz w:val="22"/>
      <w:szCs w:val="22"/>
      <w:lang w:val="cs-CZ" w:eastAsia="cs-CZ"/>
    </w:rPr>
  </w:style>
  <w:style w:type="character" w:customStyle="1" w:styleId="Heading6Char">
    <w:name w:val="Heading 6 Char"/>
    <w:link w:val="Heading6"/>
    <w:rsid w:val="005100D0"/>
    <w:rPr>
      <w:rFonts w:ascii="Cambria" w:hAnsi="Cambria"/>
      <w:i/>
      <w:iCs/>
      <w:color w:val="243F60"/>
      <w:sz w:val="22"/>
      <w:szCs w:val="22"/>
      <w:lang w:val="cs-CZ" w:eastAsia="cs-CZ"/>
    </w:rPr>
  </w:style>
  <w:style w:type="character" w:customStyle="1" w:styleId="Heading7Char">
    <w:name w:val="Heading 7 Char"/>
    <w:link w:val="Heading7"/>
    <w:rsid w:val="005100D0"/>
    <w:rPr>
      <w:rFonts w:ascii="Cambria" w:hAnsi="Cambria"/>
      <w:i/>
      <w:iCs/>
      <w:color w:val="404040"/>
      <w:sz w:val="22"/>
      <w:szCs w:val="22"/>
      <w:lang w:val="cs-CZ" w:eastAsia="cs-CZ"/>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cs-CZ" w:eastAsia="cs-CZ"/>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cs-CZ" w:eastAsia="cs-CZ"/>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cs-CZ" w:eastAsia="cs-CZ"/>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cs-CZ" w:eastAsia="cs-CZ"/>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cs-CZ" w:eastAsia="cs-CZ"/>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cs-CZ" w:eastAsia="cs-CZ"/>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D2ADAB-7843-4E29-8CF1-F9C9EBF09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73</Pages>
  <Words>26372</Words>
  <Characters>159708</Characters>
  <Application>Microsoft Office Word</Application>
  <DocSecurity>0</DocSecurity>
  <Lines>1330</Lines>
  <Paragraphs>371</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185709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SKYPALA Vlastimil (DGT)</cp:lastModifiedBy>
  <cp:revision>4</cp:revision>
  <cp:lastPrinted>2016-10-27T14:00:00Z</cp:lastPrinted>
  <dcterms:created xsi:type="dcterms:W3CDTF">2017-06-16T07:20:00Z</dcterms:created>
  <dcterms:modified xsi:type="dcterms:W3CDTF">2017-06-20T06:02:00Z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