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9C7" w:rsidRPr="00EC4FA2" w:rsidRDefault="00A834F1" w:rsidP="009569C7">
      <w:pPr>
        <w:jc w:val="center"/>
        <w:rPr>
          <w:rFonts w:ascii="Times New Roman" w:hAnsi="Times New Roman"/>
          <w:b/>
          <w:sz w:val="24"/>
        </w:rPr>
      </w:pPr>
      <w:bookmarkStart w:id="0" w:name="_Toc359315628"/>
      <w:bookmarkStart w:id="1" w:name="_Toc361844197"/>
      <w:proofErr w:type="gramStart"/>
      <w:r>
        <w:rPr>
          <w:rFonts w:ascii="Times New Roman" w:hAnsi="Times New Roman"/>
          <w:b/>
          <w:sz w:val="24"/>
        </w:rPr>
        <w:t>HU</w:t>
      </w:r>
      <w:proofErr w:type="gramEnd"/>
      <w:r>
        <w:rPr>
          <w:rFonts w:ascii="Times New Roman" w:hAnsi="Times New Roman"/>
          <w:b/>
          <w:sz w:val="24"/>
          <w:szCs w:val="24"/>
        </w:rPr>
        <w:br/>
      </w:r>
      <w:r>
        <w:rPr>
          <w:rFonts w:ascii="Times New Roman" w:hAnsi="Times New Roman"/>
          <w:b/>
          <w:sz w:val="24"/>
        </w:rPr>
        <w:t>V. MELLÉKLET</w:t>
      </w:r>
      <w:bookmarkEnd w:id="0"/>
      <w:bookmarkEnd w:id="1"/>
    </w:p>
    <w:p w:rsidR="009569C7" w:rsidRPr="00EC4FA2" w:rsidRDefault="00A834F1" w:rsidP="009569C7">
      <w:pPr>
        <w:jc w:val="center"/>
        <w:rPr>
          <w:rFonts w:ascii="Times New Roman" w:hAnsi="Times New Roman"/>
          <w:b/>
          <w:sz w:val="24"/>
        </w:rPr>
      </w:pPr>
      <w:r>
        <w:rPr>
          <w:rFonts w:ascii="Times New Roman" w:hAnsi="Times New Roman"/>
          <w:b/>
          <w:sz w:val="24"/>
        </w:rPr>
        <w:t>A PÉNZÜGYI INFORMÁCIÓKRA VONATKOZÓ ADATSZOLGÁLTATÁS</w:t>
      </w:r>
    </w:p>
    <w:p w:rsidR="009569C7" w:rsidRPr="00EC4FA2" w:rsidRDefault="00A834F1">
      <w:pPr>
        <w:spacing w:after="0"/>
        <w:rPr>
          <w:rFonts w:ascii="Times New Roman" w:hAnsi="Times New Roman"/>
          <w:sz w:val="24"/>
          <w:szCs w:val="24"/>
        </w:rPr>
      </w:pPr>
      <w:r>
        <w:rPr>
          <w:rFonts w:ascii="Times New Roman" w:hAnsi="Times New Roman"/>
          <w:sz w:val="24"/>
        </w:rPr>
        <w:t>Tartalomjegyzék</w:t>
      </w:r>
    </w:p>
    <w:p w:rsidR="003A3647" w:rsidRDefault="00861E9B">
      <w:pPr>
        <w:pStyle w:val="TOC1"/>
        <w:tabs>
          <w:tab w:val="right" w:leader="dot" w:pos="8296"/>
        </w:tabs>
        <w:rPr>
          <w:rFonts w:asciiTheme="minorHAnsi" w:eastAsiaTheme="minorEastAsia" w:hAnsiTheme="minorHAnsi" w:cstheme="minorBidi"/>
          <w:b w:val="0"/>
          <w:noProof/>
          <w:sz w:val="22"/>
          <w:szCs w:val="22"/>
          <w:lang w:bidi="ar-SA"/>
        </w:rPr>
      </w:pPr>
      <w:r>
        <w:fldChar w:fldCharType="begin"/>
      </w:r>
      <w:r w:rsidR="00A834F1">
        <w:instrText xml:space="preserve"> TOC \o "1-3" \u </w:instrText>
      </w:r>
      <w:r>
        <w:fldChar w:fldCharType="separate"/>
      </w:r>
      <w:r w:rsidR="003A3647">
        <w:rPr>
          <w:noProof/>
        </w:rPr>
        <w:t>Általános útmutató</w:t>
      </w:r>
      <w:r w:rsidR="003A3647">
        <w:rPr>
          <w:noProof/>
        </w:rPr>
        <w:tab/>
      </w:r>
      <w:r w:rsidR="003A3647">
        <w:rPr>
          <w:noProof/>
        </w:rPr>
        <w:fldChar w:fldCharType="begin"/>
      </w:r>
      <w:r w:rsidR="003A3647">
        <w:rPr>
          <w:noProof/>
        </w:rPr>
        <w:instrText xml:space="preserve"> PAGEREF _Toc485913570 \h </w:instrText>
      </w:r>
      <w:r w:rsidR="003A3647">
        <w:rPr>
          <w:noProof/>
        </w:rPr>
      </w:r>
      <w:r w:rsidR="003A3647">
        <w:rPr>
          <w:noProof/>
        </w:rPr>
        <w:fldChar w:fldCharType="separate"/>
      </w:r>
      <w:r w:rsidR="003A3647">
        <w:rPr>
          <w:noProof/>
        </w:rPr>
        <w:t>4</w:t>
      </w:r>
      <w:r w:rsidR="003A3647">
        <w:rPr>
          <w:noProof/>
        </w:rPr>
        <w:fldChar w:fldCharType="end"/>
      </w:r>
    </w:p>
    <w:p w:rsidR="003A3647" w:rsidRDefault="003A3647">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Hivatkozások</w:t>
      </w:r>
      <w:r>
        <w:tab/>
      </w:r>
      <w:r>
        <w:fldChar w:fldCharType="begin"/>
      </w:r>
      <w:r>
        <w:instrText xml:space="preserve"> PAGEREF _Toc485913571 \h </w:instrText>
      </w:r>
      <w:r>
        <w:fldChar w:fldCharType="separate"/>
      </w:r>
      <w:r>
        <w:t>4</w:t>
      </w:r>
      <w:r>
        <w:fldChar w:fldCharType="end"/>
      </w:r>
    </w:p>
    <w:p w:rsidR="003A3647" w:rsidRDefault="003A3647">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Jelölési szabályok</w:t>
      </w:r>
      <w:r>
        <w:tab/>
      </w:r>
      <w:r>
        <w:fldChar w:fldCharType="begin"/>
      </w:r>
      <w:r>
        <w:instrText xml:space="preserve"> PAGEREF _Toc485913572 \h </w:instrText>
      </w:r>
      <w:r>
        <w:fldChar w:fldCharType="separate"/>
      </w:r>
      <w:r>
        <w:t>6</w:t>
      </w:r>
      <w:r>
        <w:fldChar w:fldCharType="end"/>
      </w:r>
    </w:p>
    <w:p w:rsidR="003A3647" w:rsidRDefault="003A3647">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Konszolidáció</w:t>
      </w:r>
      <w:r>
        <w:tab/>
      </w:r>
      <w:r>
        <w:fldChar w:fldCharType="begin"/>
      </w:r>
      <w:r>
        <w:instrText xml:space="preserve"> PAGEREF _Toc485913573 \h </w:instrText>
      </w:r>
      <w:r>
        <w:fldChar w:fldCharType="separate"/>
      </w:r>
      <w:r>
        <w:t>7</w:t>
      </w:r>
      <w:r>
        <w:fldChar w:fldCharType="end"/>
      </w:r>
    </w:p>
    <w:p w:rsidR="003A3647" w:rsidRDefault="003A3647">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Pénzügyi instrumentumok számviteli portfóliói</w:t>
      </w:r>
      <w:r>
        <w:tab/>
      </w:r>
      <w:r>
        <w:fldChar w:fldCharType="begin"/>
      </w:r>
      <w:r>
        <w:instrText xml:space="preserve"> PAGEREF _Toc485913574 \h </w:instrText>
      </w:r>
      <w:r>
        <w:fldChar w:fldCharType="separate"/>
      </w:r>
      <w:r>
        <w:t>8</w:t>
      </w:r>
      <w:r>
        <w:fldChar w:fldCharType="end"/>
      </w:r>
    </w:p>
    <w:p w:rsidR="003A3647" w:rsidRDefault="003A3647">
      <w:pPr>
        <w:pStyle w:val="TOC2"/>
        <w:rPr>
          <w:rFonts w:asciiTheme="minorHAnsi" w:eastAsiaTheme="minorEastAsia" w:hAnsiTheme="minorHAnsi" w:cstheme="minorBidi"/>
          <w:sz w:val="22"/>
          <w:szCs w:val="22"/>
          <w:lang w:bidi="ar-SA"/>
        </w:rPr>
      </w:pPr>
      <w:r>
        <w:t>4.1.</w:t>
      </w:r>
      <w:r>
        <w:rPr>
          <w:rFonts w:asciiTheme="minorHAnsi" w:eastAsiaTheme="minorEastAsia" w:hAnsiTheme="minorHAnsi" w:cstheme="minorBidi"/>
          <w:sz w:val="22"/>
          <w:szCs w:val="22"/>
          <w:lang w:bidi="ar-SA"/>
        </w:rPr>
        <w:tab/>
      </w:r>
      <w:r>
        <w:t>Pénzügyi eszközök</w:t>
      </w:r>
      <w:r>
        <w:tab/>
      </w:r>
      <w:r>
        <w:fldChar w:fldCharType="begin"/>
      </w:r>
      <w:r>
        <w:instrText xml:space="preserve"> PAGEREF _Toc485913575 \h </w:instrText>
      </w:r>
      <w:r>
        <w:fldChar w:fldCharType="separate"/>
      </w:r>
      <w:r>
        <w:t>8</w:t>
      </w:r>
      <w:r>
        <w:fldChar w:fldCharType="end"/>
      </w:r>
    </w:p>
    <w:p w:rsidR="003A3647" w:rsidRDefault="003A3647">
      <w:pPr>
        <w:pStyle w:val="TOC2"/>
        <w:rPr>
          <w:rFonts w:asciiTheme="minorHAnsi" w:eastAsiaTheme="minorEastAsia" w:hAnsiTheme="minorHAnsi" w:cstheme="minorBidi"/>
          <w:sz w:val="22"/>
          <w:szCs w:val="22"/>
          <w:lang w:bidi="ar-SA"/>
        </w:rPr>
      </w:pPr>
      <w:r>
        <w:t>4.2.</w:t>
      </w:r>
      <w:r>
        <w:rPr>
          <w:rFonts w:asciiTheme="minorHAnsi" w:eastAsiaTheme="minorEastAsia" w:hAnsiTheme="minorHAnsi" w:cstheme="minorBidi"/>
          <w:sz w:val="22"/>
          <w:szCs w:val="22"/>
          <w:lang w:bidi="ar-SA"/>
        </w:rPr>
        <w:tab/>
      </w:r>
      <w:r>
        <w:t>Pénzügyi kötelezettségek</w:t>
      </w:r>
      <w:r>
        <w:tab/>
      </w:r>
      <w:r>
        <w:fldChar w:fldCharType="begin"/>
      </w:r>
      <w:r>
        <w:instrText xml:space="preserve"> PAGEREF _Toc485913576 \h </w:instrText>
      </w:r>
      <w:r>
        <w:fldChar w:fldCharType="separate"/>
      </w:r>
      <w:r>
        <w:t>10</w:t>
      </w:r>
      <w:r>
        <w:fldChar w:fldCharType="end"/>
      </w:r>
    </w:p>
    <w:p w:rsidR="003A3647" w:rsidRDefault="003A3647">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Pénzügyi instrumentumok</w:t>
      </w:r>
      <w:r>
        <w:tab/>
      </w:r>
      <w:r>
        <w:fldChar w:fldCharType="begin"/>
      </w:r>
      <w:r>
        <w:instrText xml:space="preserve"> PAGEREF _Toc485913577 \h </w:instrText>
      </w:r>
      <w:r>
        <w:fldChar w:fldCharType="separate"/>
      </w:r>
      <w:r>
        <w:t>11</w:t>
      </w:r>
      <w:r>
        <w:fldChar w:fldCharType="end"/>
      </w:r>
    </w:p>
    <w:p w:rsidR="003A3647" w:rsidRDefault="003A3647">
      <w:pPr>
        <w:pStyle w:val="TOC2"/>
        <w:rPr>
          <w:rFonts w:asciiTheme="minorHAnsi" w:eastAsiaTheme="minorEastAsia" w:hAnsiTheme="minorHAnsi" w:cstheme="minorBidi"/>
          <w:sz w:val="22"/>
          <w:szCs w:val="22"/>
          <w:lang w:bidi="ar-SA"/>
        </w:rPr>
      </w:pPr>
      <w:r>
        <w:t>5.1.</w:t>
      </w:r>
      <w:r>
        <w:rPr>
          <w:rFonts w:asciiTheme="minorHAnsi" w:eastAsiaTheme="minorEastAsia" w:hAnsiTheme="minorHAnsi" w:cstheme="minorBidi"/>
          <w:sz w:val="22"/>
          <w:szCs w:val="22"/>
          <w:lang w:bidi="ar-SA"/>
        </w:rPr>
        <w:tab/>
      </w:r>
      <w:r>
        <w:t>Pénzügyi eszközök</w:t>
      </w:r>
      <w:r>
        <w:tab/>
      </w:r>
      <w:r>
        <w:fldChar w:fldCharType="begin"/>
      </w:r>
      <w:r>
        <w:instrText xml:space="preserve"> PAGEREF _Toc485913578 \h </w:instrText>
      </w:r>
      <w:r>
        <w:fldChar w:fldCharType="separate"/>
      </w:r>
      <w:r>
        <w:t>11</w:t>
      </w:r>
      <w:r>
        <w:fldChar w:fldCharType="end"/>
      </w:r>
    </w:p>
    <w:p w:rsidR="003A3647" w:rsidRDefault="003A3647">
      <w:pPr>
        <w:pStyle w:val="TOC2"/>
        <w:rPr>
          <w:rFonts w:asciiTheme="minorHAnsi" w:eastAsiaTheme="minorEastAsia" w:hAnsiTheme="minorHAnsi" w:cstheme="minorBidi"/>
          <w:sz w:val="22"/>
          <w:szCs w:val="22"/>
          <w:lang w:bidi="ar-SA"/>
        </w:rPr>
      </w:pPr>
      <w:r>
        <w:t>5.2.</w:t>
      </w:r>
      <w:r>
        <w:rPr>
          <w:rFonts w:asciiTheme="minorHAnsi" w:eastAsiaTheme="minorEastAsia" w:hAnsiTheme="minorHAnsi" w:cstheme="minorBidi"/>
          <w:sz w:val="22"/>
          <w:szCs w:val="22"/>
          <w:lang w:bidi="ar-SA"/>
        </w:rPr>
        <w:tab/>
      </w:r>
      <w:r>
        <w:t>Bruttó könyv szerinti érték</w:t>
      </w:r>
      <w:r>
        <w:tab/>
      </w:r>
      <w:r>
        <w:fldChar w:fldCharType="begin"/>
      </w:r>
      <w:r>
        <w:instrText xml:space="preserve"> PAGEREF _Toc485913579 \h </w:instrText>
      </w:r>
      <w:r>
        <w:fldChar w:fldCharType="separate"/>
      </w:r>
      <w:r>
        <w:t>12</w:t>
      </w:r>
      <w:r>
        <w:fldChar w:fldCharType="end"/>
      </w:r>
    </w:p>
    <w:p w:rsidR="003A3647" w:rsidRDefault="003A3647">
      <w:pPr>
        <w:pStyle w:val="TOC2"/>
        <w:rPr>
          <w:rFonts w:asciiTheme="minorHAnsi" w:eastAsiaTheme="minorEastAsia" w:hAnsiTheme="minorHAnsi" w:cstheme="minorBidi"/>
          <w:sz w:val="22"/>
          <w:szCs w:val="22"/>
          <w:lang w:bidi="ar-SA"/>
        </w:rPr>
      </w:pPr>
      <w:r>
        <w:t>5.3.</w:t>
      </w:r>
      <w:r>
        <w:rPr>
          <w:rFonts w:asciiTheme="minorHAnsi" w:eastAsiaTheme="minorEastAsia" w:hAnsiTheme="minorHAnsi" w:cstheme="minorBidi"/>
          <w:sz w:val="22"/>
          <w:szCs w:val="22"/>
          <w:lang w:bidi="ar-SA"/>
        </w:rPr>
        <w:tab/>
      </w:r>
      <w:r>
        <w:t>Pénzügyi kötelezettségek</w:t>
      </w:r>
      <w:r>
        <w:tab/>
      </w:r>
      <w:r>
        <w:fldChar w:fldCharType="begin"/>
      </w:r>
      <w:r>
        <w:instrText xml:space="preserve"> PAGEREF _Toc485913580 \h </w:instrText>
      </w:r>
      <w:r>
        <w:fldChar w:fldCharType="separate"/>
      </w:r>
      <w:r>
        <w:t>13</w:t>
      </w:r>
      <w:r>
        <w:fldChar w:fldCharType="end"/>
      </w:r>
    </w:p>
    <w:p w:rsidR="003A3647" w:rsidRDefault="003A3647">
      <w:pPr>
        <w:pStyle w:val="TOC2"/>
        <w:rPr>
          <w:rFonts w:asciiTheme="minorHAnsi" w:eastAsiaTheme="minorEastAsia" w:hAnsiTheme="minorHAnsi" w:cstheme="minorBidi"/>
          <w:sz w:val="22"/>
          <w:szCs w:val="22"/>
          <w:lang w:bidi="ar-SA"/>
        </w:rPr>
      </w:pPr>
      <w:r>
        <w:t>6.</w:t>
      </w:r>
      <w:r>
        <w:rPr>
          <w:rFonts w:asciiTheme="minorHAnsi" w:eastAsiaTheme="minorEastAsia" w:hAnsiTheme="minorHAnsi" w:cstheme="minorBidi"/>
          <w:sz w:val="22"/>
          <w:szCs w:val="22"/>
          <w:lang w:bidi="ar-SA"/>
        </w:rPr>
        <w:tab/>
      </w:r>
      <w:r>
        <w:t>Ügyfél szerinti részletezés</w:t>
      </w:r>
      <w:r>
        <w:tab/>
      </w:r>
      <w:r>
        <w:fldChar w:fldCharType="begin"/>
      </w:r>
      <w:r>
        <w:instrText xml:space="preserve"> PAGEREF _Toc485913581 \h </w:instrText>
      </w:r>
      <w:r>
        <w:fldChar w:fldCharType="separate"/>
      </w:r>
      <w:r>
        <w:t>14</w:t>
      </w:r>
      <w:r>
        <w:fldChar w:fldCharType="end"/>
      </w:r>
    </w:p>
    <w:p w:rsidR="003A3647" w:rsidRDefault="003A3647">
      <w:pPr>
        <w:pStyle w:val="TOC1"/>
        <w:tabs>
          <w:tab w:val="right" w:leader="dot" w:pos="8296"/>
        </w:tabs>
        <w:rPr>
          <w:rFonts w:asciiTheme="minorHAnsi" w:eastAsiaTheme="minorEastAsia" w:hAnsiTheme="minorHAnsi" w:cstheme="minorBidi"/>
          <w:b w:val="0"/>
          <w:noProof/>
          <w:sz w:val="22"/>
          <w:szCs w:val="22"/>
          <w:lang w:bidi="ar-SA"/>
        </w:rPr>
      </w:pPr>
      <w:r>
        <w:rPr>
          <w:noProof/>
        </w:rPr>
        <w:t>A táblához kapcsolódó útmutató</w:t>
      </w:r>
      <w:r>
        <w:rPr>
          <w:noProof/>
        </w:rPr>
        <w:tab/>
      </w:r>
      <w:r>
        <w:rPr>
          <w:noProof/>
        </w:rPr>
        <w:fldChar w:fldCharType="begin"/>
      </w:r>
      <w:r>
        <w:rPr>
          <w:noProof/>
        </w:rPr>
        <w:instrText xml:space="preserve"> PAGEREF _Toc485913582 \h </w:instrText>
      </w:r>
      <w:r>
        <w:rPr>
          <w:noProof/>
        </w:rPr>
      </w:r>
      <w:r>
        <w:rPr>
          <w:noProof/>
        </w:rPr>
        <w:fldChar w:fldCharType="separate"/>
      </w:r>
      <w:r>
        <w:rPr>
          <w:noProof/>
        </w:rPr>
        <w:t>16</w:t>
      </w:r>
      <w:r>
        <w:rPr>
          <w:noProof/>
        </w:rPr>
        <w:fldChar w:fldCharType="end"/>
      </w:r>
    </w:p>
    <w:p w:rsidR="003A3647" w:rsidRDefault="003A3647">
      <w:pPr>
        <w:pStyle w:val="TOC2"/>
        <w:rPr>
          <w:rFonts w:asciiTheme="minorHAnsi" w:eastAsiaTheme="minorEastAsia" w:hAnsiTheme="minorHAnsi" w:cstheme="minorBidi"/>
          <w:sz w:val="22"/>
          <w:szCs w:val="22"/>
          <w:lang w:bidi="ar-SA"/>
        </w:rPr>
      </w:pPr>
      <w:r>
        <w:t>1.</w:t>
      </w:r>
      <w:r>
        <w:rPr>
          <w:rFonts w:asciiTheme="minorHAnsi" w:eastAsiaTheme="minorEastAsia" w:hAnsiTheme="minorHAnsi" w:cstheme="minorBidi"/>
          <w:sz w:val="22"/>
          <w:szCs w:val="22"/>
          <w:lang w:bidi="ar-SA"/>
        </w:rPr>
        <w:tab/>
      </w:r>
      <w:r>
        <w:t>Mérleg</w:t>
      </w:r>
      <w:r>
        <w:tab/>
      </w:r>
      <w:r>
        <w:fldChar w:fldCharType="begin"/>
      </w:r>
      <w:r>
        <w:instrText xml:space="preserve"> PAGEREF _Toc485913583 \h </w:instrText>
      </w:r>
      <w:r>
        <w:fldChar w:fldCharType="separate"/>
      </w:r>
      <w:r>
        <w:t>16</w:t>
      </w:r>
      <w:r>
        <w:fldChar w:fldCharType="end"/>
      </w:r>
    </w:p>
    <w:p w:rsidR="003A3647" w:rsidRDefault="003A3647">
      <w:pPr>
        <w:pStyle w:val="TOC2"/>
        <w:rPr>
          <w:rFonts w:asciiTheme="minorHAnsi" w:eastAsiaTheme="minorEastAsia" w:hAnsiTheme="minorHAnsi" w:cstheme="minorBidi"/>
          <w:sz w:val="22"/>
          <w:szCs w:val="22"/>
          <w:lang w:bidi="ar-SA"/>
        </w:rPr>
      </w:pPr>
      <w:r>
        <w:t>1.1.</w:t>
      </w:r>
      <w:r>
        <w:rPr>
          <w:rFonts w:asciiTheme="minorHAnsi" w:eastAsiaTheme="minorEastAsia" w:hAnsiTheme="minorHAnsi" w:cstheme="minorBidi"/>
          <w:sz w:val="22"/>
          <w:szCs w:val="22"/>
          <w:lang w:bidi="ar-SA"/>
        </w:rPr>
        <w:tab/>
      </w:r>
      <w:r>
        <w:t>Eszközök (1.1.)</w:t>
      </w:r>
      <w:r>
        <w:tab/>
      </w:r>
      <w:r>
        <w:fldChar w:fldCharType="begin"/>
      </w:r>
      <w:r>
        <w:instrText xml:space="preserve"> PAGEREF _Toc485913584 \h </w:instrText>
      </w:r>
      <w:r>
        <w:fldChar w:fldCharType="separate"/>
      </w:r>
      <w:r>
        <w:t>16</w:t>
      </w:r>
      <w:r>
        <w:fldChar w:fldCharType="end"/>
      </w:r>
    </w:p>
    <w:p w:rsidR="003A3647" w:rsidRDefault="003A3647">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Kötelezettségek (1.2.)</w:t>
      </w:r>
      <w:r>
        <w:tab/>
      </w:r>
      <w:r>
        <w:fldChar w:fldCharType="begin"/>
      </w:r>
      <w:r>
        <w:instrText xml:space="preserve"> PAGEREF _Toc485913585 \h </w:instrText>
      </w:r>
      <w:r>
        <w:fldChar w:fldCharType="separate"/>
      </w:r>
      <w:r>
        <w:t>17</w:t>
      </w:r>
      <w:r>
        <w:fldChar w:fldCharType="end"/>
      </w:r>
    </w:p>
    <w:p w:rsidR="003A3647" w:rsidRDefault="003A3647">
      <w:pPr>
        <w:pStyle w:val="TOC2"/>
        <w:rPr>
          <w:rFonts w:asciiTheme="minorHAnsi" w:eastAsiaTheme="minorEastAsia" w:hAnsiTheme="minorHAnsi" w:cstheme="minorBidi"/>
          <w:sz w:val="22"/>
          <w:szCs w:val="22"/>
          <w:lang w:bidi="ar-SA"/>
        </w:rPr>
      </w:pPr>
      <w:r>
        <w:t>1.3.</w:t>
      </w:r>
      <w:r>
        <w:rPr>
          <w:rFonts w:asciiTheme="minorHAnsi" w:eastAsiaTheme="minorEastAsia" w:hAnsiTheme="minorHAnsi" w:cstheme="minorBidi"/>
          <w:sz w:val="22"/>
          <w:szCs w:val="22"/>
          <w:lang w:bidi="ar-SA"/>
        </w:rPr>
        <w:tab/>
      </w:r>
      <w:r>
        <w:t>Saját tőke (1.3.)</w:t>
      </w:r>
      <w:r>
        <w:tab/>
      </w:r>
      <w:r>
        <w:fldChar w:fldCharType="begin"/>
      </w:r>
      <w:r>
        <w:instrText xml:space="preserve"> PAGEREF _Toc485913586 \h </w:instrText>
      </w:r>
      <w:r>
        <w:fldChar w:fldCharType="separate"/>
      </w:r>
      <w:r>
        <w:t>18</w:t>
      </w:r>
      <w:r>
        <w:fldChar w:fldCharType="end"/>
      </w:r>
    </w:p>
    <w:p w:rsidR="003A3647" w:rsidRDefault="003A3647">
      <w:pPr>
        <w:pStyle w:val="TOC2"/>
        <w:rPr>
          <w:rFonts w:asciiTheme="minorHAnsi" w:eastAsiaTheme="minorEastAsia" w:hAnsiTheme="minorHAnsi" w:cstheme="minorBidi"/>
          <w:sz w:val="22"/>
          <w:szCs w:val="22"/>
          <w:lang w:bidi="ar-SA"/>
        </w:rPr>
      </w:pPr>
      <w:r>
        <w:t>2.</w:t>
      </w:r>
      <w:r>
        <w:rPr>
          <w:rFonts w:asciiTheme="minorHAnsi" w:eastAsiaTheme="minorEastAsia" w:hAnsiTheme="minorHAnsi" w:cstheme="minorBidi"/>
          <w:sz w:val="22"/>
          <w:szCs w:val="22"/>
          <w:lang w:bidi="ar-SA"/>
        </w:rPr>
        <w:tab/>
      </w:r>
      <w:r>
        <w:t>Eredménykimutatás (2.)</w:t>
      </w:r>
      <w:r>
        <w:tab/>
      </w:r>
      <w:r>
        <w:fldChar w:fldCharType="begin"/>
      </w:r>
      <w:r>
        <w:instrText xml:space="preserve"> PAGEREF _Toc485913587 \h </w:instrText>
      </w:r>
      <w:r>
        <w:fldChar w:fldCharType="separate"/>
      </w:r>
      <w:r>
        <w:t>21</w:t>
      </w:r>
      <w:r>
        <w:fldChar w:fldCharType="end"/>
      </w:r>
    </w:p>
    <w:p w:rsidR="003A3647" w:rsidRDefault="003A3647">
      <w:pPr>
        <w:pStyle w:val="TOC2"/>
        <w:rPr>
          <w:rFonts w:asciiTheme="minorHAnsi" w:eastAsiaTheme="minorEastAsia" w:hAnsiTheme="minorHAnsi" w:cstheme="minorBidi"/>
          <w:sz w:val="22"/>
          <w:szCs w:val="22"/>
          <w:lang w:bidi="ar-SA"/>
        </w:rPr>
      </w:pPr>
      <w:r>
        <w:t>3.</w:t>
      </w:r>
      <w:r>
        <w:rPr>
          <w:rFonts w:asciiTheme="minorHAnsi" w:eastAsiaTheme="minorEastAsia" w:hAnsiTheme="minorHAnsi" w:cstheme="minorBidi"/>
          <w:sz w:val="22"/>
          <w:szCs w:val="22"/>
          <w:lang w:bidi="ar-SA"/>
        </w:rPr>
        <w:tab/>
      </w:r>
      <w:r>
        <w:t>Átfogó jövedelemkimutatás (3.)</w:t>
      </w:r>
      <w:r>
        <w:tab/>
      </w:r>
      <w:r>
        <w:fldChar w:fldCharType="begin"/>
      </w:r>
      <w:r>
        <w:instrText xml:space="preserve"> PAGEREF _Toc485913588 \h </w:instrText>
      </w:r>
      <w:r>
        <w:fldChar w:fldCharType="separate"/>
      </w:r>
      <w:r>
        <w:t>26</w:t>
      </w:r>
      <w:r>
        <w:fldChar w:fldCharType="end"/>
      </w:r>
    </w:p>
    <w:p w:rsidR="003A3647" w:rsidRDefault="003A3647">
      <w:pPr>
        <w:pStyle w:val="TOC2"/>
        <w:rPr>
          <w:rFonts w:asciiTheme="minorHAnsi" w:eastAsiaTheme="minorEastAsia" w:hAnsiTheme="minorHAnsi" w:cstheme="minorBidi"/>
          <w:sz w:val="22"/>
          <w:szCs w:val="22"/>
          <w:lang w:bidi="ar-SA"/>
        </w:rPr>
      </w:pPr>
      <w:r>
        <w:t>4.</w:t>
      </w:r>
      <w:r>
        <w:rPr>
          <w:rFonts w:asciiTheme="minorHAnsi" w:eastAsiaTheme="minorEastAsia" w:hAnsiTheme="minorHAnsi" w:cstheme="minorBidi"/>
          <w:sz w:val="22"/>
          <w:szCs w:val="22"/>
          <w:lang w:bidi="ar-SA"/>
        </w:rPr>
        <w:tab/>
      </w:r>
      <w:r>
        <w:t>Pénzügyi eszközök instrumentum és ügyfélszektor szerinti részletezése (4.)</w:t>
      </w:r>
      <w:r>
        <w:tab/>
      </w:r>
      <w:r>
        <w:fldChar w:fldCharType="begin"/>
      </w:r>
      <w:r>
        <w:instrText xml:space="preserve"> PAGEREF _Toc485913589 \h </w:instrText>
      </w:r>
      <w:r>
        <w:fldChar w:fldCharType="separate"/>
      </w:r>
      <w:r>
        <w:t>28</w:t>
      </w:r>
      <w:r>
        <w:fldChar w:fldCharType="end"/>
      </w:r>
    </w:p>
    <w:p w:rsidR="003A3647" w:rsidRDefault="003A3647">
      <w:pPr>
        <w:pStyle w:val="TOC2"/>
        <w:rPr>
          <w:rFonts w:asciiTheme="minorHAnsi" w:eastAsiaTheme="minorEastAsia" w:hAnsiTheme="minorHAnsi" w:cstheme="minorBidi"/>
          <w:sz w:val="22"/>
          <w:szCs w:val="22"/>
          <w:lang w:bidi="ar-SA"/>
        </w:rPr>
      </w:pPr>
      <w:r>
        <w:t>5.</w:t>
      </w:r>
      <w:r>
        <w:rPr>
          <w:rFonts w:asciiTheme="minorHAnsi" w:eastAsiaTheme="minorEastAsia" w:hAnsiTheme="minorHAnsi" w:cstheme="minorBidi"/>
          <w:sz w:val="22"/>
          <w:szCs w:val="22"/>
          <w:lang w:bidi="ar-SA"/>
        </w:rPr>
        <w:tab/>
      </w:r>
      <w:r>
        <w:t>Nem kereskedési célú hitelek és előlegek termék szerinti részletezése (5.)</w:t>
      </w:r>
      <w:r>
        <w:tab/>
      </w:r>
      <w:r>
        <w:fldChar w:fldCharType="begin"/>
      </w:r>
      <w:r>
        <w:instrText xml:space="preserve"> PAGEREF _Toc485913590 \h </w:instrText>
      </w:r>
      <w:r>
        <w:fldChar w:fldCharType="separate"/>
      </w:r>
      <w:r>
        <w:t>31</w:t>
      </w:r>
      <w:r>
        <w:fldChar w:fldCharType="end"/>
      </w:r>
    </w:p>
    <w:p w:rsidR="003A3647" w:rsidRDefault="003A3647">
      <w:pPr>
        <w:pStyle w:val="TOC2"/>
        <w:rPr>
          <w:rFonts w:asciiTheme="minorHAnsi" w:eastAsiaTheme="minorEastAsia" w:hAnsiTheme="minorHAnsi" w:cstheme="minorBidi"/>
          <w:sz w:val="22"/>
          <w:szCs w:val="22"/>
          <w:lang w:bidi="ar-SA"/>
        </w:rPr>
      </w:pPr>
      <w:r w:rsidRPr="00EF3305">
        <w:rPr>
          <w:kern w:val="32"/>
        </w:rPr>
        <w:t>6.</w:t>
      </w:r>
      <w:r>
        <w:rPr>
          <w:rFonts w:asciiTheme="minorHAnsi" w:eastAsiaTheme="minorEastAsia" w:hAnsiTheme="minorHAnsi" w:cstheme="minorBidi"/>
          <w:sz w:val="22"/>
          <w:szCs w:val="22"/>
          <w:lang w:bidi="ar-SA"/>
        </w:rPr>
        <w:tab/>
      </w:r>
      <w:r>
        <w:t>Nem pénzügyi vállalatoknak nyújtott nem kereskedési célú hitelek és előlegek részletezése NACE kódok szerint (6.)</w:t>
      </w:r>
      <w:r>
        <w:tab/>
      </w:r>
      <w:r>
        <w:fldChar w:fldCharType="begin"/>
      </w:r>
      <w:r>
        <w:instrText xml:space="preserve"> PAGEREF _Toc485913591 \h </w:instrText>
      </w:r>
      <w:r>
        <w:fldChar w:fldCharType="separate"/>
      </w:r>
      <w:r>
        <w:t>33</w:t>
      </w:r>
      <w:r>
        <w:fldChar w:fldCharType="end"/>
      </w:r>
    </w:p>
    <w:p w:rsidR="003A3647" w:rsidRDefault="003A3647">
      <w:pPr>
        <w:pStyle w:val="TOC2"/>
        <w:rPr>
          <w:rFonts w:asciiTheme="minorHAnsi" w:eastAsiaTheme="minorEastAsia" w:hAnsiTheme="minorHAnsi" w:cstheme="minorBidi"/>
          <w:sz w:val="22"/>
          <w:szCs w:val="22"/>
          <w:lang w:bidi="ar-SA"/>
        </w:rPr>
      </w:pPr>
      <w:r w:rsidRPr="00EF3305">
        <w:rPr>
          <w:kern w:val="32"/>
        </w:rPr>
        <w:t>7.</w:t>
      </w:r>
      <w:r>
        <w:rPr>
          <w:rFonts w:asciiTheme="minorHAnsi" w:eastAsiaTheme="minorEastAsia" w:hAnsiTheme="minorHAnsi" w:cstheme="minorBidi"/>
          <w:sz w:val="22"/>
          <w:szCs w:val="22"/>
          <w:lang w:bidi="ar-SA"/>
        </w:rPr>
        <w:tab/>
      </w:r>
      <w:r>
        <w:t>Értékvesztés-elszámolási kötelezettség alá tartozó késedelmes pénzügyi eszközök (7.)</w:t>
      </w:r>
      <w:r>
        <w:tab/>
      </w:r>
      <w:r>
        <w:fldChar w:fldCharType="begin"/>
      </w:r>
      <w:r>
        <w:instrText xml:space="preserve"> PAGEREF _Toc485913592 \h </w:instrText>
      </w:r>
      <w:r>
        <w:fldChar w:fldCharType="separate"/>
      </w:r>
      <w:r>
        <w:t>34</w:t>
      </w:r>
      <w:r>
        <w:fldChar w:fldCharType="end"/>
      </w:r>
    </w:p>
    <w:p w:rsidR="003A3647" w:rsidRDefault="003A3647">
      <w:pPr>
        <w:pStyle w:val="TOC2"/>
        <w:rPr>
          <w:rFonts w:asciiTheme="minorHAnsi" w:eastAsiaTheme="minorEastAsia" w:hAnsiTheme="minorHAnsi" w:cstheme="minorBidi"/>
          <w:sz w:val="22"/>
          <w:szCs w:val="22"/>
          <w:lang w:bidi="ar-SA"/>
        </w:rPr>
      </w:pPr>
      <w:r>
        <w:t>8.</w:t>
      </w:r>
      <w:r>
        <w:rPr>
          <w:rFonts w:asciiTheme="minorHAnsi" w:eastAsiaTheme="minorEastAsia" w:hAnsiTheme="minorHAnsi" w:cstheme="minorBidi"/>
          <w:sz w:val="22"/>
          <w:szCs w:val="22"/>
          <w:lang w:bidi="ar-SA"/>
        </w:rPr>
        <w:tab/>
      </w:r>
      <w:r>
        <w:t>Pénzügyi kötelezettségek részletezése (8.)</w:t>
      </w:r>
      <w:r>
        <w:tab/>
      </w:r>
      <w:r>
        <w:fldChar w:fldCharType="begin"/>
      </w:r>
      <w:r>
        <w:instrText xml:space="preserve"> PAGEREF _Toc485913593 \h </w:instrText>
      </w:r>
      <w:r>
        <w:fldChar w:fldCharType="separate"/>
      </w:r>
      <w:r>
        <w:t>34</w:t>
      </w:r>
      <w:r>
        <w:fldChar w:fldCharType="end"/>
      </w:r>
    </w:p>
    <w:p w:rsidR="003A3647" w:rsidRDefault="003A3647">
      <w:pPr>
        <w:pStyle w:val="TOC2"/>
        <w:rPr>
          <w:rFonts w:asciiTheme="minorHAnsi" w:eastAsiaTheme="minorEastAsia" w:hAnsiTheme="minorHAnsi" w:cstheme="minorBidi"/>
          <w:sz w:val="22"/>
          <w:szCs w:val="22"/>
          <w:lang w:bidi="ar-SA"/>
        </w:rPr>
      </w:pPr>
      <w:r>
        <w:t>9.</w:t>
      </w:r>
      <w:r>
        <w:rPr>
          <w:rFonts w:asciiTheme="minorHAnsi" w:eastAsiaTheme="minorEastAsia" w:hAnsiTheme="minorHAnsi" w:cstheme="minorBidi"/>
          <w:sz w:val="22"/>
          <w:szCs w:val="22"/>
          <w:lang w:bidi="ar-SA"/>
        </w:rPr>
        <w:tab/>
      </w:r>
      <w:r>
        <w:t>Hitelnyújtási elkötelezettségek, pénzügyi garanciák és egyéb elkötelezettségek (9.)</w:t>
      </w:r>
      <w:r>
        <w:tab/>
      </w:r>
      <w:r>
        <w:fldChar w:fldCharType="begin"/>
      </w:r>
      <w:r>
        <w:instrText xml:space="preserve"> PAGEREF _Toc485913594 \h </w:instrText>
      </w:r>
      <w:r>
        <w:fldChar w:fldCharType="separate"/>
      </w:r>
      <w:r>
        <w:t>35</w:t>
      </w:r>
      <w:r>
        <w:fldChar w:fldCharType="end"/>
      </w:r>
    </w:p>
    <w:p w:rsidR="003A3647" w:rsidRDefault="003A3647">
      <w:pPr>
        <w:pStyle w:val="TOC2"/>
        <w:rPr>
          <w:rFonts w:asciiTheme="minorHAnsi" w:eastAsiaTheme="minorEastAsia" w:hAnsiTheme="minorHAnsi" w:cstheme="minorBidi"/>
          <w:sz w:val="22"/>
          <w:szCs w:val="22"/>
          <w:lang w:bidi="ar-SA"/>
        </w:rPr>
      </w:pPr>
      <w:r>
        <w:t>10.</w:t>
      </w:r>
      <w:r>
        <w:rPr>
          <w:rFonts w:asciiTheme="minorHAnsi" w:eastAsiaTheme="minorEastAsia" w:hAnsiTheme="minorHAnsi" w:cstheme="minorBidi"/>
          <w:sz w:val="22"/>
          <w:szCs w:val="22"/>
          <w:lang w:bidi="ar-SA"/>
        </w:rPr>
        <w:tab/>
      </w:r>
      <w:r>
        <w:t>Származtatott ügyletek és fedezeti elszámolások (10. és 11.)</w:t>
      </w:r>
      <w:r>
        <w:tab/>
      </w:r>
      <w:r>
        <w:fldChar w:fldCharType="begin"/>
      </w:r>
      <w:r>
        <w:instrText xml:space="preserve"> PAGEREF _Toc485913595 \h </w:instrText>
      </w:r>
      <w:r>
        <w:fldChar w:fldCharType="separate"/>
      </w:r>
      <w:r>
        <w:t>39</w:t>
      </w:r>
      <w:r>
        <w:fldChar w:fldCharType="end"/>
      </w:r>
    </w:p>
    <w:p w:rsidR="003A3647" w:rsidRDefault="003A3647">
      <w:pPr>
        <w:pStyle w:val="TOC2"/>
        <w:rPr>
          <w:rFonts w:asciiTheme="minorHAnsi" w:eastAsiaTheme="minorEastAsia" w:hAnsiTheme="minorHAnsi" w:cstheme="minorBidi"/>
          <w:sz w:val="22"/>
          <w:szCs w:val="22"/>
          <w:lang w:bidi="ar-SA"/>
        </w:rPr>
      </w:pPr>
      <w:r>
        <w:t>10.1.</w:t>
      </w:r>
      <w:r>
        <w:rPr>
          <w:rFonts w:asciiTheme="minorHAnsi" w:eastAsiaTheme="minorEastAsia" w:hAnsiTheme="minorHAnsi" w:cstheme="minorBidi"/>
          <w:sz w:val="22"/>
          <w:szCs w:val="22"/>
          <w:lang w:bidi="ar-SA"/>
        </w:rPr>
        <w:tab/>
      </w:r>
      <w:r>
        <w:t>Származtatott ügyletek kockázattípus szerinti besorolása</w:t>
      </w:r>
      <w:r>
        <w:tab/>
      </w:r>
      <w:r>
        <w:fldChar w:fldCharType="begin"/>
      </w:r>
      <w:r>
        <w:instrText xml:space="preserve"> PAGEREF _Toc485913596 \h </w:instrText>
      </w:r>
      <w:r>
        <w:fldChar w:fldCharType="separate"/>
      </w:r>
      <w:r>
        <w:t>41</w:t>
      </w:r>
      <w:r>
        <w:fldChar w:fldCharType="end"/>
      </w:r>
    </w:p>
    <w:p w:rsidR="003A3647" w:rsidRDefault="003A3647">
      <w:pPr>
        <w:pStyle w:val="TOC2"/>
        <w:rPr>
          <w:rFonts w:asciiTheme="minorHAnsi" w:eastAsiaTheme="minorEastAsia" w:hAnsiTheme="minorHAnsi" w:cstheme="minorBidi"/>
          <w:sz w:val="22"/>
          <w:szCs w:val="22"/>
          <w:lang w:bidi="ar-SA"/>
        </w:rPr>
      </w:pPr>
      <w:r>
        <w:t>10.2.</w:t>
      </w:r>
      <w:r>
        <w:rPr>
          <w:rFonts w:asciiTheme="minorHAnsi" w:eastAsiaTheme="minorEastAsia" w:hAnsiTheme="minorHAnsi" w:cstheme="minorBidi"/>
          <w:sz w:val="22"/>
          <w:szCs w:val="22"/>
          <w:lang w:bidi="ar-SA"/>
        </w:rPr>
        <w:tab/>
      </w:r>
      <w:r>
        <w:t>A származtatott ügyletek esetében feltüntetendő értékek</w:t>
      </w:r>
      <w:r>
        <w:tab/>
      </w:r>
      <w:r>
        <w:fldChar w:fldCharType="begin"/>
      </w:r>
      <w:r>
        <w:instrText xml:space="preserve"> PAGEREF _Toc485913597 \h </w:instrText>
      </w:r>
      <w:r>
        <w:fldChar w:fldCharType="separate"/>
      </w:r>
      <w:r>
        <w:t>42</w:t>
      </w:r>
      <w:r>
        <w:fldChar w:fldCharType="end"/>
      </w:r>
    </w:p>
    <w:p w:rsidR="003A3647" w:rsidRDefault="003A3647">
      <w:pPr>
        <w:pStyle w:val="TOC2"/>
        <w:rPr>
          <w:rFonts w:asciiTheme="minorHAnsi" w:eastAsiaTheme="minorEastAsia" w:hAnsiTheme="minorHAnsi" w:cstheme="minorBidi"/>
          <w:sz w:val="22"/>
          <w:szCs w:val="22"/>
          <w:lang w:bidi="ar-SA"/>
        </w:rPr>
      </w:pPr>
      <w:r>
        <w:t>10.3.</w:t>
      </w:r>
      <w:r>
        <w:rPr>
          <w:rFonts w:asciiTheme="minorHAnsi" w:eastAsiaTheme="minorEastAsia" w:hAnsiTheme="minorHAnsi" w:cstheme="minorBidi"/>
          <w:sz w:val="22"/>
          <w:szCs w:val="22"/>
          <w:lang w:bidi="ar-SA"/>
        </w:rPr>
        <w:tab/>
      </w:r>
      <w:r>
        <w:t>„Gazdasági fedezeti ügylet”-nek minősített származtatott ügyletek</w:t>
      </w:r>
      <w:r>
        <w:tab/>
      </w:r>
      <w:r>
        <w:fldChar w:fldCharType="begin"/>
      </w:r>
      <w:r>
        <w:instrText xml:space="preserve"> PAGEREF _Toc485913598 \h </w:instrText>
      </w:r>
      <w:r>
        <w:fldChar w:fldCharType="separate"/>
      </w:r>
      <w:r>
        <w:t>44</w:t>
      </w:r>
      <w:r>
        <w:fldChar w:fldCharType="end"/>
      </w:r>
    </w:p>
    <w:p w:rsidR="003A3647" w:rsidRDefault="003A3647">
      <w:pPr>
        <w:pStyle w:val="TOC2"/>
        <w:rPr>
          <w:rFonts w:asciiTheme="minorHAnsi" w:eastAsiaTheme="minorEastAsia" w:hAnsiTheme="minorHAnsi" w:cstheme="minorBidi"/>
          <w:sz w:val="22"/>
          <w:szCs w:val="22"/>
          <w:lang w:bidi="ar-SA"/>
        </w:rPr>
      </w:pPr>
      <w:r>
        <w:t>10.4.</w:t>
      </w:r>
      <w:r>
        <w:rPr>
          <w:rFonts w:asciiTheme="minorHAnsi" w:eastAsiaTheme="minorEastAsia" w:hAnsiTheme="minorHAnsi" w:cstheme="minorBidi"/>
          <w:sz w:val="22"/>
          <w:szCs w:val="22"/>
          <w:lang w:bidi="ar-SA"/>
        </w:rPr>
        <w:tab/>
      </w:r>
      <w:r>
        <w:t>Származtatott ügyletek ügyfélszektor szerinti részletezése</w:t>
      </w:r>
      <w:r>
        <w:tab/>
      </w:r>
      <w:r>
        <w:fldChar w:fldCharType="begin"/>
      </w:r>
      <w:r>
        <w:instrText xml:space="preserve"> PAGEREF _Toc485913599 \h </w:instrText>
      </w:r>
      <w:r>
        <w:fldChar w:fldCharType="separate"/>
      </w:r>
      <w:r>
        <w:t>45</w:t>
      </w:r>
      <w:r>
        <w:fldChar w:fldCharType="end"/>
      </w:r>
    </w:p>
    <w:p w:rsidR="003A3647" w:rsidRDefault="003A3647">
      <w:pPr>
        <w:pStyle w:val="TOC2"/>
        <w:rPr>
          <w:rFonts w:asciiTheme="minorHAnsi" w:eastAsiaTheme="minorEastAsia" w:hAnsiTheme="minorHAnsi" w:cstheme="minorBidi"/>
          <w:sz w:val="22"/>
          <w:szCs w:val="22"/>
          <w:lang w:bidi="ar-SA"/>
        </w:rPr>
      </w:pPr>
      <w:r>
        <w:t>10.5.</w:t>
      </w:r>
      <w:r>
        <w:rPr>
          <w:rFonts w:asciiTheme="minorHAnsi" w:eastAsiaTheme="minorEastAsia" w:hAnsiTheme="minorHAnsi" w:cstheme="minorBidi"/>
          <w:sz w:val="22"/>
          <w:szCs w:val="22"/>
          <w:lang w:bidi="ar-SA"/>
        </w:rPr>
        <w:tab/>
      </w:r>
      <w:r>
        <w:t>Fedezeti elszámolások a nemzeti GAAP szerint (11.2.)</w:t>
      </w:r>
      <w:r>
        <w:tab/>
      </w:r>
      <w:r>
        <w:fldChar w:fldCharType="begin"/>
      </w:r>
      <w:r>
        <w:instrText xml:space="preserve"> PAGEREF _Toc485913600 \h </w:instrText>
      </w:r>
      <w:r>
        <w:fldChar w:fldCharType="separate"/>
      </w:r>
      <w:r>
        <w:t>45</w:t>
      </w:r>
      <w:r>
        <w:fldChar w:fldCharType="end"/>
      </w:r>
    </w:p>
    <w:p w:rsidR="003A3647" w:rsidRDefault="003A3647">
      <w:pPr>
        <w:pStyle w:val="TOC2"/>
        <w:rPr>
          <w:rFonts w:asciiTheme="minorHAnsi" w:eastAsiaTheme="minorEastAsia" w:hAnsiTheme="minorHAnsi" w:cstheme="minorBidi"/>
          <w:sz w:val="22"/>
          <w:szCs w:val="22"/>
          <w:lang w:bidi="ar-SA"/>
        </w:rPr>
      </w:pPr>
      <w:r>
        <w:t>10.6.</w:t>
      </w:r>
      <w:r>
        <w:rPr>
          <w:rFonts w:asciiTheme="minorHAnsi" w:eastAsiaTheme="minorEastAsia" w:hAnsiTheme="minorHAnsi" w:cstheme="minorBidi"/>
          <w:sz w:val="22"/>
          <w:szCs w:val="22"/>
          <w:lang w:bidi="ar-SA"/>
        </w:rPr>
        <w:tab/>
      </w:r>
      <w:r>
        <w:t>A nem származtatott fedezeti instrumentumokra vonatkozóan feltüntetendő összeg (11.3. és 11.3.1.)</w:t>
      </w:r>
      <w:r>
        <w:tab/>
      </w:r>
      <w:r>
        <w:fldChar w:fldCharType="begin"/>
      </w:r>
      <w:r>
        <w:instrText xml:space="preserve"> PAGEREF _Toc485913601 \h </w:instrText>
      </w:r>
      <w:r>
        <w:fldChar w:fldCharType="separate"/>
      </w:r>
      <w:r>
        <w:t>45</w:t>
      </w:r>
      <w:r>
        <w:fldChar w:fldCharType="end"/>
      </w:r>
    </w:p>
    <w:p w:rsidR="003A3647" w:rsidRDefault="003A3647">
      <w:pPr>
        <w:pStyle w:val="TOC2"/>
        <w:rPr>
          <w:rFonts w:asciiTheme="minorHAnsi" w:eastAsiaTheme="minorEastAsia" w:hAnsiTheme="minorHAnsi" w:cstheme="minorBidi"/>
          <w:sz w:val="22"/>
          <w:szCs w:val="22"/>
          <w:lang w:bidi="ar-SA"/>
        </w:rPr>
      </w:pPr>
      <w:r>
        <w:t>10.7.</w:t>
      </w:r>
      <w:r>
        <w:rPr>
          <w:rFonts w:asciiTheme="minorHAnsi" w:eastAsiaTheme="minorEastAsia" w:hAnsiTheme="minorHAnsi" w:cstheme="minorBidi"/>
          <w:sz w:val="22"/>
          <w:szCs w:val="22"/>
          <w:lang w:bidi="ar-SA"/>
        </w:rPr>
        <w:tab/>
      </w:r>
      <w:r>
        <w:t>Fedezett tételek valósérték-fedezeti ügyletekben (11.4.)</w:t>
      </w:r>
      <w:r>
        <w:tab/>
      </w:r>
      <w:r>
        <w:fldChar w:fldCharType="begin"/>
      </w:r>
      <w:r>
        <w:instrText xml:space="preserve"> PAGEREF _Toc485913602 \h </w:instrText>
      </w:r>
      <w:r>
        <w:fldChar w:fldCharType="separate"/>
      </w:r>
      <w:r>
        <w:t>46</w:t>
      </w:r>
      <w:r>
        <w:fldChar w:fldCharType="end"/>
      </w:r>
    </w:p>
    <w:p w:rsidR="003A3647" w:rsidRDefault="003A3647">
      <w:pPr>
        <w:pStyle w:val="TOC2"/>
        <w:rPr>
          <w:rFonts w:asciiTheme="minorHAnsi" w:eastAsiaTheme="minorEastAsia" w:hAnsiTheme="minorHAnsi" w:cstheme="minorBidi"/>
          <w:sz w:val="22"/>
          <w:szCs w:val="22"/>
          <w:lang w:bidi="ar-SA"/>
        </w:rPr>
      </w:pPr>
      <w:r w:rsidRPr="00EF3305">
        <w:rPr>
          <w:kern w:val="32"/>
        </w:rPr>
        <w:t>11.</w:t>
      </w:r>
      <w:r>
        <w:rPr>
          <w:rFonts w:asciiTheme="minorHAnsi" w:eastAsiaTheme="minorEastAsia" w:hAnsiTheme="minorHAnsi" w:cstheme="minorBidi"/>
          <w:sz w:val="22"/>
          <w:szCs w:val="22"/>
          <w:lang w:bidi="ar-SA"/>
        </w:rPr>
        <w:tab/>
      </w:r>
      <w:r>
        <w:t>Hitelezési veszteségekre képzett értékvesztés és céltartalékok változása (12.)</w:t>
      </w:r>
      <w:r>
        <w:tab/>
      </w:r>
      <w:r>
        <w:fldChar w:fldCharType="begin"/>
      </w:r>
      <w:r>
        <w:instrText xml:space="preserve"> PAGEREF _Toc485913603 \h </w:instrText>
      </w:r>
      <w:r>
        <w:fldChar w:fldCharType="separate"/>
      </w:r>
      <w:r>
        <w:t>47</w:t>
      </w:r>
      <w:r>
        <w:fldChar w:fldCharType="end"/>
      </w:r>
    </w:p>
    <w:p w:rsidR="003A3647" w:rsidRDefault="003A3647">
      <w:pPr>
        <w:pStyle w:val="TOC2"/>
        <w:rPr>
          <w:rFonts w:asciiTheme="minorHAnsi" w:eastAsiaTheme="minorEastAsia" w:hAnsiTheme="minorHAnsi" w:cstheme="minorBidi"/>
          <w:sz w:val="22"/>
          <w:szCs w:val="22"/>
          <w:lang w:bidi="ar-SA"/>
        </w:rPr>
      </w:pPr>
      <w:r>
        <w:lastRenderedPageBreak/>
        <w:t>11.1.</w:t>
      </w:r>
      <w:r>
        <w:rPr>
          <w:rFonts w:asciiTheme="minorHAnsi" w:eastAsiaTheme="minorEastAsia" w:hAnsiTheme="minorHAnsi" w:cstheme="minorBidi"/>
          <w:sz w:val="22"/>
          <w:szCs w:val="22"/>
          <w:lang w:bidi="ar-SA"/>
        </w:rPr>
        <w:tab/>
      </w:r>
      <w:r>
        <w:t>Hitelezési veszteségekre képzett értékvesztés változása és tulajdoni részesedést megtestesítő instrumentumok értékvesztése a BAD alapján kidolgozott nemzeti GAAP szerint (12.0.)</w:t>
      </w:r>
      <w:r>
        <w:tab/>
      </w:r>
      <w:r>
        <w:fldChar w:fldCharType="begin"/>
      </w:r>
      <w:r>
        <w:instrText xml:space="preserve"> PAGEREF _Toc485913604 \h </w:instrText>
      </w:r>
      <w:r>
        <w:fldChar w:fldCharType="separate"/>
      </w:r>
      <w:r>
        <w:t>47</w:t>
      </w:r>
      <w:r>
        <w:fldChar w:fldCharType="end"/>
      </w:r>
    </w:p>
    <w:p w:rsidR="003A3647" w:rsidRDefault="003A3647">
      <w:pPr>
        <w:pStyle w:val="TOC2"/>
        <w:rPr>
          <w:rFonts w:asciiTheme="minorHAnsi" w:eastAsiaTheme="minorEastAsia" w:hAnsiTheme="minorHAnsi" w:cstheme="minorBidi"/>
          <w:sz w:val="22"/>
          <w:szCs w:val="22"/>
          <w:lang w:bidi="ar-SA"/>
        </w:rPr>
      </w:pPr>
      <w:r>
        <w:t>11.2.</w:t>
      </w:r>
      <w:r>
        <w:rPr>
          <w:rFonts w:asciiTheme="minorHAnsi" w:eastAsiaTheme="minorEastAsia" w:hAnsiTheme="minorHAnsi" w:cstheme="minorBidi"/>
          <w:sz w:val="22"/>
          <w:szCs w:val="22"/>
          <w:lang w:bidi="ar-SA"/>
        </w:rPr>
        <w:tab/>
      </w:r>
      <w:r>
        <w:t>Hitelezési veszteségekre képzett értékvesztés és céltartalékok változása az IFRS szerint (12.1.)</w:t>
      </w:r>
      <w:r>
        <w:tab/>
      </w:r>
      <w:r>
        <w:fldChar w:fldCharType="begin"/>
      </w:r>
      <w:r>
        <w:instrText xml:space="preserve"> PAGEREF _Toc485913605 \h </w:instrText>
      </w:r>
      <w:r>
        <w:fldChar w:fldCharType="separate"/>
      </w:r>
      <w:r>
        <w:t>47</w:t>
      </w:r>
      <w:r>
        <w:fldChar w:fldCharType="end"/>
      </w:r>
    </w:p>
    <w:p w:rsidR="003A3647" w:rsidRDefault="003A3647">
      <w:pPr>
        <w:pStyle w:val="TOC2"/>
        <w:rPr>
          <w:rFonts w:asciiTheme="minorHAnsi" w:eastAsiaTheme="minorEastAsia" w:hAnsiTheme="minorHAnsi" w:cstheme="minorBidi"/>
          <w:sz w:val="22"/>
          <w:szCs w:val="22"/>
          <w:lang w:bidi="ar-SA"/>
        </w:rPr>
      </w:pPr>
      <w:r>
        <w:t>11.3.</w:t>
      </w:r>
      <w:r>
        <w:rPr>
          <w:rFonts w:asciiTheme="minorHAnsi" w:eastAsiaTheme="minorEastAsia" w:hAnsiTheme="minorHAnsi" w:cstheme="minorBidi"/>
          <w:sz w:val="22"/>
          <w:szCs w:val="22"/>
          <w:lang w:bidi="ar-SA"/>
        </w:rPr>
        <w:tab/>
      </w:r>
      <w:r>
        <w:t>Értékvesztési szakaszok közötti átvezetések (bruttó alapú megjelenítés) (12.2.)</w:t>
      </w:r>
      <w:r>
        <w:tab/>
      </w:r>
      <w:r>
        <w:fldChar w:fldCharType="begin"/>
      </w:r>
      <w:r>
        <w:instrText xml:space="preserve"> PAGEREF _Toc485913606 \h </w:instrText>
      </w:r>
      <w:r>
        <w:fldChar w:fldCharType="separate"/>
      </w:r>
      <w:r>
        <w:t>50</w:t>
      </w:r>
      <w:r>
        <w:fldChar w:fldCharType="end"/>
      </w:r>
    </w:p>
    <w:p w:rsidR="003A3647" w:rsidRDefault="003A3647">
      <w:pPr>
        <w:pStyle w:val="TOC2"/>
        <w:rPr>
          <w:rFonts w:asciiTheme="minorHAnsi" w:eastAsiaTheme="minorEastAsia" w:hAnsiTheme="minorHAnsi" w:cstheme="minorBidi"/>
          <w:sz w:val="22"/>
          <w:szCs w:val="22"/>
          <w:lang w:bidi="ar-SA"/>
        </w:rPr>
      </w:pPr>
      <w:r>
        <w:t>12.</w:t>
      </w:r>
      <w:r>
        <w:rPr>
          <w:rFonts w:asciiTheme="minorHAnsi" w:eastAsiaTheme="minorEastAsia" w:hAnsiTheme="minorHAnsi" w:cstheme="minorBidi"/>
          <w:sz w:val="22"/>
          <w:szCs w:val="22"/>
          <w:lang w:bidi="ar-SA"/>
        </w:rPr>
        <w:tab/>
      </w:r>
      <w:r>
        <w:t>Kapott biztosítékok és garanciák (13.)</w:t>
      </w:r>
      <w:r>
        <w:tab/>
      </w:r>
      <w:r>
        <w:fldChar w:fldCharType="begin"/>
      </w:r>
      <w:r>
        <w:instrText xml:space="preserve"> PAGEREF _Toc485913607 \h </w:instrText>
      </w:r>
      <w:r>
        <w:fldChar w:fldCharType="separate"/>
      </w:r>
      <w:r>
        <w:t>51</w:t>
      </w:r>
      <w:r>
        <w:fldChar w:fldCharType="end"/>
      </w:r>
    </w:p>
    <w:p w:rsidR="003A3647" w:rsidRDefault="003A3647">
      <w:pPr>
        <w:pStyle w:val="TOC2"/>
        <w:rPr>
          <w:rFonts w:asciiTheme="minorHAnsi" w:eastAsiaTheme="minorEastAsia" w:hAnsiTheme="minorHAnsi" w:cstheme="minorBidi"/>
          <w:sz w:val="22"/>
          <w:szCs w:val="22"/>
          <w:lang w:bidi="ar-SA"/>
        </w:rPr>
      </w:pPr>
      <w:r>
        <w:t>12.1.</w:t>
      </w:r>
      <w:r>
        <w:rPr>
          <w:rFonts w:asciiTheme="minorHAnsi" w:eastAsiaTheme="minorEastAsia" w:hAnsiTheme="minorHAnsi" w:cstheme="minorBidi"/>
          <w:sz w:val="22"/>
          <w:szCs w:val="22"/>
          <w:lang w:bidi="ar-SA"/>
        </w:rPr>
        <w:tab/>
      </w:r>
      <w:r>
        <w:t>Biztosítékok és garanciák nem kereskedési céllal tartott hitelek és előlegek szerinti részletezése (13.1.)</w:t>
      </w:r>
      <w:r>
        <w:tab/>
      </w:r>
      <w:r>
        <w:fldChar w:fldCharType="begin"/>
      </w:r>
      <w:r>
        <w:instrText xml:space="preserve"> PAGEREF _Toc485913608 \h </w:instrText>
      </w:r>
      <w:r>
        <w:fldChar w:fldCharType="separate"/>
      </w:r>
      <w:r>
        <w:t>51</w:t>
      </w:r>
      <w:r>
        <w:fldChar w:fldCharType="end"/>
      </w:r>
    </w:p>
    <w:p w:rsidR="003A3647" w:rsidRDefault="003A3647">
      <w:pPr>
        <w:pStyle w:val="TOC2"/>
        <w:rPr>
          <w:rFonts w:asciiTheme="minorHAnsi" w:eastAsiaTheme="minorEastAsia" w:hAnsiTheme="minorHAnsi" w:cstheme="minorBidi"/>
          <w:sz w:val="22"/>
          <w:szCs w:val="22"/>
          <w:lang w:bidi="ar-SA"/>
        </w:rPr>
      </w:pPr>
      <w:r>
        <w:t>12.2.</w:t>
      </w:r>
      <w:r>
        <w:rPr>
          <w:rFonts w:asciiTheme="minorHAnsi" w:eastAsiaTheme="minorEastAsia" w:hAnsiTheme="minorHAnsi" w:cstheme="minorBidi"/>
          <w:sz w:val="22"/>
          <w:szCs w:val="22"/>
          <w:lang w:bidi="ar-SA"/>
        </w:rPr>
        <w:tab/>
      </w:r>
      <w:r>
        <w:t>Az időszak alatt birtokbavétellel megszerzett biztosíték [az adatszolgáltatás vonatkozási időpontjában tartott] (13.2.)</w:t>
      </w:r>
      <w:r>
        <w:tab/>
      </w:r>
      <w:r>
        <w:fldChar w:fldCharType="begin"/>
      </w:r>
      <w:r>
        <w:instrText xml:space="preserve"> PAGEREF _Toc485913609 \h </w:instrText>
      </w:r>
      <w:r>
        <w:fldChar w:fldCharType="separate"/>
      </w:r>
      <w:r>
        <w:t>52</w:t>
      </w:r>
      <w:r>
        <w:fldChar w:fldCharType="end"/>
      </w:r>
    </w:p>
    <w:p w:rsidR="003A3647" w:rsidRDefault="003A3647">
      <w:pPr>
        <w:pStyle w:val="TOC2"/>
        <w:rPr>
          <w:rFonts w:asciiTheme="minorHAnsi" w:eastAsiaTheme="minorEastAsia" w:hAnsiTheme="minorHAnsi" w:cstheme="minorBidi"/>
          <w:sz w:val="22"/>
          <w:szCs w:val="22"/>
          <w:lang w:bidi="ar-SA"/>
        </w:rPr>
      </w:pPr>
      <w:r>
        <w:t>12.3.</w:t>
      </w:r>
      <w:r>
        <w:rPr>
          <w:rFonts w:asciiTheme="minorHAnsi" w:eastAsiaTheme="minorEastAsia" w:hAnsiTheme="minorHAnsi" w:cstheme="minorBidi"/>
          <w:sz w:val="22"/>
          <w:szCs w:val="22"/>
          <w:lang w:bidi="ar-SA"/>
        </w:rPr>
        <w:tab/>
      </w:r>
      <w:r>
        <w:t>Birtokbavétellel megszerzett biztosíték [tárgyi eszközök] halmozott (13.3.)</w:t>
      </w:r>
      <w:r>
        <w:tab/>
      </w:r>
      <w:r>
        <w:fldChar w:fldCharType="begin"/>
      </w:r>
      <w:r>
        <w:instrText xml:space="preserve"> PAGEREF _Toc485913610 \h </w:instrText>
      </w:r>
      <w:r>
        <w:fldChar w:fldCharType="separate"/>
      </w:r>
      <w:r>
        <w:t>52</w:t>
      </w:r>
      <w:r>
        <w:fldChar w:fldCharType="end"/>
      </w:r>
    </w:p>
    <w:p w:rsidR="003A3647" w:rsidRDefault="003A3647">
      <w:pPr>
        <w:pStyle w:val="TOC2"/>
        <w:rPr>
          <w:rFonts w:asciiTheme="minorHAnsi" w:eastAsiaTheme="minorEastAsia" w:hAnsiTheme="minorHAnsi" w:cstheme="minorBidi"/>
          <w:sz w:val="22"/>
          <w:szCs w:val="22"/>
          <w:lang w:bidi="ar-SA"/>
        </w:rPr>
      </w:pPr>
      <w:r w:rsidRPr="00EF3305">
        <w:rPr>
          <w:kern w:val="32"/>
        </w:rPr>
        <w:t>13.</w:t>
      </w:r>
      <w:r>
        <w:rPr>
          <w:rFonts w:asciiTheme="minorHAnsi" w:eastAsiaTheme="minorEastAsia" w:hAnsiTheme="minorHAnsi" w:cstheme="minorBidi"/>
          <w:sz w:val="22"/>
          <w:szCs w:val="22"/>
          <w:lang w:bidi="ar-SA"/>
        </w:rPr>
        <w:tab/>
      </w:r>
      <w:r>
        <w:t>Valósérték-hierarchia: Valós értéken értékelt pénzügyi instrumentumok (14.)</w:t>
      </w:r>
      <w:r>
        <w:tab/>
      </w:r>
      <w:r>
        <w:fldChar w:fldCharType="begin"/>
      </w:r>
      <w:r>
        <w:instrText xml:space="preserve"> PAGEREF _Toc485913611 \h </w:instrText>
      </w:r>
      <w:r>
        <w:fldChar w:fldCharType="separate"/>
      </w:r>
      <w:r>
        <w:t>52</w:t>
      </w:r>
      <w:r>
        <w:fldChar w:fldCharType="end"/>
      </w:r>
    </w:p>
    <w:p w:rsidR="003A3647" w:rsidRDefault="003A3647">
      <w:pPr>
        <w:pStyle w:val="TOC2"/>
        <w:rPr>
          <w:rFonts w:asciiTheme="minorHAnsi" w:eastAsiaTheme="minorEastAsia" w:hAnsiTheme="minorHAnsi" w:cstheme="minorBidi"/>
          <w:sz w:val="22"/>
          <w:szCs w:val="22"/>
          <w:lang w:bidi="ar-SA"/>
        </w:rPr>
      </w:pPr>
      <w:r w:rsidRPr="00EF3305">
        <w:rPr>
          <w:kern w:val="32"/>
        </w:rPr>
        <w:t>14.</w:t>
      </w:r>
      <w:r>
        <w:rPr>
          <w:rFonts w:asciiTheme="minorHAnsi" w:eastAsiaTheme="minorEastAsia" w:hAnsiTheme="minorHAnsi" w:cstheme="minorBidi"/>
          <w:sz w:val="22"/>
          <w:szCs w:val="22"/>
          <w:lang w:bidi="ar-SA"/>
        </w:rPr>
        <w:tab/>
      </w:r>
      <w:r>
        <w:t>Pénzügyi eszközök átadásával összefüggő kivezetés és pénzügyi kötelezettségek (15.)</w:t>
      </w:r>
      <w:r>
        <w:tab/>
      </w:r>
      <w:r>
        <w:fldChar w:fldCharType="begin"/>
      </w:r>
      <w:r>
        <w:instrText xml:space="preserve"> PAGEREF _Toc485913612 \h </w:instrText>
      </w:r>
      <w:r>
        <w:fldChar w:fldCharType="separate"/>
      </w:r>
      <w:r>
        <w:t>53</w:t>
      </w:r>
      <w:r>
        <w:fldChar w:fldCharType="end"/>
      </w:r>
    </w:p>
    <w:p w:rsidR="003A3647" w:rsidRDefault="003A3647">
      <w:pPr>
        <w:pStyle w:val="TOC2"/>
        <w:rPr>
          <w:rFonts w:asciiTheme="minorHAnsi" w:eastAsiaTheme="minorEastAsia" w:hAnsiTheme="minorHAnsi" w:cstheme="minorBidi"/>
          <w:sz w:val="22"/>
          <w:szCs w:val="22"/>
          <w:lang w:bidi="ar-SA"/>
        </w:rPr>
      </w:pPr>
      <w:r>
        <w:t>15.</w:t>
      </w:r>
      <w:r>
        <w:rPr>
          <w:rFonts w:asciiTheme="minorHAnsi" w:eastAsiaTheme="minorEastAsia" w:hAnsiTheme="minorHAnsi" w:cstheme="minorBidi"/>
          <w:sz w:val="22"/>
          <w:szCs w:val="22"/>
          <w:lang w:bidi="ar-SA"/>
        </w:rPr>
        <w:tab/>
      </w:r>
      <w:r>
        <w:t>Az eredménykimutatás kiválasztott tételeinek részletezése (16.)</w:t>
      </w:r>
      <w:r>
        <w:tab/>
      </w:r>
      <w:r>
        <w:fldChar w:fldCharType="begin"/>
      </w:r>
      <w:r>
        <w:instrText xml:space="preserve"> PAGEREF _Toc485913613 \h </w:instrText>
      </w:r>
      <w:r>
        <w:fldChar w:fldCharType="separate"/>
      </w:r>
      <w:r>
        <w:t>54</w:t>
      </w:r>
      <w:r>
        <w:fldChar w:fldCharType="end"/>
      </w:r>
    </w:p>
    <w:p w:rsidR="003A3647" w:rsidRDefault="003A3647">
      <w:pPr>
        <w:pStyle w:val="TOC2"/>
        <w:rPr>
          <w:rFonts w:asciiTheme="minorHAnsi" w:eastAsiaTheme="minorEastAsia" w:hAnsiTheme="minorHAnsi" w:cstheme="minorBidi"/>
          <w:sz w:val="22"/>
          <w:szCs w:val="22"/>
          <w:lang w:bidi="ar-SA"/>
        </w:rPr>
      </w:pPr>
      <w:r>
        <w:t>15.1.</w:t>
      </w:r>
      <w:r>
        <w:rPr>
          <w:rFonts w:asciiTheme="minorHAnsi" w:eastAsiaTheme="minorEastAsia" w:hAnsiTheme="minorHAnsi" w:cstheme="minorBidi"/>
          <w:sz w:val="22"/>
          <w:szCs w:val="22"/>
          <w:lang w:bidi="ar-SA"/>
        </w:rPr>
        <w:tab/>
      </w:r>
      <w:r>
        <w:t>Kamatbevételek és -ráfordítások instrumentum és ügyfélszektor szerint (16.1.)</w:t>
      </w:r>
      <w:r>
        <w:tab/>
      </w:r>
      <w:r>
        <w:fldChar w:fldCharType="begin"/>
      </w:r>
      <w:r>
        <w:instrText xml:space="preserve"> PAGEREF _Toc485913614 \h </w:instrText>
      </w:r>
      <w:r>
        <w:fldChar w:fldCharType="separate"/>
      </w:r>
      <w:r>
        <w:t>54</w:t>
      </w:r>
      <w:r>
        <w:fldChar w:fldCharType="end"/>
      </w:r>
    </w:p>
    <w:p w:rsidR="003A3647" w:rsidRDefault="003A3647">
      <w:pPr>
        <w:pStyle w:val="TOC2"/>
        <w:rPr>
          <w:rFonts w:asciiTheme="minorHAnsi" w:eastAsiaTheme="minorEastAsia" w:hAnsiTheme="minorHAnsi" w:cstheme="minorBidi"/>
          <w:sz w:val="22"/>
          <w:szCs w:val="22"/>
          <w:lang w:bidi="ar-SA"/>
        </w:rPr>
      </w:pPr>
      <w:r>
        <w:t>15.2.</w:t>
      </w:r>
      <w:r>
        <w:rPr>
          <w:rFonts w:asciiTheme="minorHAnsi" w:eastAsiaTheme="minorEastAsia" w:hAnsiTheme="minorHAnsi" w:cstheme="minorBidi"/>
          <w:sz w:val="22"/>
          <w:szCs w:val="22"/>
          <w:lang w:bidi="ar-SA"/>
        </w:rPr>
        <w:tab/>
      </w:r>
      <w:r>
        <w:t>Az eredménnyel szemben valós értéken értékelt kategóriába nem tartozó pénzügyi eszközök és kötelezettségek kivezetéséből származó nyereség vagy veszteség instrumentum szerint (16.2.)</w:t>
      </w:r>
      <w:r>
        <w:tab/>
      </w:r>
      <w:r>
        <w:fldChar w:fldCharType="begin"/>
      </w:r>
      <w:r>
        <w:instrText xml:space="preserve"> PAGEREF _Toc485913615 \h </w:instrText>
      </w:r>
      <w:r>
        <w:fldChar w:fldCharType="separate"/>
      </w:r>
      <w:r>
        <w:t>55</w:t>
      </w:r>
      <w:r>
        <w:fldChar w:fldCharType="end"/>
      </w:r>
    </w:p>
    <w:p w:rsidR="003A3647" w:rsidRDefault="003A3647">
      <w:pPr>
        <w:pStyle w:val="TOC2"/>
        <w:rPr>
          <w:rFonts w:asciiTheme="minorHAnsi" w:eastAsiaTheme="minorEastAsia" w:hAnsiTheme="minorHAnsi" w:cstheme="minorBidi"/>
          <w:sz w:val="22"/>
          <w:szCs w:val="22"/>
          <w:lang w:bidi="ar-SA"/>
        </w:rPr>
      </w:pPr>
      <w:r>
        <w:t>15.3.</w:t>
      </w:r>
      <w:r>
        <w:rPr>
          <w:rFonts w:asciiTheme="minorHAnsi" w:eastAsiaTheme="minorEastAsia" w:hAnsiTheme="minorHAnsi" w:cstheme="minorBidi"/>
          <w:sz w:val="22"/>
          <w:szCs w:val="22"/>
          <w:lang w:bidi="ar-SA"/>
        </w:rPr>
        <w:tab/>
      </w:r>
      <w:r>
        <w:t>Kereskedési céllal tartott pénzügyi eszközökből és kötelezettségekből származó nyereség vagy veszteség instrumentum szerint (16.3.)</w:t>
      </w:r>
      <w:r>
        <w:tab/>
      </w:r>
      <w:r>
        <w:fldChar w:fldCharType="begin"/>
      </w:r>
      <w:r>
        <w:instrText xml:space="preserve"> PAGEREF _Toc485913616 \h </w:instrText>
      </w:r>
      <w:r>
        <w:fldChar w:fldCharType="separate"/>
      </w:r>
      <w:r>
        <w:t>55</w:t>
      </w:r>
      <w:r>
        <w:fldChar w:fldCharType="end"/>
      </w:r>
    </w:p>
    <w:p w:rsidR="003A3647" w:rsidRDefault="003A3647">
      <w:pPr>
        <w:pStyle w:val="TOC2"/>
        <w:rPr>
          <w:rFonts w:asciiTheme="minorHAnsi" w:eastAsiaTheme="minorEastAsia" w:hAnsiTheme="minorHAnsi" w:cstheme="minorBidi"/>
          <w:sz w:val="22"/>
          <w:szCs w:val="22"/>
          <w:lang w:bidi="ar-SA"/>
        </w:rPr>
      </w:pPr>
      <w:r>
        <w:t>15.4.</w:t>
      </w:r>
      <w:r>
        <w:rPr>
          <w:rFonts w:asciiTheme="minorHAnsi" w:eastAsiaTheme="minorEastAsia" w:hAnsiTheme="minorHAnsi" w:cstheme="minorBidi"/>
          <w:sz w:val="22"/>
          <w:szCs w:val="22"/>
          <w:lang w:bidi="ar-SA"/>
        </w:rPr>
        <w:tab/>
      </w:r>
      <w:r>
        <w:t>Kereskedési céllal tartott pénzügyi eszközökből és kötelezettségekből származó nyereség vagy veszteség kockázat szerint (16.4.)</w:t>
      </w:r>
      <w:r>
        <w:tab/>
      </w:r>
      <w:r>
        <w:fldChar w:fldCharType="begin"/>
      </w:r>
      <w:r>
        <w:instrText xml:space="preserve"> PAGEREF _Toc485913617 \h </w:instrText>
      </w:r>
      <w:r>
        <w:fldChar w:fldCharType="separate"/>
      </w:r>
      <w:r>
        <w:t>56</w:t>
      </w:r>
      <w:r>
        <w:fldChar w:fldCharType="end"/>
      </w:r>
    </w:p>
    <w:p w:rsidR="003A3647" w:rsidRDefault="003A3647">
      <w:pPr>
        <w:pStyle w:val="TOC2"/>
        <w:rPr>
          <w:rFonts w:asciiTheme="minorHAnsi" w:eastAsiaTheme="minorEastAsia" w:hAnsiTheme="minorHAnsi" w:cstheme="minorBidi"/>
          <w:sz w:val="22"/>
          <w:szCs w:val="22"/>
          <w:lang w:bidi="ar-SA"/>
        </w:rPr>
      </w:pPr>
      <w:r>
        <w:t>15.5.</w:t>
      </w:r>
      <w:r>
        <w:rPr>
          <w:rFonts w:asciiTheme="minorHAnsi" w:eastAsiaTheme="minorEastAsia" w:hAnsiTheme="minorHAnsi" w:cstheme="minorBidi"/>
          <w:sz w:val="22"/>
          <w:szCs w:val="22"/>
          <w:lang w:bidi="ar-SA"/>
        </w:rPr>
        <w:tab/>
      </w:r>
      <w:r>
        <w:t>Kötelezően az eredménnyel szemben valós értéken értékelt nem kereskedési célú pénzügyi eszközök nyeresége vagy vesztesége instrumentum szerint (16.4.1.)</w:t>
      </w:r>
      <w:r>
        <w:tab/>
      </w:r>
      <w:r>
        <w:fldChar w:fldCharType="begin"/>
      </w:r>
      <w:r>
        <w:instrText xml:space="preserve"> PAGEREF _Toc485913618 \h </w:instrText>
      </w:r>
      <w:r>
        <w:fldChar w:fldCharType="separate"/>
      </w:r>
      <w:r>
        <w:t>57</w:t>
      </w:r>
      <w:r>
        <w:fldChar w:fldCharType="end"/>
      </w:r>
    </w:p>
    <w:p w:rsidR="003A3647" w:rsidRDefault="003A3647">
      <w:pPr>
        <w:pStyle w:val="TOC2"/>
        <w:rPr>
          <w:rFonts w:asciiTheme="minorHAnsi" w:eastAsiaTheme="minorEastAsia" w:hAnsiTheme="minorHAnsi" w:cstheme="minorBidi"/>
          <w:sz w:val="22"/>
          <w:szCs w:val="22"/>
          <w:lang w:bidi="ar-SA"/>
        </w:rPr>
      </w:pPr>
      <w:r>
        <w:t>15.6.</w:t>
      </w:r>
      <w:r>
        <w:rPr>
          <w:rFonts w:asciiTheme="minorHAnsi" w:eastAsiaTheme="minorEastAsia" w:hAnsiTheme="minorHAnsi" w:cstheme="minorBidi"/>
          <w:sz w:val="22"/>
          <w:szCs w:val="22"/>
          <w:lang w:bidi="ar-SA"/>
        </w:rPr>
        <w:tab/>
      </w:r>
      <w:r>
        <w:t>Az eredménnyel szemben valós értéken értékeltnek megjelölt pénzügyi eszközök és kötelezettségek nyeresége vagy vesztesége instrumentum szerint (16.5.)</w:t>
      </w:r>
      <w:r>
        <w:tab/>
      </w:r>
      <w:r>
        <w:fldChar w:fldCharType="begin"/>
      </w:r>
      <w:r>
        <w:instrText xml:space="preserve"> PAGEREF _Toc485913619 \h </w:instrText>
      </w:r>
      <w:r>
        <w:fldChar w:fldCharType="separate"/>
      </w:r>
      <w:r>
        <w:t>57</w:t>
      </w:r>
      <w:r>
        <w:fldChar w:fldCharType="end"/>
      </w:r>
    </w:p>
    <w:p w:rsidR="003A3647" w:rsidRDefault="003A3647">
      <w:pPr>
        <w:pStyle w:val="TOC2"/>
        <w:rPr>
          <w:rFonts w:asciiTheme="minorHAnsi" w:eastAsiaTheme="minorEastAsia" w:hAnsiTheme="minorHAnsi" w:cstheme="minorBidi"/>
          <w:sz w:val="22"/>
          <w:szCs w:val="22"/>
          <w:lang w:bidi="ar-SA"/>
        </w:rPr>
      </w:pPr>
      <w:r>
        <w:t>15.7.</w:t>
      </w:r>
      <w:r>
        <w:rPr>
          <w:rFonts w:asciiTheme="minorHAnsi" w:eastAsiaTheme="minorEastAsia" w:hAnsiTheme="minorHAnsi" w:cstheme="minorBidi"/>
          <w:sz w:val="22"/>
          <w:szCs w:val="22"/>
          <w:lang w:bidi="ar-SA"/>
        </w:rPr>
        <w:tab/>
      </w:r>
      <w:r>
        <w:t>Fedezeti elszámolásokból eredő nyereségek vagy veszteségek (16.6.)</w:t>
      </w:r>
      <w:r>
        <w:tab/>
      </w:r>
      <w:r>
        <w:fldChar w:fldCharType="begin"/>
      </w:r>
      <w:r>
        <w:instrText xml:space="preserve"> PAGEREF _Toc485913620 \h </w:instrText>
      </w:r>
      <w:r>
        <w:fldChar w:fldCharType="separate"/>
      </w:r>
      <w:r>
        <w:t>58</w:t>
      </w:r>
      <w:r>
        <w:fldChar w:fldCharType="end"/>
      </w:r>
    </w:p>
    <w:p w:rsidR="003A3647" w:rsidRDefault="003A3647">
      <w:pPr>
        <w:pStyle w:val="TOC2"/>
        <w:rPr>
          <w:rFonts w:asciiTheme="minorHAnsi" w:eastAsiaTheme="minorEastAsia" w:hAnsiTheme="minorHAnsi" w:cstheme="minorBidi"/>
          <w:sz w:val="22"/>
          <w:szCs w:val="22"/>
          <w:lang w:bidi="ar-SA"/>
        </w:rPr>
      </w:pPr>
      <w:r>
        <w:t>15.8.</w:t>
      </w:r>
      <w:r>
        <w:rPr>
          <w:rFonts w:asciiTheme="minorHAnsi" w:eastAsiaTheme="minorEastAsia" w:hAnsiTheme="minorHAnsi" w:cstheme="minorBidi"/>
          <w:sz w:val="22"/>
          <w:szCs w:val="22"/>
          <w:lang w:bidi="ar-SA"/>
        </w:rPr>
        <w:tab/>
      </w:r>
      <w:r w:rsidRPr="00EF3305">
        <w:rPr>
          <w:caps/>
        </w:rPr>
        <w:t>Nem</w:t>
      </w:r>
      <w:r>
        <w:t xml:space="preserve"> pénzügyi eszközök értékvesztése (16.7.)</w:t>
      </w:r>
      <w:r>
        <w:tab/>
      </w:r>
      <w:r>
        <w:fldChar w:fldCharType="begin"/>
      </w:r>
      <w:r>
        <w:instrText xml:space="preserve"> PAGEREF _Toc485913621 \h </w:instrText>
      </w:r>
      <w:r>
        <w:fldChar w:fldCharType="separate"/>
      </w:r>
      <w:r>
        <w:t>58</w:t>
      </w:r>
      <w:r>
        <w:fldChar w:fldCharType="end"/>
      </w:r>
    </w:p>
    <w:p w:rsidR="003A3647" w:rsidRDefault="003A3647">
      <w:pPr>
        <w:pStyle w:val="TOC2"/>
        <w:rPr>
          <w:rFonts w:asciiTheme="minorHAnsi" w:eastAsiaTheme="minorEastAsia" w:hAnsiTheme="minorHAnsi" w:cstheme="minorBidi"/>
          <w:sz w:val="22"/>
          <w:szCs w:val="22"/>
          <w:lang w:bidi="ar-SA"/>
        </w:rPr>
      </w:pPr>
      <w:r>
        <w:t>16.</w:t>
      </w:r>
      <w:r>
        <w:rPr>
          <w:rFonts w:asciiTheme="minorHAnsi" w:eastAsiaTheme="minorEastAsia" w:hAnsiTheme="minorHAnsi" w:cstheme="minorBidi"/>
          <w:sz w:val="22"/>
          <w:szCs w:val="22"/>
          <w:lang w:bidi="ar-SA"/>
        </w:rPr>
        <w:tab/>
      </w:r>
      <w:r>
        <w:t>A konszolidáció számviteli és CRR szerinti körének egyeztetése (17.)</w:t>
      </w:r>
      <w:r>
        <w:tab/>
      </w:r>
      <w:r>
        <w:fldChar w:fldCharType="begin"/>
      </w:r>
      <w:r>
        <w:instrText xml:space="preserve"> PAGEREF _Toc485913622 \h </w:instrText>
      </w:r>
      <w:r>
        <w:fldChar w:fldCharType="separate"/>
      </w:r>
      <w:r>
        <w:t>58</w:t>
      </w:r>
      <w:r>
        <w:fldChar w:fldCharType="end"/>
      </w:r>
    </w:p>
    <w:p w:rsidR="003A3647" w:rsidRDefault="003A3647">
      <w:pPr>
        <w:pStyle w:val="TOC2"/>
        <w:rPr>
          <w:rFonts w:asciiTheme="minorHAnsi" w:eastAsiaTheme="minorEastAsia" w:hAnsiTheme="minorHAnsi" w:cstheme="minorBidi"/>
          <w:sz w:val="22"/>
          <w:szCs w:val="22"/>
          <w:lang w:bidi="ar-SA"/>
        </w:rPr>
      </w:pPr>
      <w:r>
        <w:t>17.</w:t>
      </w:r>
      <w:r>
        <w:rPr>
          <w:rFonts w:asciiTheme="minorHAnsi" w:eastAsiaTheme="minorEastAsia" w:hAnsiTheme="minorHAnsi" w:cstheme="minorBidi"/>
          <w:sz w:val="22"/>
          <w:szCs w:val="22"/>
          <w:lang w:bidi="ar-SA"/>
        </w:rPr>
        <w:tab/>
      </w:r>
      <w:r>
        <w:t>Nemteljesítő kitettségek (18.)</w:t>
      </w:r>
      <w:r>
        <w:tab/>
      </w:r>
      <w:r>
        <w:fldChar w:fldCharType="begin"/>
      </w:r>
      <w:r>
        <w:instrText xml:space="preserve"> PAGEREF _Toc485913623 \h </w:instrText>
      </w:r>
      <w:r>
        <w:fldChar w:fldCharType="separate"/>
      </w:r>
      <w:r>
        <w:t>59</w:t>
      </w:r>
      <w:r>
        <w:fldChar w:fldCharType="end"/>
      </w:r>
    </w:p>
    <w:p w:rsidR="003A3647" w:rsidRDefault="003A3647">
      <w:pPr>
        <w:pStyle w:val="TOC2"/>
        <w:rPr>
          <w:rFonts w:asciiTheme="minorHAnsi" w:eastAsiaTheme="minorEastAsia" w:hAnsiTheme="minorHAnsi" w:cstheme="minorBidi"/>
          <w:sz w:val="22"/>
          <w:szCs w:val="22"/>
          <w:lang w:bidi="ar-SA"/>
        </w:rPr>
      </w:pPr>
      <w:r>
        <w:t>18.</w:t>
      </w:r>
      <w:r>
        <w:rPr>
          <w:rFonts w:asciiTheme="minorHAnsi" w:eastAsiaTheme="minorEastAsia" w:hAnsiTheme="minorHAnsi" w:cstheme="minorBidi"/>
          <w:sz w:val="22"/>
          <w:szCs w:val="22"/>
          <w:lang w:bidi="ar-SA"/>
        </w:rPr>
        <w:tab/>
      </w:r>
      <w:r>
        <w:t>Átstrukturált kitettségek (19.)</w:t>
      </w:r>
      <w:r>
        <w:tab/>
      </w:r>
      <w:r>
        <w:fldChar w:fldCharType="begin"/>
      </w:r>
      <w:r>
        <w:instrText xml:space="preserve"> PAGEREF _Toc485913624 \h </w:instrText>
      </w:r>
      <w:r>
        <w:fldChar w:fldCharType="separate"/>
      </w:r>
      <w:r>
        <w:t>64</w:t>
      </w:r>
      <w:r>
        <w:fldChar w:fldCharType="end"/>
      </w:r>
    </w:p>
    <w:p w:rsidR="003A3647" w:rsidRDefault="003A3647">
      <w:pPr>
        <w:pStyle w:val="TOC2"/>
        <w:rPr>
          <w:rFonts w:asciiTheme="minorHAnsi" w:eastAsiaTheme="minorEastAsia" w:hAnsiTheme="minorHAnsi" w:cstheme="minorBidi"/>
          <w:sz w:val="22"/>
          <w:szCs w:val="22"/>
          <w:lang w:bidi="ar-SA"/>
        </w:rPr>
      </w:pPr>
      <w:r>
        <w:t>19.</w:t>
      </w:r>
      <w:r>
        <w:rPr>
          <w:rFonts w:asciiTheme="minorHAnsi" w:eastAsiaTheme="minorEastAsia" w:hAnsiTheme="minorHAnsi" w:cstheme="minorBidi"/>
          <w:sz w:val="22"/>
          <w:szCs w:val="22"/>
          <w:lang w:bidi="ar-SA"/>
        </w:rPr>
        <w:tab/>
      </w:r>
      <w:r>
        <w:t>Földrajzi megoszlás (20.)</w:t>
      </w:r>
      <w:r>
        <w:tab/>
      </w:r>
      <w:r>
        <w:fldChar w:fldCharType="begin"/>
      </w:r>
      <w:r>
        <w:instrText xml:space="preserve"> PAGEREF _Toc485913625 \h </w:instrText>
      </w:r>
      <w:r>
        <w:fldChar w:fldCharType="separate"/>
      </w:r>
      <w:r>
        <w:t>69</w:t>
      </w:r>
      <w:r>
        <w:fldChar w:fldCharType="end"/>
      </w:r>
    </w:p>
    <w:p w:rsidR="003A3647" w:rsidRDefault="003A3647">
      <w:pPr>
        <w:pStyle w:val="TOC2"/>
        <w:rPr>
          <w:rFonts w:asciiTheme="minorHAnsi" w:eastAsiaTheme="minorEastAsia" w:hAnsiTheme="minorHAnsi" w:cstheme="minorBidi"/>
          <w:sz w:val="22"/>
          <w:szCs w:val="22"/>
          <w:lang w:bidi="ar-SA"/>
        </w:rPr>
      </w:pPr>
      <w:r>
        <w:t>19.1.</w:t>
      </w:r>
      <w:r>
        <w:rPr>
          <w:rFonts w:asciiTheme="minorHAnsi" w:eastAsiaTheme="minorEastAsia" w:hAnsiTheme="minorHAnsi" w:cstheme="minorBidi"/>
          <w:sz w:val="22"/>
          <w:szCs w:val="22"/>
          <w:lang w:bidi="ar-SA"/>
        </w:rPr>
        <w:tab/>
      </w:r>
      <w:r>
        <w:t>Földrajzi megoszlás a tevékenység helye szerint (20.1-20.3.)</w:t>
      </w:r>
      <w:r>
        <w:tab/>
      </w:r>
      <w:r>
        <w:fldChar w:fldCharType="begin"/>
      </w:r>
      <w:r>
        <w:instrText xml:space="preserve"> PAGEREF _Toc485913626 \h </w:instrText>
      </w:r>
      <w:r>
        <w:fldChar w:fldCharType="separate"/>
      </w:r>
      <w:r>
        <w:t>69</w:t>
      </w:r>
      <w:r>
        <w:fldChar w:fldCharType="end"/>
      </w:r>
    </w:p>
    <w:p w:rsidR="003A3647" w:rsidRDefault="003A3647">
      <w:pPr>
        <w:pStyle w:val="TOC2"/>
        <w:rPr>
          <w:rFonts w:asciiTheme="minorHAnsi" w:eastAsiaTheme="minorEastAsia" w:hAnsiTheme="minorHAnsi" w:cstheme="minorBidi"/>
          <w:sz w:val="22"/>
          <w:szCs w:val="22"/>
          <w:lang w:bidi="ar-SA"/>
        </w:rPr>
      </w:pPr>
      <w:r>
        <w:t>19.2.</w:t>
      </w:r>
      <w:r>
        <w:rPr>
          <w:rFonts w:asciiTheme="minorHAnsi" w:eastAsiaTheme="minorEastAsia" w:hAnsiTheme="minorHAnsi" w:cstheme="minorBidi"/>
          <w:sz w:val="22"/>
          <w:szCs w:val="22"/>
          <w:lang w:bidi="ar-SA"/>
        </w:rPr>
        <w:tab/>
      </w:r>
      <w:r>
        <w:t>Földrajzi megoszlás az ügyfél székhelye szerint (20.4-20.7.)</w:t>
      </w:r>
      <w:r>
        <w:tab/>
      </w:r>
      <w:r>
        <w:fldChar w:fldCharType="begin"/>
      </w:r>
      <w:r>
        <w:instrText xml:space="preserve"> PAGEREF _Toc485913627 \h </w:instrText>
      </w:r>
      <w:r>
        <w:fldChar w:fldCharType="separate"/>
      </w:r>
      <w:r>
        <w:t>70</w:t>
      </w:r>
      <w:r>
        <w:fldChar w:fldCharType="end"/>
      </w:r>
    </w:p>
    <w:p w:rsidR="003A3647" w:rsidRDefault="003A3647">
      <w:pPr>
        <w:pStyle w:val="TOC2"/>
        <w:rPr>
          <w:rFonts w:asciiTheme="minorHAnsi" w:eastAsiaTheme="minorEastAsia" w:hAnsiTheme="minorHAnsi" w:cstheme="minorBidi"/>
          <w:sz w:val="22"/>
          <w:szCs w:val="22"/>
          <w:lang w:bidi="ar-SA"/>
        </w:rPr>
      </w:pPr>
      <w:r>
        <w:t>20.</w:t>
      </w:r>
      <w:r>
        <w:rPr>
          <w:rFonts w:asciiTheme="minorHAnsi" w:eastAsiaTheme="minorEastAsia" w:hAnsiTheme="minorHAnsi" w:cstheme="minorBidi"/>
          <w:sz w:val="22"/>
          <w:szCs w:val="22"/>
          <w:lang w:bidi="ar-SA"/>
        </w:rPr>
        <w:tab/>
      </w:r>
      <w:r>
        <w:t>Tárgyi eszközök és immateriális javak: operatív lízingbe adott eszközök (21.)</w:t>
      </w:r>
      <w:r>
        <w:tab/>
      </w:r>
      <w:r>
        <w:fldChar w:fldCharType="begin"/>
      </w:r>
      <w:r>
        <w:instrText xml:space="preserve"> PAGEREF _Toc485913628 \h </w:instrText>
      </w:r>
      <w:r>
        <w:fldChar w:fldCharType="separate"/>
      </w:r>
      <w:r>
        <w:t>71</w:t>
      </w:r>
      <w:r>
        <w:fldChar w:fldCharType="end"/>
      </w:r>
    </w:p>
    <w:p w:rsidR="003A3647" w:rsidRDefault="003A3647">
      <w:pPr>
        <w:pStyle w:val="TOC2"/>
        <w:rPr>
          <w:rFonts w:asciiTheme="minorHAnsi" w:eastAsiaTheme="minorEastAsia" w:hAnsiTheme="minorHAnsi" w:cstheme="minorBidi"/>
          <w:sz w:val="22"/>
          <w:szCs w:val="22"/>
          <w:lang w:bidi="ar-SA"/>
        </w:rPr>
      </w:pPr>
      <w:r>
        <w:t>21.</w:t>
      </w:r>
      <w:r>
        <w:rPr>
          <w:rFonts w:asciiTheme="minorHAnsi" w:eastAsiaTheme="minorEastAsia" w:hAnsiTheme="minorHAnsi" w:cstheme="minorBidi"/>
          <w:sz w:val="22"/>
          <w:szCs w:val="22"/>
          <w:lang w:bidi="ar-SA"/>
        </w:rPr>
        <w:tab/>
      </w:r>
      <w:r>
        <w:t>Vagyonkezelés, letétkezelés és egyéb szolgáltatások (22.)</w:t>
      </w:r>
      <w:r>
        <w:tab/>
      </w:r>
      <w:r>
        <w:fldChar w:fldCharType="begin"/>
      </w:r>
      <w:r>
        <w:instrText xml:space="preserve"> PAGEREF _Toc485913629 \h </w:instrText>
      </w:r>
      <w:r>
        <w:fldChar w:fldCharType="separate"/>
      </w:r>
      <w:r>
        <w:t>71</w:t>
      </w:r>
      <w:r>
        <w:fldChar w:fldCharType="end"/>
      </w:r>
    </w:p>
    <w:p w:rsidR="003A3647" w:rsidRDefault="003A3647">
      <w:pPr>
        <w:pStyle w:val="TOC2"/>
        <w:rPr>
          <w:rFonts w:asciiTheme="minorHAnsi" w:eastAsiaTheme="minorEastAsia" w:hAnsiTheme="minorHAnsi" w:cstheme="minorBidi"/>
          <w:sz w:val="22"/>
          <w:szCs w:val="22"/>
          <w:lang w:bidi="ar-SA"/>
        </w:rPr>
      </w:pPr>
      <w:r>
        <w:t>21.1.</w:t>
      </w:r>
      <w:r>
        <w:rPr>
          <w:rFonts w:asciiTheme="minorHAnsi" w:eastAsiaTheme="minorEastAsia" w:hAnsiTheme="minorHAnsi" w:cstheme="minorBidi"/>
          <w:sz w:val="22"/>
          <w:szCs w:val="22"/>
          <w:lang w:bidi="ar-SA"/>
        </w:rPr>
        <w:tab/>
      </w:r>
      <w:r>
        <w:t>Díj- és jutalékbevételek és díj- és jutalékráfordítások tevékenység szerint (22.1.)</w:t>
      </w:r>
      <w:r>
        <w:tab/>
      </w:r>
      <w:r>
        <w:fldChar w:fldCharType="begin"/>
      </w:r>
      <w:r>
        <w:instrText xml:space="preserve"> PAGEREF _Toc485913630 \h </w:instrText>
      </w:r>
      <w:r>
        <w:fldChar w:fldCharType="separate"/>
      </w:r>
      <w:r>
        <w:t>71</w:t>
      </w:r>
      <w:r>
        <w:fldChar w:fldCharType="end"/>
      </w:r>
    </w:p>
    <w:p w:rsidR="003A3647" w:rsidRDefault="003A3647">
      <w:pPr>
        <w:pStyle w:val="TOC2"/>
        <w:rPr>
          <w:rFonts w:asciiTheme="minorHAnsi" w:eastAsiaTheme="minorEastAsia" w:hAnsiTheme="minorHAnsi" w:cstheme="minorBidi"/>
          <w:sz w:val="22"/>
          <w:szCs w:val="22"/>
          <w:lang w:bidi="ar-SA"/>
        </w:rPr>
      </w:pPr>
      <w:r>
        <w:t>21.2.</w:t>
      </w:r>
      <w:r>
        <w:rPr>
          <w:rFonts w:asciiTheme="minorHAnsi" w:eastAsiaTheme="minorEastAsia" w:hAnsiTheme="minorHAnsi" w:cstheme="minorBidi"/>
          <w:sz w:val="22"/>
          <w:szCs w:val="22"/>
          <w:lang w:bidi="ar-SA"/>
        </w:rPr>
        <w:tab/>
      </w:r>
      <w:r>
        <w:t>A nyújtott szolgáltatásokban érintett eszközök (22.2.)</w:t>
      </w:r>
      <w:r>
        <w:tab/>
      </w:r>
      <w:r>
        <w:fldChar w:fldCharType="begin"/>
      </w:r>
      <w:r>
        <w:instrText xml:space="preserve"> PAGEREF _Toc485913631 \h </w:instrText>
      </w:r>
      <w:r>
        <w:fldChar w:fldCharType="separate"/>
      </w:r>
      <w:r>
        <w:t>73</w:t>
      </w:r>
      <w:r>
        <w:fldChar w:fldCharType="end"/>
      </w:r>
    </w:p>
    <w:p w:rsidR="003A3647" w:rsidRDefault="003A3647">
      <w:pPr>
        <w:pStyle w:val="TOC2"/>
        <w:rPr>
          <w:rFonts w:asciiTheme="minorHAnsi" w:eastAsiaTheme="minorEastAsia" w:hAnsiTheme="minorHAnsi" w:cstheme="minorBidi"/>
          <w:sz w:val="22"/>
          <w:szCs w:val="22"/>
          <w:lang w:bidi="ar-SA"/>
        </w:rPr>
      </w:pPr>
      <w:r>
        <w:t>22.</w:t>
      </w:r>
      <w:r>
        <w:rPr>
          <w:rFonts w:asciiTheme="minorHAnsi" w:eastAsiaTheme="minorEastAsia" w:hAnsiTheme="minorHAnsi" w:cstheme="minorBidi"/>
          <w:sz w:val="22"/>
          <w:szCs w:val="22"/>
          <w:lang w:bidi="ar-SA"/>
        </w:rPr>
        <w:tab/>
      </w:r>
      <w:r>
        <w:t>Érdekeltségek nem konszolidált strukturált gazdálkodó egységekben (30.)</w:t>
      </w:r>
      <w:r>
        <w:tab/>
      </w:r>
      <w:r>
        <w:fldChar w:fldCharType="begin"/>
      </w:r>
      <w:r>
        <w:instrText xml:space="preserve"> PAGEREF _Toc485913632 \h </w:instrText>
      </w:r>
      <w:r>
        <w:fldChar w:fldCharType="separate"/>
      </w:r>
      <w:r>
        <w:t>74</w:t>
      </w:r>
      <w:r>
        <w:fldChar w:fldCharType="end"/>
      </w:r>
    </w:p>
    <w:p w:rsidR="003A3647" w:rsidRDefault="003A3647">
      <w:pPr>
        <w:pStyle w:val="TOC2"/>
        <w:rPr>
          <w:rFonts w:asciiTheme="minorHAnsi" w:eastAsiaTheme="minorEastAsia" w:hAnsiTheme="minorHAnsi" w:cstheme="minorBidi"/>
          <w:sz w:val="22"/>
          <w:szCs w:val="22"/>
          <w:lang w:bidi="ar-SA"/>
        </w:rPr>
      </w:pPr>
      <w:r>
        <w:t>23.</w:t>
      </w:r>
      <w:r>
        <w:rPr>
          <w:rFonts w:asciiTheme="minorHAnsi" w:eastAsiaTheme="minorEastAsia" w:hAnsiTheme="minorHAnsi" w:cstheme="minorBidi"/>
          <w:sz w:val="22"/>
          <w:szCs w:val="22"/>
          <w:lang w:bidi="ar-SA"/>
        </w:rPr>
        <w:tab/>
      </w:r>
      <w:r>
        <w:t>Kapcsolt felek (31.)</w:t>
      </w:r>
      <w:r>
        <w:tab/>
      </w:r>
      <w:r>
        <w:fldChar w:fldCharType="begin"/>
      </w:r>
      <w:r>
        <w:instrText xml:space="preserve"> PAGEREF _Toc485913633 \h </w:instrText>
      </w:r>
      <w:r>
        <w:fldChar w:fldCharType="separate"/>
      </w:r>
      <w:r>
        <w:t>74</w:t>
      </w:r>
      <w:r>
        <w:fldChar w:fldCharType="end"/>
      </w:r>
    </w:p>
    <w:p w:rsidR="003A3647" w:rsidRDefault="003A3647">
      <w:pPr>
        <w:pStyle w:val="TOC2"/>
        <w:rPr>
          <w:rFonts w:asciiTheme="minorHAnsi" w:eastAsiaTheme="minorEastAsia" w:hAnsiTheme="minorHAnsi" w:cstheme="minorBidi"/>
          <w:sz w:val="22"/>
          <w:szCs w:val="22"/>
          <w:lang w:bidi="ar-SA"/>
        </w:rPr>
      </w:pPr>
      <w:r>
        <w:t>23.1.</w:t>
      </w:r>
      <w:r>
        <w:rPr>
          <w:rFonts w:asciiTheme="minorHAnsi" w:eastAsiaTheme="minorEastAsia" w:hAnsiTheme="minorHAnsi" w:cstheme="minorBidi"/>
          <w:sz w:val="22"/>
          <w:szCs w:val="22"/>
          <w:lang w:bidi="ar-SA"/>
        </w:rPr>
        <w:tab/>
      </w:r>
      <w:r>
        <w:t>Kapcsolt felek: kötelezettségek és követelések kapcsolt felekkel szemben (31.1.)</w:t>
      </w:r>
      <w:r>
        <w:tab/>
      </w:r>
      <w:r>
        <w:fldChar w:fldCharType="begin"/>
      </w:r>
      <w:r>
        <w:instrText xml:space="preserve"> PAGEREF _Toc485913634 \h </w:instrText>
      </w:r>
      <w:r>
        <w:fldChar w:fldCharType="separate"/>
      </w:r>
      <w:r>
        <w:t>75</w:t>
      </w:r>
      <w:r>
        <w:fldChar w:fldCharType="end"/>
      </w:r>
    </w:p>
    <w:p w:rsidR="003A3647" w:rsidRDefault="003A3647">
      <w:pPr>
        <w:pStyle w:val="TOC2"/>
        <w:rPr>
          <w:rFonts w:asciiTheme="minorHAnsi" w:eastAsiaTheme="minorEastAsia" w:hAnsiTheme="minorHAnsi" w:cstheme="minorBidi"/>
          <w:sz w:val="22"/>
          <w:szCs w:val="22"/>
          <w:lang w:bidi="ar-SA"/>
        </w:rPr>
      </w:pPr>
      <w:r>
        <w:t>23.2.</w:t>
      </w:r>
      <w:r>
        <w:rPr>
          <w:rFonts w:asciiTheme="minorHAnsi" w:eastAsiaTheme="minorEastAsia" w:hAnsiTheme="minorHAnsi" w:cstheme="minorBidi"/>
          <w:sz w:val="22"/>
          <w:szCs w:val="22"/>
          <w:lang w:bidi="ar-SA"/>
        </w:rPr>
        <w:tab/>
      </w:r>
      <w:r>
        <w:t>Kapcsolt felek: kapcsolt felekkel történt ügyletkötésekből származó kiadások és bevételek (31.2.)</w:t>
      </w:r>
      <w:r>
        <w:tab/>
      </w:r>
      <w:r>
        <w:fldChar w:fldCharType="begin"/>
      </w:r>
      <w:r>
        <w:instrText xml:space="preserve"> PAGEREF _Toc485913635 \h </w:instrText>
      </w:r>
      <w:r>
        <w:fldChar w:fldCharType="separate"/>
      </w:r>
      <w:r>
        <w:t>75</w:t>
      </w:r>
      <w:r>
        <w:fldChar w:fldCharType="end"/>
      </w:r>
    </w:p>
    <w:p w:rsidR="003A3647" w:rsidRDefault="003A3647">
      <w:pPr>
        <w:pStyle w:val="TOC2"/>
        <w:rPr>
          <w:rFonts w:asciiTheme="minorHAnsi" w:eastAsiaTheme="minorEastAsia" w:hAnsiTheme="minorHAnsi" w:cstheme="minorBidi"/>
          <w:sz w:val="22"/>
          <w:szCs w:val="22"/>
          <w:lang w:bidi="ar-SA"/>
        </w:rPr>
      </w:pPr>
      <w:r>
        <w:t>24.</w:t>
      </w:r>
      <w:r>
        <w:rPr>
          <w:rFonts w:asciiTheme="minorHAnsi" w:eastAsiaTheme="minorEastAsia" w:hAnsiTheme="minorHAnsi" w:cstheme="minorBidi"/>
          <w:sz w:val="22"/>
          <w:szCs w:val="22"/>
          <w:lang w:bidi="ar-SA"/>
        </w:rPr>
        <w:tab/>
      </w:r>
      <w:r>
        <w:t>Csoportszerkezet (40.)</w:t>
      </w:r>
      <w:r>
        <w:tab/>
      </w:r>
      <w:r>
        <w:fldChar w:fldCharType="begin"/>
      </w:r>
      <w:r>
        <w:instrText xml:space="preserve"> PAGEREF _Toc485913636 \h </w:instrText>
      </w:r>
      <w:r>
        <w:fldChar w:fldCharType="separate"/>
      </w:r>
      <w:r>
        <w:t>76</w:t>
      </w:r>
      <w:r>
        <w:fldChar w:fldCharType="end"/>
      </w:r>
    </w:p>
    <w:p w:rsidR="003A3647" w:rsidRDefault="003A3647">
      <w:pPr>
        <w:pStyle w:val="TOC2"/>
        <w:rPr>
          <w:rFonts w:asciiTheme="minorHAnsi" w:eastAsiaTheme="minorEastAsia" w:hAnsiTheme="minorHAnsi" w:cstheme="minorBidi"/>
          <w:sz w:val="22"/>
          <w:szCs w:val="22"/>
          <w:lang w:bidi="ar-SA"/>
        </w:rPr>
      </w:pPr>
      <w:r>
        <w:lastRenderedPageBreak/>
        <w:t>24.1.</w:t>
      </w:r>
      <w:r>
        <w:rPr>
          <w:rFonts w:asciiTheme="minorHAnsi" w:eastAsiaTheme="minorEastAsia" w:hAnsiTheme="minorHAnsi" w:cstheme="minorBidi"/>
          <w:sz w:val="22"/>
          <w:szCs w:val="22"/>
          <w:lang w:bidi="ar-SA"/>
        </w:rPr>
        <w:tab/>
      </w:r>
      <w:r>
        <w:t>Csoportszerkezet: „intézményenként” (40.1.)</w:t>
      </w:r>
      <w:r>
        <w:tab/>
      </w:r>
      <w:r>
        <w:fldChar w:fldCharType="begin"/>
      </w:r>
      <w:r>
        <w:instrText xml:space="preserve"> PAGEREF _Toc485913637 \h </w:instrText>
      </w:r>
      <w:r>
        <w:fldChar w:fldCharType="separate"/>
      </w:r>
      <w:r>
        <w:t>76</w:t>
      </w:r>
      <w:r>
        <w:fldChar w:fldCharType="end"/>
      </w:r>
    </w:p>
    <w:p w:rsidR="003A3647" w:rsidRDefault="003A3647">
      <w:pPr>
        <w:pStyle w:val="TOC2"/>
        <w:rPr>
          <w:rFonts w:asciiTheme="minorHAnsi" w:eastAsiaTheme="minorEastAsia" w:hAnsiTheme="minorHAnsi" w:cstheme="minorBidi"/>
          <w:sz w:val="22"/>
          <w:szCs w:val="22"/>
          <w:lang w:bidi="ar-SA"/>
        </w:rPr>
      </w:pPr>
      <w:r>
        <w:t>24.2.</w:t>
      </w:r>
      <w:r>
        <w:rPr>
          <w:rFonts w:asciiTheme="minorHAnsi" w:eastAsiaTheme="minorEastAsia" w:hAnsiTheme="minorHAnsi" w:cstheme="minorBidi"/>
          <w:sz w:val="22"/>
          <w:szCs w:val="22"/>
          <w:lang w:bidi="ar-SA"/>
        </w:rPr>
        <w:tab/>
      </w:r>
      <w:r>
        <w:t>Csoportszerkezet: „instrumentumonként” (40.2.)</w:t>
      </w:r>
      <w:r>
        <w:tab/>
      </w:r>
      <w:r>
        <w:fldChar w:fldCharType="begin"/>
      </w:r>
      <w:r>
        <w:instrText xml:space="preserve"> PAGEREF _Toc485913638 \h </w:instrText>
      </w:r>
      <w:r>
        <w:fldChar w:fldCharType="separate"/>
      </w:r>
      <w:r>
        <w:t>78</w:t>
      </w:r>
      <w:r>
        <w:fldChar w:fldCharType="end"/>
      </w:r>
    </w:p>
    <w:p w:rsidR="003A3647" w:rsidRDefault="003A3647">
      <w:pPr>
        <w:pStyle w:val="TOC2"/>
        <w:rPr>
          <w:rFonts w:asciiTheme="minorHAnsi" w:eastAsiaTheme="minorEastAsia" w:hAnsiTheme="minorHAnsi" w:cstheme="minorBidi"/>
          <w:sz w:val="22"/>
          <w:szCs w:val="22"/>
          <w:lang w:bidi="ar-SA"/>
        </w:rPr>
      </w:pPr>
      <w:r>
        <w:t>25.</w:t>
      </w:r>
      <w:r>
        <w:rPr>
          <w:rFonts w:asciiTheme="minorHAnsi" w:eastAsiaTheme="minorEastAsia" w:hAnsiTheme="minorHAnsi" w:cstheme="minorBidi"/>
          <w:sz w:val="22"/>
          <w:szCs w:val="22"/>
          <w:lang w:bidi="ar-SA"/>
        </w:rPr>
        <w:tab/>
      </w:r>
      <w:r>
        <w:t>Valós érték (41.)</w:t>
      </w:r>
      <w:r>
        <w:tab/>
      </w:r>
      <w:r>
        <w:fldChar w:fldCharType="begin"/>
      </w:r>
      <w:r>
        <w:instrText xml:space="preserve"> PAGEREF _Toc485913639 \h </w:instrText>
      </w:r>
      <w:r>
        <w:fldChar w:fldCharType="separate"/>
      </w:r>
      <w:r>
        <w:t>78</w:t>
      </w:r>
      <w:r>
        <w:fldChar w:fldCharType="end"/>
      </w:r>
    </w:p>
    <w:p w:rsidR="003A3647" w:rsidRDefault="003A3647">
      <w:pPr>
        <w:pStyle w:val="TOC2"/>
        <w:rPr>
          <w:rFonts w:asciiTheme="minorHAnsi" w:eastAsiaTheme="minorEastAsia" w:hAnsiTheme="minorHAnsi" w:cstheme="minorBidi"/>
          <w:sz w:val="22"/>
          <w:szCs w:val="22"/>
          <w:lang w:bidi="ar-SA"/>
        </w:rPr>
      </w:pPr>
      <w:r>
        <w:t>25.1.</w:t>
      </w:r>
      <w:r>
        <w:rPr>
          <w:rFonts w:asciiTheme="minorHAnsi" w:eastAsiaTheme="minorEastAsia" w:hAnsiTheme="minorHAnsi" w:cstheme="minorBidi"/>
          <w:sz w:val="22"/>
          <w:szCs w:val="22"/>
          <w:lang w:bidi="ar-SA"/>
        </w:rPr>
        <w:tab/>
      </w:r>
      <w:r>
        <w:t>Valósérték-hierarchia: amortizált bekerülési értéken értékelt pénzügyi instrumentumok (41.1.)</w:t>
      </w:r>
      <w:r>
        <w:tab/>
      </w:r>
      <w:r>
        <w:fldChar w:fldCharType="begin"/>
      </w:r>
      <w:r>
        <w:instrText xml:space="preserve"> PAGEREF _Toc485913640 \h </w:instrText>
      </w:r>
      <w:r>
        <w:fldChar w:fldCharType="separate"/>
      </w:r>
      <w:r>
        <w:t>78</w:t>
      </w:r>
      <w:r>
        <w:fldChar w:fldCharType="end"/>
      </w:r>
    </w:p>
    <w:p w:rsidR="003A3647" w:rsidRDefault="003A3647">
      <w:pPr>
        <w:pStyle w:val="TOC2"/>
        <w:rPr>
          <w:rFonts w:asciiTheme="minorHAnsi" w:eastAsiaTheme="minorEastAsia" w:hAnsiTheme="minorHAnsi" w:cstheme="minorBidi"/>
          <w:sz w:val="22"/>
          <w:szCs w:val="22"/>
          <w:lang w:bidi="ar-SA"/>
        </w:rPr>
      </w:pPr>
      <w:r>
        <w:t>25.2.</w:t>
      </w:r>
      <w:r>
        <w:rPr>
          <w:rFonts w:asciiTheme="minorHAnsi" w:eastAsiaTheme="minorEastAsia" w:hAnsiTheme="minorHAnsi" w:cstheme="minorBidi"/>
          <w:sz w:val="22"/>
          <w:szCs w:val="22"/>
          <w:lang w:bidi="ar-SA"/>
        </w:rPr>
        <w:tab/>
      </w:r>
      <w:r>
        <w:t>A valós érték opció alkalmazása (41.2.)</w:t>
      </w:r>
      <w:r>
        <w:tab/>
      </w:r>
      <w:r>
        <w:fldChar w:fldCharType="begin"/>
      </w:r>
      <w:r>
        <w:instrText xml:space="preserve"> PAGEREF _Toc485913641 \h </w:instrText>
      </w:r>
      <w:r>
        <w:fldChar w:fldCharType="separate"/>
      </w:r>
      <w:r>
        <w:t>78</w:t>
      </w:r>
      <w:r>
        <w:fldChar w:fldCharType="end"/>
      </w:r>
    </w:p>
    <w:p w:rsidR="003A3647" w:rsidRDefault="003A3647">
      <w:pPr>
        <w:pStyle w:val="TOC2"/>
        <w:rPr>
          <w:rFonts w:asciiTheme="minorHAnsi" w:eastAsiaTheme="minorEastAsia" w:hAnsiTheme="minorHAnsi" w:cstheme="minorBidi"/>
          <w:sz w:val="22"/>
          <w:szCs w:val="22"/>
          <w:lang w:bidi="ar-SA"/>
        </w:rPr>
      </w:pPr>
      <w:r>
        <w:t>26.</w:t>
      </w:r>
      <w:r>
        <w:rPr>
          <w:rFonts w:asciiTheme="minorHAnsi" w:eastAsiaTheme="minorEastAsia" w:hAnsiTheme="minorHAnsi" w:cstheme="minorBidi"/>
          <w:sz w:val="22"/>
          <w:szCs w:val="22"/>
          <w:lang w:bidi="ar-SA"/>
        </w:rPr>
        <w:tab/>
      </w:r>
      <w:r>
        <w:t>Tárgyi eszközök és immateriális javak: könyv szerinti érték értékelési módszer szerint (42.)</w:t>
      </w:r>
      <w:r>
        <w:tab/>
      </w:r>
      <w:r>
        <w:fldChar w:fldCharType="begin"/>
      </w:r>
      <w:r>
        <w:instrText xml:space="preserve"> PAGEREF _Toc485913642 \h </w:instrText>
      </w:r>
      <w:r>
        <w:fldChar w:fldCharType="separate"/>
      </w:r>
      <w:r>
        <w:t>78</w:t>
      </w:r>
      <w:r>
        <w:fldChar w:fldCharType="end"/>
      </w:r>
    </w:p>
    <w:p w:rsidR="003A3647" w:rsidRDefault="003A3647">
      <w:pPr>
        <w:pStyle w:val="TOC2"/>
        <w:rPr>
          <w:rFonts w:asciiTheme="minorHAnsi" w:eastAsiaTheme="minorEastAsia" w:hAnsiTheme="minorHAnsi" w:cstheme="minorBidi"/>
          <w:sz w:val="22"/>
          <w:szCs w:val="22"/>
          <w:lang w:bidi="ar-SA"/>
        </w:rPr>
      </w:pPr>
      <w:r>
        <w:t>27.</w:t>
      </w:r>
      <w:r>
        <w:rPr>
          <w:rFonts w:asciiTheme="minorHAnsi" w:eastAsiaTheme="minorEastAsia" w:hAnsiTheme="minorHAnsi" w:cstheme="minorBidi"/>
          <w:sz w:val="22"/>
          <w:szCs w:val="22"/>
          <w:lang w:bidi="ar-SA"/>
        </w:rPr>
        <w:tab/>
      </w:r>
      <w:r>
        <w:t>Céltartalékok (43.)</w:t>
      </w:r>
      <w:r>
        <w:tab/>
      </w:r>
      <w:r>
        <w:fldChar w:fldCharType="begin"/>
      </w:r>
      <w:r>
        <w:instrText xml:space="preserve"> PAGEREF _Toc485913643 \h </w:instrText>
      </w:r>
      <w:r>
        <w:fldChar w:fldCharType="separate"/>
      </w:r>
      <w:r>
        <w:t>79</w:t>
      </w:r>
      <w:r>
        <w:fldChar w:fldCharType="end"/>
      </w:r>
    </w:p>
    <w:p w:rsidR="003A3647" w:rsidRDefault="003A3647">
      <w:pPr>
        <w:pStyle w:val="TOC2"/>
        <w:rPr>
          <w:rFonts w:asciiTheme="minorHAnsi" w:eastAsiaTheme="minorEastAsia" w:hAnsiTheme="minorHAnsi" w:cstheme="minorBidi"/>
          <w:sz w:val="22"/>
          <w:szCs w:val="22"/>
          <w:lang w:bidi="ar-SA"/>
        </w:rPr>
      </w:pPr>
      <w:r>
        <w:t>28.</w:t>
      </w:r>
      <w:r>
        <w:rPr>
          <w:rFonts w:asciiTheme="minorHAnsi" w:eastAsiaTheme="minorEastAsia" w:hAnsiTheme="minorHAnsi" w:cstheme="minorBidi"/>
          <w:sz w:val="22"/>
          <w:szCs w:val="22"/>
          <w:lang w:bidi="ar-SA"/>
        </w:rPr>
        <w:tab/>
      </w:r>
      <w:r>
        <w:t>Meghatározott juttatási programok és munkavállalói juttatások (44.)</w:t>
      </w:r>
      <w:r>
        <w:tab/>
      </w:r>
      <w:r>
        <w:fldChar w:fldCharType="begin"/>
      </w:r>
      <w:r>
        <w:instrText xml:space="preserve"> PAGEREF _Toc485913644 \h </w:instrText>
      </w:r>
      <w:r>
        <w:fldChar w:fldCharType="separate"/>
      </w:r>
      <w:r>
        <w:t>79</w:t>
      </w:r>
      <w:r>
        <w:fldChar w:fldCharType="end"/>
      </w:r>
    </w:p>
    <w:p w:rsidR="003A3647" w:rsidRDefault="003A3647">
      <w:pPr>
        <w:pStyle w:val="TOC2"/>
        <w:rPr>
          <w:rFonts w:asciiTheme="minorHAnsi" w:eastAsiaTheme="minorEastAsia" w:hAnsiTheme="minorHAnsi" w:cstheme="minorBidi"/>
          <w:sz w:val="22"/>
          <w:szCs w:val="22"/>
          <w:lang w:bidi="ar-SA"/>
        </w:rPr>
      </w:pPr>
      <w:r>
        <w:t>28.1.</w:t>
      </w:r>
      <w:r>
        <w:rPr>
          <w:rFonts w:asciiTheme="minorHAnsi" w:eastAsiaTheme="minorEastAsia" w:hAnsiTheme="minorHAnsi" w:cstheme="minorBidi"/>
          <w:sz w:val="22"/>
          <w:szCs w:val="22"/>
          <w:lang w:bidi="ar-SA"/>
        </w:rPr>
        <w:tab/>
      </w:r>
      <w:r>
        <w:t>A meghatározott juttatási programok nettó eszközeinek és kötelezettségeinek összetevői (44.1.)</w:t>
      </w:r>
      <w:r>
        <w:tab/>
      </w:r>
      <w:r>
        <w:fldChar w:fldCharType="begin"/>
      </w:r>
      <w:r>
        <w:instrText xml:space="preserve"> PAGEREF _Toc485913645 \h </w:instrText>
      </w:r>
      <w:r>
        <w:fldChar w:fldCharType="separate"/>
      </w:r>
      <w:r>
        <w:t>79</w:t>
      </w:r>
      <w:r>
        <w:fldChar w:fldCharType="end"/>
      </w:r>
    </w:p>
    <w:p w:rsidR="003A3647" w:rsidRDefault="003A3647">
      <w:pPr>
        <w:pStyle w:val="TOC2"/>
        <w:rPr>
          <w:rFonts w:asciiTheme="minorHAnsi" w:eastAsiaTheme="minorEastAsia" w:hAnsiTheme="minorHAnsi" w:cstheme="minorBidi"/>
          <w:sz w:val="22"/>
          <w:szCs w:val="22"/>
          <w:lang w:bidi="ar-SA"/>
        </w:rPr>
      </w:pPr>
      <w:r>
        <w:t>28.2.</w:t>
      </w:r>
      <w:r>
        <w:rPr>
          <w:rFonts w:asciiTheme="minorHAnsi" w:eastAsiaTheme="minorEastAsia" w:hAnsiTheme="minorHAnsi" w:cstheme="minorBidi"/>
          <w:sz w:val="22"/>
          <w:szCs w:val="22"/>
          <w:lang w:bidi="ar-SA"/>
        </w:rPr>
        <w:tab/>
      </w:r>
      <w:r>
        <w:t>A meghatározott juttatási programban vállalt kötelmek változásai (44.2.)</w:t>
      </w:r>
      <w:r>
        <w:tab/>
      </w:r>
      <w:r>
        <w:fldChar w:fldCharType="begin"/>
      </w:r>
      <w:r>
        <w:instrText xml:space="preserve"> PAGEREF _Toc485913646 \h </w:instrText>
      </w:r>
      <w:r>
        <w:fldChar w:fldCharType="separate"/>
      </w:r>
      <w:r>
        <w:t>79</w:t>
      </w:r>
      <w:r>
        <w:fldChar w:fldCharType="end"/>
      </w:r>
    </w:p>
    <w:p w:rsidR="003A3647" w:rsidRDefault="003A3647">
      <w:pPr>
        <w:pStyle w:val="TOC2"/>
        <w:rPr>
          <w:rFonts w:asciiTheme="minorHAnsi" w:eastAsiaTheme="minorEastAsia" w:hAnsiTheme="minorHAnsi" w:cstheme="minorBidi"/>
          <w:sz w:val="22"/>
          <w:szCs w:val="22"/>
          <w:lang w:bidi="ar-SA"/>
        </w:rPr>
      </w:pPr>
      <w:r>
        <w:t>28.3.</w:t>
      </w:r>
      <w:r>
        <w:rPr>
          <w:rFonts w:asciiTheme="minorHAnsi" w:eastAsiaTheme="minorEastAsia" w:hAnsiTheme="minorHAnsi" w:cstheme="minorBidi"/>
          <w:sz w:val="22"/>
          <w:szCs w:val="22"/>
          <w:lang w:bidi="ar-SA"/>
        </w:rPr>
        <w:tab/>
      </w:r>
      <w:r>
        <w:t>Tájékoztató adatok [személyi jellegű ráfordításokhoz kapcsolódó] (44.3.)</w:t>
      </w:r>
      <w:r>
        <w:tab/>
      </w:r>
      <w:r>
        <w:fldChar w:fldCharType="begin"/>
      </w:r>
      <w:r>
        <w:instrText xml:space="preserve"> PAGEREF _Toc485913647 \h </w:instrText>
      </w:r>
      <w:r>
        <w:fldChar w:fldCharType="separate"/>
      </w:r>
      <w:r>
        <w:t>80</w:t>
      </w:r>
      <w:r>
        <w:fldChar w:fldCharType="end"/>
      </w:r>
    </w:p>
    <w:p w:rsidR="003A3647" w:rsidRDefault="003A3647">
      <w:pPr>
        <w:pStyle w:val="TOC2"/>
        <w:rPr>
          <w:rFonts w:asciiTheme="minorHAnsi" w:eastAsiaTheme="minorEastAsia" w:hAnsiTheme="minorHAnsi" w:cstheme="minorBidi"/>
          <w:sz w:val="22"/>
          <w:szCs w:val="22"/>
          <w:lang w:bidi="ar-SA"/>
        </w:rPr>
      </w:pPr>
      <w:r>
        <w:t>29.</w:t>
      </w:r>
      <w:r>
        <w:rPr>
          <w:rFonts w:asciiTheme="minorHAnsi" w:eastAsiaTheme="minorEastAsia" w:hAnsiTheme="minorHAnsi" w:cstheme="minorBidi"/>
          <w:sz w:val="22"/>
          <w:szCs w:val="22"/>
          <w:lang w:bidi="ar-SA"/>
        </w:rPr>
        <w:tab/>
      </w:r>
      <w:r>
        <w:t>Az eredménykimutatás kiválasztott tételeinek részletezése (45.)</w:t>
      </w:r>
      <w:r>
        <w:tab/>
      </w:r>
      <w:r>
        <w:fldChar w:fldCharType="begin"/>
      </w:r>
      <w:r>
        <w:instrText xml:space="preserve"> PAGEREF _Toc485913648 \h </w:instrText>
      </w:r>
      <w:r>
        <w:fldChar w:fldCharType="separate"/>
      </w:r>
      <w:r>
        <w:t>80</w:t>
      </w:r>
      <w:r>
        <w:fldChar w:fldCharType="end"/>
      </w:r>
    </w:p>
    <w:p w:rsidR="003A3647" w:rsidRDefault="003A3647">
      <w:pPr>
        <w:pStyle w:val="TOC2"/>
        <w:rPr>
          <w:rFonts w:asciiTheme="minorHAnsi" w:eastAsiaTheme="minorEastAsia" w:hAnsiTheme="minorHAnsi" w:cstheme="minorBidi"/>
          <w:sz w:val="22"/>
          <w:szCs w:val="22"/>
          <w:lang w:bidi="ar-SA"/>
        </w:rPr>
      </w:pPr>
      <w:r>
        <w:t>29.1.</w:t>
      </w:r>
      <w:r>
        <w:rPr>
          <w:rFonts w:asciiTheme="minorHAnsi" w:eastAsiaTheme="minorEastAsia" w:hAnsiTheme="minorHAnsi" w:cstheme="minorBidi"/>
          <w:sz w:val="22"/>
          <w:szCs w:val="22"/>
          <w:lang w:bidi="ar-SA"/>
        </w:rPr>
        <w:tab/>
      </w:r>
      <w:r>
        <w:t>Az eredménnyel szemben valós értéken értékeltnek megjelölt pénzügyi eszközök és kötelezettségek nyeresége vagy vesztesége számviteli portfólió szerint (45.1.)</w:t>
      </w:r>
      <w:r>
        <w:tab/>
      </w:r>
      <w:r>
        <w:fldChar w:fldCharType="begin"/>
      </w:r>
      <w:r>
        <w:instrText xml:space="preserve"> PAGEREF _Toc485913649 \h </w:instrText>
      </w:r>
      <w:r>
        <w:fldChar w:fldCharType="separate"/>
      </w:r>
      <w:r>
        <w:t>80</w:t>
      </w:r>
      <w:r>
        <w:fldChar w:fldCharType="end"/>
      </w:r>
    </w:p>
    <w:p w:rsidR="003A3647" w:rsidRDefault="003A3647">
      <w:pPr>
        <w:pStyle w:val="TOC2"/>
        <w:rPr>
          <w:rFonts w:asciiTheme="minorHAnsi" w:eastAsiaTheme="minorEastAsia" w:hAnsiTheme="minorHAnsi" w:cstheme="minorBidi"/>
          <w:sz w:val="22"/>
          <w:szCs w:val="22"/>
          <w:lang w:bidi="ar-SA"/>
        </w:rPr>
      </w:pPr>
      <w:r>
        <w:t>29.2.</w:t>
      </w:r>
      <w:r>
        <w:rPr>
          <w:rFonts w:asciiTheme="minorHAnsi" w:eastAsiaTheme="minorEastAsia" w:hAnsiTheme="minorHAnsi" w:cstheme="minorBidi"/>
          <w:sz w:val="22"/>
          <w:szCs w:val="22"/>
          <w:lang w:bidi="ar-SA"/>
        </w:rPr>
        <w:tab/>
      </w:r>
      <w:r>
        <w:t>Nem pénzügyi eszközök kivezetéséből származó nyereség vagy veszteség (45.2.)</w:t>
      </w:r>
      <w:r>
        <w:tab/>
      </w:r>
      <w:r>
        <w:fldChar w:fldCharType="begin"/>
      </w:r>
      <w:r>
        <w:instrText xml:space="preserve"> PAGEREF _Toc485913650 \h </w:instrText>
      </w:r>
      <w:r>
        <w:fldChar w:fldCharType="separate"/>
      </w:r>
      <w:r>
        <w:t>80</w:t>
      </w:r>
      <w:r>
        <w:fldChar w:fldCharType="end"/>
      </w:r>
    </w:p>
    <w:p w:rsidR="003A3647" w:rsidRDefault="003A3647">
      <w:pPr>
        <w:pStyle w:val="TOC2"/>
        <w:rPr>
          <w:rFonts w:asciiTheme="minorHAnsi" w:eastAsiaTheme="minorEastAsia" w:hAnsiTheme="minorHAnsi" w:cstheme="minorBidi"/>
          <w:sz w:val="22"/>
          <w:szCs w:val="22"/>
          <w:lang w:bidi="ar-SA"/>
        </w:rPr>
      </w:pPr>
      <w:r>
        <w:t>29.3.</w:t>
      </w:r>
      <w:r>
        <w:rPr>
          <w:rFonts w:asciiTheme="minorHAnsi" w:eastAsiaTheme="minorEastAsia" w:hAnsiTheme="minorHAnsi" w:cstheme="minorBidi"/>
          <w:sz w:val="22"/>
          <w:szCs w:val="22"/>
          <w:lang w:bidi="ar-SA"/>
        </w:rPr>
        <w:tab/>
      </w:r>
      <w:r>
        <w:t>Egyéb működési bevételek és ráfordítások (45.3.)</w:t>
      </w:r>
      <w:r>
        <w:tab/>
      </w:r>
      <w:r>
        <w:fldChar w:fldCharType="begin"/>
      </w:r>
      <w:r>
        <w:instrText xml:space="preserve"> PAGEREF _Toc485913651 \h </w:instrText>
      </w:r>
      <w:r>
        <w:fldChar w:fldCharType="separate"/>
      </w:r>
      <w:r>
        <w:t>80</w:t>
      </w:r>
      <w:r>
        <w:fldChar w:fldCharType="end"/>
      </w:r>
    </w:p>
    <w:p w:rsidR="003A3647" w:rsidRDefault="003A3647">
      <w:pPr>
        <w:pStyle w:val="TOC2"/>
        <w:rPr>
          <w:rFonts w:asciiTheme="minorHAnsi" w:eastAsiaTheme="minorEastAsia" w:hAnsiTheme="minorHAnsi" w:cstheme="minorBidi"/>
          <w:sz w:val="22"/>
          <w:szCs w:val="22"/>
          <w:lang w:bidi="ar-SA"/>
        </w:rPr>
      </w:pPr>
      <w:r>
        <w:t>30.</w:t>
      </w:r>
      <w:r>
        <w:rPr>
          <w:rFonts w:asciiTheme="minorHAnsi" w:eastAsiaTheme="minorEastAsia" w:hAnsiTheme="minorHAnsi" w:cstheme="minorBidi"/>
          <w:sz w:val="22"/>
          <w:szCs w:val="22"/>
          <w:lang w:bidi="ar-SA"/>
        </w:rPr>
        <w:tab/>
      </w:r>
      <w:r>
        <w:t>A sajáttőke-változások kimutatása (46.)</w:t>
      </w:r>
      <w:r>
        <w:tab/>
      </w:r>
      <w:r>
        <w:fldChar w:fldCharType="begin"/>
      </w:r>
      <w:r>
        <w:instrText xml:space="preserve"> PAGEREF _Toc485913652 \h </w:instrText>
      </w:r>
      <w:r>
        <w:fldChar w:fldCharType="separate"/>
      </w:r>
      <w:r>
        <w:t>81</w:t>
      </w:r>
      <w:r>
        <w:fldChar w:fldCharType="end"/>
      </w:r>
    </w:p>
    <w:p w:rsidR="003A3647" w:rsidRDefault="003A3647">
      <w:pPr>
        <w:pStyle w:val="TOC1"/>
        <w:tabs>
          <w:tab w:val="right" w:leader="dot" w:pos="8296"/>
        </w:tabs>
        <w:rPr>
          <w:rFonts w:asciiTheme="minorHAnsi" w:eastAsiaTheme="minorEastAsia" w:hAnsiTheme="minorHAnsi" w:cstheme="minorBidi"/>
          <w:b w:val="0"/>
          <w:noProof/>
          <w:sz w:val="22"/>
          <w:szCs w:val="22"/>
          <w:lang w:bidi="ar-SA"/>
        </w:rPr>
      </w:pPr>
      <w:r>
        <w:rPr>
          <w:noProof/>
        </w:rPr>
        <w:t>A kitettségi osztályok és ügyfélszektorok megfeleltetése</w:t>
      </w:r>
      <w:r>
        <w:rPr>
          <w:noProof/>
        </w:rPr>
        <w:tab/>
      </w:r>
      <w:r>
        <w:rPr>
          <w:noProof/>
        </w:rPr>
        <w:fldChar w:fldCharType="begin"/>
      </w:r>
      <w:r>
        <w:rPr>
          <w:noProof/>
        </w:rPr>
        <w:instrText xml:space="preserve"> PAGEREF _Toc485913653 \h </w:instrText>
      </w:r>
      <w:r>
        <w:rPr>
          <w:noProof/>
        </w:rPr>
      </w:r>
      <w:r>
        <w:rPr>
          <w:noProof/>
        </w:rPr>
        <w:fldChar w:fldCharType="separate"/>
      </w:r>
      <w:r>
        <w:rPr>
          <w:noProof/>
        </w:rPr>
        <w:t>81</w:t>
      </w:r>
      <w:r>
        <w:rPr>
          <w:noProof/>
        </w:rPr>
        <w:fldChar w:fldCharType="end"/>
      </w:r>
    </w:p>
    <w:p w:rsidR="00874A40" w:rsidRDefault="00861E9B">
      <w:pPr>
        <w:spacing w:after="0"/>
        <w:rPr>
          <w:rFonts w:asciiTheme="minorHAnsi" w:eastAsiaTheme="minorEastAsia" w:hAnsiTheme="minorHAnsi" w:cstheme="minorBidi"/>
          <w:noProof/>
          <w:szCs w:val="22"/>
        </w:rPr>
        <w:sectPr w:rsidR="00874A40" w:rsidSect="009569C7">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titlePg/>
          <w:docGrid w:linePitch="360"/>
        </w:sectPr>
      </w:pPr>
      <w:r>
        <w:fldChar w:fldCharType="end"/>
      </w:r>
    </w:p>
    <w:p w:rsidR="009569C7" w:rsidRPr="00EC4FA2" w:rsidRDefault="009569C7">
      <w:pPr>
        <w:spacing w:after="0"/>
      </w:pPr>
    </w:p>
    <w:p w:rsidR="009569C7" w:rsidRPr="00EC4FA2" w:rsidRDefault="009569C7">
      <w:pPr>
        <w:spacing w:after="0"/>
      </w:pPr>
    </w:p>
    <w:p w:rsidR="009569C7" w:rsidRPr="00EC4FA2" w:rsidRDefault="00A834F1" w:rsidP="009569C7">
      <w:pPr>
        <w:jc w:val="center"/>
        <w:rPr>
          <w:rFonts w:ascii="Times New Roman" w:hAnsi="Times New Roman"/>
          <w:b/>
          <w:sz w:val="24"/>
          <w:szCs w:val="24"/>
        </w:rPr>
      </w:pPr>
      <w:bookmarkStart w:id="2" w:name="_Toc361844198"/>
      <w:r>
        <w:rPr>
          <w:rFonts w:ascii="Times New Roman" w:hAnsi="Times New Roman"/>
          <w:b/>
          <w:sz w:val="24"/>
        </w:rPr>
        <w:t>1. RÉSZ</w:t>
      </w:r>
      <w:bookmarkEnd w:id="2"/>
    </w:p>
    <w:p w:rsidR="009569C7" w:rsidRPr="00EC4FA2" w:rsidRDefault="00A834F1" w:rsidP="009569C7">
      <w:pPr>
        <w:pStyle w:val="Heading1"/>
      </w:pPr>
      <w:bookmarkStart w:id="3" w:name="_Toc362359270"/>
      <w:bookmarkStart w:id="4" w:name="_Toc467855193"/>
      <w:bookmarkStart w:id="5" w:name="_Toc485913570"/>
      <w:r>
        <w:t>Általános útmutató</w:t>
      </w:r>
      <w:bookmarkEnd w:id="3"/>
      <w:bookmarkEnd w:id="4"/>
      <w:bookmarkEnd w:id="5"/>
    </w:p>
    <w:p w:rsidR="009569C7" w:rsidRPr="00EC4FA2" w:rsidRDefault="00A834F1" w:rsidP="009569C7">
      <w:pPr>
        <w:pStyle w:val="subtitlenumbered"/>
        <w:numPr>
          <w:ilvl w:val="0"/>
          <w:numId w:val="17"/>
        </w:numPr>
        <w:jc w:val="both"/>
      </w:pPr>
      <w:bookmarkStart w:id="6" w:name="_Toc362359271"/>
      <w:bookmarkStart w:id="7" w:name="_Toc467855194"/>
      <w:bookmarkStart w:id="8" w:name="_Toc485913571"/>
      <w:bookmarkStart w:id="9" w:name="_Toc361844199"/>
      <w:r>
        <w:t>Hivatkozások</w:t>
      </w:r>
      <w:bookmarkEnd w:id="6"/>
      <w:bookmarkEnd w:id="7"/>
      <w:bookmarkEnd w:id="8"/>
    </w:p>
    <w:bookmarkEnd w:id="9"/>
    <w:p w:rsidR="009569C7" w:rsidRPr="00EC4FA2" w:rsidRDefault="00A834F1" w:rsidP="009569C7">
      <w:pPr>
        <w:pStyle w:val="Baseparagraphnumbered"/>
      </w:pPr>
      <w:r>
        <w:t xml:space="preserve">Ez a melléklet a jelen rendelet III. és IV. mellékletében szereplő pénzügyi információkra vonatkozó táblákkal (a továbbiakban: „FINREP”) kapcsolatos további útmutatást tartalmaz. Ez a melléklet kiegészíti a III. és IV. melléklet tábláiban hivatkozások formájában szereplő útmutatást. </w:t>
      </w:r>
    </w:p>
    <w:p w:rsidR="009569C7" w:rsidRPr="00EC4FA2" w:rsidRDefault="00A834F1" w:rsidP="009569C7">
      <w:pPr>
        <w:pStyle w:val="Baseparagraphnumbered"/>
      </w:pPr>
      <w:r>
        <w:t xml:space="preserve">Azon intézményeknek, amelyek az </w:t>
      </w:r>
      <w:proofErr w:type="spellStart"/>
      <w:r>
        <w:t>IFRS-sel</w:t>
      </w:r>
      <w:proofErr w:type="spellEnd"/>
      <w:r>
        <w:t xml:space="preserve"> kompatibilis nemzeti számviteli standardokat használnak (a továbbiakban: kompatibilis nemzeti GAAP), eltérő rendelkezés hiányában az e mellékletben ismertetett közös útmutatásokat és az </w:t>
      </w:r>
      <w:proofErr w:type="spellStart"/>
      <w:r>
        <w:t>IFRS-útmutatásokat</w:t>
      </w:r>
      <w:proofErr w:type="spellEnd"/>
      <w:r>
        <w:t xml:space="preserve"> kell alkalmazniuk. Ez nem érinti a kompatibilis nemzeti GAAP előírásainak a BAD előírásaival való összhangját. Azon intézményeknek, amelyek az </w:t>
      </w:r>
      <w:proofErr w:type="spellStart"/>
      <w:r>
        <w:t>IFRS-sel</w:t>
      </w:r>
      <w:proofErr w:type="spellEnd"/>
      <w:r>
        <w:t xml:space="preserve"> nem kompatibilis </w:t>
      </w:r>
      <w:proofErr w:type="spellStart"/>
      <w:r>
        <w:t>GAAP-ot</w:t>
      </w:r>
      <w:proofErr w:type="spellEnd"/>
      <w:r>
        <w:t xml:space="preserve"> használnak vagy azt még nem hangolták össze az IFRS 9 előírásaival, eltérő rendelkezés hiányában az e mellékletben ismertetett közös útmutatásokat és a </w:t>
      </w:r>
      <w:proofErr w:type="spellStart"/>
      <w:r>
        <w:t>BAD-útmutatásokat</w:t>
      </w:r>
      <w:proofErr w:type="spellEnd"/>
      <w:r>
        <w:t xml:space="preserve"> kell alkalmazniuk.</w:t>
      </w:r>
    </w:p>
    <w:p w:rsidR="009569C7" w:rsidRPr="00EC4FA2" w:rsidRDefault="00A834F1" w:rsidP="009569C7">
      <w:pPr>
        <w:pStyle w:val="Baseparagraphnumbered"/>
      </w:pPr>
      <w:r>
        <w:t>A táblákban meghatározott adatpontokat az 575/2013/EU rendelet 4. cikke (1) bekezdésének 77. pontja szerint alkalmazandó számviteli szabályozás megjelenítésre, beszámításra és értékelésre vonatkozó szabályaival összhangban kell előállítani.</w:t>
      </w:r>
    </w:p>
    <w:p w:rsidR="009569C7" w:rsidRPr="00EC4FA2" w:rsidRDefault="00A834F1" w:rsidP="009569C7">
      <w:pPr>
        <w:pStyle w:val="Baseparagraphnumbered"/>
      </w:pPr>
      <w:r>
        <w:t xml:space="preserve">Az </w:t>
      </w:r>
      <w:proofErr w:type="gramStart"/>
      <w:r>
        <w:t>intézményeknek</w:t>
      </w:r>
      <w:proofErr w:type="gramEnd"/>
      <w:r>
        <w:t xml:space="preserve"> a tábláknak csak a következőkre vonatkozó részeit kell benyújtaniuk:</w:t>
      </w:r>
    </w:p>
    <w:p w:rsidR="009569C7" w:rsidRPr="00EC4FA2" w:rsidRDefault="00A834F1" w:rsidP="009569C7">
      <w:pPr>
        <w:pStyle w:val="Baseparagraphnumbered"/>
        <w:numPr>
          <w:ilvl w:val="0"/>
          <w:numId w:val="29"/>
        </w:numPr>
        <w:ind w:left="1134" w:hanging="426"/>
      </w:pPr>
      <w:r>
        <w:t>az intézmény által megjelenített eszközök, kötelezettségek, saját tőke, bevételek és kiadások;</w:t>
      </w:r>
    </w:p>
    <w:p w:rsidR="009569C7" w:rsidRPr="00EC4FA2" w:rsidRDefault="00A834F1" w:rsidP="009569C7">
      <w:pPr>
        <w:pStyle w:val="Baseparagraphnumbered"/>
        <w:numPr>
          <w:ilvl w:val="0"/>
          <w:numId w:val="29"/>
        </w:numPr>
        <w:ind w:left="1134" w:hanging="426"/>
      </w:pPr>
      <w:r>
        <w:t>mérlegen kívüli kitettségek és olyan tevékenységek, amelyekben az intézmény érintett;</w:t>
      </w:r>
    </w:p>
    <w:p w:rsidR="009569C7" w:rsidRPr="00EC4FA2" w:rsidRDefault="00A834F1" w:rsidP="009569C7">
      <w:pPr>
        <w:pStyle w:val="Baseparagraphnumbered"/>
        <w:numPr>
          <w:ilvl w:val="0"/>
          <w:numId w:val="29"/>
        </w:numPr>
        <w:ind w:left="1134" w:hanging="426"/>
      </w:pPr>
      <w:r>
        <w:t>az intézmény által végrehajtott tranzakciók;</w:t>
      </w:r>
    </w:p>
    <w:p w:rsidR="009569C7" w:rsidRPr="00EC4FA2" w:rsidRDefault="00A834F1" w:rsidP="009569C7">
      <w:pPr>
        <w:pStyle w:val="Baseparagraphnumbered"/>
        <w:numPr>
          <w:ilvl w:val="0"/>
          <w:numId w:val="29"/>
        </w:numPr>
        <w:ind w:left="1134" w:hanging="425"/>
      </w:pPr>
      <w:r>
        <w:t>értékelési előírások, beleértve a hitelkockázat után elszámolt értékvesztés becslésére az intézmény által alkalmazott módszert.</w:t>
      </w:r>
    </w:p>
    <w:p w:rsidR="009569C7" w:rsidRPr="00EC4FA2" w:rsidRDefault="00A834F1" w:rsidP="009569C7">
      <w:pPr>
        <w:pStyle w:val="Baseparagraphnumbered"/>
        <w:ind w:left="1134"/>
      </w:pPr>
      <w:r>
        <w:t>A III. és a IV. melléklet, valamint a jelen melléklet alkalmazásában is a következő rövidítések kerülnek alkalmazásra:</w:t>
      </w:r>
    </w:p>
    <w:p w:rsidR="009569C7" w:rsidRPr="00EC4FA2" w:rsidRDefault="00A834F1" w:rsidP="00152278">
      <w:pPr>
        <w:pStyle w:val="ListParagraph"/>
        <w:numPr>
          <w:ilvl w:val="0"/>
          <w:numId w:val="28"/>
        </w:numPr>
        <w:spacing w:after="240" w:line="240" w:lineRule="auto"/>
        <w:contextualSpacing w:val="0"/>
        <w:jc w:val="both"/>
        <w:rPr>
          <w:rFonts w:ascii="Times New Roman" w:hAnsi="Times New Roman"/>
          <w:sz w:val="24"/>
          <w:szCs w:val="24"/>
        </w:rPr>
      </w:pPr>
      <w:r>
        <w:rPr>
          <w:rFonts w:ascii="Times New Roman" w:hAnsi="Times New Roman"/>
          <w:sz w:val="24"/>
        </w:rPr>
        <w:t>„CRR”: az 575/2013/EU rendelet;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lastRenderedPageBreak/>
        <w:t xml:space="preserve"> „IAS” vagy „IFRS”: az 1606/2002/EK rendelet</w:t>
      </w:r>
      <w:r>
        <w:rPr>
          <w:rStyle w:val="FootnoteReference"/>
          <w:rFonts w:ascii="Times New Roman" w:hAnsi="Times New Roman"/>
          <w:sz w:val="24"/>
        </w:rPr>
        <w:footnoteReference w:id="2"/>
      </w:r>
      <w:r>
        <w:rPr>
          <w:rFonts w:ascii="Times New Roman" w:hAnsi="Times New Roman"/>
          <w:sz w:val="24"/>
        </w:rPr>
        <w:t xml:space="preserve"> (IAS rendelet) 2. cikkében meghatározott, a Bizottság által elfogadott nemzetközi számviteli standardok;</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 xml:space="preserve"> „EKB BSI rendelet” vagy „EKB/2013/33”: </w:t>
      </w:r>
      <w:bookmarkStart w:id="10" w:name="OLE_LINK2"/>
      <w:r>
        <w:rPr>
          <w:rFonts w:ascii="Times New Roman" w:hAnsi="Times New Roman"/>
          <w:sz w:val="24"/>
        </w:rPr>
        <w:t xml:space="preserve">az Európai Központi Bank 1071/2013/EU </w:t>
      </w:r>
      <w:proofErr w:type="gramStart"/>
      <w:r>
        <w:rPr>
          <w:rFonts w:ascii="Times New Roman" w:hAnsi="Times New Roman"/>
          <w:sz w:val="24"/>
        </w:rPr>
        <w:t>rendelete</w:t>
      </w:r>
      <w:r>
        <w:rPr>
          <w:rStyle w:val="FootnoteReference"/>
          <w:rFonts w:ascii="Times New Roman" w:hAnsi="Times New Roman"/>
          <w:sz w:val="24"/>
        </w:rPr>
        <w:footnoteReference w:id="3"/>
      </w:r>
      <w:r>
        <w:rPr>
          <w:rFonts w:ascii="Times New Roman" w:hAnsi="Times New Roman"/>
          <w:sz w:val="24"/>
        </w:rPr>
        <w:t>;</w:t>
      </w:r>
      <w:proofErr w:type="gramEnd"/>
      <w:r>
        <w:rPr>
          <w:rFonts w:ascii="Times New Roman" w:hAnsi="Times New Roman"/>
          <w:sz w:val="24"/>
        </w:rPr>
        <w:t xml:space="preserve"> </w:t>
      </w:r>
      <w:bookmarkEnd w:id="10"/>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NACE-rendelet</w:t>
      </w:r>
      <w:proofErr w:type="spellEnd"/>
      <w:r>
        <w:rPr>
          <w:rFonts w:ascii="Times New Roman" w:hAnsi="Times New Roman"/>
          <w:sz w:val="24"/>
        </w:rPr>
        <w:t xml:space="preserve">”: az Európai Parlament és a Tanács 1893/2006/EK </w:t>
      </w:r>
      <w:proofErr w:type="gramStart"/>
      <w:r>
        <w:rPr>
          <w:rFonts w:ascii="Times New Roman" w:hAnsi="Times New Roman"/>
          <w:sz w:val="24"/>
        </w:rPr>
        <w:t>rendelete</w:t>
      </w:r>
      <w:r>
        <w:rPr>
          <w:rStyle w:val="FootnoteReference"/>
          <w:rFonts w:ascii="Times New Roman" w:hAnsi="Times New Roman"/>
          <w:sz w:val="24"/>
        </w:rPr>
        <w:footnoteReference w:id="4"/>
      </w:r>
      <w:r>
        <w:rPr>
          <w:rFonts w:ascii="Times New Roman" w:hAnsi="Times New Roman"/>
          <w:sz w:val="24"/>
        </w:rPr>
        <w:t>;</w:t>
      </w:r>
      <w:proofErr w:type="gramEnd"/>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80"/>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NACE-kódok</w:t>
      </w:r>
      <w:proofErr w:type="spellEnd"/>
      <w:r>
        <w:rPr>
          <w:rFonts w:ascii="Times New Roman" w:hAnsi="Times New Roman"/>
          <w:sz w:val="24"/>
        </w:rPr>
        <w:t xml:space="preserve">”: a </w:t>
      </w:r>
      <w:proofErr w:type="spellStart"/>
      <w:r>
        <w:rPr>
          <w:rFonts w:ascii="Times New Roman" w:hAnsi="Times New Roman"/>
          <w:sz w:val="24"/>
        </w:rPr>
        <w:t>NACE-rendelet</w:t>
      </w:r>
      <w:proofErr w:type="spellEnd"/>
      <w:r>
        <w:rPr>
          <w:rFonts w:ascii="Times New Roman" w:hAnsi="Times New Roman"/>
          <w:sz w:val="24"/>
        </w:rPr>
        <w:t xml:space="preserve"> szerinti kódok;</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„BAD”: a 86/635/EGK tanácsi </w:t>
      </w:r>
      <w:proofErr w:type="gramStart"/>
      <w:r>
        <w:rPr>
          <w:rFonts w:ascii="Times New Roman" w:hAnsi="Times New Roman"/>
          <w:sz w:val="24"/>
        </w:rPr>
        <w:t>irányelv</w:t>
      </w:r>
      <w:r>
        <w:rPr>
          <w:rFonts w:ascii="Times New Roman" w:hAnsi="Times New Roman"/>
          <w:sz w:val="24"/>
          <w:vertAlign w:val="superscript"/>
        </w:rPr>
        <w:footnoteReference w:id="5"/>
      </w:r>
      <w:r>
        <w:rPr>
          <w:rFonts w:ascii="Times New Roman" w:hAnsi="Times New Roman"/>
          <w:sz w:val="24"/>
        </w:rPr>
        <w:t>;</w:t>
      </w:r>
      <w:proofErr w:type="gramEnd"/>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 xml:space="preserve">„Számviteli irányelv”; a 2013/34/EU </w:t>
      </w:r>
      <w:proofErr w:type="gramStart"/>
      <w:r>
        <w:rPr>
          <w:rFonts w:ascii="Times New Roman" w:hAnsi="Times New Roman"/>
          <w:sz w:val="24"/>
        </w:rPr>
        <w:t>irányelv</w:t>
      </w:r>
      <w:r>
        <w:rPr>
          <w:rFonts w:ascii="Times New Roman" w:hAnsi="Times New Roman"/>
          <w:sz w:val="24"/>
          <w:vertAlign w:val="superscript"/>
        </w:rPr>
        <w:footnoteReference w:id="6"/>
      </w:r>
      <w:r>
        <w:rPr>
          <w:rFonts w:ascii="Times New Roman" w:hAnsi="Times New Roman"/>
          <w:sz w:val="24"/>
        </w:rPr>
        <w:t>;</w:t>
      </w:r>
      <w:proofErr w:type="gramEnd"/>
      <w:r>
        <w:rPr>
          <w:rFonts w:ascii="Times New Roman" w:hAnsi="Times New Roman"/>
          <w:sz w:val="24"/>
        </w:rPr>
        <w:t xml:space="preserve"> </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„nemzeti GAAP”: a BAD alapján kidolgozott, általánosan elfogadott nemzeti számviteli szabályozás;</w:t>
      </w:r>
    </w:p>
    <w:p w:rsidR="009569C7" w:rsidRPr="00EC4FA2" w:rsidRDefault="00A834F1" w:rsidP="009569C7">
      <w:pPr>
        <w:pStyle w:val="ListParagraph"/>
        <w:numPr>
          <w:ilvl w:val="0"/>
          <w:numId w:val="28"/>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rPr>
        <w:t xml:space="preserve">„KKV”: a </w:t>
      </w:r>
      <w:proofErr w:type="gramStart"/>
      <w:r>
        <w:rPr>
          <w:rFonts w:ascii="Times New Roman" w:hAnsi="Times New Roman"/>
          <w:sz w:val="24"/>
        </w:rPr>
        <w:t>C(</w:t>
      </w:r>
      <w:proofErr w:type="gramEnd"/>
      <w:r>
        <w:rPr>
          <w:rFonts w:ascii="Times New Roman" w:hAnsi="Times New Roman"/>
          <w:sz w:val="24"/>
        </w:rPr>
        <w:t>2003)1422 bizottsági ajánlás</w:t>
      </w:r>
      <w:r>
        <w:rPr>
          <w:rFonts w:ascii="Times New Roman" w:hAnsi="Times New Roman"/>
          <w:sz w:val="24"/>
          <w:vertAlign w:val="superscript"/>
        </w:rPr>
        <w:footnoteReference w:id="7"/>
      </w:r>
      <w:r>
        <w:rPr>
          <w:rFonts w:ascii="Times New Roman" w:hAnsi="Times New Roman"/>
          <w:sz w:val="24"/>
        </w:rPr>
        <w:t xml:space="preserve"> és az abban meghatározott mikro-, kis- és középvállalkozások;</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ISIN-kód</w:t>
      </w:r>
      <w:proofErr w:type="spellEnd"/>
      <w:r>
        <w:rPr>
          <w:rFonts w:ascii="Times New Roman" w:hAnsi="Times New Roman"/>
          <w:sz w:val="24"/>
        </w:rPr>
        <w:t xml:space="preserve">”: az értékpapírokhoz rendelt 12 alfanumerikus karakterből álló nemzetközi értékpapírkód (International </w:t>
      </w:r>
      <w:proofErr w:type="spellStart"/>
      <w:r>
        <w:rPr>
          <w:rFonts w:ascii="Times New Roman" w:hAnsi="Times New Roman"/>
          <w:sz w:val="24"/>
        </w:rPr>
        <w:t>Securities</w:t>
      </w:r>
      <w:proofErr w:type="spellEnd"/>
      <w:r>
        <w:rPr>
          <w:rFonts w:ascii="Times New Roman" w:hAnsi="Times New Roman"/>
          <w:sz w:val="24"/>
        </w:rPr>
        <w:t xml:space="preserve">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amely egyedileg azonosítja a forgalomban lévő értékpapírokat;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LEI-kód</w:t>
      </w:r>
      <w:proofErr w:type="spellEnd"/>
      <w:r>
        <w:rPr>
          <w:rFonts w:ascii="Times New Roman" w:hAnsi="Times New Roman"/>
          <w:sz w:val="24"/>
        </w:rPr>
        <w:t>”: az intézményekhez rendelt globális jogalany-azonosító, amely egyedileg azonosítja a pénzügyi tranzakciókban részt vevő feleket;</w:t>
      </w:r>
    </w:p>
    <w:p w:rsidR="009569C7" w:rsidRPr="00EC4FA2" w:rsidRDefault="00A834F1" w:rsidP="009569C7">
      <w:pPr>
        <w:pStyle w:val="ListParagraph"/>
        <w:numPr>
          <w:ilvl w:val="0"/>
          <w:numId w:val="28"/>
        </w:numPr>
        <w:spacing w:after="240" w:line="240" w:lineRule="auto"/>
        <w:ind w:left="1134" w:hanging="426"/>
        <w:contextualSpacing w:val="0"/>
        <w:jc w:val="both"/>
        <w:rPr>
          <w:rFonts w:ascii="Times New Roman" w:hAnsi="Times New Roman"/>
          <w:sz w:val="24"/>
          <w:szCs w:val="24"/>
        </w:rPr>
      </w:pPr>
      <w:bookmarkStart w:id="11" w:name="_Toc361844200"/>
      <w:r>
        <w:rPr>
          <w:rFonts w:ascii="Times New Roman" w:hAnsi="Times New Roman"/>
          <w:sz w:val="24"/>
        </w:rPr>
        <w:lastRenderedPageBreak/>
        <w:t xml:space="preserve">„Értékvesztési szakaszok”: az IFRS 9 5.5. bekezdésében meghatározott értékvesztési kategóriák. Az 1. szakasz az IFRS 9 5.5.5. bekezdésének megfelelően értékelt értékvesztésre vonatkozik. A 2. szakasz az IFRS 9 5.5.3. bekezdésének megfelelően értékelt értékvesztésre vonatkozik. A 3. szakasz az IFRS 9 </w:t>
      </w:r>
      <w:proofErr w:type="gramStart"/>
      <w:r>
        <w:rPr>
          <w:rFonts w:ascii="Times New Roman" w:hAnsi="Times New Roman"/>
          <w:sz w:val="24"/>
        </w:rPr>
        <w:t>A</w:t>
      </w:r>
      <w:proofErr w:type="gramEnd"/>
      <w:r>
        <w:rPr>
          <w:rFonts w:ascii="Times New Roman" w:hAnsi="Times New Roman"/>
          <w:sz w:val="24"/>
        </w:rPr>
        <w:t>. függelékében meghatározott értékvesztett eszközök értékvesztésére vonatkozik.</w:t>
      </w:r>
    </w:p>
    <w:p w:rsidR="009569C7" w:rsidRPr="00EC4FA2" w:rsidRDefault="00A834F1" w:rsidP="009569C7">
      <w:pPr>
        <w:pStyle w:val="subtitlenumbered"/>
        <w:numPr>
          <w:ilvl w:val="0"/>
          <w:numId w:val="17"/>
        </w:numPr>
        <w:jc w:val="both"/>
      </w:pPr>
      <w:bookmarkStart w:id="12" w:name="_Toc362359272"/>
      <w:bookmarkStart w:id="13" w:name="_Toc467855195"/>
      <w:bookmarkStart w:id="14" w:name="_Toc485913572"/>
      <w:r>
        <w:t>Jelölési szabályok</w:t>
      </w:r>
      <w:bookmarkEnd w:id="12"/>
      <w:bookmarkEnd w:id="13"/>
      <w:bookmarkEnd w:id="14"/>
    </w:p>
    <w:bookmarkEnd w:id="11"/>
    <w:p w:rsidR="009569C7" w:rsidRPr="00EC4FA2" w:rsidRDefault="00A834F1" w:rsidP="009569C7">
      <w:pPr>
        <w:pStyle w:val="Baseparagraphnumbered"/>
      </w:pPr>
      <w:r>
        <w:t>A III. melléklet és a IV. melléklet alkalmazásában a szürke háttérszínnel jelölt adatpont (cella) azt jelenti, hogy az adott adatpont (cella) kitöltése nem szükséges, vagy arra vonatkozóan nem lehet adatot szolgáltatni. A IV. mellékletben fekete háttérszínű hivatkozásokkal jelölt sor vagy oszlop azt jelenti, hogy a kapcsolódó adatpontokat nem kell jelenteniük azoknak az intézményeknek, amelyek az adott sorban vagy oszlopban feltüntetett hivatkozásokat követik.</w:t>
      </w:r>
    </w:p>
    <w:p w:rsidR="009569C7" w:rsidRPr="00EC4FA2" w:rsidRDefault="00A834F1" w:rsidP="009569C7">
      <w:pPr>
        <w:pStyle w:val="Baseparagraphnumbered"/>
      </w:pPr>
      <w:r>
        <w:t>A III. és IV. mellékletben szereplő táblák implicit ellenőrzési szabályokat tartalmaznak, amelyek magukban a táblákban a jelölési szabályok használatán keresztül kerülnek meghatározásra.</w:t>
      </w:r>
    </w:p>
    <w:p w:rsidR="009569C7" w:rsidRPr="00EC4FA2" w:rsidRDefault="00A834F1" w:rsidP="009569C7">
      <w:pPr>
        <w:pStyle w:val="Baseparagraphnumbered"/>
      </w:pPr>
      <w:r>
        <w:t>Egy táblában szereplő valamely tétel megnevezésében a zárójelek használata azt jelenti, hogy az adott tételt le kell vonni ahhoz, hogy megkapjuk az „összesen” értéket, de nem jelenti azt, hogy az adott tételt negatív értékként kell megjeleníteni.</w:t>
      </w:r>
    </w:p>
    <w:p w:rsidR="009569C7" w:rsidRPr="00EC4FA2" w:rsidRDefault="00A834F1" w:rsidP="009569C7">
      <w:pPr>
        <w:pStyle w:val="Baseparagraphnumbered"/>
      </w:pPr>
      <w:r>
        <w:t>A negatív értékként megjelenítendő tételeket a táblák a megnevezés előtt „(–)” jellel jelölik, például „(–) Saját részvények”.</w:t>
      </w:r>
    </w:p>
    <w:p w:rsidR="009569C7" w:rsidRPr="00EC4FA2" w:rsidRDefault="00A834F1" w:rsidP="009569C7">
      <w:pPr>
        <w:pStyle w:val="Baseparagraphnumbered"/>
      </w:pPr>
      <w:r>
        <w:t xml:space="preserve">A III. és IV. melléklet pénzügyi információk jelentésére szolgáló tábláihoz tartozó „Adatmodellben” (a továbbiakban: DPM – Data </w:t>
      </w:r>
      <w:proofErr w:type="spellStart"/>
      <w:r>
        <w:t>Point</w:t>
      </w:r>
      <w:proofErr w:type="spellEnd"/>
      <w:r>
        <w:t xml:space="preserve"> </w:t>
      </w:r>
      <w:proofErr w:type="spellStart"/>
      <w:r>
        <w:t>Model</w:t>
      </w:r>
      <w:proofErr w:type="spellEnd"/>
      <w:r>
        <w:t>) minden adatpont (cella) rendelkezik egy „bázis tétellel”, amelyhez a „tartozik/követel” jellemző kerül hozzárendelésre. Ez a hozzárendelés biztosítja, hogy az összes adatszolgáltató intézmény kövesse az előjelekre vonatkozó szabályokat, és segítségével megismerhető az egyes adatokhoz rendelt „</w:t>
      </w:r>
      <w:r w:rsidR="00C35B6F">
        <w:t>követel</w:t>
      </w:r>
      <w:r>
        <w:t>/</w:t>
      </w:r>
      <w:r w:rsidR="00C35B6F">
        <w:t>tartozik</w:t>
      </w:r>
      <w:r>
        <w:t xml:space="preserve">” jellemző. </w:t>
      </w:r>
    </w:p>
    <w:p w:rsidR="009569C7" w:rsidRPr="00EC4FA2" w:rsidRDefault="00A834F1" w:rsidP="009569C7">
      <w:pPr>
        <w:pStyle w:val="Baseparagraphnumbered"/>
      </w:pPr>
      <w:r>
        <w:t>Sematikusan ez a jelölési mód az 1. táblázatban bemutatottak szerint működik.</w:t>
      </w:r>
    </w:p>
    <w:p w:rsidR="009569C7" w:rsidRPr="00EC4FA2" w:rsidRDefault="00A834F1" w:rsidP="009569C7">
      <w:pPr>
        <w:keepNext/>
        <w:jc w:val="both"/>
        <w:rPr>
          <w:rFonts w:ascii="Times New Roman" w:hAnsi="Times New Roman"/>
          <w:bCs/>
          <w:i/>
          <w:sz w:val="24"/>
          <w:szCs w:val="24"/>
        </w:rPr>
      </w:pPr>
      <w:r>
        <w:rPr>
          <w:rFonts w:ascii="Times New Roman" w:hAnsi="Times New Roman"/>
          <w:i/>
          <w:sz w:val="24"/>
        </w:rPr>
        <w:t>1. táblázat: „</w:t>
      </w:r>
      <w:r w:rsidR="00C35B6F">
        <w:rPr>
          <w:rFonts w:ascii="Times New Roman" w:hAnsi="Times New Roman"/>
          <w:i/>
          <w:sz w:val="24"/>
        </w:rPr>
        <w:t>Követel/t</w:t>
      </w:r>
      <w:r>
        <w:rPr>
          <w:rFonts w:ascii="Times New Roman" w:hAnsi="Times New Roman"/>
          <w:i/>
          <w:sz w:val="24"/>
        </w:rPr>
        <w:t>artozik” jelölés, pozitív és negatív előjelek</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Elem</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Követel</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/Tartozik</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Egyenleg</w:t>
            </w:r>
          </w:p>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/Változás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EC4FA2"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rPr>
              <w:t>Jelentett adat</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Tartozik</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egyenlege</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ind w:left="-360" w:firstLine="36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Eszközök csökkenése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egyenlege</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Ráfordítások csökkenése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r w:rsidR="005F4BF4"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w:t>
            </w:r>
          </w:p>
        </w:tc>
        <w:tc>
          <w:tcPr>
            <w:tcW w:w="992" w:type="dxa"/>
            <w:vMerge w:val="restart"/>
            <w:tcBorders>
              <w:top w:val="single" w:sz="12" w:space="0" w:color="auto"/>
              <w:left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Követel</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 egyenlege</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Kötelezettségek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Kötelezettségek csökkenése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 egyenlege</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jc w:val="both"/>
              <w:rPr>
                <w:rFonts w:ascii="Times New Roman" w:hAnsi="Times New Roman"/>
                <w:szCs w:val="22"/>
              </w:rPr>
            </w:pPr>
            <w:r>
              <w:rPr>
                <w:rFonts w:ascii="Times New Roman" w:hAnsi="Times New Roman"/>
              </w:rPr>
              <w:t>Saját tőke negatív egyenlege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r w:rsidR="005F4BF4"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Saját tőke csökkenése</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r w:rsidR="005F4BF4"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w:t>
            </w: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egyenlege</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növekedése</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Pozitív                                             (</w:t>
            </w:r>
            <w:proofErr w:type="gramEnd"/>
            <w:r>
              <w:rPr>
                <w:rFonts w:ascii="Times New Roman" w:hAnsi="Times New Roman"/>
              </w:rPr>
              <w:t>„Normál”, előjel nem szükséges)</w:t>
            </w:r>
          </w:p>
        </w:tc>
      </w:tr>
      <w:tr w:rsidR="005F4BF4" w:rsidTr="009569C7">
        <w:trPr>
          <w:trHeight w:val="557"/>
        </w:trPr>
        <w:tc>
          <w:tcPr>
            <w:tcW w:w="1134" w:type="dxa"/>
            <w:vMerge/>
            <w:tcBorders>
              <w:left w:val="single" w:sz="12"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9569C7" w:rsidRPr="00EC4FA2"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negatív egyenlege (visszaírásokkal együtt)</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r w:rsidR="005F4BF4"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9569C7" w:rsidRPr="00F338AD" w:rsidRDefault="009569C7" w:rsidP="009569C7">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EC4FA2" w:rsidRDefault="00A834F1" w:rsidP="009569C7">
            <w:pPr>
              <w:autoSpaceDE w:val="0"/>
              <w:autoSpaceDN w:val="0"/>
              <w:adjustRightInd w:val="0"/>
              <w:spacing w:after="0"/>
              <w:jc w:val="both"/>
              <w:rPr>
                <w:rFonts w:ascii="Times New Roman" w:hAnsi="Times New Roman"/>
                <w:szCs w:val="22"/>
              </w:rPr>
            </w:pPr>
            <w:r>
              <w:rPr>
                <w:rFonts w:ascii="Times New Roman" w:hAnsi="Times New Roman"/>
              </w:rPr>
              <w:t>Bevételek csökkenése</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F338AD" w:rsidRDefault="00A834F1" w:rsidP="009569C7">
            <w:pPr>
              <w:autoSpaceDE w:val="0"/>
              <w:autoSpaceDN w:val="0"/>
              <w:adjustRightInd w:val="0"/>
              <w:spacing w:after="0"/>
              <w:jc w:val="both"/>
              <w:rPr>
                <w:rFonts w:ascii="Times New Roman" w:hAnsi="Times New Roman"/>
                <w:szCs w:val="22"/>
              </w:rPr>
            </w:pPr>
            <w:proofErr w:type="gramStart"/>
            <w:r>
              <w:rPr>
                <w:rFonts w:ascii="Times New Roman" w:hAnsi="Times New Roman"/>
              </w:rPr>
              <w:t>Negatív                                         (</w:t>
            </w:r>
            <w:proofErr w:type="gramEnd"/>
            <w:r>
              <w:rPr>
                <w:rFonts w:ascii="Times New Roman" w:hAnsi="Times New Roman"/>
              </w:rPr>
              <w:t>Mínusz „–” előjel szükséges)</w:t>
            </w:r>
          </w:p>
        </w:tc>
      </w:tr>
    </w:tbl>
    <w:p w:rsidR="009569C7" w:rsidRPr="00EC4FA2" w:rsidRDefault="009569C7" w:rsidP="009569C7">
      <w:pPr>
        <w:pStyle w:val="Baseparagraphnumbered"/>
        <w:numPr>
          <w:ilvl w:val="0"/>
          <w:numId w:val="0"/>
        </w:numPr>
        <w:ind w:left="633"/>
      </w:pPr>
    </w:p>
    <w:p w:rsidR="009569C7" w:rsidRPr="00EC4FA2" w:rsidRDefault="00A834F1" w:rsidP="009569C7">
      <w:pPr>
        <w:pStyle w:val="subtitlenumbered"/>
        <w:numPr>
          <w:ilvl w:val="0"/>
          <w:numId w:val="17"/>
        </w:numPr>
        <w:jc w:val="both"/>
      </w:pPr>
      <w:bookmarkStart w:id="15" w:name="_Toc362359273"/>
      <w:bookmarkStart w:id="16" w:name="_Toc467855196"/>
      <w:bookmarkStart w:id="17" w:name="_Toc485913573"/>
      <w:r>
        <w:t>Konszolidáció</w:t>
      </w:r>
      <w:bookmarkEnd w:id="15"/>
      <w:bookmarkEnd w:id="16"/>
      <w:bookmarkEnd w:id="17"/>
    </w:p>
    <w:p w:rsidR="009569C7" w:rsidRPr="00EC4FA2" w:rsidRDefault="00A834F1" w:rsidP="009569C7">
      <w:pPr>
        <w:pStyle w:val="Baseparagraphnumbered"/>
      </w:pPr>
      <w:r>
        <w:t xml:space="preserve">E melléklet eltérő rendelkezésének hiányában a </w:t>
      </w:r>
      <w:proofErr w:type="spellStart"/>
      <w:r>
        <w:t>FINREP-táblákat</w:t>
      </w:r>
      <w:proofErr w:type="spellEnd"/>
      <w:r>
        <w:t xml:space="preserve"> a prudenciális konszolidáció körének alkalmazásával kell kitölteni a CRR 1. része II. címe 2. fejezetének 2. szakaszával összhangban. Az intézményeknek leányvállalataikra, közös vállalkozásaikra valamint társult vállalkozásaikra vonatkozóan a prudenciális konszolidációnál használt módszerekkel azonos módszerek segítségével kell adatot szolgáltatniuk: </w:t>
      </w:r>
    </w:p>
    <w:p w:rsidR="009569C7" w:rsidRPr="00EC4FA2" w:rsidRDefault="00A834F1" w:rsidP="009569C7">
      <w:pPr>
        <w:pStyle w:val="Baseparagraphnumbered"/>
        <w:numPr>
          <w:ilvl w:val="1"/>
          <w:numId w:val="27"/>
        </w:numPr>
        <w:ind w:left="993"/>
      </w:pPr>
      <w:r>
        <w:lastRenderedPageBreak/>
        <w:t xml:space="preserve">az intézmények számára engedélyezhetik vagy előírhatják a tőkemódszer alkalmazását a biztosítókba vagy nem pénzügyi leányvállalatokba történt befektetések vonatkozásában a CRR 18. cikkének (5) bekezdésével összhangban;  </w:t>
      </w:r>
    </w:p>
    <w:p w:rsidR="009569C7" w:rsidRPr="00EC4FA2" w:rsidRDefault="00A834F1" w:rsidP="009569C7">
      <w:pPr>
        <w:pStyle w:val="Baseparagraphnumbered"/>
        <w:numPr>
          <w:ilvl w:val="1"/>
          <w:numId w:val="27"/>
        </w:numPr>
        <w:ind w:left="993"/>
      </w:pPr>
      <w:r>
        <w:t>az intézmények számára engedélyezhetik az arányos konszolidálás módszerének alkalmazását a pénzügyi leányvállalatokra vonatkozóan a CRR 18. cikkének (2) bekezdésével összhangban;</w:t>
      </w:r>
    </w:p>
    <w:p w:rsidR="009569C7" w:rsidRPr="00EC4FA2" w:rsidRDefault="00A834F1" w:rsidP="009569C7">
      <w:pPr>
        <w:pStyle w:val="Baseparagraphnumbered"/>
        <w:numPr>
          <w:ilvl w:val="1"/>
          <w:numId w:val="27"/>
        </w:numPr>
        <w:ind w:left="993"/>
      </w:pPr>
      <w:r>
        <w:t>az intézmények számára előírhatják az arányos konszolidálás módszerének alkalmazását a közös vállalatokba történt befektetésekre vonatkozóan a CRR 18. cikkének (4) bekezdésével összhangban.</w:t>
      </w:r>
    </w:p>
    <w:p w:rsidR="009569C7" w:rsidRPr="00EC4FA2" w:rsidRDefault="00A834F1" w:rsidP="009569C7">
      <w:pPr>
        <w:pStyle w:val="subtitlenumbered"/>
        <w:numPr>
          <w:ilvl w:val="0"/>
          <w:numId w:val="17"/>
        </w:numPr>
        <w:jc w:val="both"/>
      </w:pPr>
      <w:bookmarkStart w:id="18" w:name="_Toc361844202"/>
      <w:bookmarkStart w:id="19" w:name="_Toc362359274"/>
      <w:bookmarkStart w:id="20" w:name="_Toc467855197"/>
      <w:bookmarkStart w:id="21" w:name="_Toc485913574"/>
      <w:r>
        <w:t>Pénzügyi instrumentumok számviteli portfóliói</w:t>
      </w:r>
      <w:bookmarkEnd w:id="18"/>
      <w:bookmarkEnd w:id="19"/>
      <w:bookmarkEnd w:id="20"/>
      <w:bookmarkEnd w:id="21"/>
      <w:r>
        <w:t xml:space="preserve"> </w:t>
      </w:r>
    </w:p>
    <w:p w:rsidR="009569C7" w:rsidRPr="00EC4FA2" w:rsidRDefault="00A834F1" w:rsidP="009569C7">
      <w:pPr>
        <w:pStyle w:val="Baseparagraphnumbered"/>
      </w:pPr>
      <w:r>
        <w:t>A III. és a IV. melléklet, valamint jelen melléklet alkalmazásában a „számviteli portfóliók” kifejezés az értékelési előírások szerint csoportosított pénzügyi instrumentumokat jelenti. Ezek a csoportok nem tartalmazzák a leányvállalatokba</w:t>
      </w:r>
      <w:r w:rsidR="007E58F7">
        <w:t>n</w:t>
      </w:r>
      <w:r>
        <w:t>, közös vállalkozásokba</w:t>
      </w:r>
      <w:r w:rsidR="007E58F7">
        <w:t>n</w:t>
      </w:r>
      <w:r>
        <w:t xml:space="preserve"> és társult vállalkozásokba</w:t>
      </w:r>
      <w:r w:rsidR="007E58F7">
        <w:t>n lévő</w:t>
      </w:r>
      <w:r>
        <w:t xml:space="preserve"> befektetéseket, a „Készpénz, számlakövetelések a központi bankokkal szemben és egyéb látra szóló betétek” tételbe sorolt látra szóló követel egyenlegeket, valamint az „Értékesítésre tartottá minősített befektetett eszközök és elidegenítési csoportok”, valamint az „Értékesítésre tartottá minősített elidegenítési csoportba tartozó kötelezettségek” között megjelenített „Értékesítésre tartott”</w:t>
      </w:r>
      <w:proofErr w:type="spellStart"/>
      <w:r>
        <w:t>-á</w:t>
      </w:r>
      <w:proofErr w:type="spellEnd"/>
      <w:r>
        <w:t xml:space="preserve"> minősített pénzügyi instrumentumokat.</w:t>
      </w:r>
    </w:p>
    <w:p w:rsidR="009569C7" w:rsidRPr="00EC4FA2" w:rsidRDefault="00A834F1" w:rsidP="009569C7">
      <w:pPr>
        <w:pStyle w:val="Baseparagraphnumbered"/>
      </w:pPr>
      <w:r>
        <w:t xml:space="preserve">A nemzeti GAAP szerinti elszámolás esetén azoknak az intézményeknek, amelyek számára engedélyezték vagy előírták, hogy bizonyos értékelési előírásokat az </w:t>
      </w:r>
      <w:proofErr w:type="spellStart"/>
      <w:r>
        <w:t>IFRS-nek</w:t>
      </w:r>
      <w:proofErr w:type="spellEnd"/>
      <w:r>
        <w:t xml:space="preserve"> megfelelően alkalmazzanak a pénzügyi instrumentumokra, a vonatkozó IFRS számviteli portfóliókról kell adatot szolgáltatniuk, amennyiben ilyen szabályokat alkalmaznak. Amennyiben a pénzügyi instrumentumokra vonatkozó azon értékelési előírások, amelyek alkalmazása a BAD alapján kidolgozott nemzeti GAAP szerint az intézmények számára engedélyezett vagy előírt, az IAS 39 értékelési előírásaira hivatkoznak, az intézményeknek mindaddig – valamennyi pénzügyi instrumentumuk tekintetében – a </w:t>
      </w:r>
      <w:proofErr w:type="spellStart"/>
      <w:r>
        <w:t>BAD-on</w:t>
      </w:r>
      <w:proofErr w:type="spellEnd"/>
      <w:r>
        <w:t xml:space="preserve"> alapuló számviteli portfólióikról kell adatot szolgáltatniuk, amíg az általuk alkalmazott értékelési előírások az IFRS 9 értékelési előírásaira nem hivatkoznak.</w:t>
      </w:r>
    </w:p>
    <w:p w:rsidR="009569C7" w:rsidRPr="00EC4FA2" w:rsidRDefault="00A834F1" w:rsidP="009569C7">
      <w:pPr>
        <w:pStyle w:val="sub-subtitlenumbered"/>
      </w:pPr>
      <w:bookmarkStart w:id="22" w:name="_Toc467855198"/>
      <w:bookmarkStart w:id="23" w:name="_Toc485913575"/>
      <w:r>
        <w:t>Pénzügyi eszközök</w:t>
      </w:r>
      <w:bookmarkEnd w:id="22"/>
      <w:bookmarkEnd w:id="23"/>
    </w:p>
    <w:p w:rsidR="009569C7" w:rsidRPr="00EC4FA2" w:rsidRDefault="00A834F1" w:rsidP="009569C7">
      <w:pPr>
        <w:pStyle w:val="Baseparagraphnumbered"/>
      </w:pPr>
      <w:r>
        <w:t>A pénzügyi eszközök vonatkozásában a következő számviteli portfóliók használandók az IFRS alapján:</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„Kereskedési céllal tartott pénzügyi eszközök”;</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„Kötelezően az eredménnyel szemben valós értéken értékelt, nem kereskedési célú pénzügyi eszközök”;</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„Az eredménnyel szemben valós értéken értékeltnek megjelölt pénzügyi eszközök”; </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lastRenderedPageBreak/>
        <w:t>„Az egyéb átfogó jövedelemmel szemben valós értéken értékelt pénzügyi eszközök”;</w:t>
      </w:r>
    </w:p>
    <w:p w:rsidR="009569C7" w:rsidRPr="00EC4FA2"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 „Amortizált bekerülési értéken értékelt pénzügyi eszközök”. </w:t>
      </w:r>
    </w:p>
    <w:p w:rsidR="009569C7" w:rsidRPr="00EC4FA2" w:rsidRDefault="00A834F1" w:rsidP="009569C7">
      <w:pPr>
        <w:pStyle w:val="Baseparagraphnumbered"/>
      </w:pPr>
      <w:r>
        <w:t>A pénzügyi eszközök vonatkozásában a következő számviteli portfóliók használandók a nemzeti GAAP alapján:</w:t>
      </w:r>
    </w:p>
    <w:p w:rsidR="009569C7" w:rsidRPr="00EC4FA2" w:rsidRDefault="00A834F1" w:rsidP="003A3647">
      <w:pPr>
        <w:pStyle w:val="Baseparagraphnumbered"/>
        <w:numPr>
          <w:ilvl w:val="0"/>
          <w:numId w:val="74"/>
        </w:numPr>
      </w:pPr>
      <w:r>
        <w:t xml:space="preserve">„Kereskedési célú pénzügyi eszközök”; </w:t>
      </w:r>
    </w:p>
    <w:p w:rsidR="009569C7" w:rsidRPr="00EC4FA2" w:rsidRDefault="00A834F1" w:rsidP="003A3647">
      <w:pPr>
        <w:pStyle w:val="Baseparagraphnumbered"/>
        <w:numPr>
          <w:ilvl w:val="0"/>
          <w:numId w:val="74"/>
        </w:numPr>
      </w:pPr>
      <w:r>
        <w:t xml:space="preserve">„Az eredménnyel szemben valós értéken értékelt, nem kereskedési célú, nem származtatott pénzügyi eszközök”; </w:t>
      </w:r>
    </w:p>
    <w:p w:rsidR="009569C7" w:rsidRPr="00EC4FA2" w:rsidRDefault="00A834F1" w:rsidP="003A3647">
      <w:pPr>
        <w:pStyle w:val="Baseparagraphnumbered"/>
        <w:numPr>
          <w:ilvl w:val="0"/>
          <w:numId w:val="74"/>
        </w:numPr>
      </w:pPr>
      <w:r>
        <w:t>„A saját tőkével szemben valós értéken értékelt, nem kereskedési célú, nem származtatott pénzügyi eszközök”;</w:t>
      </w:r>
    </w:p>
    <w:p w:rsidR="009569C7" w:rsidRPr="00EC4FA2" w:rsidRDefault="00A834F1" w:rsidP="003A3647">
      <w:pPr>
        <w:pStyle w:val="Baseparagraphnumbered"/>
        <w:numPr>
          <w:ilvl w:val="0"/>
          <w:numId w:val="74"/>
        </w:numPr>
      </w:pPr>
      <w:r>
        <w:t>„</w:t>
      </w:r>
      <w:proofErr w:type="spellStart"/>
      <w:r>
        <w:t>Bekerülésiérték-módszerrel</w:t>
      </w:r>
      <w:proofErr w:type="spellEnd"/>
      <w:r>
        <w:t xml:space="preserve"> értékelt nem kereskedési célú, nem származtatott pénzügyi eszközök”; valamint </w:t>
      </w:r>
    </w:p>
    <w:p w:rsidR="009569C7" w:rsidRPr="00EC4FA2" w:rsidRDefault="00A834F1" w:rsidP="003A3647">
      <w:pPr>
        <w:pStyle w:val="Baseparagraphnumbered"/>
        <w:numPr>
          <w:ilvl w:val="0"/>
          <w:numId w:val="74"/>
        </w:numPr>
      </w:pPr>
      <w:r>
        <w:t>„Egyéb nem kereskedési célú, nem származtatott pénzügyi eszközök”.</w:t>
      </w:r>
    </w:p>
    <w:p w:rsidR="009569C7" w:rsidRPr="00EC4FA2" w:rsidRDefault="00A834F1" w:rsidP="009569C7">
      <w:pPr>
        <w:pStyle w:val="Baseparagraphnumbered"/>
      </w:pPr>
      <w:r>
        <w:t>A „Kereskedési célú pénzügyi eszközök” magukban foglalják a BAD alapján kidolgozott vonatkozó nemzeti GAAP szerint kereskedési célúként besorolt valamennyi pénzügyi eszközt. A BAD alapján kidolgozott vonatkozó nemzeti GAAP szerint alkalmazott értékelési módszertantól függetlenül valamennyi olyan származtatott ügyletet, amely az adatszolgáltató intézmény vonatkozásában pozitív egyenlegű, és nincs e rész 22. bekezdésének megfelelően fedezeti elszámolásként besorolva, kereskedési célú pénzügyi eszközként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rsidR="009569C7" w:rsidRPr="00EC4FA2" w:rsidRDefault="00A834F1" w:rsidP="009569C7">
      <w:pPr>
        <w:pStyle w:val="Baseparagraphnumbered"/>
      </w:pPr>
      <w:r>
        <w:t>A BAD alapján kidolgozott nemzeti GAAP szerinti elszámolás esetén a pénzügyi eszközök tekintetében a „</w:t>
      </w:r>
      <w:proofErr w:type="spellStart"/>
      <w:r>
        <w:t>bekerülésiérték-módszerek</w:t>
      </w:r>
      <w:proofErr w:type="spellEnd"/>
      <w:r>
        <w:t xml:space="preserve">” közé azon értékelési előírások tartoznak, amelyekkel a hitelviszonyt megtestesítő instrumentum értékelése a felhalmozott kamatokkal növelt és az értékvesztés miatti veszteségekkel csökkentett bekerülési értéken történik. </w:t>
      </w:r>
    </w:p>
    <w:p w:rsidR="009569C7" w:rsidRPr="00EC4FA2" w:rsidRDefault="00A834F1" w:rsidP="009569C7">
      <w:pPr>
        <w:pStyle w:val="Baseparagraphnumbered"/>
      </w:pPr>
      <w:r>
        <w:t>A BAD alapján kidolgozott nemzeti GAAP szerinti elszámolás esetén a „</w:t>
      </w:r>
      <w:proofErr w:type="spellStart"/>
      <w:r>
        <w:t>Bekerülésiérték-módszerrel</w:t>
      </w:r>
      <w:proofErr w:type="spellEnd"/>
      <w:r>
        <w:t xml:space="preserve"> értékelt nem kereskedési célú, nem származtatott pénzügyi eszközök” magukban foglalják a </w:t>
      </w:r>
      <w:proofErr w:type="spellStart"/>
      <w:r>
        <w:t>bekerülésiérték-módszerrel</w:t>
      </w:r>
      <w:proofErr w:type="spellEnd"/>
      <w:r>
        <w:t xml:space="preserve"> értékelt pénzügyi instrumentumokat, valamint azokat az instrumentumokat, amelyeket a „bekerülési vagy piaci ár közül az alacsonyabb” értéken („</w:t>
      </w:r>
      <w:proofErr w:type="spellStart"/>
      <w:r>
        <w:t>LOCOM-módszer</w:t>
      </w:r>
      <w:proofErr w:type="spellEnd"/>
      <w:r>
        <w:t xml:space="preserve">”) értékelnek nem folyamatos alapon (mérsékelt LOCOM), függetlenül az adatszolgáltatási vonatkozási időpontban végrehajtott aktuális értékelésüktől. A mérsékelt </w:t>
      </w:r>
      <w:proofErr w:type="spellStart"/>
      <w:r>
        <w:t>LOCOM-módszer</w:t>
      </w:r>
      <w:proofErr w:type="spellEnd"/>
      <w:r>
        <w:t xml:space="preserve"> szerint értékelt eszközök olyan eszközök, amelyek esetében a </w:t>
      </w:r>
      <w:proofErr w:type="spellStart"/>
      <w:r>
        <w:t>LOCOM-módszert</w:t>
      </w:r>
      <w:proofErr w:type="spellEnd"/>
      <w:r>
        <w:t xml:space="preserve"> csak meghatározott körülmények között alkalmazzák. Az </w:t>
      </w:r>
      <w:r>
        <w:lastRenderedPageBreak/>
        <w:t xml:space="preserve">alkalmazandó számviteli keret előírja ezeket a körülményeket, ilyen például az értékvesztés, a bekerülési értékhez képest a valós értékben bekövetkező tartós csökkenés vagy a vezetés szándékának megváltozása. </w:t>
      </w:r>
    </w:p>
    <w:p w:rsidR="009569C7" w:rsidRPr="00EC4FA2" w:rsidRDefault="00A834F1" w:rsidP="009569C7">
      <w:pPr>
        <w:pStyle w:val="Baseparagraphnumbered"/>
      </w:pPr>
      <w:r>
        <w:t xml:space="preserve">A BAD alapján kidolgozott nemzeti GAAP szerinti elszámolás esetén az „Egyéb nem kereskedési célú, nem származtatott pénzügyi eszközök” közé azok a pénzügyi eszközök tartoznak, amelyek nem sorolhatók be egyéb számviteli portfóliókba. Ez a számviteli portfólió többek között azokat a pénzügyi eszközöket tartalmazza, amelyeket folyamatos alapon a </w:t>
      </w:r>
      <w:proofErr w:type="spellStart"/>
      <w:r>
        <w:t>LOCOM-módszer</w:t>
      </w:r>
      <w:proofErr w:type="spellEnd"/>
      <w:r>
        <w:t xml:space="preserve"> szerint értékelnek (szigorú </w:t>
      </w:r>
      <w:proofErr w:type="spellStart"/>
      <w:r>
        <w:t>LOCOM-módszer</w:t>
      </w:r>
      <w:proofErr w:type="spellEnd"/>
      <w:r>
        <w:t xml:space="preserve">). A szigorú </w:t>
      </w:r>
      <w:proofErr w:type="spellStart"/>
      <w:r>
        <w:t>LOCOM-módszer</w:t>
      </w:r>
      <w:proofErr w:type="spellEnd"/>
      <w:r>
        <w:t xml:space="preserve"> szerint értékelt eszközök olyan eszközök, amelyek esetében az alkalmazandó számviteli keret </w:t>
      </w:r>
      <w:proofErr w:type="spellStart"/>
      <w:r>
        <w:t>LOCOM-módszer</w:t>
      </w:r>
      <w:proofErr w:type="spellEnd"/>
      <w:r>
        <w:t xml:space="preserve"> szerinti kezdeti vagy későbbi értékelést vagy bekerülési értéken történő kezdeti és </w:t>
      </w:r>
      <w:proofErr w:type="spellStart"/>
      <w:r>
        <w:t>LOCOM-módszer</w:t>
      </w:r>
      <w:proofErr w:type="spellEnd"/>
      <w:r>
        <w:t xml:space="preserve"> szerinti későbbi értékelést ír elő.</w:t>
      </w:r>
    </w:p>
    <w:p w:rsidR="009569C7" w:rsidRPr="00EC4FA2" w:rsidRDefault="00A834F1" w:rsidP="009569C7">
      <w:pPr>
        <w:pStyle w:val="Baseparagraphnumbered"/>
      </w:pPr>
      <w:r>
        <w:t xml:space="preserve">Értékelési módszerüktől függetlenül a „Leányvállalatokba, közös vállalkozásokba, valamint társult vállalkozásokba történt befektetések” tételben kell feltüntetni a prudenciális konszolidáció keretében nem </w:t>
      </w:r>
      <w:proofErr w:type="spellStart"/>
      <w:r>
        <w:t>teljeskörűen</w:t>
      </w:r>
      <w:proofErr w:type="spellEnd"/>
      <w:r>
        <w:t xml:space="preserve"> vagy arányosan konszolidált leányvállalatokba, közös vállalkozásokba és társult vállalkozásokba történt befektetéseket, kivéve, ha azok az IFRS 5 szerint értékesítésre tartottnak minősülnek.</w:t>
      </w:r>
    </w:p>
    <w:p w:rsidR="009569C7" w:rsidRPr="00EC4FA2" w:rsidRDefault="00A834F1" w:rsidP="009569C7">
      <w:pPr>
        <w:pStyle w:val="Baseparagraphnumbered"/>
      </w:pPr>
      <w:r>
        <w:t xml:space="preserve"> A „Származtatott ügyletek – Fedezeti elszámolások” az adatszolgáltató intézmény vonatkozásában pozitív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 céljából tartott származtatott ügyletként, ha a BAD alapján kidolgozott vonatkozó nemzeti GAAP a banki könyvben szereplő származtatott ügyletek tekintetében különös számviteli szabályokat tartalmaz, és a származtatott ügyletek csökkentik a banki könyvben szereplő valamely más pozíció kockázatát. </w:t>
      </w:r>
    </w:p>
    <w:p w:rsidR="009569C7" w:rsidRPr="00EC4FA2" w:rsidRDefault="00A834F1" w:rsidP="009569C7">
      <w:pPr>
        <w:pStyle w:val="sub-subtitlenumbered"/>
        <w:keepNext/>
        <w:ind w:left="788" w:hanging="431"/>
        <w:jc w:val="both"/>
      </w:pPr>
      <w:r>
        <w:t xml:space="preserve"> </w:t>
      </w:r>
      <w:bookmarkStart w:id="24" w:name="_Toc361844204"/>
      <w:bookmarkStart w:id="25" w:name="_Toc362359276"/>
      <w:bookmarkStart w:id="26" w:name="_Toc467855199"/>
      <w:bookmarkStart w:id="27" w:name="_Toc485913576"/>
      <w:r>
        <w:t>Pénzügyi kötelezettségek</w:t>
      </w:r>
      <w:bookmarkEnd w:id="24"/>
      <w:bookmarkEnd w:id="25"/>
      <w:bookmarkEnd w:id="26"/>
      <w:bookmarkEnd w:id="27"/>
    </w:p>
    <w:p w:rsidR="009569C7" w:rsidRPr="00EC4FA2" w:rsidRDefault="00A834F1" w:rsidP="009569C7">
      <w:pPr>
        <w:pStyle w:val="Baseparagraphnumbered"/>
      </w:pPr>
      <w:r>
        <w:t xml:space="preserve">A pénzügyi kötelezettségek vonatkozásában a következő számviteli portfóliók használandók az IFRS alapján: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„Kereskedési céllal tartott pénzügyi kötelezettségek”;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„Az eredménnyel szemben valós értéken értékeltnek megjelölt pénzügyi kötelezettségek”;  </w:t>
      </w:r>
    </w:p>
    <w:p w:rsidR="009569C7" w:rsidRPr="00EC4FA2" w:rsidRDefault="00A834F1" w:rsidP="009569C7">
      <w:pPr>
        <w:pStyle w:val="ListParagraph"/>
        <w:numPr>
          <w:ilvl w:val="0"/>
          <w:numId w:val="23"/>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„Amortizált bekerülési értéken értékelt pénzügyi kötelezettségek”.</w:t>
      </w:r>
    </w:p>
    <w:p w:rsidR="009569C7" w:rsidRPr="00EC4FA2" w:rsidRDefault="00A834F1" w:rsidP="009569C7">
      <w:pPr>
        <w:pStyle w:val="Baseparagraphnumbered"/>
      </w:pPr>
      <w:r>
        <w:t xml:space="preserve">A pénzügyi kötelezettségek vonatkozásában a következő számviteli portfóliók használandók a nemzeti GAAP alapján: </w:t>
      </w:r>
    </w:p>
    <w:p w:rsidR="009569C7" w:rsidRPr="00EC4FA2" w:rsidRDefault="00A834F1" w:rsidP="009569C7">
      <w:pPr>
        <w:pStyle w:val="Baseparagraphnumbered"/>
        <w:numPr>
          <w:ilvl w:val="0"/>
          <w:numId w:val="0"/>
        </w:numPr>
        <w:ind w:left="1134" w:hanging="283"/>
      </w:pPr>
      <w:proofErr w:type="gramStart"/>
      <w:r>
        <w:t>a</w:t>
      </w:r>
      <w:proofErr w:type="gramEnd"/>
      <w:r>
        <w:t xml:space="preserve">) „Kereskedési célú pénzügyi kötelezettségek”; </w:t>
      </w:r>
    </w:p>
    <w:p w:rsidR="009569C7" w:rsidRPr="00EC4FA2" w:rsidRDefault="00A834F1" w:rsidP="009569C7">
      <w:pPr>
        <w:pStyle w:val="Baseparagraphnumbered"/>
        <w:numPr>
          <w:ilvl w:val="0"/>
          <w:numId w:val="0"/>
        </w:numPr>
        <w:ind w:left="1134" w:hanging="283"/>
      </w:pPr>
      <w:r>
        <w:lastRenderedPageBreak/>
        <w:t>b) „</w:t>
      </w:r>
      <w:proofErr w:type="spellStart"/>
      <w:r>
        <w:t>Bekerülésiérték-módszerrel</w:t>
      </w:r>
      <w:proofErr w:type="spellEnd"/>
      <w:r>
        <w:t xml:space="preserve"> értékelt nem kereskedési célú, nem származtatott pénzügyi kötelezettségek”.</w:t>
      </w:r>
    </w:p>
    <w:p w:rsidR="009569C7" w:rsidRPr="00EC4FA2" w:rsidRDefault="00A834F1" w:rsidP="009569C7">
      <w:pPr>
        <w:pStyle w:val="Baseparagraphnumbered"/>
      </w:pPr>
      <w:r>
        <w:t>A „Kereskedési célú pénzügyi kötelezettségek” magukban foglalják a BAD alapján kidolgozott vonatkozó nemzeti GAAP szerint kereskedési célúként besorolt valamennyi pénzügyi kötelezettséget. A BAD alapján kidolgozott vonatkozó nemzeti GAAP szerint alkalmazott értékelési módszertantól függetlenül az adatszolgáltató intézmény vonatkozásában negatív egyenlegű valamennyi olyan származtatott ügyletet, amely nem az e rész 26. bekezdése szerinti fedezeti elszámolásként besorolt, kereskedési célú pénzügyi kötelezettségként kell feltüntetni. Ez a besorolás alkalmazandó az olyan származtatott ügyletekre is, amelyeket a BAD alapján kidolgozott vonatkozó nemzeti GAAP szerint nem jelenítenek meg a mérlegben, vagy csak azok valósérték-változását jelenítik meg, vagy amelyeket az e melléklet 2. részének 137. bekezdésében meghatározottak szerinti gazdasági fedezeti ügyletként használnak.</w:t>
      </w:r>
    </w:p>
    <w:p w:rsidR="009569C7" w:rsidRPr="00EC4FA2" w:rsidRDefault="00A834F1" w:rsidP="009569C7">
      <w:pPr>
        <w:pStyle w:val="Baseparagraphnumbered"/>
      </w:pPr>
      <w:r>
        <w:t xml:space="preserve">A „Származtatott ügyletek – Fedezeti elszámolások” az adatszolgáltató intézmény vonatkozásában negatív egyenlegű, az IFRS szerinti fedezeti elszámolás céljából tartott származtatott ügyleteket foglalják magukban. A BAD alapján kidolgozott nemzeti GAAP szerinti elszámolás esetén a banki könyvben szereplő származtatott ügyletek csak akkor sorolhatók be fedezeti elszámolásként, ha a BAD alapján kidolgozott vonatkozó nemzeti GAAP a banki könyvben szereplő származtatott ügyletek tekintetében különös számviteli szabályokat tartalmaz, és a származtatott ügyletek csökkentik a banki könyvben szereplő valamely más pozíció kockázatát. </w:t>
      </w:r>
    </w:p>
    <w:p w:rsidR="009569C7" w:rsidRPr="00EC4FA2" w:rsidRDefault="00A834F1" w:rsidP="009569C7">
      <w:pPr>
        <w:pStyle w:val="subtitlenumbered"/>
        <w:numPr>
          <w:ilvl w:val="0"/>
          <w:numId w:val="17"/>
        </w:numPr>
        <w:jc w:val="both"/>
      </w:pPr>
      <w:bookmarkStart w:id="28" w:name="_Toc362359277"/>
      <w:bookmarkStart w:id="29" w:name="_Toc467855200"/>
      <w:bookmarkStart w:id="30" w:name="_Toc485913577"/>
      <w:r>
        <w:t>Pénzügyi instrumentumok</w:t>
      </w:r>
      <w:bookmarkEnd w:id="28"/>
      <w:bookmarkEnd w:id="29"/>
      <w:bookmarkEnd w:id="30"/>
    </w:p>
    <w:p w:rsidR="009569C7" w:rsidRPr="00EC4FA2" w:rsidRDefault="00A834F1" w:rsidP="009569C7">
      <w:pPr>
        <w:pStyle w:val="Baseparagraphnumbered"/>
      </w:pPr>
      <w:r>
        <w:t>A III. melléklet és a IV. melléklet, valamint jelen melléklet alkalmazásában a „könyv szerinti érték” a mérlegben feltüntetendő összeg. A pénzügyi instrumentumok könyv szerinti értékének tartalmaznia kell a felhalmozott kamatokat. A BAD alapján kidolgozott vonatkozó nemzeti GAAP szerinti elszámolás esetén a származtatott ügyletek könyv szerinti értéke a nemzeti GAAP szerinti, adott esetben az időbeli elhatárolásokat, a prémiumokat és a céltartalékokat magában foglaló könyv szerinti érték, illetve nullával egyenlő, ha származtatott ügyletek nincsenek megjelenítve a mérlegben.</w:t>
      </w:r>
    </w:p>
    <w:p w:rsidR="009569C7" w:rsidRPr="00EC4FA2" w:rsidRDefault="00A834F1" w:rsidP="009569C7">
      <w:pPr>
        <w:pStyle w:val="Baseparagraphnumbered"/>
      </w:pPr>
      <w:r>
        <w:t xml:space="preserve">A pénzügyi instrumentumok időbeli elhatárolásait, ideértve az elhatárolt kamatokat, prémiumokat és diszkontokat vagy tranzakciós költségeket – amennyiben megjelenítésük a BAD alapján kidolgozott vonatkozó nemzeti GAAP szerint történik – az instrumentummal együtt, és nem egyéb eszközként vagy egyéb kötelezettségként kell megadni. </w:t>
      </w:r>
    </w:p>
    <w:p w:rsidR="009569C7" w:rsidRPr="00EC4FA2" w:rsidRDefault="00A834F1" w:rsidP="009569C7">
      <w:pPr>
        <w:pStyle w:val="Baseparagraphnumbered"/>
      </w:pPr>
      <w:r>
        <w:t xml:space="preserve">Adott esetben a BAD alapján kidolgozott nemzeti GAAP szerinti „Valós értéken értékelt, kereskedési célú pozíciókra vonatkozó </w:t>
      </w:r>
      <w:proofErr w:type="spellStart"/>
      <w:r>
        <w:t>haircutok</w:t>
      </w:r>
      <w:proofErr w:type="spellEnd"/>
      <w:r>
        <w:t>”</w:t>
      </w:r>
      <w:proofErr w:type="spellStart"/>
      <w:r>
        <w:t>-at</w:t>
      </w:r>
      <w:proofErr w:type="spellEnd"/>
      <w:r>
        <w:t xml:space="preserve"> kell jelenteni. A </w:t>
      </w:r>
      <w:proofErr w:type="spellStart"/>
      <w:r>
        <w:t>haircutok</w:t>
      </w:r>
      <w:proofErr w:type="spellEnd"/>
      <w:r>
        <w:t xml:space="preserve"> a kereskedési célú eszközök értékét csökkentik, a kereskedési célú kötelezettségek értékét pedig növelik.</w:t>
      </w:r>
    </w:p>
    <w:p w:rsidR="009569C7" w:rsidRPr="00EC4FA2" w:rsidRDefault="00A834F1" w:rsidP="009569C7">
      <w:pPr>
        <w:pStyle w:val="sub-subtitlenumbered"/>
        <w:jc w:val="both"/>
      </w:pPr>
      <w:bookmarkStart w:id="31" w:name="_Toc467855201"/>
      <w:bookmarkStart w:id="32" w:name="_Toc485913578"/>
      <w:r>
        <w:t>Pénzügyi eszközök</w:t>
      </w:r>
      <w:bookmarkEnd w:id="31"/>
      <w:bookmarkEnd w:id="32"/>
      <w:r>
        <w:t xml:space="preserve"> </w:t>
      </w:r>
    </w:p>
    <w:p w:rsidR="009569C7" w:rsidRPr="00EC4FA2" w:rsidRDefault="00A834F1" w:rsidP="009569C7">
      <w:pPr>
        <w:pStyle w:val="Baseparagraphnumbered"/>
      </w:pPr>
      <w:r>
        <w:lastRenderedPageBreak/>
        <w:t>A pénzügyi eszközöket a következő instrumentumosztályokba kell besorolni: „Készpénz”, „Származtatott ügyletek”, „Tulajdoni részesedést megtestesítő instrumentumok”, „Hitelviszonyt megtestesítő értékpapírok” és „Hitelek és előlegek”.</w:t>
      </w:r>
    </w:p>
    <w:p w:rsidR="009569C7" w:rsidRPr="00EC4FA2" w:rsidRDefault="00A834F1" w:rsidP="009569C7">
      <w:pPr>
        <w:pStyle w:val="Baseparagraphnumbered"/>
      </w:pPr>
      <w:r>
        <w:t>A „Hitelviszonyt megtestesítő értékpapírok” az intézmény által tartott, értékpapírként kibocsátott hitelviszonyt megtestesítő instrumentumok, amelyek nem az EKB BSI rendelet szerinti hitelek.</w:t>
      </w:r>
    </w:p>
    <w:p w:rsidR="009569C7" w:rsidRPr="00EC4FA2" w:rsidRDefault="00A834F1" w:rsidP="009569C7">
      <w:pPr>
        <w:pStyle w:val="Baseparagraphnumbered"/>
      </w:pPr>
      <w:r>
        <w:t xml:space="preserve">A „Hitelek és előlegek” az intézmény által tartott hitelviszonyt megtestesítő instrumentumok, amelyek nem értékpapírok; ez a tétel tartalmazza az EKB BSI rendelet szerinti hiteleket, valamint azokat az előlegeket, amelyek az EKB BSI rendelet szerint nem sorolhatók a hitelek közé. Az „Előlegek, kivéve hitelek” részletesebb leírását e melléklet 2. része 85. bekezdésének g) pontja tartalmazza. </w:t>
      </w:r>
    </w:p>
    <w:p w:rsidR="009569C7" w:rsidRPr="00EC4FA2" w:rsidRDefault="00A834F1" w:rsidP="009569C7">
      <w:pPr>
        <w:pStyle w:val="Baseparagraphnumbered"/>
      </w:pPr>
      <w:r>
        <w:t xml:space="preserve">A </w:t>
      </w:r>
      <w:proofErr w:type="spellStart"/>
      <w:r>
        <w:t>FINREP-ben</w:t>
      </w:r>
      <w:proofErr w:type="spellEnd"/>
      <w:r>
        <w:t xml:space="preserve"> a hitelviszonyt megtestesítő instrumentumok tartalmazzák a hiteleket és előlegeket és a hitelviszonyt megtestesítő értékpapírokat.</w:t>
      </w:r>
    </w:p>
    <w:p w:rsidR="009569C7" w:rsidRPr="00EC4FA2" w:rsidRDefault="00A834F1" w:rsidP="009569C7">
      <w:pPr>
        <w:pStyle w:val="sub-subtitlenumbered"/>
        <w:jc w:val="both"/>
      </w:pPr>
      <w:bookmarkStart w:id="33" w:name="_Toc467855202"/>
      <w:bookmarkStart w:id="34" w:name="_Toc485913579"/>
      <w:r>
        <w:t>Bruttó könyv szerinti érték</w:t>
      </w:r>
      <w:bookmarkEnd w:id="33"/>
      <w:bookmarkEnd w:id="34"/>
    </w:p>
    <w:p w:rsidR="009569C7" w:rsidRPr="00EC4FA2" w:rsidRDefault="00A834F1" w:rsidP="009569C7">
      <w:pPr>
        <w:pStyle w:val="Baseparagraphnumbered"/>
      </w:pPr>
      <w:r>
        <w:t>A hitelviszonyt megtestesítő instrumentumok bruttó könyv szerinti értéke a következő:</w:t>
      </w:r>
    </w:p>
    <w:p w:rsidR="009569C7" w:rsidRPr="00EC4FA2" w:rsidRDefault="00A834F1" w:rsidP="00152278">
      <w:pPr>
        <w:pStyle w:val="Baseparagraphnumbered"/>
        <w:numPr>
          <w:ilvl w:val="1"/>
          <w:numId w:val="27"/>
        </w:numPr>
      </w:pPr>
      <w:r>
        <w:t xml:space="preserve"> az IFRS szerinti elszámolás esetén és a BAD alapján kidolgozott nemzeti GAAP szerinti elszámolás esetén az eredménnyel szemben valós értéken értékelt olyan hitelviszonyt megtestesítő instrumentumok vonatkozásában, amelyek nem tartoznak a kereskedési céllal tartott vagy kereskedési célú portfólióba, a bruttó könyv szerinti érték attól függ, hogy azokat teljesítőként vagy </w:t>
      </w:r>
      <w:proofErr w:type="spellStart"/>
      <w:r>
        <w:t>nemteljesítőként</w:t>
      </w:r>
      <w:proofErr w:type="spellEnd"/>
      <w:r>
        <w:t xml:space="preserve"> sorolják be. A teljesítő, hitelviszonyt megtestesítő instrumentumok bruttó könyv szerinti értéke a valós érték. A </w:t>
      </w:r>
      <w:proofErr w:type="spellStart"/>
      <w:r>
        <w:t>nemteljesítő</w:t>
      </w:r>
      <w:proofErr w:type="spellEnd"/>
      <w:r>
        <w:t>, hitelviszonyt megtestesítő instrumentumok bruttó könyv szerinti értéke az e melléklet 2. részének 69. bekezdése szerinti, hitelkockázatból eredő negatív valósérték-korrekció halmozott összegével megnövelt valós érték. A bruttó könyv szerinti érték értékelése céljából a hitelviszonyt megtestesítő instrumentumok értékelését az egyes pénzügyi instrumentumok szintjén kell végrehajtani;</w:t>
      </w:r>
    </w:p>
    <w:p w:rsidR="009569C7" w:rsidRPr="00EC4FA2" w:rsidRDefault="00A834F1" w:rsidP="009569C7">
      <w:pPr>
        <w:pStyle w:val="Baseparagraphnumbered"/>
        <w:numPr>
          <w:ilvl w:val="1"/>
          <w:numId w:val="27"/>
        </w:numPr>
        <w:ind w:left="1134" w:hanging="425"/>
      </w:pPr>
      <w:r>
        <w:t>az IFRS szerinti elszámolás esetén az amortizált bekerülési értéken vagy az egyéb átfogó jövedelemmel szemben valós értéken értékelt hitelviszonyt megtestesítő instrumentumok tekintetében a bruttó könyv szerinti érték az értékvesztés-elszámolás korrekciója előtti könyv szerinti értéket jelenti.</w:t>
      </w:r>
    </w:p>
    <w:p w:rsidR="009569C7" w:rsidRPr="00EC4FA2" w:rsidRDefault="00A834F1" w:rsidP="009569C7">
      <w:pPr>
        <w:pStyle w:val="Baseparagraphnumbered"/>
        <w:numPr>
          <w:ilvl w:val="1"/>
          <w:numId w:val="27"/>
        </w:numPr>
        <w:ind w:left="1134" w:hanging="425"/>
      </w:pPr>
      <w:r>
        <w:t>a BAD alapján kidolgozott nemzeti GAAP szerinti elszámolás esetén a „</w:t>
      </w:r>
      <w:proofErr w:type="spellStart"/>
      <w:r>
        <w:t>Bekerülésiérték-módszerrel</w:t>
      </w:r>
      <w:proofErr w:type="spellEnd"/>
      <w:r>
        <w:t xml:space="preserve"> értékelt nem kereskedési célú, nem származtatott pénzügyi eszközök” tételbe besorolt hitelviszonyt megtestesítő instrumentumok vonatkozásában az értékvesztett eszközök bruttó könyv szerinti értéke egyenlő a hitelkockázat után elszámolt egyedi </w:t>
      </w:r>
      <w:r>
        <w:lastRenderedPageBreak/>
        <w:t xml:space="preserve">értékvesztéssel való korrekció előtti könyv szerinti értékkel. A nem értékvesztett eszközök bruttó könyv szerinti értéke az általános hitelkockázati tartalékokkal és az általános banki kockázatokra képzett tartalékokkal való korrekció előtti könyv szerinti értéket jelenti, amennyiben az befolyásolja a könyv szerinti értéket; </w:t>
      </w:r>
    </w:p>
    <w:p w:rsidR="009569C7" w:rsidRPr="00EC4FA2" w:rsidRDefault="00A834F1" w:rsidP="009569C7">
      <w:pPr>
        <w:pStyle w:val="Baseparagraphnumbered"/>
        <w:numPr>
          <w:ilvl w:val="1"/>
          <w:numId w:val="27"/>
        </w:numPr>
        <w:ind w:left="1134" w:hanging="425"/>
      </w:pPr>
      <w:r>
        <w:t>a BAD alapján kidolgozott nemzeti GAAP szerinti elszámolás esetén „</w:t>
      </w:r>
      <w:proofErr w:type="gramStart"/>
      <w:r>
        <w:t>A</w:t>
      </w:r>
      <w:proofErr w:type="gramEnd"/>
      <w:r>
        <w:t xml:space="preserve"> saját tőkével szemben valós értéken értékelt, nem kereskedési célú, nem származtatott pénzügyi eszközök” tételbe besorolt hitelviszonyt megtestesítő instrumentumok bruttó könyv szerinti értéke attól függ, hogy ezek a pénzügyi eszközök értékvesztés-elszámolási kötelezettség hatálya alá tartoznak-e. Amennyiben ezek értékvesztés-elszámolási kötelezettség hatálya alá tartoznak, a bruttó könyv szerinti érték a halmozott értékvesztéssel való korrekció előtti könyv szerinti érték az értékvesztett és nem értékvesztett eszközökre vonatkozó fenti c) pont szerinti követelményeknek megfelelően, vagy az értékvesztés miatti veszteségnek tekintett valósérték-korrekció bármely halmozott összegével való kiigazítás előtti könyv szerinti érték. Amennyiben ezek a pénzügyi eszközök nem tartoznak értékvesztés-elszámolási kötelezettség hatálya alá, ezen eszközök bruttó könyv szerinti értéke a teljesítő kitettségek esetében a valós érték, a </w:t>
      </w:r>
      <w:proofErr w:type="spellStart"/>
      <w:r>
        <w:t>nemteljesítő</w:t>
      </w:r>
      <w:proofErr w:type="spellEnd"/>
      <w:r>
        <w:t xml:space="preserve"> kitettségek esetében pedig a hitelkockázatból eredő negatív valósérték-korrekció halmozott összegével megnövelt valós érték.</w:t>
      </w:r>
    </w:p>
    <w:p w:rsidR="009569C7" w:rsidRPr="00EC4FA2" w:rsidRDefault="00A834F1" w:rsidP="009569C7">
      <w:pPr>
        <w:pStyle w:val="Baseparagraphnumbered"/>
        <w:numPr>
          <w:ilvl w:val="1"/>
          <w:numId w:val="27"/>
        </w:numPr>
        <w:ind w:left="1134" w:hanging="425"/>
      </w:pPr>
      <w:r>
        <w:t xml:space="preserve">a BAD alapján kidolgozott nemzeti GAAP szerinti elszámolás esetén a szigorú vagy mérsékelt </w:t>
      </w:r>
      <w:proofErr w:type="spellStart"/>
      <w:r>
        <w:t>LOCOM-módszerrel</w:t>
      </w:r>
      <w:proofErr w:type="spellEnd"/>
      <w:r>
        <w:t xml:space="preserve"> értékelt hitelviszonyt megtestesítő instrumentumok bruttó könyv szerinti értéke a bekerülési érték, amennyiben az adatszolgáltatási időszakban az instrumentumot </w:t>
      </w:r>
      <w:proofErr w:type="spellStart"/>
      <w:r>
        <w:t>bekerülésiérték-módszerrel</w:t>
      </w:r>
      <w:proofErr w:type="spellEnd"/>
      <w:r>
        <w:t xml:space="preserve"> értékelik. Amennyiben ezeket a hitelviszonyt megtestesítő instrumentumokat piaci értéken értékelik, a bruttó könyv szerinti érték a hitelkockázatból származó értékelési korrekcióval való kiigazítást megelőző piaci érték; </w:t>
      </w:r>
    </w:p>
    <w:p w:rsidR="009569C7" w:rsidRPr="00EC4FA2" w:rsidRDefault="00A834F1" w:rsidP="009569C7">
      <w:pPr>
        <w:pStyle w:val="Baseparagraphnumbered"/>
        <w:numPr>
          <w:ilvl w:val="1"/>
          <w:numId w:val="27"/>
        </w:numPr>
        <w:ind w:left="1134" w:hanging="425"/>
      </w:pPr>
      <w:r>
        <w:t xml:space="preserve">a BAD alapján kidolgozott nemzeti GAAP szerinti elszámolás esetén az „Egyéb nem kereskedési célú, nem származtatott pénzügyi eszközök” között feltüntetett, a </w:t>
      </w:r>
      <w:proofErr w:type="spellStart"/>
      <w:r>
        <w:t>LOCOM-módszertől</w:t>
      </w:r>
      <w:proofErr w:type="spellEnd"/>
      <w:r>
        <w:t xml:space="preserve"> eltérő értékelési módszerrel értékelt hitelviszonyt megtestesítő instrumentumok vonatkozásában a bruttó könyv szerinti érték az értékvesztésnek minősülő értékelési korrekció figyelembevétele előtti könyv szerinti érték;</w:t>
      </w:r>
    </w:p>
    <w:p w:rsidR="009569C7" w:rsidRPr="00EC4FA2" w:rsidRDefault="00A834F1" w:rsidP="009569C7">
      <w:pPr>
        <w:pStyle w:val="Baseparagraphnumbered"/>
        <w:numPr>
          <w:ilvl w:val="1"/>
          <w:numId w:val="27"/>
        </w:numPr>
        <w:ind w:left="1134" w:hanging="425"/>
      </w:pPr>
      <w:r>
        <w:t xml:space="preserve">a BAD alapján kidolgozott nemzeti GAAP szerinti elszámolás esetén a kereskedési célú pénzügyi eszközök vonatkozásában, illetőleg az IFRS szerinti elszámolás esetén a kereskedési céllal tartott pénzügyi eszközök vonatkozásában a bruttó könyv szerinti érték a valós érték. Amennyiben a BAD alapján kidolgozott nemzeti GAAP </w:t>
      </w:r>
      <w:proofErr w:type="spellStart"/>
      <w:r>
        <w:t>haircutot</w:t>
      </w:r>
      <w:proofErr w:type="spellEnd"/>
      <w:r>
        <w:t xml:space="preserve"> ír elő a kereskedési célú és a valós értéken értékelt instrumentumokra, a pénzügyi instrumentum könyv szerinti értéke a szóban forgó </w:t>
      </w:r>
      <w:proofErr w:type="spellStart"/>
      <w:r>
        <w:t>haircutok</w:t>
      </w:r>
      <w:proofErr w:type="spellEnd"/>
      <w:r>
        <w:t xml:space="preserve"> előtti valós érték.</w:t>
      </w:r>
    </w:p>
    <w:p w:rsidR="009569C7" w:rsidRPr="00EC4FA2" w:rsidRDefault="00A834F1" w:rsidP="009569C7">
      <w:pPr>
        <w:pStyle w:val="sub-subtitlenumbered"/>
        <w:jc w:val="both"/>
      </w:pPr>
      <w:bookmarkStart w:id="35" w:name="_Toc361844207"/>
      <w:bookmarkStart w:id="36" w:name="_Toc362359279"/>
      <w:bookmarkStart w:id="37" w:name="_Toc467855203"/>
      <w:bookmarkStart w:id="38" w:name="_Toc485913580"/>
      <w:r>
        <w:t>Pénzügyi kötelezettségek</w:t>
      </w:r>
      <w:bookmarkEnd w:id="35"/>
      <w:bookmarkEnd w:id="36"/>
      <w:bookmarkEnd w:id="37"/>
      <w:bookmarkEnd w:id="38"/>
    </w:p>
    <w:p w:rsidR="009569C7" w:rsidRPr="00EC4FA2" w:rsidRDefault="00A834F1" w:rsidP="009569C7">
      <w:pPr>
        <w:pStyle w:val="Baseparagraphnumbered"/>
      </w:pPr>
      <w:r>
        <w:lastRenderedPageBreak/>
        <w:t>A pénzügyi kötelezettségeket a következő instrumentumosztályokba kell besorolni: „Származtatott ügyletek”, „Rövid pozíciók”, „Betétek”, „Kibocsátott hitelviszonyt megtestesítő értékpapírok” és „Egyéb pénzügyi kötelezettségek”.</w:t>
      </w:r>
    </w:p>
    <w:p w:rsidR="009569C7" w:rsidRPr="00EC4FA2" w:rsidRDefault="00A834F1" w:rsidP="009569C7">
      <w:pPr>
        <w:pStyle w:val="Baseparagraphnumbered"/>
      </w:pPr>
      <w:r>
        <w:t xml:space="preserve">A III. és a IV. melléklet, valamint e melléklet alkalmazásában az EKB BSI rendelet 2. részének II. mellékletében meghatározott „betétek” fogalom alkalmazandó. </w:t>
      </w:r>
    </w:p>
    <w:p w:rsidR="009569C7" w:rsidRPr="00EC4FA2" w:rsidRDefault="00A834F1" w:rsidP="009569C7">
      <w:pPr>
        <w:pStyle w:val="Baseparagraphnumbered"/>
      </w:pPr>
      <w:r>
        <w:t xml:space="preserve"> A „Kibocsátott hitelviszonyt megtestesítő értékpapírok” az intézmény által értékpapírként kibocsátott hitelviszonyt megtestesítő instrumentumok, amelyek az EKB BSI rendelet szerint nem betétek.</w:t>
      </w:r>
    </w:p>
    <w:p w:rsidR="009569C7" w:rsidRPr="00EC4FA2" w:rsidRDefault="00A834F1" w:rsidP="009569C7">
      <w:pPr>
        <w:pStyle w:val="Baseparagraphnumbered"/>
      </w:pPr>
      <w:r>
        <w:t xml:space="preserve">Az „Egyéb pénzügyi kötelezettségek” tartalmaznak minden olyan pénzügyi kötelezettséget, amely nem származtatott ügylet, rövid pozíció, betét vagy kibocsátott, hitelviszonyt megtestesítő értékpapír. </w:t>
      </w:r>
    </w:p>
    <w:p w:rsidR="009569C7" w:rsidRPr="00EC4FA2" w:rsidRDefault="00A834F1" w:rsidP="009569C7">
      <w:pPr>
        <w:pStyle w:val="Baseparagraphnumbered"/>
      </w:pPr>
      <w:r>
        <w:t xml:space="preserve">Az IFRS szerinti elszámolás esetén az „Egyéb pénzügyi kötelezettségek” tartalmazzák a pénzügyi garanciákat, ha azok értékelése vagy az eredménnyel szemben valós értéken [az IFRS 9 4.2.1. bekezdésének a) pontja] vagy a halmozott amortizációval csökkentett, kezdetben megjelenített összegen [az IFRS 9 4.2.1. bekezdése c) pontjának </w:t>
      </w:r>
      <w:proofErr w:type="spellStart"/>
      <w:r>
        <w:t>ii</w:t>
      </w:r>
      <w:proofErr w:type="spellEnd"/>
      <w:r>
        <w:t xml:space="preserve">. alpontja] történik. </w:t>
      </w:r>
      <w:proofErr w:type="gramStart"/>
      <w:r>
        <w:t>A hitelnyújtási elkötelezettségeket akkor kell az „Egyéb pénzügyi kötelezettségek” között szerepeltetni, ha azok az eredménnyel szemben valós értéken értékeltnek megjelölt pénzügyi kötelezettségek [az IFRS 9 4.2.1. bekezdésének a) pontja], vagy azok a piaci kamatlábnál alacsonyabb kamatláb melletti hitelnyújtásra vonatkozó elkötelezettségek [az IFRS 9 2.3. bekezdésének c) pontja, 4.2.1. bekezdésének d) pontja].</w:t>
      </w:r>
      <w:proofErr w:type="gramEnd"/>
      <w:r>
        <w:t xml:space="preserve"> </w:t>
      </w:r>
    </w:p>
    <w:p w:rsidR="009569C7" w:rsidRPr="00EC4FA2" w:rsidRDefault="00A834F1" w:rsidP="009569C7">
      <w:pPr>
        <w:pStyle w:val="Baseparagraphnumbered"/>
      </w:pPr>
      <w:r>
        <w:t>Ha a hitelnyújtási elkötelezettségek, pénzügyi garanciák vagy egyéb adott elkötelezettségek értékelése eredménnyel szemben valós értéken történik, a valós értékben bekövetkező változást, ideértve a hitelkockázat változása miatti változásokat az „Egyéb pénzügyi kötelezettségek” között kell feltüntetni, és nem az „Adott elkötelezettségek és garanciák”</w:t>
      </w:r>
      <w:proofErr w:type="spellStart"/>
      <w:r>
        <w:t>-ra</w:t>
      </w:r>
      <w:proofErr w:type="spellEnd"/>
      <w:r>
        <w:t xml:space="preserve"> képzett céltartalékként. </w:t>
      </w:r>
    </w:p>
    <w:p w:rsidR="009569C7" w:rsidRPr="00EC4FA2" w:rsidRDefault="00A834F1" w:rsidP="009569C7">
      <w:pPr>
        <w:pStyle w:val="Baseparagraphnumbered"/>
      </w:pPr>
      <w:r>
        <w:t xml:space="preserve">Az „Egyéb pénzügyi kötelezettségek” emellett tartalmaznak fizetendő osztalékot, függő és átvezetési tételek tekintetében fizetendő összegeket és értékpapír-tranzakciók vagy </w:t>
      </w:r>
      <w:proofErr w:type="spellStart"/>
      <w:r>
        <w:t>devizatranzakciók</w:t>
      </w:r>
      <w:proofErr w:type="spellEnd"/>
      <w:r>
        <w:t xml:space="preserve"> jövőbeli elszámolása tekintetében fizetendő összegeket (a fizetési határidő előtt megjelenített, tranzakciókra vonatkozó fizetési kötelezettségek).</w:t>
      </w:r>
    </w:p>
    <w:p w:rsidR="009569C7" w:rsidRPr="00EC4FA2" w:rsidRDefault="00A834F1" w:rsidP="009569C7">
      <w:pPr>
        <w:pStyle w:val="subtitlenumbered"/>
        <w:numPr>
          <w:ilvl w:val="0"/>
          <w:numId w:val="17"/>
        </w:numPr>
        <w:jc w:val="both"/>
      </w:pPr>
      <w:bookmarkStart w:id="39" w:name="_Toc361844208"/>
      <w:bookmarkStart w:id="40" w:name="_Toc362359280"/>
      <w:bookmarkStart w:id="41" w:name="_Toc467855204"/>
      <w:bookmarkStart w:id="42" w:name="_Toc485913581"/>
      <w:r>
        <w:t>Ügyfél szerinti részletezés</w:t>
      </w:r>
      <w:bookmarkEnd w:id="39"/>
      <w:bookmarkEnd w:id="40"/>
      <w:bookmarkEnd w:id="41"/>
      <w:bookmarkEnd w:id="42"/>
    </w:p>
    <w:p w:rsidR="009569C7" w:rsidRPr="00EC4FA2" w:rsidRDefault="00A834F1" w:rsidP="009569C7">
      <w:pPr>
        <w:pStyle w:val="Baseparagraphnumbered"/>
      </w:pPr>
      <w:r>
        <w:t>Az ügyfél szerinti részletezés előírásakor a következő ügyfélszektorok használandók: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központi bankok;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proofErr w:type="gramStart"/>
      <w:r>
        <w:rPr>
          <w:rFonts w:ascii="Times New Roman" w:hAnsi="Times New Roman"/>
          <w:sz w:val="24"/>
        </w:rPr>
        <w:t xml:space="preserve">államháztartások: központi kormányzatok, tartományi vagy regionális kormányzatok és helyi önkormányzatok, ideértve a közigazgatási </w:t>
      </w:r>
      <w:r>
        <w:rPr>
          <w:rFonts w:ascii="Times New Roman" w:hAnsi="Times New Roman"/>
          <w:sz w:val="24"/>
        </w:rPr>
        <w:lastRenderedPageBreak/>
        <w:t>szerveket és a nem kereskedelmi vállalkozásokat, de ide nem értve az ezen kormányzatok tulajdonában álló, kereskedelmi tevékenységet folytató állami és magánvállalatokat (amelyeket tevékenységüktől függően a „hitelintézetek”, „egyéb pénzügyi vállalatok”, vagy „nem pénzügyi vállalatok” alatt kell feltüntetni); társadalombiztosítási alapok; és nemzetközi szervezetek, mint például az Európai Unió intézményei, a Nemzetközi Valutaalap és a Nemzetközi Fizetések Bankja;</w:t>
      </w:r>
      <w:proofErr w:type="gramEnd"/>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hitelintézetek: a CRR 4. cikke (1) bekezdésének 1. pontja szerinti fogalommeghatározásnak megfelelő intézmények („olyan vállalkozás, amely a nyilvánosságtól betéteket vagy más visszafizetendő pénzeszközöket fogad el, valamint saját számlára hiteleket nyújt”) és multilaterális fejlesztési bankok;</w:t>
      </w:r>
      <w:r>
        <w:rPr>
          <w:rFonts w:ascii="Times New Roman" w:hAnsi="Times New Roman"/>
          <w:color w:val="444444"/>
          <w:sz w:val="24"/>
        </w:rPr>
        <w:t xml:space="preserve">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egyéb pénzügyi vállalatok: az összes olyan pénzügyi vállalkozás és </w:t>
      </w:r>
      <w:proofErr w:type="spellStart"/>
      <w:r>
        <w:rPr>
          <w:rFonts w:ascii="Times New Roman" w:hAnsi="Times New Roman"/>
          <w:sz w:val="24"/>
        </w:rPr>
        <w:t>kvázivállalkozás</w:t>
      </w:r>
      <w:proofErr w:type="spellEnd"/>
      <w:r>
        <w:rPr>
          <w:rFonts w:ascii="Times New Roman" w:hAnsi="Times New Roman"/>
          <w:sz w:val="24"/>
        </w:rPr>
        <w:t xml:space="preserve">, amely nem hitelintézet, mint például a befektetési vállalkozások, befektetési alapok, biztosítók, nyugdíjalapok, kollektív befektetési vállalkozások és </w:t>
      </w:r>
      <w:proofErr w:type="spellStart"/>
      <w:r>
        <w:rPr>
          <w:rFonts w:ascii="Times New Roman" w:hAnsi="Times New Roman"/>
          <w:sz w:val="24"/>
        </w:rPr>
        <w:t>elszámolóházak</w:t>
      </w:r>
      <w:proofErr w:type="spellEnd"/>
      <w:r>
        <w:rPr>
          <w:rFonts w:ascii="Times New Roman" w:hAnsi="Times New Roman"/>
          <w:sz w:val="24"/>
        </w:rPr>
        <w:t xml:space="preserve">, valamint a többi pénzügyi közvetítő és pénzügyi kiegészítő tevékenységet végzők, továbbá </w:t>
      </w:r>
      <w:proofErr w:type="spellStart"/>
      <w:r>
        <w:rPr>
          <w:rFonts w:ascii="Times New Roman" w:hAnsi="Times New Roman"/>
          <w:sz w:val="24"/>
        </w:rPr>
        <w:t>captive</w:t>
      </w:r>
      <w:proofErr w:type="spellEnd"/>
      <w:r>
        <w:rPr>
          <w:rFonts w:ascii="Times New Roman" w:hAnsi="Times New Roman"/>
          <w:sz w:val="24"/>
        </w:rPr>
        <w:t xml:space="preserve"> finanszírozók és pénzkölcsönzők;</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nem pénzügyi vállalatok: olyan vállalkozások és </w:t>
      </w:r>
      <w:proofErr w:type="spellStart"/>
      <w:r>
        <w:rPr>
          <w:rFonts w:ascii="Times New Roman" w:hAnsi="Times New Roman"/>
          <w:sz w:val="24"/>
        </w:rPr>
        <w:t>kvázivállalkozások</w:t>
      </w:r>
      <w:proofErr w:type="spellEnd"/>
      <w:r>
        <w:rPr>
          <w:rFonts w:ascii="Times New Roman" w:hAnsi="Times New Roman"/>
          <w:sz w:val="24"/>
        </w:rPr>
        <w:t xml:space="preserve">, amelyek nem a pénzügyi közvetítésben, hanem elsősorban a piaci javak előállításában és nem pénzügyi szolgáltatások nyújtásában vesznek részt az EKB BSI rendelettel összhangban; </w:t>
      </w:r>
    </w:p>
    <w:p w:rsidR="009569C7" w:rsidRPr="00EC4FA2"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rPr>
        <w:t xml:space="preserve">háztartások: magánszemélyek vagy magánszemélyek egy csoportja fogyasztóként, kizárólag saját fogyasztásra előállított áruk és nem pénzügyi szolgáltatások előállítóiként, valamint piaci javak, nem pénzügyi és pénzügyi szolgáltatások előállítóiként, feltéve, hogy tevékenységük nem azonos a </w:t>
      </w:r>
      <w:proofErr w:type="spellStart"/>
      <w:r>
        <w:rPr>
          <w:rFonts w:ascii="Times New Roman" w:hAnsi="Times New Roman"/>
          <w:sz w:val="24"/>
        </w:rPr>
        <w:t>kvázivállalkozások</w:t>
      </w:r>
      <w:proofErr w:type="spellEnd"/>
      <w:r>
        <w:rPr>
          <w:rFonts w:ascii="Times New Roman" w:hAnsi="Times New Roman"/>
          <w:sz w:val="24"/>
        </w:rPr>
        <w:t xml:space="preserve"> tevékenységével. Idetartoznak még azok a nonprofit intézmények, amelyek háztartásokat szolgálnak ki, és amelyek elsősorban nem piaci javak és szolgáltatások előállításával foglalkoznak háztartások meghatározott csoportjai számára. </w:t>
      </w:r>
    </w:p>
    <w:p w:rsidR="009569C7" w:rsidRPr="00EC4FA2" w:rsidRDefault="00A834F1" w:rsidP="009569C7">
      <w:pPr>
        <w:pStyle w:val="Baseparagraphnumbered"/>
      </w:pPr>
      <w:r>
        <w:t xml:space="preserve">Az ügyfélszektor meghatározása kizárólag a közvetlen partner jellegén alapul. Az egynél több kötelezett által együttesen vállalt kitettség besorolásának azon kötelezett jellemzői alapján kell történnie, amelyik az intézmény szempontjából relevánsabb vagy meghatározóbb volt a kitettségek vállalásában. Az együttesen vállalt kitettségek ügyfélszektor, székhely szerinti ország vagy </w:t>
      </w:r>
      <w:proofErr w:type="spellStart"/>
      <w:r>
        <w:t>NACE-kódok</w:t>
      </w:r>
      <w:proofErr w:type="spellEnd"/>
      <w:r>
        <w:t xml:space="preserve"> szerint besorolásánál a relevánsabb vagy meghatározóbb kötelezett jellemzőit kell figyelembe venni.</w:t>
      </w:r>
    </w:p>
    <w:p w:rsidR="009569C7" w:rsidRPr="00EC4FA2" w:rsidRDefault="00A834F1" w:rsidP="009569C7">
      <w:pPr>
        <w:pStyle w:val="Baseparagraphnumbered"/>
      </w:pPr>
      <w:r>
        <w:t>Az alábbi tranzakciókban a közvetlen partnerek a következők:</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hitelek és előlegek vonatkozásában a közvetlen hitelfelvevő.</w:t>
      </w:r>
      <w:r>
        <w:t xml:space="preserve"> </w:t>
      </w:r>
      <w:r>
        <w:rPr>
          <w:rFonts w:ascii="Times New Roman" w:hAnsi="Times New Roman"/>
          <w:sz w:val="24"/>
        </w:rPr>
        <w:t>A kereskedelemfinanszírozás vonatkozásában a közvetlen hitelfelvevő az a partner, amely a követelés megfizetésére kötelezett, kivéve a visszkereseti joggal kötött ügyletekben, amelyekben a közvetlen hitelfelvevő a követelések átadója</w:t>
      </w:r>
      <w:r>
        <w:t xml:space="preserve">, </w:t>
      </w:r>
      <w:r>
        <w:rPr>
          <w:rFonts w:ascii="Times New Roman" w:hAnsi="Times New Roman"/>
          <w:sz w:val="24"/>
        </w:rPr>
        <w:t xml:space="preserve">és amelyekben az adatszolgáltató intézmény nem </w:t>
      </w:r>
      <w:r>
        <w:rPr>
          <w:rFonts w:ascii="Times New Roman" w:hAnsi="Times New Roman"/>
          <w:sz w:val="24"/>
        </w:rPr>
        <w:lastRenderedPageBreak/>
        <w:t>szerzi meg lényegében az átadott követelések tulajdonlásával járó összes kockázatot és hasznot;</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 hitelviszonyt megtestesítő értékpapírok és a tulajdoni részesedést megtestesítő instrumentumok vonatkozásában az értékpapírok kibocsátója;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 betétek vonatkozásában a betétes;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rövid pozíciók vonatkozásában az értékpapír-kölcsönvételi ügyletben vagy a fordított </w:t>
      </w:r>
      <w:proofErr w:type="spellStart"/>
      <w:r>
        <w:rPr>
          <w:rFonts w:ascii="Times New Roman" w:hAnsi="Times New Roman"/>
          <w:sz w:val="24"/>
        </w:rPr>
        <w:t>repomegállapodásban</w:t>
      </w:r>
      <w:proofErr w:type="spellEnd"/>
      <w:r>
        <w:rPr>
          <w:rFonts w:ascii="Times New Roman" w:hAnsi="Times New Roman"/>
          <w:sz w:val="24"/>
        </w:rPr>
        <w:t xml:space="preserve"> részt vevő partner;</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 származtatott ügyletek vonatkozásában a származtatott ügyletben közvetlenül részt vevő partner. A központilag elszámolt tőzsdén kívüli származtatott ügyletek vonatkozásában a közvetlen partner a központi szerződő félként eljáró elszámolóház. A hitelkockázati származtatott ügyletek esetében a partner szerinti részletezés arra a szektorra vonatkozik, amelyhez a szerződéses partner (a védelem vásárlója vagy eladója) tartozik;</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az adott pénzügyi garanciák vonatkozásában a partner a garantált hitelviszonyt megtestesítő instrumentum közvetlen partnere;</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az adott hitelnyújtási elkötelezettségek és az egyéb adott elkötelezettségek vonatkozásában a partner az a fél, amelynek a hitelkockázatát az adatszolgáltató intézmény viseli; </w:t>
      </w:r>
    </w:p>
    <w:p w:rsidR="009569C7" w:rsidRPr="00EC4FA2" w:rsidRDefault="00A834F1" w:rsidP="009569C7">
      <w:pPr>
        <w:numPr>
          <w:ilvl w:val="0"/>
          <w:numId w:val="53"/>
        </w:numPr>
        <w:jc w:val="both"/>
        <w:rPr>
          <w:rFonts w:ascii="Times New Roman" w:hAnsi="Times New Roman"/>
          <w:sz w:val="24"/>
          <w:szCs w:val="24"/>
        </w:rPr>
      </w:pPr>
      <w:r>
        <w:rPr>
          <w:rFonts w:ascii="Times New Roman" w:hAnsi="Times New Roman"/>
          <w:sz w:val="24"/>
        </w:rPr>
        <w:t xml:space="preserve">a kapott hitelnyújtási elkötelezettségek, pénzügyi garanciák és egyéb elkötelezettségek vonatkozásában a </w:t>
      </w:r>
      <w:proofErr w:type="spellStart"/>
      <w:r>
        <w:rPr>
          <w:rFonts w:ascii="Times New Roman" w:hAnsi="Times New Roman"/>
          <w:sz w:val="24"/>
        </w:rPr>
        <w:t>garantőr</w:t>
      </w:r>
      <w:proofErr w:type="spellEnd"/>
      <w:r>
        <w:rPr>
          <w:rFonts w:ascii="Times New Roman" w:hAnsi="Times New Roman"/>
          <w:sz w:val="24"/>
        </w:rPr>
        <w:t xml:space="preserve"> vagy a partner az a fél, amely az elkötelezettséget nyújtja az adatszolgáltató intézménynek.</w:t>
      </w:r>
    </w:p>
    <w:p w:rsidR="009569C7" w:rsidRPr="00EC4FA2" w:rsidRDefault="009569C7" w:rsidP="009569C7"/>
    <w:p w:rsidR="009569C7" w:rsidRPr="00EC4FA2" w:rsidRDefault="00A834F1" w:rsidP="009569C7">
      <w:pPr>
        <w:jc w:val="center"/>
        <w:rPr>
          <w:rFonts w:ascii="Times New Roman" w:hAnsi="Times New Roman"/>
          <w:b/>
          <w:sz w:val="24"/>
          <w:szCs w:val="24"/>
        </w:rPr>
      </w:pPr>
      <w:bookmarkStart w:id="43" w:name="_Toc361844209"/>
      <w:r>
        <w:rPr>
          <w:rFonts w:ascii="Times New Roman" w:hAnsi="Times New Roman"/>
          <w:b/>
          <w:sz w:val="24"/>
        </w:rPr>
        <w:t>2. RÉSZ</w:t>
      </w:r>
      <w:bookmarkEnd w:id="43"/>
    </w:p>
    <w:p w:rsidR="009569C7" w:rsidRPr="00EC4FA2" w:rsidRDefault="00A834F1" w:rsidP="009569C7">
      <w:pPr>
        <w:pStyle w:val="Heading1"/>
        <w:jc w:val="both"/>
      </w:pPr>
      <w:bookmarkStart w:id="44" w:name="_Toc362359281"/>
      <w:bookmarkStart w:id="45" w:name="_Toc467855205"/>
      <w:bookmarkStart w:id="46" w:name="_Toc485913582"/>
      <w:r>
        <w:t>A táblához kapcsolódó útmutató</w:t>
      </w:r>
      <w:bookmarkEnd w:id="44"/>
      <w:bookmarkEnd w:id="45"/>
      <w:bookmarkEnd w:id="46"/>
    </w:p>
    <w:p w:rsidR="009569C7" w:rsidRPr="00EC4FA2" w:rsidRDefault="00A834F1" w:rsidP="009569C7">
      <w:pPr>
        <w:pStyle w:val="subtitlenumbered"/>
        <w:keepNext/>
        <w:numPr>
          <w:ilvl w:val="0"/>
          <w:numId w:val="36"/>
        </w:numPr>
        <w:jc w:val="both"/>
      </w:pPr>
      <w:bookmarkStart w:id="47" w:name="_Toc361844211"/>
      <w:bookmarkStart w:id="48" w:name="_Toc362359282"/>
      <w:bookmarkStart w:id="49" w:name="_Toc467855206"/>
      <w:bookmarkStart w:id="50" w:name="_Toc485913583"/>
      <w:r>
        <w:t>Mérleg</w:t>
      </w:r>
      <w:bookmarkEnd w:id="47"/>
      <w:bookmarkEnd w:id="48"/>
      <w:bookmarkEnd w:id="49"/>
      <w:bookmarkEnd w:id="50"/>
    </w:p>
    <w:p w:rsidR="009569C7" w:rsidRPr="00EC4FA2" w:rsidRDefault="00A834F1" w:rsidP="009569C7">
      <w:pPr>
        <w:pStyle w:val="sub-subtitlenumbered"/>
        <w:jc w:val="both"/>
      </w:pPr>
      <w:bookmarkStart w:id="51" w:name="_Toc361844212"/>
      <w:bookmarkStart w:id="52" w:name="_Toc362359283"/>
      <w:bookmarkStart w:id="53" w:name="_Toc467855207"/>
      <w:bookmarkStart w:id="54" w:name="_Toc485913584"/>
      <w:r>
        <w:t>Eszközök (1.1.)</w:t>
      </w:r>
      <w:bookmarkEnd w:id="51"/>
      <w:bookmarkEnd w:id="52"/>
      <w:bookmarkEnd w:id="53"/>
      <w:bookmarkEnd w:id="54"/>
    </w:p>
    <w:p w:rsidR="009569C7" w:rsidRPr="00EC4FA2" w:rsidRDefault="00A834F1" w:rsidP="009569C7">
      <w:pPr>
        <w:pStyle w:val="Baseparagraphnumbered"/>
        <w:numPr>
          <w:ilvl w:val="0"/>
          <w:numId w:val="35"/>
        </w:numPr>
      </w:pPr>
      <w:bookmarkStart w:id="55" w:name="_Toc246513943"/>
      <w:bookmarkStart w:id="56" w:name="_Toc246730615"/>
      <w:bookmarkStart w:id="57" w:name="_Toc246730706"/>
      <w:bookmarkEnd w:id="55"/>
      <w:bookmarkEnd w:id="56"/>
      <w:bookmarkEnd w:id="57"/>
      <w:r>
        <w:t>A „Készpénz” magában foglalja a forgalomban lévő, általánosan fizetésre használt nemzeti és külföldi bankjegyek és érmék állományait.</w:t>
      </w:r>
    </w:p>
    <w:p w:rsidR="009569C7" w:rsidRPr="00EC4FA2" w:rsidRDefault="00A834F1" w:rsidP="009569C7">
      <w:pPr>
        <w:pStyle w:val="Baseparagraphnumbered"/>
      </w:pPr>
      <w:r>
        <w:t>A „Számlakövetelések központi bankokkal szemben” közé tartoznak a központi bankoknál tartott látra szóló követel egyenlegek.</w:t>
      </w:r>
    </w:p>
    <w:p w:rsidR="009569C7" w:rsidRPr="00EC4FA2" w:rsidRDefault="00A834F1" w:rsidP="009569C7">
      <w:pPr>
        <w:pStyle w:val="Baseparagraphnumbered"/>
      </w:pPr>
      <w:r>
        <w:t xml:space="preserve">Az „Egyéb látra szóló betétek” tartalmazza a hitelintézeteknél tartott látra szóló követelések egyenlegét. </w:t>
      </w:r>
    </w:p>
    <w:p w:rsidR="009569C7" w:rsidRPr="00EC4FA2" w:rsidRDefault="00A834F1" w:rsidP="009569C7">
      <w:pPr>
        <w:pStyle w:val="Baseparagraphnumbered"/>
      </w:pPr>
      <w:r>
        <w:t>A „Leányvállalatokba</w:t>
      </w:r>
      <w:r w:rsidR="007E58F7">
        <w:t>n</w:t>
      </w:r>
      <w:r>
        <w:t>, közös vállalkozásokba</w:t>
      </w:r>
      <w:r w:rsidR="007E58F7">
        <w:t>n</w:t>
      </w:r>
      <w:r>
        <w:t xml:space="preserve"> valamint társult vállalkozásokba</w:t>
      </w:r>
      <w:r w:rsidR="007E58F7">
        <w:t>n</w:t>
      </w:r>
      <w:r>
        <w:t xml:space="preserve"> </w:t>
      </w:r>
      <w:r w:rsidR="007E58F7">
        <w:t>lévő</w:t>
      </w:r>
      <w:r>
        <w:t xml:space="preserve"> befektetések” közé tartoznak a társult vállalkozásokba, </w:t>
      </w:r>
      <w:r>
        <w:lastRenderedPageBreak/>
        <w:t>közös vállalkozásokba és leányvállalatokba történt olyan befektetések, amelyek a prudenciális konszolidáció keretében nem teljesen, vagy arányosan konszolidáltak, kivéve, ha azok az IFRS 5 standardnak megfelelően értékesítésre tartottnak minősülnek, függetlenül értékelésük módjától, ideértve, ha a számviteli standardok lehetővé teszik bevonásukat a pénzügyi instrumentumokhoz használt különböző számviteli portfóliókba. A tőkemódszer</w:t>
      </w:r>
      <w:r w:rsidR="00675B49">
        <w:t>rel értékelt</w:t>
      </w:r>
      <w:r>
        <w:t xml:space="preserve"> befektetések könyv szerinti értéke tartalmazza a kapcsolódó cégértéket. </w:t>
      </w:r>
    </w:p>
    <w:p w:rsidR="009569C7" w:rsidRPr="00EC4FA2" w:rsidRDefault="00A834F1" w:rsidP="009569C7">
      <w:pPr>
        <w:pStyle w:val="Baseparagraphnumbered"/>
      </w:pPr>
      <w:r>
        <w:t xml:space="preserve">Azokat az eszközöket, amelyek nem pénzügyi eszközök, és amelyek jellegüknél fogva nem sorolhatók be a mérleg meghatározott tételei közé, az „Egyéb eszközök” között kell feltüntetni. Az egyéb eszközök magukban foglalják többek között a következőket: arany, ezüst és egyéb áru, még akkor is, ha azokat kereskedési szándékkal tartják. </w:t>
      </w:r>
    </w:p>
    <w:p w:rsidR="009569C7" w:rsidRPr="00EC4FA2" w:rsidRDefault="00A834F1" w:rsidP="009569C7">
      <w:pPr>
        <w:pStyle w:val="Baseparagraphnumbered"/>
      </w:pPr>
      <w:r>
        <w:t xml:space="preserve">A BAD alapján kidolgozott vonatkozó nemzeti GAAP szerinti elszámolás esetén a visszavásárolt saját részvények könyv szerinti értékét az egyéb eszközök között kell feltüntetni, ha a vonatkozó nemzeti GAAP értelmében az eszközként történő bemutatás megengedett. </w:t>
      </w:r>
    </w:p>
    <w:p w:rsidR="009569C7" w:rsidRPr="00EC4FA2" w:rsidRDefault="00A834F1" w:rsidP="009569C7">
      <w:pPr>
        <w:pStyle w:val="Baseparagraphnumbered"/>
      </w:pPr>
      <w:r>
        <w:t xml:space="preserve">Az „Értékesítésre tartottá minősített befektetett eszközök és elidegenítési csoportok” jelentése ugyanaz, mint az IFRS 5 alapján. </w:t>
      </w:r>
    </w:p>
    <w:p w:rsidR="009569C7" w:rsidRPr="00EC4FA2" w:rsidRDefault="00A834F1" w:rsidP="009569C7">
      <w:pPr>
        <w:pStyle w:val="sub-subtitlenumbered"/>
        <w:jc w:val="both"/>
      </w:pPr>
      <w:bookmarkStart w:id="58" w:name="_Toc361844213"/>
      <w:bookmarkStart w:id="59" w:name="_Toc362359284"/>
      <w:bookmarkStart w:id="60" w:name="_Toc467855208"/>
      <w:bookmarkStart w:id="61" w:name="_Toc485913585"/>
      <w:r>
        <w:t>Kötelezettségek (1.2.)</w:t>
      </w:r>
      <w:bookmarkEnd w:id="58"/>
      <w:bookmarkEnd w:id="59"/>
      <w:bookmarkEnd w:id="60"/>
      <w:bookmarkEnd w:id="61"/>
    </w:p>
    <w:p w:rsidR="009569C7" w:rsidRPr="00EC4FA2" w:rsidRDefault="00A834F1" w:rsidP="009569C7">
      <w:pPr>
        <w:pStyle w:val="Baseparagraphnumbered"/>
      </w:pPr>
      <w:bookmarkStart w:id="62" w:name="_Toc246513946"/>
      <w:bookmarkStart w:id="63" w:name="_Toc246730618"/>
      <w:bookmarkStart w:id="64" w:name="_Toc246730709"/>
      <w:bookmarkEnd w:id="62"/>
      <w:bookmarkEnd w:id="63"/>
      <w:bookmarkEnd w:id="64"/>
      <w:r>
        <w:t xml:space="preserve"> A BAD alapján kidolgozott nemzeti GAAP szerinti elszámolás esetén a </w:t>
      </w:r>
      <w:proofErr w:type="spellStart"/>
      <w:r>
        <w:t>portfóliófedezeti</w:t>
      </w:r>
      <w:proofErr w:type="spellEnd"/>
      <w:r>
        <w:t xml:space="preserve"> kapcsolat nem hatékony részéből eredő függő veszteségekre képzett céltartalékokat a „Származtatott ügyletek – Fedezeti elszámolások” sorban kell feltüntetni, ha a veszteség a származtatott fedezeti ügylet értékeléséből ered, vagy a „Fedezett tételek valós értékének változása kamatlábkockázatok </w:t>
      </w:r>
      <w:proofErr w:type="spellStart"/>
      <w:r>
        <w:t>portfóliófedezeti</w:t>
      </w:r>
      <w:proofErr w:type="spellEnd"/>
      <w:r>
        <w:t xml:space="preserve"> ügylete során” sorban, ha a veszteség a fedezett pozíció értékeléséből ered. Ha nem lehet különbséget tenni a származtatott fedezeti ügylet értékeléséből eredő veszteség és a fedezett pozíció értékeléséből eredő veszteség között, a </w:t>
      </w:r>
      <w:proofErr w:type="spellStart"/>
      <w:r>
        <w:t>portfóliófedezeti</w:t>
      </w:r>
      <w:proofErr w:type="spellEnd"/>
      <w:r>
        <w:t xml:space="preserve"> kapcsolat nem hatékony részéből eredő függő veszteségekre képzett valamennyi céltartalékot a „Származtatott ügyletek – Fedezeti elszámolások” sorban kell feltüntetni.</w:t>
      </w:r>
    </w:p>
    <w:p w:rsidR="009569C7" w:rsidRPr="00EC4FA2" w:rsidRDefault="00A834F1" w:rsidP="009569C7">
      <w:pPr>
        <w:pStyle w:val="Baseparagraphnumbered"/>
      </w:pPr>
      <w:r>
        <w:t xml:space="preserve">A „Nyugdíjra és egyéb munkaviszony megszűnése utáni meghatározott juttatási kötelmekre képzett céltartalék” alá tartozik a meghatározott juttatásra vonatkozó nettó kötelezettségek összege. </w:t>
      </w:r>
    </w:p>
    <w:p w:rsidR="009569C7" w:rsidRPr="00EC4FA2" w:rsidRDefault="00A834F1" w:rsidP="009569C7">
      <w:pPr>
        <w:pStyle w:val="Baseparagraphnumbered"/>
      </w:pPr>
      <w:r>
        <w:t>Az IFRS szerinti elszámolás esetén az „egyéb hosszú távú munkavállalói juttatásokra” képzett céltartalékok tartalmazzák az IAS 19 153. bekezdésében felsorolt hosszú távú munkavállalói juttatási programok hiányainak összegeit is. A rövid távú munkavállalói juttatásokból [IAS 19 11. bekezdésének a) pontja], a meghatározott hozzájárulási programokból [IAS 19 51. bekezdésének a) pontja] és a végkielégítésekből [IAS 19 169. bekezdésének a) pontja] származó elhatárolt kiadásokat az „Egyéb kötelezettségek” között kell szerepeltetni.</w:t>
      </w:r>
    </w:p>
    <w:p w:rsidR="009569C7" w:rsidRPr="00EC4FA2" w:rsidRDefault="00A834F1" w:rsidP="009569C7">
      <w:pPr>
        <w:pStyle w:val="Baseparagraphnumbered"/>
      </w:pPr>
      <w:r>
        <w:lastRenderedPageBreak/>
        <w:t xml:space="preserve">Az IFRS szerinti elszámolás esetén az „Adott elkötelezettségekre és garanciákra képzett céltartalék” tartalmazza az elkötelezettséghez és garanciához kapcsolódó valamennyi céltartalékot, függetlenül attól, hogy értékvesztésüket az IFRS 9 szerint határozzák-e meg vagy </w:t>
      </w:r>
      <w:proofErr w:type="spellStart"/>
      <w:r>
        <w:t>céltartalékképzésük</w:t>
      </w:r>
      <w:proofErr w:type="spellEnd"/>
      <w:r>
        <w:t xml:space="preserve"> az IAS 37-nek megfelelően történik, illetőleg az IFRS 4 szerinti biztosítási szerződésként kezelik őket. Az eredménnyel szemben valós értéken értékelt elkötelezettségekből és pénzügyi garanciákból eredő kötelezettségek nem tüntethetők fel céltartalékként, bár hitelkockázathoz kapcsolódnak, hanem azokat e melléklet 1. részének 40. bekezdése szerint „Egyéb pénzügyi kötelezettségek”</w:t>
      </w:r>
      <w:proofErr w:type="spellStart"/>
      <w:r>
        <w:t>-ként</w:t>
      </w:r>
      <w:proofErr w:type="spellEnd"/>
      <w:r>
        <w:t xml:space="preserve"> kell feltüntetni. A BAD alapján kidolgozott nemzeti GAAP szerinti elszámolás esetén az „Adott elkötelezettségekre és garanciákra képzett céltartalék” valamennyi elkötelezettséghez és garanciához kapcsolódó céltartalékot tartalmazza.</w:t>
      </w:r>
    </w:p>
    <w:p w:rsidR="009569C7" w:rsidRPr="00EC4FA2" w:rsidRDefault="00A834F1" w:rsidP="009569C7">
      <w:pPr>
        <w:pStyle w:val="Baseparagraphnumbered"/>
      </w:pPr>
      <w:r>
        <w:t>A „Kérésre visszafizetendő jegyzett tőke” tartalmazza azokat az intézmény által kibocsátott, tulajdoni részesedést megtestesítő instrumentumokat, amelyek nem felelnek meg a saját tőkébe való besorolás feltételeinek. Ebben a tételben kell az intézményeknek feltüntetniük azokat a szövetkezeti részjegyeket, amelyek nem felelnek meg a saját tőkébe való besorolás feltételeinek.</w:t>
      </w:r>
    </w:p>
    <w:p w:rsidR="009569C7" w:rsidRPr="00EC4FA2" w:rsidRDefault="00A834F1" w:rsidP="009569C7">
      <w:pPr>
        <w:pStyle w:val="Baseparagraphnumbered"/>
      </w:pPr>
      <w:r>
        <w:t xml:space="preserve">Azokat a kötelezettségeket, amelyek nem pénzügyi kötelezettségek, és amelyek jellegüknél fogva nem sorolhatók be a mérleg meghatározott tételei közé, az „Egyéb kötelezettségek” között kell feltüntetni. </w:t>
      </w:r>
    </w:p>
    <w:p w:rsidR="009569C7" w:rsidRPr="00EC4FA2" w:rsidRDefault="00A834F1" w:rsidP="009569C7">
      <w:pPr>
        <w:pStyle w:val="Baseparagraphnumbered"/>
      </w:pPr>
      <w:r>
        <w:t xml:space="preserve">Az „Értékesítésre tartottá minősített elidegenítési csoportba tartozó kötelezettségek” jelentése ugyanaz, mint az IFRS 5 alapján. </w:t>
      </w:r>
    </w:p>
    <w:p w:rsidR="009569C7" w:rsidRPr="00EC4FA2" w:rsidRDefault="00A834F1" w:rsidP="009569C7">
      <w:pPr>
        <w:pStyle w:val="Baseparagraphnumbered"/>
      </w:pPr>
      <w:r>
        <w:t xml:space="preserve">A BAD alapján kidolgozott nemzeti GAAP szerinti elszámolás esetén az „Általános banki kockázatok fedezetére képzett tartalékok” olyan összegek, amelyeket a BAD 38. cikkével összhangban határoztak meg. Megjelenítésükkor ezeket kötelezettségként a „céltartalékok” között vagy saját tőkeként az „egyéb tartalékok” között, külön kell feltüntetni, a vonatkozó nemzeti </w:t>
      </w:r>
      <w:proofErr w:type="spellStart"/>
      <w:r>
        <w:t>GAAP-nak</w:t>
      </w:r>
      <w:proofErr w:type="spellEnd"/>
      <w:r>
        <w:t xml:space="preserve"> megfelelően.</w:t>
      </w:r>
    </w:p>
    <w:p w:rsidR="009569C7" w:rsidRPr="00EC4FA2" w:rsidRDefault="00A834F1" w:rsidP="009569C7">
      <w:pPr>
        <w:pStyle w:val="sub-subtitlenumbered"/>
        <w:jc w:val="both"/>
      </w:pPr>
      <w:bookmarkStart w:id="65" w:name="_Toc361844214"/>
      <w:bookmarkStart w:id="66" w:name="_Toc362359285"/>
      <w:bookmarkStart w:id="67" w:name="_Toc467855209"/>
      <w:bookmarkStart w:id="68" w:name="_Toc485913586"/>
      <w:r>
        <w:t>Saját tőke (1.3.)</w:t>
      </w:r>
      <w:bookmarkEnd w:id="65"/>
      <w:bookmarkEnd w:id="66"/>
      <w:bookmarkEnd w:id="67"/>
      <w:bookmarkEnd w:id="68"/>
    </w:p>
    <w:p w:rsidR="009569C7" w:rsidRPr="00EC4FA2" w:rsidRDefault="00A834F1" w:rsidP="009569C7">
      <w:pPr>
        <w:pStyle w:val="Baseparagraphnumbered"/>
      </w:pPr>
      <w:r>
        <w:t xml:space="preserve">Az IFRS szerinti elszámolás esetén a tulajdoni részesedést megtestesítő instrumentumok azok a pénzügyi instrumentumok, amelyek az IAS 32 hatóköre alapján meghatározott szerződéseket tartalmazzák. </w:t>
      </w:r>
    </w:p>
    <w:p w:rsidR="009569C7" w:rsidRPr="00EC4FA2" w:rsidRDefault="00A834F1" w:rsidP="009569C7">
      <w:pPr>
        <w:pStyle w:val="Baseparagraphnumbered"/>
      </w:pPr>
      <w:r>
        <w:t>A BAD alapján kidolgozott vonatkozó nemzeti GAAP szerinti elszámolás esetén a „Jegyzett, de még be nem fizetett tőke” tartalmazza annak az intézmény által kibocsátott tőkének a könyv szerinti értékét, amelyet a részvényesek már lejegyeztek, de az adatszolgáltatás időpontjában még nem fizettek be. Amennyiben a még be nem fizetett tőkenövekedés a részvénytőke növekedéseként kerül feltüntetésre, a jegyzett, de még be nem fizetett tőkét az 1.3. táblában kell feltüntetni „Jegyzett, de még be nem fizetett tőke”</w:t>
      </w:r>
      <w:proofErr w:type="spellStart"/>
      <w:r>
        <w:t>-ként</w:t>
      </w:r>
      <w:proofErr w:type="spellEnd"/>
      <w:r>
        <w:t>, valamint az 1.1. táblában „Egyéb eszköz”</w:t>
      </w:r>
      <w:proofErr w:type="spellStart"/>
      <w:r>
        <w:t>-ként</w:t>
      </w:r>
      <w:proofErr w:type="spellEnd"/>
      <w:r>
        <w:t xml:space="preserve">. A BAD alapján kidolgozott vonatkozó nemzeti GAAP szerinti elszámolás esetén, ha a tőkenövekedés </w:t>
      </w:r>
      <w:r>
        <w:lastRenderedPageBreak/>
        <w:t>csak a részvényesektől kapott kifizetéseket követően tüntethető fel, a be nem fizetett tőkét nem kell megadni az 1.3. táblában.</w:t>
      </w:r>
    </w:p>
    <w:p w:rsidR="009569C7" w:rsidRPr="00EC4FA2" w:rsidRDefault="00A834F1" w:rsidP="009569C7">
      <w:pPr>
        <w:pStyle w:val="Baseparagraphnumbered"/>
      </w:pPr>
      <w:r>
        <w:t>Az „Összetett pénzügyi instrumentumok sajáttőke-eleme” tartalmazza az intézmény által kibocsátott összetett pénzügyi instrumentumok (vagyis az olyan pénzügyi instrumentumok, amelyek kötelezettség- és sajáttőke-elemmel egyaránt rendelkeznek) sajáttőke-elemét, ha az a vonatkozó számviteli szabályozás szerint el van különítve (ideértve a többszörösen beágyazott származtatott termékeket tartalmazó összetett pénzügyi instrumentumokat).</w:t>
      </w:r>
    </w:p>
    <w:p w:rsidR="009569C7" w:rsidRPr="00EC4FA2" w:rsidRDefault="00A834F1" w:rsidP="009569C7">
      <w:pPr>
        <w:pStyle w:val="Baseparagraphnumbered"/>
      </w:pPr>
      <w:r>
        <w:t xml:space="preserve">Az „Egyéb kibocsátott tulajdoni részesedést megtestesítő instrumentumok” közé tartoznak azok a tulajdoni részesedést megtestesítő instrumentumok, amelyek pénzügyi instrumentumok, a „Jegyzett tőke” és az „Összetett pénzügyi instrumentumok sajáttőke-eleme” kivételével. </w:t>
      </w:r>
    </w:p>
    <w:p w:rsidR="009569C7" w:rsidRPr="00EC4FA2" w:rsidRDefault="00A834F1" w:rsidP="009569C7">
      <w:pPr>
        <w:pStyle w:val="Baseparagraphnumbered"/>
      </w:pPr>
      <w:r>
        <w:t xml:space="preserve">Az „Egyéb tőke” magában foglalja az összes olyan tulajdoni részesedést megtestesítő instrumentumot, amely nem pénzügyi instrumentum, ideértve többek között a tulajdoni részesedést megtestesítő instrumentumban teljesített részvényalapú kifizetési ügyleteket [IFRS 2 10. bekezdése]. </w:t>
      </w:r>
    </w:p>
    <w:p w:rsidR="009569C7" w:rsidRPr="00EC4FA2" w:rsidRDefault="00A834F1" w:rsidP="009569C7">
      <w:pPr>
        <w:pStyle w:val="Baseparagraphnumbered"/>
      </w:pPr>
      <w:r>
        <w:t xml:space="preserve">Az „Egyéb átfogó jövedelemmel szemben valós értéken értékelt, tulajdoni részesedést megtestesítő instrumentumok valós értékének változásai” tartalmazza a tulajdoni részesedést megtestesítő azon instrumentumokba való befektetések valós értékének változásából eredő halmozott nyereséget vagy veszteséget, amely instrumentumok esetében az adatszolgáltató intézmény visszavonhatatlan döntést hozott arról, hogy a valósérték-változásokat az egyéb átfogó jövedelemben mutatja be. </w:t>
      </w:r>
    </w:p>
    <w:p w:rsidR="009569C7" w:rsidRPr="00EC4FA2" w:rsidRDefault="00A834F1" w:rsidP="009569C7">
      <w:pPr>
        <w:pStyle w:val="Baseparagraphnumbered"/>
      </w:pPr>
      <w:r>
        <w:t xml:space="preserve">Az „Egyéb átfogó jövedelemmel szemben valós értéken értékelt, tulajdoni részesedést megtestesítő instrumentumok valósérték-fedezeti ügyleteinek fedezeti hatékonysághiánya” tartalmazza az azon valósérték-fedezeti ügyleteken keletkező halmozott fedezeti hatékonysághiányt, amely ügyletekben a fedezett tétel egyéb átfogó jövedelemmel szemben valós értéken értékelt, tulajdoni részesedést megtestesítő instrumentum. </w:t>
      </w:r>
      <w:proofErr w:type="gramStart"/>
      <w:r>
        <w:t>Az ebben a sorban feltüntetett fedezeti hatékonysághiány a tulajdoni részesedést megtestesítő instrumentumok valós értékének „Az egyéb átfogó jövedelemmel szemben valós értéken értékelt, tulajdoni részesedést megtestesítő instrumentumok valós értékének változásai [fedezett tétel]” tételben feltüntetett halmozott változása és a származtatott fedezeti ügylet valós értékének „Az egyéb átfogó jövedelemmel szemben valós értéken értékelt, tulajdoni részesedést megtestesítő instrumentumok valós értékének változásai [fedezeti instrumentum]” tételben feltüntetett halmozott változásai közötti különbség</w:t>
      </w:r>
      <w:proofErr w:type="gramEnd"/>
      <w:r>
        <w:t xml:space="preserve"> [az IFRS 9 6.5.3. bekezdése és az IFRS 9 6.5.8. bekezdése]. </w:t>
      </w:r>
    </w:p>
    <w:p w:rsidR="009569C7" w:rsidRPr="00EC4FA2" w:rsidRDefault="00A834F1" w:rsidP="007E58F7">
      <w:pPr>
        <w:pStyle w:val="Baseparagraphnumbered"/>
      </w:pPr>
      <w:r>
        <w:t>„Az eredménnyel szemben valós értéken értékelt pénzügyi kötelezettségek hitel</w:t>
      </w:r>
      <w:r w:rsidR="007E58F7">
        <w:t xml:space="preserve">ezési </w:t>
      </w:r>
      <w:r>
        <w:t>kockázat</w:t>
      </w:r>
      <w:r w:rsidR="007E58F7">
        <w:t xml:space="preserve"> </w:t>
      </w:r>
      <w:r w:rsidR="007E58F7" w:rsidRPr="007E58F7">
        <w:t>változásából származó valósérték-változásai</w:t>
      </w:r>
      <w:r>
        <w:t xml:space="preserve">” az egyéb átfogó jövedelemben megjelenített és az eredménnyel szemben valós értéken értékeltnek megjelölt kötelezettségek saját hitelkockázatához kapcsolódó </w:t>
      </w:r>
      <w:r>
        <w:lastRenderedPageBreak/>
        <w:t xml:space="preserve">halmozott nyereséget és veszteséget tartalmazza, függetlenül attól, hogy a megjelölésre a kezdeti megjelenítéskor vagy később kerül sor. </w:t>
      </w:r>
    </w:p>
    <w:p w:rsidR="009569C7" w:rsidRPr="00EC4FA2" w:rsidRDefault="00A834F1" w:rsidP="009569C7">
      <w:pPr>
        <w:pStyle w:val="Baseparagraphnumbered"/>
      </w:pPr>
      <w:r>
        <w:t xml:space="preserve">A „Külföldi érdekeltségekbe történt nettó befektetések fedezeti ügyletei [hatékony rész]” tartalmazza a külföldi érdekeltségekbe történt nettó befektetések folyamatban lévő fedezeti ügyleteinek, valamint a külföldi érdekeltségekbe történt nettó befektetések azon fedezeti ügyleteinek hatékony részére képzett devizaátszámítási tartalékot, melyek már nem állnak fenn, miközben a külföldi érdekeltségek a mérlegben megjelenítettek maradnak. </w:t>
      </w:r>
    </w:p>
    <w:p w:rsidR="009569C7" w:rsidRPr="00EC4FA2" w:rsidRDefault="00A834F1" w:rsidP="009569C7">
      <w:pPr>
        <w:pStyle w:val="Baseparagraphnumbered"/>
      </w:pPr>
      <w:r>
        <w:t>A „Származtatott fedezeti ügyletek. Cash flow-fedezeti ügyletek tartaléka [hatékony rész]” tartalmazza a cash flow-fedezeti ügyletben levő származtatott fedezeti ügyletek valós értékében bekövetkezett változás hatékony részére képzett cash flow-fedezeti ügylet tartalékát, mind a folyamatban lévő, mind a már fenn nem álló cash flow-fedezeti ügylet vonatkozásában.</w:t>
      </w:r>
    </w:p>
    <w:p w:rsidR="009569C7" w:rsidRPr="00EC4FA2" w:rsidRDefault="00A834F1" w:rsidP="009569C7">
      <w:pPr>
        <w:pStyle w:val="Baseparagraphnumbered"/>
      </w:pPr>
      <w:r>
        <w:t xml:space="preserve">Az „Egyéb átfogó jövedelemmel szemben valós értéken értékelt hitelviszonyt megtestesítő instrumentumok valós értékének változásai” tartalmazza az egyéb átfogó jövedelemmel szemben valós értéken értékelt, hitelviszonyt megtestesítő instrumentumokon képződött, az IFRS 9 5.5. bekezdése szerint </w:t>
      </w:r>
      <w:proofErr w:type="gramStart"/>
      <w:r>
        <w:t>a</w:t>
      </w:r>
      <w:proofErr w:type="gramEnd"/>
      <w:r>
        <w:t xml:space="preserve"> adatszolgáltatás vonatkozási időpontjában értékelt értékvesztéssel csökkentett halmozott nyereségeket vagy veszteségeket.</w:t>
      </w:r>
    </w:p>
    <w:p w:rsidR="009569C7" w:rsidRPr="00EC4FA2" w:rsidRDefault="00A834F1" w:rsidP="009569C7">
      <w:pPr>
        <w:pStyle w:val="Baseparagraphnumbered"/>
      </w:pPr>
      <w:r>
        <w:t>A „Fedezeti instrumentumok [nem megjelölt elemek]” tartalmazza a következők valós értékében bekövetkezett halmozott változásokat:</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az opció időértéke, ahol a szóban forgó opció időértékében és belső értékében bekövetkezett változásait elkülönítik, és csak az opció belső értékének változását jelölik meg fedezeti instrumentumként [az IFRS 9 6.5.15. bekezdése];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 xml:space="preserve">a </w:t>
      </w:r>
      <w:proofErr w:type="spellStart"/>
      <w:r>
        <w:rPr>
          <w:rFonts w:ascii="Times New Roman" w:hAnsi="Times New Roman"/>
          <w:sz w:val="24"/>
        </w:rPr>
        <w:t>forwardszerződés</w:t>
      </w:r>
      <w:proofErr w:type="spellEnd"/>
      <w:r>
        <w:rPr>
          <w:rFonts w:ascii="Times New Roman" w:hAnsi="Times New Roman"/>
          <w:sz w:val="24"/>
        </w:rPr>
        <w:t xml:space="preserve"> határidős eleme, ahol a szóban forgó </w:t>
      </w:r>
      <w:proofErr w:type="spellStart"/>
      <w:r>
        <w:rPr>
          <w:rFonts w:ascii="Times New Roman" w:hAnsi="Times New Roman"/>
          <w:sz w:val="24"/>
        </w:rPr>
        <w:t>forwardszerződés</w:t>
      </w:r>
      <w:proofErr w:type="spellEnd"/>
      <w:r>
        <w:rPr>
          <w:rFonts w:ascii="Times New Roman" w:hAnsi="Times New Roman"/>
          <w:sz w:val="24"/>
        </w:rPr>
        <w:t xml:space="preserve"> határidős elemét és azonnali elemét elkülönítik, és csak a </w:t>
      </w:r>
      <w:proofErr w:type="spellStart"/>
      <w:r>
        <w:rPr>
          <w:rFonts w:ascii="Times New Roman" w:hAnsi="Times New Roman"/>
          <w:sz w:val="24"/>
        </w:rPr>
        <w:t>forwardszerződés</w:t>
      </w:r>
      <w:proofErr w:type="spellEnd"/>
      <w:r>
        <w:rPr>
          <w:rFonts w:ascii="Times New Roman" w:hAnsi="Times New Roman"/>
          <w:sz w:val="24"/>
        </w:rPr>
        <w:t xml:space="preserve"> azonnali elemében bekövetkező változást jelölik meg fedezeti instrumentumként; </w:t>
      </w:r>
    </w:p>
    <w:p w:rsidR="009569C7" w:rsidRPr="00EC4FA2" w:rsidRDefault="00A834F1" w:rsidP="009569C7">
      <w:pPr>
        <w:pStyle w:val="ListParagraph"/>
        <w:numPr>
          <w:ilvl w:val="0"/>
          <w:numId w:val="38"/>
        </w:numPr>
        <w:spacing w:after="240" w:line="240" w:lineRule="auto"/>
        <w:ind w:left="1134" w:hanging="425"/>
        <w:contextualSpacing w:val="0"/>
        <w:jc w:val="both"/>
        <w:rPr>
          <w:rFonts w:ascii="Times New Roman" w:hAnsi="Times New Roman"/>
          <w:sz w:val="24"/>
          <w:szCs w:val="24"/>
        </w:rPr>
      </w:pPr>
      <w:r>
        <w:rPr>
          <w:rFonts w:ascii="Times New Roman" w:hAnsi="Times New Roman"/>
          <w:sz w:val="24"/>
        </w:rPr>
        <w:t>a pénzügyi instrumentum devizafelára, ha ezt a felárat kizárják a szóban forgó pénzügyi instrumentum fedezeti instrumentumként való megjelöléséből [az IFRS 9 6.5.15. bekezdése és 6.5.16. bekezdése].</w:t>
      </w:r>
    </w:p>
    <w:p w:rsidR="009569C7" w:rsidRPr="00EC4FA2" w:rsidRDefault="00A834F1" w:rsidP="009569C7">
      <w:pPr>
        <w:pStyle w:val="Baseparagraphnumbered"/>
      </w:pPr>
      <w:r>
        <w:t xml:space="preserve">Az IFRS szerinti elszámolás esetén az „Átértékelési tartalék” az IAS első alkalmazásából eredő tartalékok összegét tartalmazza, amelyeket nem oldottak fel más típusú tartalékok javára. </w:t>
      </w:r>
    </w:p>
    <w:p w:rsidR="009569C7" w:rsidRPr="00EC4FA2" w:rsidRDefault="00A834F1" w:rsidP="009569C7">
      <w:pPr>
        <w:pStyle w:val="Baseparagraphnumbered"/>
      </w:pPr>
      <w:r>
        <w:t xml:space="preserve">Az „Egyéb tartalékok” a „Tőkemódszerrel értékelt, leányvállalatokba, közös vállalkozásokba, valamint társult vállalkozásokba történt befektetések tartalékai vagy halmozott veszteségei” és az „Egyéb” között oszlanak meg. A „Tőkemódszerrel értékelt, leányvállalatokba, közös vállalkozásokba, valamint társult vállalkozásokba történt befektetések tartalékai vagy halmozott </w:t>
      </w:r>
      <w:r>
        <w:lastRenderedPageBreak/>
        <w:t>veszteségei” tartalmazza az előbb említett befektetésekből nyereség vagy veszteség révén származó, az elmúlt évek során felhalmozódott bevételek és ráfordítások összegét, amennyiben azokat a tőkemódszerrel számolják el. Az „Egyéb” tétel tartalmazza a más tételekben külön közzétett tartalékoktól eltérő tartalékokat, és tartalmazhat törvény és jogszabály által előírt tartalékot.</w:t>
      </w:r>
    </w:p>
    <w:p w:rsidR="009569C7" w:rsidRPr="00EC4FA2" w:rsidRDefault="00A834F1" w:rsidP="009569C7">
      <w:pPr>
        <w:pStyle w:val="Baseparagraphnumbered"/>
      </w:pPr>
      <w:r>
        <w:t xml:space="preserve">A „Saját részvények” tétel minden olyan – nem értékesített vagy amortizált – pénzügyi instrumentumot magában foglal, amely rendelkezik azoknak a sajáttőke-instrumentumoknak a jellemzőivel, amelyeket az intézmény visszavásárolt, kivéve, ha a BAD alapján kidolgozott vonatkozó nemzeti GAAP értelmében azt az „egyéb eszközök” között kell feltüntetni. </w:t>
      </w:r>
    </w:p>
    <w:p w:rsidR="009569C7" w:rsidRPr="00EC4FA2" w:rsidRDefault="00A834F1" w:rsidP="009569C7">
      <w:pPr>
        <w:pStyle w:val="subtitlenumbered"/>
        <w:jc w:val="both"/>
      </w:pPr>
      <w:bookmarkStart w:id="69" w:name="_Toc246513955"/>
      <w:bookmarkStart w:id="70" w:name="_Toc246730627"/>
      <w:bookmarkStart w:id="71" w:name="_Toc246730718"/>
      <w:bookmarkStart w:id="72" w:name="_Toc361844215"/>
      <w:bookmarkStart w:id="73" w:name="_Toc362359286"/>
      <w:bookmarkStart w:id="74" w:name="_Toc467855210"/>
      <w:bookmarkStart w:id="75" w:name="_Toc485913587"/>
      <w:bookmarkEnd w:id="69"/>
      <w:bookmarkEnd w:id="70"/>
      <w:bookmarkEnd w:id="71"/>
      <w:r>
        <w:t>Eredménykimutatás (2.)</w:t>
      </w:r>
      <w:bookmarkEnd w:id="72"/>
      <w:bookmarkEnd w:id="73"/>
      <w:bookmarkEnd w:id="74"/>
      <w:bookmarkEnd w:id="75"/>
    </w:p>
    <w:p w:rsidR="009569C7" w:rsidRPr="00EC4FA2" w:rsidRDefault="00A834F1" w:rsidP="009569C7">
      <w:pPr>
        <w:pStyle w:val="Baseparagraphnumbered"/>
      </w:pPr>
      <w:r>
        <w:t>Az eredménnyel szemben valós értéken értékelt pénzügyi instrumentumokból és a fedezeti elszámolások kategóriájához sorolt származtatott fedezeti ügyletekből eredő kamatbevételeket és kamatráfordításokat vagy az egyéb nyereségtől és veszteségtől elkülönülten kell feltüntetni a „Kamatbevétel” és „Kamatráfordítások” („tiszta ár” [nettó ár]) tételek alatt, vagy az ezen instrumentumkategóriákból származó nyereség vagy veszteség részeként („piszkos ár” [bruttó ár]). A tiszta vagy a piszkos árra vonatkozó megközelítést következetesen kell alkalmazni az eredménnyel szemben valós értéken értékelt valamennyi pénzügyi instrumentumra és a fedezeti elszámolások kategóriájához sorolt származtatott fedezeti ügyletekre.</w:t>
      </w:r>
    </w:p>
    <w:p w:rsidR="009569C7" w:rsidRPr="00EC4FA2" w:rsidRDefault="00A834F1" w:rsidP="009569C7">
      <w:pPr>
        <w:pStyle w:val="Baseparagraphnumbered"/>
      </w:pPr>
      <w:r>
        <w:t>Az intézményeknek számviteli portfóliók szerinti bontásban kell megadniuk a kapcsolt felekkel összefüggő, a prudenciális konszolidáció keretében nem teljes mértékben vagy arányosan konszolidált következő bevételeket és ráfordításokat is tartalmazó tételeket:</w:t>
      </w:r>
    </w:p>
    <w:p w:rsidR="009569C7" w:rsidRPr="00EC4FA2" w:rsidRDefault="00A834F1" w:rsidP="009569C7">
      <w:pPr>
        <w:pStyle w:val="Baseparagraphnumbered"/>
        <w:numPr>
          <w:ilvl w:val="0"/>
          <w:numId w:val="30"/>
        </w:numPr>
        <w:ind w:left="1134" w:hanging="425"/>
      </w:pPr>
      <w:r>
        <w:t>„Kamatbevétel”;</w:t>
      </w:r>
    </w:p>
    <w:p w:rsidR="009569C7" w:rsidRPr="00EC4FA2" w:rsidRDefault="00A834F1" w:rsidP="009569C7">
      <w:pPr>
        <w:pStyle w:val="Baseparagraphnumbered"/>
        <w:numPr>
          <w:ilvl w:val="0"/>
          <w:numId w:val="30"/>
        </w:numPr>
        <w:ind w:left="1134" w:hanging="425"/>
      </w:pPr>
      <w:r>
        <w:t>„Kamatráfordítások”;</w:t>
      </w:r>
    </w:p>
    <w:p w:rsidR="009569C7" w:rsidRPr="00EC4FA2" w:rsidRDefault="00A834F1" w:rsidP="009569C7">
      <w:pPr>
        <w:pStyle w:val="Baseparagraphnumbered"/>
        <w:numPr>
          <w:ilvl w:val="0"/>
          <w:numId w:val="30"/>
        </w:numPr>
        <w:ind w:left="1134" w:hanging="425"/>
      </w:pPr>
      <w:r>
        <w:t>„Osztalékbevétel”;</w:t>
      </w:r>
    </w:p>
    <w:p w:rsidR="009569C7" w:rsidRPr="00EC4FA2" w:rsidRDefault="00A834F1" w:rsidP="009569C7">
      <w:pPr>
        <w:pStyle w:val="Baseparagraphnumbered"/>
        <w:numPr>
          <w:ilvl w:val="0"/>
          <w:numId w:val="30"/>
        </w:numPr>
        <w:ind w:left="1134" w:hanging="425"/>
      </w:pPr>
      <w:r>
        <w:t>„Az eredménnyel szemben valós értéken értékelt kategóriába nem tartozó pénzügyi eszközök és kötelezettségek kivezetéséből származó nyeresége vagy veszteség, nettó”;</w:t>
      </w:r>
    </w:p>
    <w:p w:rsidR="009569C7" w:rsidRPr="00EC4FA2" w:rsidRDefault="00A834F1" w:rsidP="009569C7">
      <w:pPr>
        <w:pStyle w:val="Baseparagraphnumbered"/>
        <w:numPr>
          <w:ilvl w:val="0"/>
          <w:numId w:val="30"/>
        </w:numPr>
        <w:ind w:left="1134" w:hanging="425"/>
      </w:pPr>
      <w:r>
        <w:t>„Módosításból származó nyereség vagy veszteség, nettó”;</w:t>
      </w:r>
    </w:p>
    <w:p w:rsidR="009569C7" w:rsidRPr="00EC4FA2" w:rsidRDefault="00A834F1" w:rsidP="009569C7">
      <w:pPr>
        <w:pStyle w:val="Baseparagraphnumbered"/>
        <w:numPr>
          <w:ilvl w:val="0"/>
          <w:numId w:val="30"/>
        </w:numPr>
        <w:ind w:left="1134" w:hanging="425"/>
      </w:pPr>
      <w:r>
        <w:t>„Eredménnyel szemben valós értéken értékelt kategóriába nem tartozó pénzügyi eszközök értékvesztése vagy (-) értékvesztésének visszaírása”.</w:t>
      </w:r>
    </w:p>
    <w:p w:rsidR="009569C7" w:rsidRPr="00EC4FA2" w:rsidRDefault="00A834F1" w:rsidP="009569C7">
      <w:pPr>
        <w:pStyle w:val="Baseparagraphnumbered"/>
      </w:pPr>
      <w:r>
        <w:t xml:space="preserve">„Kamatbevétel. Kereskedési céllal tartott pénzügyi eszközök” és a „Kamatráfordítások. A tiszta ár alkalmazása esetén a fedezett pénzügyi instrumentumokból származó pontos kamatbevételek és kamatráfordítások bemutatása érdekében a „Kereskedési céllal tartott pénzügyi kötelezettségek” tartalmazza a „kereskedési céllal tartott” kategóriába besorolt származtatott ügyletekhez kapcsolódó összegeket. </w:t>
      </w:r>
    </w:p>
    <w:p w:rsidR="009569C7" w:rsidRPr="00EC4FA2" w:rsidRDefault="00A834F1" w:rsidP="009569C7">
      <w:pPr>
        <w:pStyle w:val="Baseparagraphnumbered"/>
      </w:pPr>
      <w:r>
        <w:lastRenderedPageBreak/>
        <w:t xml:space="preserve">Tiszta ár alkalmazása esetén a „Kamatbevétel. Kereskedési céllal tartott pénzügyi eszközök” és a „Kamatráfordítások. Kereskedési céllal tartott pénzügyi kötelezettségek” tartalmazza továbbá valamely – az adott alkalomból valós értéken megjelölt – pénzügyi instrumentummal szembeni hitelkockázat vagy annak egy része kezeléséhez felhasznált, az eredménnyel szemben valós értéken értékelt </w:t>
      </w:r>
      <w:proofErr w:type="spellStart"/>
      <w:r>
        <w:t>hitelderivatívához</w:t>
      </w:r>
      <w:proofErr w:type="spellEnd"/>
      <w:r>
        <w:t xml:space="preserve"> kapcsolódó időarányos díjakat és egyenlegfizetéseket [az IFRS 9 6.7. bekezdése]. </w:t>
      </w:r>
    </w:p>
    <w:p w:rsidR="009569C7" w:rsidRPr="00EC4FA2" w:rsidRDefault="00A834F1" w:rsidP="009569C7">
      <w:pPr>
        <w:pStyle w:val="Baseparagraphnumbered"/>
      </w:pPr>
      <w:r>
        <w:t>A „Kamatbevétel. Származtatott ügyletek — Fedezeti elszámolások, kamatlábkockázat” és a „Kamatráfordítások. Származtatott ügyletek — Fedezeti elszámolások, kamatlábkockázat” tiszta ár alkalmazása esetén tartalmazza a „fedezeti elszámolások” kategóriába besorolt azon származtatott ügyletekhez kapcsolódó összegeket, amelyek kamatlábkockázatot fednek le, ideértve az ellentétes kockázati pozíciójú tételcsoportok fedezetei ügyleteit (nettó pozíció fedezete), amelyek fedezett kockázata az eredménykimutatás különböző sorain levő tételeket érint. Tiszta ár használata esetén ezeket az összegeket bruttó kamatbevételként és kamatráfordításként kell jelenteni azon fedezett tételekből származó pontos kamatbevétel és kamatráfordítások bemutatásához, amelyekhez kapcsolódnak. Tiszta áron számítva, amennyiben a fedezett tételek kamatbevételt (</w:t>
      </w:r>
      <w:proofErr w:type="spellStart"/>
      <w:r>
        <w:t>-ráfordítást</w:t>
      </w:r>
      <w:proofErr w:type="spellEnd"/>
      <w:r>
        <w:t>) generálnak, ezeket az összegeket kamatbevételként (</w:t>
      </w:r>
      <w:proofErr w:type="spellStart"/>
      <w:r>
        <w:t>-ráfordításként</w:t>
      </w:r>
      <w:proofErr w:type="spellEnd"/>
      <w:r>
        <w:t>) kell feltüntetni akkor is, ha negatív (pozitív) összegről van szó.</w:t>
      </w:r>
    </w:p>
    <w:p w:rsidR="009569C7" w:rsidRPr="00EC4FA2" w:rsidRDefault="00A834F1" w:rsidP="009569C7">
      <w:pPr>
        <w:pStyle w:val="Baseparagraphnumbered"/>
      </w:pPr>
      <w:r>
        <w:t>A „Kamatbevétel – egyéb eszközök” azon kamatbevételek összegét tartalmazza, amelyek nem szerepelnek a többi tétel között, például azokat a kamatbevételeket, amelyek a készpénz, a számlakövetelések központi bankokkal szemben, az egyéb látra szóló betétek, valamint az értékesítésre tartottá minősített befektetett eszközök és elidegenítési csoportok kategóriákhoz kapcsolódnak, továbbá a meghatározott juttatási program nettó eszközeiből származó nettó kamatbevételeket.</w:t>
      </w:r>
    </w:p>
    <w:p w:rsidR="009569C7" w:rsidRPr="00EC4FA2" w:rsidRDefault="00A834F1" w:rsidP="009569C7">
      <w:pPr>
        <w:pStyle w:val="Baseparagraphnumbered"/>
      </w:pPr>
      <w:r>
        <w:t xml:space="preserve">Az IFRS szerinti elszámolás esetén, és amennyiben a nemzeti GAAP máshogy nem rendelkezik, a pénzügyi kötelezettségekkel összefüggő, negatív effektív kamatlábú kamatokat a „Kötelezettségeken képződött kamatbevétel” tételben kell feltüntetni. Ezek a kötelezettségek és kamataik pozitív hozamot jelentenek az intézménynek.  </w:t>
      </w:r>
    </w:p>
    <w:p w:rsidR="009569C7" w:rsidRPr="00EC4FA2" w:rsidRDefault="00A834F1" w:rsidP="009569C7">
      <w:pPr>
        <w:pStyle w:val="Baseparagraphnumbered"/>
      </w:pPr>
      <w:r>
        <w:t xml:space="preserve"> A „Kamatráfordítások – egyéb kötelezettségek” az egyéb tételek közé nem tartozó kamatráfordítások összegét tartalmazza, például az értékesítésre tartottá minősített elidegenítési csoportokba tartozó kötelezettségekhez kapcsolódó kamatráfordításokat, egy céltartalék könyv szerinti értékének az idő múlását tükröző növekedéséhez kapcsolódó kamatráfordításokat, vagy a meghatározott juttatási program nettó kötelezettségeiből származó nettó kamatráfordításokat. </w:t>
      </w:r>
    </w:p>
    <w:p w:rsidR="009569C7" w:rsidRPr="00EC4FA2" w:rsidRDefault="00A834F1" w:rsidP="009569C7">
      <w:pPr>
        <w:pStyle w:val="Baseparagraphnumbered"/>
      </w:pPr>
      <w:r>
        <w:t xml:space="preserve">Az IFRS szerinti elszámolás esetén, és amennyiben a nemzeti GAAP máshogy nem rendelkezik, a pénzügyi eszközökkel összefüggő, negatív effektív kamatlábú kamatokat az „Eszközök kamatráfordításai” tételben kell </w:t>
      </w:r>
      <w:r>
        <w:lastRenderedPageBreak/>
        <w:t xml:space="preserve">feltüntetni. Ezek a kötelezettségek és kamataik negatív hozamot jelentenek az intézménynek. </w:t>
      </w:r>
    </w:p>
    <w:p w:rsidR="009569C7" w:rsidRPr="00EC4FA2" w:rsidRDefault="00A834F1" w:rsidP="009569C7">
      <w:pPr>
        <w:pStyle w:val="Baseparagraphnumbered"/>
      </w:pPr>
      <w:r>
        <w:t>Az eredménnyel szemben valós értéken értékelt tulajdoni részesedést megtestesítő instrumentumokból származó osztalékbevételt – tiszta ár alkalmazása esetén – az ezen instrumentumkategóriákból származó egyéb nyereségtől és veszteségtől elkülönítve, „Osztalékbevétel”</w:t>
      </w:r>
      <w:proofErr w:type="spellStart"/>
      <w:r>
        <w:t>-ként</w:t>
      </w:r>
      <w:proofErr w:type="spellEnd"/>
      <w:r>
        <w:t xml:space="preserve">, vagy – piszkos ár alkalmazása esetén – az ezen instrumentumkategóriákból származó nyereség vagy veszteség részeként kell feltüntetni. </w:t>
      </w:r>
    </w:p>
    <w:p w:rsidR="009569C7" w:rsidRPr="00EC4FA2" w:rsidRDefault="00A834F1" w:rsidP="009569C7">
      <w:pPr>
        <w:pStyle w:val="Baseparagraphnumbered"/>
      </w:pPr>
      <w:r>
        <w:t>Az egyéb átfogó jövedelemmel szemben valós értéken megjelölt, tulajdoni részesedést megtestesítő instrumentumokból származó osztalékbevétel az időszak alatt kivezetett instrumentumokhoz kapcsolódó osztalékokat, továbbá az adatszolgáltatási időszak végén tartott instrumentumokhoz kapcsolódó osztalékokat foglalja magában.</w:t>
      </w:r>
    </w:p>
    <w:p w:rsidR="009569C7" w:rsidRPr="00EC4FA2" w:rsidRDefault="00A834F1" w:rsidP="009569C7">
      <w:pPr>
        <w:pStyle w:val="Baseparagraphnumbered"/>
      </w:pPr>
      <w:r>
        <w:t>A leányvállalatokba, közös vállalkozásokba, valamint társult vállalkozásokba történt befektetésekből származó osztalékbevétel akkor tartalmazza az említett befektetések osztalékát, amennyiben azokat a tőkemódszertől eltérő módszer használatával számolják el.</w:t>
      </w:r>
    </w:p>
    <w:p w:rsidR="009569C7" w:rsidRPr="00EC4FA2" w:rsidRDefault="00A834F1" w:rsidP="009569C7">
      <w:pPr>
        <w:pStyle w:val="Baseparagraphnumbered"/>
      </w:pPr>
      <w:r>
        <w:t xml:space="preserve">A „Kereskedési céllal tartott pénzügyi eszközökből és kötelezettségekből származó nyereség vagy (–) veszteség, nettó” a kereskedési céllal tartottként besorolt pénzügyi instrumentumok átértékeléséből vagy kivezetéséből származó nyereséget és veszteséget tartalmazza. Ez a tétel tartalmazza az eredménnyel szemben valós értéken értékeltként megjelölt pénzügyi instrumentum egésze vagy egy része hitelkockázatának kezelésére használt, az eredménnyel szemben valós értéken értékelt </w:t>
      </w:r>
      <w:proofErr w:type="spellStart"/>
      <w:r>
        <w:t>hitelderivatívákon</w:t>
      </w:r>
      <w:proofErr w:type="spellEnd"/>
      <w:r>
        <w:t xml:space="preserve"> keletkezett nyereséget és veszteséget, valamint a kereskedési céllal tartott pénzügyi eszközökön és pénzügyi kötelezettségeken keletkezett osztalékot, valamint kamatbevételt és </w:t>
      </w:r>
      <w:proofErr w:type="spellStart"/>
      <w:r>
        <w:t>-ráfordítást</w:t>
      </w:r>
      <w:proofErr w:type="spellEnd"/>
      <w:r>
        <w:t xml:space="preserve">, piszkos ár alkalmazása esetén. </w:t>
      </w:r>
    </w:p>
    <w:p w:rsidR="009569C7" w:rsidRPr="00EC4FA2" w:rsidRDefault="00A834F1" w:rsidP="009569C7">
      <w:pPr>
        <w:pStyle w:val="Baseparagraphnumbered"/>
      </w:pPr>
      <w:r>
        <w:t xml:space="preserve">„Az eredménnyel szemben valós értéken értékeltnek megjelölt pénzügyi eszközök és kötelezettségek nyeresége vagy vesztesége” tartalmazza az eredménykimutatásban az eredménnyel szemben valós értéken értékeltként megjelölt kötelezettségek saját hitelkockázata tekintetében megjelenített összeget is, amennyiben a saját hitelkockázat változásainak az egyéb átfogó jövedelemben való megjelenítése számviteli meg nem felelést eredményez vagy növeli azt [az IFRS 9 5.7.8. bekezdése]. Ez a tétel tartalmazza továbbá az eredménnyel szemben valós értéken értékeltként megjelölt fedezett instrumentumok nyereségét és veszteségét, amennyiben a megjelölés célja a hitelkockázat kezelése, valamint az eredménnyel szemben valós értéken megjelölt pénzügyi eszközök és kötelezettségek kamatbevételét és </w:t>
      </w:r>
      <w:proofErr w:type="spellStart"/>
      <w:r>
        <w:t>-ráfordítását</w:t>
      </w:r>
      <w:proofErr w:type="spellEnd"/>
      <w:r>
        <w:t>, piszkos ár használata esetén.</w:t>
      </w:r>
    </w:p>
    <w:p w:rsidR="009569C7" w:rsidRPr="00EC4FA2" w:rsidRDefault="00A834F1" w:rsidP="009569C7">
      <w:pPr>
        <w:pStyle w:val="Baseparagraphnumbered"/>
      </w:pPr>
      <w:r>
        <w:t xml:space="preserve">„Az eredménnyel szemben valós értéken értékelt kategóriába nem tartozó pénzügyi eszközök és kötelezettségek kivezetéséből származó nyereség vagy (–) veszteség” nem tartalmazza az olyan tulajdoni részesedést megtestesítő instrumentumokon keletkező nyereséget, amelyek esetében az adatszolgáltató </w:t>
      </w:r>
      <w:r>
        <w:lastRenderedPageBreak/>
        <w:t>intézmény úgy döntött, hogy azokat az egyéb átfogó jövedelemmel szemben valós értéken értékeli [az IFRS 9 5.7.1. bekezdésének b) pontja].</w:t>
      </w:r>
    </w:p>
    <w:p w:rsidR="009569C7" w:rsidRPr="00EC4FA2" w:rsidRDefault="00A834F1" w:rsidP="009569C7">
      <w:pPr>
        <w:pStyle w:val="Baseparagraphnumbered"/>
      </w:pPr>
      <w:r>
        <w:t xml:space="preserve">Amennyiben az üzleti modell megváltoztatása egy pénzügyi eszköz eltérő számviteli portfólióba való átsorolásához vezet, az átsorolásból származó nyereséget vagy veszteséget azon számviteli portfólió megfelelő soraiban kell feltüntetni, amelyekbe a pénzügyi eszközt átsorolták, a következőknek megfelelően: </w:t>
      </w:r>
    </w:p>
    <w:p w:rsidR="009569C7" w:rsidRPr="00EC4FA2" w:rsidRDefault="00A834F1" w:rsidP="009569C7">
      <w:pPr>
        <w:numPr>
          <w:ilvl w:val="0"/>
          <w:numId w:val="65"/>
        </w:numPr>
        <w:ind w:hanging="437"/>
        <w:jc w:val="both"/>
        <w:rPr>
          <w:rFonts w:ascii="Times New Roman" w:hAnsi="Times New Roman"/>
          <w:sz w:val="24"/>
          <w:szCs w:val="24"/>
        </w:rPr>
      </w:pPr>
      <w:proofErr w:type="gramStart"/>
      <w:r>
        <w:rPr>
          <w:rFonts w:ascii="Times New Roman" w:hAnsi="Times New Roman"/>
          <w:sz w:val="24"/>
        </w:rPr>
        <w:t>amennyiben egy pénzügyi eszközt az amortizált bekerülési érték értékelési kategóriából az eredménnyel szemben valós értéken értékelt számviteli portfólióba sorolnak át [az IFRS 9 5.6.2. bekezdése], az átsorolásból eredő nyereségeket vagy veszteségeket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kell feltüntetni;</w:t>
      </w:r>
      <w:proofErr w:type="gramEnd"/>
    </w:p>
    <w:p w:rsidR="009569C7" w:rsidRPr="00EC4FA2" w:rsidRDefault="00A834F1" w:rsidP="009569C7">
      <w:pPr>
        <w:numPr>
          <w:ilvl w:val="0"/>
          <w:numId w:val="65"/>
        </w:numPr>
        <w:ind w:hanging="437"/>
        <w:jc w:val="both"/>
        <w:rPr>
          <w:rFonts w:ascii="Times New Roman" w:hAnsi="Times New Roman"/>
          <w:sz w:val="24"/>
          <w:szCs w:val="24"/>
        </w:rPr>
      </w:pPr>
      <w:proofErr w:type="gramStart"/>
      <w:r>
        <w:rPr>
          <w:rFonts w:ascii="Times New Roman" w:hAnsi="Times New Roman"/>
          <w:sz w:val="24"/>
        </w:rPr>
        <w:t>amennyiben egy pénzügyi eszközt az egyéb átfogó jövedelemmel szemben valós értéken értékelt kategóriából az eredménnyel szemben valós értéken értékelt kategóriába sorolnak át [az IFRS 9 5.6.7. bekezdése], a korábban az egyéb átfogó jövedelemben megjelenített, az eredménybe átsorolt halmozott nyereséget vagy veszteséget a „Kereskedési céllal tartott pénzügyi eszközökből és kötelezettségekből származó nyereség vagy (–) veszteség, nettó” tételben vagy a „Kötelezően az eredménnyel szemben valós értéken értékelt nem kereskedési célú pénzügyi eszközök nyeresége vagy (–) vesztesége, nettó” tételben kel</w:t>
      </w:r>
      <w:proofErr w:type="gramEnd"/>
      <w:r>
        <w:rPr>
          <w:rFonts w:ascii="Times New Roman" w:hAnsi="Times New Roman"/>
          <w:sz w:val="24"/>
        </w:rPr>
        <w:t>l feltüntetni.</w:t>
      </w:r>
    </w:p>
    <w:p w:rsidR="009569C7" w:rsidRPr="00EC4FA2" w:rsidRDefault="00A834F1" w:rsidP="009569C7">
      <w:pPr>
        <w:pStyle w:val="Baseparagraphnumbered"/>
      </w:pPr>
      <w:r>
        <w:t>A „Fedezeti elszámolásokból eredő nyereségek vagy (–) veszteségek, nettó” tartalmazza a fedezeti instrumentumokon és fedezett tételeken keletkező nyereségeket és veszteségeket, ideértve az egyéb átfogó jövedelemmel szemben valós értéken értékelt, tulajdoni részesedést megtestesítő instrumentumoktól eltérő fedezett tételeken valamely valósérték-fedezeti ügyletben keletkező nyereségeket és veszteségeket az IFRS 9 6.5.8. bekezdésének megfelelően. Tartalmazza továbbá valamely cash flow-fedezeti ügyletben a fedezeti instrumentumok valósérték-változásának nem hatékony részét. A cash flow-fedezeti ügyletek tartalékának vagy a külföldi érdekeltségbe történt nettó befektetés fedezeti ügyletére képzett tartaléknak az átsorolását az „Eredménykimutatás” ugyanazon soraiban kell megjeleníteni, mint a fedezett tételekből eredő cash flow által eredményezetteket. A „Fedezeti elszámolásokból eredő nyereségek vagy (–) veszteségek, nettó” tartalmazza továbbá a külföldi érdekeltségbe történt nettó befektetés fedezeti ügyletéből eredő nyereségeket és veszteségeket. Ez a tétel magában foglalja a nettó pozíciók fedezeti ügyletéből eredő nyereségeket is.</w:t>
      </w:r>
    </w:p>
    <w:p w:rsidR="009569C7" w:rsidRPr="00EC4FA2" w:rsidRDefault="00A834F1" w:rsidP="009569C7">
      <w:pPr>
        <w:pStyle w:val="Baseparagraphnumbered"/>
      </w:pPr>
      <w:r>
        <w:t xml:space="preserve"> A „Nem pénzügyi eszközök kivezetéséből származó nyereség vagy (–) veszteség” tartalmazza a nem pénzügyi eszközök kivezetéséből származó nyereségeket és veszteségeket, </w:t>
      </w:r>
      <w:proofErr w:type="gramStart"/>
      <w:r>
        <w:t>kivéve</w:t>
      </w:r>
      <w:proofErr w:type="gramEnd"/>
      <w:r>
        <w:t xml:space="preserve"> ha az eszközök értékesítésre tartottnak </w:t>
      </w:r>
      <w:r>
        <w:lastRenderedPageBreak/>
        <w:t>vagy leányvállalatokba, társult vállalkozásokba, valamint közös vállalkozásokba történt befektetéseknek minősülnek.</w:t>
      </w:r>
    </w:p>
    <w:p w:rsidR="009569C7" w:rsidRPr="00EC4FA2" w:rsidRDefault="00A834F1" w:rsidP="009569C7">
      <w:pPr>
        <w:pStyle w:val="Baseparagraphnumbered"/>
      </w:pPr>
      <w:r>
        <w:t xml:space="preserve">A „Módosítás miatti nyereség vagy (-) veszteség, nettó” tartalmazza a pénzügyi eszközök bruttó könyv szerinti értékének az újratárgyalt vagy módosított szerződéses cash flow-k tükrözése céljából történő korrekciójából eredő összegeket [IFRS 9 5.4.3. bekezdése és az </w:t>
      </w:r>
      <w:proofErr w:type="gramStart"/>
      <w:r>
        <w:t>A</w:t>
      </w:r>
      <w:proofErr w:type="gramEnd"/>
      <w:r>
        <w:t>. függelék]. A módosításból származó nyereségek vagy veszteségek nem tartalmazzák a várható hitelezési veszteségek összegének módosításából eredő hatást, amelyet az „Eredménnyel szemben valós értéken értékelt kategóriába nem tartozó pénzügyi eszközök értékvesztése vagy (–) értékvesztésének visszaírása” tételben kell feltüntetni.</w:t>
      </w:r>
    </w:p>
    <w:p w:rsidR="009569C7" w:rsidRPr="00EC4FA2" w:rsidRDefault="00A834F1" w:rsidP="009569C7">
      <w:pPr>
        <w:pStyle w:val="Baseparagraphnumbered"/>
      </w:pPr>
      <w:r>
        <w:t>A „</w:t>
      </w:r>
      <w:proofErr w:type="spellStart"/>
      <w:r>
        <w:t>Céltartalékképzés</w:t>
      </w:r>
      <w:proofErr w:type="spellEnd"/>
      <w:r>
        <w:t xml:space="preserve"> vagy (-) céltartalékok visszaírása. Adott elkötelezettségek és garanciák” tartalmazza az eredménykimutatásban szereplő nettó költségeket az e rész 11. bekezdésének megfelelően az IFRS 9, az IAS 37 vagy az IFRS 4 hatókörébe tartozó valamennyi elkötelezettségre és garanciára képzett céltartalékok, vagy a BAD alapján kidolgozott nemzeti GAAP szerinti céltartalékok tekintetében. Az IFRS szerinti elszámolás </w:t>
      </w:r>
      <w:proofErr w:type="gramStart"/>
      <w:r>
        <w:t>esetén</w:t>
      </w:r>
      <w:proofErr w:type="gramEnd"/>
      <w:r>
        <w:t xml:space="preserve"> a valós értéken értékelt elkötelezettségek és pénzügyi garanciák valós értékében bekövetkezett bármely változást „Az eredménnyel szemben valós értéken értékeltnek megjelölt pénzügyi eszközök és kötelezettségek nyeresége vagy (–) vesztesége, nettó” tételben kell feltüntetni. Következésképpen a céltartalékok magukban foglalják azon elkötelezettségek és garanciák értékvesztésének összegét, amelyek esetében az értékvesztés meghatározása az IFRS 9 szerint történik, vagy a </w:t>
      </w:r>
      <w:proofErr w:type="spellStart"/>
      <w:r>
        <w:t>céltartalékképzés</w:t>
      </w:r>
      <w:proofErr w:type="spellEnd"/>
      <w:r>
        <w:t xml:space="preserve"> megfelel az IAS 37-nek, illetőleg amelyeket az IFRS 4 értelmében biztosítási szerződésként kezelnek.</w:t>
      </w:r>
    </w:p>
    <w:p w:rsidR="009569C7" w:rsidRPr="00EC4FA2" w:rsidRDefault="00A834F1" w:rsidP="009569C7">
      <w:pPr>
        <w:pStyle w:val="Baseparagraphnumbered"/>
      </w:pPr>
      <w:proofErr w:type="gramStart"/>
      <w:r>
        <w:t>Az IFRS szerinti elszámolás esetén az „Eredménnyel szemben valós értéken értékelt kategóriába nem tartozó pénzügyi eszközök értékvesztése vagy (–) értékvesztésének visszaírása” tartalmazza a hitelviszonyt megtestesítő instrumentumok az IFRS 9 5.5. bekezdése szerinti értékvesztési szabályok alkalmazásából eredő értékvesztés miatti nyereségét vagy veszteségét, függetlenül attól, hogy az IFRS 9 5.5. bekezdése szerinti várható hitelezési veszteség becslése 12 hónapra vagy az élettartamra vonatkozik-e, ideértve a kereskedelemfinanszírozáson, szerződéses eszközökön és lízingből származó követeléseken</w:t>
      </w:r>
      <w:proofErr w:type="gramEnd"/>
      <w:r>
        <w:t xml:space="preserve"> keletkező értékvesztési nyereséget vagy veszteséget [az IFRS 9 5.5.15. bekezdése]. </w:t>
      </w:r>
    </w:p>
    <w:p w:rsidR="009569C7" w:rsidRPr="00EC4FA2" w:rsidRDefault="00A834F1" w:rsidP="009569C7">
      <w:pPr>
        <w:pStyle w:val="Baseparagraphnumbered"/>
      </w:pPr>
      <w:proofErr w:type="gramStart"/>
      <w:r>
        <w:t xml:space="preserve">A BAD alapján kidolgozott nemzeti GAAP szerinti elszámolás esetén az „Eredménnyel szemben valós értéken értékelt kategóriába nem tartozó pénzügyi eszközök értékvesztése vagy (–) értékvesztésének visszaírása” magában foglalja a </w:t>
      </w:r>
      <w:proofErr w:type="spellStart"/>
      <w:r>
        <w:t>bekerülésiérték-módszerrel</w:t>
      </w:r>
      <w:proofErr w:type="spellEnd"/>
      <w:r>
        <w:t xml:space="preserve"> értékelt pénzügyi instrumentumokban az adós vagy a kibocsátó hitelképességének változása miatt bekövetkezett valamennyi értékvesztést vagy az értékvesztések visszaírását, valamint a nemzeti GAAP előírásaitól függően a saját tőkével szemben valós értéken vagy más értékelési módszerrel, többek között a </w:t>
      </w:r>
      <w:proofErr w:type="spellStart"/>
      <w:r>
        <w:t>LOCOM-módszerrel</w:t>
      </w:r>
      <w:proofErr w:type="spellEnd"/>
      <w:r>
        <w:t xml:space="preserve"> értékelt pénzügyi instrumentumok</w:t>
      </w:r>
      <w:proofErr w:type="gramEnd"/>
      <w:r>
        <w:t xml:space="preserve"> értékvesztését. </w:t>
      </w:r>
    </w:p>
    <w:p w:rsidR="009569C7" w:rsidRPr="00EC4FA2" w:rsidRDefault="00A834F1" w:rsidP="009569C7">
      <w:pPr>
        <w:pStyle w:val="Baseparagraphnumbered"/>
      </w:pPr>
      <w:r>
        <w:lastRenderedPageBreak/>
        <w:t xml:space="preserve"> Az „Eredménnyel szemben valós értéken értékelt kategóriába nem tartozó pénzügyi eszközök értékvesztése vagy (–) értékvesztésének visszaírása” tartalmazza továbbá az e melléklet jelen része 72., 74. bekezdésében és 165. bekezdésének b) pontjában meghatározott azon leírt összegeket, amelyek a leírás időpontjában meghaladják az értékvesztés összegét, és ezért közvetlenül az eredményben kerülnek megjelenítésre veszteségként, valamint a korábban leírt, közvetlenül az eredménykimutatásban rögzített összegek megtérülését. </w:t>
      </w:r>
    </w:p>
    <w:p w:rsidR="009569C7" w:rsidRPr="00EC4FA2" w:rsidRDefault="00A834F1" w:rsidP="009569C7">
      <w:pPr>
        <w:pStyle w:val="Baseparagraphnumbered"/>
      </w:pPr>
      <w:r>
        <w:t>A leányvállalatok, társult vállalkozások és közös vállalkozások eredményből való azon részesedését, amelyet a prudenciális konszolidáció keretében a tőkemódszer</w:t>
      </w:r>
      <w:r w:rsidR="00675B49">
        <w:t>rel</w:t>
      </w:r>
      <w:r>
        <w:t xml:space="preserve"> értékelnek, a „Tőkemódszerrel értékelt</w:t>
      </w:r>
      <w:r w:rsidR="007E58F7">
        <w:t>,</w:t>
      </w:r>
      <w:r>
        <w:t xml:space="preserve"> leányvállalatokba, közös vállalkozásokba, valamint társult vállalkozásokba történt befektetések nyereségéből vagy (–) veszteségéből való részesedés” tételben kell feltüntetni. Az IAS 28 10. bekezdése szerint a befektetés könyv szerinti értékét csökkenteni kell az e gazdálkodó egységek által fizetett osztalékkal. Az említett befektetések értékvesztését a („Leányvállalatokba, közös vállalkozásokba, valamint társult vállalkozásokba történt befektetések értékvesztése vagy (–) értékvesztésének visszaírása”) tételben kell feltüntetni. Az e befektetések kivezetéséből származó nyereséget vagy veszteséget e rész 55. és 56. bekezdésével összhangban kell feltüntetni. </w:t>
      </w:r>
    </w:p>
    <w:p w:rsidR="009569C7" w:rsidRPr="00EC4FA2" w:rsidRDefault="00A834F1" w:rsidP="009569C7">
      <w:pPr>
        <w:pStyle w:val="Baseparagraphnumbered"/>
      </w:pPr>
      <w:r>
        <w:t>A „Megszűnt tevékenységeknek nem minősülő, értékesítésre tartottá minősített befektetett eszközökből és elidegenítési csoportokból származó nyereség vagy (–) veszteség” a megszűnt tevékenységeknek nem minősülő, értékesítésre tartottá minősített befektetett eszközökből és elidegenítési csoportokból származó eredményt tartalmazza.</w:t>
      </w:r>
    </w:p>
    <w:p w:rsidR="009569C7" w:rsidRPr="00EC4FA2" w:rsidRDefault="00A834F1" w:rsidP="009569C7">
      <w:pPr>
        <w:pStyle w:val="Baseparagraphnumbered"/>
      </w:pPr>
      <w:bookmarkStart w:id="76" w:name="_Toc246513959"/>
      <w:bookmarkStart w:id="77" w:name="_Toc246730631"/>
      <w:bookmarkStart w:id="78" w:name="_Toc246730722"/>
      <w:bookmarkEnd w:id="76"/>
      <w:bookmarkEnd w:id="77"/>
      <w:bookmarkEnd w:id="78"/>
      <w:r>
        <w:t>Az IFRS szerinti elszámolás esetén a leányvállalatokba, közös vállalkozásokba, valamint társult vállalkozásokba történt befektetések kivezetéséből származó nyereséget vagy veszteséget a „Megszűnt tevékenységek nyeresége vagy (–) vesztesége adófizetés előtt” tételben kell megadni, amennyiben az IFRS 5 szerinti megszűnt tevékenységről van szó. A BAD alapján kidolgozott nemzeti GAAP szerinti elszámolás esetén ezeket a nyereségeket és veszteségeket a „Leányvállalatokba, közös vállalkozásokba és társult vállalkozásokba történt befektetések kivezetéséből származó nyereség vagy (-) veszteség, nettó” tételben kell feltüntetni.</w:t>
      </w:r>
    </w:p>
    <w:p w:rsidR="009569C7" w:rsidRPr="00EC4FA2" w:rsidRDefault="00A834F1" w:rsidP="009569C7">
      <w:pPr>
        <w:pStyle w:val="subtitlenumbered"/>
        <w:jc w:val="both"/>
      </w:pPr>
      <w:bookmarkStart w:id="79" w:name="_Toc246513968"/>
      <w:bookmarkStart w:id="80" w:name="_Toc246730640"/>
      <w:bookmarkStart w:id="81" w:name="_Toc246730731"/>
      <w:bookmarkStart w:id="82" w:name="_Toc246513969"/>
      <w:bookmarkStart w:id="83" w:name="_Toc246730641"/>
      <w:bookmarkStart w:id="84" w:name="_Toc246730732"/>
      <w:bookmarkStart w:id="85" w:name="_Toc246513971"/>
      <w:bookmarkStart w:id="86" w:name="_Toc246730643"/>
      <w:bookmarkStart w:id="87" w:name="_Toc246730734"/>
      <w:bookmarkStart w:id="88" w:name="_Toc246513972"/>
      <w:bookmarkStart w:id="89" w:name="_Toc246730644"/>
      <w:bookmarkStart w:id="90" w:name="_Toc246730735"/>
      <w:bookmarkStart w:id="91" w:name="_Toc361844216"/>
      <w:bookmarkStart w:id="92" w:name="_Toc362359287"/>
      <w:bookmarkStart w:id="93" w:name="_Toc467855211"/>
      <w:bookmarkStart w:id="94" w:name="_Toc485913588"/>
      <w:bookmarkStart w:id="95" w:name="_Toc246770619"/>
      <w:bookmarkEnd w:id="79"/>
      <w:bookmarkEnd w:id="80"/>
      <w:bookmarkEnd w:id="81"/>
      <w:bookmarkEnd w:id="82"/>
      <w:bookmarkEnd w:id="83"/>
      <w:bookmarkEnd w:id="84"/>
      <w:bookmarkEnd w:id="85"/>
      <w:bookmarkEnd w:id="86"/>
      <w:bookmarkEnd w:id="87"/>
      <w:bookmarkEnd w:id="88"/>
      <w:bookmarkEnd w:id="89"/>
      <w:bookmarkEnd w:id="90"/>
      <w:r>
        <w:t>Átfogó jövedelemkimutatás (3.)</w:t>
      </w:r>
      <w:bookmarkEnd w:id="91"/>
      <w:bookmarkEnd w:id="92"/>
      <w:bookmarkEnd w:id="93"/>
      <w:bookmarkEnd w:id="94"/>
    </w:p>
    <w:p w:rsidR="009569C7" w:rsidRPr="00EC4FA2" w:rsidRDefault="00A834F1" w:rsidP="009569C7">
      <w:pPr>
        <w:pStyle w:val="Baseparagraphnumbered"/>
      </w:pPr>
      <w:r>
        <w:t xml:space="preserve">„Az egyéb átfogó jövedelemmel szemben valós értéken értékelt, tulajdoni részesedést megtestesítő instrumentumok fedezeti elszámolásából eredő nyereségek vagy (-) veszteségek, nettó” tartalmazza az olyan valósérték-fedezeti ügyletek halmozott fedezeti hatékonysághiányában bekövetkezett változást, mely ügyletekben a fedezett tétel egyéb átfogó jövedelemmel szemben valós értéken értékelt, tulajdoni részesedést megtestesítő instrumentum. A halmozott fedezeti hatékonysághiány e sorban feltüntetett változása a tulajdoni részesedést megtestesítő instrumentumok valós értékének „Az egyéb átfogó jövedelemmel szemben valós értéken értékelt, tulajdoni részesedést megtestesítő instrumentumok valós értékének változásai </w:t>
      </w:r>
      <w:r>
        <w:lastRenderedPageBreak/>
        <w:t>[fedezett tétel]” tételben feltüntetett változásai és a származtatott fedezeti ügylet valós értékének „Az egyéb átfogó jövedelemmel szemben valós értéken értékelt, tulajdoni részesedést megtestesítő instrumentumok valós értékének változásai [fedezeti instrumentum]” tételben feltüntetett változásainak különbsége.</w:t>
      </w:r>
    </w:p>
    <w:p w:rsidR="009569C7" w:rsidRPr="00EC4FA2" w:rsidRDefault="00A834F1" w:rsidP="009569C7">
      <w:pPr>
        <w:pStyle w:val="Baseparagraphnumbered"/>
      </w:pPr>
      <w:r>
        <w:t xml:space="preserve"> A „Külföldi érdekeltségekbe történt nettó befektetések fedezeti ügyletei [hatékony rész]” tartalmazza a külföldi érdekeltségekbe történt nettó befektetések folyamatos és megszüntetett fedezeti ügyleteinek hatékony részére képzett, halmozott devizaátszámítási tartalék változását. </w:t>
      </w:r>
    </w:p>
    <w:p w:rsidR="009569C7" w:rsidRPr="00EC4FA2" w:rsidRDefault="00A834F1" w:rsidP="009569C7">
      <w:pPr>
        <w:pStyle w:val="Baseparagraphnumbered"/>
      </w:pPr>
      <w:r>
        <w:t xml:space="preserve">A külföldi érdekeltségekbe történt nettó befektetések fedezeti ügyletei és a cash flow-fedezeti ügyletek vonatkozásában az „Eredménybe átvezetett” tételben feltüntetett megfelelő összegek tartalmazzák azokat az összegeket, amelyeknek az átvezetésére azért került sor, mert a fedezett pénzmozgás megtörtént és bekövetkezése már nem várható. </w:t>
      </w:r>
    </w:p>
    <w:p w:rsidR="009569C7" w:rsidRPr="00EC4FA2" w:rsidRDefault="00A834F1" w:rsidP="009569C7">
      <w:pPr>
        <w:pStyle w:val="Baseparagraphnumbered"/>
      </w:pPr>
      <w:r>
        <w:t xml:space="preserve">A „Fedezeti instrumentumok [nem megjelölt elemek]” tartalmazza a következőkben felsoroltak halmozott valósérték-változásaiban bekövetkező változásokat, amennyiben a felsorolt tételek nem fedezeti komponensként megjelöltek: </w:t>
      </w:r>
    </w:p>
    <w:p w:rsidR="009569C7" w:rsidRPr="00EC4FA2" w:rsidRDefault="00A834F1" w:rsidP="009569C7">
      <w:pPr>
        <w:pStyle w:val="Baseparagraphnumbered"/>
        <w:numPr>
          <w:ilvl w:val="0"/>
          <w:numId w:val="57"/>
        </w:numPr>
        <w:ind w:left="1134" w:hanging="425"/>
      </w:pPr>
      <w:r>
        <w:t xml:space="preserve">opciók időértéke; </w:t>
      </w:r>
    </w:p>
    <w:p w:rsidR="009569C7" w:rsidRPr="00EC4FA2" w:rsidRDefault="00A834F1" w:rsidP="009569C7">
      <w:pPr>
        <w:pStyle w:val="Baseparagraphnumbered"/>
        <w:numPr>
          <w:ilvl w:val="0"/>
          <w:numId w:val="57"/>
        </w:numPr>
        <w:ind w:left="1134" w:hanging="425"/>
      </w:pPr>
      <w:proofErr w:type="spellStart"/>
      <w:r>
        <w:t>forwardszerződések</w:t>
      </w:r>
      <w:proofErr w:type="spellEnd"/>
      <w:r>
        <w:t xml:space="preserve"> határidős elemei; </w:t>
      </w:r>
    </w:p>
    <w:p w:rsidR="009569C7" w:rsidRPr="00EC4FA2" w:rsidRDefault="00A834F1" w:rsidP="009569C7">
      <w:pPr>
        <w:pStyle w:val="Baseparagraphnumbered"/>
        <w:numPr>
          <w:ilvl w:val="0"/>
          <w:numId w:val="57"/>
        </w:numPr>
        <w:ind w:left="1134" w:hanging="425"/>
      </w:pPr>
      <w:r>
        <w:t xml:space="preserve">pénzügyi instrumentumok devizafelára. </w:t>
      </w:r>
    </w:p>
    <w:p w:rsidR="009569C7" w:rsidRPr="00EC4FA2" w:rsidRDefault="00A834F1" w:rsidP="009569C7">
      <w:pPr>
        <w:pStyle w:val="Baseparagraphnumbered"/>
      </w:pPr>
      <w:r>
        <w:t>Az opciók vonatkozásában az eredménybe átsorolt és az „Eredménybe átvezetett” tételben feltüntetett összegek tartalmazzák az olyan opciók miatti átsorolásokat, amelyek egy ügylethez kapcsolódó fedezett tételt fedeznek, továbbá az olyan opciók miatti átsorolásokat, amelyek egy időszakhoz kapcsolódó fedezett tételt fedeznek.</w:t>
      </w:r>
    </w:p>
    <w:p w:rsidR="009569C7" w:rsidRPr="00EC4FA2" w:rsidRDefault="00A834F1" w:rsidP="009569C7">
      <w:pPr>
        <w:pStyle w:val="Baseparagraphnumbered"/>
      </w:pPr>
      <w:r>
        <w:t>„</w:t>
      </w:r>
      <w:proofErr w:type="gramStart"/>
      <w:r>
        <w:t>Az egyéb átfogó jövedelemmel szemben valós értéken értékelt hitelviszonyt megtestesítő instrumentumok” tartalmazzák az egyéb átfogó jövedelemmel szemben valós értéken értékelt, hitelviszonyt megtestesítő instrumentumokon keletkező azon nyereségeket és veszteségeket, amelyek eltérnek a 2. táblában az „Eredménnyel szemben valós értéken értékelt kategóriába nem tartozó pénzügyi eszközök értékvesztése vagy (–) értékvesztésének visszaírása” tételben feltüntetendő, értékvesztés miatti nyereségtől vagy veszteségtől és az „Árfolyam-különbözet [nyereség vagy (–) veszteség], nettó” tételben feltüntetendő</w:t>
      </w:r>
      <w:proofErr w:type="gramEnd"/>
      <w:r>
        <w:t xml:space="preserve"> árfolyamnyereségtől és </w:t>
      </w:r>
      <w:proofErr w:type="spellStart"/>
      <w:r>
        <w:t>-veszteségtől</w:t>
      </w:r>
      <w:proofErr w:type="spellEnd"/>
      <w:r>
        <w:t>. Az „Eredménybe átvezetett” tétel tartalmazza mindenekelőtt az eredménnyel szemben valós értéken értékelt kategóriából való kivezetés vagy az ebbe a kategóriába való átsorolás miatt az eredménybe történő átvezetést.</w:t>
      </w:r>
    </w:p>
    <w:p w:rsidR="009569C7" w:rsidRPr="00EC4FA2" w:rsidRDefault="00A834F1" w:rsidP="009569C7">
      <w:pPr>
        <w:pStyle w:val="Baseparagraphnumbered"/>
      </w:pPr>
      <w:r>
        <w:t xml:space="preserve">Amennyiben egy pénzügyi eszközt az amortizált bekerülési érték értékelési kategóriából az egyéb átfogó jövedelemmel szemben valós értéken értékelt kategóriába sorolnak át [az IFRS 9 5.6.4. bekezdése], az átsorolás </w:t>
      </w:r>
      <w:r>
        <w:lastRenderedPageBreak/>
        <w:t>következtében keletkező nyereséget vagy veszteséget „Az egyéb átfogó jövedelemmel szemben valós értéken értékelt hitelviszonyt megtestesítő instrumentumok” között kell feltüntetni.</w:t>
      </w:r>
    </w:p>
    <w:p w:rsidR="009569C7" w:rsidRPr="00EC4FA2" w:rsidRDefault="00A834F1" w:rsidP="009569C7">
      <w:pPr>
        <w:pStyle w:val="Baseparagraphnumbered"/>
      </w:pPr>
      <w:proofErr w:type="gramStart"/>
      <w:r>
        <w:t>Amennyiben egy pénzügyi eszközt az egyéb átfogó jövedelemmel szemben valós értéken értékelt értékelési kategóriából az eredménnyel szemben valós értéken értékelt értékelési kategóriába [az IFRS 9 5.6.7. bekezdése], vagy az amortizált bekerülési érték értékelési kategóriába [az IFRS 9 5.6.5. bekezdése] sorolnak át, a korábban az egyéb átfogó jövedelemben megjelenített átsorolt halmozott nyereséget és veszteséget az „Eredménybe átvezetett” tételben és az „Egyéb átsorolás” tételben kell feltüntetni, az utóbbi esetben a pénzügyi eszköz könyv szerinti értékét kiigazítva.</w:t>
      </w:r>
      <w:proofErr w:type="gramEnd"/>
    </w:p>
    <w:p w:rsidR="009569C7" w:rsidRPr="00EC4FA2" w:rsidRDefault="00A834F1" w:rsidP="009569C7">
      <w:pPr>
        <w:pStyle w:val="Baseparagraphnumbered"/>
      </w:pPr>
      <w:r>
        <w:t xml:space="preserve">Az egyéb átfogó jövedelem valamennyi komponense vonatkozásában az „Egyéb átsorolás” tartalmazza az egyéb átfogó jövedelemből az eredménybe vagy – cash flow-fedezeti ügylet esetében – a fedezett tételek kezdeti könyv szerinti értékébe való átsorolástól eltérő átvezetéseket. </w:t>
      </w:r>
    </w:p>
    <w:p w:rsidR="009569C7" w:rsidRPr="00EC4FA2" w:rsidRDefault="00A834F1" w:rsidP="009569C7">
      <w:pPr>
        <w:pStyle w:val="Baseparagraphnumbered"/>
      </w:pPr>
      <w:r>
        <w:t>Az IFRS szerinti elszámolás esetén a „Nem átsorolandó tételekhez kapcsolódó nyereségadó”</w:t>
      </w:r>
      <w:proofErr w:type="spellStart"/>
      <w:r>
        <w:t>-t</w:t>
      </w:r>
      <w:proofErr w:type="spellEnd"/>
      <w:r>
        <w:t xml:space="preserve"> és a „Nyereségbe vagy (–) veszteségbe átsorolható tételekhez kapcsolódó nyereségadó”</w:t>
      </w:r>
      <w:proofErr w:type="spellStart"/>
      <w:r>
        <w:t>-t</w:t>
      </w:r>
      <w:proofErr w:type="spellEnd"/>
      <w:r>
        <w:t xml:space="preserve"> [az IAS 1 91. bekezdésének b) pontja, IG6] külön sorokban kell feltüntetni.</w:t>
      </w:r>
    </w:p>
    <w:p w:rsidR="009569C7" w:rsidRPr="00EC4FA2" w:rsidRDefault="00A834F1" w:rsidP="009569C7">
      <w:pPr>
        <w:pStyle w:val="subtitlenumbered"/>
        <w:jc w:val="both"/>
      </w:pPr>
      <w:bookmarkStart w:id="96" w:name="_Toc361844217"/>
      <w:bookmarkStart w:id="97" w:name="_Toc362359288"/>
      <w:bookmarkStart w:id="98" w:name="_Toc467855212"/>
      <w:bookmarkStart w:id="99" w:name="_Toc485913589"/>
      <w:r>
        <w:t xml:space="preserve">Pénzügyi eszközök instrumentum </w:t>
      </w:r>
      <w:proofErr w:type="gramStart"/>
      <w:r>
        <w:t>és</w:t>
      </w:r>
      <w:proofErr w:type="gramEnd"/>
      <w:r>
        <w:t xml:space="preserve"> ügyfélszektor szerinti részletezése (4.)</w:t>
      </w:r>
      <w:bookmarkEnd w:id="96"/>
      <w:bookmarkEnd w:id="97"/>
      <w:bookmarkEnd w:id="98"/>
      <w:bookmarkEnd w:id="99"/>
    </w:p>
    <w:p w:rsidR="009569C7" w:rsidRPr="00EC4FA2" w:rsidRDefault="00A834F1" w:rsidP="009569C7">
      <w:pPr>
        <w:pStyle w:val="Baseparagraphnumbered"/>
      </w:pPr>
      <w:r>
        <w:t>A pénzügyi eszközöket számviteli portfóliónként és instrumentumonként – valamint szükség esetén – ügyfélszektor szerinti bontásban kell megadni. Az egyéb átfogó jövedelemmel szemben valós értéken értékelt és az amortizált bekerülési értéken értékelt hitelviszonyt megtestesítő instrumentumok tekintetében az eszközök bruttó könyv szerinti értékét és a halmozott értékvesztéseket értékvesztési szakaszok szerinti bontásban kell megadni.</w:t>
      </w:r>
    </w:p>
    <w:p w:rsidR="009569C7" w:rsidRPr="00EC4FA2" w:rsidRDefault="00A834F1" w:rsidP="009569C7">
      <w:pPr>
        <w:pStyle w:val="Baseparagraphnumbered"/>
      </w:pPr>
      <w:r>
        <w:t xml:space="preserve">A BAD alapján kidolgozott GAAP szerinti elszámolás esetén a kereskedési célú pénzügyi eszközként feltüntetett származtatott eszközök valós értéken értékelt instrumentumokat, valamint </w:t>
      </w:r>
      <w:proofErr w:type="spellStart"/>
      <w:r>
        <w:t>bekerülésiérték-módszerrel</w:t>
      </w:r>
      <w:proofErr w:type="spellEnd"/>
      <w:r>
        <w:t xml:space="preserve"> vagy </w:t>
      </w:r>
      <w:proofErr w:type="spellStart"/>
      <w:r>
        <w:t>LOCOM-módszerrel</w:t>
      </w:r>
      <w:proofErr w:type="spellEnd"/>
      <w:r>
        <w:t xml:space="preserve"> értékelt instrumentumokat tartalmaznak.</w:t>
      </w:r>
    </w:p>
    <w:p w:rsidR="009569C7" w:rsidRPr="00EC4FA2" w:rsidRDefault="00A834F1" w:rsidP="009569C7">
      <w:pPr>
        <w:pStyle w:val="Baseparagraphnumbered"/>
      </w:pPr>
      <w:r>
        <w:t xml:space="preserve">A III. és a IV. melléklet, valamint a jelen melléklet alkalmazásában „A hitelkockázat-változásból származó negatív valósérték-változás halmozott összege” a </w:t>
      </w:r>
      <w:proofErr w:type="spellStart"/>
      <w:r>
        <w:t>nemteljesítő</w:t>
      </w:r>
      <w:proofErr w:type="spellEnd"/>
      <w:r>
        <w:t xml:space="preserve"> kitettségek esetében a valós érték hitelkockázat-változásból származó halmozott változását jelenti, ahol a halmozott </w:t>
      </w:r>
      <w:proofErr w:type="gramStart"/>
      <w:r>
        <w:t>nettó változás</w:t>
      </w:r>
      <w:proofErr w:type="gramEnd"/>
      <w:r>
        <w:t xml:space="preserve"> negatív. A hitelkockázat-változásból származó nettó valósérték-változás halmozott összegét úgy kell kiszámítani, hogy figyelembe kell venni a hitelviszonyt megtestesítő instrumentum megjelenítése óta a valós értékben a hitelkockázat változása miatt bekövetkezett valamennyi negatív és pozitív változást. Ezt az összeget csak akkor kell feltüntetni, ha a hitelkockázat változása miatt a valós értékben bekövetkezett pozitív és negatív változások összeadása negatív összeget eredményez. A hitelviszonyt megtestesítő instrumentumok értékelését az egyes pénzügyi instrumentumok szintjén kell elvégezni. „A hitelkockázat-változásból származó negatív valósérték-változás </w:t>
      </w:r>
      <w:r>
        <w:lastRenderedPageBreak/>
        <w:t>halmozott összege” minden egyes hitelviszonyt megtestesítő instrumentum esetében az instrumentum kivezetéséig jelentendő.</w:t>
      </w:r>
    </w:p>
    <w:p w:rsidR="009569C7" w:rsidRPr="00EC4FA2" w:rsidRDefault="00A834F1" w:rsidP="009569C7">
      <w:pPr>
        <w:pStyle w:val="Baseparagraphnumbered"/>
      </w:pPr>
      <w:r>
        <w:t>A III. és a IV. melléklet, valamint a jelen melléklet alkalmazásában a „halmozott értékvesztés”:</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amortizált </w:t>
      </w:r>
      <w:proofErr w:type="spellStart"/>
      <w:r>
        <w:rPr>
          <w:rFonts w:ascii="Times New Roman" w:hAnsi="Times New Roman"/>
          <w:sz w:val="24"/>
        </w:rPr>
        <w:t>bekerülésiérték-</w:t>
      </w:r>
      <w:proofErr w:type="spellEnd"/>
      <w:r>
        <w:rPr>
          <w:rFonts w:ascii="Times New Roman" w:hAnsi="Times New Roman"/>
          <w:sz w:val="24"/>
        </w:rPr>
        <w:t xml:space="preserve"> vagy </w:t>
      </w:r>
      <w:proofErr w:type="spellStart"/>
      <w:r>
        <w:rPr>
          <w:rFonts w:ascii="Times New Roman" w:hAnsi="Times New Roman"/>
          <w:sz w:val="24"/>
        </w:rPr>
        <w:t>bekerülésiérték-módszerrel</w:t>
      </w:r>
      <w:proofErr w:type="spellEnd"/>
      <w:r>
        <w:rPr>
          <w:rFonts w:ascii="Times New Roman" w:hAnsi="Times New Roman"/>
          <w:sz w:val="24"/>
        </w:rPr>
        <w:t xml:space="preserve"> értékelt hitelviszonyt megtestesítő instrumentumok esetében a halmozott értékvesztés az értékvesztés miatti veszteségek felhasználásokkal és visszaírásokkal csökkentett kumulatív összege, adott esetben értékvesztési szakaszonként. Az IFRS szerinti elszámolás esetén és a BAD alapján kidolgozott nemzeti GAAP szerinti elszámolás esetén a halmozott értékvesztés értékvesztési számla használata révén vagy a BAD alapján kidolgozott nemzeti GAAP értelmében kivezetési eseménynek nem minősülő közvetlen csökkentés útján csökkenti a hitelviszonyt megtestesítő instrumentum könyv szerinti értékét;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 xml:space="preserve">az IFRS szerinti elszámolás esetén az egyéb átfogó jövedelemmel szemben valós értéken értékelt hitelviszonyt megtestesítő instrumentumok vonatkozásában a halmozott értékvesztés a várható hitelezési veszteségek és változásaik összege, amely az adott instrumentum valós értékében a kezdeti megjelenítés óta bekövetkezett csökkenésként jelenítik meg; </w:t>
      </w:r>
    </w:p>
    <w:p w:rsidR="009569C7" w:rsidRPr="00EC4FA2" w:rsidRDefault="00A834F1" w:rsidP="009569C7">
      <w:pPr>
        <w:numPr>
          <w:ilvl w:val="0"/>
          <w:numId w:val="68"/>
        </w:numPr>
        <w:spacing w:before="120" w:after="120"/>
        <w:ind w:left="1134" w:hanging="425"/>
        <w:jc w:val="both"/>
        <w:rPr>
          <w:rFonts w:ascii="Times New Roman" w:hAnsi="Times New Roman"/>
          <w:sz w:val="24"/>
          <w:szCs w:val="24"/>
        </w:rPr>
      </w:pPr>
      <w:r>
        <w:rPr>
          <w:rFonts w:ascii="Times New Roman" w:hAnsi="Times New Roman"/>
          <w:sz w:val="24"/>
        </w:rPr>
        <w:t>a BAD alapján kidolgozott nemzeti GAAP szerinti elszámolás esetén a saját tőkével szemben valós értéken értékelt, értékvesztés-elszámolási kötelezettség alá tartozó hitelviszonyt megtestesítő instrumentumok vonatkozásában a halmozott értékvesztés az értékvesztések halmozott összege, csökkentve a felhasználásokkal és visszaírásokkal. A könyv szerinti érték csökkentése vagy értékvesztési számla használatával vagy olyan közvetlen csökkentéssel történik, ami nem jelent kivezetési eseményt.</w:t>
      </w:r>
    </w:p>
    <w:p w:rsidR="009569C7" w:rsidRPr="00EC4FA2" w:rsidRDefault="00A834F1" w:rsidP="009569C7">
      <w:pPr>
        <w:pStyle w:val="Baseparagraphnumbered"/>
      </w:pPr>
      <w:r>
        <w:t xml:space="preserve">Az IFRS szerinti elszámolás esetén a halmozott értékvesztés tartalmazza az IFRS 9-ben meghatározott egyes értékvesztési szakaszokba sorolható pénzügyi eszközök várható hitelezési veszteségére képzett értékvesztést. A BAD alapján kidolgozott nemzeti GAAP szerinti elszámolás esetén a halmozott értékvesztés tartalmazza az egyedi és általános hitelkockázati tartalékot, valamint az általános banki kockázatokra képzett tartalékot, amennyiben ez csökkenti a hitelviszonyt megtestesítő instrumentumok könyv szerinti értékét. A halmozott értékvesztés tartalmazza továbbá a </w:t>
      </w:r>
      <w:proofErr w:type="spellStart"/>
      <w:r>
        <w:t>LOCOM-módszer</w:t>
      </w:r>
      <w:proofErr w:type="spellEnd"/>
      <w:r>
        <w:t xml:space="preserve"> szerint értékelt pénzügyi eszközök hitelkockázatból eredő értékelési korrekcióit.</w:t>
      </w:r>
    </w:p>
    <w:p w:rsidR="009569C7" w:rsidRPr="00EC4FA2" w:rsidRDefault="00A834F1" w:rsidP="009569C7">
      <w:pPr>
        <w:pStyle w:val="Baseparagraphnumbered"/>
      </w:pPr>
      <w:r>
        <w:t xml:space="preserve">A „Halmozott részleges leírások összege” és a „Halmozott teljes leírások összege” tartalmazza azon hitelviszonyt megtestesítő instrumentumok tőkeösszegének, lejárt esedékességű kamatainak és díjainak az adatszolgáltatási vonatkozási időpontra számított halmozott részleges vagy teljes összegét, amelyeket az adott időpontig a 74. bekezdésben leírt módszerek valamelyikének használatával kivezettek, mert az intézmény </w:t>
      </w:r>
      <w:proofErr w:type="spellStart"/>
      <w:r>
        <w:t>észszerű</w:t>
      </w:r>
      <w:proofErr w:type="spellEnd"/>
      <w:r>
        <w:t xml:space="preserve"> várakozások alapján nem számíthat a szerződéses cash flow-k beszedésére. Ezeket az összegeket az adatszolgáltató intézmény valamennyi </w:t>
      </w:r>
      <w:r>
        <w:lastRenderedPageBreak/>
        <w:t>jogának elévülési határidő lejárta, elengedés vagy egyéb okok miatti teljes megszűnéséig vagy az összegek megtérüléséig jelenteni kell. Következésképpen ezeket a leírt összegeket, amennyiben nem kerülnek beszedésre, akkor is fel kell tüntetni, amikor végrehajtás tárgyát képezik.</w:t>
      </w:r>
    </w:p>
    <w:p w:rsidR="009569C7" w:rsidRPr="00EC4FA2" w:rsidRDefault="00A834F1" w:rsidP="009569C7">
      <w:pPr>
        <w:pStyle w:val="Baseparagraphnumbered"/>
      </w:pPr>
      <w:r>
        <w:t xml:space="preserve">Amennyiben egy hitelviszonyt megtestesítő instrumentum több egymást követő részleges leírás következtében végül teljes mértékben leírásra kerül, a leírás kumulált összege a „Halmozott részleges leírások összegéből” átsorolásra kerül a „Halmozott teljes leírások összege” oszlopba. </w:t>
      </w:r>
    </w:p>
    <w:p w:rsidR="009569C7" w:rsidRPr="00EC4FA2" w:rsidRDefault="00A834F1" w:rsidP="009569C7">
      <w:pPr>
        <w:pStyle w:val="Baseparagraphnumbered"/>
      </w:pPr>
      <w:r>
        <w:t>A leírások kivezetési eseményt jelentenek és vagy a pénzügyi eszköz egészére vagy egy részére vonatkoznak, ideértve, ha az eszköz módosítása ahhoz vezet, hogy az intézmény lemond arról a jogáról, hogy a szóban forgó eszköz egy része vagy egésze tekintetében cash flow-t szedjen be, ahogy a 72. bekezdés ismerteti. A leírások magukban foglalják a pénzügyi eszközök könyv szerinti értékének közvetlenül az eredményben elszámolt csökkentése, valamint a hitelezési veszteségekre képzett</w:t>
      </w:r>
      <w:r w:rsidR="00C35B6F">
        <w:t>,</w:t>
      </w:r>
      <w:r>
        <w:t xml:space="preserve"> értékvesztés</w:t>
      </w:r>
      <w:r w:rsidR="00C35B6F">
        <w:t>i számlán lévő összegnek</w:t>
      </w:r>
      <w:r>
        <w:t xml:space="preserve"> a pénzügyi eszközök könyv szerinti értékével szembeni csökkentése eredményeként létrejött összegeket. </w:t>
      </w:r>
    </w:p>
    <w:p w:rsidR="009569C7" w:rsidRPr="00EC4FA2" w:rsidRDefault="00A834F1" w:rsidP="009569C7">
      <w:pPr>
        <w:pStyle w:val="Baseparagraphnumbered"/>
      </w:pPr>
      <w:r>
        <w:t>Az „ebből: alacsony hitelkockázatú eszközök” oszlop azokat az instrumentumokat tartalmazza, amelyekről megállapításra kerül, hogy az adatszolgáltatás vonatkozási időpontjában hitelkockázatuk alacsony, és amelyekről az intézmény feltételezi, hogy hitelkockázatuk nem növekedett meg jelentősen a kezdeti megjelenítés óta az IFRS 9 5.5.10. bekezdésének megfelelően.</w:t>
      </w:r>
    </w:p>
    <w:p w:rsidR="009569C7" w:rsidRPr="00EC4FA2" w:rsidRDefault="00A834F1" w:rsidP="009569C7">
      <w:pPr>
        <w:pStyle w:val="Baseparagraphnumbered"/>
      </w:pPr>
      <w:r>
        <w:t>Az IAS 1 54. bekezdésének h) pontja szerinti kereskedelemfinanszírozást, szerződéses eszközöket és lízingköveteléseket, amelyek esetében az elszámolt veszteség becslésére az IFRS 9 5.5.15. bekezdése szerinti egyszerűsített megközelítés kerül alkalmazásra, a 4.4.1. táblában a hitelek és előlegek között kell feltüntetni. Az említett eszközökre elszámolt megfelelő veszteséget vagy az „Olyan eszközök halmozott értékvesztése, amelyek hitelkockázata jelentősen növekedett a kezdeti megjelenítés óta, de amelyek nem váltak értékvesztetté” (2. szakasz)” vagy az „Értékvesztett eszközök halmozott értékvesztése (3. szakasz)” tételben kell feltüntetni, függetlenül attól, hogy a kereskedelemfinanszírozás, szerződéses eszközök vagy lízingkövetelések az egyszerűsített megközelítés szerint értékvesztett eszköznek minősülnek-e.</w:t>
      </w:r>
    </w:p>
    <w:p w:rsidR="009569C7" w:rsidRPr="00EC4FA2" w:rsidRDefault="00A834F1" w:rsidP="009569C7">
      <w:pPr>
        <w:pStyle w:val="Baseparagraphnumbered"/>
      </w:pPr>
      <w:r>
        <w:t>Az olyan vásárolt vagy keletkeztetett pénzügyi eszközöket, amelyek már a kezdeti megjelenítéskor értékvesztettek, külön kell feltüntetni a 4.3.1. és a 4.4.1. táblában. E hitelek esetében a halmozott értékvesztés csak az élettartami várható hitelezési veszteségben a kezdeti megjelenítés óta bekövetkezett halmozott változásokat tartalmazza [IFRS 9 5.5.13. bekezdés].</w:t>
      </w:r>
    </w:p>
    <w:p w:rsidR="009569C7" w:rsidRPr="00EC4FA2" w:rsidRDefault="00A834F1" w:rsidP="009569C7">
      <w:pPr>
        <w:pStyle w:val="Baseparagraphnumbered"/>
        <w:ind w:left="785"/>
      </w:pPr>
      <w:r>
        <w:t>A 4.5. táblában az intézmények azon „Hitelek és előlegek” és „Hitelviszonyt megtestesítő értékpapírok” könyv szerinti értékét tüntetik fel, amelyek az „alárendelt adósság” e rész 100. pontjában szereplő fogalmához tartoznak.</w:t>
      </w:r>
      <w:bookmarkStart w:id="100" w:name="_Toc361844218"/>
      <w:bookmarkStart w:id="101" w:name="_Toc362359289"/>
      <w:bookmarkEnd w:id="95"/>
    </w:p>
    <w:p w:rsidR="009569C7" w:rsidRPr="00EC4FA2" w:rsidRDefault="00A834F1" w:rsidP="009569C7">
      <w:pPr>
        <w:pStyle w:val="Baseparagraphnumbered"/>
      </w:pPr>
      <w:r>
        <w:lastRenderedPageBreak/>
        <w:t xml:space="preserve">A 4.8. táblában a feltüntetendő adat attól függ, hogy a saját tőkével szemben valós értéken értékelt, nem kereskedési célú, nem származtatott pénzügyi eszközök a BAD alapján kidolgozott nemzeti GAAP alkalmazásában értékvesztés-elszámolási kötelezettség alá tartozhatnak-e. Amennyiben ezek a pénzügyi eszközök értékvesztés-elszámolási kötelezettség alá tartoznak, az intézmények ebben a táblában a könyv szerinti értékre, a nem értékvesztett és az értékvesztett eszközök bruttó könyv szerinti értékére, a halmozott értékvesztésre és a halmozott leírásokra vonatkozó adatokat tüntetik fel. Amennyiben ezek a pénzügyi eszközök nem tartoznak értékvesztés-elszámolási kötelezettség alá, az intézmények </w:t>
      </w:r>
      <w:proofErr w:type="spellStart"/>
      <w:r>
        <w:t>nemteljesítő</w:t>
      </w:r>
      <w:proofErr w:type="spellEnd"/>
      <w:r>
        <w:t xml:space="preserve"> kitettségek esetében a hitelkockázat-változásból származó negatív valósérték-változás halmozott összegét tüntetik fel.</w:t>
      </w:r>
    </w:p>
    <w:p w:rsidR="009569C7" w:rsidRPr="00EC4FA2" w:rsidRDefault="00A834F1" w:rsidP="009569C7">
      <w:pPr>
        <w:pStyle w:val="Baseparagraphnumbered"/>
      </w:pPr>
      <w:r>
        <w:t xml:space="preserve">A 4.9. táblában a mérsékelt </w:t>
      </w:r>
      <w:proofErr w:type="spellStart"/>
      <w:r>
        <w:t>LOCOM-módszer</w:t>
      </w:r>
      <w:proofErr w:type="spellEnd"/>
      <w:r>
        <w:t xml:space="preserve"> szerint értékelt pénzügyi eszközöket és a kapcsolódó értékelési korrekciókat a </w:t>
      </w:r>
      <w:proofErr w:type="spellStart"/>
      <w:r>
        <w:t>bekerülésiérték-módszerrel</w:t>
      </w:r>
      <w:proofErr w:type="spellEnd"/>
      <w:r>
        <w:t xml:space="preserve"> értékelt pénzügyi eszközöktől és kapcsolódó értékvesztésüktől elkülönítve kell azonosítani. A </w:t>
      </w:r>
      <w:proofErr w:type="spellStart"/>
      <w:r>
        <w:t>bekerülésiérték-módszerrel</w:t>
      </w:r>
      <w:proofErr w:type="spellEnd"/>
      <w:r>
        <w:t xml:space="preserve"> értékelt pénzügyi eszközöket, többek között a mérsékelt </w:t>
      </w:r>
      <w:proofErr w:type="spellStart"/>
      <w:r>
        <w:t>LOCOM-módszer</w:t>
      </w:r>
      <w:proofErr w:type="spellEnd"/>
      <w:r>
        <w:t xml:space="preserve"> szerint értékelt pénzügyi eszközöket nem értékvesztett eszközként kell feltüntetni, ha nem kapcsolódik hozzájuk értékelési korrekció vagy értékvesztés, és értékvesztett eszközként kell feltüntetni, amennyiben értékvesztésnek minősülő értékelési korrekció vagy értékvesztés kapcsolódik hozzájuk. Az értékvesztésnek minősülő értékelési korrekciók a partner hitelképességének romlását tükröző, hitelkockázatból eredő értékelési korrekciók. Azok a mérsékelt </w:t>
      </w:r>
      <w:proofErr w:type="spellStart"/>
      <w:r>
        <w:t>LOCOM-módszer</w:t>
      </w:r>
      <w:proofErr w:type="spellEnd"/>
      <w:r>
        <w:t xml:space="preserve"> szerint értékelt pénzügyi eszközök, amelyek esetében a piaci feltételek változásainak hatását tükröző, piaci kockázatból eredő értékelési korrekcióra került sor, nem tekinthetők értékvesztettnek. A hitelkockázatból és piaci kockázatból eredő halmozott értékelési korrekciókat külön kell feltüntetni. </w:t>
      </w:r>
    </w:p>
    <w:p w:rsidR="009569C7" w:rsidRPr="00EC4FA2" w:rsidRDefault="00A834F1" w:rsidP="009569C7">
      <w:pPr>
        <w:pStyle w:val="Baseparagraphnumbered"/>
      </w:pPr>
      <w:r>
        <w:t xml:space="preserve">A 4.10. táblában a szigorú </w:t>
      </w:r>
      <w:proofErr w:type="spellStart"/>
      <w:r>
        <w:t>LOCOM-módszer</w:t>
      </w:r>
      <w:proofErr w:type="spellEnd"/>
      <w:r>
        <w:t xml:space="preserve"> szerint értékelt eszközöket, valamint kapcsolódó értékelési korrekcióikat kell feltüntetni, elkülönítve a más értékelési módszerek hatálya alá tartozó eszközöktől. A szigorú </w:t>
      </w:r>
      <w:proofErr w:type="spellStart"/>
      <w:r>
        <w:t>LOCOM-módszer</w:t>
      </w:r>
      <w:proofErr w:type="spellEnd"/>
      <w:r>
        <w:t xml:space="preserve"> alapján értékelt pénzügyi eszközöket és az egyéb értékelési módszerek alapján értékelt pénzügyi eszközöket akkor kell értékvesztett eszközként feltüntetni, ha azok esetében hitelkockázatból eredő értékelési korrekcióra került sor a 80. bekezdésnek megfelelően, vagy értékvesztés kapcsolódik hozzájuk. A szigorú </w:t>
      </w:r>
      <w:proofErr w:type="spellStart"/>
      <w:r>
        <w:t>LOCOM-módszer</w:t>
      </w:r>
      <w:proofErr w:type="spellEnd"/>
      <w:r>
        <w:t xml:space="preserve"> alapján értékelt azon pénzügyi eszközök, amelyek esetében piaci kockázatból eredő értékelési korrekcióra került sor a 80. bekezdésnek megfelelően, nem tekintendők értékvesztettnek. A hitelkockázatból és piaci kockázatból eredő halmozott értékelési korrekciókat külön kell feltüntetni.</w:t>
      </w:r>
    </w:p>
    <w:p w:rsidR="009569C7" w:rsidRPr="00EC4FA2" w:rsidRDefault="00A834F1" w:rsidP="009569C7">
      <w:pPr>
        <w:pStyle w:val="Baseparagraphnumbered"/>
      </w:pPr>
      <w:r>
        <w:t>A BAD alapján kidolgozott nemzeti GAAP szerinti elszámolás esetén a megfelelő táblákban az általános banki kockázatokra képzett tartalékokból csak azt a részt kell bejelenteni, amely a hitelviszonyt megtestesítő instrumentumok könyv szerinti értékét érinti [BAD 37. cikk (2) bekezdés].</w:t>
      </w:r>
    </w:p>
    <w:p w:rsidR="009569C7" w:rsidRPr="00EC4FA2" w:rsidRDefault="00A834F1" w:rsidP="009569C7">
      <w:pPr>
        <w:pStyle w:val="subtitlenumbered"/>
        <w:jc w:val="both"/>
      </w:pPr>
      <w:bookmarkStart w:id="102" w:name="_Toc467855213"/>
      <w:bookmarkStart w:id="103" w:name="_Toc485913590"/>
      <w:r>
        <w:t xml:space="preserve">Nem kereskedési célú hitelek </w:t>
      </w:r>
      <w:proofErr w:type="gramStart"/>
      <w:r>
        <w:t>és</w:t>
      </w:r>
      <w:proofErr w:type="gramEnd"/>
      <w:r>
        <w:t xml:space="preserve"> előlegek termék szerinti részletezése (5.)</w:t>
      </w:r>
      <w:bookmarkEnd w:id="102"/>
      <w:bookmarkEnd w:id="103"/>
    </w:p>
    <w:bookmarkEnd w:id="100"/>
    <w:p w:rsidR="009569C7" w:rsidRPr="00EC4FA2" w:rsidRDefault="00A834F1" w:rsidP="009569C7">
      <w:pPr>
        <w:pStyle w:val="Baseparagraphnumbered"/>
      </w:pPr>
      <w:r>
        <w:lastRenderedPageBreak/>
        <w:t>A nem kereskedési céllal tartott és nem kereskedési célú hitelek és előlegek könyv szerinti értékét terméktípusok és ügyfélszektor</w:t>
      </w:r>
      <w:bookmarkEnd w:id="101"/>
      <w:r>
        <w:t xml:space="preserve"> szerinti, a bruttó könyv szerinti értékét pedig csak terméktípus szerinti bontásban kell megadni.</w:t>
      </w:r>
    </w:p>
    <w:p w:rsidR="009569C7" w:rsidRPr="00EC4FA2" w:rsidRDefault="00A834F1" w:rsidP="009569C7">
      <w:pPr>
        <w:pStyle w:val="Baseparagraphnumbered"/>
      </w:pPr>
      <w:r>
        <w:t xml:space="preserve">A „Készpénz, számlakövetelések központi bankokkal szemben és egyéb látra szóló betétek” kategóriába sorolt látra szóló egyenlegeket is jelenteni kell ebben a táblában, értékelési módjuktól függetlenül. </w:t>
      </w:r>
    </w:p>
    <w:p w:rsidR="009569C7" w:rsidRPr="00EC4FA2" w:rsidRDefault="00A834F1" w:rsidP="009569C7">
      <w:pPr>
        <w:pStyle w:val="Baseparagraphnumbered"/>
      </w:pPr>
      <w:r>
        <w:t xml:space="preserve">A hiteleket és előlegeket a következő termékek szerinti bontásban kell szerepeltetni: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„Látra szóló (azonnal felmondható) és rövid határidővel felmondható (folyószámla)” kategória tartalmazza a látra szóló (azonnal felmondható), rövid határidővel (a kérés napját követő napon a munkanap végéig) felmondható követeléseket, a folyószámlákat és hasonló egyenlegeket, amelyek tartalmazhatnak a kölcsönvevő szempontjából egynapos betétnek minősülő kölcsönöket (amelyeket a kölcsönnyújtás napját követő napon, a munkanap végéig kell visszafizetni), függetlenül azok jogi formájától. Idetartoznak a „folyószámlahitelek” is, amelyek a folyószámlákon lekönyvelt tartozik egyenlegek;</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a „Hitelkártya-tartozás” kategóriába tartoznak a vagy késleltetett terhelésű betéti kártyákon vagy hitelkártyákon keresztül nyújtott hitelek [EKB BSI rendelet];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 xml:space="preserve">a „Kereskedelemfinanszírozás” tartalmazza az egyéb adósoknak számla vagy egyéb olyan dokumentumok alapján nyújtott kölcsönöket, amelyek jogot biztosítanak áruk adásvételéből vagy szolgáltatás nyújtásából származó bevételek elfogadására. Ez a tétel tartalmazza az összes faktoring és hasonló tranzakciót, például az elfogadványokat, a kereskedelemfinanszírozások végleges megvásárlását, a </w:t>
      </w:r>
      <w:proofErr w:type="spellStart"/>
      <w:r>
        <w:rPr>
          <w:rFonts w:ascii="Times New Roman" w:hAnsi="Times New Roman"/>
          <w:sz w:val="24"/>
        </w:rPr>
        <w:t>forfait-ügyleteket</w:t>
      </w:r>
      <w:proofErr w:type="spellEnd"/>
      <w:r>
        <w:rPr>
          <w:rFonts w:ascii="Times New Roman" w:hAnsi="Times New Roman"/>
          <w:sz w:val="24"/>
        </w:rPr>
        <w:t xml:space="preserve">, számladiszkontálást, váltókat, kereskedelmi értékpapírokat és egyéb követeléseket, amelyek esetében az adatszolgáltató intézmény megvásárolja a kereskedelemfinanszírozást (visszkereseti joggal és </w:t>
      </w:r>
      <w:proofErr w:type="gramStart"/>
      <w:r>
        <w:rPr>
          <w:rFonts w:ascii="Times New Roman" w:hAnsi="Times New Roman"/>
          <w:sz w:val="24"/>
        </w:rPr>
        <w:t>anélkül</w:t>
      </w:r>
      <w:proofErr w:type="gramEnd"/>
      <w:r>
        <w:rPr>
          <w:rFonts w:ascii="Times New Roman" w:hAnsi="Times New Roman"/>
          <w:sz w:val="24"/>
        </w:rPr>
        <w:t xml:space="preserve">); </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„Pénzügyi lízingek” tartalmazza a pénzügyi lízingből származó követelések könyv szerinti értékét. Az IFRS értelmében a „pénzügyi lízingből származó követelések” meghatározása az IAS 17 szerinti meghatározás;</w:t>
      </w:r>
    </w:p>
    <w:p w:rsidR="009569C7" w:rsidRPr="00EC4FA2"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rPr>
        <w:t>a „Fordított visszavásárlási hitelek” tétel tartalmazza a visszavásárlási megállapodások keretében megvásárolt értékpapírokért vagy aranyért, illetve az értékpapír-kölcsönzési megállapodások keretében kölcsönvett értékpapírokért cserébe nyújtott finanszírozást e rész 183. és 184. bekezdésében meghatározottaknak megfelelően;</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 az „Egyéb meghatározott lejáratú hitelek” a többi tétel közé be nem sorolt, szerződésben rögzített lejáratú vagy futamidejű </w:t>
      </w:r>
      <w:proofErr w:type="gramStart"/>
      <w:r>
        <w:rPr>
          <w:rFonts w:ascii="Times New Roman" w:hAnsi="Times New Roman"/>
          <w:sz w:val="24"/>
        </w:rPr>
        <w:t>tartozik</w:t>
      </w:r>
      <w:proofErr w:type="gramEnd"/>
      <w:r>
        <w:rPr>
          <w:rFonts w:ascii="Times New Roman" w:hAnsi="Times New Roman"/>
          <w:sz w:val="24"/>
        </w:rPr>
        <w:t xml:space="preserve"> egyenlegeket tartalmazza; </w:t>
      </w:r>
    </w:p>
    <w:p w:rsidR="009569C7" w:rsidRPr="00EC4FA2"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rPr>
        <w:t xml:space="preserve">az „Előlegek, kivéve hitelek” azokat az előlegeket tartalmazza, amelyek nem sorolhatók az EKB BSI rendelet szerinti „hitelek” közé. Ez a tétel </w:t>
      </w:r>
      <w:r>
        <w:rPr>
          <w:rFonts w:ascii="Times New Roman" w:hAnsi="Times New Roman"/>
          <w:sz w:val="24"/>
        </w:rPr>
        <w:lastRenderedPageBreak/>
        <w:t>többek között tartalmazza a függő tételek (mint például a befektetésre, átutalásra vagy elszámolásra váró összegek) és átvezetési tételek (mint például csekkek és beszedésre elküldött egyéb fizetési formák) követeléseinek teljes összegeit.</w:t>
      </w:r>
    </w:p>
    <w:p w:rsidR="009569C7" w:rsidRPr="00EC4FA2" w:rsidRDefault="00A834F1" w:rsidP="009569C7">
      <w:pPr>
        <w:pStyle w:val="Baseparagraphnumbered"/>
      </w:pPr>
      <w:r>
        <w:t>A kapott biztosíték alapján a hiteleket és előlegeket a következőképpen kell besorolni:</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az „Ingatlannal fedezett hitelek” tartalmazza az előírásoknak megfelelően lakó- vagy kereskedelmi ingatlannal fedezett hiteleket és előlegeket, függetlenül azok hitelfedezeti arányától („hitel-fedezet arány” vagy „LTV arány”) és a biztosíték jogi formájától;</w:t>
      </w:r>
    </w:p>
    <w:p w:rsidR="009569C7" w:rsidRPr="00EC4FA2" w:rsidRDefault="00A834F1" w:rsidP="009569C7">
      <w:pPr>
        <w:numPr>
          <w:ilvl w:val="0"/>
          <w:numId w:val="62"/>
        </w:numPr>
        <w:spacing w:before="120" w:after="120"/>
        <w:ind w:left="1134" w:hanging="425"/>
        <w:jc w:val="both"/>
        <w:rPr>
          <w:rFonts w:ascii="Times New Roman" w:hAnsi="Times New Roman"/>
          <w:sz w:val="24"/>
          <w:szCs w:val="24"/>
        </w:rPr>
      </w:pPr>
      <w:r>
        <w:rPr>
          <w:rFonts w:ascii="Times New Roman" w:hAnsi="Times New Roman"/>
          <w:sz w:val="24"/>
        </w:rPr>
        <w:t>az „Egyéb biztosítékkal fedezett hitelek” tartalmazza az előírásoknak megfelelően biztosítékkal fedezett hiteleket és előlegeket, függetlenül azok hitelfedezeti arányától („hitel-fedezet arány” vagy „LTV arány”) és a biztosíték jogi formájától, kivéve az „Ingatlannal fedezett hitelek”</w:t>
      </w:r>
      <w:proofErr w:type="spellStart"/>
      <w:r>
        <w:rPr>
          <w:rFonts w:ascii="Times New Roman" w:hAnsi="Times New Roman"/>
          <w:sz w:val="24"/>
        </w:rPr>
        <w:t>-et</w:t>
      </w:r>
      <w:proofErr w:type="spellEnd"/>
      <w:r>
        <w:rPr>
          <w:rFonts w:ascii="Times New Roman" w:hAnsi="Times New Roman"/>
          <w:sz w:val="24"/>
        </w:rPr>
        <w:t>. Ezen egyéb biztosítékok közé tartozik az értékpapíron, készpénzen és egyéb biztosítékon létesített zálogjog, függetlenül a biztosíték jogi formájától.</w:t>
      </w:r>
    </w:p>
    <w:p w:rsidR="009569C7" w:rsidRPr="00EC4FA2" w:rsidRDefault="00A834F1" w:rsidP="009569C7">
      <w:pPr>
        <w:pStyle w:val="Baseparagraphnumbered"/>
      </w:pPr>
      <w:r>
        <w:t xml:space="preserve">A hiteleket és előlegeket a biztosíték alapján kell besorolni, függetlenül a hitel céljától. Azon hitelek és előlegek könyv szerinti értékét, amelyeket egynél több típusú biztosíték fedez, ingatlanbiztosítékkal fedezettként kell besorolni és feltüntetni, amennyiben a hiteleket és előlegeket ingatlanbiztosítékkal fedezik, függetlenül attól, hogy más típusú biztosítékkal is fedezettek-e. </w:t>
      </w:r>
    </w:p>
    <w:p w:rsidR="009569C7" w:rsidRPr="00EC4FA2" w:rsidRDefault="00A834F1" w:rsidP="009569C7">
      <w:pPr>
        <w:pStyle w:val="Baseparagraphnumbered"/>
      </w:pPr>
      <w:r>
        <w:t xml:space="preserve"> A hiteleket és előlegeket céljuk alapján a következőképpen kell besorolni:</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a „Fogyasztási hitelek” az elsősorban áruk és szolgáltatások személyes felhasználására nyújtott hiteleket tartalmazza [EKB BSI rendelet];</w:t>
      </w:r>
    </w:p>
    <w:p w:rsidR="009569C7" w:rsidRPr="00EC4FA2" w:rsidRDefault="00A834F1" w:rsidP="009569C7">
      <w:pPr>
        <w:numPr>
          <w:ilvl w:val="0"/>
          <w:numId w:val="63"/>
        </w:numPr>
        <w:spacing w:before="120" w:after="120"/>
        <w:ind w:left="1134" w:hanging="425"/>
        <w:jc w:val="both"/>
        <w:rPr>
          <w:rFonts w:ascii="Times New Roman" w:hAnsi="Times New Roman"/>
          <w:sz w:val="24"/>
          <w:szCs w:val="24"/>
        </w:rPr>
      </w:pPr>
      <w:r>
        <w:rPr>
          <w:rFonts w:ascii="Times New Roman" w:hAnsi="Times New Roman"/>
          <w:sz w:val="24"/>
        </w:rPr>
        <w:t>a „Lakáscélú hitelek” tartalmazza a háztartások számára saját használatra és bérbeadásra történő lakásvásárlásra – ideértve a lakásépítést és felújítást – nyújtott hiteleket [EKB BSI rendelet].</w:t>
      </w:r>
    </w:p>
    <w:p w:rsidR="009569C7" w:rsidRPr="00EC4FA2" w:rsidRDefault="00A834F1" w:rsidP="009569C7">
      <w:pPr>
        <w:pStyle w:val="Baseparagraphnumbered"/>
      </w:pPr>
      <w:r>
        <w:t>A hiteleket be kell sorolni megtérülésük módja alapján. A „Projektfinanszírozási hitelek” azokat a hiteleket tartalmazza, amelyek megfelelnek a CRR 147. cikkének (8) bekezdésében meghatározott speciális hitelezési kitettségek jellemzőinek.</w:t>
      </w:r>
    </w:p>
    <w:p w:rsidR="009569C7" w:rsidRPr="00EC4FA2" w:rsidRDefault="00A834F1" w:rsidP="009569C7">
      <w:pPr>
        <w:pStyle w:val="subtitlenumbered"/>
        <w:keepNext/>
        <w:numPr>
          <w:ilvl w:val="0"/>
          <w:numId w:val="17"/>
        </w:numPr>
        <w:ind w:left="357" w:hanging="357"/>
        <w:jc w:val="both"/>
        <w:rPr>
          <w:kern w:val="32"/>
        </w:rPr>
      </w:pPr>
      <w:bookmarkStart w:id="104" w:name="_Toc362359290"/>
      <w:bookmarkStart w:id="105" w:name="_Toc467855214"/>
      <w:bookmarkStart w:id="106" w:name="_Toc485913591"/>
      <w:bookmarkStart w:id="107" w:name="_Toc361844219"/>
      <w:r>
        <w:t xml:space="preserve">Nem pénzügyi vállalatoknak nyújtott nem kereskedési célú hitelek </w:t>
      </w:r>
      <w:proofErr w:type="gramStart"/>
      <w:r>
        <w:t>és</w:t>
      </w:r>
      <w:proofErr w:type="gramEnd"/>
      <w:r>
        <w:t xml:space="preserve"> előlegek részletezése NACE kódok szerint</w:t>
      </w:r>
      <w:bookmarkEnd w:id="104"/>
      <w:r>
        <w:t xml:space="preserve"> (6.)</w:t>
      </w:r>
      <w:bookmarkEnd w:id="105"/>
      <w:bookmarkEnd w:id="106"/>
    </w:p>
    <w:bookmarkEnd w:id="107"/>
    <w:p w:rsidR="009569C7" w:rsidRPr="00EC4FA2" w:rsidRDefault="00A834F1" w:rsidP="009569C7">
      <w:pPr>
        <w:pStyle w:val="Baseparagraphnumbered"/>
      </w:pPr>
      <w:r>
        <w:t xml:space="preserve">A nem pénzügyi vállalatoknak nyújtott, a kereskedési céllal tartott vagy kereskedési célú eszközökből álló portfólióba tartozóktól eltérő hitelek és előlegek bruttó könyv szerinti értékét a gazdasági tevékenységek ágazata szerint kell besorolni a </w:t>
      </w:r>
      <w:proofErr w:type="spellStart"/>
      <w:r>
        <w:t>NACE-kódok</w:t>
      </w:r>
      <w:proofErr w:type="spellEnd"/>
      <w:r>
        <w:t xml:space="preserve"> alkalmazásával az ügyfél fő tevékenysége alapján. </w:t>
      </w:r>
    </w:p>
    <w:p w:rsidR="009569C7" w:rsidRPr="00EC4FA2" w:rsidRDefault="00A834F1" w:rsidP="009569C7">
      <w:pPr>
        <w:pStyle w:val="Baseparagraphnumbered"/>
      </w:pPr>
      <w:r>
        <w:t xml:space="preserve">Az egynél több kötelezett által együttesen vállalt kitettség besorolását e melléklet 1. részének 43. bekezdésével összhangban kell elvégezni. </w:t>
      </w:r>
    </w:p>
    <w:p w:rsidR="009569C7" w:rsidRPr="00EC4FA2" w:rsidRDefault="00A834F1" w:rsidP="009569C7">
      <w:pPr>
        <w:pStyle w:val="Baseparagraphnumbered"/>
      </w:pPr>
      <w:r>
        <w:lastRenderedPageBreak/>
        <w:t xml:space="preserve">A </w:t>
      </w:r>
      <w:proofErr w:type="spellStart"/>
      <w:r>
        <w:t>NACE-kódokat</w:t>
      </w:r>
      <w:proofErr w:type="spellEnd"/>
      <w:r>
        <w:t xml:space="preserve"> az első részletezési szinttel („nemzetgazdasági ág” szerint) kell megadni. Az intézmények a pénzügyi vagy biztosítási tevékenységet végző nem pénzügyi vállalatoknak nyújtott hiteleket és előlegeket a „K. Pénzügyi és biztosítási tevékenység” tételben tüntetik fel.</w:t>
      </w:r>
    </w:p>
    <w:p w:rsidR="009569C7" w:rsidRPr="00EC4FA2" w:rsidRDefault="00A834F1" w:rsidP="009569C7">
      <w:pPr>
        <w:pStyle w:val="Baseparagraphnumbered"/>
      </w:pPr>
      <w:r>
        <w:t xml:space="preserve">Az IFRS szerinti elszámolás esetén az értékvesztés-elszámolási kötelezettség alá tartozó pénzügyi eszközök közé tartoznak i. az amortizált bekerülési értéken értékelt pénzügyi eszközök és </w:t>
      </w:r>
      <w:proofErr w:type="spellStart"/>
      <w:r>
        <w:t>ii</w:t>
      </w:r>
      <w:proofErr w:type="spellEnd"/>
      <w:r>
        <w:t xml:space="preserve">. az egyéb átfogó jövedelemmel szemben valós értéken értékelt pénzügyi eszközök. A BAD alapján kidolgozott nemzeti GAAP szerinti elszámolás esetén az értékvesztés-elszámolási kötelezettség hatálya alá tartozó pénzügyi eszközök közé tartoznak a </w:t>
      </w:r>
      <w:proofErr w:type="spellStart"/>
      <w:r>
        <w:t>bekerülésiérték-módszer</w:t>
      </w:r>
      <w:proofErr w:type="spellEnd"/>
      <w:r>
        <w:t xml:space="preserve">, többek között a </w:t>
      </w:r>
      <w:proofErr w:type="spellStart"/>
      <w:r>
        <w:t>LOCOM-módszer</w:t>
      </w:r>
      <w:proofErr w:type="spellEnd"/>
      <w:r>
        <w:t xml:space="preserve"> alapján értékelt pénzügyi eszközök. Az egyes nemzeti </w:t>
      </w:r>
      <w:proofErr w:type="spellStart"/>
      <w:r>
        <w:t>GAAP-ok</w:t>
      </w:r>
      <w:proofErr w:type="spellEnd"/>
      <w:r>
        <w:t xml:space="preserve"> előírásaitól függően e pénzügyi eszközök közé tartozhatnak i. a saját tőkével szemben valós értéken értékelt pénzügyi eszközök és </w:t>
      </w:r>
      <w:proofErr w:type="spellStart"/>
      <w:r>
        <w:t>ii</w:t>
      </w:r>
      <w:proofErr w:type="spellEnd"/>
      <w:r>
        <w:t>. egyéb értékelési módszerrel értékelt pénzügyi eszközök.</w:t>
      </w:r>
    </w:p>
    <w:p w:rsidR="009569C7" w:rsidRPr="00EC4FA2" w:rsidRDefault="00A834F1" w:rsidP="009569C7">
      <w:pPr>
        <w:pStyle w:val="subtitlenumbered"/>
        <w:keepNext/>
        <w:numPr>
          <w:ilvl w:val="0"/>
          <w:numId w:val="17"/>
        </w:numPr>
        <w:ind w:left="357" w:hanging="357"/>
        <w:jc w:val="both"/>
        <w:rPr>
          <w:kern w:val="32"/>
        </w:rPr>
      </w:pPr>
      <w:bookmarkStart w:id="108" w:name="_Toc437268742"/>
      <w:bookmarkStart w:id="109" w:name="_Toc437268743"/>
      <w:bookmarkStart w:id="110" w:name="_Toc362359291"/>
      <w:bookmarkStart w:id="111" w:name="_Toc467855215"/>
      <w:bookmarkStart w:id="112" w:name="_Toc485913592"/>
      <w:bookmarkStart w:id="113" w:name="_Toc361844220"/>
      <w:bookmarkEnd w:id="108"/>
      <w:bookmarkEnd w:id="109"/>
      <w:r>
        <w:t>Értékvesztés-elszámolási kötelezettség alá tartozó késedelmes pénzügyi eszközök (7.)</w:t>
      </w:r>
      <w:bookmarkEnd w:id="110"/>
      <w:bookmarkEnd w:id="111"/>
      <w:bookmarkEnd w:id="112"/>
    </w:p>
    <w:bookmarkEnd w:id="113"/>
    <w:p w:rsidR="009569C7" w:rsidRPr="00EC4FA2" w:rsidRDefault="00A834F1" w:rsidP="009569C7">
      <w:pPr>
        <w:pStyle w:val="Baseparagraphnumbered"/>
      </w:pPr>
      <w:r>
        <w:t>Az értékvesztés-elszámolási kötelezettség hatálya alá tartozó pénzügyi eszközöket tartalmazó számviteli portfóliókba sorolt hitelviszonyt megtestesítő instrumentumok könyv szerinti értékét csak akkor kell a 7.1. táblában feltüntetni, ha azok késedelmesek. A késedelmes instrumentumokat egyedi helyzetük alapján kell hozzárendelni a megfelelő késedelmességi intervallumokhoz.</w:t>
      </w:r>
    </w:p>
    <w:p w:rsidR="009569C7" w:rsidRPr="00EC4FA2" w:rsidRDefault="00A834F1" w:rsidP="009569C7">
      <w:pPr>
        <w:pStyle w:val="Baseparagraphnumbered"/>
      </w:pPr>
      <w:r>
        <w:t xml:space="preserve"> Az értékvesztés-elszámolási kötelezettség hatálya alá tartozó pénzügyi eszközöket tartalmazó számviteli portfóliókat e rész 93. bekezdésének megfelelően kel meghatározni.</w:t>
      </w:r>
    </w:p>
    <w:p w:rsidR="009569C7" w:rsidRPr="00EC4FA2" w:rsidRDefault="00A834F1" w:rsidP="009569C7">
      <w:pPr>
        <w:pStyle w:val="Baseparagraphnumbered"/>
      </w:pPr>
      <w:r>
        <w:t xml:space="preserve">A pénzügyi eszközök akkor minősülnek késedelmesnek, ha az esedékesség napján a tőkeösszeg, kamat vagy díj bármely része nem került kifizetésre. A késedelmes kitettségek teljes könyv szerinti értékét fel kell feltüntetni. Az ilyen eszközök könyv szerinti értékét az értékvesztési szakaszok vagy az értékvesztési státusz szerint kell feltüntetni, az alkalmazandó számviteli standardokkal összhangban, és a referencia-időpontban ki nem fizetett, legrégebbi késedelmes összegre vonatkozó késedelmes napok száma szerint kell részletezni. </w:t>
      </w:r>
    </w:p>
    <w:p w:rsidR="009569C7" w:rsidRPr="00EC4FA2" w:rsidRDefault="00A834F1" w:rsidP="009569C7">
      <w:pPr>
        <w:pStyle w:val="subtitlenumbered"/>
        <w:numPr>
          <w:ilvl w:val="0"/>
          <w:numId w:val="17"/>
        </w:numPr>
        <w:jc w:val="both"/>
      </w:pPr>
      <w:bookmarkStart w:id="114" w:name="_Toc437268745"/>
      <w:bookmarkStart w:id="115" w:name="_Toc437268746"/>
      <w:bookmarkStart w:id="116" w:name="_Toc362359292"/>
      <w:bookmarkStart w:id="117" w:name="_Toc467855216"/>
      <w:bookmarkStart w:id="118" w:name="_Toc485913593"/>
      <w:bookmarkStart w:id="119" w:name="_Toc361844221"/>
      <w:bookmarkEnd w:id="114"/>
      <w:bookmarkEnd w:id="115"/>
      <w:r>
        <w:t>Pénzügyi kötelezettségek részletezése (8.)</w:t>
      </w:r>
      <w:bookmarkEnd w:id="116"/>
      <w:bookmarkEnd w:id="117"/>
      <w:bookmarkEnd w:id="118"/>
    </w:p>
    <w:bookmarkEnd w:id="119"/>
    <w:p w:rsidR="009569C7" w:rsidRPr="00EC4FA2" w:rsidRDefault="00A834F1" w:rsidP="009569C7">
      <w:pPr>
        <w:pStyle w:val="Baseparagraphnumbered"/>
      </w:pPr>
      <w:r>
        <w:t>A „Betétek” meghatározása és a termék szerinti bontás azonos az EKB BSI rendelet szerinti meghatározással, következésképpen a szabályozott takarékbetéteket az EKB BSI rendelettel összhangban kell besorolni és partner szerint kell szerepeltetni. Mindenekelőtt azokat a nem átruházható látra szóló takarékbetéteket, amelyek ugyan jogszabály szerint kérésre visszaválthatók, azonban jelentős hátránnyal és korlátozással és az egynapos betétek jellemzőihez nagyon hasonló jellemzőkkel rendelkeznek, a felmondással visszaváltható betétek közé soroljuk.</w:t>
      </w:r>
    </w:p>
    <w:p w:rsidR="009569C7" w:rsidRPr="00EC4FA2" w:rsidRDefault="00A834F1" w:rsidP="009569C7">
      <w:pPr>
        <w:pStyle w:val="Baseparagraphnumbered"/>
      </w:pPr>
      <w:r>
        <w:lastRenderedPageBreak/>
        <w:t>A „Kibocsátott hitelviszonyt megtestesítő értékpapírok”</w:t>
      </w:r>
      <w:proofErr w:type="spellStart"/>
      <w:r>
        <w:t>-at</w:t>
      </w:r>
      <w:proofErr w:type="spellEnd"/>
      <w:r>
        <w:t xml:space="preserve"> a következő terméktípusok szerint kell részletezni: </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„Letéti jegyek”, amelyek olyan értékpapírok, amelyek birtokosa számára lehetővé teszik pénz felvételét egy számláról,</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„Eszközfedezetű értékpapírok” a CRR 4. cikke (1) bekezdésének 61. pontja szerint,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„Fedezett kötvények” a CRR 129. cikkének (1) bekezdése szerint,</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 „Hibrid szerződések” beágyazott származtatott ügyleteket tartalmazó szerződéseket foglalnak magukban;</w:t>
      </w:r>
    </w:p>
    <w:p w:rsidR="009569C7" w:rsidRPr="00EC4FA2" w:rsidRDefault="00A834F1" w:rsidP="009569C7">
      <w:pPr>
        <w:numPr>
          <w:ilvl w:val="0"/>
          <w:numId w:val="58"/>
        </w:numPr>
        <w:spacing w:before="120" w:after="120"/>
        <w:ind w:left="1134" w:hanging="425"/>
        <w:jc w:val="both"/>
        <w:rPr>
          <w:rFonts w:ascii="Times New Roman" w:hAnsi="Times New Roman"/>
          <w:sz w:val="24"/>
          <w:szCs w:val="24"/>
        </w:rPr>
      </w:pPr>
      <w:r>
        <w:rPr>
          <w:rFonts w:ascii="Times New Roman" w:hAnsi="Times New Roman"/>
          <w:sz w:val="24"/>
        </w:rPr>
        <w:t>az „Egyéb kibocsátott hitelviszonyt megtestesítő értékpapírok” az előző sorokban nem feltüntetett hitelviszonyt megtestesítő értékpapírokat tartalmazza, és különbséget tesz az átváltható összetett pénzügyi instrumentumok és a nem átváltható instrumentumok között.</w:t>
      </w:r>
    </w:p>
    <w:p w:rsidR="009569C7" w:rsidRPr="00EC4FA2" w:rsidRDefault="00A834F1" w:rsidP="009569C7">
      <w:pPr>
        <w:pStyle w:val="Baseparagraphnumbered"/>
      </w:pPr>
      <w:r>
        <w:t>A kibocsátott „Alárendelt kötelezettségek” kezelése az egyéb felmerült pénzügyi kötelezettségekkel azonos módon történik. Az értékpapír formájában kibocsátott alárendelt kötelezettségek a „Kibocsátott hitelviszonyt megtestesítő értékpapírok” közé sorolandók, míg a betétek formájában fennálló alárendelt kötelezettségek a „Betétek” közé sorolandók.</w:t>
      </w:r>
    </w:p>
    <w:p w:rsidR="009569C7" w:rsidRPr="00EC4FA2" w:rsidRDefault="00A834F1" w:rsidP="009569C7">
      <w:pPr>
        <w:pStyle w:val="Baseparagraphnumbered"/>
      </w:pPr>
      <w:r>
        <w:t>A 8.2. tábla számviteli portfólió szerinti bontásban tartalmazza azon „Betétek” és „Kibocsátott hitelviszonyt megtestesítő értékpapírok” könyv szerinti értékét, amelyek megfelelnek az alárendelt adósság fogalmának. Az „alárendelt követelést megtestesítő instrumentumok” a kibocsátó intézménnyel szemben fennálló olyan járulékos követelések, amelyeket csak az összes, magasabb státusú követelés kielégítését követően lehet érvényesíteni [EKB BSI rendelet].</w:t>
      </w:r>
    </w:p>
    <w:p w:rsidR="009569C7" w:rsidRPr="00EC4FA2" w:rsidRDefault="00A834F1" w:rsidP="009569C7">
      <w:pPr>
        <w:pStyle w:val="Baseparagraphnumbered"/>
      </w:pPr>
      <w:r>
        <w:t xml:space="preserve">A „Saját hitelkockázat változásából származó valósérték-változás halmozott összege” tartalmazza a valós érték összes említett változását, függetlenül attól, hogy azok az eredményben vagy az egyéb átfogó jövedelemben kerülnek-e megjelenítésre. </w:t>
      </w:r>
    </w:p>
    <w:p w:rsidR="009569C7" w:rsidRPr="00EC4FA2" w:rsidRDefault="00A834F1" w:rsidP="009569C7">
      <w:pPr>
        <w:pStyle w:val="subtitlenumbered"/>
        <w:numPr>
          <w:ilvl w:val="0"/>
          <w:numId w:val="17"/>
        </w:numPr>
        <w:jc w:val="both"/>
      </w:pPr>
      <w:bookmarkStart w:id="120" w:name="_Toc361844222"/>
      <w:bookmarkStart w:id="121" w:name="_Toc362359293"/>
      <w:bookmarkStart w:id="122" w:name="_Toc467855217"/>
      <w:bookmarkStart w:id="123" w:name="_Toc485913594"/>
      <w:r>
        <w:t xml:space="preserve">Hitelnyújtási elkötelezettségek, pénzügyi garanciák </w:t>
      </w:r>
      <w:proofErr w:type="gramStart"/>
      <w:r>
        <w:t>és</w:t>
      </w:r>
      <w:proofErr w:type="gramEnd"/>
      <w:r>
        <w:t xml:space="preserve"> egyéb elkötelezettségek (9.)</w:t>
      </w:r>
      <w:bookmarkEnd w:id="120"/>
      <w:bookmarkEnd w:id="121"/>
      <w:bookmarkEnd w:id="122"/>
      <w:bookmarkEnd w:id="123"/>
    </w:p>
    <w:p w:rsidR="009569C7" w:rsidRPr="00EC4FA2" w:rsidRDefault="00A834F1" w:rsidP="009569C7">
      <w:pPr>
        <w:pStyle w:val="Baseparagraphnumbered"/>
      </w:pPr>
      <w:r>
        <w:t>A mérlegen kívüli kitettségek közé a CRR I. mellékletében felsorolt mérlegen kívüli tételek tartoznak. A 9.1</w:t>
      </w:r>
      <w:proofErr w:type="gramStart"/>
      <w:r>
        <w:t>.,</w:t>
      </w:r>
      <w:proofErr w:type="gramEnd"/>
      <w:r>
        <w:t xml:space="preserve"> 9.1.1. és a 9.2. táblában a CRR I. mellékletében felsorolt valamennyi mérlegen kívüli kitettséget fel kell tüntetni hitelnyújtási elkötelezettségekre, pénzügyi garanciákra és egyéb elkötelezettségekre lebontva.</w:t>
      </w:r>
    </w:p>
    <w:p w:rsidR="009569C7" w:rsidRPr="00EC4FA2" w:rsidRDefault="00A834F1" w:rsidP="009569C7">
      <w:pPr>
        <w:pStyle w:val="Baseparagraphnumbered"/>
      </w:pPr>
      <w:bookmarkStart w:id="124" w:name="_Toc246513992"/>
      <w:bookmarkStart w:id="125" w:name="_Toc246730664"/>
      <w:bookmarkStart w:id="126" w:name="_Toc246730755"/>
      <w:bookmarkStart w:id="127" w:name="_Toc246513993"/>
      <w:bookmarkStart w:id="128" w:name="_Toc246730665"/>
      <w:bookmarkStart w:id="129" w:name="_Toc246730756"/>
      <w:bookmarkEnd w:id="124"/>
      <w:bookmarkEnd w:id="125"/>
      <w:bookmarkEnd w:id="126"/>
      <w:bookmarkEnd w:id="127"/>
      <w:bookmarkEnd w:id="128"/>
      <w:bookmarkEnd w:id="129"/>
      <w:r>
        <w:t xml:space="preserve">Az adott és kapott hitelnyújtási elkötelezettségekre, pénzügyi garanciákra és egyéb elkötelezettségekre vonatkozó információk a visszavonható és a visszavonhatatlan elkötelezettségeket egyaránt tartalmazzák. </w:t>
      </w:r>
    </w:p>
    <w:p w:rsidR="009569C7" w:rsidRPr="00EC4FA2" w:rsidRDefault="00A834F1" w:rsidP="009569C7">
      <w:pPr>
        <w:pStyle w:val="Baseparagraphnumbered"/>
      </w:pPr>
      <w:r>
        <w:lastRenderedPageBreak/>
        <w:t xml:space="preserve">A CRR I. mellékletében felsorolt adott hitelnyújtási elkötelezettségek, pénzügyi garanciák és egyéb elkötelezettségek lehetnek az eredménnyel szemben valós értéken értékelt, az IFRS 9 hatókörébe tartozó instrumentumok vagy az IFRS 9 értékvesztési követelményeinek hatálya alá tartozó instrumentumok, valamint az IAS 37 vagy az IFRS 4 hatókörébe tartozó instrumentumok. </w:t>
      </w:r>
    </w:p>
    <w:p w:rsidR="009569C7" w:rsidRPr="00EC4FA2" w:rsidRDefault="00A834F1" w:rsidP="009569C7">
      <w:pPr>
        <w:pStyle w:val="Baseparagraphnumbered"/>
      </w:pPr>
      <w:r>
        <w:t>Az IFRS szerinti elszámolás esetén az adott hitelnyújtási elkötelezettségeket, pénzügyi garanciákat és egyéb elkötelezettségeket a 9.1.1. táblában kell feltüntetni, ha a következő feltételek bármelyike teljesül:</w:t>
      </w:r>
    </w:p>
    <w:p w:rsidR="009569C7" w:rsidRPr="00EC4FA2" w:rsidRDefault="00A834F1" w:rsidP="009569C7">
      <w:pPr>
        <w:pStyle w:val="Baseparagraphnumbered"/>
        <w:numPr>
          <w:ilvl w:val="0"/>
          <w:numId w:val="56"/>
        </w:numPr>
        <w:ind w:left="1134" w:hanging="425"/>
      </w:pPr>
      <w:r>
        <w:t xml:space="preserve"> az IFRS 9 szerinti értékvesztés-elszámolási kötelezettség hatálya alá tartoznak;</w:t>
      </w:r>
    </w:p>
    <w:p w:rsidR="009569C7" w:rsidRPr="00EC4FA2" w:rsidRDefault="00A834F1" w:rsidP="009569C7">
      <w:pPr>
        <w:pStyle w:val="Baseparagraphnumbered"/>
        <w:numPr>
          <w:ilvl w:val="0"/>
          <w:numId w:val="56"/>
        </w:numPr>
        <w:ind w:left="1134" w:hanging="425"/>
      </w:pPr>
      <w:r>
        <w:t>az IFRS 9 értelmében eredménnyel szemben valós értéken értékeltként vannak megjelölve;</w:t>
      </w:r>
    </w:p>
    <w:p w:rsidR="009569C7" w:rsidRPr="00EC4FA2" w:rsidRDefault="00A834F1" w:rsidP="009569C7">
      <w:pPr>
        <w:pStyle w:val="Baseparagraphnumbered"/>
        <w:numPr>
          <w:ilvl w:val="0"/>
          <w:numId w:val="56"/>
        </w:numPr>
        <w:ind w:left="1134" w:hanging="425"/>
      </w:pPr>
      <w:r>
        <w:t xml:space="preserve">az IAS 37 vagy az IFRS 4 hatókörébe tartoznak. </w:t>
      </w:r>
    </w:p>
    <w:p w:rsidR="009569C7" w:rsidRPr="00EC4FA2" w:rsidRDefault="00A834F1" w:rsidP="009569C7">
      <w:pPr>
        <w:pStyle w:val="Baseparagraphnumbered"/>
      </w:pPr>
      <w:r>
        <w:t>Azokat a kötelezettségeket, amelyeket jelen melléklet e része 105. bekezdésének a) és c) pontjában említett, adott pénzügyi garanciák és elkötelezettségek hitelezési veszteségeként kell megjeleníteni, céltartalékként kell jelenteni, függetlenül az alkalmazott értékelési kritériumoktól.</w:t>
      </w:r>
    </w:p>
    <w:p w:rsidR="009569C7" w:rsidRPr="00EC4FA2" w:rsidRDefault="00A834F1" w:rsidP="009569C7">
      <w:pPr>
        <w:pStyle w:val="Baseparagraphnumbered"/>
      </w:pPr>
      <w:r>
        <w:t xml:space="preserve">Az IFRS hatálya alá tartozó intézmények értékvesztési szakaszok szerinti bontásban feltüntetik az IFRS 9 szerinti értékvesztés-elszámolási kötelezettség alá tartozó instrumentumok névértékét és céltartalékait, ideértve azokét, amelyeket a megjelenített halmozott bevétellel csökkentett bekerülési értéken értékelnek. </w:t>
      </w:r>
    </w:p>
    <w:p w:rsidR="009569C7" w:rsidRPr="00EC4FA2" w:rsidRDefault="00A834F1" w:rsidP="009569C7">
      <w:pPr>
        <w:pStyle w:val="Baseparagraphnumbered"/>
      </w:pPr>
      <w:r>
        <w:t>A 9.1.1. táblában csak az elkötelezettség névértékét kell feltüntetni akkor, ha a hitelviszonyt megtestesítő instrumentum mérleg szerinti instrumentumot és mérlegen kívüli komponenst egyaránt tartalmaz. Ha az adatszolgáltatásra kötelezett gazdálkodó egység nem tudja elkülönítve azonosítani a mérlegen belüli és mérlegen kívüli komponensek várható hitelezési veszteségét, az elkötelezettség várható hitelezési veszteségét a mérleg szerinti komponens halmozott értékvesztésével együtt kell feltüntetni. Amennyiben a várható hitelezési veszteségek együttesen meghaladják a hitelviszonyt megtestesítő instrumentum bruttó könyv szerinti értékét, a várható hitelezési veszteségek fennmaradó egyenlegét a 9.1.1. táblában, a megfelelő értékvesztési szakaszban céltartalékként kell feltüntetni [az IFRS 9 5.5.20. bekezdése és az IFRS 7 B8E. bekezdése].</w:t>
      </w:r>
    </w:p>
    <w:p w:rsidR="009569C7" w:rsidRPr="00EC4FA2" w:rsidRDefault="00A834F1" w:rsidP="009569C7">
      <w:pPr>
        <w:pStyle w:val="Baseparagraphnumbered"/>
      </w:pPr>
      <w:r>
        <w:t>Amennyiben egy pénzügyi garanciát vagy egy, a piaci kamatlábnál alacsonyabb kamatláb melletti hitelnyújtásra vonatkozó elkötelezettséget az IFRS 9 4.2.1. bekezdése d) pontjának megfelelően értékelnek, és elszámolt veszteségének meghatározása az IFRS 9 5.5. bekezdése szerint történik, azt a megfelelő értékvesztési szakaszban kell jelenteni.</w:t>
      </w:r>
    </w:p>
    <w:p w:rsidR="009569C7" w:rsidRPr="00EC4FA2" w:rsidRDefault="00A834F1" w:rsidP="009569C7">
      <w:pPr>
        <w:pStyle w:val="Baseparagraphnumbered"/>
      </w:pPr>
      <w:r>
        <w:lastRenderedPageBreak/>
        <w:t>Amennyiben a hitelnyújtási elkötelezettségeket, pénzügyi garanciákat és egyéb elkötelezettségeket valós értéken értékelik az IFRS 9 szerint, az intézmények a 9.1.1. táblában a megfelelő oszlopokban feltüntetik e pénzügyi garanciák és elkötelezettségek névértékét és a hitelkockázat-változásból származó negatív valósérték-változás halmozott összegét. „A hitelkockázat-változásból származó negatív valósérték-változás halmozott összegét” az e rész 69. bekezdése szerinti kritériumok alkalmazásával kell jelenteni.</w:t>
      </w:r>
    </w:p>
    <w:p w:rsidR="009569C7" w:rsidRPr="00EC4FA2" w:rsidRDefault="00A834F1" w:rsidP="009569C7">
      <w:pPr>
        <w:pStyle w:val="Baseparagraphnumbered"/>
      </w:pPr>
      <w:r>
        <w:t>Az IAS 37 vagy az IFRS 4 hatókörébe tartozó egyéb elkötelezettségek vagy garanciák névértékét és céltartalékait a megfelelő oszlopokban kell feltüntetni.</w:t>
      </w:r>
    </w:p>
    <w:p w:rsidR="009569C7" w:rsidRPr="00EC4FA2" w:rsidRDefault="00A834F1" w:rsidP="009569C7">
      <w:pPr>
        <w:pStyle w:val="Baseparagraphnumbered"/>
      </w:pPr>
      <w:r>
        <w:t>A BAD alapján kidolgozott nemzeti GAAP hatókörébe tartozó intézmények a 9.1. táblában tüntetik fel a 102. és 103. bekezdésben említett elkötelezettségek és pénzügyi garanciák névértékét, valamint azon céltartalékok összegét, amelyeket a szóban forgó mérlegen kívüli kitettségekre előírás szerint tartani kell.</w:t>
      </w:r>
    </w:p>
    <w:p w:rsidR="009569C7" w:rsidRPr="00EC4FA2" w:rsidRDefault="00A834F1" w:rsidP="009569C7">
      <w:pPr>
        <w:pStyle w:val="Baseparagraphnumbered"/>
      </w:pPr>
      <w:r>
        <w:t>A „hitelnyújtási elkötelezettségek” előre meghatározott feltételek mellett történő hitelnyújtásra vonatkozó határozott elkötelezettségek, azon elkötelezettségek kivételével, amelyek azért származtatott ügyletek, mert nettó összegük készpénzben, illetve másik pénzügyi instrumentum átadásával vagy kibocsátásával rendezhető. A CRR I. mellékletének „Hitelnyújtási elkötelezettségek”</w:t>
      </w:r>
      <w:proofErr w:type="spellStart"/>
      <w:r>
        <w:t>-ként</w:t>
      </w:r>
      <w:proofErr w:type="spellEnd"/>
      <w:r>
        <w:t xml:space="preserve"> besorolandó tételei a következők: </w:t>
      </w:r>
    </w:p>
    <w:p w:rsidR="009569C7" w:rsidRPr="00EC4FA2" w:rsidRDefault="00A834F1" w:rsidP="009569C7">
      <w:pPr>
        <w:pStyle w:val="Baseparagraphnumbered"/>
        <w:numPr>
          <w:ilvl w:val="0"/>
          <w:numId w:val="31"/>
        </w:numPr>
        <w:ind w:left="1134" w:hanging="425"/>
      </w:pPr>
      <w:r>
        <w:t>„Határidős betétügyletek”;</w:t>
      </w:r>
    </w:p>
    <w:p w:rsidR="009569C7" w:rsidRPr="00EC4FA2" w:rsidRDefault="00A834F1" w:rsidP="009569C7">
      <w:pPr>
        <w:pStyle w:val="Baseparagraphnumbered"/>
        <w:numPr>
          <w:ilvl w:val="0"/>
          <w:numId w:val="31"/>
        </w:numPr>
        <w:ind w:left="1134" w:hanging="425"/>
      </w:pPr>
      <w:r>
        <w:t>„Le nem hívott hitelkeretek”, amelyek kölcsönnyújtásra vagy elfogadványokra vonatkozó megállapodásokat foglalnak magukban előre meghatározott szerződéses feltételek mellett.</w:t>
      </w:r>
    </w:p>
    <w:p w:rsidR="009569C7" w:rsidRPr="00EC4FA2" w:rsidRDefault="00A834F1" w:rsidP="009569C7">
      <w:pPr>
        <w:pStyle w:val="Baseparagraphnumbered"/>
      </w:pPr>
      <w:r>
        <w:t xml:space="preserve">A „Pénzügyi garanciák” olyan szerződések, amelyek a kibocsátónak meghatározott fizetések teljesítését írják elő a tulajdonos abból adódó veszteségének megtérítésére, hogy egy meghatározott adós esedékességkor nem fizet a hitelviszonyt megtestesítő instrumentum eredeti vagy módosított feltételeinek megfelelően, ideértve az egyéb pénzügyi garanciákra biztosított garanciákat. Az IFRS alkalmazási körében ezek a szerződések az IFRS 9 2.1. bekezdésének e) pontjában és az IFRS 4 </w:t>
      </w:r>
      <w:proofErr w:type="gramStart"/>
      <w:r>
        <w:t>A</w:t>
      </w:r>
      <w:proofErr w:type="gramEnd"/>
      <w:r>
        <w:t>. függelékében meghatározott pénzügyi garanciaszerződések. A CRR I. mellékletének „Pénzügyi garanciák”</w:t>
      </w:r>
      <w:proofErr w:type="spellStart"/>
      <w:r>
        <w:t>-ként</w:t>
      </w:r>
      <w:proofErr w:type="spellEnd"/>
      <w:r>
        <w:t xml:space="preserve"> besorolandó tételei a következők: </w:t>
      </w:r>
    </w:p>
    <w:p w:rsidR="009569C7" w:rsidRPr="00EC4FA2" w:rsidRDefault="00A834F1" w:rsidP="009569C7">
      <w:pPr>
        <w:pStyle w:val="Baseparagraphnumbered"/>
        <w:numPr>
          <w:ilvl w:val="0"/>
          <w:numId w:val="69"/>
        </w:numPr>
      </w:pPr>
      <w:r>
        <w:t xml:space="preserve">„Hitelhelyettesítő jellegű garanciák”; </w:t>
      </w:r>
    </w:p>
    <w:p w:rsidR="009569C7" w:rsidRPr="00EC4FA2" w:rsidRDefault="00A834F1" w:rsidP="009569C7">
      <w:pPr>
        <w:pStyle w:val="Baseparagraphnumbered"/>
        <w:numPr>
          <w:ilvl w:val="0"/>
          <w:numId w:val="69"/>
        </w:numPr>
        <w:ind w:left="1134" w:hanging="425"/>
      </w:pPr>
      <w:r>
        <w:t>a pénzügyi garancia definíciójának megfelelő „</w:t>
      </w:r>
      <w:proofErr w:type="spellStart"/>
      <w:r>
        <w:t>Hitelderivatívák</w:t>
      </w:r>
      <w:proofErr w:type="spellEnd"/>
      <w:r>
        <w:t>”;</w:t>
      </w:r>
    </w:p>
    <w:p w:rsidR="009569C7" w:rsidRPr="00EC4FA2" w:rsidRDefault="00A834F1" w:rsidP="009569C7">
      <w:pPr>
        <w:pStyle w:val="Baseparagraphnumbered"/>
        <w:numPr>
          <w:ilvl w:val="0"/>
          <w:numId w:val="69"/>
        </w:numPr>
        <w:ind w:left="1134" w:hanging="425"/>
      </w:pPr>
      <w:r>
        <w:t>„Hitelhelyettesítő jellegű visszavonhatatlan készenléti hitellevelek”;</w:t>
      </w:r>
    </w:p>
    <w:p w:rsidR="009569C7" w:rsidRPr="00EC4FA2" w:rsidRDefault="00A834F1" w:rsidP="009569C7">
      <w:pPr>
        <w:pStyle w:val="Baseparagraphnumbered"/>
      </w:pPr>
      <w:r>
        <w:t>A CRR I. mellékletének „Egyéb elkötelezettségek”</w:t>
      </w:r>
      <w:proofErr w:type="spellStart"/>
      <w:r>
        <w:t>-ként</w:t>
      </w:r>
      <w:proofErr w:type="spellEnd"/>
      <w:r>
        <w:t xml:space="preserve"> besorolandó tételei a következők:  </w:t>
      </w:r>
    </w:p>
    <w:p w:rsidR="009569C7" w:rsidRPr="00EC4FA2" w:rsidRDefault="00A834F1" w:rsidP="009569C7">
      <w:pPr>
        <w:pStyle w:val="Baseparagraphnumbered"/>
        <w:numPr>
          <w:ilvl w:val="0"/>
          <w:numId w:val="32"/>
        </w:numPr>
        <w:ind w:left="1134" w:hanging="425"/>
      </w:pPr>
      <w:r>
        <w:t xml:space="preserve">„Részben kifizetett részvények és értékpapírok kifizetetlen része”; </w:t>
      </w:r>
    </w:p>
    <w:p w:rsidR="009569C7" w:rsidRPr="00EC4FA2" w:rsidRDefault="00A834F1" w:rsidP="009569C7">
      <w:pPr>
        <w:pStyle w:val="Baseparagraphnumbered"/>
        <w:numPr>
          <w:ilvl w:val="0"/>
          <w:numId w:val="32"/>
        </w:numPr>
        <w:ind w:left="1134" w:hanging="425"/>
      </w:pPr>
      <w:r>
        <w:lastRenderedPageBreak/>
        <w:t xml:space="preserve">„Megnyitott vagy igazolt akkreditívek”; </w:t>
      </w:r>
    </w:p>
    <w:p w:rsidR="009569C7" w:rsidRPr="00EC4FA2" w:rsidRDefault="00A834F1" w:rsidP="009569C7">
      <w:pPr>
        <w:pStyle w:val="Baseparagraphnumbered"/>
        <w:numPr>
          <w:ilvl w:val="0"/>
          <w:numId w:val="32"/>
        </w:numPr>
        <w:ind w:left="1134" w:hanging="425"/>
      </w:pPr>
      <w:r>
        <w:t>„Kereskedelemfinanszírozási mérlegen kívüli tételek”;</w:t>
      </w:r>
    </w:p>
    <w:p w:rsidR="009569C7" w:rsidRPr="00EC4FA2" w:rsidRDefault="00A834F1" w:rsidP="009569C7">
      <w:pPr>
        <w:pStyle w:val="Baseparagraphnumbered"/>
        <w:numPr>
          <w:ilvl w:val="0"/>
          <w:numId w:val="32"/>
        </w:numPr>
        <w:ind w:left="1134" w:hanging="425"/>
      </w:pPr>
      <w:r>
        <w:t xml:space="preserve">„Akkreditívek, amelyeknek biztosítéka a szállítmány, valamint egyéb öntörlesztő ügyletek”; </w:t>
      </w:r>
    </w:p>
    <w:p w:rsidR="009569C7" w:rsidRPr="00EC4FA2" w:rsidRDefault="00A834F1" w:rsidP="009569C7">
      <w:pPr>
        <w:pStyle w:val="Baseparagraphnumbered"/>
        <w:numPr>
          <w:ilvl w:val="0"/>
          <w:numId w:val="32"/>
        </w:numPr>
        <w:ind w:left="1134" w:hanging="425"/>
      </w:pPr>
      <w:r>
        <w:t>„Garanciák és jótállások” (beleértve a pályázati és teljesítési biztosítékokat), valamint olyan „garanciák, amelyek nem hitelhelyettesítő jellegűek”;</w:t>
      </w:r>
    </w:p>
    <w:p w:rsidR="009569C7" w:rsidRPr="00EC4FA2" w:rsidRDefault="00A834F1" w:rsidP="009569C7">
      <w:pPr>
        <w:pStyle w:val="Baseparagraphnumbered"/>
        <w:numPr>
          <w:ilvl w:val="0"/>
          <w:numId w:val="32"/>
        </w:numPr>
        <w:ind w:left="1134" w:hanging="425"/>
      </w:pPr>
      <w:r>
        <w:t>„Szállítási garanciák, vám- és adóbiztosítékok”;</w:t>
      </w:r>
    </w:p>
    <w:p w:rsidR="009569C7" w:rsidRPr="00EC4FA2" w:rsidRDefault="00A834F1" w:rsidP="009569C7">
      <w:pPr>
        <w:pStyle w:val="Baseparagraphnumbered"/>
        <w:numPr>
          <w:ilvl w:val="0"/>
          <w:numId w:val="32"/>
        </w:numPr>
        <w:ind w:left="1134" w:hanging="425"/>
      </w:pPr>
      <w:r>
        <w:t>„Rulírozó hitelmegállapodás rövid lejáratú pénzpiaci eszköz jegyzésére (</w:t>
      </w:r>
      <w:proofErr w:type="spellStart"/>
      <w:r>
        <w:t>note</w:t>
      </w:r>
      <w:proofErr w:type="spellEnd"/>
      <w:r>
        <w:t xml:space="preserve"> </w:t>
      </w:r>
      <w:proofErr w:type="spellStart"/>
      <w:r>
        <w:t>issuance</w:t>
      </w:r>
      <w:proofErr w:type="spellEnd"/>
      <w:r>
        <w:t xml:space="preserve"> </w:t>
      </w:r>
      <w:proofErr w:type="spellStart"/>
      <w:r>
        <w:t>facilities</w:t>
      </w:r>
      <w:proofErr w:type="spellEnd"/>
      <w:r>
        <w:t>, NIF) és középtávú rulírozó megállapodás rövid lejáratú pénzpiaci eszköz jegyzésére és a kibocsátásban való közreműködésre (</w:t>
      </w:r>
      <w:proofErr w:type="spellStart"/>
      <w:r>
        <w:t>revolving</w:t>
      </w:r>
      <w:proofErr w:type="spellEnd"/>
      <w:r>
        <w:t xml:space="preserve"> </w:t>
      </w:r>
      <w:proofErr w:type="spellStart"/>
      <w:r>
        <w:t>underwriting</w:t>
      </w:r>
      <w:proofErr w:type="spellEnd"/>
      <w:r>
        <w:t xml:space="preserve"> </w:t>
      </w:r>
      <w:proofErr w:type="spellStart"/>
      <w:r>
        <w:t>facilities</w:t>
      </w:r>
      <w:proofErr w:type="spellEnd"/>
      <w:r>
        <w:t>, RUF)”;</w:t>
      </w:r>
    </w:p>
    <w:p w:rsidR="009569C7" w:rsidRPr="00EC4FA2" w:rsidRDefault="00A834F1" w:rsidP="009569C7">
      <w:pPr>
        <w:pStyle w:val="Baseparagraphnumbered"/>
        <w:numPr>
          <w:ilvl w:val="0"/>
          <w:numId w:val="32"/>
        </w:numPr>
        <w:ind w:left="1134" w:hanging="425"/>
      </w:pPr>
      <w:r>
        <w:t xml:space="preserve">„Le nem hívott hitelkeretek”, amelyek kölcsönnyújtásra vagy elfogadványokra vonatkozó megállapodásokat foglalnak magukban, ha a szerződéses feltételek nem előre meghatározottak; </w:t>
      </w:r>
    </w:p>
    <w:p w:rsidR="009569C7" w:rsidRPr="00EC4FA2" w:rsidRDefault="00A834F1" w:rsidP="009569C7">
      <w:pPr>
        <w:pStyle w:val="Baseparagraphnumbered"/>
        <w:numPr>
          <w:ilvl w:val="0"/>
          <w:numId w:val="32"/>
        </w:numPr>
        <w:ind w:left="1134" w:hanging="425"/>
      </w:pPr>
      <w:r>
        <w:t>„Le nem hívott hitelkeretek”</w:t>
      </w:r>
      <w:proofErr w:type="gramStart"/>
      <w:r>
        <w:t>,</w:t>
      </w:r>
      <w:proofErr w:type="gramEnd"/>
      <w:r>
        <w:t xml:space="preserve"> amelyek értékpapírok megvásárlására vagy garancianyújtásra vonatkozó megállapodásokat foglalnak magukban;</w:t>
      </w:r>
    </w:p>
    <w:p w:rsidR="009569C7" w:rsidRPr="00EC4FA2" w:rsidRDefault="00A834F1" w:rsidP="009569C7">
      <w:pPr>
        <w:pStyle w:val="Baseparagraphnumbered"/>
        <w:numPr>
          <w:ilvl w:val="0"/>
          <w:numId w:val="32"/>
        </w:numPr>
        <w:ind w:left="1134" w:hanging="425"/>
      </w:pPr>
      <w:r>
        <w:t>„Pályázati és teljesítési garanciák nyújtására szolgáló, le nem hívott hitelkeretek”;</w:t>
      </w:r>
    </w:p>
    <w:p w:rsidR="009569C7" w:rsidRPr="00EC4FA2" w:rsidRDefault="00A834F1" w:rsidP="009569C7">
      <w:pPr>
        <w:pStyle w:val="Baseparagraphnumbered"/>
        <w:numPr>
          <w:ilvl w:val="0"/>
          <w:numId w:val="32"/>
        </w:numPr>
        <w:ind w:left="1134" w:hanging="425"/>
      </w:pPr>
      <w:r>
        <w:t>a CRR I. mellékletében felsorolt „Egyéb mérlegen kívüli tételek”.</w:t>
      </w:r>
    </w:p>
    <w:p w:rsidR="009569C7" w:rsidRPr="00EC4FA2" w:rsidRDefault="00A834F1" w:rsidP="009569C7">
      <w:pPr>
        <w:pStyle w:val="Baseparagraphnumbered"/>
      </w:pPr>
      <w:r>
        <w:t>Az IFRS szerinti elszámolás esetén a következő tételek a mérlegben kerülnek megjelenítésre, következésképpen ezeket nem kell mérlegen kívüli kitettségként feltüntetni:</w:t>
      </w:r>
    </w:p>
    <w:p w:rsidR="009569C7" w:rsidRPr="00EC4FA2" w:rsidRDefault="00A834F1" w:rsidP="009569C7">
      <w:pPr>
        <w:pStyle w:val="Baseparagraphnumbered"/>
        <w:numPr>
          <w:ilvl w:val="0"/>
          <w:numId w:val="33"/>
        </w:numPr>
        <w:ind w:left="1134" w:hanging="425"/>
      </w:pPr>
      <w:r>
        <w:t>a pénzügyi garancia definíciójának nem megfelelő „</w:t>
      </w:r>
      <w:proofErr w:type="spellStart"/>
      <w:r>
        <w:t>Hitelderivatívák</w:t>
      </w:r>
      <w:proofErr w:type="spellEnd"/>
      <w:r>
        <w:t>” az IFRS 9 értelmében „származtatott ügyletek”;</w:t>
      </w:r>
    </w:p>
    <w:p w:rsidR="009569C7" w:rsidRPr="00EC4FA2" w:rsidRDefault="00A834F1" w:rsidP="009569C7">
      <w:pPr>
        <w:pStyle w:val="Baseparagraphnumbered"/>
        <w:numPr>
          <w:ilvl w:val="0"/>
          <w:numId w:val="33"/>
        </w:numPr>
        <w:ind w:left="1134" w:hanging="425"/>
      </w:pPr>
      <w:r>
        <w:t xml:space="preserve"> az „Elfogadványok” egy intézmény által egy – rendszerint áruk adásvételét fedező – váltó névértékének lejáratkori kifizetésére vonatkozó elkötelezettségek. Következésképpen ezek a mérlegben a „kereskedelemfinanszírozás” tételbe vannak besorolva;</w:t>
      </w:r>
    </w:p>
    <w:p w:rsidR="009569C7" w:rsidRPr="00EC4FA2" w:rsidRDefault="00A834F1" w:rsidP="009569C7">
      <w:pPr>
        <w:pStyle w:val="Baseparagraphnumbered"/>
        <w:numPr>
          <w:ilvl w:val="0"/>
          <w:numId w:val="33"/>
        </w:numPr>
        <w:ind w:left="1134" w:hanging="425"/>
      </w:pPr>
      <w:r>
        <w:t>a „Váltók forgatmányozása”, amely nem felel meg az IFRS 9 szerinti kivezetés kritériumainak;</w:t>
      </w:r>
    </w:p>
    <w:p w:rsidR="009569C7" w:rsidRPr="00EC4FA2" w:rsidRDefault="00A834F1" w:rsidP="009569C7">
      <w:pPr>
        <w:pStyle w:val="Baseparagraphnumbered"/>
        <w:numPr>
          <w:ilvl w:val="0"/>
          <w:numId w:val="33"/>
        </w:numPr>
        <w:ind w:left="1134" w:hanging="425"/>
      </w:pPr>
      <w:r>
        <w:t>az „Ügyletek visszkereseti joggal”, amely nem felel meg az IFRS 9 szerinti kivezetés kritériumainak;</w:t>
      </w:r>
    </w:p>
    <w:p w:rsidR="009569C7" w:rsidRPr="00EC4FA2" w:rsidRDefault="00A834F1" w:rsidP="009569C7">
      <w:pPr>
        <w:pStyle w:val="Baseparagraphnumbered"/>
        <w:numPr>
          <w:ilvl w:val="0"/>
          <w:numId w:val="33"/>
        </w:numPr>
        <w:ind w:left="1134" w:hanging="425"/>
      </w:pPr>
      <w:r>
        <w:t>a „Sima határidős ügyletek keretében megvásárolt eszközök” az IFRS 9 értelmében „származtatott ügyletek”;</w:t>
      </w:r>
    </w:p>
    <w:p w:rsidR="009569C7" w:rsidRPr="00EC4FA2" w:rsidRDefault="00A834F1" w:rsidP="009569C7">
      <w:pPr>
        <w:pStyle w:val="Baseparagraphnumbered"/>
        <w:numPr>
          <w:ilvl w:val="0"/>
          <w:numId w:val="33"/>
        </w:numPr>
        <w:ind w:left="1134" w:hanging="425"/>
      </w:pPr>
      <w:r>
        <w:lastRenderedPageBreak/>
        <w:t>a „86/635/EGK irányelv 12. cikkének (3) és (5) bekezdésében definiált „Visszavásárlási megállapodás mellett kötött eszközeladási (</w:t>
      </w:r>
      <w:proofErr w:type="spellStart"/>
      <w:r>
        <w:t>repo-</w:t>
      </w:r>
      <w:proofErr w:type="spellEnd"/>
      <w:r>
        <w:t xml:space="preserve">) ügyletek”. Ezekben a szerződésekben az engedményes rendelkezik azon opcióval, nem pedig kötelezettséggel, hogy az eszközöket az előre megállapodott áron, egy meghatározott vagy meghatározandó időpontban visszaszolgáltassa. Ezért ezek az ügyletek megfelelnek a származtatott ügyletek IFRS 9 </w:t>
      </w:r>
      <w:proofErr w:type="gramStart"/>
      <w:r>
        <w:t>A</w:t>
      </w:r>
      <w:proofErr w:type="gramEnd"/>
      <w:r>
        <w:t>. függeléke szerinti meghatározásának.</w:t>
      </w:r>
    </w:p>
    <w:p w:rsidR="009569C7" w:rsidRPr="00EC4FA2" w:rsidRDefault="00A834F1" w:rsidP="009569C7">
      <w:pPr>
        <w:pStyle w:val="Baseparagraphnumbered"/>
      </w:pPr>
      <w:r>
        <w:t xml:space="preserve">Az „ebből: </w:t>
      </w:r>
      <w:proofErr w:type="spellStart"/>
      <w:r>
        <w:t>nemteljesítő</w:t>
      </w:r>
      <w:proofErr w:type="spellEnd"/>
      <w:r>
        <w:t xml:space="preserve">” tartalmazza azon adott hitelnyújtási elkötelezettségek, pénzügyi garanciák és egyéb elkötelezettségek névértékét, amelyek e rész 213–239. bekezdésének megfelelően </w:t>
      </w:r>
      <w:proofErr w:type="spellStart"/>
      <w:r>
        <w:t>nemteljesítőnek</w:t>
      </w:r>
      <w:proofErr w:type="spellEnd"/>
      <w:r>
        <w:t xml:space="preserve"> tekintendők. </w:t>
      </w:r>
    </w:p>
    <w:p w:rsidR="009569C7" w:rsidRPr="00EC4FA2" w:rsidRDefault="00A834F1" w:rsidP="009569C7">
      <w:pPr>
        <w:pStyle w:val="Baseparagraphnumbered"/>
      </w:pPr>
      <w:r>
        <w:t xml:space="preserve">Az adott pénzügyi garanciák, hitelnyújtási elkötelezettségek és egyéb elkötelezettségek tekintetében a „Névérték” az az összeg, amely leginkább jellemzi az intézmény maximális hitelkockázati kitettségét, figyelmen kívül hagyva a biztosítékokat vagy egyéb hitelminőség-javítási lehetőségeket. Az adott pénzügyi garanciák tekintetében a névérték mindenekelőtt az a maximális összeg, amelyet az intézménynek a garancia lehívásakor kellene fizetnie. Hitelnyújtási elkötelezettségek tekintetében a névérték az a le nem hívott hitelösszeg, amelynek nyújtására az intézmény kötelezettséget vállalt. A névérték a </w:t>
      </w:r>
      <w:proofErr w:type="spellStart"/>
      <w:r>
        <w:t>hitel-egyenértékesítési</w:t>
      </w:r>
      <w:proofErr w:type="spellEnd"/>
      <w:r>
        <w:t xml:space="preserve"> tényező és hitelkockázat-mérséklő technikák alkalmazása előtti kitettségérték.</w:t>
      </w:r>
    </w:p>
    <w:p w:rsidR="009569C7" w:rsidRPr="00EC4FA2" w:rsidRDefault="00A834F1" w:rsidP="009569C7">
      <w:pPr>
        <w:pStyle w:val="Baseparagraphnumbered"/>
      </w:pPr>
      <w:r>
        <w:t xml:space="preserve">A 9.2. táblában a kapott hitelnyújtási elkötelezettségek tekintetében a névérték az a le nem hívott teljes hitelösszeg, amelynek intézmény részére történő nyújtására a partner kötelezettséget vállalt. Egyéb kapott hitelnyújtási elkötelezettség tekintetében a névérték annak a hitelnek a teljes összege, amelynek nyújtására a tranzakcióban részt vevő másik fél kötelezettséget vállalt. A kapott pénzügyi garanciák tekintetében a „Garancia legmagasabb figyelembe vehető összege” az a maximális összeg, amelyet a partnernek a garancia lehívásakor kellene fizetnie. Amikor egy kapott pénzügyi garanciát egynél több </w:t>
      </w:r>
      <w:proofErr w:type="spellStart"/>
      <w:r>
        <w:t>garantőr</w:t>
      </w:r>
      <w:proofErr w:type="spellEnd"/>
      <w:r>
        <w:t xml:space="preserve"> bocsát ki, a garantált összeget ebben a táblában csak egyszer kell feltüntetni; a garantált összeget a hitelkockázat mérséklése szempontjából relevánsabb </w:t>
      </w:r>
      <w:proofErr w:type="spellStart"/>
      <w:r>
        <w:t>garantőrhöz</w:t>
      </w:r>
      <w:proofErr w:type="spellEnd"/>
      <w:r>
        <w:t xml:space="preserve"> kell rendelni.</w:t>
      </w:r>
    </w:p>
    <w:p w:rsidR="009569C7" w:rsidRPr="00EC4FA2" w:rsidRDefault="00A834F1" w:rsidP="009569C7">
      <w:pPr>
        <w:pStyle w:val="subtitlenumbered"/>
        <w:numPr>
          <w:ilvl w:val="0"/>
          <w:numId w:val="17"/>
        </w:numPr>
        <w:jc w:val="both"/>
      </w:pPr>
      <w:bookmarkStart w:id="130" w:name="_Toc361844223"/>
      <w:bookmarkStart w:id="131" w:name="_Toc362359294"/>
      <w:bookmarkStart w:id="132" w:name="_Toc467855218"/>
      <w:bookmarkStart w:id="133" w:name="_Toc485913595"/>
      <w:r>
        <w:t xml:space="preserve">Származtatott ügyletek </w:t>
      </w:r>
      <w:proofErr w:type="gramStart"/>
      <w:r>
        <w:t>és</w:t>
      </w:r>
      <w:proofErr w:type="gramEnd"/>
      <w:r>
        <w:t xml:space="preserve"> fedezeti elszámolások (10. és 11.)</w:t>
      </w:r>
      <w:bookmarkEnd w:id="130"/>
      <w:bookmarkEnd w:id="131"/>
      <w:bookmarkEnd w:id="132"/>
      <w:bookmarkEnd w:id="133"/>
    </w:p>
    <w:p w:rsidR="009569C7" w:rsidRPr="00EC4FA2" w:rsidRDefault="00A834F1" w:rsidP="009569C7">
      <w:pPr>
        <w:pStyle w:val="Baseparagraphnumbered"/>
      </w:pPr>
      <w:r>
        <w:t xml:space="preserve">A 10. és a 11. tábla alkalmazásában a származtatott ügyleteket – amennyiben azokat az </w:t>
      </w:r>
      <w:proofErr w:type="spellStart"/>
      <w:r>
        <w:t>IFRS-nek</w:t>
      </w:r>
      <w:proofErr w:type="spellEnd"/>
      <w:r>
        <w:t xml:space="preserve"> vagy a BAD alapján kidolgozott alkalmazandó nemzeti </w:t>
      </w:r>
      <w:proofErr w:type="spellStart"/>
      <w:r>
        <w:t>GAAP-nak</w:t>
      </w:r>
      <w:proofErr w:type="spellEnd"/>
      <w:r>
        <w:t xml:space="preserve"> megfelelően minősített fedezeti kapcsolatban használják – származtatott fedezeti ügyletként, vagy más esetekben kereskedési céllal tartottként kell figyelembe venni. </w:t>
      </w:r>
    </w:p>
    <w:p w:rsidR="009569C7" w:rsidRPr="00EC4FA2" w:rsidRDefault="00A834F1" w:rsidP="009569C7">
      <w:pPr>
        <w:pStyle w:val="Baseparagraphnumbered"/>
      </w:pPr>
      <w:r>
        <w:t xml:space="preserve">A kereskedési céllal tartott származtatott ügyletek, többek között a gazdasági fedezeti ügyletek, valamint a fedezeti elszámolások céljából tartott származtatott ügyletek könyv szerinti értékét és névleges összegét a mögöttes kockázat típusa, a piac típusa és a terméktípus szerinti részletezéssel kell feltüntetni a 10. és a 11. táblában. Az intézményeknek a fedezeti elszámolások céljából tartott származtatott ügyleteket a fedezeti ügylet típusa </w:t>
      </w:r>
      <w:r>
        <w:lastRenderedPageBreak/>
        <w:t>szerint is kell részletezniük. A nem származtatott fedezeti instrumentumokra vonatkozó információt külön kell feltüntetni, fedezettípus szerinti bontásban.</w:t>
      </w:r>
    </w:p>
    <w:p w:rsidR="009569C7" w:rsidRPr="00EC4FA2" w:rsidRDefault="00A834F1" w:rsidP="009569C7">
      <w:pPr>
        <w:pStyle w:val="Baseparagraphnumbered"/>
      </w:pPr>
      <w:r>
        <w:t xml:space="preserve">A BAD alapján kidolgozott vonatkozó nemzeti GAAP </w:t>
      </w:r>
      <w:proofErr w:type="gramStart"/>
      <w:r>
        <w:t>értelmében</w:t>
      </w:r>
      <w:proofErr w:type="gramEnd"/>
      <w:r>
        <w:t xml:space="preserve"> ezekben a táblákban valamennyi származtatott ügyletet fel kell tüntetni attól függetlenül, hogy a releváns nemzeti </w:t>
      </w:r>
      <w:proofErr w:type="spellStart"/>
      <w:r>
        <w:t>GAAP-nak</w:t>
      </w:r>
      <w:proofErr w:type="spellEnd"/>
      <w:r>
        <w:t xml:space="preserve"> megfelelően megjelenítésre kerülnek-e a mérlegben.</w:t>
      </w:r>
    </w:p>
    <w:p w:rsidR="009569C7" w:rsidRPr="00EC4FA2" w:rsidRDefault="00A834F1" w:rsidP="009569C7">
      <w:pPr>
        <w:pStyle w:val="Baseparagraphnumbered"/>
      </w:pPr>
      <w:r>
        <w:t xml:space="preserve">A kereskedési célú származtatott ügyletek és a származtatott fedezeti ügyletek könyv szerinti értékének, valós értékének és névleges összegének számviteli portfóliók és fedezettípusok szerinti bontását az adatszolgáltatásra kötelezett gazdálkodó egységre vonatkozó keretben, vagyis az </w:t>
      </w:r>
      <w:proofErr w:type="spellStart"/>
      <w:r>
        <w:t>IFRS-ben</w:t>
      </w:r>
      <w:proofErr w:type="spellEnd"/>
      <w:r>
        <w:t xml:space="preserve"> vagy a BAD alapján kidolgozott nemzeti </w:t>
      </w:r>
      <w:proofErr w:type="spellStart"/>
      <w:r>
        <w:t>GAAP-ban</w:t>
      </w:r>
      <w:proofErr w:type="spellEnd"/>
      <w:r>
        <w:t xml:space="preserve"> alkalmazandó számviteli portfólió és fedezettípus figyelembevételével kell végrehajtani. </w:t>
      </w:r>
    </w:p>
    <w:p w:rsidR="009569C7" w:rsidRPr="00EC4FA2" w:rsidRDefault="00A834F1" w:rsidP="009569C7">
      <w:pPr>
        <w:pStyle w:val="Baseparagraphnumbered"/>
      </w:pPr>
      <w:r>
        <w:t xml:space="preserve">Elkülönítve kell azonosítani azokat a kereskedési célú származtatott ügyleteket és származtatott fedezeti ügyleteket, amelyeket a BAD alapján kidolgozott nemzeti </w:t>
      </w:r>
      <w:proofErr w:type="spellStart"/>
      <w:r>
        <w:t>GAAP-nak</w:t>
      </w:r>
      <w:proofErr w:type="spellEnd"/>
      <w:r>
        <w:t xml:space="preserve"> megfelelően </w:t>
      </w:r>
      <w:proofErr w:type="spellStart"/>
      <w:r>
        <w:t>bekerülésiérték-módszer</w:t>
      </w:r>
      <w:proofErr w:type="spellEnd"/>
      <w:r>
        <w:t xml:space="preserve"> vagy </w:t>
      </w:r>
      <w:proofErr w:type="spellStart"/>
      <w:r>
        <w:t>LOCOM-módszer</w:t>
      </w:r>
      <w:proofErr w:type="spellEnd"/>
      <w:r>
        <w:t xml:space="preserve"> szerint értékelnek.</w:t>
      </w:r>
    </w:p>
    <w:p w:rsidR="009569C7" w:rsidRPr="00EC4FA2" w:rsidRDefault="00A834F1" w:rsidP="009569C7">
      <w:pPr>
        <w:pStyle w:val="Baseparagraphnumbered"/>
      </w:pPr>
      <w:r>
        <w:t xml:space="preserve">A 11. tábla tartalmazza a fedezeti instrumentumokat és a fedezett tételeket függetlenül a minősített fedezeti kapcsolat megjelenítéséhez használt számviteli standardtól, ideértve azt, ha ez a minősített fedezeti kapcsolat nettó pozícióval van összefüggésben. </w:t>
      </w:r>
      <w:proofErr w:type="gramStart"/>
      <w:r>
        <w:t>Ha egy intézmény úgy döntött, hogy a fedezeti elszámolásokhoz továbbra is az IAS 39-et használja [az IFRS 9 7.2.21. bekezdése], a fedezeti ügyletek típusaira és a számviteli portfóliókra vonatkozó hivatkozások és megnevezések az IAS 39 9. bekezdésében levő hivatkozásoknak és megnevezéseknek felelnek meg: az „Egyéb átfogó jövedelemmel szemben valós értéken értékelt pénzügyi eszközök” az „Értékesíthető” tételre, az „Amortizált bekerülési értéken értékelt eszközök” pedig együttesen a „Lejáratig tartandó” és a „Kölcsönök és követelések” tételre vonatkoznak.</w:t>
      </w:r>
      <w:proofErr w:type="gramEnd"/>
    </w:p>
    <w:p w:rsidR="009569C7" w:rsidRPr="00EC4FA2" w:rsidRDefault="00A834F1" w:rsidP="009569C7">
      <w:pPr>
        <w:pStyle w:val="Baseparagraphnumbered"/>
      </w:pPr>
      <w:r>
        <w:t>A hibrid instrumentumok között szereplő, és az alapszerződésektől elkülönített származtatott ügyleteket a 10. és 11. táblában kell szerepeltetni a származtatott ügylet jellege alapján. Ezek a táblák nem tartalmazzák az alapszerződés összegét. Az eredménnyel szemben valós értéken értékelt hibrid instrumentum esetében azonban a szerződés egészét fel kell tüntetni és a beágyazott származtatott ügyletek a 10. és 11. táblában nem tüntetendők fel.</w:t>
      </w:r>
    </w:p>
    <w:p w:rsidR="009569C7" w:rsidRPr="00EC4FA2" w:rsidRDefault="00A834F1" w:rsidP="009569C7">
      <w:pPr>
        <w:pStyle w:val="Baseparagraphnumbered"/>
      </w:pPr>
      <w:r>
        <w:t xml:space="preserve">A származtatott ügyletnek tekintett azon elkötelezettségeket [az IFRS 9 2.3. bekezdésének b) pontja] és </w:t>
      </w:r>
      <w:proofErr w:type="spellStart"/>
      <w:r>
        <w:t>hitelderivatívákat</w:t>
      </w:r>
      <w:proofErr w:type="spellEnd"/>
      <w:r>
        <w:t xml:space="preserve">, amelyek nem felelnek meg a pénzügyi garancia e melléklet jelen része 114. bekezdésében meghatározott fogalmának, a 10. és a 11. táblában kell feltüntetni az egyéb származtatott instrumentumokra vonatkozó részletezésnek megfelelően, de ezeket a 9. táblában nem kell feltüntetni. </w:t>
      </w:r>
    </w:p>
    <w:p w:rsidR="009569C7" w:rsidRPr="00EC4FA2" w:rsidRDefault="00A834F1" w:rsidP="009569C7">
      <w:pPr>
        <w:pStyle w:val="Baseparagraphnumbered"/>
      </w:pPr>
      <w:r>
        <w:t xml:space="preserve">Azon nem származtatott pénzügyi eszközök vagy nem származtatott pénzügyi kötelezettségek könyv szerinti értékét, amelyek az IFRS vagy a BAD alapján kidolgozott vonatkozó nemzeti GAAP alkalmazásában fedezeti </w:t>
      </w:r>
      <w:r>
        <w:lastRenderedPageBreak/>
        <w:t xml:space="preserve">instrumentumként megjelenítettek, elkülönítve kell feltüntetni a 11.3. táblában. </w:t>
      </w:r>
    </w:p>
    <w:p w:rsidR="009569C7" w:rsidRPr="00EC4FA2" w:rsidRDefault="00A834F1" w:rsidP="009569C7">
      <w:pPr>
        <w:pStyle w:val="sub-subtitlenumbered"/>
        <w:keepNext/>
        <w:ind w:left="788" w:hanging="431"/>
        <w:jc w:val="both"/>
      </w:pPr>
      <w:bookmarkStart w:id="134" w:name="_Toc361844224"/>
      <w:bookmarkStart w:id="135" w:name="_Toc362359295"/>
      <w:bookmarkStart w:id="136" w:name="_Toc467855219"/>
      <w:bookmarkStart w:id="137" w:name="_Toc485913596"/>
      <w:r>
        <w:t>Származtatott ügyletek kockázattípus szerinti besorolása</w:t>
      </w:r>
      <w:bookmarkEnd w:id="134"/>
      <w:bookmarkEnd w:id="135"/>
      <w:bookmarkEnd w:id="136"/>
      <w:bookmarkEnd w:id="137"/>
    </w:p>
    <w:p w:rsidR="009569C7" w:rsidRPr="00EC4FA2" w:rsidRDefault="00A834F1" w:rsidP="009569C7">
      <w:pPr>
        <w:pStyle w:val="Baseparagraphnumbered"/>
      </w:pPr>
      <w:r>
        <w:t>Az összes származtatott ügyletet a következő kockázati kategóriákba kell besorolni:</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Kamatláb: a származtatott kamatlábügylet olyan kamatozó pénzügyi instrumentumra vonatkozó ügylet, amelynek cash flow-ját kamatlábakra való hivatkozással, vagy más kamatlábszerződéssel határozzák meg, például kincstárjegy megvásárlására vonatkozó határidős szerződésre szóló opcióval. Ez a kategória azon ügyletekre korlátozott, amelyeknél az ügylet mindkét lába csak egy deviza kamatlábának kitett. Ezért tehát nem tartoznak ide az egy vagy több deviza átváltásával járó ügyletek, például a keresztdevizás csereügyletek és a devizaopciók, valamint a devizaügyletek között feltüntetendő olyan egyéb szerződések, amelyek meghatározó kockázati jellemzője az árfolyamkockázat. Az egyetlen kivétel, ha keresztdevizás csereügyletet kamatlábkockázatra vonatkozó </w:t>
      </w:r>
      <w:proofErr w:type="spellStart"/>
      <w:r>
        <w:rPr>
          <w:rFonts w:ascii="Times New Roman" w:hAnsi="Times New Roman"/>
          <w:sz w:val="24"/>
        </w:rPr>
        <w:t>portfóliófedezeti</w:t>
      </w:r>
      <w:proofErr w:type="spellEnd"/>
      <w:r>
        <w:rPr>
          <w:rFonts w:ascii="Times New Roman" w:hAnsi="Times New Roman"/>
          <w:sz w:val="24"/>
        </w:rPr>
        <w:t xml:space="preserve"> ügylet részeként használnak, ekkor ezt az ilyen típusú fedezetekre vonatkozó sorokban kell feltüntetni. A kamatlábügyletek közé tartoznak a határidős kamatláb-megállapodások, egydevizás kamatláb-csereügyletek, határidős kamatlábügyletek, kamatláb-opciók (ideértve a </w:t>
      </w:r>
      <w:proofErr w:type="spellStart"/>
      <w:r>
        <w:rPr>
          <w:rFonts w:ascii="Times New Roman" w:hAnsi="Times New Roman"/>
          <w:sz w:val="24"/>
        </w:rPr>
        <w:t>cap</w:t>
      </w:r>
      <w:proofErr w:type="spellEnd"/>
      <w:r>
        <w:rPr>
          <w:rFonts w:ascii="Times New Roman" w:hAnsi="Times New Roman"/>
          <w:sz w:val="24"/>
        </w:rPr>
        <w:t xml:space="preserve">, </w:t>
      </w:r>
      <w:proofErr w:type="spellStart"/>
      <w:r>
        <w:rPr>
          <w:rFonts w:ascii="Times New Roman" w:hAnsi="Times New Roman"/>
          <w:sz w:val="24"/>
        </w:rPr>
        <w:t>floor</w:t>
      </w:r>
      <w:proofErr w:type="spellEnd"/>
      <w:r>
        <w:rPr>
          <w:rFonts w:ascii="Times New Roman" w:hAnsi="Times New Roman"/>
          <w:sz w:val="24"/>
        </w:rPr>
        <w:t xml:space="preserve">, </w:t>
      </w:r>
      <w:proofErr w:type="spellStart"/>
      <w:r>
        <w:rPr>
          <w:rFonts w:ascii="Times New Roman" w:hAnsi="Times New Roman"/>
          <w:sz w:val="24"/>
        </w:rPr>
        <w:t>collar</w:t>
      </w:r>
      <w:proofErr w:type="spellEnd"/>
      <w:r>
        <w:rPr>
          <w:rFonts w:ascii="Times New Roman" w:hAnsi="Times New Roman"/>
          <w:sz w:val="24"/>
        </w:rPr>
        <w:t xml:space="preserve"> és </w:t>
      </w:r>
      <w:proofErr w:type="spellStart"/>
      <w:r>
        <w:rPr>
          <w:rFonts w:ascii="Times New Roman" w:hAnsi="Times New Roman"/>
          <w:sz w:val="24"/>
        </w:rPr>
        <w:t>corridor</w:t>
      </w:r>
      <w:proofErr w:type="spellEnd"/>
      <w:r>
        <w:rPr>
          <w:rFonts w:ascii="Times New Roman" w:hAnsi="Times New Roman"/>
          <w:sz w:val="24"/>
        </w:rPr>
        <w:t xml:space="preserve"> ügyleteket), a kamatláb-csereügyletekre szóló opciók és a kamatlábra szóló </w:t>
      </w:r>
      <w:proofErr w:type="spellStart"/>
      <w:r>
        <w:rPr>
          <w:rFonts w:ascii="Times New Roman" w:hAnsi="Times New Roman"/>
          <w:sz w:val="24"/>
        </w:rPr>
        <w:t>opciósutalvány-ügyletek</w:t>
      </w:r>
      <w:proofErr w:type="spellEnd"/>
      <w:r>
        <w:rPr>
          <w:rFonts w:ascii="Times New Roman" w:hAnsi="Times New Roman"/>
          <w:sz w:val="24"/>
        </w:rPr>
        <w:t>.</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Részvény: a származtatott részvényügyletek olyan ügyletek, amelyek egy meghatározott részvény árfolyamához vagy részvényárfolyamokra vonatkozó indexhez kötött hozamot, vagy hozamuknak egy részét biztosítják.</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Deviza és arany: ezek a származtatott ügyletek a határidős piacon devizák cseréjével és arannyal szembeni kitettséggel járó szerződéseket foglalnak magukban. Ezért ezek sima határidős ügyleteket, árfolyam-csereügyleteket és deviza-csereügyleteket (ideértve a keresztdevizás kamatláb-csereügyleteket), határidős devizaügyleteket, devizaopciókat, deviza-csereügyletre szóló opciókat és opciós utalványokat takarnak. A származtatott devizaügyletek minden olyan ügyletet tartalmaznak, amely akár árfolyamok, akár kamatlábak tekintetében egynél több devizával szembeni kitettséggel járnak, kivéve, ha keresztdevizás csereügyleteket kamatlábkockázatra vonatkozó </w:t>
      </w:r>
      <w:proofErr w:type="spellStart"/>
      <w:r>
        <w:rPr>
          <w:rFonts w:ascii="Times New Roman" w:hAnsi="Times New Roman"/>
          <w:sz w:val="24"/>
        </w:rPr>
        <w:t>portfóliófedezeti</w:t>
      </w:r>
      <w:proofErr w:type="spellEnd"/>
      <w:r>
        <w:rPr>
          <w:rFonts w:ascii="Times New Roman" w:hAnsi="Times New Roman"/>
          <w:sz w:val="24"/>
        </w:rPr>
        <w:t xml:space="preserve"> ügylet részeként használnak. Az aranyügyletek minden ezzel az áruval szembeni kitettséggel járó ügyletet magukban foglalnak.</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 xml:space="preserve">Hitel: a </w:t>
      </w:r>
      <w:proofErr w:type="spellStart"/>
      <w:r>
        <w:rPr>
          <w:rFonts w:ascii="Times New Roman" w:hAnsi="Times New Roman"/>
          <w:sz w:val="24"/>
        </w:rPr>
        <w:t>hitelderivatívák</w:t>
      </w:r>
      <w:proofErr w:type="spellEnd"/>
      <w:r>
        <w:rPr>
          <w:rFonts w:ascii="Times New Roman" w:hAnsi="Times New Roman"/>
          <w:sz w:val="24"/>
        </w:rPr>
        <w:t xml:space="preserve"> olyan ügyletekre szóló szerződések, amelyeknél a kifizetés elsősorban egy meghatározott referenciahitel valamely hitelképességi mérőszámához kötött, és amelyek nem felelnek meg a pénzügyi garanciák meghatározásának [IFRS 9]. </w:t>
      </w:r>
      <w:proofErr w:type="gramStart"/>
      <w:r>
        <w:rPr>
          <w:rFonts w:ascii="Times New Roman" w:hAnsi="Times New Roman"/>
          <w:sz w:val="24"/>
        </w:rPr>
        <w:t>A</w:t>
      </w:r>
      <w:proofErr w:type="gramEnd"/>
      <w:r>
        <w:rPr>
          <w:rFonts w:ascii="Times New Roman" w:hAnsi="Times New Roman"/>
          <w:sz w:val="24"/>
        </w:rPr>
        <w:t xml:space="preserve"> szerződések fizetések cseréjét kötik ki, amelynek legalább az egyik lábát a referenciahitel teljesítése határozza meg. A kifizetést számos esemény kiválthatja, többek között a nemteljesítés, leminősítés vagy a referenciaeszköz hitelkockázati felárában bekövetkező előre kikötött változás. Azokat a </w:t>
      </w:r>
      <w:proofErr w:type="spellStart"/>
      <w:r>
        <w:rPr>
          <w:rFonts w:ascii="Times New Roman" w:hAnsi="Times New Roman"/>
          <w:sz w:val="24"/>
        </w:rPr>
        <w:t>hitelderivatívákat</w:t>
      </w:r>
      <w:proofErr w:type="spellEnd"/>
      <w:r>
        <w:rPr>
          <w:rFonts w:ascii="Times New Roman" w:hAnsi="Times New Roman"/>
          <w:sz w:val="24"/>
        </w:rPr>
        <w:t xml:space="preserve">, </w:t>
      </w:r>
      <w:r>
        <w:rPr>
          <w:rFonts w:ascii="Times New Roman" w:hAnsi="Times New Roman"/>
          <w:sz w:val="24"/>
        </w:rPr>
        <w:lastRenderedPageBreak/>
        <w:t xml:space="preserve">amelyek megfelelnek a pénzügyi garancia jelen melléklet e részének 114. bekezdésében meghatározott fogalmának, csak a 9. táblában kell jelenteni. </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Áru: ezek a származtatott ügyletek olyan ügyletek, amelyek egy meghatározott áru – például nemesfém (kivéve arany), nyersolaj, fa vagy mezőgazdasági termények – árához vagy árindexéhez kötött hozamot, vagy hozamuknak egy részét biztosítják.</w:t>
      </w:r>
    </w:p>
    <w:p w:rsidR="009569C7" w:rsidRPr="00EC4FA2"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rPr>
        <w:t>Egyéb: ezek a származtatott ügyletek az összes olyan egyéb származtatott ügyletet tartalmazzák, amelyekben nem szerepel devizával, kamatlábbal, részvénnyel, áruval vagy hitelkockázattal szembeni kitettség. Ilyenek például a származtatott klimatikus ügyletek, vagy a származtatott biztosítási ügyletek.</w:t>
      </w:r>
    </w:p>
    <w:p w:rsidR="009569C7" w:rsidRPr="00EC4FA2" w:rsidRDefault="00A834F1" w:rsidP="009569C7">
      <w:pPr>
        <w:pStyle w:val="Baseparagraphnumbered"/>
      </w:pPr>
      <w:r>
        <w:t>Ha egy származtatott ügyletet egynél több mögöttes kockázattípus befolyásol, az instrumentumot a legérzékenyebb kockázattípushoz kell hozzárendelni. A több kitettséggel rendelkező származtatott ügyleteknél, bizonytalanság esetén, az ügyleteket a következő sorrendnek megfelelően kell megjelölni: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Áruk: az áruval vagy áruhoz kötött indexszel szembeni kitettséggel járó összes származtatott ügyletet, függetlenül attól, hogy árukkal vagy egyéb kockázati kategóriával – például árfolyammal, kamatlábbal vagy részvénnyel – szembeni közös kitettséggel rendelkeznek-e, ebben a kategóriában kell feltüntetni;</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Részvények: az árukkal és részvényekkel szembeni közös kitettséggel rendelkező szerződések kivételével – amelyeket áruként kell jelenteni – a részvények vagy részvényindexek teljesítményéhez kötött összes származtatott ügyletet a részvény kategóriában kell megadni. Az árfolyamokkal vagy kamatlábakkal szembeni kitettséggel rendelkező részvényügyleteket ebben a kategóriában kell feltüntetni; </w:t>
      </w:r>
    </w:p>
    <w:p w:rsidR="009569C7" w:rsidRPr="00EC4FA2" w:rsidRDefault="00A834F1" w:rsidP="009569C7">
      <w:pPr>
        <w:numPr>
          <w:ilvl w:val="0"/>
          <w:numId w:val="59"/>
        </w:numPr>
        <w:spacing w:before="120" w:after="120"/>
        <w:ind w:left="1134" w:hanging="425"/>
        <w:jc w:val="both"/>
        <w:rPr>
          <w:rFonts w:ascii="Times New Roman" w:hAnsi="Times New Roman"/>
          <w:sz w:val="24"/>
          <w:szCs w:val="24"/>
        </w:rPr>
      </w:pPr>
      <w:r>
        <w:rPr>
          <w:rFonts w:ascii="Times New Roman" w:hAnsi="Times New Roman"/>
          <w:sz w:val="24"/>
        </w:rPr>
        <w:t xml:space="preserve">Deviza és arany: ez a kategória tartalmazza az összes, egynél több devizával szemben kitettséggel rendelkező származtatott ügyletet (kivéve az áruk vagy részvények kategóriában már feltüntetett ügyleteket) függetlenül attól, hogy az kamatozó pénzügyi instrumentumokra vagy árfolyamokra vonatkozik, kivéve, ha keresztdevizás csereügyleteket kamatlábkockázatra vonatkozó </w:t>
      </w:r>
      <w:proofErr w:type="spellStart"/>
      <w:r>
        <w:rPr>
          <w:rFonts w:ascii="Times New Roman" w:hAnsi="Times New Roman"/>
          <w:sz w:val="24"/>
        </w:rPr>
        <w:t>portfóliófedezeti</w:t>
      </w:r>
      <w:proofErr w:type="spellEnd"/>
      <w:r>
        <w:rPr>
          <w:rFonts w:ascii="Times New Roman" w:hAnsi="Times New Roman"/>
          <w:sz w:val="24"/>
        </w:rPr>
        <w:t xml:space="preserve"> ügylet részeként használnak.</w:t>
      </w:r>
    </w:p>
    <w:p w:rsidR="009569C7" w:rsidRPr="00EC4FA2" w:rsidRDefault="00A834F1" w:rsidP="009569C7">
      <w:pPr>
        <w:pStyle w:val="sub-subtitlenumbered"/>
        <w:jc w:val="both"/>
      </w:pPr>
      <w:bookmarkStart w:id="138" w:name="_Toc361844225"/>
      <w:bookmarkStart w:id="139" w:name="_Toc362359296"/>
      <w:bookmarkStart w:id="140" w:name="_Toc467855220"/>
      <w:bookmarkStart w:id="141" w:name="_Toc485913597"/>
      <w:r>
        <w:t>A származtatott ügyletek esetében feltüntetendő értékek</w:t>
      </w:r>
      <w:bookmarkEnd w:id="138"/>
      <w:bookmarkEnd w:id="139"/>
      <w:bookmarkEnd w:id="140"/>
      <w:bookmarkEnd w:id="141"/>
    </w:p>
    <w:p w:rsidR="009569C7" w:rsidRPr="00EC4FA2" w:rsidRDefault="00A834F1" w:rsidP="009569C7">
      <w:pPr>
        <w:pStyle w:val="Baseparagraphnumbered"/>
      </w:pPr>
      <w:r>
        <w:t xml:space="preserve">Az IFRS szerinti elszámolás esetében az összes származtatott ügylet (fedezeti vagy kereskedési célú) vonatkozásában a „könyv szerinti érték” a valós érték. A pozitív (nulla feletti) valós értékkel rendelkező származtatott ügyletek „pénzügyi eszközök”, a negatív (nulla alatti) valós értékkel rendelkező származtatott ügyletek pedig „pénzügyi kötelezettségek”. A könyv szerinti értéket a pozitív valós értékkel rendelkező („pénzügyi eszközök”) származtatott ügyletekre és a negatív valós értékkel rendelkező („pénzügyi kötelezettségek”) származtatott ügyletekre vonatkozóan külön kell feltüntetni. A kezdeti megjelenítés időpontjában a származtatott ügylet besorolása kezdeti valós értéke alapján vagy „pénzügyi eszköz” vagy „pénzügyi kötelezettség”. </w:t>
      </w:r>
      <w:r>
        <w:lastRenderedPageBreak/>
        <w:t>A kezdeti megjelenítést követően a származtatott ügylet valós értékének növekedésével vagy csökkenésével a csere feltételei az intézmény számára vagy kedvezőbbek (és a származtatott ügylet besorolása „pénzügyi eszköz” lesz) vagy kedvezőtlenebbek lesznek (és a származtatott ügylet besorolása „pénzügyi kötelezettség” lesz). A származtatott fedezeti ügyletek könyv szerinti értéke azok teljes valós értéke, ideértve adott esetben a valós érték azon komponenseit, amelyek nem fedezeti instrumentumként vannak megjelölve.</w:t>
      </w:r>
    </w:p>
    <w:p w:rsidR="009569C7" w:rsidRPr="00EC4FA2" w:rsidRDefault="00A834F1" w:rsidP="009569C7">
      <w:pPr>
        <w:pStyle w:val="Baseparagraphnumbered"/>
      </w:pPr>
      <w:r>
        <w:t>A jelen melléklet 1. részének 27. bekezdésében meghatározott könyv szerinti értékek mellett a BAD alapján kidolgozott nemzeti GAAP hatálya alá tartozó adatszolgáltató intézményeknek valamennyi származtatott instrumentumra vonatkozóan fel kell tüntetniük a valós értékeket, attól függetlenül, hogy a BAD alapján kidolgozott nemzeti GAAP mérlegtételként vagy mérlegen kívüli tételként való könyvelést ír elő.</w:t>
      </w:r>
    </w:p>
    <w:p w:rsidR="009569C7" w:rsidRPr="00EC4FA2" w:rsidRDefault="00A834F1" w:rsidP="009569C7">
      <w:pPr>
        <w:pStyle w:val="Baseparagraphnumbered"/>
        <w:ind w:left="851"/>
      </w:pPr>
      <w:r>
        <w:t>A „Névleges összeg” az összes megkötött, de a vonatkozási időpontban még el nem számolt ügylet bruttó névértéke, függetlenül attól, hogy ezek az ügyletek olyan származtatott kitettségeket eredményeznek-e, amelyeket mérlegtételként könyvelnek el. A névleges összeg meghatározásakor különösen a következőket kell figyelembe venni:</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Változó nominális vagy elvi tőkeösszegű szerződések esetében az adatszolgáltatás alapja a vonatkozási időpontban fennálló nominális vagy elvi tőkeösszeg;</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 jelentendő névleges összeg egy multiplikátor komponenssel rendelkező származtatott ügylet esetén a szerződés tényleges névleges összege vagy névértéke;</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Csereügyletek (</w:t>
      </w:r>
      <w:proofErr w:type="spellStart"/>
      <w:r>
        <w:rPr>
          <w:rFonts w:ascii="Times New Roman" w:hAnsi="Times New Roman"/>
          <w:sz w:val="24"/>
        </w:rPr>
        <w:t>swap</w:t>
      </w:r>
      <w:proofErr w:type="spellEnd"/>
      <w:r>
        <w:rPr>
          <w:rFonts w:ascii="Times New Roman" w:hAnsi="Times New Roman"/>
          <w:sz w:val="24"/>
        </w:rPr>
        <w:t>): csereügyleteknél a névleges összeg az a mögöttes tőkeösszeg, amelyen a kamatcsere, a devizacsere vagy egyéb bevétel vagy kiadás alapul;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Részvényhez és áruhoz kötött szerződések: egy részvényhez vagy áruhoz kötött szerződés esetében feltüntetendő névleges összeg az adásvételre leszerződött áru vagy részvény mennyisége, szorozva a szerződéses egységárral. Az áruhoz kötött szerződések esetében az alapügylet többszörös cseréjére kötött szerződéseknél a feltüntetendő névleges összeg a szerződés szerinti összeg szorozva a szerződés szerint fennmaradó cserék számával;</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proofErr w:type="spellStart"/>
      <w:r>
        <w:rPr>
          <w:rFonts w:ascii="Times New Roman" w:hAnsi="Times New Roman"/>
          <w:sz w:val="24"/>
        </w:rPr>
        <w:t>Hitelderivatívák</w:t>
      </w:r>
      <w:proofErr w:type="spellEnd"/>
      <w:r>
        <w:rPr>
          <w:rFonts w:ascii="Times New Roman" w:hAnsi="Times New Roman"/>
          <w:sz w:val="24"/>
        </w:rPr>
        <w:t xml:space="preserve">: a </w:t>
      </w:r>
      <w:proofErr w:type="spellStart"/>
      <w:r>
        <w:rPr>
          <w:rFonts w:ascii="Times New Roman" w:hAnsi="Times New Roman"/>
          <w:sz w:val="24"/>
        </w:rPr>
        <w:t>hitelderivatíváknál</w:t>
      </w:r>
      <w:proofErr w:type="spellEnd"/>
      <w:r>
        <w:rPr>
          <w:rFonts w:ascii="Times New Roman" w:hAnsi="Times New Roman"/>
          <w:sz w:val="24"/>
        </w:rPr>
        <w:t xml:space="preserve"> feltüntetendő szerződés szerinti összeg a vonatkozó referenciahitel névértéke; </w:t>
      </w:r>
    </w:p>
    <w:p w:rsidR="009569C7" w:rsidRPr="00EC4FA2" w:rsidRDefault="00A834F1" w:rsidP="009569C7">
      <w:pPr>
        <w:numPr>
          <w:ilvl w:val="0"/>
          <w:numId w:val="60"/>
        </w:numPr>
        <w:spacing w:before="120" w:after="120"/>
        <w:ind w:left="1134" w:hanging="425"/>
        <w:jc w:val="both"/>
        <w:rPr>
          <w:rFonts w:ascii="Times New Roman" w:hAnsi="Times New Roman"/>
          <w:sz w:val="24"/>
          <w:szCs w:val="24"/>
        </w:rPr>
      </w:pPr>
      <w:r>
        <w:rPr>
          <w:rFonts w:ascii="Times New Roman" w:hAnsi="Times New Roman"/>
          <w:sz w:val="24"/>
        </w:rPr>
        <w:t>A digitális opcióknál előre meghatározott kifizetés van, amely lehet monetáris összeg vagy az alapeszközre kötött bizonyos számú szerződés. A digitális opciók névleges összege vagy az előre meghatározott monetáris összeg vagy az alapeszköz valós értéke a vonatkozási időpontban.</w:t>
      </w:r>
    </w:p>
    <w:p w:rsidR="009569C7" w:rsidRPr="00EC4FA2" w:rsidRDefault="00A834F1" w:rsidP="009569C7">
      <w:pPr>
        <w:pStyle w:val="Baseparagraphnumbered"/>
      </w:pPr>
      <w:r>
        <w:t xml:space="preserve">A származtatott ügyletek „Névleges összeg” oszlopa minden egyes sor vonatkozásában az összes olyan szerződés névleges összegeinek összege, </w:t>
      </w:r>
      <w:r>
        <w:lastRenderedPageBreak/>
        <w:t>amelyben az intézmény ügyleti partner, függetlenül attól, hogy a származtatott ügyletek a mérlegben az eszköz- vagy a forrásoldalon szerepelnek, illetőleg nem szerepelnek a mérlegben. Az összes névleges összeget fel kell tüntetni függetlenül attól, hogy a származtatott ügyletek valós értéke pozitív, negatív vagy nulla. A névleges összegek között nem megengedett a nettósítás.</w:t>
      </w:r>
    </w:p>
    <w:p w:rsidR="009569C7" w:rsidRPr="00EC4FA2" w:rsidRDefault="00A834F1" w:rsidP="009569C7">
      <w:pPr>
        <w:pStyle w:val="Baseparagraphnumbered"/>
      </w:pPr>
      <w:proofErr w:type="gramStart"/>
      <w:r>
        <w:t>A „Névleges összeg”</w:t>
      </w:r>
      <w:proofErr w:type="spellStart"/>
      <w:r>
        <w:t>-et</w:t>
      </w:r>
      <w:proofErr w:type="spellEnd"/>
      <w:r>
        <w:t xml:space="preserve"> az „összesen” és az „ebből: értékesített” tételek szerinti részletezésben kell feltüntetni a következő sorok esetében: „Tőzsdén kívüli opciók”, „Szervezett piaci opciók”, „Hitel”, „Áruk” és „Egyéb”. Az „ebből: értékesített” tétel tartalmazza azon szerződések névleges összegét (kötési árfolyamát), amelyeknél az intézmény (az opció kiírója) ügyleti partnereinek (</w:t>
      </w:r>
      <w:r w:rsidR="00C35B6F">
        <w:t xml:space="preserve">az </w:t>
      </w:r>
      <w:r>
        <w:t>opció</w:t>
      </w:r>
      <w:r w:rsidR="00C35B6F">
        <w:t xml:space="preserve"> birtokosa</w:t>
      </w:r>
      <w:r>
        <w:t>) joguk van gyakorolni opciós jogukat, és a hitelkockázati származtatott ügyletekhez kapcsolódó tételeknél azon szerződések névleges összegeit, amelyeknél az intézmény (a védelem eladója) ügyleti</w:t>
      </w:r>
      <w:proofErr w:type="gramEnd"/>
      <w:r>
        <w:t xml:space="preserve"> partnereinek (a védelem vásárlói) védelmet adott el (adott).</w:t>
      </w:r>
    </w:p>
    <w:p w:rsidR="009569C7" w:rsidRPr="00EC4FA2" w:rsidRDefault="00A834F1" w:rsidP="009569C7">
      <w:pPr>
        <w:pStyle w:val="Baseparagraphnumbered"/>
      </w:pPr>
      <w:r>
        <w:t>Egy ügylet „tőzsdén kívüli ügylet”</w:t>
      </w:r>
      <w:proofErr w:type="spellStart"/>
      <w:r>
        <w:t>-ként</w:t>
      </w:r>
      <w:proofErr w:type="spellEnd"/>
      <w:r>
        <w:t xml:space="preserve"> (OTC) vagy „szervezett piaci ügylet”</w:t>
      </w:r>
      <w:proofErr w:type="spellStart"/>
      <w:r>
        <w:t>-ként</w:t>
      </w:r>
      <w:proofErr w:type="spellEnd"/>
      <w:r>
        <w:t xml:space="preserve"> történő besorolása annak a piacnak a jellegén alapul, ahol az ügyletre sor kerül, nem pedig azon, hogy az adott ügylet elszámolási kötelezettség alá tartozik-e. A „Szervezett piac” a CRR 4. cikkének 92. pontja szerinti szabályozott piac. Következésképpen, ha egy adatszolgáltató intézmény olyan tőzsdén kívüli piacon köt származtatott ügyletet, ahol előírás a központi elszámolás, az adott származtatott ügyletet „tőzsdén kívüli ügylet”</w:t>
      </w:r>
      <w:proofErr w:type="spellStart"/>
      <w:r>
        <w:t>-ként</w:t>
      </w:r>
      <w:proofErr w:type="spellEnd"/>
      <w:r>
        <w:t>, és nem „szervezett piaci ügylet”</w:t>
      </w:r>
      <w:proofErr w:type="spellStart"/>
      <w:r>
        <w:t>-ként</w:t>
      </w:r>
      <w:proofErr w:type="spellEnd"/>
      <w:r>
        <w:t xml:space="preserve"> kell besorolnia.</w:t>
      </w:r>
    </w:p>
    <w:p w:rsidR="009569C7" w:rsidRPr="00EC4FA2" w:rsidRDefault="00A834F1" w:rsidP="009569C7">
      <w:pPr>
        <w:pStyle w:val="sub-subtitlenumbered"/>
        <w:jc w:val="both"/>
      </w:pPr>
      <w:bookmarkStart w:id="142" w:name="_Toc361844226"/>
      <w:bookmarkStart w:id="143" w:name="_Toc362359297"/>
      <w:bookmarkStart w:id="144" w:name="_Toc467855221"/>
      <w:bookmarkStart w:id="145" w:name="_Toc485913598"/>
      <w:r>
        <w:t>„Gazdasági fedezeti ügylet”</w:t>
      </w:r>
      <w:proofErr w:type="spellStart"/>
      <w:r>
        <w:t>-nek</w:t>
      </w:r>
      <w:proofErr w:type="spellEnd"/>
      <w:r>
        <w:t xml:space="preserve"> minősített származtatott ügyletek</w:t>
      </w:r>
      <w:bookmarkEnd w:id="142"/>
      <w:bookmarkEnd w:id="143"/>
      <w:bookmarkEnd w:id="144"/>
      <w:bookmarkEnd w:id="145"/>
    </w:p>
    <w:p w:rsidR="009569C7" w:rsidRPr="00EC4FA2" w:rsidRDefault="00A834F1" w:rsidP="009569C7">
      <w:pPr>
        <w:pStyle w:val="Baseparagraphnumbered"/>
      </w:pPr>
      <w:r>
        <w:t xml:space="preserve">A fedezet céljából tartott olyan származtatott ügyleteket, amelyek az IFRS 9, az IAS 39 (amennyiben azt a fedezeti elszámolások tekintetében használják) vagy a BAD alapján kidolgozott nemzeti </w:t>
      </w:r>
      <w:proofErr w:type="spellStart"/>
      <w:r>
        <w:t>GAAP-nak</w:t>
      </w:r>
      <w:proofErr w:type="spellEnd"/>
      <w:r>
        <w:t xml:space="preserve"> megfelelő számviteli szabályozás szerint nem teljesítik a hatékony fedezeti instrumentum kritériumait, a 10. táblában kell feltüntetni „gazdasági fedezeti ügylet”</w:t>
      </w:r>
      <w:proofErr w:type="spellStart"/>
      <w:r>
        <w:t>-ként</w:t>
      </w:r>
      <w:proofErr w:type="spellEnd"/>
      <w:r>
        <w:t>. Ez alkalmazandó továbbá valamennyi következő esetben:</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nem jegyzett tulajdoni részesedést megtestesítő instrumentumot fedező származtatott ügyletek, amelyek esetében a bekerülési érték a valós érték megfelelő becslése lehet;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az IFRS 9 6.7. bekezdésének megfelelően a kezdeti megjelenítéskor, az követően, vagy amíg nincs megjelenítve, eredménnyel szemben valós értéken értékeltként megjelölt pénzügyi instrumentum egészével vagy egy részével szembeni hitelkockázat kezeléséhez felhasznált és az eredménnyel szemben valós értéken értékelt </w:t>
      </w:r>
      <w:proofErr w:type="spellStart"/>
      <w:r>
        <w:rPr>
          <w:rFonts w:ascii="Times New Roman" w:hAnsi="Times New Roman"/>
          <w:sz w:val="24"/>
        </w:rPr>
        <w:t>hitelderivatívák</w:t>
      </w:r>
      <w:proofErr w:type="spellEnd"/>
      <w:r>
        <w:rPr>
          <w:rFonts w:ascii="Times New Roman" w:hAnsi="Times New Roman"/>
          <w:sz w:val="24"/>
        </w:rPr>
        <w:t>;</w:t>
      </w:r>
    </w:p>
    <w:p w:rsidR="009569C7" w:rsidRPr="00EC4FA2" w:rsidRDefault="00A834F1" w:rsidP="009569C7">
      <w:pPr>
        <w:numPr>
          <w:ilvl w:val="0"/>
          <w:numId w:val="61"/>
        </w:numPr>
        <w:spacing w:before="120" w:after="120"/>
        <w:ind w:left="1134" w:hanging="425"/>
        <w:jc w:val="both"/>
        <w:rPr>
          <w:rFonts w:ascii="Times New Roman" w:hAnsi="Times New Roman"/>
          <w:sz w:val="24"/>
          <w:szCs w:val="24"/>
        </w:rPr>
      </w:pPr>
      <w:r>
        <w:rPr>
          <w:rFonts w:ascii="Times New Roman" w:hAnsi="Times New Roman"/>
          <w:sz w:val="24"/>
        </w:rPr>
        <w:t xml:space="preserve"> az IFRS 9 </w:t>
      </w:r>
      <w:proofErr w:type="gramStart"/>
      <w:r>
        <w:rPr>
          <w:rFonts w:ascii="Times New Roman" w:hAnsi="Times New Roman"/>
          <w:sz w:val="24"/>
        </w:rPr>
        <w:t>A</w:t>
      </w:r>
      <w:proofErr w:type="gramEnd"/>
      <w:r>
        <w:rPr>
          <w:rFonts w:ascii="Times New Roman" w:hAnsi="Times New Roman"/>
          <w:sz w:val="24"/>
        </w:rPr>
        <w:t xml:space="preserve">. függelékének megfelelően „kereskedési céllal tartott” kategóriába besorolt származtatott ügyletek vagy a BAD alapján kidolgozott nemzeti GAAP szerinti kereskedési célú eszközök, amelyek azonban nem szerepelnek a CRR 4. cikke (1) bekezdésének 86. pontjában meghatározott kereskedési könyvben. </w:t>
      </w:r>
    </w:p>
    <w:p w:rsidR="009569C7" w:rsidRPr="00EC4FA2" w:rsidRDefault="00A834F1" w:rsidP="009569C7">
      <w:pPr>
        <w:pStyle w:val="Baseparagraphnumbered"/>
      </w:pPr>
      <w:r>
        <w:lastRenderedPageBreak/>
        <w:t>A „Gazdasági fedezeti ügylet” nem tartalmazza a saját részre végzett kereskedési tevékenység céljából tartott származtatott ügyleteket.</w:t>
      </w:r>
    </w:p>
    <w:p w:rsidR="009569C7" w:rsidRPr="00EC4FA2" w:rsidRDefault="00A834F1" w:rsidP="009569C7">
      <w:pPr>
        <w:pStyle w:val="Baseparagraphnumbered"/>
      </w:pPr>
      <w:r>
        <w:t>A „gazdasági fedezeti ügylet” fogalmának megfelelő származtatott ügyleteket minden egyes kockázattípusra vonatkozóan elkülönítve kell feltüntetni a 10. táblában.</w:t>
      </w:r>
    </w:p>
    <w:p w:rsidR="009569C7" w:rsidRPr="00EC4FA2" w:rsidRDefault="00A834F1" w:rsidP="009569C7">
      <w:pPr>
        <w:pStyle w:val="Baseparagraphnumbered"/>
      </w:pPr>
      <w:r>
        <w:t xml:space="preserve">Az IFRS 9 6.7. bekezdésének megfelelően a kezdeti megjelenítéskor, azt követően, vagy amíg nincs megjelenítve, eredménnyel szemben valós értéken értékeltként megjelölt pénzügyi instrumentum egészével vagy egy részével szembeni hitelkockázat kezeléséhez használt </w:t>
      </w:r>
      <w:proofErr w:type="spellStart"/>
      <w:r>
        <w:t>hitelderivatívákat</w:t>
      </w:r>
      <w:proofErr w:type="spellEnd"/>
      <w:r>
        <w:t xml:space="preserve"> a 10. táblában a „hitelkockázat” tételben a megfelelő sorban kell feltüntetni. A hitelkockázatra vonatkozó egyéb olyan gazdasági fedezeti ügyleteket, amelyekre az adatszolgáltató </w:t>
      </w:r>
      <w:r w:rsidR="00C35B6F">
        <w:t>intézmény</w:t>
      </w:r>
      <w:r>
        <w:t xml:space="preserve"> nem alkalmazza az IFRS 9 6.7. bekezdését, külön kell feltüntetni.</w:t>
      </w:r>
    </w:p>
    <w:p w:rsidR="009569C7" w:rsidRPr="00EC4FA2" w:rsidRDefault="00A834F1" w:rsidP="009569C7">
      <w:pPr>
        <w:pStyle w:val="sub-subtitlenumbered"/>
        <w:jc w:val="both"/>
      </w:pPr>
      <w:bookmarkStart w:id="146" w:name="_Toc361844227"/>
      <w:bookmarkStart w:id="147" w:name="_Toc362359298"/>
      <w:bookmarkStart w:id="148" w:name="_Toc467855222"/>
      <w:bookmarkStart w:id="149" w:name="_Toc485913599"/>
      <w:r>
        <w:t>Származtatott ügyletek ügyfélszektor szerinti részletezése</w:t>
      </w:r>
      <w:bookmarkEnd w:id="146"/>
      <w:bookmarkEnd w:id="147"/>
      <w:bookmarkEnd w:id="148"/>
      <w:bookmarkEnd w:id="149"/>
    </w:p>
    <w:p w:rsidR="009569C7" w:rsidRPr="00EC4FA2" w:rsidRDefault="00A834F1" w:rsidP="009569C7">
      <w:pPr>
        <w:pStyle w:val="Baseparagraphnumbered"/>
        <w:tabs>
          <w:tab w:val="left" w:pos="851"/>
        </w:tabs>
        <w:ind w:left="709"/>
      </w:pPr>
      <w:r>
        <w:t xml:space="preserve">A tőzsdén kívüli piacon forgalmazott, kereskedési céllal, valamint a fedezeti elszámolások céljából tartott származtatott ügyletek könyv szerinti értékét és teljes névleges összegét a partner szerint kell megadni a következő kategóriák segítségével: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„hitelintézetek”;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„egyéb pénzügyi vállalatok”; </w:t>
      </w:r>
    </w:p>
    <w:p w:rsidR="009569C7" w:rsidRPr="00EC4FA2" w:rsidRDefault="00A834F1" w:rsidP="009569C7">
      <w:pPr>
        <w:numPr>
          <w:ilvl w:val="0"/>
          <w:numId w:val="54"/>
        </w:numPr>
        <w:spacing w:before="120" w:after="120"/>
        <w:ind w:left="1134" w:hanging="425"/>
        <w:jc w:val="both"/>
        <w:rPr>
          <w:rFonts w:ascii="Times New Roman" w:hAnsi="Times New Roman"/>
          <w:sz w:val="24"/>
          <w:szCs w:val="24"/>
        </w:rPr>
      </w:pPr>
      <w:r>
        <w:rPr>
          <w:rFonts w:ascii="Times New Roman" w:hAnsi="Times New Roman"/>
          <w:sz w:val="24"/>
        </w:rPr>
        <w:t xml:space="preserve">„egyéb”, amely az összes többi partnert magában foglalja. </w:t>
      </w:r>
    </w:p>
    <w:p w:rsidR="009569C7" w:rsidRPr="00EC4FA2" w:rsidRDefault="00A834F1" w:rsidP="009569C7">
      <w:pPr>
        <w:pStyle w:val="Baseparagraphnumbered"/>
        <w:tabs>
          <w:tab w:val="left" w:pos="851"/>
        </w:tabs>
        <w:ind w:left="709"/>
      </w:pPr>
      <w:r>
        <w:t xml:space="preserve">Függetlenül attól a kockázattípustól, amelyhez kapcsolódnak, az összes tőzsdén kívüli származtatott ügyletet e partnerek szerint kell részletezni. </w:t>
      </w:r>
    </w:p>
    <w:p w:rsidR="009569C7" w:rsidRPr="00EC4FA2" w:rsidRDefault="00A834F1" w:rsidP="009569C7">
      <w:pPr>
        <w:pStyle w:val="sub-subtitlenumbered"/>
        <w:jc w:val="both"/>
      </w:pPr>
      <w:bookmarkStart w:id="150" w:name="_Toc467855223"/>
      <w:bookmarkStart w:id="151" w:name="_Toc485913600"/>
      <w:bookmarkStart w:id="152" w:name="_Toc362359299"/>
      <w:r>
        <w:t>Fedezeti elszámolások a nemzeti GAAP szerint (11.2.)</w:t>
      </w:r>
      <w:bookmarkEnd w:id="150"/>
      <w:bookmarkEnd w:id="151"/>
    </w:p>
    <w:p w:rsidR="009569C7" w:rsidRPr="00EC4FA2" w:rsidRDefault="00A834F1" w:rsidP="009569C7">
      <w:pPr>
        <w:pStyle w:val="Baseparagraphnumbered"/>
      </w:pPr>
      <w:r>
        <w:t>Amennyiben a BAD alapján kidolgozott nemzeti GAAP a származtatott fedezeti ügyletek fedezeti kategóriák szerinti felosztását írja elő, a származtatott fedezeti ügyleteket külön kell feltüntetni a következő alkalmazandó kategóriák szerint: „valósérték-fedezeti ügyletek”, „cash flow-fedezeti ügyletek”, „bekerülési értéken nyilvántartott fedezeti ügyletek”, „külföldi érdekeltségbe történt nettó befektetés fedezése”, „kamatlábkockázatra vonatkozó portfólió valósérték-fedezeti ügyletek” és „kamatlábkockázatra vonatkozó portfólió cash flow-fedezeti ügyletek”.</w:t>
      </w:r>
    </w:p>
    <w:p w:rsidR="009569C7" w:rsidRPr="00EC4FA2" w:rsidRDefault="00A834F1" w:rsidP="009569C7">
      <w:pPr>
        <w:pStyle w:val="Baseparagraphnumbered"/>
      </w:pPr>
      <w:r>
        <w:t xml:space="preserve">Amennyiben a BAD alapján kidolgozott nemzeti GAAP szerint alkalmazandó, a „Bekerülési értéken nyilvántartott fedezeti ügyletek” olyan fedezeti kategóriára vonatkozik, amelyben a származtatott fedezeti ügyletet általában </w:t>
      </w:r>
      <w:proofErr w:type="spellStart"/>
      <w:r>
        <w:t>bekerülésiérték-módszerrel</w:t>
      </w:r>
      <w:proofErr w:type="spellEnd"/>
      <w:r>
        <w:t xml:space="preserve"> értékelik.</w:t>
      </w:r>
    </w:p>
    <w:p w:rsidR="009569C7" w:rsidRPr="00EC4FA2" w:rsidRDefault="00A834F1" w:rsidP="009569C7">
      <w:pPr>
        <w:pStyle w:val="sub-subtitlenumbered"/>
        <w:jc w:val="both"/>
      </w:pPr>
      <w:bookmarkStart w:id="153" w:name="_Toc467855224"/>
      <w:bookmarkStart w:id="154" w:name="_Toc485913601"/>
      <w:r>
        <w:t>A nem származtatott fedezeti instrumentumokra vonatkozóan feltüntetendő összeg (11.3. és 11.3.1.)</w:t>
      </w:r>
      <w:bookmarkEnd w:id="152"/>
      <w:bookmarkEnd w:id="153"/>
      <w:bookmarkEnd w:id="154"/>
    </w:p>
    <w:p w:rsidR="009569C7" w:rsidRPr="00EC4FA2" w:rsidRDefault="00A834F1" w:rsidP="009569C7">
      <w:pPr>
        <w:pStyle w:val="Baseparagraphnumbered"/>
      </w:pPr>
      <w:r>
        <w:t xml:space="preserve">A nem származtatott fedezeti instrumentumokra vonatkozóan feltüntetendő összeg az azon számviteli portfólióra alkalmazandó, </w:t>
      </w:r>
      <w:proofErr w:type="spellStart"/>
      <w:r>
        <w:t>IFRS-ben</w:t>
      </w:r>
      <w:proofErr w:type="spellEnd"/>
      <w:r>
        <w:t xml:space="preserve"> vagy a BAD alapján kidolgozott </w:t>
      </w:r>
      <w:proofErr w:type="spellStart"/>
      <w:r>
        <w:t>GAAP-ban</w:t>
      </w:r>
      <w:proofErr w:type="spellEnd"/>
      <w:r>
        <w:t xml:space="preserve"> meghatározott értékelési </w:t>
      </w:r>
      <w:r>
        <w:lastRenderedPageBreak/>
        <w:t>szabályoknak megfelelő könyv szerinti érték, amelyhez az instrumentumok tartoznak. A nem származtatott fedezeti instrumentumok névleges összegét nem kell feltüntetni.</w:t>
      </w:r>
    </w:p>
    <w:p w:rsidR="009569C7" w:rsidRPr="00EC4FA2" w:rsidRDefault="00A834F1" w:rsidP="009569C7">
      <w:pPr>
        <w:pStyle w:val="sub-subtitlenumbered"/>
        <w:jc w:val="both"/>
      </w:pPr>
      <w:bookmarkStart w:id="155" w:name="_Toc467855225"/>
      <w:bookmarkStart w:id="156" w:name="_Toc485913602"/>
      <w:r>
        <w:t>Fedezett tételek valósérték-fedezeti ügyletekben (11.4.)</w:t>
      </w:r>
      <w:bookmarkEnd w:id="155"/>
      <w:bookmarkEnd w:id="156"/>
    </w:p>
    <w:p w:rsidR="009569C7" w:rsidRPr="00EC4FA2" w:rsidRDefault="00A834F1" w:rsidP="009569C7">
      <w:pPr>
        <w:pStyle w:val="Baseparagraphnumbered"/>
        <w:tabs>
          <w:tab w:val="left" w:pos="851"/>
        </w:tabs>
        <w:ind w:left="709"/>
      </w:pPr>
      <w:r>
        <w:t xml:space="preserve">A valósérték-fedezeti ügyletekhez tartozó fedezett tételek pénzügyi helyzetre vonatkozó kimutatásban megjelenített könyv szerinti értékét számviteli portfólió, valamint a fedezett pénzügyi eszközök és a fedezett pénzügyi kötelezettségek fedezett kockázatának típusa szerint kell részletezni. Amennyiben egy pénzügyi instrumentumot egynél több kockázattal szemben fedeznek, azt azon kockázattípus szerint kell feltüntetni, amely szerint a fedezeti instrumentumot a 129. bekezdésnek megfelelően fel kell tüntetni.     </w:t>
      </w:r>
    </w:p>
    <w:p w:rsidR="009569C7" w:rsidRPr="00EC4FA2" w:rsidRDefault="00A834F1" w:rsidP="009569C7">
      <w:pPr>
        <w:pStyle w:val="Baseparagraphnumbered"/>
      </w:pPr>
      <w:r>
        <w:t xml:space="preserve">A „Mikro-fedezeti ügylet” az IAS 39 89A. bekezdése szerinti, a kamatlábkockázatra vonatkozó </w:t>
      </w:r>
      <w:proofErr w:type="spellStart"/>
      <w:r>
        <w:t>portfóliófedezeti</w:t>
      </w:r>
      <w:proofErr w:type="spellEnd"/>
      <w:r>
        <w:t xml:space="preserve"> ügylettől eltérő fedezeti ügylet. A mikro-fedezeti ügyletek a nettó pozíciók fedezeti ügyleteit tartalmazzák az IFRS 9 6.6. bekezdésének megfelelően.</w:t>
      </w:r>
    </w:p>
    <w:p w:rsidR="009569C7" w:rsidRPr="00EC4FA2" w:rsidRDefault="00A834F1" w:rsidP="009569C7">
      <w:pPr>
        <w:pStyle w:val="Baseparagraphnumbered"/>
      </w:pPr>
      <w:r>
        <w:t xml:space="preserve">A „Mikro-fedezeti ügylet fedezeti kiigazítása” tartalmazza a 147. bekezdésben meghatározott összes mikro-fedezeti ügylet valamennyi fedezeti kiigazítását. </w:t>
      </w:r>
    </w:p>
    <w:p w:rsidR="009569C7" w:rsidRPr="00EC4FA2" w:rsidRDefault="00A834F1" w:rsidP="009569C7">
      <w:pPr>
        <w:pStyle w:val="Baseparagraphnumbered"/>
      </w:pPr>
      <w:r>
        <w:t xml:space="preserve"> Az „Eszközök/kötelezettségek könyv szerinti értékének részét képező fedezeti kiigazítás” a fedezett tételeken keletkező azon nyereségek és veszteségek halmozott összege, amelyekkel a szóban forgó tételek könyv szerinti értékét </w:t>
      </w:r>
      <w:proofErr w:type="gramStart"/>
      <w:r>
        <w:t>kiigazították</w:t>
      </w:r>
      <w:proofErr w:type="gramEnd"/>
      <w:r>
        <w:t xml:space="preserve"> és amelyeket az eredményben megjelenítettek. Az 1.3. táblában kell feltüntetni az olyan fedezett tételek fedezeti kiigazítását, amelyek egyéb átfogó jövedelemmel szemben valós értéken értékelt tulajdoni részesedések. A nem megjelenített határozott elkötelezettségekre vagy azok valamely komponensére vonatkozó fedezeti kiigazításokat nem kell feltüntetni.</w:t>
      </w:r>
    </w:p>
    <w:p w:rsidR="009569C7" w:rsidRPr="00EC4FA2" w:rsidRDefault="00A834F1" w:rsidP="009569C7">
      <w:pPr>
        <w:pStyle w:val="Baseparagraphnumbered"/>
      </w:pPr>
      <w:proofErr w:type="gramStart"/>
      <w:r>
        <w:t>A „Nettó pozíció fedezetét is magukban foglaló megszüntetett mikro-fedezeti ügyletekre vonatkozó fennmaradó kiigazítások” azokat a fedezeti kiigazításokat tartalmazzák, amelyeket a fedezeti kapcsolat megszüntetését és a fedezett tételek fedezeti nyereségek és veszteségek tekintetében történő kiigazításának végét követően az amortizált bekerülési értéken értékelt fedezett tételekre vonatkozó, újraszámított effektív kamatláb alkalmazásával az eredménnyel szemben vagy az egyéb átfogó jövedelemmel szemben valós értéken értékelt fedezett eszközök korábban megjelenített halmozott fedezeti nyereségének</w:t>
      </w:r>
      <w:proofErr w:type="gramEnd"/>
      <w:r>
        <w:t xml:space="preserve"> vagy veszteségének összegével szemben amortizálni kell.</w:t>
      </w:r>
    </w:p>
    <w:p w:rsidR="009569C7" w:rsidRPr="00EC4FA2" w:rsidRDefault="00A834F1" w:rsidP="009569C7">
      <w:pPr>
        <w:pStyle w:val="Baseparagraphnumbered"/>
      </w:pPr>
      <w:r>
        <w:t>Ha pénzügyi eszközök vagy pénzügyi kötelezettségek egy csoportja, ideértve a nettó pozíciót képező csoportot, fedezett tételként figyelembe vehető, az e csoport részét képező pénzügyi eszközöket és pénzügyi kötelezettségeket bruttó könyv szerinti értékükön kell feltüntetni, a csoporton belüli instrumentumok nettósítása előtt, a „Nettó pozíció fedezetének részét képező eszközök vagy kötelezettségek (nettósítás előtt)” tételben.</w:t>
      </w:r>
    </w:p>
    <w:p w:rsidR="009569C7" w:rsidRPr="00EC4FA2" w:rsidRDefault="00A834F1" w:rsidP="009569C7">
      <w:pPr>
        <w:pStyle w:val="Baseparagraphnumbered"/>
      </w:pPr>
      <w:r>
        <w:lastRenderedPageBreak/>
        <w:t xml:space="preserve">A „Kamatlábkockázatra vonatkozó </w:t>
      </w:r>
      <w:proofErr w:type="spellStart"/>
      <w:r>
        <w:t>portfóliófedezeti</w:t>
      </w:r>
      <w:proofErr w:type="spellEnd"/>
      <w:r>
        <w:t xml:space="preserve"> ügylet során fedezett tételek” tartalmazza a pénzügyi eszközök vagy pénzügyi kötelezettségek portfóliójának </w:t>
      </w:r>
      <w:proofErr w:type="spellStart"/>
      <w:r>
        <w:t>kamatlábkockázati</w:t>
      </w:r>
      <w:proofErr w:type="spellEnd"/>
      <w:r>
        <w:t xml:space="preserve"> kitettségére vonatkozó valósérték-fedezeti ügyletbe foglalt pénzügyi eszközöket és pénzügyi kötelezettségeket. Ezeket a pénzügyi instrumentumokat bruttó alapon, a portfólión belüli instrumentumok közötti nettósítás előtti könyv szerinti értékükön kell feltüntetni.</w:t>
      </w:r>
    </w:p>
    <w:p w:rsidR="009569C7" w:rsidRPr="00EC4FA2" w:rsidRDefault="00A834F1" w:rsidP="009569C7">
      <w:pPr>
        <w:pStyle w:val="subtitlenumbered"/>
        <w:numPr>
          <w:ilvl w:val="0"/>
          <w:numId w:val="17"/>
        </w:numPr>
        <w:jc w:val="both"/>
        <w:rPr>
          <w:kern w:val="32"/>
        </w:rPr>
      </w:pPr>
      <w:bookmarkStart w:id="157" w:name="_Toc461526818"/>
      <w:bookmarkStart w:id="158" w:name="_Toc461526819"/>
      <w:bookmarkStart w:id="159" w:name="_Toc461526820"/>
      <w:bookmarkStart w:id="160" w:name="_Toc461526821"/>
      <w:bookmarkStart w:id="161" w:name="_Toc461526822"/>
      <w:bookmarkStart w:id="162" w:name="_Toc361844228"/>
      <w:bookmarkStart w:id="163" w:name="_Toc467855226"/>
      <w:bookmarkStart w:id="164" w:name="_Toc485913603"/>
      <w:bookmarkEnd w:id="157"/>
      <w:bookmarkEnd w:id="158"/>
      <w:bookmarkEnd w:id="159"/>
      <w:bookmarkEnd w:id="160"/>
      <w:bookmarkEnd w:id="161"/>
      <w:r>
        <w:t xml:space="preserve">Hitelezési veszteségekre képzett értékvesztés </w:t>
      </w:r>
      <w:proofErr w:type="gramStart"/>
      <w:r>
        <w:t>és</w:t>
      </w:r>
      <w:proofErr w:type="gramEnd"/>
      <w:r>
        <w:t xml:space="preserve"> céltartalékok változása (12.)</w:t>
      </w:r>
      <w:bookmarkEnd w:id="162"/>
      <w:bookmarkEnd w:id="163"/>
      <w:bookmarkEnd w:id="164"/>
    </w:p>
    <w:p w:rsidR="009569C7" w:rsidRPr="00EC4FA2" w:rsidRDefault="00A834F1" w:rsidP="009569C7">
      <w:pPr>
        <w:pStyle w:val="sub-subtitlenumbered"/>
      </w:pPr>
      <w:bookmarkStart w:id="165" w:name="_Toc437268758"/>
      <w:bookmarkStart w:id="166" w:name="_Toc437268759"/>
      <w:bookmarkStart w:id="167" w:name="_Toc467855227"/>
      <w:bookmarkStart w:id="168" w:name="_Toc485913604"/>
      <w:bookmarkEnd w:id="165"/>
      <w:bookmarkEnd w:id="166"/>
      <w:r>
        <w:t>Hitelezési veszteségekre képzett értékvesztés változása és tulajdoni részesedést megtestesítő instrumentumok értékvesztése a BAD alapján kidolgozott nemzeti GAAP szerint (12.0.)</w:t>
      </w:r>
      <w:bookmarkEnd w:id="167"/>
      <w:bookmarkEnd w:id="168"/>
    </w:p>
    <w:p w:rsidR="009569C7" w:rsidRPr="00EC4FA2" w:rsidRDefault="00A834F1" w:rsidP="009569C7">
      <w:pPr>
        <w:pStyle w:val="Baseparagraphnumbered"/>
      </w:pPr>
      <w:r>
        <w:t xml:space="preserve">A 12.0. tábla tartalmazza a </w:t>
      </w:r>
      <w:proofErr w:type="spellStart"/>
      <w:r>
        <w:t>bekerülésiérték-módszerrel</w:t>
      </w:r>
      <w:proofErr w:type="spellEnd"/>
      <w:r>
        <w:t xml:space="preserve">, valamint egyéb értékelési módszerekkel, illetőleg – ha a BAD alapján kidolgozott nemzeti GAAP az érintett pénzügyi eszközökre értékvesztés-elszámolási kötelezettséget ír elő – a saját tőkével szemben valós értéken értékelt pénzügyi eszközök értékvesztési számlája nyitó és záró egyenlegének egyeztetését. A bekerülési vagy piaci ár közül az alacsonyabb áron értékelt eszközök értékelési korrekcióját nem kell feltüntetni a 12.0. táblában. </w:t>
      </w:r>
    </w:p>
    <w:p w:rsidR="009569C7" w:rsidRPr="00EC4FA2" w:rsidRDefault="00A834F1" w:rsidP="009569C7">
      <w:pPr>
        <w:pStyle w:val="Baseparagraphnumbered"/>
      </w:pPr>
      <w:r>
        <w:t>„Az időszak alatt a becsült hitelezési veszteségekre képzett összegekből származó növekedés”</w:t>
      </w:r>
      <w:proofErr w:type="spellStart"/>
      <w:r>
        <w:t>-t</w:t>
      </w:r>
      <w:proofErr w:type="spellEnd"/>
      <w:r>
        <w:t xml:space="preserve"> akkor kell megadni, ha az eszközök fő kategóriája vagy a partner esetében az időszakra vonatkozó értékvesztés becslése a nettó költségek megjelenítését eredményezi; vagyis az adott kategória vagy partner tekintetében az adott időszak értékvesztésének növekedése meghaladja az értékvesztések csökkenését. „Az időszak alatt a becsült hitelezési veszteségekből visszaírt összegekből származó csökkenés”</w:t>
      </w:r>
      <w:proofErr w:type="spellStart"/>
      <w:r>
        <w:t>-t</w:t>
      </w:r>
      <w:proofErr w:type="spellEnd"/>
      <w:r>
        <w:t xml:space="preserve"> akkor kell megadni, ha az eszközök fő kategóriája vagy a partner esetében az időszakra vonatkozó értékvesztés becslése a nettó bevételek megjelenítését eredményezi; vagyis az adott kategória vagy partner tekintetében az adott időszak értékvesztésének csökkenése meghaladja az értékvesztések növekedését.</w:t>
      </w:r>
    </w:p>
    <w:p w:rsidR="009569C7" w:rsidRPr="00EC4FA2" w:rsidRDefault="00A834F1" w:rsidP="009569C7">
      <w:pPr>
        <w:pStyle w:val="Baseparagraphnumbered"/>
      </w:pPr>
      <w:r>
        <w:t>Az értékvesztés összegében a pénzügyi eszközök visszafizetése vagy elidegenítése miatt bekövetkezett változásokat az „Egyéb korrekciók” tételben kell feltüntetni. A leírásokat a 72–74. bekezdésnek megfelelően kell megadni.</w:t>
      </w:r>
    </w:p>
    <w:p w:rsidR="009569C7" w:rsidRPr="00EC4FA2" w:rsidRDefault="00A834F1" w:rsidP="009569C7">
      <w:pPr>
        <w:pStyle w:val="sub-subtitlenumbered"/>
        <w:jc w:val="both"/>
      </w:pPr>
      <w:bookmarkStart w:id="169" w:name="_Toc467855228"/>
      <w:bookmarkStart w:id="170" w:name="_Toc485913605"/>
      <w:r>
        <w:t>Hitelezési veszteségekre képzett értékvesztés és céltartalékok változása az IFRS szerint (12.1.)</w:t>
      </w:r>
      <w:bookmarkEnd w:id="169"/>
      <w:bookmarkEnd w:id="170"/>
    </w:p>
    <w:p w:rsidR="009569C7" w:rsidRPr="00EC4FA2" w:rsidRDefault="00A834F1" w:rsidP="009569C7">
      <w:pPr>
        <w:pStyle w:val="Baseparagraphnumbered"/>
        <w:rPr>
          <w:kern w:val="32"/>
        </w:rPr>
      </w:pPr>
      <w:r>
        <w:t xml:space="preserve"> A 12.1. tábla tartalmazza az amortizált bekerülési értéken, valamint az egyéb átfogó jövedelemmel szemben valós értéken értékelt pénzügyi eszközök értékvesztési számlája nyitó és záró egyenlegének egyeztetését, értékvesztési szakaszonkénti, instrumentumonkénti és partnerenkénti bontásban.  </w:t>
      </w:r>
    </w:p>
    <w:p w:rsidR="009569C7" w:rsidRPr="00EC4FA2" w:rsidRDefault="00A834F1" w:rsidP="009569C7">
      <w:pPr>
        <w:pStyle w:val="Baseparagraphnumbered"/>
        <w:rPr>
          <w:kern w:val="32"/>
        </w:rPr>
      </w:pPr>
      <w:r>
        <w:t xml:space="preserve">Az IFRS 9 szerinti értékvesztés-elszámolási kötelezettség hatálya alá tartozó mérlegen kívüli kitettségekre képzett céltartalékokat értékvesztési </w:t>
      </w:r>
      <w:r>
        <w:lastRenderedPageBreak/>
        <w:t>szakaszok szerint lebontva kell feltüntetni. A hitelnyújtási elkötelezettségekre vonatkozó értékvesztést csak akkor lehet céltartalékként feltüntetni, ha azt nem veszik figyelembe a mérleg szerinti eszközök értékvesztésével együtt az IFRS 9 7</w:t>
      </w:r>
      <w:proofErr w:type="gramStart"/>
      <w:r>
        <w:t>.B8E</w:t>
      </w:r>
      <w:proofErr w:type="gramEnd"/>
      <w:r>
        <w:t>. bekezdésének és e rész 108. bekezdésének megfelelően. Az IAS 37 szerint értékelt elkötelezettségekre és pénzügyi garanciákra, valamint az IFRS 4 szerint biztosítási szerződésként kezelt pénzügyi garanciákra képzett céltartalékok változásait nem ebben a táblában kell feltüntetni, hanem a 43. táblában. Az IFRS 9-nek megfelelően az eredménnyel szemben valós értéken értékelt elkötelezettségekkel és pénzügyi garanciákkal szembeni hitelkockázatból eredő valósérték-változásokat nem kell feltüntetni ebben a táblában, hanem az „Eredménnyel szemben valós értéken értékeltnek megjelölt pénzügyi eszközök és kötelezettségek nyeresége vagy (-) vesztesége, nettó” tételben kell megadni e rész 50. bekezdésének megfelelően.</w:t>
      </w:r>
    </w:p>
    <w:p w:rsidR="009569C7" w:rsidRPr="00EC4FA2" w:rsidRDefault="00A834F1" w:rsidP="009569C7">
      <w:pPr>
        <w:pStyle w:val="Baseparagraphnumbered"/>
        <w:rPr>
          <w:kern w:val="32"/>
        </w:rPr>
      </w:pPr>
      <w:r>
        <w:t xml:space="preserve">Az „ebből: csoportosan képzett értékvesztés” és „ebből: egyedileg képzett értékvesztés” tételek tartalmazzák a csoportos vagy egyedi alapon értékelt pénzügyi eszközökhöz kapcsolódó értékvesztés halmozott összegében bekövetkezett változásokat. </w:t>
      </w:r>
    </w:p>
    <w:p w:rsidR="009569C7" w:rsidRPr="00EC4FA2" w:rsidRDefault="00A834F1" w:rsidP="009569C7">
      <w:pPr>
        <w:pStyle w:val="Baseparagraphnumbered"/>
      </w:pPr>
      <w:r>
        <w:t>A „Keletkeztetésből és vásárlásból származó növekedés” tartalmazza a keletkeztetett vagy vásárolt pénzügyi eszközök kezdeti megjelenítésekor elszámolt várható veszteségek növekedésének összegét. Az értékvesztés e növekedését az említett pénzügyi eszközök keletkeztetését vagy vásárlását követő első adatszolgáltatási vonatkozási időpont tekintetében kell feltüntetni. Az említett pénzügyi eszközökhöz kapcsolódó várható veszteségben kezdeti megjelenítésüket követően bekövetkezett növekedést vagy csökkenést értelemszerűen más oszlopokban kell feltüntetni. A keletkeztetett és vásárolt eszközök közé a mérlegen kívüli adott elkötelezettségek lehívásából eredő eszközök tartoznak.</w:t>
      </w:r>
    </w:p>
    <w:p w:rsidR="009569C7" w:rsidRPr="00EC4FA2" w:rsidRDefault="00A834F1" w:rsidP="009569C7">
      <w:pPr>
        <w:pStyle w:val="Baseparagraphnumbered"/>
      </w:pPr>
      <w:r>
        <w:t xml:space="preserve">A „Kivezetésből származó csökkenés” a várható veszteségben </w:t>
      </w:r>
      <w:proofErr w:type="gramStart"/>
      <w:r>
        <w:t>amiatt</w:t>
      </w:r>
      <w:proofErr w:type="gramEnd"/>
      <w:r>
        <w:t xml:space="preserve"> bekövetkező változások összegét tartalmazza, hogy a pénzügyi eszközöket az adatszolgáltatási időszakban a leírástól eltérő okból teljes mértékben kivezetik, ami magában foglalja a harmadik feleknek történő átadást vagy a szerződéses jogoknak az érintett pénzügyi eszközök teljes visszafizetése, elidegenítése vagy másik számviteli portfólióba történő átsorolása miatti megszűnését. Az értékvesztésben bekövetkezett változást a visszafizetést, az elidegenítést vagy az átadást követő első adatszolgáltatási vonatkozási időpont tekintetében kell megjeleníteni ebben az oszlopban. A mérlegen kívüli kitettségek tekintetében ez a tétel tartalmazza továbbá az értékvesztésben </w:t>
      </w:r>
      <w:proofErr w:type="gramStart"/>
      <w:r>
        <w:t>amiatt</w:t>
      </w:r>
      <w:proofErr w:type="gramEnd"/>
      <w:r>
        <w:t xml:space="preserve"> bekövetkező csökkenést, hogy a mérlegen kívüli tétel mérleg szerinti eszközzé válik.</w:t>
      </w:r>
    </w:p>
    <w:p w:rsidR="009569C7" w:rsidRPr="00EC4FA2" w:rsidRDefault="00A834F1" w:rsidP="009569C7">
      <w:pPr>
        <w:pStyle w:val="Baseparagraphnumbered"/>
      </w:pPr>
      <w:r>
        <w:t xml:space="preserve">A „Hitelkockázat-változásból származó változás (nettó)” tartalmazza a várható veszteségnek a hitelkockázat kezdeti megjelenítés óta bekövetkezett növekedéséből vagy csökkenéséből eredő változásának nettó összegét az adatszolgáltatási időszak végén, függetlenül attól, hogy ez a pénzügyi eszköz másik szakaszba történő átvezetését eredményezte-e. Ebben az oszlopban kell feltüntetni a pénzügyi eszköz összegében a felhalmozott és kifizetett </w:t>
      </w:r>
      <w:r>
        <w:lastRenderedPageBreak/>
        <w:t>kamatbevétel következtében bekövetkezett növekedés vagy csökkenés miatti értékvesztés hatását. Ez a tétel tartalmazza továbbá a várható veszteségekre az idő múlása által gyakorolt hatást az IFRS 9 5.4.1. bekezdésének a) és b) pontjával összhangban. Ebben az oszlopban kell jelenteni a kockázati paraméterek aktualizálása vagy felülvizsgálata miatt a becslésekben bekövetkezett változásokat, valamint az előretekintő gazdasági adatok változásait is. Ebben az oszlopban kell feltüntetni a kitettségek részletekben történő részleges visszafizetése miatt a várható veszteségekben bekövetkezett változásokat, az utolsó részletfizetés kivételével, amelyet a „Kivezetésből származó csökkenés” oszlopban kell megadni.</w:t>
      </w:r>
    </w:p>
    <w:p w:rsidR="009569C7" w:rsidRPr="00EC4FA2" w:rsidRDefault="00A834F1" w:rsidP="009569C7">
      <w:pPr>
        <w:pStyle w:val="Baseparagraphnumbered"/>
      </w:pPr>
      <w:r>
        <w:t>A rulírozó kitettségekhez kapcsolódó várható hitelezési veszteségek minden változását a „Hitelkockázat-változásból származó változás (nettó)” tételben kell feltüntetni, kivéve azokat a változásokat, amelyek leírásokhoz és az intézmény által a hitelezési veszteségek becsléséhez használt módszertan aktualizálásához kapcsolódnak. A rulírozó kitettségek azok, amelyek esetében az ügyfelek tartozásainak egyenlegei az ügyfelek hitelfelvételi és visszafizetési döntéseinek megfelelően az intézmény által megállapított értékhatáron belül ingadozhatnak.</w:t>
      </w:r>
    </w:p>
    <w:p w:rsidR="009569C7" w:rsidRPr="00EC4FA2" w:rsidRDefault="00A834F1" w:rsidP="009569C7">
      <w:pPr>
        <w:pStyle w:val="Baseparagraphnumbered"/>
      </w:pPr>
      <w:r>
        <w:t>„Az intézmény becslési módszertanának aktualizálásából származó változás (nettó)” tartalmazza az intézmény által a várható veszteségek becsléséhez használt módszertan – a meglévő modellekben bekövetkező változások vagy az értékvesztés becsléséhez használandó új modellek létrehozása miatti – aktualizálásához kapcsolódó változásokat. A módszertan aktualizálása tartalmazza továbbá az új standardok bevezetéséből eredő hatást. Azon módszertani változásokat, amelyek az eszköz másik értékvesztési szakaszba kerülését eredményezik, teljességében modellváltozásnak kell tekinteni. A becslések kockázati paraméterek aktualizálásából vagy felülvizsgálatából adódó változásait, valamint az előretekintő gazdasági adatok változásait nem kell feltüntetni ebben az oszlopban.</w:t>
      </w:r>
    </w:p>
    <w:p w:rsidR="009569C7" w:rsidRPr="00EC4FA2" w:rsidRDefault="00A834F1" w:rsidP="009569C7">
      <w:pPr>
        <w:pStyle w:val="Baseparagraphnumbered"/>
      </w:pPr>
      <w:r>
        <w:t xml:space="preserve">A várható veszteségekben az eszközök módosítása [az IFRS 9 5.4.3. bekezdése és az </w:t>
      </w:r>
      <w:proofErr w:type="gramStart"/>
      <w:r>
        <w:t>A</w:t>
      </w:r>
      <w:proofErr w:type="gramEnd"/>
      <w:r>
        <w:t xml:space="preserve">. függelék] miatt bekövetkező változások feltüntetése a módosítás jellemzőitől függ, a következőknek megfelelően: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amennyiben a módosítás a 74. bekezdésben meghatározott leírás miatt egy eszköz részleges vagy teljes kivezetését eredményezi, e kivezetés várható veszteségre gyakorolt hatását „Az értékvesztési számla leírásokból származó csökkenése” tételben, a módosításból származó, a várható hitelezési veszteségekre gyakorolt egyéb hatást pedig más megfelelő oszlopokban kell megadni;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amennyiben a módosítás a 74. bekezdésben meghatározott leírástól eltérő okokból egy eszköz teljes kivezetését, és új eszközzel való helyettesítését eredményezi, a módosítás várható hitelezési veszteségekre gyakorolt hatását a kivezetett eszközhöz kapcsolódó változások tekintetében a „Kivezetésből származó csökkenés” tételben, az újonnan megjelenített módosított eszközhöz kapcsolódó változások tekintetében pedig a </w:t>
      </w:r>
      <w:r>
        <w:rPr>
          <w:rFonts w:ascii="Times New Roman" w:hAnsi="Times New Roman"/>
          <w:sz w:val="24"/>
        </w:rPr>
        <w:lastRenderedPageBreak/>
        <w:t xml:space="preserve">„Keletkeztetésből és vásárlásból származó növekedés” tételben kell feltüntetni. A leírásoktól eltérő okból végrehajtott kivezetés az olyan kivezetést tartalmazza, amely esetében a módosított eszköz feltételei lényeges változáson mennek át; </w:t>
      </w:r>
    </w:p>
    <w:p w:rsidR="009569C7" w:rsidRPr="00EC4FA2" w:rsidRDefault="00A834F1" w:rsidP="009569C7">
      <w:pPr>
        <w:numPr>
          <w:ilvl w:val="0"/>
          <w:numId w:val="66"/>
        </w:numPr>
        <w:spacing w:before="120" w:after="120"/>
        <w:ind w:left="1134" w:hanging="425"/>
        <w:jc w:val="both"/>
        <w:rPr>
          <w:rFonts w:ascii="Times New Roman" w:hAnsi="Times New Roman"/>
          <w:sz w:val="24"/>
          <w:szCs w:val="24"/>
        </w:rPr>
      </w:pPr>
      <w:r>
        <w:rPr>
          <w:rFonts w:ascii="Times New Roman" w:hAnsi="Times New Roman"/>
          <w:sz w:val="24"/>
        </w:rPr>
        <w:t xml:space="preserve">amennyiben a módosítás nem eredményezi a módosított eszköz egészének vagy egy részének kivezetését, ennek a várható veszteségekre gyakorolt hatását a „Kivezetéshez nem vezető módosításból származó változás” tételben kell feltüntetni.  </w:t>
      </w:r>
    </w:p>
    <w:p w:rsidR="009569C7" w:rsidRPr="00EC4FA2" w:rsidRDefault="00A834F1" w:rsidP="009569C7">
      <w:pPr>
        <w:pStyle w:val="Baseparagraphnumbered"/>
      </w:pPr>
      <w:r>
        <w:t xml:space="preserve">A leírásokat jelen melléklet e része 72–74. bekezdésének megfelelően kell megadni, a következők szerint: </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amennyiben egy hitelviszonyt megtestesítő instrumentum részben vagy egészében kivezetésre kerül, mert nem </w:t>
      </w:r>
      <w:proofErr w:type="gramStart"/>
      <w:r>
        <w:rPr>
          <w:rFonts w:ascii="Times New Roman" w:hAnsi="Times New Roman"/>
          <w:sz w:val="24"/>
        </w:rPr>
        <w:t>lehet</w:t>
      </w:r>
      <w:proofErr w:type="gramEnd"/>
      <w:r>
        <w:rPr>
          <w:rFonts w:ascii="Times New Roman" w:hAnsi="Times New Roman"/>
          <w:sz w:val="24"/>
        </w:rPr>
        <w:t xml:space="preserve"> megtérülését nem lehet </w:t>
      </w:r>
      <w:proofErr w:type="spellStart"/>
      <w:r>
        <w:rPr>
          <w:rFonts w:ascii="Times New Roman" w:hAnsi="Times New Roman"/>
          <w:sz w:val="24"/>
        </w:rPr>
        <w:t>észszerűen</w:t>
      </w:r>
      <w:proofErr w:type="spellEnd"/>
      <w:r>
        <w:rPr>
          <w:rFonts w:ascii="Times New Roman" w:hAnsi="Times New Roman"/>
          <w:sz w:val="24"/>
        </w:rPr>
        <w:t xml:space="preserve"> feltételezni, az értékvesztésben a leírt összegekből eredő csökkenést „Az értékvesztési számla leírásokból származó csökkenése” tételben kell megadni;</w:t>
      </w:r>
    </w:p>
    <w:p w:rsidR="009569C7" w:rsidRPr="00EC4FA2" w:rsidRDefault="00A834F1" w:rsidP="009569C7">
      <w:pPr>
        <w:numPr>
          <w:ilvl w:val="0"/>
          <w:numId w:val="67"/>
        </w:numPr>
        <w:spacing w:before="120" w:after="120"/>
        <w:ind w:left="1134" w:hanging="425"/>
        <w:jc w:val="both"/>
        <w:rPr>
          <w:rFonts w:ascii="Times New Roman" w:hAnsi="Times New Roman"/>
          <w:sz w:val="24"/>
          <w:szCs w:val="24"/>
        </w:rPr>
      </w:pPr>
      <w:r>
        <w:rPr>
          <w:rFonts w:ascii="Times New Roman" w:hAnsi="Times New Roman"/>
          <w:sz w:val="24"/>
        </w:rPr>
        <w:t xml:space="preserve">A „Közvetlenül az eredménykimutatásban leírt összegek” a pénzügyi eszközök azon, az adatszolgáltatási időszakban leírt összegei, amelyek meghaladják az adott pénzügyi eszközök értékvesztési számlájának </w:t>
      </w:r>
      <w:proofErr w:type="spellStart"/>
      <w:r>
        <w:rPr>
          <w:rFonts w:ascii="Times New Roman" w:hAnsi="Times New Roman"/>
          <w:sz w:val="24"/>
        </w:rPr>
        <w:t>kivezetéskori</w:t>
      </w:r>
      <w:proofErr w:type="spellEnd"/>
      <w:r>
        <w:rPr>
          <w:rFonts w:ascii="Times New Roman" w:hAnsi="Times New Roman"/>
          <w:sz w:val="24"/>
        </w:rPr>
        <w:t xml:space="preserve"> összegét. Ezek az adatszolgáltatási időszak során leírt valamennyi összeget tartalmazzák, nem csak azokat, amelyek még végrehajtás hatálya alá tartoznak. </w:t>
      </w:r>
    </w:p>
    <w:p w:rsidR="009569C7" w:rsidRPr="00EC4FA2" w:rsidRDefault="00A834F1" w:rsidP="009569C7">
      <w:pPr>
        <w:pStyle w:val="Baseparagraphnumbered"/>
      </w:pPr>
      <w:r>
        <w:t xml:space="preserve">Az „Egyéb módosítások” tartalmazza az előző oszlopokban fel nem tüntetett bármely összeget, ideértve többek között a várható veszteségekben az árfolyam-különbözetek miatt végrehajtott módosításokat, összhangban az árfolyamhatás 2. táblában megadott összegével.  </w:t>
      </w:r>
    </w:p>
    <w:p w:rsidR="009569C7" w:rsidRPr="00EC4FA2" w:rsidRDefault="00A834F1" w:rsidP="009569C7">
      <w:pPr>
        <w:pStyle w:val="sub-subtitlenumbered"/>
        <w:jc w:val="both"/>
      </w:pPr>
      <w:bookmarkStart w:id="171" w:name="_Toc467855229"/>
      <w:bookmarkStart w:id="172" w:name="_Toc485913606"/>
      <w:r>
        <w:t>Értékvesztési szakaszok közötti átvezetések (bruttó alapú megjelenítés) (12.2.)</w:t>
      </w:r>
      <w:bookmarkEnd w:id="171"/>
      <w:bookmarkEnd w:id="172"/>
    </w:p>
    <w:p w:rsidR="009569C7" w:rsidRPr="00EC4FA2" w:rsidRDefault="00A834F1" w:rsidP="009569C7">
      <w:pPr>
        <w:pStyle w:val="Baseparagraphnumbered"/>
      </w:pPr>
      <w:r>
        <w:t xml:space="preserve">A 12.2. táblában kell feltüntetni a pénzügyi eszközök tekintetében azon bruttó könyv szerinti értéket, valamint az IFRS 9 szerinti értékvesztés-elszámolási kötelezettség hatálya alá tartozó mérlegen kívüli kitettségek tekintetében azon névértéket, amely az adatszolgáltatási időszakban az értékvesztési szakaszok között átvezetésre került. </w:t>
      </w:r>
    </w:p>
    <w:p w:rsidR="009569C7" w:rsidRPr="00EC4FA2" w:rsidRDefault="00A834F1" w:rsidP="009569C7">
      <w:pPr>
        <w:pStyle w:val="Baseparagraphnumbered"/>
      </w:pPr>
      <w:r>
        <w:t>Csak azon pénzügyi eszközök bruttó könyv szerinti értékét vagy azon mérlegen kívüli kitettségek névértékét kell megadni, amelyek az adatszolgáltatási vonatkozási időpontban eltérő értékvesztési szakaszban vannak, mint amelyben az üzleti év kezdetén, vagy kezdeti megjelenítésükkor voltak. Azon mérleg szerinti kitettségek tekintetében, amelyeknél a 12.1. táblában feltüntetett értékvesztés mérlegen kívüli komponenst tartalmaz [az IFRS 9 5.5.20. bekezdése és az IFRS 7 B8E. bekezdése], a mérleg szerinti komponens értékvesztési szakaszának és a mérlegen kívüli komponens értékvesztési szakaszának változását kell figyelembe venni.</w:t>
      </w:r>
    </w:p>
    <w:p w:rsidR="009569C7" w:rsidRPr="00EC4FA2" w:rsidRDefault="00A834F1" w:rsidP="009569C7">
      <w:pPr>
        <w:pStyle w:val="Baseparagraphnumbered"/>
      </w:pPr>
      <w:r>
        <w:t xml:space="preserve">Az üzleti év során végrehajtott átvezetések feltüntetésekor azon pénzügyi eszközöket vagy mérlegen kívüli kitettségeket, amelyek értékvesztési szakasza az üzleti év kezdete vagy kezdeti megjelenítésük óta </w:t>
      </w:r>
      <w:r>
        <w:lastRenderedPageBreak/>
        <w:t>többször változott, úgy kell jelenteni, mintha azok az üzleti év kezdetén vagy kezdeti megjelenítésükkor érvényes értékvesztési szakaszból kerültek volna át abba az értékvesztési szakaszba, amelyben az adatszolgáltatási vonatkozási időpontban vannak.</w:t>
      </w:r>
    </w:p>
    <w:p w:rsidR="009569C7" w:rsidRPr="00EC4FA2" w:rsidRDefault="00A834F1" w:rsidP="009569C7">
      <w:pPr>
        <w:pStyle w:val="Baseparagraphnumbered"/>
      </w:pPr>
      <w:r>
        <w:t>A 12.2. táblában feltüntetendő bruttó könyv szerinti érték vagy névérték az adatszolgáltatás vonatkozási időpontjában fennálló bruttó könyv szerinti érték vagy névérték, függetlenül attól, hogy ez az összeg az átvezetés időpontjában magasabb vagy alacsonyabb volt.</w:t>
      </w:r>
    </w:p>
    <w:p w:rsidR="009569C7" w:rsidRPr="00EC4FA2" w:rsidRDefault="00A834F1" w:rsidP="009569C7">
      <w:pPr>
        <w:pStyle w:val="subtitlenumbered"/>
        <w:keepNext/>
        <w:ind w:left="357" w:hanging="357"/>
        <w:jc w:val="both"/>
      </w:pPr>
      <w:bookmarkStart w:id="173" w:name="_Toc362359300"/>
      <w:bookmarkStart w:id="174" w:name="_Toc467855230"/>
      <w:bookmarkStart w:id="175" w:name="_Toc485913607"/>
      <w:bookmarkStart w:id="176" w:name="_Toc361844229"/>
      <w:r>
        <w:t xml:space="preserve">Kapott biztosítékok </w:t>
      </w:r>
      <w:proofErr w:type="gramStart"/>
      <w:r>
        <w:t>és</w:t>
      </w:r>
      <w:proofErr w:type="gramEnd"/>
      <w:r>
        <w:t xml:space="preserve"> garanciák (13.)</w:t>
      </w:r>
      <w:bookmarkEnd w:id="173"/>
      <w:bookmarkEnd w:id="174"/>
      <w:bookmarkEnd w:id="175"/>
    </w:p>
    <w:p w:rsidR="009569C7" w:rsidRPr="00EC4FA2" w:rsidRDefault="00A834F1" w:rsidP="009569C7">
      <w:pPr>
        <w:pStyle w:val="sub-subtitlenumbered"/>
        <w:jc w:val="both"/>
      </w:pPr>
      <w:bookmarkStart w:id="177" w:name="_Toc361844230"/>
      <w:bookmarkStart w:id="178" w:name="_Toc362359301"/>
      <w:bookmarkStart w:id="179" w:name="_Toc467855231"/>
      <w:bookmarkStart w:id="180" w:name="_Toc485913608"/>
      <w:bookmarkEnd w:id="176"/>
      <w:r>
        <w:t>Biztosítékok és garanciák nem kereskedési céllal tartott hitelek és előlegek szerinti részletezése (13.1.)</w:t>
      </w:r>
      <w:bookmarkEnd w:id="177"/>
      <w:bookmarkEnd w:id="178"/>
      <w:bookmarkEnd w:id="179"/>
      <w:bookmarkEnd w:id="180"/>
    </w:p>
    <w:p w:rsidR="009569C7" w:rsidRPr="00EC4FA2" w:rsidRDefault="00A834F1" w:rsidP="009569C7">
      <w:pPr>
        <w:pStyle w:val="Baseparagraphnumbered"/>
        <w:tabs>
          <w:tab w:val="left" w:pos="851"/>
        </w:tabs>
        <w:ind w:left="709"/>
      </w:pPr>
      <w:r>
        <w:t xml:space="preserve">A hitelek és előlegek fedezetéül szolgáló biztosítékokat és garanciákat – jogi formájuktól függetlenül – a zálogtípusok szerint kell megadni: ingatlannal fedezett hitelek és egyéb biztosítékkal fedezett hitelek, valamint kapott pénzügyi garanciák szerint. A hiteleket és előlegeket partner és cél szerint kell részletezni. </w:t>
      </w:r>
    </w:p>
    <w:p w:rsidR="009569C7" w:rsidRPr="00EC4FA2" w:rsidRDefault="00A834F1" w:rsidP="009569C7">
      <w:pPr>
        <w:pStyle w:val="Baseparagraphnumbered"/>
        <w:tabs>
          <w:tab w:val="left" w:pos="851"/>
        </w:tabs>
        <w:ind w:left="709"/>
      </w:pPr>
      <w:r>
        <w:t xml:space="preserve">A 13.1. táblában a „biztosíték vagy garancia figyelembe vehető legmagasabb összegét” kell feltüntetni. A pénzügyi garanciák és/vagy biztosítékok összegeinek a 13.1. </w:t>
      </w:r>
      <w:proofErr w:type="gramStart"/>
      <w:r>
        <w:t>tábla kapcsolódó</w:t>
      </w:r>
      <w:proofErr w:type="gramEnd"/>
      <w:r>
        <w:t xml:space="preserve"> oszlopaiban feltüntetett összege nem haladhatja meg a kapcsolódó hitel könyv szerinti értékét. </w:t>
      </w:r>
    </w:p>
    <w:p w:rsidR="009569C7" w:rsidRPr="00EC4FA2" w:rsidRDefault="00A834F1" w:rsidP="009569C7">
      <w:pPr>
        <w:pStyle w:val="Baseparagraphnumbered"/>
        <w:tabs>
          <w:tab w:val="left" w:pos="851"/>
        </w:tabs>
        <w:ind w:left="709"/>
      </w:pPr>
      <w:r>
        <w:t>A hitelek és előlegek zálogtípus szerinti feltüntetésekor a következő fogalmakat kell használni: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Az „Ingatlannal fedezett hitelek”</w:t>
      </w:r>
      <w:proofErr w:type="spellStart"/>
      <w:r>
        <w:rPr>
          <w:rFonts w:ascii="Times New Roman" w:hAnsi="Times New Roman"/>
          <w:sz w:val="24"/>
        </w:rPr>
        <w:t>-en</w:t>
      </w:r>
      <w:proofErr w:type="spellEnd"/>
      <w:r>
        <w:rPr>
          <w:rFonts w:ascii="Times New Roman" w:hAnsi="Times New Roman"/>
          <w:sz w:val="24"/>
        </w:rPr>
        <w:t xml:space="preserve"> belül a „Lakóingatlan” tartalmazza a lakóingatlannal biztosított hiteleket, a „Kereskedelmi” hitelek közé tartoznak a lakóingatlantól eltérő ingatlanon, többek között irodai és kereskedelmi létesítményen, valamint egyéb típusú kereskedelmi ingatlanon létesített zálogjoggal biztosított hitelek. Annak meghatározását, hogy egy ingatlanbiztosíték lakóingatlanhoz vagy kereskedelmi ingatlanhoz kapcsolódik, a CRR meghatározásának megfelelően kell elvégezni;</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az „Egyéb biztosítékkal fedezett hitelek”</w:t>
      </w:r>
      <w:proofErr w:type="spellStart"/>
      <w:r>
        <w:rPr>
          <w:rFonts w:ascii="Times New Roman" w:hAnsi="Times New Roman"/>
          <w:sz w:val="24"/>
        </w:rPr>
        <w:t>-en</w:t>
      </w:r>
      <w:proofErr w:type="spellEnd"/>
      <w:r>
        <w:rPr>
          <w:rFonts w:ascii="Times New Roman" w:hAnsi="Times New Roman"/>
          <w:sz w:val="24"/>
        </w:rPr>
        <w:t xml:space="preserve"> belül a „Pénzeszközök [kibocsátott hitelviszonyt megtestesítő instrumentumok]” tartalmazzák: a) az adatszolgáltató intézménynél elhelyezett, hitel biztosítékául kapott letéteket; és b) az adatszolgáltató intézmény által kibocsátott hitelviszonyt megtestesítő értékpapírokat, amelyeket hitel biztosítékául kaptak. Az „Egyéb” közé harmadik fél által kibocsátott egyéb értékpapírokon vagy egyéb eszközökön létesített zálogjogok tartoznak;</w:t>
      </w:r>
    </w:p>
    <w:p w:rsidR="009569C7" w:rsidRPr="00EC4FA2" w:rsidRDefault="00A834F1" w:rsidP="009569C7">
      <w:pPr>
        <w:numPr>
          <w:ilvl w:val="0"/>
          <w:numId w:val="55"/>
        </w:numPr>
        <w:spacing w:before="120" w:after="120"/>
        <w:ind w:left="1134" w:hanging="425"/>
        <w:jc w:val="both"/>
        <w:rPr>
          <w:rFonts w:ascii="Times New Roman" w:hAnsi="Times New Roman"/>
          <w:sz w:val="24"/>
          <w:szCs w:val="24"/>
        </w:rPr>
      </w:pPr>
      <w:r>
        <w:rPr>
          <w:rFonts w:ascii="Times New Roman" w:hAnsi="Times New Roman"/>
          <w:sz w:val="24"/>
        </w:rPr>
        <w:t>A „Kapott pénzügyi garanciák” olyan szerződések, amelyek jelen melléklet e része 114. bekezdésének megfelelően a kibocsátónak meghatározott fizetések teljesítését írják elő az intézmény abból adódó veszteségének megtérítésére, hogy egy meghatározott adós esedékességkor nem fizet a hitelviszonyt megtestesítő instrumentum eredeti vagy módosított feltételeinek megfelelően.</w:t>
      </w:r>
    </w:p>
    <w:p w:rsidR="009569C7" w:rsidRPr="00EC4FA2" w:rsidRDefault="00A834F1" w:rsidP="009569C7">
      <w:pPr>
        <w:pStyle w:val="Baseparagraphnumbered"/>
      </w:pPr>
      <w:r>
        <w:lastRenderedPageBreak/>
        <w:t>Az olyan hitelek és előlegek esetében, ahol egyidejűleg egynél több biztosíték- vagy garanciatípus létezik, „</w:t>
      </w:r>
      <w:proofErr w:type="gramStart"/>
      <w:r>
        <w:t>A</w:t>
      </w:r>
      <w:proofErr w:type="gramEnd"/>
      <w:r>
        <w:t xml:space="preserve"> biztosíték/garancia figyelembe vehető legmagasabb összegét” a biztosíték/garancia minősége szerint kell allokálni, a legjobb minőségűvel kezdve. Az ingatlannal fedezett hitelek esetében először mindig az ingatlanfedezetet kell feltüntetni, függetlenül annak más biztosítékhoz viszonyított minőségétől. Ha „</w:t>
      </w:r>
      <w:proofErr w:type="gramStart"/>
      <w:r>
        <w:t>A</w:t>
      </w:r>
      <w:proofErr w:type="gramEnd"/>
      <w:r>
        <w:t xml:space="preserve"> biztosíték/garancia figyelembe vehető legmagasabb összege” meghaladja az ingatlanbiztosíték értékét, a fennmaradó értéket egyéb biztosítéktípusokhoz és garanciákhoz kell allokálni a biztosíték/garancia minősége szerint, a legjobb minőségűvel kezdve. </w:t>
      </w:r>
    </w:p>
    <w:p w:rsidR="009569C7" w:rsidRPr="00EC4FA2" w:rsidRDefault="00A834F1" w:rsidP="009569C7">
      <w:pPr>
        <w:pStyle w:val="sub-subtitlenumbered"/>
        <w:jc w:val="both"/>
      </w:pPr>
      <w:bookmarkStart w:id="181" w:name="_Toc361844231"/>
      <w:bookmarkStart w:id="182" w:name="_Toc362359302"/>
      <w:bookmarkStart w:id="183" w:name="_Toc467855232"/>
      <w:bookmarkStart w:id="184" w:name="_Toc485913609"/>
      <w:r>
        <w:t>Az időszak alatt birtokbavétellel megszerzett biztosíték [az adatszolgáltatás vonatkozási időpontjában tartott] (13.2.)</w:t>
      </w:r>
      <w:bookmarkEnd w:id="181"/>
      <w:bookmarkEnd w:id="182"/>
      <w:bookmarkEnd w:id="183"/>
      <w:bookmarkEnd w:id="184"/>
    </w:p>
    <w:p w:rsidR="009569C7" w:rsidRPr="00EC4FA2" w:rsidRDefault="00A834F1" w:rsidP="009569C7">
      <w:pPr>
        <w:pStyle w:val="Baseparagraphnumbered"/>
        <w:tabs>
          <w:tab w:val="left" w:pos="851"/>
        </w:tabs>
        <w:ind w:left="709"/>
      </w:pPr>
      <w:r>
        <w:t xml:space="preserve">Ez a tábla annak a biztosítéknak a könyv szerinti értékét tartalmazza, amelynek megszerzésére a referencia-időszak kezdete és vége között került sor, és amely az adatszolgáltatás vonatkozási időpontjában a mérlegben megjelenítve marad. </w:t>
      </w:r>
    </w:p>
    <w:p w:rsidR="009569C7" w:rsidRPr="00EC4FA2" w:rsidRDefault="00A834F1" w:rsidP="009569C7">
      <w:pPr>
        <w:pStyle w:val="sub-subtitlenumbered"/>
        <w:jc w:val="both"/>
      </w:pPr>
      <w:bookmarkStart w:id="185" w:name="_Toc361844232"/>
      <w:bookmarkStart w:id="186" w:name="_Toc362359303"/>
      <w:bookmarkStart w:id="187" w:name="_Toc467855233"/>
      <w:bookmarkStart w:id="188" w:name="_Toc485913610"/>
      <w:r>
        <w:t>Birtokbavétellel megszerzett biztosíték [tárgyi eszközök] halmozott (13.3.)</w:t>
      </w:r>
      <w:bookmarkEnd w:id="185"/>
      <w:bookmarkEnd w:id="186"/>
      <w:bookmarkEnd w:id="187"/>
      <w:bookmarkEnd w:id="188"/>
    </w:p>
    <w:p w:rsidR="009569C7" w:rsidRPr="00EC4FA2" w:rsidRDefault="00A834F1" w:rsidP="009569C7">
      <w:pPr>
        <w:pStyle w:val="Baseparagraphnumbered"/>
        <w:tabs>
          <w:tab w:val="left" w:pos="851"/>
        </w:tabs>
        <w:ind w:left="709"/>
      </w:pPr>
      <w:r>
        <w:t>A „Jelzálog érvényesítése [tárgyi eszközök]” a biztosíték birtokba vételével megszerzett azon tárgyi eszközök halmozott könyv szerinti értéke, amelyek az adatszolgáltatás vonatkozási időpontjában a mérlegben megjelenítve maradnak, az „Ingatlanok, gépek és berendezések” besorolású tárgyi eszközök kivételével.</w:t>
      </w:r>
    </w:p>
    <w:p w:rsidR="009569C7" w:rsidRPr="00EC4FA2" w:rsidRDefault="00A834F1" w:rsidP="009569C7">
      <w:pPr>
        <w:pStyle w:val="subtitlenumbered"/>
        <w:keepNext/>
        <w:numPr>
          <w:ilvl w:val="0"/>
          <w:numId w:val="17"/>
        </w:numPr>
        <w:ind w:left="357" w:hanging="357"/>
        <w:jc w:val="both"/>
        <w:rPr>
          <w:kern w:val="32"/>
        </w:rPr>
      </w:pPr>
      <w:bookmarkStart w:id="189" w:name="_Toc246770622"/>
      <w:bookmarkStart w:id="190" w:name="_Toc361844233"/>
      <w:bookmarkStart w:id="191" w:name="_Toc362359304"/>
      <w:bookmarkStart w:id="192" w:name="_Toc467855234"/>
      <w:bookmarkStart w:id="193" w:name="_Toc485913611"/>
      <w:r>
        <w:t>Valósérték-hierarchia</w:t>
      </w:r>
      <w:bookmarkEnd w:id="189"/>
      <w:r>
        <w:t>: Valós értéken értékelt pénzügyi instrumentumok (14.)</w:t>
      </w:r>
      <w:bookmarkEnd w:id="190"/>
      <w:bookmarkEnd w:id="191"/>
      <w:bookmarkEnd w:id="192"/>
      <w:bookmarkEnd w:id="193"/>
    </w:p>
    <w:p w:rsidR="009569C7" w:rsidRPr="00EC4FA2" w:rsidRDefault="00A834F1" w:rsidP="009569C7">
      <w:pPr>
        <w:pStyle w:val="Baseparagraphnumbered"/>
        <w:tabs>
          <w:tab w:val="left" w:pos="851"/>
        </w:tabs>
        <w:ind w:left="709"/>
      </w:pPr>
      <w:r>
        <w:t>Az intézményeknek a valós értéken értékelt pénzügyi instrumentumokat az IFRS 13 72. bekezdésében megadott hierarchia szerint kell feltüntetniük. Amennyiben a BAD alapján kidolgozott nemzeti GAAP szintén előírja a valós értéken értékelt eszközöknek a valós érték különböző szintjei közötti allokálását, a nemzeti GAAP hatálya alá tartozó intézményeknek szintén adatot kell szolgáltatniuk ebben a táblában.</w:t>
      </w:r>
    </w:p>
    <w:p w:rsidR="009569C7" w:rsidRPr="00EC4FA2" w:rsidRDefault="00A834F1" w:rsidP="009569C7">
      <w:pPr>
        <w:pStyle w:val="Baseparagraphnumbered"/>
        <w:ind w:left="709" w:hanging="283"/>
      </w:pPr>
      <w:r>
        <w:t xml:space="preserve">A „Valós érték változása az időszak alatt” azon instrumentumok időszak alatti, az IFRS 9, az IFRS 13 vagy a nemzeti GAAP szerinti átértékeléséből származó nyereséget vagy veszteséget tartalmazza, amelyek adatszolgáltatás </w:t>
      </w:r>
      <w:proofErr w:type="gramStart"/>
      <w:r>
        <w:t>vonatkozási  időpontjában</w:t>
      </w:r>
      <w:proofErr w:type="gramEnd"/>
      <w:r>
        <w:t xml:space="preserve"> továbbra is fennállnak. Ezeket a nyereségeket és veszteségeket az </w:t>
      </w:r>
      <w:proofErr w:type="spellStart"/>
      <w:r>
        <w:t>eredménykimutatásba</w:t>
      </w:r>
      <w:proofErr w:type="spellEnd"/>
      <w:r>
        <w:t xml:space="preserve"> vagy adott esetben az átfogó </w:t>
      </w:r>
      <w:proofErr w:type="spellStart"/>
      <w:r>
        <w:t>jövedelemkimutatásba</w:t>
      </w:r>
      <w:proofErr w:type="spellEnd"/>
      <w:r>
        <w:t xml:space="preserve"> való bevonással azonos módon kell feltüntetni; ezért az adófizetés előtti összeget kell feltüntetni.</w:t>
      </w:r>
    </w:p>
    <w:p w:rsidR="009569C7" w:rsidRPr="00EC4FA2" w:rsidRDefault="00A834F1" w:rsidP="009569C7">
      <w:pPr>
        <w:pStyle w:val="Baseparagraphnumbered"/>
        <w:tabs>
          <w:tab w:val="left" w:pos="851"/>
        </w:tabs>
        <w:ind w:left="709"/>
      </w:pPr>
      <w:r>
        <w:t>„A valósérték-változás halmozott összege adófizetés előtt” az instrumentumok kezdeti megjelenítésétől az adatszolgáltatás vonatkozási időpontjáig történő átértékeléséből származó nyereséget vagy veszteséget tartalmazza.</w:t>
      </w:r>
    </w:p>
    <w:p w:rsidR="009569C7" w:rsidRPr="00EC4FA2" w:rsidRDefault="00A834F1" w:rsidP="009569C7">
      <w:pPr>
        <w:pStyle w:val="subtitlenumbered"/>
        <w:numPr>
          <w:ilvl w:val="0"/>
          <w:numId w:val="17"/>
        </w:numPr>
        <w:jc w:val="both"/>
        <w:rPr>
          <w:kern w:val="32"/>
        </w:rPr>
      </w:pPr>
      <w:bookmarkStart w:id="194" w:name="_Toc361844234"/>
      <w:bookmarkStart w:id="195" w:name="_Toc362359305"/>
      <w:bookmarkStart w:id="196" w:name="_Toc467855235"/>
      <w:bookmarkStart w:id="197" w:name="_Toc485913612"/>
      <w:r>
        <w:lastRenderedPageBreak/>
        <w:t xml:space="preserve">Pénzügyi eszközök átadásával összefüggő kivezetés </w:t>
      </w:r>
      <w:proofErr w:type="gramStart"/>
      <w:r>
        <w:t>és</w:t>
      </w:r>
      <w:proofErr w:type="gramEnd"/>
      <w:r>
        <w:t xml:space="preserve"> pénzügyi kötelezettségek (15.)</w:t>
      </w:r>
      <w:bookmarkEnd w:id="194"/>
      <w:bookmarkEnd w:id="195"/>
      <w:bookmarkEnd w:id="196"/>
      <w:bookmarkEnd w:id="197"/>
    </w:p>
    <w:p w:rsidR="009569C7" w:rsidRPr="00EC4FA2" w:rsidRDefault="00A834F1" w:rsidP="009569C7">
      <w:pPr>
        <w:pStyle w:val="Baseparagraphnumbered"/>
        <w:tabs>
          <w:tab w:val="left" w:pos="851"/>
        </w:tabs>
        <w:ind w:left="709"/>
      </w:pPr>
      <w:r>
        <w:t xml:space="preserve">A 15. tábla azon átadott pénzügyi eszközökre vonatkozóan szolgáltat adatot, amelyeknek egy része vagy egésze nem felel meg a kivezetés feltételeinek, valamint az olyan teljes mértékben kivezetett pénzügyi eszközökre vonatkozóan, amelyek tekintetében az intézmény fenntartja a szolgáltatási jogokat. </w:t>
      </w:r>
    </w:p>
    <w:p w:rsidR="009569C7" w:rsidRPr="00EC4FA2" w:rsidRDefault="00A834F1" w:rsidP="009569C7">
      <w:pPr>
        <w:pStyle w:val="Baseparagraphnumbered"/>
        <w:tabs>
          <w:tab w:val="left" w:pos="851"/>
        </w:tabs>
        <w:ind w:left="709"/>
      </w:pPr>
      <w:r>
        <w:t xml:space="preserve">A kapcsolódó kötelezettségeket azon portfólió szerint kell feltüntetni, amelyben a kapcsolódó átadott pénzügyi eszközök szerepeltek az eszközoldalon, nem pedig azon portfólió szerint, amelyben az eszközök a forrásoldalra kerültek. </w:t>
      </w:r>
      <w:bookmarkStart w:id="198" w:name="_Toc119725774"/>
      <w:bookmarkEnd w:id="198"/>
    </w:p>
    <w:p w:rsidR="009569C7" w:rsidRPr="00EC4FA2" w:rsidRDefault="00A834F1" w:rsidP="009569C7">
      <w:pPr>
        <w:pStyle w:val="Baseparagraphnumbered"/>
      </w:pPr>
      <w:r>
        <w:t xml:space="preserve">„A tőke szempontjából kivezetett összegek” oszlop a számviteli szempontból megjelenített, azonban prudenciális szempontból kivezetett pénzügyi eszközök könyv szerinti értékét tartalmazza, mivel az intézmény ezeket a CRR 109., 243. és 244. cikkével összhangban tőkeszámítási célokból értékpapírosítási pozícióként kezeli. </w:t>
      </w:r>
    </w:p>
    <w:p w:rsidR="009569C7" w:rsidRPr="00EC4FA2" w:rsidRDefault="00A834F1" w:rsidP="009569C7">
      <w:pPr>
        <w:pStyle w:val="Baseparagraphnumbered"/>
      </w:pPr>
      <w:r>
        <w:t>A „Visszavásárlási megállapodások” (</w:t>
      </w:r>
      <w:proofErr w:type="spellStart"/>
      <w:r>
        <w:t>repoügyletek</w:t>
      </w:r>
      <w:proofErr w:type="spellEnd"/>
      <w:r>
        <w:t>) olyan tranzakciók, amelyek keretében az intézmény készpénzt kap adott áron és azon elkötelezettség mellett eladott pénzügyi eszközökért, hogy ezeket (vagy ezekkel azonos eszközöket) egy meghatározott jövőbeli időpontban rögzített áron visszavásárolja. Az olyan tranzakciókat, amelyek arany készpénzbiztosíték ellenében történő átmeneti átadását foglalják magukban, szintén „Visszavásárlási megállapodások”-nak („</w:t>
      </w:r>
      <w:proofErr w:type="spellStart"/>
      <w:r>
        <w:t>repoügyleteknek</w:t>
      </w:r>
      <w:proofErr w:type="spellEnd"/>
      <w:r>
        <w:t xml:space="preserve">) kell tekinteni. Az intézmény által a harmadik félnek („ideiglenes megszerző”) átadott pénzügyi eszközökért cserébe kapott összegeket a „visszavásárlási megállapodások” közé kell besorolni, ha az ügylet megfordítására nem pusztán opció, hanem kötelezettség áll fenn. A visszavásárlási megállapodások </w:t>
      </w:r>
      <w:proofErr w:type="spellStart"/>
      <w:r>
        <w:t>repojellegű</w:t>
      </w:r>
      <w:proofErr w:type="spellEnd"/>
      <w:r>
        <w:t xml:space="preserve"> ügyleteket is tartalmaznak, melyek a következők lehetnek:</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Értékpapírok készpénzbiztosíték ellenében történő kölcsönzése formájában ideiglenesen harmadik félnek átadott értékpapírokért cserébe kapott összegek;</w:t>
      </w:r>
    </w:p>
    <w:p w:rsidR="009569C7" w:rsidRPr="00EC4FA2" w:rsidRDefault="00A834F1" w:rsidP="009569C7">
      <w:pPr>
        <w:numPr>
          <w:ilvl w:val="0"/>
          <w:numId w:val="10"/>
        </w:numPr>
        <w:ind w:left="1134" w:hanging="425"/>
        <w:jc w:val="both"/>
        <w:rPr>
          <w:rFonts w:ascii="Times New Roman" w:hAnsi="Times New Roman"/>
          <w:sz w:val="24"/>
          <w:szCs w:val="24"/>
        </w:rPr>
      </w:pPr>
      <w:r>
        <w:rPr>
          <w:rFonts w:ascii="Times New Roman" w:hAnsi="Times New Roman"/>
          <w:sz w:val="24"/>
        </w:rPr>
        <w:t>Eladási/visszavásárlási megállapodás formájában ideiglenesen harmadik félnek átadott értékpapírokért cserébe kapott összegek.</w:t>
      </w:r>
    </w:p>
    <w:p w:rsidR="009569C7" w:rsidRPr="00EC4FA2" w:rsidRDefault="00A834F1" w:rsidP="009569C7">
      <w:pPr>
        <w:pStyle w:val="Baseparagraphnumbered"/>
        <w:tabs>
          <w:tab w:val="left" w:pos="851"/>
        </w:tabs>
        <w:ind w:left="709"/>
      </w:pPr>
      <w:r>
        <w:t>A „Visszavásárlási megállapodások” (</w:t>
      </w:r>
      <w:proofErr w:type="spellStart"/>
      <w:r>
        <w:t>repoügyletek</w:t>
      </w:r>
      <w:proofErr w:type="spellEnd"/>
      <w:r>
        <w:t xml:space="preserve">) és „Fordított visszavásárlási megállapodások” (fordított </w:t>
      </w:r>
      <w:proofErr w:type="spellStart"/>
      <w:r>
        <w:t>repoügyletek</w:t>
      </w:r>
      <w:proofErr w:type="spellEnd"/>
      <w:r>
        <w:t xml:space="preserve">) az intézmény részéről készpénz fogadásával vagy kölcsönzésével járnak. </w:t>
      </w:r>
    </w:p>
    <w:p w:rsidR="009569C7" w:rsidRPr="00EC4FA2" w:rsidRDefault="00A834F1" w:rsidP="009569C7">
      <w:pPr>
        <w:pStyle w:val="Baseparagraphnumbered"/>
        <w:tabs>
          <w:tab w:val="left" w:pos="851"/>
        </w:tabs>
        <w:ind w:left="709"/>
      </w:pPr>
      <w:r>
        <w:t>Egy olyan értékpapírosítási tranzakcióban, amelynél az átadott pénzügyi eszközök kivezetésre kerültek, az intézményeknek az eredménykimutatásban jelenteniük kell a tétel által generált nyereséget (veszteséget) azoknak az „elszámolási portfóliók”-nak megfelelően, amelyekben a pénzügyi eszközök kivezetésük előtt szerepeltek.</w:t>
      </w:r>
    </w:p>
    <w:p w:rsidR="009569C7" w:rsidRPr="00EC4FA2" w:rsidRDefault="00A834F1" w:rsidP="009569C7">
      <w:pPr>
        <w:pStyle w:val="subtitlenumbered"/>
        <w:keepNext/>
        <w:numPr>
          <w:ilvl w:val="0"/>
          <w:numId w:val="17"/>
        </w:numPr>
        <w:ind w:left="357" w:hanging="357"/>
        <w:jc w:val="both"/>
      </w:pPr>
      <w:bookmarkStart w:id="199" w:name="_Toc246513983"/>
      <w:bookmarkStart w:id="200" w:name="_Toc246730655"/>
      <w:bookmarkStart w:id="201" w:name="_Toc246730746"/>
      <w:bookmarkStart w:id="202" w:name="_Toc246513985"/>
      <w:bookmarkStart w:id="203" w:name="_Toc246730657"/>
      <w:bookmarkStart w:id="204" w:name="_Toc246730748"/>
      <w:bookmarkStart w:id="205" w:name="_Toc246513986"/>
      <w:bookmarkStart w:id="206" w:name="_Toc246730658"/>
      <w:bookmarkStart w:id="207" w:name="_Toc246730749"/>
      <w:bookmarkStart w:id="208" w:name="_Toc246770632"/>
      <w:bookmarkStart w:id="209" w:name="_Toc361844235"/>
      <w:bookmarkStart w:id="210" w:name="_Toc362359306"/>
      <w:bookmarkStart w:id="211" w:name="_Toc467855236"/>
      <w:bookmarkStart w:id="212" w:name="_Toc485913613"/>
      <w:bookmarkStart w:id="213" w:name="_Toc246770626"/>
      <w:bookmarkEnd w:id="199"/>
      <w:bookmarkEnd w:id="200"/>
      <w:bookmarkEnd w:id="201"/>
      <w:bookmarkEnd w:id="202"/>
      <w:bookmarkEnd w:id="203"/>
      <w:bookmarkEnd w:id="204"/>
      <w:bookmarkEnd w:id="205"/>
      <w:bookmarkEnd w:id="206"/>
      <w:bookmarkEnd w:id="207"/>
      <w:r>
        <w:lastRenderedPageBreak/>
        <w:t>Az eredménykimutatás kiválasztott tételeinek részletezése</w:t>
      </w:r>
      <w:bookmarkEnd w:id="208"/>
      <w:r>
        <w:t xml:space="preserve"> (16.)</w:t>
      </w:r>
      <w:bookmarkEnd w:id="209"/>
      <w:bookmarkEnd w:id="210"/>
      <w:bookmarkEnd w:id="211"/>
      <w:bookmarkEnd w:id="212"/>
    </w:p>
    <w:p w:rsidR="009569C7" w:rsidRPr="00EC4FA2" w:rsidRDefault="00A834F1" w:rsidP="009569C7">
      <w:pPr>
        <w:pStyle w:val="Baseparagraphnumbered"/>
        <w:tabs>
          <w:tab w:val="left" w:pos="851"/>
        </w:tabs>
        <w:ind w:left="709"/>
      </w:pPr>
      <w:r>
        <w:t xml:space="preserve">Az eredménykimutatás kiválasztott tételei tekintetében a nyereség (vagy bevételek) és veszteség (vagy ráfordítások) további részletezésére van szükség. </w:t>
      </w:r>
    </w:p>
    <w:p w:rsidR="009569C7" w:rsidRPr="00EC4FA2" w:rsidRDefault="00A834F1" w:rsidP="009569C7">
      <w:pPr>
        <w:pStyle w:val="sub-subtitlenumbered"/>
        <w:jc w:val="both"/>
      </w:pPr>
      <w:bookmarkStart w:id="214" w:name="_Toc361844236"/>
      <w:bookmarkStart w:id="215" w:name="_Toc362359307"/>
      <w:bookmarkStart w:id="216" w:name="_Toc467855237"/>
      <w:bookmarkStart w:id="217" w:name="_Toc485913614"/>
      <w:r>
        <w:t xml:space="preserve">Kamatbevételek és </w:t>
      </w:r>
      <w:proofErr w:type="spellStart"/>
      <w:r>
        <w:t>-ráfordítások</w:t>
      </w:r>
      <w:proofErr w:type="spellEnd"/>
      <w:r>
        <w:t xml:space="preserve"> instrumentum és ügyfélszektor szerint (16.1.)</w:t>
      </w:r>
      <w:bookmarkEnd w:id="214"/>
      <w:bookmarkEnd w:id="215"/>
      <w:bookmarkEnd w:id="216"/>
      <w:bookmarkEnd w:id="217"/>
    </w:p>
    <w:p w:rsidR="009569C7" w:rsidRPr="00EC4FA2" w:rsidRDefault="00A834F1" w:rsidP="009569C7">
      <w:pPr>
        <w:pStyle w:val="Baseparagraphnumbered"/>
        <w:tabs>
          <w:tab w:val="left" w:pos="851"/>
        </w:tabs>
        <w:ind w:left="709" w:hanging="283"/>
      </w:pPr>
      <w:r>
        <w:t>A kamatbevételeket a következők mindegyikének megfelelően részletezni kell:</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pénzügyi és egyéb eszközökből származó kamatbevételek;</w:t>
      </w:r>
    </w:p>
    <w:p w:rsidR="009569C7" w:rsidRPr="00EC4FA2"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rPr>
        <w:t>negatív effektív kamatlábú pénzügyi kötelezettségekből származó kamatbevételek.</w:t>
      </w:r>
    </w:p>
    <w:p w:rsidR="009569C7" w:rsidRPr="00EC4FA2" w:rsidRDefault="00A834F1" w:rsidP="009569C7">
      <w:pPr>
        <w:pStyle w:val="Baseparagraphnumbered"/>
      </w:pPr>
      <w:r>
        <w:t>A kamatráfordításokat a következők mindegyikének megfelelően részletezni kell:</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pénzügyi és egyéb kötelezettségeken keletkezett kamatráfordítások;</w:t>
      </w:r>
    </w:p>
    <w:p w:rsidR="009569C7" w:rsidRPr="00EC4FA2" w:rsidRDefault="00A834F1" w:rsidP="009569C7">
      <w:pPr>
        <w:numPr>
          <w:ilvl w:val="0"/>
          <w:numId w:val="71"/>
        </w:numPr>
        <w:ind w:left="1134" w:hanging="425"/>
        <w:jc w:val="both"/>
        <w:rPr>
          <w:rFonts w:ascii="Times New Roman" w:hAnsi="Times New Roman"/>
          <w:sz w:val="24"/>
          <w:szCs w:val="24"/>
        </w:rPr>
      </w:pPr>
      <w:r>
        <w:rPr>
          <w:rFonts w:ascii="Times New Roman" w:hAnsi="Times New Roman"/>
          <w:sz w:val="24"/>
        </w:rPr>
        <w:t>negatív effektív kamatlábú pénzügyi eszközökön keletkezett kamatráfordítások.</w:t>
      </w:r>
    </w:p>
    <w:p w:rsidR="009569C7" w:rsidRPr="00EC4FA2" w:rsidRDefault="00A834F1" w:rsidP="009569C7">
      <w:pPr>
        <w:pStyle w:val="Baseparagraphnumbered"/>
        <w:tabs>
          <w:tab w:val="left" w:pos="851"/>
        </w:tabs>
        <w:ind w:left="709" w:hanging="283"/>
      </w:pPr>
      <w:r>
        <w:t xml:space="preserve">A negatív effektív kamatlábú pénzügyi eszközökön és pénzügyi kötelezettségeken keletkezett kamatbevételek közé tartoznak a kereskedési célú származtatott ügyleteken, a hitelviszonyt megtestesítő értékpapírokon és a hiteleken és előlegeken, valamint letéteken, kibocsátott hitelviszonyt megtestesítő értékpapírokon és egyéb, pénzügyi kötelezettségekkel összefüggő, negatív effektív kamatlábú pénzügyi kötelezettségeken keletkezett kamatbevételek. </w:t>
      </w:r>
    </w:p>
    <w:p w:rsidR="009569C7" w:rsidRPr="00EC4FA2" w:rsidRDefault="00A834F1" w:rsidP="009569C7">
      <w:pPr>
        <w:pStyle w:val="Baseparagraphnumbered"/>
      </w:pPr>
      <w:r>
        <w:t xml:space="preserve">A negatív effektív kamatlábú pénzügyi eszközön és pénzügyi kötelezettségeken keletkezett kamatráfordítások közé tartoznak a kereskedési célú származtatott ügyleteken, a kibocsátott hitelviszonyt megtestesítő értékpapírokon és egyéb pénzügyi kötelezettségeken, valamint a hitelviszonyt megtestesítő értékpapírokon és a negatív effektív kamatlábú hiteleken és előlegeken keletkezett kamatráfordítások. </w:t>
      </w:r>
    </w:p>
    <w:p w:rsidR="009569C7" w:rsidRPr="00EC4FA2" w:rsidRDefault="00A834F1" w:rsidP="009569C7">
      <w:pPr>
        <w:pStyle w:val="Baseparagraphnumbered"/>
      </w:pPr>
      <w:r>
        <w:t xml:space="preserve">A 16.1. tábla alkalmazásában a rövid pozíciókat az egyéb pénzügyi kötelezettségek között kell figyelembe venni. A különböző portfóliókban szereplő összes instrumentumot figyelembe kell venni, kivéve azokat a nem kamatlábkockázat fedezésére használt instrumentumokat, amelyek a „Származtatott ügyletek – Fedezeti elszámolások” között kerültek feltüntetésre. </w:t>
      </w:r>
    </w:p>
    <w:p w:rsidR="009569C7" w:rsidRPr="00EC4FA2" w:rsidRDefault="00A834F1" w:rsidP="009569C7">
      <w:pPr>
        <w:pStyle w:val="Baseparagraphnumbered"/>
      </w:pPr>
      <w:r>
        <w:t xml:space="preserve">A „Származtatott ügyletek – Fedezeti elszámolások, kamatlábkockázat” tartalmazza a fedezeti instrumentumokon képződött kamatbevételt és </w:t>
      </w:r>
      <w:proofErr w:type="spellStart"/>
      <w:r>
        <w:t>-ráfordítást</w:t>
      </w:r>
      <w:proofErr w:type="spellEnd"/>
      <w:r>
        <w:t xml:space="preserve">, amennyiben a fedezett tételek kamatot generálnak.  </w:t>
      </w:r>
    </w:p>
    <w:p w:rsidR="009569C7" w:rsidRPr="00EC4FA2" w:rsidRDefault="00A834F1" w:rsidP="009569C7">
      <w:pPr>
        <w:pStyle w:val="Baseparagraphnumbered"/>
      </w:pPr>
      <w:r>
        <w:lastRenderedPageBreak/>
        <w:t>Tiszta ár használata esetén a kereskedési céllal tartott származtatott ügyleteken képződött kamat tartalmazza a „gazdasági fedezeti ügylet”</w:t>
      </w:r>
      <w:proofErr w:type="spellStart"/>
      <w:r>
        <w:t>-nek</w:t>
      </w:r>
      <w:proofErr w:type="spellEnd"/>
      <w:r>
        <w:t xml:space="preserve"> minősülő, kereskedési céllal tartott származtatott ügyletekhez kapcsolódó összegeket, amelyek kamatbevételként, illetve kamatráfordításként jelennek meg annak érdekében, hogy korrigálják azon pénzügyi instrumentumokból származó kamatbevételeket és kamatráfordításokat, amelyek gazdasági szempontból fedezett instrumentumnak minősülnek, azonban számviteli szempontból nem minősülnek annak. Ilyen esetben a gazdasági fedezeti származtatott ügyleten képződött kamatbevételt külön kell feltüntetni a kereskedési célú származtatott ügyletekből eredő kamatbevételek között. Az adott célból valós értéken értékeltnek megjelölt pénzügyi instrumentum egy része vagy egésze hitelkockázatának kezelésére használt és valós értéken értékelt </w:t>
      </w:r>
      <w:proofErr w:type="spellStart"/>
      <w:r>
        <w:t>hitelderivatívákkal</w:t>
      </w:r>
      <w:proofErr w:type="spellEnd"/>
      <w:r>
        <w:t xml:space="preserve"> összefüggő időarányos díjakat vagy ellentételező fizetéseket szintén a kereskedési céllal tartott származtatott ügyletek kamatai között kell feltüntetni.</w:t>
      </w:r>
    </w:p>
    <w:p w:rsidR="009569C7" w:rsidRPr="00EC4FA2" w:rsidRDefault="00A834F1" w:rsidP="009569C7">
      <w:pPr>
        <w:pStyle w:val="Baseparagraphnumbered"/>
      </w:pPr>
      <w:r>
        <w:t>Az IFRS szerinti elszámolás esetében az „ebből: értékvesztett pénzügyi eszközök kamatjövedelme” az értékvesztett, többek között a vásárolt vagy keletkeztetett értékvesztett pénzügyi eszközökön képződött kamatbevételt jelenti. A BAD alapján kidolgozott nemzeti GAAP szerinti elszámolás esetében ez az értékvesztett eszközön képződött kamatjövedelmet tartalmazza hitelkockázatra vonatkozó egyedi vagy általános értékvesztési tartalékkal.</w:t>
      </w:r>
    </w:p>
    <w:p w:rsidR="009569C7" w:rsidRPr="00EC4FA2" w:rsidRDefault="00A834F1" w:rsidP="009569C7">
      <w:pPr>
        <w:pStyle w:val="sub-subtitlenumbered"/>
        <w:jc w:val="both"/>
      </w:pPr>
      <w:bookmarkStart w:id="218" w:name="_Toc361844237"/>
      <w:bookmarkStart w:id="219" w:name="_Toc362359308"/>
      <w:bookmarkStart w:id="220" w:name="_Toc467855238"/>
      <w:bookmarkStart w:id="221" w:name="_Toc485913615"/>
      <w:r>
        <w:t>Az eredménnyel szemben valós értéken értékelt kategóriába nem tartozó pénzügyi eszközök és kötelezettségek kivezetéséből származó nyereség vagy veszteség instrumentum szerint (16.2.)</w:t>
      </w:r>
      <w:bookmarkEnd w:id="218"/>
      <w:bookmarkEnd w:id="219"/>
      <w:bookmarkEnd w:id="220"/>
      <w:bookmarkEnd w:id="221"/>
    </w:p>
    <w:p w:rsidR="009569C7" w:rsidRPr="00EC4FA2" w:rsidRDefault="00A834F1" w:rsidP="009569C7">
      <w:pPr>
        <w:pStyle w:val="Baseparagraphnumbered"/>
        <w:tabs>
          <w:tab w:val="left" w:pos="851"/>
        </w:tabs>
        <w:ind w:left="709"/>
      </w:pPr>
      <w:r>
        <w:t>Az eredménnyel szemben valós értéken értékelt kategóriába nem tartozó pénzügyi eszközök és kötelezettségek kivezetéséből származó nyereséget és veszteséget a pénzügyi instrumentum típusa és a számviteli portfólió szerint kell részletezni. Az egyes tételek esetében a kivezetett tranzakcióból származó realizált nettó nyereséget vagy veszteséget kell feltüntetni. A nettó összeg a realizált nyereség és realizált veszteség közötti különbözet.</w:t>
      </w:r>
    </w:p>
    <w:p w:rsidR="009569C7" w:rsidRPr="00EC4FA2" w:rsidRDefault="00A834F1" w:rsidP="009569C7">
      <w:pPr>
        <w:pStyle w:val="Baseparagraphnumbered"/>
      </w:pPr>
      <w:r>
        <w:t xml:space="preserve">A 16.2. tábla az IFRS értelmében a bekerülési értéken értékelt pénzügyi eszközökre és kötelezettségekre, valamint az egyéb átfogó jövedelemmel szemben valós értéken értékelt hitelviszonyt megtestesítő instrumentumokra alkalmazandó. A BAD alapján kidolgozott nemzeti GAAP szerinti elszámolás esetében a 16.2. tábla a </w:t>
      </w:r>
      <w:proofErr w:type="spellStart"/>
      <w:r>
        <w:t>bekerülésiérték-módszer</w:t>
      </w:r>
      <w:proofErr w:type="spellEnd"/>
      <w:r>
        <w:t xml:space="preserve"> alapján értékelt pénzügyi eszközökre, a saját tőkével szemben valós értéken értékelt pénzügyi eszközökre és egyéb értékelési módszerrel, például a bekerülési vagy piaci ár közül az alacsonyabb áron értékelt pénzügyi eszközökre alkalmazandó. A BAD alapján kidolgozott vonatkozó nemzeti GAAP értelmében kereskedési célúként besorolt pénzügyi instrumentumok nyereségét vagy veszteségét nem kell megadni ebben a táblában, függetlenül attól, hogy milyen értékelési szabályokat kell alkalmazni a szóban forgó instrumentumokra.</w:t>
      </w:r>
    </w:p>
    <w:p w:rsidR="009569C7" w:rsidRPr="00EC4FA2" w:rsidRDefault="00A834F1" w:rsidP="009569C7">
      <w:pPr>
        <w:pStyle w:val="sub-subtitlenumbered"/>
        <w:jc w:val="both"/>
      </w:pPr>
      <w:bookmarkStart w:id="222" w:name="_Toc361844238"/>
      <w:bookmarkStart w:id="223" w:name="_Toc362359309"/>
      <w:bookmarkStart w:id="224" w:name="_Toc467855239"/>
      <w:bookmarkStart w:id="225" w:name="_Toc485913616"/>
      <w:r>
        <w:t>Kereskedési céllal tartott pénzügyi eszközökből és kötelezettségekből származó nyereség vagy veszteség instrumentum szerint (16.3.)</w:t>
      </w:r>
      <w:bookmarkEnd w:id="222"/>
      <w:bookmarkEnd w:id="223"/>
      <w:bookmarkEnd w:id="224"/>
      <w:bookmarkEnd w:id="225"/>
    </w:p>
    <w:p w:rsidR="009569C7" w:rsidRPr="00EC4FA2" w:rsidRDefault="00A834F1" w:rsidP="009569C7">
      <w:pPr>
        <w:pStyle w:val="Baseparagraphnumbered"/>
        <w:tabs>
          <w:tab w:val="left" w:pos="851"/>
        </w:tabs>
        <w:ind w:left="709"/>
      </w:pPr>
      <w:r>
        <w:lastRenderedPageBreak/>
        <w:t>A kereskedési céllal tartott pénzügyi eszközökből és kötelezettségekből származó nyereséget vagy veszteséget instrumentum szerint kell részletezni; a részletezés egyes tételei a pénzügyi instrumentum nettó realizált és nem realizált összegeit (nyereség csökkentve a veszteséggel) tartalmazzák.</w:t>
      </w:r>
    </w:p>
    <w:p w:rsidR="009569C7" w:rsidRPr="00EC4FA2" w:rsidRDefault="00A834F1" w:rsidP="009569C7">
      <w:pPr>
        <w:pStyle w:val="Baseparagraphnumbered"/>
      </w:pPr>
      <w:r>
        <w:t>Az azonnali piacon végrehajtott devizaügyletek nyereségét vagy veszteségét, kivéve a külföldi bankjegyek és érmék cseréjét, a kereskedési nyereség vagy veszteség részeként kell feltüntetni. A nemesfém-kereskedelemből vagy a kivezetésből, illetőleg átértékelésből származó nyereséget vagy veszteséget nem lehet a kereskedési nyereség vagy veszteség részeként feltüntetni, hanem e rész 316. bekezdésének megfelelően az „Egyéb működési bevétel” vagy az „Egyéb működési ráfordítás” tételben kell megadni.</w:t>
      </w:r>
    </w:p>
    <w:p w:rsidR="009569C7" w:rsidRPr="00EC4FA2" w:rsidRDefault="00A834F1" w:rsidP="009569C7">
      <w:pPr>
        <w:pStyle w:val="Baseparagraphnumbered"/>
      </w:pPr>
      <w:r>
        <w:t xml:space="preserve">Az „ebből: a valósérték-opció alkalmazásával elszámolt gazdasági fedezeti ügyletek” tétel csak a valamely –az adott alkalomból valós értéken megjelölt – pénzügyi instrumentummal szembeni hitelkockázat egésze vagy annak egy része kezeléséhez felhasznált és az eredménnyel szemben valós értéken értékelt </w:t>
      </w:r>
      <w:proofErr w:type="spellStart"/>
      <w:r>
        <w:t>hitelderivatívából</w:t>
      </w:r>
      <w:proofErr w:type="spellEnd"/>
      <w:r>
        <w:t xml:space="preserve"> eredő nyereségeket vagy veszteségeket tartalmazza az IFRS 9 6.7. bekezdésnek megfelelően. A pénzügyi eszköz amortizált bekerülési értéken értékelt számviteli portfólióból az eredménnyel szemben valós értéken értékelt számviteli portfólióba, vagy a kereskedési céllal tartott portfólióba való átsorolásából eredő nyereségeket és veszteségeket [az IFRS 9 5.6.2. bekezdése] az „ebből: amortizált bekerülési értéken értékelt eszközök átsorolásából származó nyereség és veszteség” tételben kell feltüntetni.</w:t>
      </w:r>
    </w:p>
    <w:p w:rsidR="009569C7" w:rsidRPr="00EC4FA2" w:rsidRDefault="00A834F1" w:rsidP="009569C7">
      <w:pPr>
        <w:pStyle w:val="sub-subtitlenumbered"/>
        <w:jc w:val="both"/>
      </w:pPr>
      <w:bookmarkStart w:id="226" w:name="_Toc361844239"/>
      <w:bookmarkStart w:id="227" w:name="_Toc362359310"/>
      <w:bookmarkStart w:id="228" w:name="_Toc467855240"/>
      <w:bookmarkStart w:id="229" w:name="_Toc485913617"/>
      <w:r>
        <w:t>Kereskedési céllal tartott pénzügyi eszközökből és kötelezettségekből származó nyereség vagy veszteség kockázat szerint (16.4.)</w:t>
      </w:r>
      <w:bookmarkEnd w:id="226"/>
      <w:bookmarkEnd w:id="227"/>
      <w:bookmarkEnd w:id="228"/>
      <w:bookmarkEnd w:id="229"/>
    </w:p>
    <w:p w:rsidR="009569C7" w:rsidRPr="00EC4FA2" w:rsidRDefault="00A834F1" w:rsidP="009569C7">
      <w:pPr>
        <w:pStyle w:val="Baseparagraphnumbered"/>
        <w:tabs>
          <w:tab w:val="left" w:pos="851"/>
        </w:tabs>
        <w:ind w:left="709"/>
      </w:pPr>
      <w:r>
        <w:t>A kereskedési céllal tartott pénzügyi eszközökből és kötelezettségekből származó nyereséget vagy veszteséget kockázat szerint kell részletezni; a részletezés egyes tételei a kitettséghez – többek között a kapcsolódó származtatott ügyletekhez – társuló mögöttes kockázat (kamatláb, részvény, árfolyam, hitel, áru és egyéb) nettó realizált és nem realizált összegei (nyereség csökkentve a veszteséggel). Az árfolyam-különbözetből származó nyereségeket és veszteségeket annál a tételnél kell feltüntetni, amely tartalmazza az átváltott instrumentumból származó többi nyereséget és veszteséget. A származtatott ügyletektől eltérő pénzügyi eszközökön és pénzügyi kötelezettségeken keletkezett nyereséget és veszteséget a következők szerint kell feltüntetni a kockázati kategóriákban:</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Kamatláb: ideértve a hitelekkel és előlegekkel, betétekkel és (tartott vagy kibocsátott) hitelviszonyt megtestesítő értékpapírokkal kapcsolatos ügyletkötést;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Részvény: ideértve az ÁÉKBV-k befektetési jegyeivel és kvótáival, valamint egyéb tulajdoni részesedést megtestesítő instrumentumokkal kapcsolatos ügyletkötést;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lastRenderedPageBreak/>
        <w:t>Devizakereskedés: kizárólag a devizákkal kapcsolatos ügyletkötés tartozik ide;</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Hitelkockázat: ideértve a hitelkockázathoz kapcsolt értékpapírokat;</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Áruk: ez a tétel csak származtatott ügyleteket tartalmaz, mert a kereskedési céllal tartott áruk nyereségét és veszteségét e rész 316. bekezdésének megfelelően az „Egyéb működési bevétel” vagy az „Egyéb működési ráfordítás” tételben kell megadni;</w:t>
      </w:r>
    </w:p>
    <w:p w:rsidR="009569C7" w:rsidRPr="00EC4FA2" w:rsidRDefault="00A834F1" w:rsidP="009569C7">
      <w:pPr>
        <w:numPr>
          <w:ilvl w:val="0"/>
          <w:numId w:val="70"/>
        </w:numPr>
        <w:ind w:left="1134" w:hanging="425"/>
        <w:jc w:val="both"/>
        <w:rPr>
          <w:rFonts w:ascii="Times New Roman" w:hAnsi="Times New Roman"/>
          <w:sz w:val="24"/>
          <w:szCs w:val="24"/>
        </w:rPr>
      </w:pPr>
      <w:r>
        <w:rPr>
          <w:rFonts w:ascii="Times New Roman" w:hAnsi="Times New Roman"/>
          <w:sz w:val="24"/>
        </w:rPr>
        <w:t>Egyéb: azon pénzügyi instrumentumokkal folytatott kereskedés tartozik ide, amelyeket egyéb tételekbe nem lehet besorolni.</w:t>
      </w:r>
    </w:p>
    <w:p w:rsidR="009569C7" w:rsidRPr="00EC4FA2" w:rsidRDefault="00A834F1" w:rsidP="009569C7">
      <w:pPr>
        <w:pStyle w:val="sub-subtitlenumbered"/>
        <w:jc w:val="both"/>
      </w:pPr>
      <w:bookmarkStart w:id="230" w:name="_Toc467855241"/>
      <w:bookmarkStart w:id="231" w:name="_Toc485913618"/>
      <w:r>
        <w:t>Kötelezően az eredménnyel szemben valós értéken értékelt nem kereskedési célú pénzügyi eszközök nyeresége vagy vesztesége instrumentum szerint (16.4.1.)</w:t>
      </w:r>
      <w:bookmarkEnd w:id="230"/>
      <w:bookmarkEnd w:id="231"/>
    </w:p>
    <w:p w:rsidR="009569C7" w:rsidRPr="00EC4FA2" w:rsidRDefault="00A834F1" w:rsidP="009569C7">
      <w:pPr>
        <w:pStyle w:val="Baseparagraphnumbered"/>
        <w:tabs>
          <w:tab w:val="left" w:pos="851"/>
        </w:tabs>
        <w:ind w:left="709"/>
      </w:pPr>
      <w:r>
        <w:t>A kötelezően az eredménnyel szemben valós értéken értékelt nem kereskedési célú pénzügyi eszközök nyereségét és veszteségét az instrumentum típusa szerint kell részletezni; a részletezés egyes tételei a pénzügyi instrumentum nettó realizált és nem realizált összegeit (nyereség csökkentve a veszteséggel) tartalmazzák.</w:t>
      </w:r>
    </w:p>
    <w:p w:rsidR="009569C7" w:rsidRPr="00EC4FA2" w:rsidRDefault="00A834F1" w:rsidP="009569C7">
      <w:pPr>
        <w:pStyle w:val="Baseparagraphnumbered"/>
        <w:tabs>
          <w:tab w:val="left" w:pos="567"/>
        </w:tabs>
      </w:pPr>
      <w:r>
        <w:t>A pénzügyi eszközök amortizált bekerülési értéken értékelt számviteli portfólióból a kötelezően az eredménnyel szemben valós értéken értékelt nem kereskedési célú pénzügyi eszközök közé való átsorolásából származó nyereséget és veszteséget [az IFRS 9 5.6.2. bekezdése] az „ebből: amortizált bekerülési értéken értékelt eszközök átsorolásából származó nyereség és veszteség” tételben kell feltüntetni.</w:t>
      </w:r>
    </w:p>
    <w:p w:rsidR="009569C7" w:rsidRPr="00EC4FA2" w:rsidRDefault="00A834F1" w:rsidP="009569C7">
      <w:pPr>
        <w:pStyle w:val="sub-subtitlenumbered"/>
        <w:jc w:val="both"/>
      </w:pPr>
      <w:bookmarkStart w:id="232" w:name="_Toc361844240"/>
      <w:bookmarkStart w:id="233" w:name="_Toc362359311"/>
      <w:bookmarkStart w:id="234" w:name="_Toc467855242"/>
      <w:bookmarkStart w:id="235" w:name="_Toc485913619"/>
      <w:r>
        <w:t>Az eredménnyel szemben valós értéken értékeltnek megjelölt pénzügyi eszközök és kötelezettségek nyeresége vagy vesztesége instrumentum szerint (16.5.)</w:t>
      </w:r>
      <w:bookmarkEnd w:id="232"/>
      <w:bookmarkEnd w:id="233"/>
      <w:bookmarkEnd w:id="234"/>
      <w:bookmarkEnd w:id="235"/>
    </w:p>
    <w:p w:rsidR="009569C7" w:rsidRPr="00EC4FA2" w:rsidRDefault="00A834F1" w:rsidP="009569C7">
      <w:pPr>
        <w:pStyle w:val="Baseparagraphnumbered"/>
        <w:tabs>
          <w:tab w:val="left" w:pos="851"/>
        </w:tabs>
        <w:ind w:left="709"/>
      </w:pPr>
      <w:r>
        <w:t>Az eredménnyel szemben valós értéken értékeltnek megjelölt pénzügyi eszközök és kötelezettségek nyereségét és veszteségét az instrumentum típusa szerint kell részletezni. Az intézményeknek a nettó realizált és nem realizált nyereséget vagy veszteséget kell megadniuk, és meg kell adni a pénzügyi kötelezettségek hitelkockázat (a hitelfelvevő vagy a kibocsátó saját hitelkockázata) változásából származó valósérték-változásának összegét az időszak alatt, amennyiben a saját hitelkockázat nem kerül feltüntetésre az egyéb átfogó jövedelemben.</w:t>
      </w:r>
    </w:p>
    <w:p w:rsidR="009569C7" w:rsidRPr="00EC4FA2" w:rsidRDefault="00A834F1" w:rsidP="009569C7">
      <w:pPr>
        <w:pStyle w:val="Baseparagraphnumbered"/>
      </w:pPr>
      <w:r>
        <w:t xml:space="preserve">Amennyiben egy valós értéken értékelt </w:t>
      </w:r>
      <w:proofErr w:type="spellStart"/>
      <w:r>
        <w:t>hitelderivatívát</w:t>
      </w:r>
      <w:proofErr w:type="spellEnd"/>
      <w:r>
        <w:t xml:space="preserve"> egy – az adott célból eredménnyel szemben valós értéken megjelölt – pénzügyi instrumentum egészével vagy egy részével szembeni hitelkockázat kezeléséhez használnak fel, a pénzügyi instrumentum megjelöléskori nyereségét vagy veszteségét az „ebből: fedezeti célból az eredménnyel szemben valós értéken értékeltnek megjelölt pénzügyi eszközök és kötelezettségek megjelöléskori nyeresége vagy (–) vesztesége, nettó” tételben kell feltüntetni. Az e pénzügyi instrumentumokon a későbbiekben képződő </w:t>
      </w:r>
      <w:r>
        <w:lastRenderedPageBreak/>
        <w:t xml:space="preserve">valósérték-nyereséget vagy </w:t>
      </w:r>
      <w:proofErr w:type="spellStart"/>
      <w:r>
        <w:t>-veszteséget</w:t>
      </w:r>
      <w:proofErr w:type="spellEnd"/>
      <w:r>
        <w:t xml:space="preserve"> az „ebből: fedezeti célból az eredménnyel szemben valós értéken értékeltnek megjelölt pénzügyi eszközök és kötelezettségek megjelölést követő nyeresége vagy (-) vesztesége, nettó” tételben kell feltüntetni.</w:t>
      </w:r>
    </w:p>
    <w:p w:rsidR="009569C7" w:rsidRPr="00EC4FA2" w:rsidRDefault="00A834F1" w:rsidP="009569C7">
      <w:pPr>
        <w:pStyle w:val="sub-subtitlenumbered"/>
        <w:jc w:val="both"/>
      </w:pPr>
      <w:bookmarkStart w:id="236" w:name="_Toc361844241"/>
      <w:bookmarkStart w:id="237" w:name="_Toc362359312"/>
      <w:bookmarkStart w:id="238" w:name="_Toc467855243"/>
      <w:bookmarkStart w:id="239" w:name="_Toc485913620"/>
      <w:r>
        <w:t>Fedezeti elszámolásokból eredő nyereségek vagy veszteségek (16.6.)</w:t>
      </w:r>
      <w:bookmarkEnd w:id="236"/>
      <w:bookmarkEnd w:id="237"/>
      <w:bookmarkEnd w:id="238"/>
      <w:bookmarkEnd w:id="239"/>
    </w:p>
    <w:p w:rsidR="009569C7" w:rsidRPr="00EC4FA2" w:rsidRDefault="00A834F1" w:rsidP="009569C7">
      <w:pPr>
        <w:pStyle w:val="Baseparagraphnumbered"/>
      </w:pPr>
      <w:r>
        <w:t xml:space="preserve">A fedezeti elszámolásokból eredő valamennyi nyereséget vagy veszteséget – a kamatbevétel vagy </w:t>
      </w:r>
      <w:proofErr w:type="spellStart"/>
      <w:r>
        <w:t>-kamatráfordítás</w:t>
      </w:r>
      <w:proofErr w:type="spellEnd"/>
      <w:r>
        <w:t xml:space="preserve"> kivételével tiszta ár használata esetén – a fedezeti elszámolás típusa szerint kell részletezni: valósérték-fedezeti ügyletek, cash flow-fedezeti ügyletek és külföldi érdekeltségekbe történt nettó befektetések fedezeti ügyletei. A valósérték-fedezeti ügyletekhez kapcsolódó nyereségeket és veszteségeket a fedezeti instrumentum és a fedezett tétel szerint kell részletezni. A fedezeti instrumentumokból eredő nyereség és veszteség nem tartalmazza a fedezeti instrumentumok olyan elemeihez kapcsolódó nyereséget vagy veszteséget, amelyek nem fedezeti instrumentumként megjelöltek az IFRS 9 6.2.4. bekezdésének megfelelően. Ezeket a nem megjelölt fedezeti instrumentumokat e rész 60. bekezdésének megfelelően kell feltüntetni. A fedezeti elszámolásokból eredő nyereségek vagy veszteségek tartalmazzák az ellentétes kockázati pozíciójú tételcsoportok fedezetén (nettó pozíció fedezete) képződött nyereségeket és veszteségeket is. </w:t>
      </w:r>
    </w:p>
    <w:p w:rsidR="009569C7" w:rsidRPr="00EC4FA2" w:rsidRDefault="00A834F1" w:rsidP="009569C7">
      <w:pPr>
        <w:pStyle w:val="Baseparagraphnumbered"/>
      </w:pPr>
      <w:r>
        <w:t>A „Fedezett tétel fedezett kockázatnak tulajdonítható valósérték-változásai” tartalmazzák az olyan fedezett tételekből eredő nyereségeket és veszteségeket is, mely tételek egyéb átfogó jövedelemmel szemben valós értéken értékelt hitelviszonyt megtestesítő instrumentumok az IFRS 9 4.1.2A. bekezdésének megfelelően [az IFRS 9 6.5.8. bekezdése].</w:t>
      </w:r>
    </w:p>
    <w:p w:rsidR="009569C7" w:rsidRPr="00EC4FA2" w:rsidRDefault="00A834F1" w:rsidP="009569C7">
      <w:pPr>
        <w:pStyle w:val="Baseparagraphnumbered"/>
      </w:pPr>
      <w:r>
        <w:t>A BAD alapján kidolgozott nemzeti GAAP szerinti elszámolás esetén az e táblában előírt, fedezettípusok szerinti lebontást olyan mértékben kell feltüntetni, amennyire az megfelel az alkalmazandó számviteli előírásoknak.</w:t>
      </w:r>
    </w:p>
    <w:p w:rsidR="009569C7" w:rsidRPr="00EC4FA2" w:rsidRDefault="00A834F1" w:rsidP="009569C7">
      <w:pPr>
        <w:pStyle w:val="sub-subtitlenumbered"/>
        <w:jc w:val="both"/>
      </w:pPr>
      <w:bookmarkStart w:id="240" w:name="_Toc361844242"/>
      <w:bookmarkStart w:id="241" w:name="_Toc362359313"/>
      <w:bookmarkStart w:id="242" w:name="_Toc467855244"/>
      <w:bookmarkStart w:id="243" w:name="_Toc485913621"/>
      <w:r>
        <w:rPr>
          <w:caps/>
        </w:rPr>
        <w:t>Nem</w:t>
      </w:r>
      <w:r>
        <w:t xml:space="preserve"> pénzügyi eszközök értékvesztése (16.7.)</w:t>
      </w:r>
      <w:bookmarkEnd w:id="240"/>
      <w:bookmarkEnd w:id="241"/>
      <w:bookmarkEnd w:id="242"/>
      <w:bookmarkEnd w:id="243"/>
    </w:p>
    <w:p w:rsidR="009569C7" w:rsidRPr="00EC4FA2" w:rsidRDefault="00A834F1" w:rsidP="009569C7">
      <w:pPr>
        <w:pStyle w:val="Baseparagraphnumbered"/>
        <w:tabs>
          <w:tab w:val="left" w:pos="851"/>
        </w:tabs>
        <w:ind w:left="709"/>
      </w:pPr>
      <w:r>
        <w:t>„Növekedés”</w:t>
      </w:r>
      <w:proofErr w:type="spellStart"/>
      <w:r>
        <w:t>-t</w:t>
      </w:r>
      <w:proofErr w:type="spellEnd"/>
      <w:r>
        <w:t xml:space="preserve"> akkor kell megadni, ha a számviteli portfólió vagy az eszközök fő kategóriája tekintetében az időszakra vonatkozó értékvesztés becslése nettó költségek megjelenítését eredményezi. „Visszaírás”</w:t>
      </w:r>
      <w:proofErr w:type="spellStart"/>
      <w:r>
        <w:t>-t</w:t>
      </w:r>
      <w:proofErr w:type="spellEnd"/>
      <w:r>
        <w:t xml:space="preserve"> akkor kell megadni, ha a számviteli portfólió vagy az eszközök fő kategóriája tekintetében az időszakra vonatkozó értékvesztés becslése nettó bevételek megjelenítését eredményezi.</w:t>
      </w:r>
    </w:p>
    <w:p w:rsidR="009569C7" w:rsidRPr="00EC4FA2" w:rsidRDefault="00A834F1" w:rsidP="009569C7">
      <w:pPr>
        <w:pStyle w:val="subtitlenumbered"/>
        <w:numPr>
          <w:ilvl w:val="0"/>
          <w:numId w:val="17"/>
        </w:numPr>
        <w:jc w:val="both"/>
      </w:pPr>
      <w:bookmarkStart w:id="244" w:name="_Toc361844243"/>
      <w:bookmarkStart w:id="245" w:name="_Toc362359314"/>
      <w:bookmarkStart w:id="246" w:name="_Toc467855245"/>
      <w:bookmarkStart w:id="247" w:name="_Toc485913622"/>
      <w:r>
        <w:t xml:space="preserve">A konszolidáció számviteli </w:t>
      </w:r>
      <w:proofErr w:type="gramStart"/>
      <w:r>
        <w:t>és</w:t>
      </w:r>
      <w:proofErr w:type="gramEnd"/>
      <w:r>
        <w:t xml:space="preserve"> CRR szerinti körének egyeztetése (17.)</w:t>
      </w:r>
      <w:bookmarkEnd w:id="244"/>
      <w:bookmarkEnd w:id="245"/>
      <w:bookmarkEnd w:id="246"/>
      <w:bookmarkEnd w:id="247"/>
    </w:p>
    <w:p w:rsidR="009569C7" w:rsidRPr="00EC4FA2" w:rsidRDefault="00A834F1" w:rsidP="009569C7">
      <w:pPr>
        <w:pStyle w:val="Baseparagraphnumbered"/>
        <w:tabs>
          <w:tab w:val="left" w:pos="851"/>
        </w:tabs>
        <w:ind w:left="709"/>
      </w:pPr>
      <w:r>
        <w:t>„A konszolidáció számviteli köre” tartalmazza az eszközök, kötelezettségek és a saját tőke könyv szerinti értékét, valamint a mérlegen kívüli kitettségek névértékeit a konszolidáció számviteli hatókörének alkalmazásával; beleértve az olyan leányvállalatok konszolidációba történő bevonását is, amelyek biztosítók vagy nem pénzügyi vállalatok. Az intézmények a leányvállalatokat, közös vállalkozásokat, valamint társult vállalkozásokat a pénzügyi kimutatásaikban használt módszerrel számolják el.</w:t>
      </w:r>
    </w:p>
    <w:p w:rsidR="009569C7" w:rsidRPr="00EC4FA2" w:rsidRDefault="00A834F1" w:rsidP="009569C7">
      <w:pPr>
        <w:pStyle w:val="Baseparagraphnumbered"/>
        <w:tabs>
          <w:tab w:val="left" w:pos="851"/>
        </w:tabs>
        <w:ind w:left="709"/>
      </w:pPr>
      <w:r>
        <w:lastRenderedPageBreak/>
        <w:t xml:space="preserve">Ebben a táblában a „Leányvállalatokba, közös vállalkozásokba, és társult vállalkozásokba, történt befektetések” tétel nem tartalmazza a leányvállalatokat, mivel a konszolidáció számviteli körével összhangban az összes leányvállalat teljes körűen konszolidálásra kerül. </w:t>
      </w:r>
    </w:p>
    <w:p w:rsidR="009569C7" w:rsidRPr="00EC4FA2" w:rsidRDefault="00A834F1" w:rsidP="009569C7">
      <w:pPr>
        <w:pStyle w:val="Baseparagraphnumbered"/>
        <w:tabs>
          <w:tab w:val="left" w:pos="851"/>
        </w:tabs>
        <w:ind w:left="709"/>
      </w:pPr>
      <w:r>
        <w:t xml:space="preserve">Az „Eszközök biztosítási és viszontbiztosítási szerződések keretében” tétel tartalmazza a viszontbiztosítás keretében </w:t>
      </w:r>
      <w:proofErr w:type="spellStart"/>
      <w:r>
        <w:t>cedált</w:t>
      </w:r>
      <w:proofErr w:type="spellEnd"/>
      <w:r>
        <w:t xml:space="preserve"> eszközöket, valamint – ha van ilyen – a kibocsátott biztosítási és viszontbiztosítási szerződésekhez kapcsolódó eszközöket.</w:t>
      </w:r>
    </w:p>
    <w:p w:rsidR="009569C7" w:rsidRPr="00EC4FA2" w:rsidRDefault="00A834F1" w:rsidP="009569C7">
      <w:pPr>
        <w:pStyle w:val="Baseparagraphnumbered"/>
        <w:tabs>
          <w:tab w:val="left" w:pos="851"/>
        </w:tabs>
        <w:ind w:left="709"/>
      </w:pPr>
      <w:r>
        <w:t>A „Kötelezettségek biztosítási és viszontbiztosítási szerződések keretében” tartalmazza a kibocsátott biztosítási és viszontbiztosítási szerződések értelmében fennálló kötelezettségeket.</w:t>
      </w:r>
    </w:p>
    <w:p w:rsidR="009569C7" w:rsidRPr="00EC4FA2" w:rsidRDefault="00A834F1" w:rsidP="009569C7">
      <w:pPr>
        <w:pStyle w:val="subtitlenumbered"/>
        <w:jc w:val="both"/>
      </w:pPr>
      <w:bookmarkStart w:id="248" w:name="_Toc467855246"/>
      <w:bookmarkStart w:id="249" w:name="_Toc485913623"/>
      <w:r>
        <w:t>Nemteljesítő kitettségek (18.)</w:t>
      </w:r>
      <w:bookmarkEnd w:id="248"/>
      <w:bookmarkEnd w:id="249"/>
    </w:p>
    <w:p w:rsidR="009569C7" w:rsidRPr="00EC4FA2" w:rsidRDefault="00A834F1" w:rsidP="009569C7">
      <w:pPr>
        <w:pStyle w:val="Baseparagraphnumbered"/>
        <w:tabs>
          <w:tab w:val="left" w:pos="851"/>
        </w:tabs>
        <w:ind w:left="709"/>
      </w:pPr>
      <w:r>
        <w:t xml:space="preserve">A 18. tábla alkalmazásában </w:t>
      </w:r>
      <w:proofErr w:type="spellStart"/>
      <w:r>
        <w:t>nemteljesítő</w:t>
      </w:r>
      <w:proofErr w:type="spellEnd"/>
      <w:r>
        <w:t xml:space="preserve"> kitettségek azok, amelyek az alábbi feltételek bármelyikét teljesítik:</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több mint 90 napos késedelemben lévő lényeges kitettségek; </w:t>
      </w:r>
    </w:p>
    <w:p w:rsidR="009569C7" w:rsidRPr="00EC4FA2" w:rsidRDefault="00A834F1" w:rsidP="009569C7">
      <w:pPr>
        <w:numPr>
          <w:ilvl w:val="0"/>
          <w:numId w:val="52"/>
        </w:numPr>
        <w:ind w:left="1134" w:hanging="425"/>
        <w:jc w:val="both"/>
        <w:rPr>
          <w:rFonts w:ascii="Times New Roman" w:hAnsi="Times New Roman"/>
          <w:sz w:val="24"/>
          <w:szCs w:val="24"/>
        </w:rPr>
      </w:pPr>
      <w:r>
        <w:rPr>
          <w:rFonts w:ascii="Times New Roman" w:hAnsi="Times New Roman"/>
          <w:sz w:val="24"/>
        </w:rPr>
        <w:t xml:space="preserve">az adós vizsgálata alapján valószínűtlen, hogy az adós a biztosíték érvényesítése nélkül képes lesz hitelkötelezettségeinek összegét teljes egészében visszafizetni, függetlenül attól, hogy van-e késedelem, illetve a késedelmes napok számától. </w:t>
      </w:r>
    </w:p>
    <w:p w:rsidR="009569C7" w:rsidRPr="00EC4FA2" w:rsidRDefault="00A834F1" w:rsidP="009569C7">
      <w:pPr>
        <w:pStyle w:val="Baseparagraphnumbered"/>
        <w:tabs>
          <w:tab w:val="left" w:pos="851"/>
        </w:tabs>
        <w:ind w:left="709"/>
      </w:pPr>
      <w:r>
        <w:t xml:space="preserve">Ezen, </w:t>
      </w:r>
      <w:proofErr w:type="spellStart"/>
      <w:r>
        <w:t>nemteljesítő</w:t>
      </w:r>
      <w:proofErr w:type="spellEnd"/>
      <w:r>
        <w:t xml:space="preserve"> kitettségként való besorolás független valamely kitettségnek a CRR 178. cikkével összhangban szabályozási célból </w:t>
      </w:r>
      <w:proofErr w:type="spellStart"/>
      <w:r>
        <w:t>nemteljesítőként</w:t>
      </w:r>
      <w:proofErr w:type="spellEnd"/>
      <w:r>
        <w:t xml:space="preserve"> (</w:t>
      </w:r>
      <w:proofErr w:type="spellStart"/>
      <w:r>
        <w:t>defaulted</w:t>
      </w:r>
      <w:proofErr w:type="spellEnd"/>
      <w:r>
        <w:t xml:space="preserve">), illetve az alkalmazandó számviteli kerettel összhangban értékvesztettként történő besorolásától. </w:t>
      </w:r>
    </w:p>
    <w:p w:rsidR="009569C7" w:rsidRPr="00EC4FA2" w:rsidRDefault="00A834F1" w:rsidP="009569C7">
      <w:pPr>
        <w:pStyle w:val="Baseparagraphnumbered"/>
        <w:tabs>
          <w:tab w:val="left" w:pos="851"/>
        </w:tabs>
        <w:ind w:left="709"/>
      </w:pPr>
      <w:r>
        <w:t xml:space="preserve">Azon kitettségek, amelyek a CRR 178. cikkével összhangban </w:t>
      </w:r>
      <w:proofErr w:type="spellStart"/>
      <w:r>
        <w:t>nemteljesítőnek</w:t>
      </w:r>
      <w:proofErr w:type="spellEnd"/>
      <w:r>
        <w:t xml:space="preserve"> (</w:t>
      </w:r>
      <w:proofErr w:type="spellStart"/>
      <w:r>
        <w:t>defaulted</w:t>
      </w:r>
      <w:proofErr w:type="spellEnd"/>
      <w:r>
        <w:t xml:space="preserve">) vagy az alkalmazandó számviteli kerettel összhangban értékvesztettnek minősülnek, minden esetben </w:t>
      </w:r>
      <w:proofErr w:type="spellStart"/>
      <w:r>
        <w:t>nemteljesítő</w:t>
      </w:r>
      <w:proofErr w:type="spellEnd"/>
      <w:r>
        <w:t xml:space="preserve"> kitettségnek tekintendők. Az IFRS szerinti elszámolás esetén a 18. tábla alkalmazásában az értékvesztett kitettségek azok, amelyekről megállapításra került, hogy értékvesztettek (3. szakasz), ideértve a vásárolt vagy keletkeztetett értékvesztett eszközöket. A 3. szakasztól eltérő értékvesztési szakaszokhoz tartozó kitettségek akkor tekintendők </w:t>
      </w:r>
      <w:proofErr w:type="spellStart"/>
      <w:r>
        <w:t>nemteljesítő</w:t>
      </w:r>
      <w:proofErr w:type="spellEnd"/>
      <w:r>
        <w:t xml:space="preserve"> kitettségnek, ha teljesítik a </w:t>
      </w:r>
      <w:proofErr w:type="spellStart"/>
      <w:r>
        <w:t>nemteljesítő</w:t>
      </w:r>
      <w:proofErr w:type="spellEnd"/>
      <w:r>
        <w:t xml:space="preserve"> kitettséggé minősítés feltételeit. </w:t>
      </w:r>
    </w:p>
    <w:p w:rsidR="009569C7" w:rsidRPr="00EC4FA2" w:rsidRDefault="00A834F1" w:rsidP="009569C7">
      <w:pPr>
        <w:pStyle w:val="Baseparagraphnumbered"/>
        <w:tabs>
          <w:tab w:val="left" w:pos="851"/>
        </w:tabs>
        <w:ind w:left="709"/>
      </w:pPr>
      <w:r>
        <w:t>A kitettségeket teljes összegükön, a biztosítékok figyelembevétele nélkül kell besorolni. A lényegességet a CRR 178. cikkével összhangban kell értékelni.</w:t>
      </w:r>
    </w:p>
    <w:p w:rsidR="009569C7" w:rsidRPr="00EC4FA2" w:rsidRDefault="00A834F1" w:rsidP="009569C7">
      <w:pPr>
        <w:pStyle w:val="Baseparagraphnumbered"/>
        <w:tabs>
          <w:tab w:val="left" w:pos="851"/>
        </w:tabs>
        <w:ind w:left="709"/>
      </w:pPr>
      <w:r>
        <w:t xml:space="preserve">A 18. tábla alkalmazásában „kitettség” az összes hitelviszonyt megtestesítő instrumentum (hitelviszonyt megtestesítő értékpapírok, valamint hitelek és előlegek, amelyek tartalmazzák a központi bankokkal szembeni számlaköveteléseket és egyéb látra szóló betéteket is) és valamennyi mérlegen kívüli kitettség, a kereskedési céllal tartott kitettségeket kivéve. </w:t>
      </w:r>
    </w:p>
    <w:p w:rsidR="009569C7" w:rsidRPr="00EC4FA2" w:rsidRDefault="00A834F1" w:rsidP="009569C7">
      <w:pPr>
        <w:pStyle w:val="Baseparagraphnumbered"/>
        <w:tabs>
          <w:tab w:val="left" w:pos="851"/>
        </w:tabs>
        <w:ind w:left="709"/>
      </w:pPr>
      <w:proofErr w:type="gramStart"/>
      <w:r>
        <w:lastRenderedPageBreak/>
        <w:t xml:space="preserve">A hitelviszonyt megtestesítő instrumentumokat a következő számviteli portfóliókban kell szerepeltetni: a) bekerülési értéken vagy amortizált bekerülési értéken értékelt hitelviszonyt megtestesítő instrumentumok, b) egyéb átfogó jövedelemmel vagy saját tőkével szemben valós értéken értékelt, értékvesztés-elszámolási kötelezettség alá tartozó hitelviszonyt megtestesítő instrumentumok, és c) szigorú </w:t>
      </w:r>
      <w:proofErr w:type="spellStart"/>
      <w:r>
        <w:t>LOCOM-módszer</w:t>
      </w:r>
      <w:proofErr w:type="spellEnd"/>
      <w:r>
        <w:t xml:space="preserve"> szerint, vagy az eredménnyel, illetőleg a saját tőkével szemben valós értéken értékelt, értékvesztés-elszámolási kötelezettség alá nem tartozó hitelviszonyt megtestesítő instrumentumok,</w:t>
      </w:r>
      <w:proofErr w:type="gramEnd"/>
      <w:r>
        <w:t xml:space="preserve"> e rész 233. bekezdésének megfelelően. Minden egyes kategóriát instrumentum és partner szerinti bontásban kell megadni. </w:t>
      </w:r>
    </w:p>
    <w:p w:rsidR="009569C7" w:rsidRPr="00EC4FA2" w:rsidRDefault="00A834F1" w:rsidP="009569C7">
      <w:pPr>
        <w:pStyle w:val="Baseparagraphnumbered"/>
        <w:tabs>
          <w:tab w:val="left" w:pos="851"/>
        </w:tabs>
        <w:ind w:left="709"/>
      </w:pPr>
      <w:r>
        <w:t xml:space="preserve">Az IFRS és a BAD alapján kidolgozott vonatkozó nemzeti GAAP értelmében a mérlegen kívüli kitettségek az alábbi visszavonható és visszavonhatatlan tételeket foglalják magukban: </w:t>
      </w:r>
    </w:p>
    <w:p w:rsidR="009569C7" w:rsidRPr="00EC4FA2" w:rsidRDefault="00A834F1" w:rsidP="009569C7">
      <w:pPr>
        <w:pStyle w:val="Text1"/>
        <w:numPr>
          <w:ilvl w:val="1"/>
          <w:numId w:val="40"/>
        </w:numPr>
        <w:ind w:left="1134" w:hanging="425"/>
      </w:pPr>
      <w:r>
        <w:t>adott hitelnyújtási elkötelezettségek;</w:t>
      </w:r>
    </w:p>
    <w:p w:rsidR="009569C7" w:rsidRPr="00EC4FA2" w:rsidRDefault="00A834F1" w:rsidP="009569C7">
      <w:pPr>
        <w:pStyle w:val="Text1"/>
        <w:numPr>
          <w:ilvl w:val="1"/>
          <w:numId w:val="40"/>
        </w:numPr>
        <w:ind w:left="1134" w:hanging="425"/>
      </w:pPr>
      <w:r>
        <w:t>adott pénzügyi garanciavállalások;</w:t>
      </w:r>
    </w:p>
    <w:p w:rsidR="009569C7" w:rsidRPr="00EC4FA2" w:rsidRDefault="00A834F1" w:rsidP="009569C7">
      <w:pPr>
        <w:pStyle w:val="Text1"/>
        <w:numPr>
          <w:ilvl w:val="1"/>
          <w:numId w:val="40"/>
        </w:numPr>
        <w:ind w:left="1134" w:hanging="425"/>
      </w:pPr>
      <w:r>
        <w:t>egyéb adott elkötelezettségek.</w:t>
      </w:r>
    </w:p>
    <w:p w:rsidR="009569C7" w:rsidRPr="00EC4FA2" w:rsidRDefault="00A834F1" w:rsidP="009569C7">
      <w:pPr>
        <w:pStyle w:val="Baseparagraphnumbered"/>
      </w:pPr>
      <w:r>
        <w:t xml:space="preserve">Az IFRS 5 standardnak megfelelően értékesítésre tartottá minősített hitelviszonyt megtestesítő instrumentumokat külön kell feltüntetni. </w:t>
      </w:r>
    </w:p>
    <w:p w:rsidR="009569C7" w:rsidRPr="00EC4FA2" w:rsidRDefault="00A834F1" w:rsidP="009569C7">
      <w:pPr>
        <w:pStyle w:val="Baseparagraphnumbered"/>
      </w:pPr>
      <w:r>
        <w:t>A 18. táblában a hitelviszonyt megtestesítő instrumentumok vonatkozásában a „bruttó könyv szerinti érték”</w:t>
      </w:r>
      <w:proofErr w:type="spellStart"/>
      <w:r>
        <w:t>-et</w:t>
      </w:r>
      <w:proofErr w:type="spellEnd"/>
      <w:r>
        <w:t xml:space="preserve"> az e melléklet 1. részének 34. bekezdésében meghatározottak szerint kell megadni. A mérlegen kívüli kitettségek tekintetében az e melléklet jelen részének 118. bekezdésében meghatározott névértéket kell megadni.</w:t>
      </w:r>
    </w:p>
    <w:p w:rsidR="009569C7" w:rsidRPr="00EC4FA2" w:rsidRDefault="00A834F1" w:rsidP="009569C7">
      <w:pPr>
        <w:pStyle w:val="Baseparagraphnumbered"/>
      </w:pPr>
      <w:r>
        <w:t>A 18. tábla alkalmazásában valamely kitettség „késedelmes”, ha teljesíti az e rész 96. bekezdésében meghatározott feltételeket.</w:t>
      </w:r>
    </w:p>
    <w:p w:rsidR="009569C7" w:rsidRPr="00EC4FA2" w:rsidRDefault="00A834F1" w:rsidP="009569C7">
      <w:pPr>
        <w:pStyle w:val="Baseparagraphnumbered"/>
        <w:tabs>
          <w:tab w:val="left" w:pos="851"/>
        </w:tabs>
        <w:ind w:left="709"/>
      </w:pPr>
      <w:r>
        <w:t xml:space="preserve"> A 18. tábla alkalmazásában „adós” a CRR 178. cikke értelmében vett ügyfél.</w:t>
      </w:r>
    </w:p>
    <w:p w:rsidR="009569C7" w:rsidRPr="00EC4FA2" w:rsidRDefault="00A834F1" w:rsidP="009569C7">
      <w:pPr>
        <w:pStyle w:val="Baseparagraphnumbered"/>
        <w:tabs>
          <w:tab w:val="left" w:pos="851"/>
        </w:tabs>
        <w:ind w:left="709"/>
      </w:pPr>
      <w:r>
        <w:t xml:space="preserve"> Valamely elkötelezettség névértékéig </w:t>
      </w:r>
      <w:proofErr w:type="spellStart"/>
      <w:r>
        <w:t>nemteljesítő</w:t>
      </w:r>
      <w:proofErr w:type="spellEnd"/>
      <w:r>
        <w:t xml:space="preserve"> kitettségnek tekintendő, ha lehívásakor vagy egyéb felhasználásakor olyan kitettséghez vezetne, amely esetében fennáll annak kockázata, hogy a biztosíték érvényesítése nélkül az nem kerül teljes egészében visszafizetésre. </w:t>
      </w:r>
    </w:p>
    <w:p w:rsidR="009569C7" w:rsidRPr="00EC4FA2" w:rsidRDefault="00A834F1" w:rsidP="009569C7">
      <w:pPr>
        <w:pStyle w:val="Baseparagraphnumbered"/>
        <w:tabs>
          <w:tab w:val="left" w:pos="851"/>
        </w:tabs>
        <w:ind w:left="709"/>
      </w:pPr>
      <w:r>
        <w:t xml:space="preserve"> Az adott pénzügyi garanciavállalások névértékükig </w:t>
      </w:r>
      <w:proofErr w:type="spellStart"/>
      <w:r>
        <w:t>nemteljesítő</w:t>
      </w:r>
      <w:proofErr w:type="spellEnd"/>
      <w:r>
        <w:t xml:space="preserve"> kitettségnek tekintendők, ha fennáll annak a kockázata, hogy a garantált fél lehívja a pénzügyi garanciát, ideértve különösen azokat az eseteket, amikor az alapul szolgáló garantált kitettség megfelel a </w:t>
      </w:r>
      <w:proofErr w:type="spellStart"/>
      <w:r>
        <w:t>nemteljesítővé</w:t>
      </w:r>
      <w:proofErr w:type="spellEnd"/>
      <w:r>
        <w:t xml:space="preserve"> minősítés 213. bekezdésben említett feltételeinek. Amennyiben a garantált fél késedelmes a pénzügyi garanciaszerződés esedékes összegével, az adatszolgáltató intézménynek meg kell vizsgálnia, hogy az így keletkező követelés teljesíti-e a </w:t>
      </w:r>
      <w:proofErr w:type="spellStart"/>
      <w:r>
        <w:t>nemteljesítővé</w:t>
      </w:r>
      <w:proofErr w:type="spellEnd"/>
      <w:r>
        <w:t xml:space="preserve"> minősítés feltételeit.</w:t>
      </w:r>
    </w:p>
    <w:p w:rsidR="009569C7" w:rsidRPr="00EC4FA2" w:rsidRDefault="00A834F1" w:rsidP="009569C7">
      <w:pPr>
        <w:pStyle w:val="Baseparagraphnumbered"/>
        <w:tabs>
          <w:tab w:val="left" w:pos="851"/>
        </w:tabs>
        <w:ind w:left="709"/>
      </w:pPr>
      <w:r>
        <w:t xml:space="preserve"> A 213. bekezdéssel összhangban a </w:t>
      </w:r>
      <w:proofErr w:type="spellStart"/>
      <w:r>
        <w:t>nemteljesítőként</w:t>
      </w:r>
      <w:proofErr w:type="spellEnd"/>
      <w:r>
        <w:t xml:space="preserve"> besorolt kitettségeket vagy egyedi alapon (ügyletalapon) vagy egy adott adós teljes kitettsége </w:t>
      </w:r>
      <w:r>
        <w:lastRenderedPageBreak/>
        <w:t xml:space="preserve">tekintetében (ügyfélalapon) kell </w:t>
      </w:r>
      <w:proofErr w:type="spellStart"/>
      <w:r>
        <w:t>nemteljesítőként</w:t>
      </w:r>
      <w:proofErr w:type="spellEnd"/>
      <w:r>
        <w:t xml:space="preserve"> besorolni. Az egyedi alapon vagy egy adott adós tekintetében </w:t>
      </w:r>
      <w:proofErr w:type="spellStart"/>
      <w:r>
        <w:t>nemteljesítő</w:t>
      </w:r>
      <w:proofErr w:type="spellEnd"/>
      <w:r>
        <w:t xml:space="preserve"> kitettségként történő besoroláshoz a </w:t>
      </w:r>
      <w:proofErr w:type="spellStart"/>
      <w:r>
        <w:t>nemteljesítő</w:t>
      </w:r>
      <w:proofErr w:type="spellEnd"/>
      <w:r>
        <w:t xml:space="preserve"> kitettségek különböző típusaira az alábbi besorolási módszereket kell alkalmazni: </w:t>
      </w:r>
    </w:p>
    <w:p w:rsidR="009569C7" w:rsidRPr="00EC4FA2" w:rsidRDefault="00A834F1" w:rsidP="009569C7">
      <w:pPr>
        <w:pStyle w:val="Text1"/>
        <w:numPr>
          <w:ilvl w:val="2"/>
          <w:numId w:val="40"/>
        </w:numPr>
        <w:ind w:left="1134" w:hanging="425"/>
      </w:pPr>
      <w:r>
        <w:t xml:space="preserve">a CRR 178. cikkével összhangban </w:t>
      </w:r>
      <w:proofErr w:type="spellStart"/>
      <w:r>
        <w:t>nemteljesítőnek</w:t>
      </w:r>
      <w:proofErr w:type="spellEnd"/>
      <w:r>
        <w:t xml:space="preserve"> (</w:t>
      </w:r>
      <w:proofErr w:type="spellStart"/>
      <w:r>
        <w:t>defaulted</w:t>
      </w:r>
      <w:proofErr w:type="spellEnd"/>
      <w:r>
        <w:t xml:space="preserve">) minősített </w:t>
      </w:r>
      <w:proofErr w:type="spellStart"/>
      <w:r>
        <w:t>nemteljesítő</w:t>
      </w:r>
      <w:proofErr w:type="spellEnd"/>
      <w:r>
        <w:t xml:space="preserve"> kitettségekre az említett cikk szerinti besorolási módszert; </w:t>
      </w:r>
    </w:p>
    <w:p w:rsidR="009569C7" w:rsidRPr="00EC4FA2" w:rsidRDefault="00A834F1" w:rsidP="009569C7">
      <w:pPr>
        <w:pStyle w:val="Text1"/>
        <w:numPr>
          <w:ilvl w:val="2"/>
          <w:numId w:val="40"/>
        </w:numPr>
        <w:ind w:left="1134" w:hanging="425"/>
      </w:pPr>
      <w:r>
        <w:t xml:space="preserve">az alkalmazandó számviteli keret értelmében értékvesztés miatt </w:t>
      </w:r>
      <w:proofErr w:type="spellStart"/>
      <w:r>
        <w:t>nemteljesítőként</w:t>
      </w:r>
      <w:proofErr w:type="spellEnd"/>
      <w:r>
        <w:t xml:space="preserve"> besorolt kitettségekre az alkalmazandó számviteli keret </w:t>
      </w:r>
      <w:proofErr w:type="spellStart"/>
      <w:r>
        <w:t>értékvesztésképzésre</w:t>
      </w:r>
      <w:proofErr w:type="spellEnd"/>
      <w:r>
        <w:t xml:space="preserve"> vonatkozó kritériumait;</w:t>
      </w:r>
    </w:p>
    <w:p w:rsidR="009569C7" w:rsidRPr="00EC4FA2" w:rsidRDefault="00A834F1" w:rsidP="009569C7">
      <w:pPr>
        <w:pStyle w:val="Text1"/>
        <w:numPr>
          <w:ilvl w:val="2"/>
          <w:numId w:val="40"/>
        </w:numPr>
        <w:ind w:left="1134" w:hanging="425"/>
      </w:pPr>
      <w:r>
        <w:t xml:space="preserve">azon egyéb </w:t>
      </w:r>
      <w:proofErr w:type="spellStart"/>
      <w:r>
        <w:t>nemteljesítő</w:t>
      </w:r>
      <w:proofErr w:type="spellEnd"/>
      <w:r>
        <w:t xml:space="preserve"> kitettségekre, amelyeket sem </w:t>
      </w:r>
      <w:proofErr w:type="spellStart"/>
      <w:r>
        <w:t>nemteljesítőként</w:t>
      </w:r>
      <w:proofErr w:type="spellEnd"/>
      <w:r>
        <w:t xml:space="preserve"> (</w:t>
      </w:r>
      <w:proofErr w:type="spellStart"/>
      <w:r>
        <w:t>defaulted</w:t>
      </w:r>
      <w:proofErr w:type="spellEnd"/>
      <w:r>
        <w:t xml:space="preserve">), sem értékvesztettként nem soroltak be, a CRR 178. cikkének </w:t>
      </w:r>
      <w:proofErr w:type="spellStart"/>
      <w:r>
        <w:t>nemteljesítő</w:t>
      </w:r>
      <w:proofErr w:type="spellEnd"/>
      <w:r>
        <w:t xml:space="preserve"> (</w:t>
      </w:r>
      <w:proofErr w:type="spellStart"/>
      <w:r>
        <w:t>defaulted</w:t>
      </w:r>
      <w:proofErr w:type="spellEnd"/>
      <w:r>
        <w:t xml:space="preserve">) kitettségekre vonatkozó rendelkezéseit. </w:t>
      </w:r>
    </w:p>
    <w:p w:rsidR="009569C7" w:rsidRPr="00EC4FA2" w:rsidRDefault="00A834F1" w:rsidP="009569C7">
      <w:pPr>
        <w:pStyle w:val="Baseparagraphnumbered"/>
        <w:tabs>
          <w:tab w:val="left" w:pos="851"/>
        </w:tabs>
        <w:ind w:left="709"/>
      </w:pPr>
      <w:r>
        <w:t xml:space="preserve"> Amennyiben valamely intézmény valamely adóssal szembeni, mérleg szerinti kitettségei 90 napon túl késedelmesek és a késedelmes kitettségek bruttó könyv szerinti értéke meghaladja az adott adóssal szembeni valamennyi mérleg szerinti kitettség bruttó könyv szerinti értékének 20 %-át, az adott adóssal szembeni valamennyi mérleg szerinti és mérlegen kívüli kitettség </w:t>
      </w:r>
      <w:proofErr w:type="spellStart"/>
      <w:r>
        <w:t>nemteljesítőnek</w:t>
      </w:r>
      <w:proofErr w:type="spellEnd"/>
      <w:r>
        <w:t xml:space="preserve"> tekintendő. Amennyiben az adós egy adóscsoporthoz tartozik, meg kell vizsgálni, hogy a csoportba tartozó más gazdálkodó egységekkel szembeni kitettségeket is </w:t>
      </w:r>
      <w:proofErr w:type="spellStart"/>
      <w:r>
        <w:t>nemteljesítőnek</w:t>
      </w:r>
      <w:proofErr w:type="spellEnd"/>
      <w:r>
        <w:t xml:space="preserve"> kell-e tekinteni, amennyiben azokat még nem minősítették értékvesztettnek vagy a CRR 178. cikkével összhangban </w:t>
      </w:r>
      <w:proofErr w:type="spellStart"/>
      <w:r>
        <w:t>nemteljesítőnek</w:t>
      </w:r>
      <w:proofErr w:type="spellEnd"/>
      <w:r>
        <w:t xml:space="preserve"> (</w:t>
      </w:r>
      <w:proofErr w:type="spellStart"/>
      <w:r>
        <w:t>defaulted</w:t>
      </w:r>
      <w:proofErr w:type="spellEnd"/>
      <w:r>
        <w:t xml:space="preserve">), az olyan kitettségek kivételével, amelyek tekintetében a követelés elismerését érintő vita egyedinek tekinthető és nem kapcsolódik az ügyfél fizetőképességéhez. </w:t>
      </w:r>
    </w:p>
    <w:p w:rsidR="009569C7" w:rsidRPr="00EC4FA2" w:rsidRDefault="00A834F1" w:rsidP="009569C7">
      <w:pPr>
        <w:pStyle w:val="Baseparagraphnumbered"/>
      </w:pPr>
      <w:r>
        <w:t xml:space="preserve">Valamely kitettség </w:t>
      </w:r>
      <w:proofErr w:type="spellStart"/>
      <w:r>
        <w:t>nemteljesítő</w:t>
      </w:r>
      <w:proofErr w:type="spellEnd"/>
      <w:r>
        <w:t xml:space="preserve"> besorolása megszűnik, ha az alábbi feltételek mindegyike teljesül:</w:t>
      </w:r>
    </w:p>
    <w:p w:rsidR="009569C7" w:rsidRPr="00EC4FA2" w:rsidRDefault="00A834F1" w:rsidP="009569C7">
      <w:pPr>
        <w:pStyle w:val="Text1"/>
        <w:numPr>
          <w:ilvl w:val="1"/>
          <w:numId w:val="41"/>
        </w:numPr>
        <w:tabs>
          <w:tab w:val="left" w:pos="1276"/>
        </w:tabs>
        <w:ind w:left="1134" w:hanging="426"/>
      </w:pPr>
      <w:r>
        <w:t xml:space="preserve">a kitettség teljesíti az adatszolgáltató intézmény által az értékvesztett és </w:t>
      </w:r>
      <w:proofErr w:type="spellStart"/>
      <w:r>
        <w:t>nemteljesítő</w:t>
      </w:r>
      <w:proofErr w:type="spellEnd"/>
      <w:r>
        <w:t xml:space="preserve"> (</w:t>
      </w:r>
      <w:proofErr w:type="spellStart"/>
      <w:r>
        <w:t>defaulted</w:t>
      </w:r>
      <w:proofErr w:type="spellEnd"/>
      <w:r>
        <w:t>) besorolás megszüntetésére az alkalmazandó számviteli kerettel, illetőleg a CRR 178. cikkével összhangban alkalmazott kilépési feltételeket;</w:t>
      </w:r>
    </w:p>
    <w:p w:rsidR="009569C7" w:rsidRPr="00EC4FA2" w:rsidRDefault="00A834F1" w:rsidP="009569C7">
      <w:pPr>
        <w:pStyle w:val="Text1"/>
        <w:numPr>
          <w:ilvl w:val="1"/>
          <w:numId w:val="41"/>
        </w:numPr>
        <w:tabs>
          <w:tab w:val="left" w:pos="1276"/>
        </w:tabs>
        <w:ind w:left="1134" w:hanging="426"/>
      </w:pPr>
      <w:r>
        <w:t>az adós helyzete olyan mértékben javult, ami valószínűvé teszi az eredeti, illetve adott esetben a módosított feltételek szerinti, teljes visszafizetést;</w:t>
      </w:r>
    </w:p>
    <w:p w:rsidR="009569C7" w:rsidRPr="00EC4FA2" w:rsidRDefault="00A834F1" w:rsidP="009569C7">
      <w:pPr>
        <w:pStyle w:val="Text1"/>
        <w:numPr>
          <w:ilvl w:val="1"/>
          <w:numId w:val="41"/>
        </w:numPr>
        <w:tabs>
          <w:tab w:val="left" w:pos="1276"/>
        </w:tabs>
        <w:ind w:left="1134" w:hanging="426"/>
      </w:pPr>
      <w:r>
        <w:t xml:space="preserve">az adósnak nincs 90 napot meghaladó fizetési késedelme. </w:t>
      </w:r>
    </w:p>
    <w:p w:rsidR="009569C7" w:rsidRPr="00EC4FA2" w:rsidRDefault="00A834F1" w:rsidP="009569C7">
      <w:pPr>
        <w:pStyle w:val="Baseparagraphnumbered"/>
      </w:pPr>
      <w:r>
        <w:t xml:space="preserve">Ha a jelen melléklet e része 228. bekezdésének a), b) és c) pontja szerinti feltételek nem teljesülnek, a kitettséget továbbra is </w:t>
      </w:r>
      <w:proofErr w:type="spellStart"/>
      <w:r>
        <w:t>nemteljesítőnek</w:t>
      </w:r>
      <w:proofErr w:type="spellEnd"/>
      <w:r>
        <w:t xml:space="preserve"> kell tekinteni, akkor is, ha a kitettség teljesíti az adatszolgáltató intézmény által az értékvesztett és </w:t>
      </w:r>
      <w:proofErr w:type="spellStart"/>
      <w:r>
        <w:t>nemteljesítő</w:t>
      </w:r>
      <w:proofErr w:type="spellEnd"/>
      <w:r>
        <w:t xml:space="preserve"> (</w:t>
      </w:r>
      <w:proofErr w:type="spellStart"/>
      <w:r>
        <w:t>defaulted</w:t>
      </w:r>
      <w:proofErr w:type="spellEnd"/>
      <w:r>
        <w:t xml:space="preserve">) besorolás megszüntetésére az alkalmazandó számviteli kerettel, illetőleg a CRR 178. cikkével összhangban alkalmazott feltételeket. </w:t>
      </w:r>
    </w:p>
    <w:p w:rsidR="009569C7" w:rsidRPr="00EC4FA2" w:rsidRDefault="00A834F1" w:rsidP="009569C7">
      <w:pPr>
        <w:pStyle w:val="Baseparagraphnumbered"/>
      </w:pPr>
      <w:r>
        <w:t xml:space="preserve">A </w:t>
      </w:r>
      <w:proofErr w:type="spellStart"/>
      <w:r>
        <w:t>nemteljesítő</w:t>
      </w:r>
      <w:proofErr w:type="spellEnd"/>
      <w:r>
        <w:t xml:space="preserve"> kitettségnek az IFRS 5 standardnak megfelelően értékesítésre tartott befektetett eszközként való besorolása nem szünteti meg a kitettség </w:t>
      </w:r>
      <w:proofErr w:type="spellStart"/>
      <w:r>
        <w:t>nemteljesítő</w:t>
      </w:r>
      <w:proofErr w:type="spellEnd"/>
      <w:r>
        <w:t xml:space="preserve"> kitettségként való besorolását.</w:t>
      </w:r>
    </w:p>
    <w:p w:rsidR="009569C7" w:rsidRPr="00EC4FA2" w:rsidRDefault="00A834F1" w:rsidP="009569C7">
      <w:pPr>
        <w:pStyle w:val="Baseparagraphnumbered"/>
        <w:tabs>
          <w:tab w:val="left" w:pos="851"/>
        </w:tabs>
        <w:ind w:left="709"/>
      </w:pPr>
      <w:r>
        <w:lastRenderedPageBreak/>
        <w:t xml:space="preserve"> A </w:t>
      </w:r>
      <w:proofErr w:type="spellStart"/>
      <w:r>
        <w:t>nemteljesítő</w:t>
      </w:r>
      <w:proofErr w:type="spellEnd"/>
      <w:r>
        <w:t xml:space="preserve"> kitettségre alkalmazott átstrukturálási intézkedés nem szünteti meg e kitettség </w:t>
      </w:r>
      <w:proofErr w:type="spellStart"/>
      <w:r>
        <w:t>nemteljesítő</w:t>
      </w:r>
      <w:proofErr w:type="spellEnd"/>
      <w:r>
        <w:t xml:space="preserve"> státuszát. Amennyiben átstrukturálási intézkedéssel érintett kitettségek a 262. bekezdésben említetteknek megfelelően </w:t>
      </w:r>
      <w:proofErr w:type="spellStart"/>
      <w:r>
        <w:t>nemteljesítők</w:t>
      </w:r>
      <w:proofErr w:type="spellEnd"/>
      <w:r>
        <w:t xml:space="preserve">, ezeket a kitettségeket úgy kell tekinteni, hogy </w:t>
      </w:r>
      <w:proofErr w:type="spellStart"/>
      <w:r>
        <w:t>nemteljesítő</w:t>
      </w:r>
      <w:proofErr w:type="spellEnd"/>
      <w:r>
        <w:t xml:space="preserve"> státuszuk megszűnik, ha az alábbi feltételek mindegyike teljesül:</w:t>
      </w:r>
    </w:p>
    <w:p w:rsidR="009569C7" w:rsidRPr="00EC4FA2" w:rsidRDefault="00A834F1" w:rsidP="009569C7">
      <w:pPr>
        <w:pStyle w:val="Text1"/>
        <w:numPr>
          <w:ilvl w:val="0"/>
          <w:numId w:val="51"/>
        </w:numPr>
        <w:ind w:left="1134"/>
      </w:pPr>
      <w:r>
        <w:t xml:space="preserve">az adatszolgáltató intézmény a kitettséget nem tekinti értékvesztettnek vagy </w:t>
      </w:r>
      <w:proofErr w:type="spellStart"/>
      <w:r>
        <w:t>nemteljesítőnek</w:t>
      </w:r>
      <w:proofErr w:type="spellEnd"/>
      <w:r>
        <w:t xml:space="preserve"> (</w:t>
      </w:r>
      <w:proofErr w:type="spellStart"/>
      <w:r>
        <w:t>defaulted</w:t>
      </w:r>
      <w:proofErr w:type="spellEnd"/>
      <w:r>
        <w:t xml:space="preserve">) az alkalmazandó számviteli keret, illetőleg a CRR 178. cikke szerint; </w:t>
      </w:r>
    </w:p>
    <w:p w:rsidR="009569C7" w:rsidRPr="00EC4FA2" w:rsidRDefault="00A834F1" w:rsidP="009569C7">
      <w:pPr>
        <w:pStyle w:val="Text1"/>
        <w:numPr>
          <w:ilvl w:val="0"/>
          <w:numId w:val="51"/>
        </w:numPr>
        <w:ind w:left="1134"/>
      </w:pPr>
      <w:r>
        <w:t xml:space="preserve">egy év telt el az átstrukturálási intézkedések alkalmazásának időpontja és a kitettségek </w:t>
      </w:r>
      <w:proofErr w:type="spellStart"/>
      <w:r>
        <w:t>nemteljesítőként</w:t>
      </w:r>
      <w:proofErr w:type="spellEnd"/>
      <w:r>
        <w:t xml:space="preserve"> való besorolásának időpontja közül a későbbitől számítva;</w:t>
      </w:r>
    </w:p>
    <w:p w:rsidR="009569C7" w:rsidRPr="00EC4FA2" w:rsidRDefault="00A834F1" w:rsidP="009569C7">
      <w:pPr>
        <w:pStyle w:val="Text1"/>
        <w:numPr>
          <w:ilvl w:val="0"/>
          <w:numId w:val="51"/>
        </w:numPr>
        <w:ind w:left="1134"/>
      </w:pPr>
      <w:r>
        <w:t xml:space="preserve">az átstrukturálást követően nem merült fel késedelem, illetve nem állnak fenn aggályok a kitettség átstrukturálás utáni feltételekkel összhangban történő, teljes visszafizetésével kapcsolatban. Az intézmény az adós pénzügyi helyzetének vizsgálatát követően állapítja meg, hogy állnak-e fenn aggályok. Úgy tekinthető, hogy nem állnak fenn aggályok, ha az adós az átstrukturálás utáni feltételekkel összhangban lévő rendszeres fizetései révén visszafizette a korábban késedelmes összeg egészét (ha volt késedelmes összeg), illetve az átstrukturálás keretében leírt összeget (ha nem volt késedelmes összeg) vagy az adós más módon bizonyította, hogy képes megfelelni az átstrukturálás utáni feltételeknek. </w:t>
      </w:r>
    </w:p>
    <w:p w:rsidR="009569C7" w:rsidRPr="00EC4FA2" w:rsidRDefault="00A834F1" w:rsidP="009569C7">
      <w:pPr>
        <w:pStyle w:val="Text1"/>
        <w:ind w:left="709" w:firstLine="1"/>
      </w:pPr>
      <w:r>
        <w:t xml:space="preserve">Az a), b) és c) pontban említett speciális kivezetési feltételeket az adatszolgáltató intézmény által az alkalmazandó számviteli kerettel, illetve a CRR 178. cikkével összhangban alkalmazott értékvesztési és </w:t>
      </w:r>
      <w:proofErr w:type="spellStart"/>
      <w:r>
        <w:t>nemteljesítő</w:t>
      </w:r>
      <w:proofErr w:type="spellEnd"/>
      <w:r>
        <w:t xml:space="preserve"> (</w:t>
      </w:r>
      <w:proofErr w:type="spellStart"/>
      <w:r>
        <w:t>defaulted</w:t>
      </w:r>
      <w:proofErr w:type="spellEnd"/>
      <w:r>
        <w:t>) besorolás megszüntetésére vonatkozó feltételeken felül kell alkalmazni.</w:t>
      </w:r>
    </w:p>
    <w:p w:rsidR="009569C7" w:rsidRPr="00EC4FA2" w:rsidRDefault="00A834F1" w:rsidP="009569C7">
      <w:pPr>
        <w:pStyle w:val="Baseparagraphnumbered"/>
        <w:tabs>
          <w:tab w:val="left" w:pos="851"/>
        </w:tabs>
        <w:ind w:left="709"/>
      </w:pPr>
      <w:r>
        <w:t xml:space="preserve">Amennyiben az e melléklet jelen részének 231. bekezdésében említett feltételek a szóban forgó bekezdés b) pontjában meghatározott egy éves időszak végén nem teljesülnek, a kitettséget továbbra is átstrukturált </w:t>
      </w:r>
      <w:proofErr w:type="spellStart"/>
      <w:r>
        <w:t>nemteljesítő</w:t>
      </w:r>
      <w:proofErr w:type="spellEnd"/>
      <w:r>
        <w:t xml:space="preserve"> kitettségnek kell tekinteni. A feltételeket legalább negyedévente meg kell vizsgálni.</w:t>
      </w:r>
    </w:p>
    <w:p w:rsidR="009569C7" w:rsidRPr="00EC4FA2" w:rsidRDefault="00A834F1" w:rsidP="00152278">
      <w:pPr>
        <w:pStyle w:val="Baseparagraphnumbered"/>
      </w:pPr>
      <w:r>
        <w:t xml:space="preserve">Az e melléklet 1. részének 15. bekezdésében felsorolt, IFRS szerinti, továbbá az e melléklet 1. részének 16. bekezdésében felsorolt, a BAD alapján kidolgozott vonatkozó nemzeti GAAP szerinti számviteli portfóliókat a 18. táblában az alábbiaknak megfelelően kell jelenteni: </w:t>
      </w:r>
    </w:p>
    <w:p w:rsidR="009569C7" w:rsidRPr="00EC4FA2" w:rsidRDefault="00A834F1" w:rsidP="009569C7">
      <w:pPr>
        <w:pStyle w:val="Baseparagraphnumbered"/>
        <w:numPr>
          <w:ilvl w:val="0"/>
          <w:numId w:val="0"/>
        </w:numPr>
        <w:ind w:left="1134" w:hanging="425"/>
      </w:pPr>
      <w:proofErr w:type="gramStart"/>
      <w:r>
        <w:t>a</w:t>
      </w:r>
      <w:proofErr w:type="gramEnd"/>
      <w:r>
        <w:t>) „</w:t>
      </w:r>
      <w:proofErr w:type="spellStart"/>
      <w:r>
        <w:t>A</w:t>
      </w:r>
      <w:proofErr w:type="spellEnd"/>
      <w:r>
        <w:t xml:space="preserve"> bekerülési értéken vagy amortizált bekerülési értéken értékelt hitelviszonyt megtestesítő instrumentumok” a következők valamelyikéhez tartozó hitelviszonyt megtestesítő instrumentumokat tartalmazzák:</w:t>
      </w:r>
    </w:p>
    <w:p w:rsidR="009569C7" w:rsidRPr="00EC4FA2" w:rsidRDefault="00A834F1" w:rsidP="009569C7">
      <w:pPr>
        <w:pStyle w:val="Baseparagraphnumbered"/>
        <w:numPr>
          <w:ilvl w:val="0"/>
          <w:numId w:val="0"/>
        </w:numPr>
        <w:ind w:left="1440"/>
      </w:pPr>
      <w:proofErr w:type="gramStart"/>
      <w:r>
        <w:t>i.</w:t>
      </w:r>
      <w:proofErr w:type="gramEnd"/>
      <w:r>
        <w:t xml:space="preserve"> „amortizált bekerülési értéken értékelt pénzügyi eszközök” (IFRS);</w:t>
      </w:r>
    </w:p>
    <w:p w:rsidR="009569C7" w:rsidRPr="00EC4FA2" w:rsidRDefault="00A834F1" w:rsidP="009569C7">
      <w:pPr>
        <w:pStyle w:val="Baseparagraphnumbered"/>
        <w:numPr>
          <w:ilvl w:val="0"/>
          <w:numId w:val="0"/>
        </w:numPr>
        <w:ind w:left="1440"/>
      </w:pPr>
      <w:proofErr w:type="spellStart"/>
      <w:r>
        <w:t>ii</w:t>
      </w:r>
      <w:proofErr w:type="spellEnd"/>
      <w:r>
        <w:t>. „</w:t>
      </w:r>
      <w:proofErr w:type="spellStart"/>
      <w:r>
        <w:t>Bekerülésiérték-módszerrel</w:t>
      </w:r>
      <w:proofErr w:type="spellEnd"/>
      <w:r>
        <w:t xml:space="preserve"> értékelt nem kereskedési célú, nem származtatott pénzügyi eszközök”, ideértve a mérsékelt </w:t>
      </w:r>
      <w:proofErr w:type="spellStart"/>
      <w:r>
        <w:t>LOCOM-módszer</w:t>
      </w:r>
      <w:proofErr w:type="spellEnd"/>
      <w:r>
        <w:t xml:space="preserve"> szerint értékelt hitelviszonyt megtestesítő instrumentumokat (a BAD alapján kidolgozott nemzeti GAAP);</w:t>
      </w:r>
    </w:p>
    <w:p w:rsidR="009569C7" w:rsidRPr="00EC4FA2" w:rsidRDefault="00A834F1" w:rsidP="009569C7">
      <w:pPr>
        <w:pStyle w:val="Baseparagraphnumbered"/>
        <w:numPr>
          <w:ilvl w:val="0"/>
          <w:numId w:val="0"/>
        </w:numPr>
        <w:ind w:left="1440"/>
      </w:pPr>
      <w:proofErr w:type="spellStart"/>
      <w:r>
        <w:lastRenderedPageBreak/>
        <w:t>iii</w:t>
      </w:r>
      <w:proofErr w:type="spellEnd"/>
      <w:r>
        <w:t xml:space="preserve">. „Egyéb nem kereskedési célú, nem származtatott pénzügyi eszközök”, kivéve a szigorú </w:t>
      </w:r>
      <w:proofErr w:type="spellStart"/>
      <w:r>
        <w:t>LOCOM-módszer</w:t>
      </w:r>
      <w:proofErr w:type="spellEnd"/>
      <w:r>
        <w:t xml:space="preserve"> szerint értékelt hitelviszonyt megtestesítő instrumentumokat (a BAD alapján kidolgozott nemzeti GAAP); </w:t>
      </w:r>
    </w:p>
    <w:p w:rsidR="009569C7" w:rsidRPr="00EC4FA2" w:rsidRDefault="00A834F1" w:rsidP="009569C7">
      <w:pPr>
        <w:pStyle w:val="Baseparagraphnumbered"/>
        <w:numPr>
          <w:ilvl w:val="0"/>
          <w:numId w:val="0"/>
        </w:numPr>
        <w:ind w:left="1134" w:hanging="425"/>
      </w:pPr>
      <w:r>
        <w:t>b) „Az egyéb átfogó jövedelemmel vagy a saját tőkével szemben valós értéken értékelt, értékvesztés-elszámolási kötelezettség alá tartozó hitelviszonyt megtestesítő instrumentumok” a következők bármelyikébe tartozó hitelviszonyt megtestesítő instrumentumokat foglalják magukban:</w:t>
      </w:r>
    </w:p>
    <w:p w:rsidR="009569C7" w:rsidRPr="00EC4FA2" w:rsidRDefault="00A834F1" w:rsidP="009569C7">
      <w:pPr>
        <w:pStyle w:val="Baseparagraphnumbered"/>
        <w:numPr>
          <w:ilvl w:val="0"/>
          <w:numId w:val="0"/>
        </w:numPr>
        <w:ind w:left="1440"/>
      </w:pPr>
      <w:proofErr w:type="gramStart"/>
      <w:r>
        <w:t>i.</w:t>
      </w:r>
      <w:proofErr w:type="gramEnd"/>
      <w:r>
        <w:t xml:space="preserve"> „az egyéb átfogó jövedelemmel szemben valós értéken értékelt pénzügyi eszközök” (IFRS);</w:t>
      </w:r>
    </w:p>
    <w:p w:rsidR="009569C7" w:rsidRPr="00EC4FA2" w:rsidRDefault="00A834F1" w:rsidP="009569C7">
      <w:pPr>
        <w:pStyle w:val="Baseparagraphnumbered"/>
        <w:numPr>
          <w:ilvl w:val="0"/>
          <w:numId w:val="0"/>
        </w:numPr>
        <w:ind w:left="1440"/>
      </w:pPr>
      <w:proofErr w:type="spellStart"/>
      <w:r>
        <w:t>ii</w:t>
      </w:r>
      <w:proofErr w:type="spellEnd"/>
      <w:r>
        <w:t>. „a saját tőkével szemben valós értéken értékelt, nem kereskedési célú, nem származtatott pénzügyi eszközök”, ahol az ebbe az értékelési kategóriába besorolt instrumentumok értékvesztés-elszámolási kötelezettség hatálya alá tartozhatnak a BAD alapján kidolgozott nemzeti GAAP szerinti alkalmazandó számviteli keretnek megfelelően;</w:t>
      </w:r>
    </w:p>
    <w:p w:rsidR="009569C7" w:rsidRPr="00EC4FA2" w:rsidRDefault="00A834F1" w:rsidP="009569C7">
      <w:pPr>
        <w:pStyle w:val="Baseparagraphnumbered"/>
        <w:numPr>
          <w:ilvl w:val="0"/>
          <w:numId w:val="0"/>
        </w:numPr>
        <w:ind w:left="1134" w:hanging="425"/>
      </w:pPr>
      <w:r>
        <w:t xml:space="preserve">c) „Szigorú </w:t>
      </w:r>
      <w:proofErr w:type="spellStart"/>
      <w:r>
        <w:t>LOCOM-módszer</w:t>
      </w:r>
      <w:proofErr w:type="spellEnd"/>
      <w:r>
        <w:t xml:space="preserve"> szerint vagy az eredménnyel vagy a saját tőkével szemben valós értéken értékelt, értékvesztés-elszámolási kötelezettség alá nem tartozó hitelviszonyt megtestesítő instrumentumok” a következők bármelyikébe tartozó hitelviszonyt megtestesítő instrumentumokat foglalják magukban:</w:t>
      </w:r>
    </w:p>
    <w:p w:rsidR="009569C7" w:rsidRPr="00EC4FA2" w:rsidRDefault="00A834F1" w:rsidP="009569C7">
      <w:pPr>
        <w:pStyle w:val="Baseparagraphnumbered"/>
        <w:numPr>
          <w:ilvl w:val="0"/>
          <w:numId w:val="0"/>
        </w:numPr>
        <w:ind w:left="1418"/>
      </w:pPr>
      <w:proofErr w:type="gramStart"/>
      <w:r>
        <w:t>i.</w:t>
      </w:r>
      <w:proofErr w:type="gramEnd"/>
      <w:r>
        <w:t xml:space="preserve"> „Kötelezően az eredménnyel szemben valós értéken értékelt, nem kereskedési célú pénzügyi eszközök” (IFRS);</w:t>
      </w:r>
    </w:p>
    <w:p w:rsidR="009569C7" w:rsidRPr="00EC4FA2" w:rsidRDefault="00A834F1" w:rsidP="009569C7">
      <w:pPr>
        <w:pStyle w:val="Baseparagraphnumbered"/>
        <w:numPr>
          <w:ilvl w:val="0"/>
          <w:numId w:val="0"/>
        </w:numPr>
        <w:ind w:left="1418"/>
      </w:pPr>
      <w:proofErr w:type="spellStart"/>
      <w:r>
        <w:t>ii</w:t>
      </w:r>
      <w:proofErr w:type="spellEnd"/>
      <w:r>
        <w:t>. „Az eredménnyel szemben valós értéken értékeltnek megjelölt pénzügyi eszközök” (IFRS);</w:t>
      </w:r>
    </w:p>
    <w:p w:rsidR="009569C7" w:rsidRPr="00EC4FA2" w:rsidRDefault="00A834F1" w:rsidP="009569C7">
      <w:pPr>
        <w:pStyle w:val="Baseparagraphnumbered"/>
        <w:numPr>
          <w:ilvl w:val="0"/>
          <w:numId w:val="0"/>
        </w:numPr>
        <w:ind w:left="1418"/>
      </w:pPr>
      <w:proofErr w:type="spellStart"/>
      <w:r>
        <w:t>iii</w:t>
      </w:r>
      <w:proofErr w:type="spellEnd"/>
      <w:r>
        <w:t>. „Eredménnyel szemben valós értéken értékelt, nem kereskedési célú, nem származtatott pénzügyi eszközök” (a BAD alapján kidolgozott nemzeti GAAP);</w:t>
      </w:r>
    </w:p>
    <w:p w:rsidR="009569C7" w:rsidRPr="00EC4FA2" w:rsidRDefault="00A834F1" w:rsidP="009569C7">
      <w:pPr>
        <w:pStyle w:val="Baseparagraphnumbered"/>
        <w:numPr>
          <w:ilvl w:val="0"/>
          <w:numId w:val="0"/>
        </w:numPr>
        <w:ind w:left="1418"/>
      </w:pPr>
      <w:proofErr w:type="spellStart"/>
      <w:r>
        <w:t>iv</w:t>
      </w:r>
      <w:proofErr w:type="spellEnd"/>
      <w:r>
        <w:t xml:space="preserve">. „Egyéb nem kereskedési célú, nem származtatott pénzügyi eszközök”, ahol a hitelviszonyt megtestesítő instrumentumok a szigorú </w:t>
      </w:r>
      <w:proofErr w:type="spellStart"/>
      <w:r>
        <w:t>LOCOM-módszer</w:t>
      </w:r>
      <w:proofErr w:type="spellEnd"/>
      <w:r>
        <w:t xml:space="preserve"> szerint értékeltek (a BAD alapján kidolgozott nemzeti GAAP);</w:t>
      </w:r>
    </w:p>
    <w:p w:rsidR="009569C7" w:rsidRPr="00EC4FA2" w:rsidRDefault="00A834F1" w:rsidP="009569C7">
      <w:pPr>
        <w:pStyle w:val="Baseparagraphnumbered"/>
        <w:numPr>
          <w:ilvl w:val="0"/>
          <w:numId w:val="0"/>
        </w:numPr>
        <w:ind w:left="1418"/>
      </w:pPr>
      <w:proofErr w:type="gramStart"/>
      <w:r>
        <w:t>v.</w:t>
      </w:r>
      <w:proofErr w:type="gramEnd"/>
      <w:r>
        <w:t xml:space="preserve"> „A saját tőkével szemben valós értéken értékelt, nem kereskedési célú, nem származtatott pénzügyi eszközök”, ahol az ebbe az értékelési kategóriába besorolt hitelviszonyt megtestesítő instrumentumok nem tartoznak értékvesztés-elszámolási kötelezettség hatálya alá a BAD alapján kidolgozott nemzeti GAAP szerinti alkalmazandó számviteli keretnek megfelelően.</w:t>
      </w:r>
    </w:p>
    <w:p w:rsidR="009569C7" w:rsidRPr="00EC4FA2" w:rsidRDefault="00A834F1" w:rsidP="009569C7">
      <w:pPr>
        <w:pStyle w:val="Baseparagraphnumbered"/>
      </w:pPr>
      <w:proofErr w:type="gramStart"/>
      <w:r>
        <w:t xml:space="preserve">Amennyiben az IFRS vagy a BAD alapján kidolgozott vonatkozó nemzeti GAAP a elkötelezettségek eredménnyel szemben valós értéken történő megjelölését írja elő, a valós értéken történő megjelölésből és </w:t>
      </w:r>
      <w:r>
        <w:lastRenderedPageBreak/>
        <w:t>értékelésből eredő eszköz könyv szerinti értékét az „Eredménnyel szemben valós értéken értékeltnek megjelölt pénzügyi eszközök” (IFRS), vagy az „Eredménnyel szemben valós értéken értékelt, nem kereskedési célú, nem származtatott pénzügyi eszközök” (a BAD alapján kidolgozott nemzeti GAAP) tételben kell feltüntetni.</w:t>
      </w:r>
      <w:proofErr w:type="gramEnd"/>
      <w:r>
        <w:t xml:space="preserve"> Az említett megjelölésből eredő kötelezettségek könyv szerinti értékét nem kell feltüntetni az F18. táblában. Az eredménnyel szemben valós értéken értékeltként megjelölt valamennyi elkötelezettség névleges összegét a 9. táblában kell feltüntetni.</w:t>
      </w:r>
    </w:p>
    <w:p w:rsidR="009569C7" w:rsidRPr="00EC4FA2" w:rsidRDefault="00A834F1" w:rsidP="009569C7">
      <w:pPr>
        <w:pStyle w:val="Baseparagraphnumbered"/>
        <w:tabs>
          <w:tab w:val="left" w:pos="851"/>
        </w:tabs>
        <w:ind w:left="709"/>
      </w:pPr>
      <w:r>
        <w:t xml:space="preserve">A késedelmes kitettségek teljes összegét elkülönítve kell feltüntetni a kitettségek teljesítő és </w:t>
      </w:r>
      <w:proofErr w:type="spellStart"/>
      <w:r>
        <w:t>nemteljesítő</w:t>
      </w:r>
      <w:proofErr w:type="spellEnd"/>
      <w:r>
        <w:t xml:space="preserve"> kategóriáin belül az e rész 96. bekezdésében meghatározottak szerint. A 90 napot meghaladó késedelemben lévő, de a CRR 178. cikkének megfelelően nem lényeges kitettségeket a teljesítő kitettségek között, a „</w:t>
      </w:r>
      <w:proofErr w:type="gramStart"/>
      <w:r>
        <w:t>Késedelem &gt;</w:t>
      </w:r>
      <w:proofErr w:type="gramEnd"/>
      <w:r>
        <w:t xml:space="preserve"> 30 nap &lt;= 90 nap” tételben kell megadni.</w:t>
      </w:r>
    </w:p>
    <w:p w:rsidR="009569C7" w:rsidRPr="00EC4FA2" w:rsidRDefault="00A834F1" w:rsidP="009569C7">
      <w:pPr>
        <w:pStyle w:val="Baseparagraphnumbered"/>
        <w:tabs>
          <w:tab w:val="left" w:pos="851"/>
        </w:tabs>
        <w:ind w:left="709"/>
      </w:pPr>
      <w:r>
        <w:t xml:space="preserve">A </w:t>
      </w:r>
      <w:proofErr w:type="spellStart"/>
      <w:r>
        <w:t>nemteljesítő</w:t>
      </w:r>
      <w:proofErr w:type="spellEnd"/>
      <w:r>
        <w:t xml:space="preserve"> kitettségeket a késedelem hossza alapján meghatározott idősávok szerint részletezve kell feltüntetni. A nem késedelmes vagy 90 napot meg nem haladó késedelemben lévő, de a nem teljes visszafizetés valószínűsége miatt </w:t>
      </w:r>
      <w:proofErr w:type="spellStart"/>
      <w:r>
        <w:t>nemteljesítőként</w:t>
      </w:r>
      <w:proofErr w:type="spellEnd"/>
      <w:r>
        <w:t xml:space="preserve"> azonosított kitettségeket külön oszlopban kell feltüntetni. Azokat a kitettségeket, amelyek esetében vannak késedelmes összegek és a nem teljes visszafizetés is valószínű, a késedelmes napok számának megfelelő idősávokba kell sorolni. </w:t>
      </w:r>
    </w:p>
    <w:p w:rsidR="009569C7" w:rsidRPr="00EC4FA2" w:rsidRDefault="00A834F1" w:rsidP="009569C7">
      <w:pPr>
        <w:pStyle w:val="Baseparagraphnumbered"/>
        <w:tabs>
          <w:tab w:val="left" w:pos="851"/>
        </w:tabs>
        <w:ind w:left="709"/>
      </w:pPr>
      <w:r>
        <w:t>Az alábbi kitettségeket külön oszlopokban kell feltüntetni:</w:t>
      </w:r>
    </w:p>
    <w:p w:rsidR="009569C7" w:rsidRPr="00EC4FA2" w:rsidRDefault="00A834F1" w:rsidP="009569C7">
      <w:pPr>
        <w:numPr>
          <w:ilvl w:val="0"/>
          <w:numId w:val="44"/>
        </w:numPr>
        <w:ind w:left="1134"/>
        <w:jc w:val="both"/>
        <w:rPr>
          <w:rFonts w:ascii="Times New Roman" w:hAnsi="Times New Roman"/>
          <w:sz w:val="24"/>
          <w:szCs w:val="24"/>
        </w:rPr>
      </w:pPr>
      <w:r>
        <w:rPr>
          <w:rFonts w:ascii="Times New Roman" w:hAnsi="Times New Roman"/>
          <w:sz w:val="24"/>
        </w:rPr>
        <w:t>az alkalmazandó számviteli kerettel összhangban értékvesztettnek tekintett kitettségek; az IFRS szerinti elszámolás esetén az értékvesztett eszközök összegét (3. szakasz), többek között a vásárolt vagy keletkeztetett értékvesztett eszközök összegét kell ebben az oszlopban megadni;</w:t>
      </w:r>
    </w:p>
    <w:p w:rsidR="009569C7" w:rsidRPr="00EC4FA2" w:rsidRDefault="00A834F1" w:rsidP="009569C7">
      <w:pPr>
        <w:pStyle w:val="Text1"/>
        <w:numPr>
          <w:ilvl w:val="0"/>
          <w:numId w:val="44"/>
        </w:numPr>
        <w:ind w:left="1134"/>
      </w:pPr>
      <w:r>
        <w:t>azok a kitettségek, amelyek tekintetében a CRR 178. cikkével összhangban nemteljesítés (</w:t>
      </w:r>
      <w:proofErr w:type="spellStart"/>
      <w:r>
        <w:t>default</w:t>
      </w:r>
      <w:proofErr w:type="spellEnd"/>
      <w:r>
        <w:t xml:space="preserve">) következett be. </w:t>
      </w:r>
    </w:p>
    <w:p w:rsidR="009569C7" w:rsidRPr="00EC4FA2" w:rsidRDefault="00A834F1" w:rsidP="009569C7">
      <w:pPr>
        <w:pStyle w:val="Baseparagraphnumbered"/>
        <w:tabs>
          <w:tab w:val="left" w:pos="851"/>
        </w:tabs>
        <w:ind w:left="709"/>
      </w:pPr>
      <w:r>
        <w:t>A „Halmozott értékvesztés, a hitelkockázat-változásból származó negatív valósérték-változás halmozott összege és céltartalékok”</w:t>
      </w:r>
      <w:proofErr w:type="spellStart"/>
      <w:r>
        <w:t>-ra</w:t>
      </w:r>
      <w:proofErr w:type="spellEnd"/>
      <w:r>
        <w:t xml:space="preserve"> vonatkozó adatokat e rész 11</w:t>
      </w:r>
      <w:proofErr w:type="gramStart"/>
      <w:r>
        <w:t>.,</w:t>
      </w:r>
      <w:proofErr w:type="gramEnd"/>
      <w:r>
        <w:t xml:space="preserve"> 69–71., 106. és 110. bekezdésének megfelelően kell feltüntetni. </w:t>
      </w:r>
    </w:p>
    <w:p w:rsidR="009569C7" w:rsidRPr="00EC4FA2" w:rsidRDefault="00A834F1" w:rsidP="009569C7">
      <w:pPr>
        <w:pStyle w:val="Baseparagraphnumbered"/>
        <w:tabs>
          <w:tab w:val="left" w:pos="851"/>
        </w:tabs>
        <w:ind w:left="709"/>
      </w:pPr>
      <w:r>
        <w:t xml:space="preserve">A </w:t>
      </w:r>
      <w:proofErr w:type="spellStart"/>
      <w:r>
        <w:t>nemteljesítő</w:t>
      </w:r>
      <w:proofErr w:type="spellEnd"/>
      <w:r>
        <w:t xml:space="preserve"> kitettségek fedezetéül tartott biztosítékokra és kapott garanciákra vonatkozó információkat külön kell feltüntetni. A kapott biztosítékok és kapott garanciák feltüntetendő összegét e rész 172. és 174. bekezdésével összhangban kell kiszámítani. A feltüntetett biztosítékok és garanciák együttes összege nem haladhatja meg a kapcsolódó kitettség könyv szerinti értékét vagy névértékét.</w:t>
      </w:r>
    </w:p>
    <w:p w:rsidR="009569C7" w:rsidRPr="00EC4FA2" w:rsidRDefault="00A834F1" w:rsidP="009569C7">
      <w:pPr>
        <w:pStyle w:val="subtitlenumbered"/>
        <w:jc w:val="both"/>
      </w:pPr>
      <w:bookmarkStart w:id="250" w:name="_Toc467855247"/>
      <w:bookmarkStart w:id="251" w:name="_Toc485913624"/>
      <w:r>
        <w:t>Átstrukturált kitettségek (19.)</w:t>
      </w:r>
      <w:bookmarkEnd w:id="250"/>
      <w:bookmarkEnd w:id="251"/>
    </w:p>
    <w:p w:rsidR="009569C7" w:rsidRPr="00EC4FA2" w:rsidRDefault="00A834F1" w:rsidP="009569C7">
      <w:pPr>
        <w:pStyle w:val="Baseparagraphnumbered"/>
        <w:tabs>
          <w:tab w:val="left" w:pos="851"/>
        </w:tabs>
        <w:ind w:left="709"/>
      </w:pPr>
      <w:r>
        <w:t xml:space="preserve"> A 19. tábla alkalmazásában átstrukturált kitettségek az olyan kölcsönszerződések, amelyek tekintetében átstrukturálási intézkedéseket alkalmaztak. Az átstrukturálási intézkedések olyan adósnak nyújtott </w:t>
      </w:r>
      <w:r>
        <w:lastRenderedPageBreak/>
        <w:t xml:space="preserve">engedmények, akinek nehézségei </w:t>
      </w:r>
      <w:proofErr w:type="gramStart"/>
      <w:r>
        <w:t>vannak</w:t>
      </w:r>
      <w:proofErr w:type="gramEnd"/>
      <w:r>
        <w:t xml:space="preserve"> vagy várhatóan nehézségei lesznek pénzügyi kötelezettségeinek teljesítésével (pénzügyi nehézségek).</w:t>
      </w:r>
    </w:p>
    <w:p w:rsidR="009569C7" w:rsidRPr="00EC4FA2" w:rsidRDefault="00A834F1" w:rsidP="009569C7">
      <w:pPr>
        <w:pStyle w:val="Baseparagraphnumbered"/>
        <w:tabs>
          <w:tab w:val="left" w:pos="851"/>
        </w:tabs>
        <w:ind w:left="709"/>
      </w:pPr>
      <w:r>
        <w:t xml:space="preserve"> A 19. tábla alkalmazásában az engedmény veszteséget eredményezhet a hitelező számára és a következő esetek valamelyikére utal:</w:t>
      </w:r>
    </w:p>
    <w:p w:rsidR="009569C7" w:rsidRPr="00EC4FA2" w:rsidRDefault="00A834F1" w:rsidP="009569C7">
      <w:pPr>
        <w:pStyle w:val="Text1"/>
        <w:numPr>
          <w:ilvl w:val="1"/>
          <w:numId w:val="42"/>
        </w:numPr>
        <w:ind w:left="1134"/>
      </w:pPr>
      <w:r>
        <w:t>valamely szerződés azon korábbi kikötéseinek és feltételeinek módosítása, amelyeknek az adós pénzügyi nehézségeiből adódó, elégtelen adósságszolgálati képessége miatt várhatóan nem tud eleget tenni (problémás kölcsön), és amely módosítást nem hajtották volna végre, ha az adósnak nincsenek pénzügyi nehézségei;</w:t>
      </w:r>
    </w:p>
    <w:p w:rsidR="009569C7" w:rsidRPr="00EC4FA2" w:rsidRDefault="00A834F1" w:rsidP="009569C7">
      <w:pPr>
        <w:pStyle w:val="Text1"/>
        <w:numPr>
          <w:ilvl w:val="1"/>
          <w:numId w:val="42"/>
        </w:numPr>
        <w:ind w:left="1134"/>
      </w:pPr>
      <w:r>
        <w:t>valamely problémás kölcsönszerződés teljes vagy részleges újrafinanszírozása, amelyre nem került volna sor, ha az adósnak nincsenek pénzügyi nehézségei.</w:t>
      </w:r>
    </w:p>
    <w:p w:rsidR="009569C7" w:rsidRPr="00EC4FA2" w:rsidRDefault="00A834F1" w:rsidP="009569C7">
      <w:pPr>
        <w:pStyle w:val="Baseparagraphnumbered"/>
        <w:tabs>
          <w:tab w:val="left" w:pos="851"/>
        </w:tabs>
        <w:ind w:left="709"/>
      </w:pPr>
      <w:r>
        <w:t xml:space="preserve"> Engedménynek tekintendő legalább a következők egyike:</w:t>
      </w:r>
    </w:p>
    <w:p w:rsidR="009569C7" w:rsidRPr="00EC4FA2" w:rsidRDefault="00A834F1" w:rsidP="009569C7">
      <w:pPr>
        <w:pStyle w:val="Text1"/>
        <w:numPr>
          <w:ilvl w:val="0"/>
          <w:numId w:val="43"/>
        </w:numPr>
        <w:ind w:left="1134"/>
      </w:pPr>
      <w:r>
        <w:t>az adós javát szolgáló eltérés a szerződés módosított és korábbi feltételei között;</w:t>
      </w:r>
    </w:p>
    <w:p w:rsidR="009569C7" w:rsidRPr="00EC4FA2" w:rsidRDefault="00A834F1" w:rsidP="009569C7">
      <w:pPr>
        <w:pStyle w:val="Text1"/>
        <w:numPr>
          <w:ilvl w:val="0"/>
          <w:numId w:val="43"/>
        </w:numPr>
        <w:ind w:left="1134"/>
      </w:pPr>
      <w:r>
        <w:t xml:space="preserve">az intézmény által a hasonló kockázati profilú más adósoknak adott időpontban biztosított feltételeknél kedvezőbb feltételek alkalmazása a módosított szerződésben. </w:t>
      </w:r>
    </w:p>
    <w:p w:rsidR="009569C7" w:rsidRPr="00EC4FA2" w:rsidRDefault="00A834F1" w:rsidP="009569C7">
      <w:pPr>
        <w:pStyle w:val="Baseparagraphnumbered"/>
        <w:tabs>
          <w:tab w:val="left" w:pos="851"/>
        </w:tabs>
        <w:ind w:left="709"/>
      </w:pPr>
      <w:r>
        <w:t xml:space="preserve"> Azon záradékok alkalmazása, amelyek segítségével az adós – azokat saját mérlegelési jogkörében alkalmazva – módosíthatja a szerződés feltételeit (beépített átstrukturálási záradékok), engedményként kezelendő, amennyiben az intézmény jóváhagyja e záradékok alkalmazását és megállapítja, hogy az adós pénzügyi nehézségekkel küzd. </w:t>
      </w:r>
    </w:p>
    <w:p w:rsidR="009569C7" w:rsidRPr="00EC4FA2" w:rsidRDefault="00A834F1" w:rsidP="00152278">
      <w:pPr>
        <w:pStyle w:val="Baseparagraphnumbered"/>
      </w:pPr>
      <w:r>
        <w:t xml:space="preserve">A III. és a IV. melléklet, valamint e melléklet alkalmazásában az „újrafinanszírozás” olyan kölcsönszerződések alkalmazását jelenti, amelyeknek célja olyan más kölcsönszerződések teljes vagy részleges visszafizetésének biztosítása, amelyeknek az adós a jelenlegi feltételek mellett nem tud megfelelni. </w:t>
      </w:r>
    </w:p>
    <w:p w:rsidR="009569C7" w:rsidRPr="00EC4FA2" w:rsidRDefault="00A834F1" w:rsidP="009569C7">
      <w:pPr>
        <w:pStyle w:val="Baseparagraphnumbered"/>
        <w:tabs>
          <w:tab w:val="left" w:pos="851"/>
        </w:tabs>
        <w:ind w:left="709"/>
      </w:pPr>
      <w:r>
        <w:t xml:space="preserve">A 19. tábla alkalmazásában az „adós” magában foglalja az adós csoportjába tartozó mindazon jogi személyeket, amelyek a számviteli konszolidáció körébe tartoznak, továbbá azokat a természetes személyeket, akik a csoportot ellenőrzik. </w:t>
      </w:r>
    </w:p>
    <w:p w:rsidR="009569C7" w:rsidRPr="00EC4FA2" w:rsidRDefault="00A834F1" w:rsidP="009569C7">
      <w:pPr>
        <w:pStyle w:val="Baseparagraphnumbered"/>
      </w:pPr>
      <w:r>
        <w:t xml:space="preserve">A 19. tábla alkalmazásában a „követelés” magában foglalja a hiteleket és előlegeket (amelyek tartalmazzák a központi bankokkal szembeni számlaköveteléseket és egyéb látra szóló betéteket is), a hitelviszonyt megtestesítő értékpapírokat, valamint a visszavonható és visszavonhatatlan, adott hitelnyújtási elkötelezettségeket, ideértve azokat az eredménnyel szemben valós értéken értékeltnek megjelölt hitelnyújtási elkötelezettségeket, amelyek az adatszolgáltatás vonatkozási időpontjában eszközök. A „követelés” nem tartalmazza a kereskedési céllal tartott kitettségeket. </w:t>
      </w:r>
    </w:p>
    <w:p w:rsidR="009569C7" w:rsidRPr="00EC4FA2" w:rsidRDefault="00A834F1" w:rsidP="009569C7">
      <w:pPr>
        <w:pStyle w:val="Baseparagraphnumbered"/>
      </w:pPr>
      <w:r>
        <w:lastRenderedPageBreak/>
        <w:t>A „követelés” magában foglalja az IFRS 5 standardnak megfelelően értékesítésre tartottá minősített befektetett eszközök és elidegenítési csoportok közé sorolt hiteleket és előlegeket, valamint a hitelviszonyt megtestesítő értékpapírokat.</w:t>
      </w:r>
    </w:p>
    <w:p w:rsidR="009569C7" w:rsidRPr="00EC4FA2" w:rsidRDefault="00A834F1" w:rsidP="009569C7">
      <w:pPr>
        <w:pStyle w:val="Baseparagraphnumbered"/>
        <w:tabs>
          <w:tab w:val="left" w:pos="851"/>
        </w:tabs>
        <w:ind w:left="709"/>
      </w:pPr>
      <w:r>
        <w:t xml:space="preserve"> A 19. tábla alkalmazásában a „kitettség” jelentése megegyezik a „követelés” e rész 247. bekezdésében adott meghatározásával. </w:t>
      </w:r>
    </w:p>
    <w:p w:rsidR="009569C7" w:rsidRPr="00EC4FA2" w:rsidRDefault="00A834F1" w:rsidP="00152278">
      <w:pPr>
        <w:pStyle w:val="Baseparagraphnumbered"/>
      </w:pPr>
      <w:r>
        <w:t xml:space="preserve">Az e melléklet 1. részének 15. bekezdésében felsorolt, IFRS szerinti számviteli portfóliókat, továbbá az e melléklet 1. részének 16. bekezdésében felsorolt, a BAD alapján kidolgozott vonatkozó nemzeti GAAP szerinti számviteli portfóliókat e rész 233. bekezdésének megfelelően a 19. táblában kell jelenteni. </w:t>
      </w:r>
    </w:p>
    <w:p w:rsidR="009569C7" w:rsidRPr="00EC4FA2" w:rsidRDefault="00A834F1" w:rsidP="009569C7">
      <w:pPr>
        <w:pStyle w:val="Baseparagraphnumbered"/>
        <w:tabs>
          <w:tab w:val="left" w:pos="851"/>
        </w:tabs>
        <w:ind w:left="709"/>
      </w:pPr>
      <w:r>
        <w:t>A 19. tábla alkalmazásában „intézmény” az átstrukturálási intézkedéseket alkalmazó intézmény.</w:t>
      </w:r>
    </w:p>
    <w:p w:rsidR="009569C7" w:rsidRPr="00EC4FA2" w:rsidRDefault="00A834F1" w:rsidP="009569C7">
      <w:pPr>
        <w:pStyle w:val="Baseparagraphnumbered"/>
        <w:tabs>
          <w:tab w:val="left" w:pos="851"/>
        </w:tabs>
        <w:ind w:left="709"/>
      </w:pPr>
      <w:r>
        <w:t>A 19. táblában a „követelés” vonatkozásában a „bruttó könyv szerinti érték”</w:t>
      </w:r>
      <w:proofErr w:type="spellStart"/>
      <w:r>
        <w:t>-et</w:t>
      </w:r>
      <w:proofErr w:type="spellEnd"/>
      <w:r>
        <w:t xml:space="preserve"> az e melléklet 1. részének 34. bekezdésében meghatározottak szerint kell megadni. Az olyan adott hitelnyújtási elkötelezettségek vonatkozásában, amelyek mérlegen kívüli kitettségek, az e melléklet jelen részének 118. bekezdésében meghatározottak szerinti névértéket kell feltüntetni.</w:t>
      </w:r>
    </w:p>
    <w:p w:rsidR="009569C7" w:rsidRPr="00EC4FA2" w:rsidRDefault="00A834F1" w:rsidP="009569C7">
      <w:pPr>
        <w:pStyle w:val="Baseparagraphnumbered"/>
      </w:pPr>
      <w:r>
        <w:t xml:space="preserve">A kitettségek átstrukturáltnak tekintendők, amennyiben engedmény került nyújtásra, függetlenül attól, hogy van-e késedelem, illetve hogy a kitettségeket az alkalmazandó számviteli kerettel, illetve a CRR 178. cikkével összhangban értékvesztettként vagy </w:t>
      </w:r>
      <w:proofErr w:type="spellStart"/>
      <w:r>
        <w:t>nemteljesítőként</w:t>
      </w:r>
      <w:proofErr w:type="spellEnd"/>
      <w:r>
        <w:t xml:space="preserve"> (</w:t>
      </w:r>
      <w:proofErr w:type="spellStart"/>
      <w:r>
        <w:t>defaulted</w:t>
      </w:r>
      <w:proofErr w:type="spellEnd"/>
      <w:r>
        <w:t xml:space="preserve">) sorolták-e be. A kitettségek nem tekintendők átstrukturáltnak, ha az adós nem küzd pénzügyi nehézségekkel. Az IFRS szerinti elszámolás esetén a módosított pénzügyi eszközöket [az IFRS 9 5.4.3. bekezdése és az </w:t>
      </w:r>
      <w:proofErr w:type="gramStart"/>
      <w:r>
        <w:t>A</w:t>
      </w:r>
      <w:proofErr w:type="gramEnd"/>
      <w:r>
        <w:t>. függelék] átstrukturáltként kell kezelni, feltéve, hogy az e melléklet jelen részének 240. és 241. bekezdése szerinti engedmény biztosítására került sor, függetlenül attól, hogy volt-e módosítás a pénzügyi eszköz hitelkockázatában a kezdeti megjelenítés óta bekövetkezett változás miatt. A következők bármelyike átstrukturálási intézkedésnek tekintendő:</w:t>
      </w:r>
    </w:p>
    <w:p w:rsidR="009569C7" w:rsidRPr="00EC4FA2" w:rsidRDefault="00A834F1" w:rsidP="009569C7">
      <w:pPr>
        <w:pStyle w:val="Text1"/>
        <w:numPr>
          <w:ilvl w:val="1"/>
          <w:numId w:val="45"/>
        </w:numPr>
        <w:ind w:left="1134" w:hanging="425"/>
      </w:pPr>
      <w:r>
        <w:t xml:space="preserve">olyan módosított szerződés, amelyet a módosítás előtt </w:t>
      </w:r>
      <w:proofErr w:type="spellStart"/>
      <w:r>
        <w:t>nemteljesítőnek</w:t>
      </w:r>
      <w:proofErr w:type="spellEnd"/>
      <w:r>
        <w:t xml:space="preserve"> minősítettek, vagy amely a módosítás hiányában </w:t>
      </w:r>
      <w:proofErr w:type="spellStart"/>
      <w:r>
        <w:t>nemteljesítőnek</w:t>
      </w:r>
      <w:proofErr w:type="spellEnd"/>
      <w:r>
        <w:t xml:space="preserve"> minősülne;</w:t>
      </w:r>
    </w:p>
    <w:p w:rsidR="009569C7" w:rsidRPr="00EC4FA2" w:rsidRDefault="00A834F1" w:rsidP="009569C7">
      <w:pPr>
        <w:pStyle w:val="Text1"/>
        <w:numPr>
          <w:ilvl w:val="1"/>
          <w:numId w:val="45"/>
        </w:numPr>
        <w:ind w:left="1134" w:hanging="425"/>
      </w:pPr>
      <w:r>
        <w:t>olyan szerződésmódosítás, amely a követelés egészének vagy egy részének leírások révén történő elengedését tartalmazza;</w:t>
      </w:r>
    </w:p>
    <w:p w:rsidR="009569C7" w:rsidRPr="00EC4FA2" w:rsidRDefault="00A834F1" w:rsidP="009569C7">
      <w:pPr>
        <w:pStyle w:val="Text1"/>
        <w:numPr>
          <w:ilvl w:val="1"/>
          <w:numId w:val="45"/>
        </w:numPr>
        <w:ind w:left="1134" w:hanging="425"/>
      </w:pPr>
      <w:r>
        <w:t xml:space="preserve">az intézmény jóváhagyja a beépített átstrukturálási záradék alkalmazását egy </w:t>
      </w:r>
      <w:proofErr w:type="spellStart"/>
      <w:r>
        <w:t>nemteljesítő</w:t>
      </w:r>
      <w:proofErr w:type="spellEnd"/>
      <w:r>
        <w:t xml:space="preserve"> vagy a záradék alkalmazása nélkül </w:t>
      </w:r>
      <w:proofErr w:type="spellStart"/>
      <w:r>
        <w:t>nemteljesítőnek</w:t>
      </w:r>
      <w:proofErr w:type="spellEnd"/>
      <w:r>
        <w:t xml:space="preserve"> minősülő adós számára;</w:t>
      </w:r>
    </w:p>
    <w:p w:rsidR="009569C7" w:rsidRPr="00EC4FA2" w:rsidRDefault="00A834F1" w:rsidP="009569C7">
      <w:pPr>
        <w:pStyle w:val="Text1"/>
        <w:numPr>
          <w:ilvl w:val="1"/>
          <w:numId w:val="45"/>
        </w:numPr>
        <w:ind w:left="1134" w:hanging="425"/>
      </w:pPr>
      <w:r>
        <w:t xml:space="preserve">az intézmény által egy további követelés tekintetében nyújtott engedménnyel egyidejűleg vagy ahhoz közeli időpontban az adós az intézménnyel fennálló másik, </w:t>
      </w:r>
      <w:proofErr w:type="spellStart"/>
      <w:r>
        <w:t>nemteljesítő</w:t>
      </w:r>
      <w:proofErr w:type="spellEnd"/>
      <w:r>
        <w:t xml:space="preserve"> vagy az újrafinanszírozás hiányában </w:t>
      </w:r>
      <w:proofErr w:type="spellStart"/>
      <w:r>
        <w:t>nemteljesítőnek</w:t>
      </w:r>
      <w:proofErr w:type="spellEnd"/>
      <w:r>
        <w:t xml:space="preserve"> minősülő szerződés vonatkozásában tőke- vagy kamattörlesztést teljesített.</w:t>
      </w:r>
    </w:p>
    <w:p w:rsidR="009569C7" w:rsidRPr="00EC4FA2" w:rsidRDefault="00A834F1" w:rsidP="009569C7">
      <w:pPr>
        <w:pStyle w:val="Baseparagraphnumbered"/>
        <w:tabs>
          <w:tab w:val="left" w:pos="851"/>
        </w:tabs>
        <w:ind w:left="709"/>
      </w:pPr>
      <w:r>
        <w:lastRenderedPageBreak/>
        <w:t>A biztosíték érvényesítésével teljesített visszafizetést magában foglaló módosítás átstrukturálási intézkedésként kezelendő, ha a módosítás engedményt is magában foglal.</w:t>
      </w:r>
    </w:p>
    <w:p w:rsidR="009569C7" w:rsidRPr="00EC4FA2" w:rsidRDefault="00A834F1" w:rsidP="009569C7">
      <w:pPr>
        <w:pStyle w:val="Baseparagraphnumbered"/>
        <w:tabs>
          <w:tab w:val="left" w:pos="851"/>
        </w:tabs>
        <w:ind w:left="709"/>
      </w:pPr>
      <w:r>
        <w:t>Az alábbi esetek bármelyikében megcáfolható módon vélelmezhető, hogy átstrukturálásra került sor:</w:t>
      </w:r>
    </w:p>
    <w:p w:rsidR="009569C7" w:rsidRPr="00EC4FA2" w:rsidRDefault="00A834F1" w:rsidP="009569C7">
      <w:pPr>
        <w:pStyle w:val="Text1"/>
        <w:numPr>
          <w:ilvl w:val="0"/>
          <w:numId w:val="47"/>
        </w:numPr>
        <w:ind w:left="1134" w:hanging="425"/>
      </w:pPr>
      <w:r>
        <w:t xml:space="preserve">a módosított szerződés a módosítást megelőző három hónap során legalább egyszer teljesen vagy részlegesen 30 napot meghaladó késedelemben volt (anélkül, hogy </w:t>
      </w:r>
      <w:proofErr w:type="spellStart"/>
      <w:r>
        <w:t>nemteljesítő</w:t>
      </w:r>
      <w:proofErr w:type="spellEnd"/>
      <w:r>
        <w:t xml:space="preserve"> lett volna) vagy a módosítás hiányában teljesen vagy részlegesen 30 napot meghaladó késedelemben lett volna; </w:t>
      </w:r>
    </w:p>
    <w:p w:rsidR="009569C7" w:rsidRPr="00EC4FA2" w:rsidRDefault="00A834F1" w:rsidP="009569C7">
      <w:pPr>
        <w:pStyle w:val="Text1"/>
        <w:numPr>
          <w:ilvl w:val="0"/>
          <w:numId w:val="47"/>
        </w:numPr>
        <w:ind w:left="1134" w:hanging="425"/>
      </w:pPr>
      <w:r>
        <w:t>az intézmény által egy további követelés tekintetében nyújtott engedménnyel egyidejűleg vagy ahhoz közeli időpontban az adós az intézménnyel fennálló másik, az újrafinanszírozást megelőző három hónap során legalább egyszer teljesen vagy részlegesen 30 napot meghaladó késedelemben lévő szerződése tekintetében tőke- vagy kamattörlesztést teljesített;</w:t>
      </w:r>
    </w:p>
    <w:p w:rsidR="009569C7" w:rsidRPr="00EC4FA2" w:rsidRDefault="00A834F1" w:rsidP="009569C7">
      <w:pPr>
        <w:pStyle w:val="Text1"/>
        <w:numPr>
          <w:ilvl w:val="0"/>
          <w:numId w:val="47"/>
        </w:numPr>
        <w:ind w:left="1134" w:hanging="425"/>
      </w:pPr>
      <w:r>
        <w:t>az intézmény jóváhagyja a beépített átstrukturálási záradékok alkalmazását a 30 napot meghaladó késedelemben lévő vagy a záradékok alkalmazása nélkül 30 napot meghaladó késedelmet elérő adósok számára.</w:t>
      </w:r>
    </w:p>
    <w:p w:rsidR="009569C7" w:rsidRPr="00EC4FA2" w:rsidRDefault="00A834F1" w:rsidP="009569C7">
      <w:pPr>
        <w:pStyle w:val="Baseparagraphnumbered"/>
        <w:tabs>
          <w:tab w:val="left" w:pos="851"/>
        </w:tabs>
        <w:ind w:left="709"/>
      </w:pPr>
      <w:r>
        <w:t>A pénzügyi nehézségek a 245. bekezdésben meghatározottak szerinti adós szintjén vizsgálandók. Csak azok a kitettségek tekintendők átstrukturált kitettségnek, amelyekre átstrukturálási intézkedéseket alkalmaztak.</w:t>
      </w:r>
    </w:p>
    <w:p w:rsidR="009569C7" w:rsidRPr="00EC4FA2" w:rsidRDefault="00A834F1" w:rsidP="009569C7">
      <w:pPr>
        <w:pStyle w:val="Baseparagraphnumbered"/>
        <w:tabs>
          <w:tab w:val="left" w:pos="851"/>
        </w:tabs>
        <w:ind w:left="709"/>
      </w:pPr>
      <w:r>
        <w:t xml:space="preserve">Az átstrukturált kitettségeket a </w:t>
      </w:r>
      <w:proofErr w:type="spellStart"/>
      <w:r>
        <w:t>nemteljesítő</w:t>
      </w:r>
      <w:proofErr w:type="spellEnd"/>
      <w:r>
        <w:t xml:space="preserve"> kitettségek kategóriában vagy a teljesítő kitettségek kategóriában kell szerepeltetni e rész 213–224. és 260. bekezdésének megfelelően. Az átstrukturált kitettségként való besorolás megszűnik, ha az alábbi feltételek mindegyike teljesül:</w:t>
      </w:r>
    </w:p>
    <w:p w:rsidR="009569C7" w:rsidRPr="00EC4FA2" w:rsidRDefault="00A834F1" w:rsidP="009569C7">
      <w:pPr>
        <w:pStyle w:val="Text1"/>
        <w:numPr>
          <w:ilvl w:val="0"/>
          <w:numId w:val="46"/>
        </w:numPr>
        <w:ind w:left="1134" w:hanging="425"/>
      </w:pPr>
      <w:r>
        <w:t xml:space="preserve">az átstrukturált kitettség teljesítőnek minősül, ideértve a </w:t>
      </w:r>
      <w:proofErr w:type="spellStart"/>
      <w:r>
        <w:t>nemteljesítő</w:t>
      </w:r>
      <w:proofErr w:type="spellEnd"/>
      <w:r>
        <w:t xml:space="preserve"> kitettség kategóriából történő átsorolás esetét is, amelyre arra tekintettel kerül sor, hogy az adós pénzügyi helyzetének vizsgálata azt mutatja, hogy már nem teljesülnek a </w:t>
      </w:r>
      <w:proofErr w:type="spellStart"/>
      <w:r>
        <w:t>nemteljesítőként</w:t>
      </w:r>
      <w:proofErr w:type="spellEnd"/>
      <w:r>
        <w:t xml:space="preserve"> való besorolás feltételei;</w:t>
      </w:r>
    </w:p>
    <w:p w:rsidR="009569C7" w:rsidRPr="00EC4FA2" w:rsidRDefault="00A834F1" w:rsidP="009569C7">
      <w:pPr>
        <w:pStyle w:val="Text1"/>
        <w:numPr>
          <w:ilvl w:val="0"/>
          <w:numId w:val="46"/>
        </w:numPr>
        <w:ind w:left="1134" w:hanging="425"/>
      </w:pPr>
      <w:r>
        <w:t>az átstrukturált kitettség teljesítővé minősítésétől számítva legalább kétéves időszak telt el (próbaidőszak);</w:t>
      </w:r>
    </w:p>
    <w:p w:rsidR="009569C7" w:rsidRPr="00EC4FA2" w:rsidRDefault="00A834F1" w:rsidP="009569C7">
      <w:pPr>
        <w:pStyle w:val="Text1"/>
        <w:numPr>
          <w:ilvl w:val="0"/>
          <w:numId w:val="46"/>
        </w:numPr>
        <w:ind w:left="1134" w:hanging="425"/>
      </w:pPr>
      <w:r>
        <w:t xml:space="preserve">a próbaidőszak minimum felében a jelentéktelennél nagyobb mértékű rendszeres tőke- vagy kamattörlesztésre került sor; </w:t>
      </w:r>
    </w:p>
    <w:p w:rsidR="009569C7" w:rsidRPr="00EC4FA2" w:rsidRDefault="00A834F1" w:rsidP="009569C7">
      <w:pPr>
        <w:pStyle w:val="Text1"/>
        <w:numPr>
          <w:ilvl w:val="0"/>
          <w:numId w:val="46"/>
        </w:numPr>
        <w:ind w:left="1134" w:hanging="425"/>
      </w:pPr>
      <w:r>
        <w:t xml:space="preserve">a próbaidőszak végén az adós egyetlen kitettsége sincs 30 napot meghaladó késedelemben. </w:t>
      </w:r>
    </w:p>
    <w:p w:rsidR="009569C7" w:rsidRPr="00EC4FA2" w:rsidRDefault="00A834F1" w:rsidP="009569C7">
      <w:pPr>
        <w:pStyle w:val="Baseparagraphnumbered"/>
        <w:tabs>
          <w:tab w:val="left" w:pos="851"/>
        </w:tabs>
        <w:ind w:left="709"/>
      </w:pPr>
      <w:r>
        <w:t xml:space="preserve">Amennyiben a próbaidőszak végén nem teljesülnek a 256. bekezdésben említett feltételek, a kitettséget mindaddig próbaidőszakban lévő átstrukturált teljesítő kitettségként kell kezelni, amíg a feltételek mindegyike nem teljesül. A feltételeket legalább negyedévente meg kell vizsgálni. </w:t>
      </w:r>
    </w:p>
    <w:p w:rsidR="009569C7" w:rsidRPr="00EC4FA2" w:rsidRDefault="00A834F1" w:rsidP="009569C7">
      <w:pPr>
        <w:pStyle w:val="Baseparagraphnumbered"/>
        <w:tabs>
          <w:tab w:val="left" w:pos="851"/>
        </w:tabs>
        <w:ind w:left="709"/>
      </w:pPr>
      <w:r>
        <w:lastRenderedPageBreak/>
        <w:t>Az IFRS 5 standardnak megfelelően értékesítésre tartott befektetett eszközként besorolt átstrukturált kitettségeket továbbra is átstrukturált kitettségként kell besorolni.</w:t>
      </w:r>
    </w:p>
    <w:p w:rsidR="009569C7" w:rsidRPr="00EC4FA2" w:rsidRDefault="00A834F1" w:rsidP="009569C7">
      <w:pPr>
        <w:pStyle w:val="Baseparagraphnumbered"/>
        <w:tabs>
          <w:tab w:val="left" w:pos="851"/>
        </w:tabs>
        <w:ind w:left="709"/>
      </w:pPr>
      <w:r>
        <w:t>Egy átstrukturált kitettséget az átstrukturálási intézkedések alkalmazásának időpontjától kezdve teljesítőnek lehet tekinteni, ha az alábbi feltételek mindegyike teljesül:</w:t>
      </w:r>
    </w:p>
    <w:p w:rsidR="009569C7" w:rsidRPr="00EC4FA2" w:rsidRDefault="00A834F1" w:rsidP="009569C7">
      <w:pPr>
        <w:pStyle w:val="Text1"/>
        <w:numPr>
          <w:ilvl w:val="0"/>
          <w:numId w:val="48"/>
        </w:numPr>
        <w:ind w:left="1134" w:hanging="425"/>
      </w:pPr>
      <w:r>
        <w:t xml:space="preserve">az átstrukturálás nem eredményezte a kitettség </w:t>
      </w:r>
      <w:proofErr w:type="spellStart"/>
      <w:r>
        <w:t>nemteljesítővé</w:t>
      </w:r>
      <w:proofErr w:type="spellEnd"/>
      <w:r>
        <w:t xml:space="preserve"> minősítését;</w:t>
      </w:r>
    </w:p>
    <w:p w:rsidR="009569C7" w:rsidRPr="00EC4FA2" w:rsidRDefault="00A834F1" w:rsidP="009569C7">
      <w:pPr>
        <w:pStyle w:val="Text1"/>
        <w:numPr>
          <w:ilvl w:val="0"/>
          <w:numId w:val="48"/>
        </w:numPr>
        <w:ind w:left="1134" w:hanging="425"/>
      </w:pPr>
      <w:r>
        <w:t xml:space="preserve">az átstrukturálás időpontjában a kitettség nem minősült </w:t>
      </w:r>
      <w:proofErr w:type="spellStart"/>
      <w:r>
        <w:t>nemteljesítő</w:t>
      </w:r>
      <w:proofErr w:type="spellEnd"/>
      <w:r>
        <w:t xml:space="preserve"> kitettségnek. </w:t>
      </w:r>
    </w:p>
    <w:p w:rsidR="009569C7" w:rsidRPr="00EC4FA2" w:rsidRDefault="00A834F1" w:rsidP="009569C7">
      <w:pPr>
        <w:pStyle w:val="Baseparagraphnumbered"/>
        <w:tabs>
          <w:tab w:val="left" w:pos="851"/>
        </w:tabs>
        <w:ind w:left="709"/>
      </w:pPr>
      <w:r>
        <w:t xml:space="preserve">Ha a próbaidőszakban lévő, a </w:t>
      </w:r>
      <w:proofErr w:type="spellStart"/>
      <w:r>
        <w:t>nemteljesítő</w:t>
      </w:r>
      <w:proofErr w:type="spellEnd"/>
      <w:r>
        <w:t xml:space="preserve"> kategóriából átsorolt teljesítő átstrukturált kitettség esetében újabb átstrukturálásra kerül sor vagy a kitettség 30 napot meghaladóan késedelmessé válik, a kitettséget </w:t>
      </w:r>
      <w:proofErr w:type="spellStart"/>
      <w:r>
        <w:t>nemteljesítőnek</w:t>
      </w:r>
      <w:proofErr w:type="spellEnd"/>
      <w:r>
        <w:t xml:space="preserve"> kell tekinteni. </w:t>
      </w:r>
    </w:p>
    <w:p w:rsidR="009569C7" w:rsidRPr="00EC4FA2" w:rsidRDefault="00A834F1" w:rsidP="009569C7">
      <w:pPr>
        <w:pStyle w:val="Baseparagraphnumbered"/>
        <w:tabs>
          <w:tab w:val="left" w:pos="851"/>
        </w:tabs>
        <w:ind w:left="709"/>
      </w:pPr>
      <w:r>
        <w:t xml:space="preserve">Az „Átstrukturálási intézkedéssel érintett teljesítő kitettségek” (teljesítő átstrukturált kitettségek) azokat az átstrukturált kitettségeket foglalják magukban, amelyek nem teljesítik a </w:t>
      </w:r>
      <w:proofErr w:type="spellStart"/>
      <w:r>
        <w:t>nemteljesítővé</w:t>
      </w:r>
      <w:proofErr w:type="spellEnd"/>
      <w:r>
        <w:t xml:space="preserve"> minősítés feltételeit és a teljesítő kitettségek kategóriába kerültek. A teljesítő átstrukturált kitettségek a 256. bekezdésnek megfelelően próbaidőszakban vannak, akkor is, ha a 259. bekezdés alkalmazandó. Azokat a próbaidőszakban lévő teljesítő átstrukturált kitettségeket, amelyeket a </w:t>
      </w:r>
      <w:proofErr w:type="spellStart"/>
      <w:r>
        <w:t>nemteljesítő</w:t>
      </w:r>
      <w:proofErr w:type="spellEnd"/>
      <w:r>
        <w:t xml:space="preserve"> kitettségek kategóriájából soroltak át, a teljesítő átstrukturált kitettségeken belül külön, az „ebből: Próbaidőszakban lévő, a </w:t>
      </w:r>
      <w:proofErr w:type="spellStart"/>
      <w:r>
        <w:t>nemteljesítő</w:t>
      </w:r>
      <w:proofErr w:type="spellEnd"/>
      <w:r>
        <w:t xml:space="preserve"> kategóriából átsorolt teljesítő átstrukturált kitettség” oszlopban kell feltüntetni. </w:t>
      </w:r>
    </w:p>
    <w:p w:rsidR="009569C7" w:rsidRPr="00EC4FA2" w:rsidRDefault="00A834F1" w:rsidP="009569C7">
      <w:pPr>
        <w:pStyle w:val="Baseparagraphnumbered"/>
        <w:tabs>
          <w:tab w:val="left" w:pos="851"/>
        </w:tabs>
        <w:ind w:left="709"/>
      </w:pPr>
      <w:r>
        <w:t xml:space="preserve">Az „Átstrukturálási intézkedéssel érintett </w:t>
      </w:r>
      <w:proofErr w:type="spellStart"/>
      <w:r>
        <w:t>nemteljesítő</w:t>
      </w:r>
      <w:proofErr w:type="spellEnd"/>
      <w:r>
        <w:t xml:space="preserve"> kitettségek” (</w:t>
      </w:r>
      <w:proofErr w:type="spellStart"/>
      <w:r>
        <w:t>nemteljesítő</w:t>
      </w:r>
      <w:proofErr w:type="spellEnd"/>
      <w:r>
        <w:t xml:space="preserve"> átstrukturált kitettségek) azokat az átstrukturált kitettségeket foglalják magukban, amelyek teljesítik a </w:t>
      </w:r>
      <w:proofErr w:type="spellStart"/>
      <w:r>
        <w:t>nemteljesítővé</w:t>
      </w:r>
      <w:proofErr w:type="spellEnd"/>
      <w:r>
        <w:t xml:space="preserve"> minősítés feltételeit és bekerültek a </w:t>
      </w:r>
      <w:proofErr w:type="spellStart"/>
      <w:r>
        <w:t>nemteljesítő</w:t>
      </w:r>
      <w:proofErr w:type="spellEnd"/>
      <w:r>
        <w:t xml:space="preserve"> kitettségek kategóriába. Ezen </w:t>
      </w:r>
      <w:proofErr w:type="spellStart"/>
      <w:r>
        <w:t>nemteljesítő</w:t>
      </w:r>
      <w:proofErr w:type="spellEnd"/>
      <w:r>
        <w:t xml:space="preserve"> átstrukturált kitettségek a következőket foglalják magukban: </w:t>
      </w:r>
    </w:p>
    <w:p w:rsidR="009569C7" w:rsidRPr="00EC4FA2" w:rsidRDefault="00A834F1" w:rsidP="009569C7">
      <w:pPr>
        <w:pStyle w:val="Text1"/>
        <w:numPr>
          <w:ilvl w:val="0"/>
          <w:numId w:val="49"/>
        </w:numPr>
        <w:ind w:left="1134" w:hanging="425"/>
      </w:pPr>
      <w:r>
        <w:t xml:space="preserve">azon kitettségek, amelyek az átstrukturálás következtében váltak </w:t>
      </w:r>
      <w:proofErr w:type="spellStart"/>
      <w:r>
        <w:t>nemteljesítővé</w:t>
      </w:r>
      <w:proofErr w:type="spellEnd"/>
      <w:r>
        <w:t xml:space="preserve">; </w:t>
      </w:r>
    </w:p>
    <w:p w:rsidR="009569C7" w:rsidRPr="00EC4FA2" w:rsidRDefault="00A834F1" w:rsidP="009569C7">
      <w:pPr>
        <w:pStyle w:val="Text1"/>
        <w:numPr>
          <w:ilvl w:val="0"/>
          <w:numId w:val="49"/>
        </w:numPr>
        <w:ind w:left="1134" w:hanging="425"/>
      </w:pPr>
      <w:r>
        <w:t xml:space="preserve">azon kitettségek, amelyek az átstrukturálást megelőzően </w:t>
      </w:r>
      <w:proofErr w:type="spellStart"/>
      <w:r>
        <w:t>nemteljesítők</w:t>
      </w:r>
      <w:proofErr w:type="spellEnd"/>
      <w:r>
        <w:t xml:space="preserve"> voltak;  </w:t>
      </w:r>
    </w:p>
    <w:p w:rsidR="009569C7" w:rsidRPr="00EC4FA2" w:rsidRDefault="00A834F1" w:rsidP="009569C7">
      <w:pPr>
        <w:pStyle w:val="Text1"/>
        <w:numPr>
          <w:ilvl w:val="0"/>
          <w:numId w:val="49"/>
        </w:numPr>
        <w:ind w:left="1134" w:hanging="425"/>
      </w:pPr>
      <w:r>
        <w:t xml:space="preserve">a teljesítő kitettségek közül átsorolt átstrukturált kitettségek, ideértve a 260. bekezdés alkalmazása során átsorolt kitettségeket. </w:t>
      </w:r>
    </w:p>
    <w:p w:rsidR="009569C7" w:rsidRPr="00EC4FA2" w:rsidRDefault="00A834F1" w:rsidP="009569C7">
      <w:pPr>
        <w:pStyle w:val="Baseparagraphnumbered"/>
        <w:tabs>
          <w:tab w:val="left" w:pos="851"/>
        </w:tabs>
        <w:ind w:left="709"/>
      </w:pPr>
      <w:r>
        <w:t xml:space="preserve">Amennyiben az átstrukturálási intézkedéseket kiterjesztik olyan kitettségekre, amelyek az átstrukturálási intézkedések kiterjesztését megelőzően </w:t>
      </w:r>
      <w:proofErr w:type="spellStart"/>
      <w:r>
        <w:t>nemteljesítők</w:t>
      </w:r>
      <w:proofErr w:type="spellEnd"/>
      <w:r>
        <w:t xml:space="preserve"> voltak, ezen átstrukturált kitettségek összegét külön kell feltüntetni az „ebből: átstrukturálás előtt </w:t>
      </w:r>
      <w:proofErr w:type="spellStart"/>
      <w:r>
        <w:t>nemteljesítő</w:t>
      </w:r>
      <w:proofErr w:type="spellEnd"/>
      <w:r>
        <w:t xml:space="preserve"> kitettségek átstrukturálása” oszlopban.</w:t>
      </w:r>
    </w:p>
    <w:p w:rsidR="009569C7" w:rsidRPr="00EC4FA2" w:rsidRDefault="00A834F1" w:rsidP="009569C7">
      <w:pPr>
        <w:pStyle w:val="Baseparagraphnumbered"/>
        <w:tabs>
          <w:tab w:val="left" w:pos="851"/>
        </w:tabs>
        <w:ind w:left="709"/>
      </w:pPr>
      <w:r>
        <w:t xml:space="preserve">Az átstrukturálási intézkedéssel érintett következő </w:t>
      </w:r>
      <w:proofErr w:type="spellStart"/>
      <w:r>
        <w:t>nemteljesítő</w:t>
      </w:r>
      <w:proofErr w:type="spellEnd"/>
      <w:r>
        <w:t xml:space="preserve"> kitettségeket külön oszlopokban kell feltüntetni:</w:t>
      </w:r>
    </w:p>
    <w:p w:rsidR="009569C7" w:rsidRPr="00EC4FA2" w:rsidRDefault="00A834F1" w:rsidP="009569C7">
      <w:pPr>
        <w:pStyle w:val="Text1"/>
        <w:numPr>
          <w:ilvl w:val="0"/>
          <w:numId w:val="50"/>
        </w:numPr>
        <w:ind w:left="1134" w:hanging="425"/>
      </w:pPr>
      <w:r>
        <w:lastRenderedPageBreak/>
        <w:t>az alkalmazandó számviteli kerettel összhangban értékvesztettnek tekintett kitettségek; az IFRS értelmében az értékvesztett eszközök összegét (3. szakasz), többek között a vásárolt vagy keletkeztetett értékvesztett eszközök összegét kell ebben az oszlopban megadni;</w:t>
      </w:r>
    </w:p>
    <w:p w:rsidR="009569C7" w:rsidRPr="00EC4FA2" w:rsidRDefault="00A834F1" w:rsidP="009569C7">
      <w:pPr>
        <w:pStyle w:val="Text1"/>
        <w:numPr>
          <w:ilvl w:val="0"/>
          <w:numId w:val="50"/>
        </w:numPr>
        <w:ind w:left="1134" w:hanging="425"/>
      </w:pPr>
      <w:r>
        <w:t>azok a kitettségek, amelyek tekintetében a CRR 178. cikkével összhangban nemteljesítés (</w:t>
      </w:r>
      <w:proofErr w:type="spellStart"/>
      <w:r>
        <w:t>default</w:t>
      </w:r>
      <w:proofErr w:type="spellEnd"/>
      <w:r>
        <w:t>) következett be.</w:t>
      </w:r>
    </w:p>
    <w:p w:rsidR="009569C7" w:rsidRPr="00EC4FA2" w:rsidRDefault="00A834F1" w:rsidP="009569C7">
      <w:pPr>
        <w:pStyle w:val="Baseparagraphnumbered"/>
        <w:tabs>
          <w:tab w:val="left" w:pos="851"/>
        </w:tabs>
        <w:ind w:left="709"/>
      </w:pPr>
      <w:r>
        <w:t xml:space="preserve">Az „Újrafinanszírozás” oszlop az átstrukturálásnak minősülő újrafinanszírozási ügylet részeként nyújtott új szerződés bruttó könyv szerinti értékét (újrafinanszírozó kölcsön), valamint a régi, visszafizetett szerződés még fennálló bruttó könyv szerinti értékét tartalmazza. </w:t>
      </w:r>
    </w:p>
    <w:p w:rsidR="009569C7" w:rsidRPr="00EC4FA2" w:rsidRDefault="00A834F1" w:rsidP="009569C7">
      <w:pPr>
        <w:pStyle w:val="Baseparagraphnumbered"/>
        <w:tabs>
          <w:tab w:val="left" w:pos="851"/>
        </w:tabs>
        <w:ind w:left="709"/>
      </w:pPr>
      <w:r>
        <w:t xml:space="preserve">A módosításokat és újrafinanszírozást egyaránt tartalmazó átstrukturált kitettségeket a </w:t>
      </w:r>
      <w:proofErr w:type="spellStart"/>
      <w:r>
        <w:t>cash-flowra</w:t>
      </w:r>
      <w:proofErr w:type="spellEnd"/>
      <w:r>
        <w:t xml:space="preserve"> nagyobb hatással lévő intézkedéstől függően a „Módosított szerződéses feltételű instrumentumok” vagy az „Újrafinanszírozás” oszlopban kell feltüntetni. A több bank által közösen biztosított újrafinanszírozást az adatszolgáltató intézmény által nyújtott újrafinanszírozó kölcsönrész teljes összegéig, illetve az újrafinanszírozott követelésnek az adatszolgáltató intézménynél még fennálló teljes összegéig kell feltüntetni az „Újrafinanszírozás” oszlopban. Több követelés egy új követeléssé történő átcsomagolását módosításként kell feltüntetni, hacsak nem jár együtt olyan újrafinanszírozási ügylettel, amely nagyobb hatást gyakorol a </w:t>
      </w:r>
      <w:proofErr w:type="spellStart"/>
      <w:r>
        <w:t>cash-flowra</w:t>
      </w:r>
      <w:proofErr w:type="spellEnd"/>
      <w:r>
        <w:t>. Amennyiben valamely problémás kitettség (feltételeinek módosítása révén történő) átstrukturálása az adott kitettség kivezetését és egy új kitettség megjelenítését eredményezi, ezen új kitettséget átstrukturált követelésként kell kezelni.</w:t>
      </w:r>
    </w:p>
    <w:p w:rsidR="009569C7" w:rsidRPr="00EC4FA2" w:rsidRDefault="00A834F1" w:rsidP="009569C7">
      <w:pPr>
        <w:pStyle w:val="Baseparagraphnumbered"/>
        <w:tabs>
          <w:tab w:val="left" w:pos="851"/>
        </w:tabs>
        <w:ind w:left="709"/>
      </w:pPr>
      <w:r>
        <w:t>A halmozott értékvesztést, a hitelkockázat-változásból származó negatív valósérték-változás halmozott összegét és a céltartalékokat e rész 11</w:t>
      </w:r>
      <w:proofErr w:type="gramStart"/>
      <w:r>
        <w:t>.,</w:t>
      </w:r>
      <w:proofErr w:type="gramEnd"/>
      <w:r>
        <w:t xml:space="preserve"> 69–71., 106. és 110. bekezdésének megfelelően kell feltüntetni.  </w:t>
      </w:r>
    </w:p>
    <w:p w:rsidR="009569C7" w:rsidRPr="00EC4FA2" w:rsidRDefault="00A834F1" w:rsidP="009569C7">
      <w:pPr>
        <w:pStyle w:val="Baseparagraphnumbered"/>
        <w:tabs>
          <w:tab w:val="left" w:pos="851"/>
        </w:tabs>
        <w:ind w:left="709"/>
      </w:pPr>
      <w:r>
        <w:t xml:space="preserve">Az átstrukturálási intézkedéssel érintett kitettségek fedezeteként kapott biztosítékot és garanciákat valamennyi átstrukturálási intézkedéssel érintett kitettségre vonatkozóan fel kell tüntetni, függetlenül azok teljesítő vagy </w:t>
      </w:r>
      <w:proofErr w:type="spellStart"/>
      <w:r>
        <w:t>nemteljesítő</w:t>
      </w:r>
      <w:proofErr w:type="spellEnd"/>
      <w:r>
        <w:t xml:space="preserve"> státuszára. A kapott biztosítékok és kapott garanciák feltüntetendő összegét e rész 172. és 174. bekezdésével összhangban kell kiszámítani. A kapott biztosítékok és pénzügyi garanciák együttes összege nem haladhatja meg a kapcsolódó kitettség könyv szerinti értékét.</w:t>
      </w:r>
    </w:p>
    <w:p w:rsidR="009569C7" w:rsidRPr="00EC4FA2" w:rsidRDefault="00A834F1" w:rsidP="009569C7">
      <w:pPr>
        <w:pStyle w:val="subtitlenumbered"/>
        <w:jc w:val="both"/>
      </w:pPr>
      <w:bookmarkStart w:id="252" w:name="_Toc361844244"/>
      <w:bookmarkStart w:id="253" w:name="_Toc362359315"/>
      <w:bookmarkStart w:id="254" w:name="_Toc467855248"/>
      <w:bookmarkStart w:id="255" w:name="_Toc485913625"/>
      <w:r>
        <w:t>Földrajzi megoszlás</w:t>
      </w:r>
      <w:bookmarkEnd w:id="213"/>
      <w:r>
        <w:t xml:space="preserve"> (20.)</w:t>
      </w:r>
      <w:bookmarkEnd w:id="252"/>
      <w:bookmarkEnd w:id="253"/>
      <w:bookmarkEnd w:id="254"/>
      <w:bookmarkEnd w:id="255"/>
    </w:p>
    <w:p w:rsidR="009569C7" w:rsidRPr="00EC4FA2" w:rsidRDefault="00A834F1" w:rsidP="009569C7">
      <w:pPr>
        <w:pStyle w:val="Baseparagraphnumbered"/>
      </w:pPr>
      <w:r>
        <w:t xml:space="preserve">A 20. táblát akkor kell kitölteni, ha az intézmény átlépi az e rendelet 5. cikke (1a) bekezdésének </w:t>
      </w:r>
      <w:proofErr w:type="spellStart"/>
      <w:r>
        <w:t>iv</w:t>
      </w:r>
      <w:proofErr w:type="spellEnd"/>
      <w:r>
        <w:t xml:space="preserve">. alpontjában meghatározott küszöbértéket. </w:t>
      </w:r>
    </w:p>
    <w:p w:rsidR="009569C7" w:rsidRPr="00EC4FA2" w:rsidRDefault="00A834F1" w:rsidP="009569C7">
      <w:pPr>
        <w:pStyle w:val="sub-subtitlenumbered"/>
        <w:jc w:val="both"/>
      </w:pPr>
      <w:bookmarkStart w:id="256" w:name="_Toc467855249"/>
      <w:bookmarkStart w:id="257" w:name="_Toc485913626"/>
      <w:r>
        <w:t>Földrajzi megoszlás a tevékenység helye szerint (20.1-20.3.)</w:t>
      </w:r>
      <w:bookmarkEnd w:id="256"/>
      <w:bookmarkEnd w:id="257"/>
    </w:p>
    <w:p w:rsidR="009569C7" w:rsidRPr="00EC4FA2" w:rsidRDefault="00A834F1" w:rsidP="009569C7">
      <w:pPr>
        <w:pStyle w:val="Baseparagraphnumbered"/>
      </w:pPr>
      <w:r>
        <w:t xml:space="preserve">A 20.1–20.3. táblákban szereplő tevékenységek helye szerinti földrajzi megoszlás különbséget tesz a „hazai tevékenységek” és „nem hazai tevékenységek” között. E rész alkalmazásában a tevékenység „helye” a megfelelő eszközt vagy kötelezettséget megjelenítő jogi személy cégbejegyzése szerinti joghatóságot, fióktelepek esetében pedig a fióktelep </w:t>
      </w:r>
      <w:r>
        <w:lastRenderedPageBreak/>
        <w:t xml:space="preserve">székhelye szerinti joghatóságot jelenti. Ennek alkalmazásában a „hazai” az abban a tagállamban </w:t>
      </w:r>
      <w:r w:rsidR="00C35B6F">
        <w:t>megjelenített</w:t>
      </w:r>
      <w:r>
        <w:t xml:space="preserve"> tevékenységeket tartalmazza, ahol az adatszolgáltató intézmény található.</w:t>
      </w:r>
    </w:p>
    <w:p w:rsidR="009569C7" w:rsidRPr="00EC4FA2" w:rsidRDefault="00A834F1" w:rsidP="009569C7">
      <w:pPr>
        <w:pStyle w:val="sub-subtitlenumbered"/>
        <w:jc w:val="both"/>
      </w:pPr>
      <w:bookmarkStart w:id="258" w:name="_Toc467855250"/>
      <w:bookmarkStart w:id="259" w:name="_Toc485913627"/>
      <w:r>
        <w:t>Földrajzi megoszlás az ügyfél székhelye szerint (20.4-20.7.)</w:t>
      </w:r>
      <w:bookmarkEnd w:id="258"/>
      <w:bookmarkEnd w:id="259"/>
    </w:p>
    <w:p w:rsidR="009569C7" w:rsidRPr="00EC4FA2" w:rsidRDefault="00A834F1" w:rsidP="009569C7">
      <w:pPr>
        <w:pStyle w:val="Baseparagraphnumbered"/>
      </w:pPr>
      <w:r>
        <w:t>A 20.4–20.7. táblák a közvetlen ügyfél székhelyén alapuló „országonkénti” adatokat tartalmaznak e melléklet 1. része 43. bekezdésének megfelelően. A megadott részletezés tartalmazza minden egyes olyan külföldi ország rezidenseivel szembeni kitettségeket vagy kötelezettségeket, amelyekkel szemben az intézmény kitettséggel rendelkezik. A nemzetközi szervezetekkel és multilaterális fejlesztési bankokkal szembeni kitettségeket vagy kötelezettségeket nem az intézmény székhelye szerinti országhoz kell rendelni, hanem az „Egyéb országok” földrajzi területhez.</w:t>
      </w:r>
    </w:p>
    <w:p w:rsidR="009569C7" w:rsidRPr="00EC4FA2" w:rsidRDefault="00A834F1" w:rsidP="009569C7">
      <w:pPr>
        <w:pStyle w:val="Baseparagraphnumbered"/>
      </w:pPr>
      <w:r>
        <w:t xml:space="preserve">A „Származtatott ügyletek” tartalmazza az IFRS vagy a GAAP szerinti, a 10. és a 11. táblában feltüntetett kereskedési célú származtatott ügyleteket, többek között a gazdasági fedezeti ügyleteket, valamint a származtatott fedezeti ügyleteket. </w:t>
      </w:r>
    </w:p>
    <w:p w:rsidR="009569C7" w:rsidRPr="00EC4FA2" w:rsidRDefault="00A834F1" w:rsidP="009569C7">
      <w:pPr>
        <w:pStyle w:val="Baseparagraphnumbered"/>
      </w:pPr>
      <w:r>
        <w:t xml:space="preserve">Az IFRS szerinti, kereskedési céllal tartott eszközöket és a GAAP szerinti kereskedési célú eszközöket elkülönítve kell azonosítani. Az értékvesztés-elszámolási kötelezettség hatálya alá tartozó pénzügyi eszközöket e rész 93. bekezdésének megfelelően kell meghatározni. A </w:t>
      </w:r>
      <w:proofErr w:type="spellStart"/>
      <w:r>
        <w:t>LOCOM-módszer</w:t>
      </w:r>
      <w:proofErr w:type="spellEnd"/>
      <w:r>
        <w:t xml:space="preserve"> szerint értékelt azon eszközöket, amelyekhez hitelkockázatból eredő értékelési korrekció kapcsolódik, értékvesztettnek kell tekinteni.</w:t>
      </w:r>
    </w:p>
    <w:p w:rsidR="009569C7" w:rsidRPr="00EC4FA2" w:rsidRDefault="00A834F1" w:rsidP="009569C7">
      <w:pPr>
        <w:pStyle w:val="Baseparagraphnumbered"/>
      </w:pPr>
      <w:r>
        <w:t xml:space="preserve">A 20.4. és 20.7. táblában a „Halmozott értékvesztés” és a „Hitelkockázat-változásból származó negatív valósérték-változás halmozott összege </w:t>
      </w:r>
      <w:proofErr w:type="spellStart"/>
      <w:r>
        <w:t>nemteljesítő</w:t>
      </w:r>
      <w:proofErr w:type="spellEnd"/>
      <w:r>
        <w:t xml:space="preserve"> kitettségek esetében” tételre vonatkozó adatokat az e rész 69–71. bekezdésében meghatározottak szerint kell feltüntetni.</w:t>
      </w:r>
    </w:p>
    <w:p w:rsidR="009569C7" w:rsidRPr="00EC4FA2" w:rsidRDefault="00A834F1" w:rsidP="009569C7">
      <w:pPr>
        <w:pStyle w:val="Baseparagraphnumbered"/>
      </w:pPr>
      <w:r>
        <w:t>A 20.4. táblában a hitelviszonyt megtestesítő instrumentumok vonatkozásában a „bruttó könyv szerinti érték”</w:t>
      </w:r>
      <w:proofErr w:type="spellStart"/>
      <w:r>
        <w:t>-et</w:t>
      </w:r>
      <w:proofErr w:type="spellEnd"/>
      <w:r>
        <w:t xml:space="preserve"> az e melléklet 1. részének 34. bekezdésében meghatározottak szerint kell megadni. A származtatott ügyletek és a tulajdoni részesedést megtestesítő instrumentumok vonatkozásában a feltüntetendő érték a könyv szerinti érték. Az „ebből: </w:t>
      </w:r>
      <w:proofErr w:type="spellStart"/>
      <w:r>
        <w:t>nemteljesí</w:t>
      </w:r>
      <w:bookmarkStart w:id="260" w:name="_GoBack"/>
      <w:bookmarkEnd w:id="260"/>
      <w:r>
        <w:t>tő</w:t>
      </w:r>
      <w:proofErr w:type="spellEnd"/>
      <w:r>
        <w:t>” oszlopban hitelviszonyt megtestesítő instrumentumokat kell feltüntetni e rész 213–232. bekezdésének megfelelően. A 19. tábla alkalmazásában a követelésátstrukturálás tartalmaz minden olyan kö</w:t>
      </w:r>
      <w:r w:rsidR="00C35B6F">
        <w:t>lcsönszerződést</w:t>
      </w:r>
      <w:r>
        <w:t xml:space="preserve">, melyekre kiterjesztik az e rész 240–255. bekezdésében meghatározott átstrukturálási intézkedéseket. </w:t>
      </w:r>
    </w:p>
    <w:p w:rsidR="009569C7" w:rsidRPr="00EC4FA2" w:rsidRDefault="00A834F1" w:rsidP="009569C7">
      <w:pPr>
        <w:pStyle w:val="Baseparagraphnumbered"/>
      </w:pPr>
      <w:r>
        <w:t xml:space="preserve">A 20.5. táblában az „Adott elkötelezettségekre és garanciákra képzett céltartalék” tartalmazza az IAS 37 szerint értékelt céltartalékokat, az IFRS 4-nek megfelelően biztosítási szerződésként kezelt pénzügyi garanciák hitelezési veszteségeit, és az IFRS 9 szerinti értékvesztés-elszámolási kötelezettség alá tartozó hitelnyújtási elkötelezettségekre és pénzügyi garanciákra képzett céltartalékokat, továbbá az elkötelezettségekre és </w:t>
      </w:r>
      <w:r>
        <w:lastRenderedPageBreak/>
        <w:t>garanciákra képzett céltartalékokat a BAD alapján kidolgozott nemzeti GAAP szerint, e rész 11. bekezdésének megfelelően.</w:t>
      </w:r>
    </w:p>
    <w:p w:rsidR="009569C7" w:rsidRPr="00EC4FA2" w:rsidRDefault="00A834F1" w:rsidP="009569C7">
      <w:pPr>
        <w:pStyle w:val="Baseparagraphnumbered"/>
      </w:pPr>
      <w:r>
        <w:t xml:space="preserve">A 20.7. táblában a nem kereskedési céllal tartott hiteleket és előlegeket a NACE kódok szerinti besorolással, „országonként” kell megadni. A </w:t>
      </w:r>
      <w:proofErr w:type="spellStart"/>
      <w:r>
        <w:t>NACE-kódokat</w:t>
      </w:r>
      <w:proofErr w:type="spellEnd"/>
      <w:r>
        <w:t xml:space="preserve"> az első részletezési szinttel („nemzetgazdasági ág” szerint) kell megadni. Az értékvesztés-elszámolási kötelezettség alá tartozó hitelek és előlegek ugyanazokra a portfóliókra utalnak, mint e rész 93. bekezdésének meghatározása.</w:t>
      </w:r>
    </w:p>
    <w:p w:rsidR="009569C7" w:rsidRPr="00EC4FA2" w:rsidRDefault="00A834F1" w:rsidP="009569C7">
      <w:pPr>
        <w:pStyle w:val="subtitlenumbered"/>
        <w:jc w:val="both"/>
      </w:pPr>
      <w:bookmarkStart w:id="261" w:name="_Toc359315675"/>
      <w:bookmarkStart w:id="262" w:name="_Toc359315676"/>
      <w:bookmarkStart w:id="263" w:name="_Toc361844245"/>
      <w:bookmarkStart w:id="264" w:name="_Toc362359316"/>
      <w:bookmarkStart w:id="265" w:name="_Toc467855251"/>
      <w:bookmarkStart w:id="266" w:name="_Toc485913628"/>
      <w:bookmarkStart w:id="267" w:name="_Toc246770636"/>
      <w:bookmarkEnd w:id="261"/>
      <w:bookmarkEnd w:id="262"/>
      <w:r>
        <w:t xml:space="preserve">Tárgyi eszközök </w:t>
      </w:r>
      <w:proofErr w:type="gramStart"/>
      <w:r>
        <w:t>és</w:t>
      </w:r>
      <w:proofErr w:type="gramEnd"/>
      <w:r>
        <w:t xml:space="preserve"> immateriális javak: operatív lízingbe adott eszközök (21.)</w:t>
      </w:r>
      <w:bookmarkEnd w:id="263"/>
      <w:bookmarkEnd w:id="264"/>
      <w:bookmarkEnd w:id="265"/>
      <w:bookmarkEnd w:id="266"/>
    </w:p>
    <w:p w:rsidR="009569C7" w:rsidRPr="00EC4FA2" w:rsidRDefault="00A834F1" w:rsidP="009569C7">
      <w:pPr>
        <w:pStyle w:val="Baseparagraphnumbered"/>
      </w:pPr>
      <w:r>
        <w:t>Az e rendelet 9. cikkének e) pontja szerinti küszöbérték kiszámítása céljából azokat a tárgyi eszközöket, amelyeket az intézmény (lízingbe adó) az alkalmazandó számviteli szabályozás értelmében operatív lízingnek minősülő megállapodás keretében harmadik félnek lízingbe adott, el kell osztani a tárgyi eszközök teljes összegével.</w:t>
      </w:r>
    </w:p>
    <w:p w:rsidR="009569C7" w:rsidRPr="00EC4FA2" w:rsidRDefault="00A834F1" w:rsidP="009569C7">
      <w:pPr>
        <w:pStyle w:val="Baseparagraphnumbered"/>
      </w:pPr>
      <w:r>
        <w:t>Az IFRS szerinti elszámolás esetén az intézmény (lízingbe adó) által operatív lízing keretében harmadik félnek lízingbe adott eszközöket az értékelési módszer szerinti részletezéssel kell megadni.</w:t>
      </w:r>
    </w:p>
    <w:p w:rsidR="009569C7" w:rsidRPr="00EC4FA2" w:rsidRDefault="00A834F1" w:rsidP="009569C7">
      <w:pPr>
        <w:pStyle w:val="subtitlenumbered"/>
        <w:jc w:val="both"/>
      </w:pPr>
      <w:bookmarkStart w:id="268" w:name="_Toc362359317"/>
      <w:bookmarkStart w:id="269" w:name="_Toc467855252"/>
      <w:bookmarkStart w:id="270" w:name="_Toc485913629"/>
      <w:bookmarkStart w:id="271" w:name="_Toc361844246"/>
      <w:bookmarkStart w:id="272" w:name="_Toc244498341"/>
      <w:bookmarkStart w:id="273" w:name="_Toc244500572"/>
      <w:bookmarkStart w:id="274" w:name="_Toc246770631"/>
      <w:r>
        <w:t xml:space="preserve">Vagyonkezelés, letétkezelés </w:t>
      </w:r>
      <w:proofErr w:type="gramStart"/>
      <w:r>
        <w:t>és</w:t>
      </w:r>
      <w:proofErr w:type="gramEnd"/>
      <w:r>
        <w:t xml:space="preserve"> egyéb szolgáltatások (22.)</w:t>
      </w:r>
      <w:bookmarkEnd w:id="268"/>
      <w:bookmarkEnd w:id="269"/>
      <w:bookmarkEnd w:id="270"/>
    </w:p>
    <w:bookmarkEnd w:id="271"/>
    <w:p w:rsidR="009569C7" w:rsidRPr="00EC4FA2" w:rsidRDefault="00A834F1" w:rsidP="009569C7">
      <w:pPr>
        <w:pStyle w:val="Baseparagraphnumbered"/>
      </w:pPr>
      <w:r>
        <w:t xml:space="preserve">Az e rendelet 9. cikkének f) pontja szerinti küszöbérték kiszámítása céljából a „nettó díj- és jutalékbevétel” a „díj- és jutalékbevételek” valamint a „díj- és </w:t>
      </w:r>
      <w:proofErr w:type="spellStart"/>
      <w:r>
        <w:t>jutalékráfordítások</w:t>
      </w:r>
      <w:proofErr w:type="spellEnd"/>
      <w:r>
        <w:t>” közötti különbség abszolút értéke. Ugyanebből a célból a „nettó kamat” összege a „kamatbevételek” és „kamatráfordítások” közötti különbség abszolút értéke.</w:t>
      </w:r>
    </w:p>
    <w:p w:rsidR="009569C7" w:rsidRPr="00EC4FA2" w:rsidRDefault="00A834F1" w:rsidP="009569C7">
      <w:pPr>
        <w:pStyle w:val="sub-subtitlenumbered"/>
        <w:jc w:val="both"/>
      </w:pPr>
      <w:bookmarkStart w:id="275" w:name="_Toc361844247"/>
      <w:bookmarkStart w:id="276" w:name="_Toc362359318"/>
      <w:bookmarkStart w:id="277" w:name="_Toc467855253"/>
      <w:bookmarkStart w:id="278" w:name="_Toc485913630"/>
      <w:r>
        <w:t xml:space="preserve">Díj- és jutalékbevételek és díj- és </w:t>
      </w:r>
      <w:proofErr w:type="spellStart"/>
      <w:r>
        <w:t>jutalékráfordítások</w:t>
      </w:r>
      <w:bookmarkEnd w:id="272"/>
      <w:bookmarkEnd w:id="273"/>
      <w:bookmarkEnd w:id="274"/>
      <w:proofErr w:type="spellEnd"/>
      <w:r>
        <w:t xml:space="preserve"> tevékenység szerint (22.1.)</w:t>
      </w:r>
      <w:bookmarkEnd w:id="275"/>
      <w:bookmarkEnd w:id="276"/>
      <w:bookmarkEnd w:id="277"/>
      <w:bookmarkEnd w:id="278"/>
    </w:p>
    <w:p w:rsidR="009569C7" w:rsidRPr="00EC4FA2" w:rsidRDefault="00A834F1" w:rsidP="009569C7">
      <w:pPr>
        <w:pStyle w:val="Baseparagraphnumbered"/>
      </w:pPr>
      <w:r>
        <w:t xml:space="preserve">A díj- és jutalékbevételeket és díj- és </w:t>
      </w:r>
      <w:proofErr w:type="spellStart"/>
      <w:r>
        <w:t>jutalékráfordításokat</w:t>
      </w:r>
      <w:proofErr w:type="spellEnd"/>
      <w:r>
        <w:t xml:space="preserve"> a tevékenység típusa szerint kell megadni. Az IFRS szerinti elszámolás esetén ez a tábla tartalmazza a következőktől eltérő díj- és jutalékbevételeket, valamint díj- és </w:t>
      </w:r>
      <w:proofErr w:type="spellStart"/>
      <w:r>
        <w:t>jutalékráfordításokat</w:t>
      </w:r>
      <w:proofErr w:type="spellEnd"/>
      <w:r>
        <w:t xml:space="preserve">: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 pénzügyi instrumentumok effektív kamatlábának kiszámításakor figyelembe vett összegek [az IFRS 7 20. bekezdésének c) pontja]; </w:t>
      </w:r>
    </w:p>
    <w:p w:rsidR="009569C7" w:rsidRPr="00EC4FA2"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rPr>
        <w:t xml:space="preserve">az eredménnyel szemben valós értéken értékelt pénzügyi instrumentumokból származó összegek [az IFRS 7 20. bekezdése c) pontjának i. alpontja]. </w:t>
      </w:r>
    </w:p>
    <w:p w:rsidR="009569C7" w:rsidRPr="00EC4FA2" w:rsidRDefault="00A834F1" w:rsidP="009569C7">
      <w:pPr>
        <w:pStyle w:val="Baseparagraphnumbered"/>
      </w:pPr>
      <w:r>
        <w:t xml:space="preserve">A közvetlenül az eredménnyel szemben valós értéken értékelt kategóriába nem tartozó pénzügyi instrumentumok megszerzésének vagy kibocsátásának tulajdonítható tranzakciós költségeket nem kell feltüntetni; azok </w:t>
      </w:r>
      <w:proofErr w:type="gramStart"/>
      <w:r>
        <w:t>ezen</w:t>
      </w:r>
      <w:proofErr w:type="gramEnd"/>
      <w:r>
        <w:t xml:space="preserve"> pénzügyi instrumentumok kezdeti megszerzési/kibocsátási értékének részét képezik, és hátralévő futamidejük során az effektív kamatláb </w:t>
      </w:r>
      <w:r>
        <w:lastRenderedPageBreak/>
        <w:t>alkalmazásával az eredménnyel szemben amortizálódnak [lásd az IFRS 9 5.1.1. bekezdését].</w:t>
      </w:r>
    </w:p>
    <w:p w:rsidR="009569C7" w:rsidRPr="00EC4FA2" w:rsidRDefault="00A834F1" w:rsidP="009569C7">
      <w:pPr>
        <w:pStyle w:val="Baseparagraphnumbered"/>
      </w:pPr>
      <w:proofErr w:type="gramStart"/>
      <w:r>
        <w:t>Az IFRS szerinti elszámolás esetében a közvetlenül az eredménnyel szemben valós értéken értékelt pénzügyi instrumentumok megszerzésének vagy kibocsátásának tulajdonítható tranzakciós költségeket a „Kereskedési céllal tartott pénzügyi eszközökből és kötelezettségekből származó nyereség vagy veszteség, nettó”, a „Kötelezően az eredménnyel szemben valós értéken értékelt nem kereskedési célú pénzügyi eszközök nyeresége vagy vesztesége, nettó” és az „Eredménnyel szemben valós értéken értékeltnek megjelölt pénzügyi eszközök és kötelezettségek nyeresége vagy vesztesége, nettó” kategóriákban kell szerepeltetni,</w:t>
      </w:r>
      <w:proofErr w:type="gramEnd"/>
      <w:r>
        <w:t xml:space="preserve"> azon számviteli portfóliótól függően, amelybe besoroltak. Azok nem képezik részét </w:t>
      </w:r>
      <w:proofErr w:type="gramStart"/>
      <w:r>
        <w:t>ezen</w:t>
      </w:r>
      <w:proofErr w:type="gramEnd"/>
      <w:r>
        <w:t xml:space="preserve"> pénzügyi instrumentumok kezdeti megszerzési/kibocsátási értékének, és az eredménnyel szemben azonnal megjelenítésre kerülnek.</w:t>
      </w:r>
    </w:p>
    <w:p w:rsidR="009569C7" w:rsidRPr="00EC4FA2" w:rsidRDefault="00A834F1" w:rsidP="009569C7">
      <w:pPr>
        <w:pStyle w:val="Baseparagraphnumbered"/>
      </w:pPr>
      <w:r>
        <w:t xml:space="preserve">Az intézményeknek a díj- és jutalékbevételeket és díj- és </w:t>
      </w:r>
      <w:proofErr w:type="spellStart"/>
      <w:r>
        <w:t>jutalékráfordításokat</w:t>
      </w:r>
      <w:proofErr w:type="spellEnd"/>
      <w:r>
        <w:t xml:space="preserve"> a következő kritériumok szerint kell feltüntetniük: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„Értékpapírok. Kibocsátások” a nem az intézmény által keletkeztetett vagy kibocsátott értékpapírok keletkeztetésében vagy kibocsátásában történt részvételért kapott díjakat és jutalékokat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„Értékpapírok. Transzfermegbízások” az értékpapírok vételére vagy eladására vonatkozó ügyfélmegbízások felvétele, továbbítása és végrehajtása során képződött díjakat és jutalékokat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„Értékpapírok. Egyéb” a nem az intézmény által keletkeztetett vagy kibocsátott értékpapírokhoz kapcsolódó egyéb szolgáltatások nyújtása során az intézmény által megtermelt díjakat és jutalékokat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Az „Elszámolás és teljesítés” az intézmény által szerződő fél, elszámolási és teljesítési rendszerekben való részvétel során megtermelt (az intézményre terhelt) díj- és jutalékbevételeket (díj- és </w:t>
      </w:r>
      <w:proofErr w:type="spellStart"/>
      <w:r>
        <w:rPr>
          <w:rFonts w:ascii="Times New Roman" w:hAnsi="Times New Roman"/>
          <w:sz w:val="24"/>
        </w:rPr>
        <w:t>jutalékráfordításokat</w:t>
      </w:r>
      <w:proofErr w:type="spellEnd"/>
      <w:r>
        <w:rPr>
          <w:rFonts w:ascii="Times New Roman" w:hAnsi="Times New Roman"/>
          <w:sz w:val="24"/>
        </w:rPr>
        <w: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 „Vagyonkezelés”, „Letétkezelés”, „Kollektív befektetésekkel kapcsolatos központi adminisztrációs szolgáltatás”, „Bizalmi vagyonkezelői tranzakciók”, „Fizetési szolgáltatások” az intézmény által </w:t>
      </w:r>
      <w:proofErr w:type="gramStart"/>
      <w:r>
        <w:rPr>
          <w:rFonts w:ascii="Times New Roman" w:hAnsi="Times New Roman"/>
          <w:sz w:val="24"/>
        </w:rPr>
        <w:t>ezen</w:t>
      </w:r>
      <w:proofErr w:type="gramEnd"/>
      <w:r>
        <w:rPr>
          <w:rFonts w:ascii="Times New Roman" w:hAnsi="Times New Roman"/>
          <w:sz w:val="24"/>
        </w:rPr>
        <w:t xml:space="preserve"> szolgáltatások nyújtása során megtermelt (az intézményre terhelt) díj- és jutalékbevételeket (díj- és </w:t>
      </w:r>
      <w:proofErr w:type="spellStart"/>
      <w:r>
        <w:rPr>
          <w:rFonts w:ascii="Times New Roman" w:hAnsi="Times New Roman"/>
          <w:sz w:val="24"/>
        </w:rPr>
        <w:t>jutalékráfordításokat</w:t>
      </w:r>
      <w:proofErr w:type="spellEnd"/>
      <w:r>
        <w:rPr>
          <w:rFonts w:ascii="Times New Roman" w:hAnsi="Times New Roman"/>
          <w:sz w:val="24"/>
        </w:rPr>
        <w:t>) tartalmazza;</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 „Strukturált finanszírozás” a nem az intézmény által keletkeztetett vagy kibocsátott pénzügyi instrumentumok, kivéve értékpapírok, keletkeztetésében vagy kibocsátásában történt részvételért kapott díjakat és jutalékokat tartalmazza;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 „Hitelszolgálati tevékenység”</w:t>
      </w:r>
      <w:proofErr w:type="spellStart"/>
      <w:r>
        <w:rPr>
          <w:rFonts w:ascii="Times New Roman" w:hAnsi="Times New Roman"/>
          <w:sz w:val="24"/>
        </w:rPr>
        <w:t>-ből</w:t>
      </w:r>
      <w:proofErr w:type="spellEnd"/>
      <w:r>
        <w:rPr>
          <w:rFonts w:ascii="Times New Roman" w:hAnsi="Times New Roman"/>
          <w:sz w:val="24"/>
        </w:rPr>
        <w:t xml:space="preserve"> származó díjak a bevételi oldalon tartalmazzák az intézmény által a nyújtott hitelszolgálati szolgáltatás során megtermelt díj- és jutalékbevételeket, költségoldalon pedig a hitelszolgálatot nyújtók által az intézményre terhelt díj- és </w:t>
      </w:r>
      <w:proofErr w:type="spellStart"/>
      <w:r>
        <w:rPr>
          <w:rFonts w:ascii="Times New Roman" w:hAnsi="Times New Roman"/>
          <w:sz w:val="24"/>
        </w:rPr>
        <w:t>jutalékráfordításokat</w:t>
      </w:r>
      <w:proofErr w:type="spellEnd"/>
      <w:r>
        <w:rPr>
          <w:rFonts w:ascii="Times New Roman" w:hAnsi="Times New Roman"/>
          <w:sz w:val="24"/>
        </w:rPr>
        <w:t>;</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lastRenderedPageBreak/>
        <w:t>Az „Adott hitelnyújtási elkötelezettségek” és az „Adott pénzügyi garanciák” az e tevékenységek kezdetben „egyéb kötelezettségek” között megjelenített díjainak és jutalékainak az időszak alatt bevételként megjelenített amortizációjának összegét tartalmazzák;</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A „Kapott hitelnyújtási elkötelezettségek” és a „Kapott pénzügyi garanciák” az intézmény által a hitelnyújtási elkötelezettséget vagy a pénzügyi garanciát nyújtó félnek felszámított költség következményeként az időszakban ráfordításként megjelenített, és kezdetben „egyéb eszköz”</w:t>
      </w:r>
      <w:proofErr w:type="spellStart"/>
      <w:r>
        <w:rPr>
          <w:rFonts w:ascii="Times New Roman" w:hAnsi="Times New Roman"/>
          <w:sz w:val="24"/>
        </w:rPr>
        <w:t>-ként</w:t>
      </w:r>
      <w:proofErr w:type="spellEnd"/>
      <w:r>
        <w:rPr>
          <w:rFonts w:ascii="Times New Roman" w:hAnsi="Times New Roman"/>
          <w:sz w:val="24"/>
        </w:rPr>
        <w:t xml:space="preserve"> megjelenített díj- és </w:t>
      </w:r>
      <w:proofErr w:type="spellStart"/>
      <w:r>
        <w:rPr>
          <w:rFonts w:ascii="Times New Roman" w:hAnsi="Times New Roman"/>
          <w:sz w:val="24"/>
        </w:rPr>
        <w:t>jutalékráfordításokat</w:t>
      </w:r>
      <w:proofErr w:type="spellEnd"/>
      <w:r>
        <w:rPr>
          <w:rFonts w:ascii="Times New Roman" w:hAnsi="Times New Roman"/>
          <w:sz w:val="24"/>
        </w:rPr>
        <w:t xml:space="preserve"> tartalmazza; </w:t>
      </w:r>
    </w:p>
    <w:p w:rsidR="009569C7" w:rsidRPr="00EC4FA2" w:rsidRDefault="00A834F1" w:rsidP="009569C7">
      <w:pPr>
        <w:numPr>
          <w:ilvl w:val="0"/>
          <w:numId w:val="24"/>
        </w:numPr>
        <w:spacing w:before="120" w:after="120"/>
        <w:ind w:left="1134" w:hanging="426"/>
        <w:jc w:val="both"/>
        <w:rPr>
          <w:rFonts w:ascii="Times New Roman" w:hAnsi="Times New Roman"/>
          <w:sz w:val="24"/>
          <w:szCs w:val="24"/>
        </w:rPr>
      </w:pPr>
      <w:r>
        <w:rPr>
          <w:rFonts w:ascii="Times New Roman" w:hAnsi="Times New Roman"/>
          <w:sz w:val="24"/>
        </w:rPr>
        <w:t xml:space="preserve">Az „Egyéb” kategória az intézmény által megtermelt (az intézményre terhelt) összes többi díj- és jutalékbevételt (díj- és </w:t>
      </w:r>
      <w:proofErr w:type="spellStart"/>
      <w:r>
        <w:rPr>
          <w:rFonts w:ascii="Times New Roman" w:hAnsi="Times New Roman"/>
          <w:sz w:val="24"/>
        </w:rPr>
        <w:t>jutalékráfordítást</w:t>
      </w:r>
      <w:proofErr w:type="spellEnd"/>
      <w:r>
        <w:rPr>
          <w:rFonts w:ascii="Times New Roman" w:hAnsi="Times New Roman"/>
          <w:sz w:val="24"/>
        </w:rPr>
        <w:t>) tartalmazza, mint például az „egyéb elkötelezettségek”</w:t>
      </w:r>
      <w:proofErr w:type="spellStart"/>
      <w:r>
        <w:rPr>
          <w:rFonts w:ascii="Times New Roman" w:hAnsi="Times New Roman"/>
          <w:sz w:val="24"/>
        </w:rPr>
        <w:t>-ből</w:t>
      </w:r>
      <w:proofErr w:type="spellEnd"/>
      <w:r>
        <w:rPr>
          <w:rFonts w:ascii="Times New Roman" w:hAnsi="Times New Roman"/>
          <w:sz w:val="24"/>
        </w:rPr>
        <w:t xml:space="preserve">, a devizaszolgáltatásokból (például külföldi bankjegyek és érmék átváltása) vagy egyéb díjhoz kötött tanácsadás és szolgáltatás nyújtásából (igénybevételéből) származó díj- és jutalékbevételt (díj- és </w:t>
      </w:r>
      <w:proofErr w:type="spellStart"/>
      <w:r>
        <w:rPr>
          <w:rFonts w:ascii="Times New Roman" w:hAnsi="Times New Roman"/>
          <w:sz w:val="24"/>
        </w:rPr>
        <w:t>jutalékráfordítást</w:t>
      </w:r>
      <w:proofErr w:type="spellEnd"/>
      <w:r>
        <w:rPr>
          <w:rFonts w:ascii="Times New Roman" w:hAnsi="Times New Roman"/>
          <w:sz w:val="24"/>
        </w:rPr>
        <w:t>).</w:t>
      </w:r>
    </w:p>
    <w:p w:rsidR="009569C7" w:rsidRPr="00EC4FA2" w:rsidRDefault="00A834F1" w:rsidP="009569C7">
      <w:pPr>
        <w:pStyle w:val="sub-subtitlenumbered"/>
        <w:jc w:val="both"/>
      </w:pPr>
      <w:bookmarkStart w:id="279" w:name="_Toc361844248"/>
      <w:bookmarkStart w:id="280" w:name="_Toc362359319"/>
      <w:bookmarkStart w:id="281" w:name="_Toc467855254"/>
      <w:bookmarkStart w:id="282" w:name="_Toc485913631"/>
      <w:r>
        <w:t>A nyújtott szolgáltatásokban érintett eszközök (22.2.)</w:t>
      </w:r>
      <w:bookmarkEnd w:id="279"/>
      <w:bookmarkEnd w:id="280"/>
      <w:bookmarkEnd w:id="281"/>
      <w:bookmarkEnd w:id="282"/>
    </w:p>
    <w:p w:rsidR="009569C7" w:rsidRPr="00EC4FA2" w:rsidRDefault="00A834F1" w:rsidP="009569C7">
      <w:pPr>
        <w:pStyle w:val="Baseparagraphnumbered"/>
      </w:pPr>
      <w:r>
        <w:t>A vagyonkezeléshez, letétkezelési feladatokhoz és az intézmény által nyújtott egyéb szolgáltatásokhoz kapcsolódó üzleti tevékenységeket a következő fogalmak szerint kell részletezni: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 „Vagyonkezelés” a közvetlenül az ügyfelek tulajdonában álló azon eszközökre vonatkozik, amelyeket az intézmény kezel. A „Vagyonkezelés”</w:t>
      </w:r>
      <w:proofErr w:type="spellStart"/>
      <w:r>
        <w:rPr>
          <w:rFonts w:ascii="Times New Roman" w:hAnsi="Times New Roman"/>
          <w:sz w:val="24"/>
        </w:rPr>
        <w:t>-t</w:t>
      </w:r>
      <w:proofErr w:type="spellEnd"/>
      <w:r>
        <w:rPr>
          <w:rFonts w:ascii="Times New Roman" w:hAnsi="Times New Roman"/>
          <w:sz w:val="24"/>
        </w:rPr>
        <w:t xml:space="preserve"> ügyféltípusonként kell feltüntetni: kollektív befektetések, nyugdíjalapok, diszkrecionális alapon kezelt ügyfélportfóliók és egyéb befektetési eszközök;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 „Letétkezelt eszközök” az intézmény által nyújtott, és a pénzügyi instrumentumok ügyfelek megbízásából történő megőrzésére és nyilvántartására irányuló szolgáltatásra, valamint letéti őrzéshez kapcsolódó szolgáltatásokra, mint például készpénz, illetve biztosíték kezelésére vonatkozik. A „Letétkezelt eszközök”</w:t>
      </w:r>
      <w:proofErr w:type="spellStart"/>
      <w:r>
        <w:rPr>
          <w:rFonts w:ascii="Times New Roman" w:hAnsi="Times New Roman"/>
          <w:sz w:val="24"/>
        </w:rPr>
        <w:t>-et</w:t>
      </w:r>
      <w:proofErr w:type="spellEnd"/>
      <w:r>
        <w:rPr>
          <w:rFonts w:ascii="Times New Roman" w:hAnsi="Times New Roman"/>
          <w:sz w:val="24"/>
        </w:rPr>
        <w:t xml:space="preserve"> azon ügyféltípusok szerint kell megadni, amelyek eszközeit az intézmény őrzi, megkülönböztetve a kollektív befektetési vállalkozásokat és egyéb ügyfeleket. Az „ebből: más gazdálkodó egységekre bízott” tétel a letétkezelt eszközök közé tartozó azon eszközök összegére vonatkozik, amelyek tekintetében az intézmény a tényleges őrzéssel más gazdálkodó egységeket bízott meg;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 „Kollektív befektetésekkel kapcsolatos központi adminisztrációs szolgáltatás” az intézmény által a kollektív befektetési vállalkozásoknak nyújtott adminisztratív szolgáltatásokra vonatkozik. Többek között ide tartoznak a transzferügynökök szolgáltatásai; a számviteli dokumentumok összeállítása; a tájékoztató elkészítése; a befektetőknek szánt pénzügyi beszámolók és minden egyéb dokumentum elkészítése; a levelezés lebonyolítása a befektetőknek szánt pénzügyi beszámolók és minden egyéb dokumentum terjesztésével; a kibocsátások és visszaváltások lebonyolítása és a befektetők jegyzékének vezetése; valamint a nettó eszközérték kiszámítása;</w:t>
      </w:r>
      <w:r>
        <w:t xml:space="preserve"> </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A „Bizalmi vagyonkezelői tranzakciók” azokra a tevékenységekre vonatkozik, amelyek esetében az intézmény saját nevében, de ügyfelei számlájára és kockázatára jár el. A bizalmi vagyonkezelői tranzakciók során az intézmény gyakran nyújt szolgáltatásokat, például letéti és vagyonkezelői szolgáltatásokat strukturált gazdálkodó egységek számára, vagy egyedi alapon végzett </w:t>
      </w:r>
      <w:proofErr w:type="spellStart"/>
      <w:r>
        <w:rPr>
          <w:rFonts w:ascii="Times New Roman" w:hAnsi="Times New Roman"/>
          <w:sz w:val="24"/>
        </w:rPr>
        <w:t>portfóliókezelést</w:t>
      </w:r>
      <w:proofErr w:type="spellEnd"/>
      <w:r>
        <w:rPr>
          <w:rFonts w:ascii="Times New Roman" w:hAnsi="Times New Roman"/>
          <w:sz w:val="24"/>
        </w:rPr>
        <w:t>. Az összes bizalmi vagyonkezelői tranzakciót kizárólag ennél a tételnél kell feltüntetni függetlenül attól, hogy az intézmény nyújt-e még egyéb kiegészítő szolgáltatásokat;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 „Fizetési szolgáltatások” azon hitelviszonyt megtestesítő instrumentumok által generált fizetések ügyfél nevében történő beszedésére vonatkozik, amelyek nincsenek az intézmény mérlegében megjelenítve, és amelyeket nem is az intézmény keletkeztetett;</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Az „Ügyfelek elosztott, de nem kezelt forrásai” a prudenciális csoportba nem tartozó intézmények által kibocsátott azon termékekre vonatkozik, amelyeket az intézmény meglévő ügyfelei között osztott szét. Ezt a tételt terméktípus szerint kell megadni;</w:t>
      </w:r>
    </w:p>
    <w:p w:rsidR="009569C7" w:rsidRPr="00EC4FA2" w:rsidRDefault="00A834F1" w:rsidP="009569C7">
      <w:pPr>
        <w:numPr>
          <w:ilvl w:val="0"/>
          <w:numId w:val="21"/>
        </w:numPr>
        <w:spacing w:before="120" w:after="120"/>
        <w:ind w:left="1134" w:hanging="426"/>
        <w:jc w:val="both"/>
        <w:rPr>
          <w:rFonts w:ascii="Times New Roman" w:hAnsi="Times New Roman"/>
          <w:sz w:val="24"/>
          <w:szCs w:val="24"/>
        </w:rPr>
      </w:pPr>
      <w:r>
        <w:rPr>
          <w:rFonts w:ascii="Times New Roman" w:hAnsi="Times New Roman"/>
          <w:sz w:val="24"/>
        </w:rPr>
        <w:t>„A nyújtott szolgáltatásokban érintett eszközök összege” tartalmazza az eszközök azon összegét a valós érték használatával, amelyekhez kapcsolódóan az intézmény eljár. Ha a valós érték nem áll rendelkezésre, egyéb értékelési alap, például a névérték is használható. Ha az intézmény olyan szervezeteknek nyújt szolgáltatást, mint például a kollektív befektetési vállalkozások vagy nyugdíjalapok, az érintett eszközöket azon az értéken is fel lehet tüntetni, amelyen ezek a szervezetek az eszközöket saját mérlegükben megjelenítik. A feltüntetett összegeknek adott esetben tartalmazniuk kell a felhalmozott kamatokat is.</w:t>
      </w:r>
    </w:p>
    <w:p w:rsidR="009569C7" w:rsidRPr="00EC4FA2" w:rsidRDefault="00A834F1" w:rsidP="009569C7">
      <w:pPr>
        <w:pStyle w:val="subtitlenumbered"/>
        <w:jc w:val="both"/>
      </w:pPr>
      <w:bookmarkStart w:id="283" w:name="_Toc361844249"/>
      <w:bookmarkStart w:id="284" w:name="_Toc362359320"/>
      <w:bookmarkStart w:id="285" w:name="_Toc467855255"/>
      <w:bookmarkStart w:id="286" w:name="_Toc485913632"/>
      <w:r>
        <w:t>Érdekeltségek nem konszolidált strukturált gazdálkodó egységekben (30.)</w:t>
      </w:r>
      <w:bookmarkEnd w:id="283"/>
      <w:bookmarkEnd w:id="284"/>
      <w:bookmarkEnd w:id="285"/>
      <w:bookmarkEnd w:id="286"/>
    </w:p>
    <w:p w:rsidR="009569C7" w:rsidRPr="00EC4FA2" w:rsidRDefault="00A834F1" w:rsidP="009569C7">
      <w:pPr>
        <w:pStyle w:val="Baseparagraphnumbered"/>
      </w:pPr>
      <w:r>
        <w:t>A III. és a IV. melléklet, valamint e melléklet alkalmazásában a „lehívott likviditási támogatás” a nem konszolidált strukturált gazdálkodó egységeknek nyújtott hitelek és előlegek könyv szerinti értékének, valamint a tartott, nem konszolidált strukturált gazdálkodó egységek által kibocsátott, hitelviszonyt megtestesítő értékpapírok könyv szerinti értékének összegét jelenti.</w:t>
      </w:r>
    </w:p>
    <w:p w:rsidR="009569C7" w:rsidRPr="00EC4FA2" w:rsidRDefault="00A834F1" w:rsidP="009569C7">
      <w:pPr>
        <w:pStyle w:val="Baseparagraphnumbered"/>
      </w:pPr>
      <w:r>
        <w:t>„Az adatszolgáltató intézménynél a tárgyidőszakban felmerült veszteségek” tartalmazza az értékvesztés miatti veszteségeket, valamint az adatszolgáltató intézménynél az adatszolgáltatási időszakban a nem konszolidált strukturált gazdálkodó egységekben levő érdekeltségekhez kapcsolódóan felmerült egyéb veszteségeket.</w:t>
      </w:r>
    </w:p>
    <w:p w:rsidR="009569C7" w:rsidRPr="00EC4FA2" w:rsidRDefault="00A834F1" w:rsidP="009569C7">
      <w:pPr>
        <w:pStyle w:val="subtitlenumbered"/>
        <w:numPr>
          <w:ilvl w:val="0"/>
          <w:numId w:val="17"/>
        </w:numPr>
        <w:jc w:val="both"/>
      </w:pPr>
      <w:bookmarkStart w:id="287" w:name="_Toc361844250"/>
      <w:bookmarkStart w:id="288" w:name="_Toc362359321"/>
      <w:bookmarkStart w:id="289" w:name="_Toc467855256"/>
      <w:bookmarkStart w:id="290" w:name="_Toc485913633"/>
      <w:r>
        <w:t>Kapcsolt felek</w:t>
      </w:r>
      <w:bookmarkEnd w:id="267"/>
      <w:r>
        <w:t xml:space="preserve"> (31.)</w:t>
      </w:r>
      <w:bookmarkEnd w:id="287"/>
      <w:bookmarkEnd w:id="288"/>
      <w:bookmarkEnd w:id="289"/>
      <w:bookmarkEnd w:id="290"/>
    </w:p>
    <w:p w:rsidR="009569C7" w:rsidRPr="00EC4FA2" w:rsidRDefault="00A834F1" w:rsidP="009569C7">
      <w:pPr>
        <w:pStyle w:val="Baseparagraphnumbered"/>
      </w:pPr>
      <w:r>
        <w:t xml:space="preserve">Az intézményeknek meg kell adniuk a mérleg szerinti és mérlegen kívüli kitettségekhez kapcsolódó összegeket és/vagy tranzakciókat, ha az ügyfél az IAS 24 szerinti kapcsolt fél. </w:t>
      </w:r>
    </w:p>
    <w:p w:rsidR="009569C7" w:rsidRPr="00EC4FA2" w:rsidRDefault="00A834F1" w:rsidP="009569C7">
      <w:pPr>
        <w:pStyle w:val="Baseparagraphnumbered"/>
      </w:pPr>
      <w:r>
        <w:lastRenderedPageBreak/>
        <w:t xml:space="preserve">A prudenciális csoport csoporton belüli tranzakcióit és csoporton belüli nyitott egyenlegeit ki kell szűrni. </w:t>
      </w:r>
      <w:proofErr w:type="gramStart"/>
      <w:r>
        <w:t>A „Leányvállalatok és azonos csoportba tartozó egyéb gazdálkodó egységek” kategóriánál az intézményeknek fel kell tüntetniük azokat a leányvállalatokkal szembeni egyenlegeket és tranzakciókat, amelyek kiszűrése nem történt meg, vagy azért, mert a leányvállalatok nem kerültek teljes mértékben konszolidálásra, vagy azért, mert a CRR 19. cikkével összhangban a leányvállalatok elhanyagolható jelentőségük miatt nem tartoznak a prudenciális konszolidáció körébe, vagy mert – egy szélesebb csoportba tartozó intézmények esetén – a végső anyavállalat leányvállalatai, nem pedig az intézmény leányvállalatai.</w:t>
      </w:r>
      <w:proofErr w:type="gramEnd"/>
      <w:r>
        <w:t xml:space="preserve"> A „Társult és közös vállalkozások” között az intézményeknek a csoportjukhoz tartozó közös vállalkozásokkal és társult vállalkozásokkal szembeni egyenlegek és tranzakciók azon részét kell szerepeltetniük, amelyek az arányos konszolidáció alkalmazása során nem kerültek kiszűrésre.</w:t>
      </w:r>
    </w:p>
    <w:p w:rsidR="009569C7" w:rsidRPr="00EC4FA2" w:rsidRDefault="00A834F1" w:rsidP="009569C7">
      <w:pPr>
        <w:pStyle w:val="sub-subtitlenumbered"/>
        <w:jc w:val="both"/>
      </w:pPr>
      <w:bookmarkStart w:id="291" w:name="_Toc361844251"/>
      <w:bookmarkStart w:id="292" w:name="_Toc362359322"/>
      <w:bookmarkStart w:id="293" w:name="_Toc467855257"/>
      <w:bookmarkStart w:id="294" w:name="_Toc485913634"/>
      <w:r>
        <w:t>Kapcsolt felek: kötelezettségek és követelések kapcsolt felekkel szemben (31.1.)</w:t>
      </w:r>
      <w:bookmarkEnd w:id="291"/>
      <w:bookmarkEnd w:id="292"/>
      <w:bookmarkEnd w:id="293"/>
      <w:bookmarkEnd w:id="294"/>
    </w:p>
    <w:p w:rsidR="009569C7" w:rsidRPr="00EC4FA2" w:rsidRDefault="00A834F1" w:rsidP="009569C7">
      <w:pPr>
        <w:pStyle w:val="Baseparagraphnumbered"/>
      </w:pPr>
      <w:r>
        <w:t>A „Kapott hitelnyújtási elkötelezettségek, pénzügyi garanciák és egyéb elkötelezettségek” esetében azt az összeget kell megadni, amely a kapott hitelnyújtási elkötelezettségek és egyéb elkötelezettségek nominális értékének és a kapott pénzügyi garanciák „garancia/biztosíték legmagasabb figyelembe vehető összegének” az összege az e rész 119. bekezdésében meghatározottak szerint.</w:t>
      </w:r>
    </w:p>
    <w:p w:rsidR="009569C7" w:rsidRPr="00EC4FA2" w:rsidRDefault="00A834F1" w:rsidP="009569C7">
      <w:pPr>
        <w:pStyle w:val="Baseparagraphnumbered"/>
      </w:pPr>
      <w:r>
        <w:t xml:space="preserve">Az „Értékvesztés és a hitelkockázat-változásból származó negatív valósérték-változás halmozott összege </w:t>
      </w:r>
      <w:proofErr w:type="spellStart"/>
      <w:r>
        <w:t>nemteljesítő</w:t>
      </w:r>
      <w:proofErr w:type="spellEnd"/>
      <w:r>
        <w:t xml:space="preserve"> kitettségek esetében” tételt csak a </w:t>
      </w:r>
      <w:proofErr w:type="spellStart"/>
      <w:r>
        <w:t>nemteljesítő</w:t>
      </w:r>
      <w:proofErr w:type="spellEnd"/>
      <w:r>
        <w:t xml:space="preserve"> kitettségek vonatkozásában kell feltüntetni e rész 69–71. bekezdésének megfelelően. A „</w:t>
      </w:r>
      <w:proofErr w:type="spellStart"/>
      <w:r>
        <w:t>Nemteljesítő</w:t>
      </w:r>
      <w:proofErr w:type="spellEnd"/>
      <w:r>
        <w:t xml:space="preserve"> mérlegen kívüli kitettségekre képzett céltartalék” tartalmazza a céltartalékokat az e rész 11</w:t>
      </w:r>
      <w:proofErr w:type="gramStart"/>
      <w:r>
        <w:t>.,</w:t>
      </w:r>
      <w:proofErr w:type="gramEnd"/>
      <w:r>
        <w:t xml:space="preserve"> 106. és 111. bekezdésében meghatározottaknak megfelelően azon kitettségekre, amelyek e rész 213–239. bekezdése szerint </w:t>
      </w:r>
      <w:proofErr w:type="spellStart"/>
      <w:r>
        <w:t>nemteljesítők</w:t>
      </w:r>
      <w:proofErr w:type="spellEnd"/>
      <w:r>
        <w:t>.</w:t>
      </w:r>
    </w:p>
    <w:p w:rsidR="009569C7" w:rsidRPr="00EC4FA2" w:rsidRDefault="00A834F1" w:rsidP="009569C7">
      <w:pPr>
        <w:pStyle w:val="sub-subtitlenumbered"/>
        <w:jc w:val="both"/>
      </w:pPr>
      <w:bookmarkStart w:id="295" w:name="_Toc246513988"/>
      <w:bookmarkStart w:id="296" w:name="_Toc246730660"/>
      <w:bookmarkStart w:id="297" w:name="_Toc246730751"/>
      <w:bookmarkStart w:id="298" w:name="_Toc246513990"/>
      <w:bookmarkStart w:id="299" w:name="_Toc246730662"/>
      <w:bookmarkStart w:id="300" w:name="_Toc246730753"/>
      <w:bookmarkStart w:id="301" w:name="_Toc246513995"/>
      <w:bookmarkStart w:id="302" w:name="_Toc246730667"/>
      <w:bookmarkStart w:id="303" w:name="_Toc246730758"/>
      <w:bookmarkStart w:id="304" w:name="_Toc246513999"/>
      <w:bookmarkStart w:id="305" w:name="_Toc246730671"/>
      <w:bookmarkStart w:id="306" w:name="_Toc246730762"/>
      <w:bookmarkStart w:id="307" w:name="_Toc246514001"/>
      <w:bookmarkStart w:id="308" w:name="_Toc246730673"/>
      <w:bookmarkStart w:id="309" w:name="_Toc246730764"/>
      <w:bookmarkStart w:id="310" w:name="_Toc361844252"/>
      <w:bookmarkStart w:id="311" w:name="_Toc362359323"/>
      <w:bookmarkStart w:id="312" w:name="_Toc467855258"/>
      <w:bookmarkStart w:id="313" w:name="_Toc485913635"/>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t>Kapcsolt felek: kapcsolt felekkel történt ügyletkötésekből származó kiadások és bevételek (31.2.)</w:t>
      </w:r>
      <w:bookmarkEnd w:id="310"/>
      <w:bookmarkEnd w:id="311"/>
      <w:bookmarkEnd w:id="312"/>
      <w:bookmarkEnd w:id="313"/>
    </w:p>
    <w:p w:rsidR="009569C7" w:rsidRPr="00EC4FA2" w:rsidRDefault="00A834F1" w:rsidP="009569C7">
      <w:pPr>
        <w:pStyle w:val="Baseparagraphnumbered"/>
      </w:pPr>
      <w:r>
        <w:t xml:space="preserve">A „Pénzügyi eszközöktől eltérő eszközök kivezetéséből származó nyereség vagy veszteség” tétel tartalmazza a kapcsolt felekkel történt ügyletkötés során a nem pénzügyi eszközök kivezetéséből származó összes nyereséget vagy veszteséget. Ennek a tételnek tartalmaznia kell a kapcsolt felekkel történt ügyletkötés során a nem pénzügyi eszközök kivezetéséből származó nyereséget vagy veszteséget, amely az „Eredménykimutatás” bármely következő sorának részét képezi: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„Leányvállalatokba, közös vállalkozásokba, valamint társult vállalkozásokba történt befektetések kivezetéséből származó nyereség vagy veszteség”, a BAD alapján kidolgozott nemzeti GAAP szerinti adatszolgáltatás esetén;</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 xml:space="preserve">„Nem pénzügyi eszközök kivezetéséből származó nyereség vagy veszteség”;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„Megszűnt tevékenységeknek nem minősülő, értékesítésre tartottá minősített befektetett eszközökből és elidegenítési csoportokból származó nyereség vagy veszteség”; </w:t>
      </w:r>
    </w:p>
    <w:p w:rsidR="009569C7" w:rsidRPr="00EC4FA2" w:rsidRDefault="00A834F1" w:rsidP="009569C7">
      <w:pPr>
        <w:numPr>
          <w:ilvl w:val="0"/>
          <w:numId w:val="22"/>
        </w:numPr>
        <w:spacing w:before="120" w:after="120"/>
        <w:ind w:left="1134" w:hanging="426"/>
        <w:jc w:val="both"/>
        <w:rPr>
          <w:rFonts w:ascii="Times New Roman" w:hAnsi="Times New Roman"/>
          <w:sz w:val="24"/>
          <w:szCs w:val="24"/>
        </w:rPr>
      </w:pPr>
      <w:r>
        <w:rPr>
          <w:rFonts w:ascii="Times New Roman" w:hAnsi="Times New Roman"/>
          <w:sz w:val="24"/>
        </w:rPr>
        <w:t>„Megszűnt tevékenységek eredménye adófizetés után”.</w:t>
      </w:r>
    </w:p>
    <w:p w:rsidR="009569C7" w:rsidRPr="00EC4FA2" w:rsidRDefault="00A834F1" w:rsidP="009569C7">
      <w:pPr>
        <w:pStyle w:val="Baseparagraphnumbered"/>
      </w:pPr>
      <w:r>
        <w:t>A „</w:t>
      </w:r>
      <w:proofErr w:type="spellStart"/>
      <w:r>
        <w:t>Nemteljesítő</w:t>
      </w:r>
      <w:proofErr w:type="spellEnd"/>
      <w:r>
        <w:t xml:space="preserve"> kitettségek értékvesztése vagy (–) értékvesztésének visszaírása” tartalmazza az e rész 213–239. bekezdésének megfelelően </w:t>
      </w:r>
      <w:proofErr w:type="spellStart"/>
      <w:r>
        <w:t>nemteljesítő</w:t>
      </w:r>
      <w:proofErr w:type="spellEnd"/>
      <w:r>
        <w:t xml:space="preserve"> kitettségek e rész 51–53. bekezdésében meghatározott értékvesztés miatti veszteségét. A „</w:t>
      </w:r>
      <w:proofErr w:type="spellStart"/>
      <w:r>
        <w:t>Nemteljesítő</w:t>
      </w:r>
      <w:proofErr w:type="spellEnd"/>
      <w:r>
        <w:t xml:space="preserve"> kitettségekre képzett céltartalékok vagy (–) céltartalékok visszaírása” tartalmazza az e rész 213–239. bekezdésének megfelelően </w:t>
      </w:r>
      <w:proofErr w:type="spellStart"/>
      <w:r>
        <w:t>nemteljesítő</w:t>
      </w:r>
      <w:proofErr w:type="spellEnd"/>
      <w:r>
        <w:t xml:space="preserve"> mérlegen kívüli kitettségek e rész 50. bekezdésében meghatározott céltartalékát. </w:t>
      </w:r>
    </w:p>
    <w:p w:rsidR="009569C7" w:rsidRPr="00EC4FA2" w:rsidRDefault="00A834F1" w:rsidP="009569C7">
      <w:pPr>
        <w:pStyle w:val="subtitlenumbered"/>
        <w:keepNext/>
        <w:ind w:left="357" w:hanging="357"/>
        <w:jc w:val="both"/>
      </w:pPr>
      <w:bookmarkStart w:id="314" w:name="_Toc362359324"/>
      <w:bookmarkStart w:id="315" w:name="_Toc467855259"/>
      <w:bookmarkStart w:id="316" w:name="_Toc485913636"/>
      <w:bookmarkStart w:id="317" w:name="_Toc361844253"/>
      <w:r>
        <w:t>Csoportszerkezet (40.)</w:t>
      </w:r>
      <w:bookmarkEnd w:id="314"/>
      <w:bookmarkEnd w:id="315"/>
      <w:bookmarkEnd w:id="316"/>
    </w:p>
    <w:bookmarkEnd w:id="317"/>
    <w:p w:rsidR="009569C7" w:rsidRPr="00EC4FA2" w:rsidRDefault="00A834F1" w:rsidP="009569C7">
      <w:pPr>
        <w:pStyle w:val="Baseparagraphnumbered"/>
      </w:pPr>
      <w:proofErr w:type="gramStart"/>
      <w:r>
        <w:t>Az intézményeknek részletes adatokat kell szolgáltatniuk az adatszolgáltatás vonatkozási időpontjában meglévő, a konszolidáció számviteli körében (teljesen vagy arányosan konszolidált) leányvállalatokra, közös vállalkozásokra és társult vállalkozásokra, valamint azon gazdálkodó egységekre vonatkozóan, amelyeket e rész 4. bekezdésének megfelelően a „Leányvállalatokba, közös vállalkozásokba, és társult vállalkozásokba történt befektetések” tételben tüntetnek fel, ideértve azokat a gazdálkodó egységeket is, amelyek esetében a befektetés értékesítésre tartott az IFRS 5 szerint.</w:t>
      </w:r>
      <w:proofErr w:type="gramEnd"/>
      <w:r>
        <w:t xml:space="preserve"> Az összes gazdálkodó egységet fel kell tüntetni, az általuk folytatott tevékenységtől függetlenül. </w:t>
      </w:r>
    </w:p>
    <w:p w:rsidR="009569C7" w:rsidRPr="00EC4FA2" w:rsidRDefault="00A834F1" w:rsidP="009569C7">
      <w:pPr>
        <w:pStyle w:val="Baseparagraphnumbered"/>
      </w:pPr>
      <w:r>
        <w:t xml:space="preserve"> Azon tulajdoni részesedést megtestesítő instrumentumokat, amelyek nem teljesítik a leányvállalatokba, közös vállalkozásokba és társult vállalkozásokba történt befektetésként való besorolás kritériumait, valamint az adatszolgáltató intézmény saját tulajdonában levő saját részvényeket („Saját részvények”) ki kell zárni e tábla hatóköréből.</w:t>
      </w:r>
    </w:p>
    <w:p w:rsidR="009569C7" w:rsidRPr="00EC4FA2" w:rsidRDefault="00A834F1" w:rsidP="009569C7">
      <w:pPr>
        <w:pStyle w:val="sub-subtitlenumbered"/>
        <w:jc w:val="both"/>
      </w:pPr>
      <w:bookmarkStart w:id="318" w:name="_Toc361844254"/>
      <w:bookmarkStart w:id="319" w:name="_Toc362359325"/>
      <w:bookmarkStart w:id="320" w:name="_Toc467855260"/>
      <w:bookmarkStart w:id="321" w:name="_Toc485913637"/>
      <w:r>
        <w:t>Csoportszerkezet: „intézményenként” (40.1.)</w:t>
      </w:r>
      <w:bookmarkEnd w:id="318"/>
      <w:bookmarkEnd w:id="319"/>
      <w:bookmarkEnd w:id="320"/>
      <w:bookmarkEnd w:id="321"/>
    </w:p>
    <w:p w:rsidR="009569C7" w:rsidRPr="00EC4FA2" w:rsidRDefault="00A834F1" w:rsidP="009569C7">
      <w:pPr>
        <w:pStyle w:val="Baseparagraphnumbered"/>
      </w:pPr>
      <w:r>
        <w:t>A következő adatokat intézményenként kell megadni, és a III. és a IV. melléklet, valamint e melléklet alkalmazásában a következő fogalommeghatározások alkalmazandók:</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w:t>
      </w:r>
      <w:proofErr w:type="spellStart"/>
      <w:r>
        <w:rPr>
          <w:rFonts w:ascii="Times New Roman" w:hAnsi="Times New Roman"/>
          <w:sz w:val="24"/>
        </w:rPr>
        <w:t>LEI-kód</w:t>
      </w:r>
      <w:proofErr w:type="spellEnd"/>
      <w:r>
        <w:rPr>
          <w:rFonts w:ascii="Times New Roman" w:hAnsi="Times New Roman"/>
          <w:sz w:val="24"/>
        </w:rPr>
        <w:t xml:space="preserve">” a befektetést befogadó fél </w:t>
      </w:r>
      <w:proofErr w:type="spellStart"/>
      <w:r>
        <w:rPr>
          <w:rFonts w:ascii="Times New Roman" w:hAnsi="Times New Roman"/>
          <w:sz w:val="24"/>
        </w:rPr>
        <w:t>LEI-kódja</w:t>
      </w:r>
      <w:proofErr w:type="spellEnd"/>
      <w:r>
        <w:rPr>
          <w:rFonts w:ascii="Times New Roman" w:hAnsi="Times New Roman"/>
          <w:sz w:val="24"/>
        </w:rPr>
        <w:t xml:space="preserve">. Amennyiben a befektetést befogadó félnek van </w:t>
      </w:r>
      <w:proofErr w:type="spellStart"/>
      <w:r>
        <w:rPr>
          <w:rFonts w:ascii="Times New Roman" w:hAnsi="Times New Roman"/>
          <w:sz w:val="24"/>
        </w:rPr>
        <w:t>LEI-kódja</w:t>
      </w:r>
      <w:proofErr w:type="spellEnd"/>
      <w:r>
        <w:rPr>
          <w:rFonts w:ascii="Times New Roman" w:hAnsi="Times New Roman"/>
          <w:sz w:val="24"/>
        </w:rPr>
        <w:t>, azt meg kell adni;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„Az intézmény kódja” a befektetést befogadó fél azonosító kódja. Az intézmény kódja egy sorazonosító és a 40.1. tábla minden egyes sora esetében egyedi.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„Az intézmény neve” a befektetést befogadó neve;</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„Belépés időpontja” az a nap, amikor a befektetést befogadó belépett a csoportba;</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 befektetést befogadó jegyzett tőkéje” a befektetést befogadó által kibocsátott tőke teljes összege az adatszolgáltatás vonatkozási időpontjában;</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lastRenderedPageBreak/>
        <w:t xml:space="preserve"> „A befektetést befogadó saját tőkéje”, „</w:t>
      </w:r>
      <w:proofErr w:type="gramStart"/>
      <w:r>
        <w:rPr>
          <w:rFonts w:ascii="Times New Roman" w:hAnsi="Times New Roman"/>
          <w:sz w:val="24"/>
        </w:rPr>
        <w:t>A</w:t>
      </w:r>
      <w:proofErr w:type="gramEnd"/>
      <w:r>
        <w:rPr>
          <w:rFonts w:ascii="Times New Roman" w:hAnsi="Times New Roman"/>
          <w:sz w:val="24"/>
        </w:rPr>
        <w:t xml:space="preserve"> befektetést befogadó mérlegfőösszege” és „A befektetést befogadó nyeresége (vesztesége)” a befektetést befogadó utolsó pénzügyi kimutatásaiban szereplő összegeket jelenti;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 befektetést befogadó székhelye” a befektetést befogadó fél székhelye szerinti ország;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befektetést befogadó szektora” a partner szektorát jelenti az e melléklet 1. részének 42. pontjában meghatározottak szerint;</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w:t>
      </w:r>
      <w:proofErr w:type="spellStart"/>
      <w:r>
        <w:rPr>
          <w:rFonts w:ascii="Times New Roman" w:hAnsi="Times New Roman"/>
          <w:sz w:val="24"/>
        </w:rPr>
        <w:t>NACE-kód</w:t>
      </w:r>
      <w:proofErr w:type="spellEnd"/>
      <w:r>
        <w:rPr>
          <w:rFonts w:ascii="Times New Roman" w:hAnsi="Times New Roman"/>
          <w:sz w:val="24"/>
        </w:rPr>
        <w:t>”</w:t>
      </w:r>
      <w:proofErr w:type="spellStart"/>
      <w:r>
        <w:rPr>
          <w:rFonts w:ascii="Times New Roman" w:hAnsi="Times New Roman"/>
          <w:sz w:val="24"/>
        </w:rPr>
        <w:t>-ot</w:t>
      </w:r>
      <w:proofErr w:type="spellEnd"/>
      <w:r>
        <w:rPr>
          <w:rFonts w:ascii="Times New Roman" w:hAnsi="Times New Roman"/>
          <w:sz w:val="24"/>
        </w:rPr>
        <w:t xml:space="preserve"> a befektetést befogadó fő tevékenysége alapján kell megadni. Nem pénzügyi vállalatok esetében a </w:t>
      </w:r>
      <w:proofErr w:type="spellStart"/>
      <w:r>
        <w:rPr>
          <w:rFonts w:ascii="Times New Roman" w:hAnsi="Times New Roman"/>
          <w:sz w:val="24"/>
        </w:rPr>
        <w:t>NACE-kódokat</w:t>
      </w:r>
      <w:proofErr w:type="spellEnd"/>
      <w:r>
        <w:rPr>
          <w:rFonts w:ascii="Times New Roman" w:hAnsi="Times New Roman"/>
          <w:sz w:val="24"/>
        </w:rPr>
        <w:t xml:space="preserve"> az első részletezési szinttel (nemzetgazdasági ágak szerint) kell megadni; pénzügyi vállalatok esetében a </w:t>
      </w:r>
      <w:proofErr w:type="spellStart"/>
      <w:r>
        <w:rPr>
          <w:rFonts w:ascii="Times New Roman" w:hAnsi="Times New Roman"/>
          <w:sz w:val="24"/>
        </w:rPr>
        <w:t>NACE-kódokat</w:t>
      </w:r>
      <w:proofErr w:type="spellEnd"/>
      <w:r>
        <w:rPr>
          <w:rFonts w:ascii="Times New Roman" w:hAnsi="Times New Roman"/>
          <w:sz w:val="24"/>
        </w:rPr>
        <w:t xml:space="preserve"> kétszintű részletességgel (ágazati szintek szerint) kell megadni;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 „Halmozott tőkerészesedés (%)” az adatszolgáltatás időpontjában az intézmény birtokában lévő, tulajdonjogot megtestesítő instrumentumok százaléka;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 „Szavazati jogok (%)” az adatszolgáltatás időpontjában az intézmény birtokában lévő, tulajdonjogot megtestesítő instrumentumokhoz kapcsolódó szavazati jogok százaléka.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 „Csoportszerkezet [kapcsolat]” tartalmazza a végső anyavállalat és a befektetést befogadó közötti kapcsolatot (anyavállalat, az adatszolgáltató intézmény felett közös ellenőrzést gyakorló gazdálkodó egység, leányvállalat, közös vállalkozás vagy társult vállalkozás);</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Az „Elszámolási módszer [Számviteli csoport]” tétel tartalmazza a számviteli kezelés kapcsolatát a konszolidáció számviteli körével (teljes konszolidáció, arányos konszolidáció, tőkemódszer vagy egyéb);</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 Az „Elszámolási módszer [CRR csoport]” tétel tartalmazza az elszámolás módszerét a konszolidáció CRR szerinti körére vonatkozóan (teljes konszolidáció, arányos konszolidáció, tőkemódszer vagy egyéb);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 xml:space="preserve">A „Könyv szerinti érték” az intézmény mérlegében a sem teljesen, sem arányosan nem konszolidált, befektetést befogadók tekintetében megjelenített összegeket jelenti; </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Az „Akvizíció költsége” a befektetők által fizetett összeget jelenti;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 befektetést befogadóhoz kapcsolódó cégérték” az adatszolgáltató intézmény konszolidált mérlegében a „cégérték” vagy a „leányvállalatokba, közös vállalkozásokba és társult vállalkozásokba történt befektetések” között a befektetést befogadóra vonatkozóan szerepeltetett cégérték összegét jelenti;</w:t>
      </w:r>
    </w:p>
    <w:p w:rsidR="009569C7" w:rsidRPr="00EC4FA2" w:rsidRDefault="00A834F1" w:rsidP="009569C7">
      <w:pPr>
        <w:numPr>
          <w:ilvl w:val="0"/>
          <w:numId w:val="20"/>
        </w:numPr>
        <w:spacing w:before="120" w:after="120"/>
        <w:ind w:left="1134" w:hanging="426"/>
        <w:jc w:val="both"/>
        <w:rPr>
          <w:rFonts w:ascii="Times New Roman" w:hAnsi="Times New Roman"/>
          <w:sz w:val="24"/>
          <w:szCs w:val="24"/>
        </w:rPr>
      </w:pPr>
      <w:r>
        <w:rPr>
          <w:rFonts w:ascii="Times New Roman" w:hAnsi="Times New Roman"/>
          <w:sz w:val="24"/>
        </w:rPr>
        <w:t>„Az olyan befektetések valós értéke, amelyekre vonatkozóan nyilvánosan közzétett árjegyzés van” kategória az adatszolgáltatás időpontjában érvényes árat jelenti; csak jegyzett instrumentumok esetében kell megadni.</w:t>
      </w:r>
    </w:p>
    <w:p w:rsidR="009569C7" w:rsidRPr="00EC4FA2" w:rsidRDefault="00A834F1" w:rsidP="009569C7">
      <w:pPr>
        <w:pStyle w:val="sub-subtitlenumbered"/>
        <w:keepNext/>
        <w:ind w:left="788" w:hanging="431"/>
        <w:jc w:val="both"/>
      </w:pPr>
      <w:bookmarkStart w:id="322" w:name="_Toc361844255"/>
      <w:bookmarkStart w:id="323" w:name="_Toc362359326"/>
      <w:bookmarkStart w:id="324" w:name="_Toc467855261"/>
      <w:bookmarkStart w:id="325" w:name="_Toc485913638"/>
      <w:r>
        <w:lastRenderedPageBreak/>
        <w:t>Csoportszerkezet: „instrumentumonként” (40.2.)</w:t>
      </w:r>
      <w:bookmarkEnd w:id="322"/>
      <w:bookmarkEnd w:id="323"/>
      <w:bookmarkEnd w:id="324"/>
      <w:bookmarkEnd w:id="325"/>
    </w:p>
    <w:p w:rsidR="009569C7" w:rsidRPr="00EC4FA2" w:rsidRDefault="00A834F1" w:rsidP="009569C7">
      <w:pPr>
        <w:pStyle w:val="Baseparagraphnumbered"/>
      </w:pPr>
      <w:r>
        <w:t>A következő adatokat instrumentumonként kell megadni:</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„Értékpapírkód” az értékpapír ISIN kódja. Az olyan értékpapírok esetében, amelyekhez nem rendeltek ISIN kódot, az értékpapírt egyedileg azonosító másik kódot kell megadni. Az „Értékpapírkód” és „</w:t>
      </w:r>
      <w:proofErr w:type="gramStart"/>
      <w:r>
        <w:rPr>
          <w:rFonts w:ascii="Times New Roman" w:hAnsi="Times New Roman"/>
          <w:sz w:val="24"/>
        </w:rPr>
        <w:t>A</w:t>
      </w:r>
      <w:proofErr w:type="gramEnd"/>
      <w:r>
        <w:rPr>
          <w:rFonts w:ascii="Times New Roman" w:hAnsi="Times New Roman"/>
          <w:sz w:val="24"/>
        </w:rPr>
        <w:t xml:space="preserve"> holdingtársaság kódja” összetett sorazonosítók és együttesen a 40.2. tábla egyes soraira vonatkozóan egyediek.</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„A holdingtársaság kódja” a csoporton belül a befektetést tulajdonló </w:t>
      </w:r>
      <w:proofErr w:type="gramStart"/>
      <w:r>
        <w:rPr>
          <w:rFonts w:ascii="Times New Roman" w:hAnsi="Times New Roman"/>
          <w:sz w:val="24"/>
        </w:rPr>
        <w:t>intézmény azonosító</w:t>
      </w:r>
      <w:proofErr w:type="gramEnd"/>
      <w:r>
        <w:rPr>
          <w:rFonts w:ascii="Times New Roman" w:hAnsi="Times New Roman"/>
          <w:sz w:val="24"/>
        </w:rPr>
        <w:t xml:space="preserve"> kódja. „A holdingtársaság LEI kódja” az értékpapírt tartó társaság LEI kódja. Ha a holdingtársaságnak van LEI kódja, azt fel kell tüntetni;</w:t>
      </w:r>
    </w:p>
    <w:p w:rsidR="009569C7" w:rsidRPr="00EC4FA2" w:rsidRDefault="00A834F1" w:rsidP="009569C7">
      <w:pPr>
        <w:numPr>
          <w:ilvl w:val="0"/>
          <w:numId w:val="25"/>
        </w:numPr>
        <w:spacing w:before="120" w:after="120"/>
        <w:ind w:left="1134" w:hanging="426"/>
        <w:jc w:val="both"/>
        <w:rPr>
          <w:rFonts w:ascii="Times New Roman" w:hAnsi="Times New Roman"/>
          <w:sz w:val="24"/>
          <w:szCs w:val="24"/>
        </w:rPr>
      </w:pPr>
      <w:r>
        <w:rPr>
          <w:rFonts w:ascii="Times New Roman" w:hAnsi="Times New Roman"/>
          <w:sz w:val="24"/>
        </w:rPr>
        <w:t xml:space="preserve"> „Az intézmény kódja”, a „Halmozott tőkerészesedés (%)”, a „Könyv szerinti érték” és az „Akvizíció költsége” tételek definíciója fentebb található. Az összegeknek meg kell egyezniük a kapcsolódó holding társaság által tartott értékpapírok összegével.</w:t>
      </w:r>
    </w:p>
    <w:p w:rsidR="009569C7" w:rsidRPr="00EC4FA2" w:rsidRDefault="00A834F1" w:rsidP="009569C7">
      <w:pPr>
        <w:pStyle w:val="subtitlenumbered"/>
        <w:numPr>
          <w:ilvl w:val="0"/>
          <w:numId w:val="17"/>
        </w:numPr>
        <w:jc w:val="both"/>
      </w:pPr>
      <w:bookmarkStart w:id="326" w:name="_Toc361844256"/>
      <w:bookmarkStart w:id="327" w:name="_Toc362359327"/>
      <w:bookmarkStart w:id="328" w:name="_Toc467855262"/>
      <w:bookmarkStart w:id="329" w:name="_Toc485913639"/>
      <w:r>
        <w:t>Valós érték (41.)</w:t>
      </w:r>
      <w:bookmarkEnd w:id="326"/>
      <w:bookmarkEnd w:id="327"/>
      <w:bookmarkEnd w:id="328"/>
      <w:bookmarkEnd w:id="329"/>
    </w:p>
    <w:p w:rsidR="009569C7" w:rsidRPr="00EC4FA2" w:rsidRDefault="00A834F1" w:rsidP="009569C7">
      <w:pPr>
        <w:pStyle w:val="sub-subtitlenumbered"/>
        <w:jc w:val="both"/>
      </w:pPr>
      <w:bookmarkStart w:id="330" w:name="_Toc361844257"/>
      <w:bookmarkStart w:id="331" w:name="_Toc362359328"/>
      <w:bookmarkStart w:id="332" w:name="_Toc467855263"/>
      <w:bookmarkStart w:id="333" w:name="_Toc485913640"/>
      <w:r>
        <w:t>Valósérték-hierarchia: amortizált bekerülési értéken értékelt pénzügyi instrumentumok (41.1.)</w:t>
      </w:r>
      <w:bookmarkEnd w:id="330"/>
      <w:bookmarkEnd w:id="331"/>
      <w:bookmarkEnd w:id="332"/>
      <w:bookmarkEnd w:id="333"/>
      <w:r>
        <w:t xml:space="preserve"> </w:t>
      </w:r>
    </w:p>
    <w:p w:rsidR="009569C7" w:rsidRPr="00EC4FA2" w:rsidRDefault="00A834F1" w:rsidP="009569C7">
      <w:pPr>
        <w:pStyle w:val="Baseparagraphnumbered"/>
      </w:pPr>
      <w:r>
        <w:t>Ebben a táblában az amortizált bekerülési értéken értékelt pénzügyi instrumentumok valós értékére vonatkozó adatokat kell megadni az IFRS 13 72., 76., 81. és 86. bekezdése szerinti hierarchia alkalmazásával. Amennyiben a BAD alapján kidolgozott nemzeti GAAP szintén előírja a valós értéken értékelt eszközök különböző valósérték-szintek közötti allokációját, a nemzeti GAAP hatálya alá tartozó intézményeknek is ki kell tölteniük ezt a táblát.</w:t>
      </w:r>
    </w:p>
    <w:p w:rsidR="009569C7" w:rsidRPr="00EC4FA2" w:rsidRDefault="00A834F1" w:rsidP="009569C7">
      <w:pPr>
        <w:pStyle w:val="sub-subtitlenumbered"/>
        <w:jc w:val="both"/>
      </w:pPr>
      <w:bookmarkStart w:id="334" w:name="_Toc361844258"/>
      <w:bookmarkStart w:id="335" w:name="_Toc362359329"/>
      <w:bookmarkStart w:id="336" w:name="_Toc467855264"/>
      <w:bookmarkStart w:id="337" w:name="_Toc485913641"/>
      <w:r>
        <w:t>A valós érték opció alkalmazása (41.2.)</w:t>
      </w:r>
      <w:bookmarkEnd w:id="334"/>
      <w:bookmarkEnd w:id="335"/>
      <w:bookmarkEnd w:id="336"/>
      <w:bookmarkEnd w:id="337"/>
    </w:p>
    <w:p w:rsidR="009569C7" w:rsidRPr="00EC4FA2" w:rsidRDefault="00A834F1" w:rsidP="009569C7">
      <w:pPr>
        <w:pStyle w:val="Baseparagraphnumbered"/>
      </w:pPr>
      <w:r>
        <w:t xml:space="preserve">Az eredménnyel szemben valós értéken értékeltnek megjelölt pénzügyi eszközök és kötelezettségek tekintetében a valós érték opció alkalmazására vonatkozó információt ebben a táblában kell megadni. </w:t>
      </w:r>
    </w:p>
    <w:p w:rsidR="009569C7" w:rsidRPr="00EC4FA2" w:rsidRDefault="00A834F1" w:rsidP="009569C7">
      <w:pPr>
        <w:pStyle w:val="Baseparagraphnumbered"/>
      </w:pPr>
      <w:r>
        <w:t>A „Hibrid szerződések” tartalmazza a kötelezettségek vonatkozásában az ezekbe a számviteli portfóliókba besorolt hibrid pénzügyi instrumentumok egészének könyv szerinti értékét; vagyis ez teljes egészében tartalmazza a nem elkülönített hibrid instrumentumokat.</w:t>
      </w:r>
    </w:p>
    <w:p w:rsidR="009569C7" w:rsidRPr="00EC4FA2" w:rsidRDefault="00A834F1" w:rsidP="009569C7">
      <w:pPr>
        <w:pStyle w:val="Baseparagraphnumbered"/>
      </w:pPr>
      <w:r>
        <w:t xml:space="preserve">A „Hitelkockázat szempontjából kezelt” tétel tartalmazza az eredménnyel szemben valós értéken értékeltnek megjelölt instrumentumok könyv szerinti értékét azzal összefüggésben, hogy azokat az IFRS 9 6.7. bekezdésének megfelelően az eredménnyel szemben valós értéken értékelt </w:t>
      </w:r>
      <w:proofErr w:type="spellStart"/>
      <w:r>
        <w:t>hitelderivatívával</w:t>
      </w:r>
      <w:proofErr w:type="spellEnd"/>
      <w:r>
        <w:t xml:space="preserve"> fedezik a hitelkockázattal szemben. </w:t>
      </w:r>
    </w:p>
    <w:p w:rsidR="009569C7" w:rsidRPr="00EC4FA2" w:rsidRDefault="00A834F1" w:rsidP="009569C7">
      <w:pPr>
        <w:pStyle w:val="subtitlenumbered"/>
        <w:jc w:val="both"/>
      </w:pPr>
      <w:bookmarkStart w:id="338" w:name="_Toc361844260"/>
      <w:bookmarkStart w:id="339" w:name="_Toc362359331"/>
      <w:bookmarkStart w:id="340" w:name="_Toc467855265"/>
      <w:bookmarkStart w:id="341" w:name="_Toc485913642"/>
      <w:r>
        <w:t xml:space="preserve">Tárgyi eszközök </w:t>
      </w:r>
      <w:proofErr w:type="gramStart"/>
      <w:r>
        <w:t>és</w:t>
      </w:r>
      <w:proofErr w:type="gramEnd"/>
      <w:r>
        <w:t xml:space="preserve"> immateriális javak: könyv szerinti érték értékelési módszer szerint (42.)</w:t>
      </w:r>
      <w:bookmarkEnd w:id="338"/>
      <w:bookmarkEnd w:id="339"/>
      <w:bookmarkEnd w:id="340"/>
      <w:bookmarkEnd w:id="341"/>
    </w:p>
    <w:p w:rsidR="009569C7" w:rsidRPr="00EC4FA2" w:rsidRDefault="00A834F1" w:rsidP="009569C7">
      <w:pPr>
        <w:pStyle w:val="Baseparagraphnumbered"/>
      </w:pPr>
      <w:r>
        <w:lastRenderedPageBreak/>
        <w:t xml:space="preserve"> Az „Ingatlanok, gépek és berendezések”, a „Befektetési célú ingatlan” és „Egyéb immateriális javak” tételeket az értékelésükre használt kritériumoknak megfelelően kell feltüntetni.</w:t>
      </w:r>
    </w:p>
    <w:p w:rsidR="009569C7" w:rsidRPr="00EC4FA2" w:rsidRDefault="00A834F1" w:rsidP="009569C7">
      <w:pPr>
        <w:pStyle w:val="Baseparagraphnumbered"/>
      </w:pPr>
      <w:r>
        <w:t>Az „Egyéb immateriális javak” az egyéb immateriális javakat tartalmazza, kivéve a cégértéket.</w:t>
      </w:r>
    </w:p>
    <w:p w:rsidR="009569C7" w:rsidRPr="00EC4FA2" w:rsidRDefault="00A834F1" w:rsidP="009569C7">
      <w:pPr>
        <w:pStyle w:val="subtitlenumbered"/>
        <w:numPr>
          <w:ilvl w:val="0"/>
          <w:numId w:val="17"/>
        </w:numPr>
        <w:jc w:val="both"/>
      </w:pPr>
      <w:bookmarkStart w:id="342" w:name="_Toc361844261"/>
      <w:bookmarkStart w:id="343" w:name="_Toc362359332"/>
      <w:bookmarkStart w:id="344" w:name="_Toc467855266"/>
      <w:bookmarkStart w:id="345" w:name="_Toc485913643"/>
      <w:r>
        <w:t>Céltartalékok (43.)</w:t>
      </w:r>
      <w:bookmarkEnd w:id="342"/>
      <w:bookmarkEnd w:id="343"/>
      <w:bookmarkEnd w:id="344"/>
      <w:bookmarkEnd w:id="345"/>
    </w:p>
    <w:p w:rsidR="009569C7" w:rsidRPr="00EC4FA2" w:rsidRDefault="00A834F1" w:rsidP="009569C7">
      <w:pPr>
        <w:pStyle w:val="Baseparagraphnumbered"/>
      </w:pPr>
      <w:r>
        <w:t>Ez a tábla tartalmazza a „Céltartalékok” időszak eleji és végi könyv szerinti értékének egyeztetését a változások jellege szerint, kivéve az IFRS 9 szerint értékelt céltartalékokat, amelyeket a 12. táblában kell feltüntetni.</w:t>
      </w:r>
    </w:p>
    <w:p w:rsidR="009569C7" w:rsidRPr="00EC4FA2" w:rsidRDefault="00A834F1" w:rsidP="009569C7">
      <w:pPr>
        <w:pStyle w:val="Baseparagraphnumbered"/>
      </w:pPr>
      <w:r>
        <w:t xml:space="preserve">Az „IAS 37 szerint értékelt egyéb elkötelezettségek és adott garanciák és az IFRS 4 szerint értékelt adott garanciák” tartalmazza az IAS 37 szerint értékelt céltartalékokat, valamint az IFRS 4 szerint biztosítási szerződésként kezelt pénzügyi garanciák hitelezési veszteségeit. </w:t>
      </w:r>
    </w:p>
    <w:p w:rsidR="009569C7" w:rsidRPr="00EC4FA2" w:rsidRDefault="00A834F1" w:rsidP="009569C7">
      <w:pPr>
        <w:pStyle w:val="subtitlenumbered"/>
        <w:numPr>
          <w:ilvl w:val="0"/>
          <w:numId w:val="17"/>
        </w:numPr>
        <w:jc w:val="both"/>
      </w:pPr>
      <w:bookmarkStart w:id="346" w:name="_Toc361844262"/>
      <w:bookmarkStart w:id="347" w:name="_Toc362359333"/>
      <w:bookmarkStart w:id="348" w:name="_Toc467855267"/>
      <w:bookmarkStart w:id="349" w:name="_Toc485913644"/>
      <w:r>
        <w:t xml:space="preserve">Meghatározott juttatási programok </w:t>
      </w:r>
      <w:proofErr w:type="gramStart"/>
      <w:r>
        <w:t>és</w:t>
      </w:r>
      <w:proofErr w:type="gramEnd"/>
      <w:r>
        <w:t xml:space="preserve"> munkavállalói juttatások (44.)</w:t>
      </w:r>
      <w:bookmarkEnd w:id="346"/>
      <w:bookmarkEnd w:id="347"/>
      <w:bookmarkEnd w:id="348"/>
      <w:bookmarkEnd w:id="349"/>
    </w:p>
    <w:p w:rsidR="009569C7" w:rsidRPr="00EC4FA2" w:rsidRDefault="00A834F1" w:rsidP="009569C7">
      <w:pPr>
        <w:pStyle w:val="Baseparagraphnumbered"/>
      </w:pPr>
      <w:r>
        <w:t>Ezek a táblák az intézmény összes meghatározott juttatási programjára vonatkozó halmozott adatokat tartalmazzák. Ha az intézménynek egynél több meghatározott juttatási programja van, az összes program összesített értékét kell feltüntetni.</w:t>
      </w:r>
    </w:p>
    <w:p w:rsidR="009569C7" w:rsidRPr="00EC4FA2" w:rsidRDefault="00A834F1" w:rsidP="009569C7">
      <w:pPr>
        <w:pStyle w:val="sub-subtitlenumbered"/>
        <w:keepNext/>
        <w:ind w:left="788" w:hanging="431"/>
        <w:jc w:val="both"/>
      </w:pPr>
      <w:bookmarkStart w:id="350" w:name="_Toc361844263"/>
      <w:bookmarkStart w:id="351" w:name="_Toc362359334"/>
      <w:bookmarkStart w:id="352" w:name="_Toc467855268"/>
      <w:bookmarkStart w:id="353" w:name="_Toc485913645"/>
      <w:r>
        <w:t>A meghatározott juttatási programok nettó eszközeinek és kötelezettségeinek összetevői (44.1.)</w:t>
      </w:r>
      <w:bookmarkEnd w:id="350"/>
      <w:bookmarkEnd w:id="351"/>
      <w:bookmarkEnd w:id="352"/>
      <w:bookmarkEnd w:id="353"/>
    </w:p>
    <w:p w:rsidR="009569C7" w:rsidRPr="00EC4FA2" w:rsidRDefault="00A834F1" w:rsidP="009569C7">
      <w:pPr>
        <w:pStyle w:val="Baseparagraphnumbered"/>
      </w:pPr>
      <w:r>
        <w:t>A meghatározott juttatási programok nettó eszközeinek és kötelezettségeinek összetevőire vonatkozó tábla a meghatározott juttatási programok összes nettó kötelezettségei (eszközei) halmozott jelenértékének egyeztetését, valamint a visszatérítési jogokat [IAS 19 140. bekezdésének a), b) pontja] mutatja be.</w:t>
      </w:r>
    </w:p>
    <w:p w:rsidR="009569C7" w:rsidRPr="00EC4FA2" w:rsidRDefault="00A834F1" w:rsidP="009569C7">
      <w:pPr>
        <w:pStyle w:val="Baseparagraphnumbered"/>
      </w:pPr>
      <w:r>
        <w:t xml:space="preserve">„A meghatározott juttatási program nettó eszközei” többlet esetén tartalmazza a többlet azon összegeit, amelyeket a mérlegben meg kell jeleníteni, mivel azokra nem vonatkoznak az IAS 19 63. bekezdésében meghatározott limitek. Ennek a tételnek az összegét és az „Eszközként megjelenített visszatérítési jogok valós értéke” tájékoztató adatban megjelenített összeget a mérleg „Egyéb eszközök” tétele tartalmazza. </w:t>
      </w:r>
    </w:p>
    <w:p w:rsidR="009569C7" w:rsidRPr="00EC4FA2" w:rsidRDefault="00A834F1" w:rsidP="009569C7">
      <w:pPr>
        <w:pStyle w:val="sub-subtitlenumbered"/>
        <w:jc w:val="both"/>
      </w:pPr>
      <w:r>
        <w:t xml:space="preserve"> </w:t>
      </w:r>
      <w:bookmarkStart w:id="354" w:name="_Toc361844264"/>
      <w:bookmarkStart w:id="355" w:name="_Toc362359335"/>
      <w:bookmarkStart w:id="356" w:name="_Toc467855269"/>
      <w:bookmarkStart w:id="357" w:name="_Toc485913646"/>
      <w:r>
        <w:t>A meghatározott juttatási programban vállalt kötelmek változásai (44.2.)</w:t>
      </w:r>
      <w:bookmarkEnd w:id="354"/>
      <w:bookmarkEnd w:id="355"/>
      <w:bookmarkEnd w:id="356"/>
      <w:bookmarkEnd w:id="357"/>
    </w:p>
    <w:p w:rsidR="009569C7" w:rsidRPr="00EC4FA2" w:rsidRDefault="00A834F1" w:rsidP="009569C7">
      <w:pPr>
        <w:pStyle w:val="Baseparagraphnumbered"/>
      </w:pPr>
      <w:r>
        <w:t>A meghatározott juttatási programban vállalt kötelmek változásaira vonatkozó tábla az intézmény összes meghatározott juttatási kötelme halmozott jelenértékének nyitó és záró egyenlegére vonatkozó egyeztetést mutatja. Az IAS 19 141. bekezdésében felsorolt különböző elemek időszak alatti hatásait külön kell megjeleníteni.</w:t>
      </w:r>
    </w:p>
    <w:p w:rsidR="009569C7" w:rsidRPr="00EC4FA2" w:rsidRDefault="00A834F1" w:rsidP="009569C7">
      <w:pPr>
        <w:pStyle w:val="Baseparagraphnumbered"/>
      </w:pPr>
      <w:r>
        <w:t xml:space="preserve">A meghatározott juttatási programban vállalt kötelmek változására vonatkozó táblában feltüntetett „Záró egyenleg [jelenérték]” összegének </w:t>
      </w:r>
      <w:r>
        <w:lastRenderedPageBreak/>
        <w:t>egyenlőnek kell lennie a „Meghatározott juttatási kötelmek jelenértéke” összegével.</w:t>
      </w:r>
    </w:p>
    <w:p w:rsidR="009569C7" w:rsidRPr="00EC4FA2" w:rsidRDefault="00A834F1" w:rsidP="009569C7">
      <w:pPr>
        <w:pStyle w:val="sub-subtitlenumbered"/>
        <w:jc w:val="both"/>
      </w:pPr>
      <w:bookmarkStart w:id="358" w:name="_Toc361844265"/>
      <w:bookmarkStart w:id="359" w:name="_Toc362359336"/>
      <w:bookmarkStart w:id="360" w:name="_Toc467855270"/>
      <w:bookmarkStart w:id="361" w:name="_Toc485913647"/>
      <w:r>
        <w:t>Tájékoztató adatok [személyi jellegű ráfordításokhoz kapcsolódó] (44.3.)</w:t>
      </w:r>
      <w:bookmarkEnd w:id="358"/>
      <w:bookmarkEnd w:id="359"/>
      <w:bookmarkEnd w:id="360"/>
      <w:bookmarkEnd w:id="361"/>
    </w:p>
    <w:p w:rsidR="009569C7" w:rsidRPr="00EC4FA2" w:rsidRDefault="00A834F1" w:rsidP="009569C7">
      <w:pPr>
        <w:pStyle w:val="Baseparagraphnumbered"/>
      </w:pPr>
      <w:r>
        <w:t xml:space="preserve">A személyi jellegű ráfordításokhoz kapcsolódó tájékoztató adatok feltüntetésekor a következő fogalmakat kell használni: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 „Nyugdíjak és hasonló ráfordítások” az időszak alatt bármely munkaviszony megszűnése utáni szolgáltatás nyújtására vonatkozó kötelem (meghatározott hozzájárulási programok és meghatározott juttatási programok) tekintetében személyi jellegű kiadásként megjelenített összegeket és társadalombiztosítási hozzájárulásokat tartalmazza. </w:t>
      </w:r>
    </w:p>
    <w:p w:rsidR="009569C7" w:rsidRPr="00EC4FA2" w:rsidRDefault="00A834F1" w:rsidP="009569C7">
      <w:pPr>
        <w:numPr>
          <w:ilvl w:val="0"/>
          <w:numId w:val="19"/>
        </w:numPr>
        <w:spacing w:before="120" w:after="120"/>
        <w:ind w:left="1134" w:hanging="426"/>
        <w:jc w:val="both"/>
        <w:rPr>
          <w:rFonts w:ascii="Times New Roman" w:hAnsi="Times New Roman"/>
          <w:sz w:val="24"/>
          <w:szCs w:val="24"/>
        </w:rPr>
      </w:pPr>
      <w:r>
        <w:rPr>
          <w:rFonts w:ascii="Times New Roman" w:hAnsi="Times New Roman"/>
          <w:sz w:val="24"/>
        </w:rPr>
        <w:t xml:space="preserve">A „Részvényalapú kifizetések” az időszak alatt a személyi jellegű kiadásként megjelenített részvényalapú kifizetések összegét tartalmazza. </w:t>
      </w:r>
    </w:p>
    <w:p w:rsidR="009569C7" w:rsidRPr="00EC4FA2" w:rsidRDefault="00A834F1" w:rsidP="009569C7">
      <w:pPr>
        <w:pStyle w:val="subtitlenumbered"/>
        <w:numPr>
          <w:ilvl w:val="0"/>
          <w:numId w:val="17"/>
        </w:numPr>
        <w:jc w:val="both"/>
      </w:pPr>
      <w:bookmarkStart w:id="362" w:name="_Toc361844266"/>
      <w:bookmarkStart w:id="363" w:name="_Toc362359337"/>
      <w:bookmarkStart w:id="364" w:name="_Toc467855271"/>
      <w:bookmarkStart w:id="365" w:name="_Toc485913648"/>
      <w:r>
        <w:t>Az eredménykimutatás kiválasztott tételeinek részletezése (45.)</w:t>
      </w:r>
      <w:bookmarkEnd w:id="362"/>
      <w:bookmarkEnd w:id="363"/>
      <w:bookmarkEnd w:id="364"/>
      <w:bookmarkEnd w:id="365"/>
    </w:p>
    <w:p w:rsidR="009569C7" w:rsidRPr="00EC4FA2" w:rsidRDefault="00A834F1" w:rsidP="009569C7">
      <w:pPr>
        <w:pStyle w:val="sub-subtitlenumbered"/>
        <w:jc w:val="both"/>
      </w:pPr>
      <w:bookmarkStart w:id="366" w:name="_Toc467855272"/>
      <w:bookmarkStart w:id="367" w:name="_Toc485913649"/>
      <w:bookmarkStart w:id="368" w:name="_Toc361844267"/>
      <w:bookmarkStart w:id="369" w:name="_Toc362359338"/>
      <w:r>
        <w:t>Az eredménnyel szemben valós értéken értékeltnek megjelölt pénzügyi eszközök és kötelezettségek nyeresége vagy vesztesége számviteli portfólió szerint (45.1.)</w:t>
      </w:r>
      <w:bookmarkEnd w:id="366"/>
      <w:bookmarkEnd w:id="367"/>
    </w:p>
    <w:p w:rsidR="009569C7" w:rsidRPr="00EC4FA2" w:rsidRDefault="00A834F1" w:rsidP="009569C7">
      <w:pPr>
        <w:pStyle w:val="Baseparagraphnumbered"/>
      </w:pPr>
      <w:r>
        <w:t>„Az eredménnyel szemben valós értéken értékeltnek megjelölt pénzügyi kötelezettségek” csak akkor tartalmazza az eredménnyel szemben valós értéken értékeltnek megjelölt kötelezettségek kibocsátóinak saját hitelkockázatában bekövetkezett változásokból eredő nyereségeket vagy veszteségeket, ha az adatszolgáltató intézmény úgy döntött, hogy azokat az eredményben jeleníti meg, mivel az egyéb átfogó jövedelemben való megjelenítés számviteli meg nem felelést eredményezne vagy növelné azt.</w:t>
      </w:r>
    </w:p>
    <w:p w:rsidR="009569C7" w:rsidRPr="00EC4FA2" w:rsidRDefault="00A834F1" w:rsidP="009569C7">
      <w:pPr>
        <w:pStyle w:val="sub-subtitlenumbered"/>
        <w:jc w:val="both"/>
      </w:pPr>
      <w:bookmarkStart w:id="370" w:name="_Toc467855273"/>
      <w:bookmarkStart w:id="371" w:name="_Toc485913650"/>
      <w:r>
        <w:t>Nem pénzügyi eszközök kivezetéséből származó nyereség vagy veszteség (45.2.)</w:t>
      </w:r>
      <w:bookmarkEnd w:id="368"/>
      <w:bookmarkEnd w:id="369"/>
      <w:bookmarkEnd w:id="370"/>
      <w:bookmarkEnd w:id="371"/>
    </w:p>
    <w:p w:rsidR="009569C7" w:rsidRPr="00EC4FA2" w:rsidRDefault="00A834F1" w:rsidP="009569C7">
      <w:pPr>
        <w:pStyle w:val="Baseparagraphnumbered"/>
      </w:pPr>
      <w:r>
        <w:t xml:space="preserve">A „Nem pénzügyi eszközök kivezetéséből származó nyereség vagy veszteség” tételt eszköztípus szerint kell részletezni; minden egyes sorban meg kell adni a kivezetett eszközből származó nyereséget vagy veszteséget. Az „Egyéb eszközök” tartalmazza a máshol fel nem tüntetett egyéb tárgyi eszközöket, immateriális javakat és befektetéseket.  </w:t>
      </w:r>
    </w:p>
    <w:p w:rsidR="009569C7" w:rsidRPr="00EC4FA2" w:rsidRDefault="00A834F1" w:rsidP="009569C7">
      <w:pPr>
        <w:pStyle w:val="sub-subtitlenumbered"/>
        <w:jc w:val="both"/>
      </w:pPr>
      <w:bookmarkStart w:id="372" w:name="_Toc361844268"/>
      <w:bookmarkStart w:id="373" w:name="_Toc362359339"/>
      <w:bookmarkStart w:id="374" w:name="_Toc467855274"/>
      <w:bookmarkStart w:id="375" w:name="_Toc485913651"/>
      <w:r>
        <w:t>Egyéb működési bevételek és ráfordítások (45.3.)</w:t>
      </w:r>
      <w:bookmarkEnd w:id="372"/>
      <w:bookmarkEnd w:id="373"/>
      <w:bookmarkEnd w:id="374"/>
      <w:bookmarkEnd w:id="375"/>
    </w:p>
    <w:p w:rsidR="009569C7" w:rsidRPr="00EC4FA2" w:rsidRDefault="00A834F1" w:rsidP="009569C7">
      <w:pPr>
        <w:pStyle w:val="Baseparagraphnumbered"/>
      </w:pPr>
      <w:r>
        <w:t xml:space="preserve">Az egyéb működési bevételeket és ráfordításokat a következő tételek szerint kell részletezni: a valósérték-modell alkalmazásával értékelt tárgyi eszközök valósérték-korrekciói; befektetési célú ingatlanokból származó </w:t>
      </w:r>
      <w:proofErr w:type="spellStart"/>
      <w:r>
        <w:t>bérletidíj-bevételek</w:t>
      </w:r>
      <w:proofErr w:type="spellEnd"/>
      <w:r>
        <w:t xml:space="preserve"> és közvetlen működési költségek; az operatív lízingből (kivéve a nem befektetési célú ingatlanokból) származó bevételek és ráfordítások, és a többi működési bevétel és ráfordítás. </w:t>
      </w:r>
    </w:p>
    <w:p w:rsidR="009569C7" w:rsidRPr="00EC4FA2" w:rsidRDefault="00A834F1" w:rsidP="009569C7">
      <w:pPr>
        <w:pStyle w:val="Baseparagraphnumbered"/>
      </w:pPr>
      <w:r>
        <w:t xml:space="preserve">Az „Operatív lízing, kivéve befektetési célú ingatlan” a „bevétel” oszlopban tartalmazza az intézmény, mint lízingbe adó által operatív </w:t>
      </w:r>
      <w:r>
        <w:lastRenderedPageBreak/>
        <w:t>lízingtevékenysége – kivéve a befektetési célú ingatlanként minősített eszközökkel folytatott ilyen tevékenységet – során kapott hozamokat, a „Ráfordítások” oszlopban pedig a nála felmerült költségeket. Az intézmény, mint lízingbe vevő költségeit az „Egyéb adminisztrációs ráfordítások” tételnél kell feltüntetni.</w:t>
      </w:r>
    </w:p>
    <w:p w:rsidR="009569C7" w:rsidRPr="00EC4FA2" w:rsidRDefault="00A834F1" w:rsidP="009569C7">
      <w:pPr>
        <w:pStyle w:val="Baseparagraphnumbered"/>
      </w:pPr>
      <w:r>
        <w:t>Az értékesítési költségekkel csökkentett valós értéken értékelt arany, egyéb nemesfém-állományok és egyéb áruk kivezetéséből és átértékeléséből származó nyereséget és veszteséget az „Egyéb működési bevételek. Egyéb” vagy az „Egyéb működési költségek. Egyéb” tételben kell megadni.</w:t>
      </w:r>
    </w:p>
    <w:p w:rsidR="009569C7" w:rsidRPr="00EC4FA2" w:rsidRDefault="00A834F1" w:rsidP="009569C7">
      <w:pPr>
        <w:pStyle w:val="subtitlenumbered"/>
        <w:jc w:val="both"/>
      </w:pPr>
      <w:bookmarkStart w:id="376" w:name="_Toc246770634"/>
      <w:bookmarkStart w:id="377" w:name="_Toc361844269"/>
      <w:bookmarkStart w:id="378" w:name="_Toc362359340"/>
      <w:bookmarkStart w:id="379" w:name="_Toc467855275"/>
      <w:bookmarkStart w:id="380" w:name="_Toc485913652"/>
      <w:r>
        <w:t>A sajáttőke-változások kimutatása</w:t>
      </w:r>
      <w:bookmarkEnd w:id="376"/>
      <w:r>
        <w:t xml:space="preserve"> (46.)</w:t>
      </w:r>
      <w:bookmarkEnd w:id="377"/>
      <w:bookmarkEnd w:id="378"/>
      <w:bookmarkEnd w:id="379"/>
      <w:bookmarkEnd w:id="380"/>
    </w:p>
    <w:p w:rsidR="009569C7" w:rsidRPr="00EC4FA2" w:rsidRDefault="00A834F1" w:rsidP="009569C7">
      <w:pPr>
        <w:pStyle w:val="Baseparagraphnumbered"/>
      </w:pPr>
      <w:r>
        <w:t>A saját tőke változásainak kimutatása a saját tőke minden egyes elemére vonatkozóan tartalmazza az időszak eleji (nyitó egyenleg) és az időszak végi (záró egyenleg) könyv szerinti értékek egyeztetését.</w:t>
      </w:r>
    </w:p>
    <w:p w:rsidR="009569C7" w:rsidRPr="00EC4FA2" w:rsidRDefault="00A834F1" w:rsidP="009569C7">
      <w:pPr>
        <w:pStyle w:val="Baseparagraphnumbered"/>
        <w:rPr>
          <w:caps/>
        </w:rPr>
      </w:pPr>
      <w:r>
        <w:t xml:space="preserve">Az „Átvezetés a saját tőke összetevői között” tartalmazza a saját tőkén belül átvezetett valamennyi összeget, ideértve az eredménnyel szemben valós értéken értékeltnek megjelölt kötelezettségek saját hitelkockázatából eredő nyereségeket és veszteségeket, valamint az egyéb átfogó jövedelemmel szemben valós értéken értékelt, tulajdoni részesedést megtestesítő instrumentumok halmozott valósérték-változásait, amelyeket a kivezetéskor a saját tőke egyéb összetevői közé vezetnek át. </w:t>
      </w:r>
    </w:p>
    <w:p w:rsidR="009569C7" w:rsidRPr="00EC4FA2" w:rsidRDefault="009569C7" w:rsidP="009569C7">
      <w:pPr>
        <w:jc w:val="center"/>
        <w:rPr>
          <w:rFonts w:ascii="Times New Roman" w:hAnsi="Times New Roman"/>
          <w:b/>
          <w:sz w:val="24"/>
          <w:szCs w:val="24"/>
        </w:rPr>
      </w:pPr>
      <w:bookmarkStart w:id="381" w:name="_Toc361844270"/>
    </w:p>
    <w:p w:rsidR="009569C7" w:rsidRPr="00EC4FA2" w:rsidRDefault="00A834F1" w:rsidP="009569C7">
      <w:pPr>
        <w:jc w:val="center"/>
        <w:rPr>
          <w:rFonts w:ascii="Times New Roman" w:hAnsi="Times New Roman"/>
          <w:b/>
          <w:sz w:val="24"/>
          <w:szCs w:val="24"/>
        </w:rPr>
      </w:pPr>
      <w:r>
        <w:rPr>
          <w:rFonts w:ascii="Times New Roman" w:hAnsi="Times New Roman"/>
          <w:b/>
          <w:sz w:val="24"/>
        </w:rPr>
        <w:t>3. RÉSZ</w:t>
      </w:r>
      <w:bookmarkEnd w:id="381"/>
    </w:p>
    <w:p w:rsidR="009569C7" w:rsidRPr="00EC4FA2" w:rsidRDefault="00A834F1" w:rsidP="009569C7">
      <w:pPr>
        <w:pStyle w:val="Heading1"/>
      </w:pPr>
      <w:bookmarkStart w:id="382" w:name="_Toc359315703"/>
      <w:bookmarkStart w:id="383" w:name="_Toc361844271"/>
      <w:bookmarkStart w:id="384" w:name="_Toc362359341"/>
      <w:bookmarkStart w:id="385" w:name="_Toc467855276"/>
      <w:bookmarkStart w:id="386" w:name="_Toc485913653"/>
      <w:r>
        <w:t xml:space="preserve">A kitettségi osztályok </w:t>
      </w:r>
      <w:proofErr w:type="gramStart"/>
      <w:r>
        <w:t>és</w:t>
      </w:r>
      <w:proofErr w:type="gramEnd"/>
      <w:r>
        <w:t xml:space="preserve"> ügyfélszektorok megfeleltetése</w:t>
      </w:r>
      <w:bookmarkEnd w:id="382"/>
      <w:bookmarkEnd w:id="383"/>
      <w:bookmarkEnd w:id="384"/>
      <w:bookmarkEnd w:id="385"/>
      <w:bookmarkEnd w:id="386"/>
    </w:p>
    <w:p w:rsidR="009569C7" w:rsidRPr="00EC4FA2" w:rsidRDefault="009569C7" w:rsidP="009569C7"/>
    <w:p w:rsidR="009569C7" w:rsidRPr="00EC4FA2" w:rsidRDefault="00A834F1" w:rsidP="009569C7">
      <w:pPr>
        <w:pStyle w:val="Baseparagraphnumbered"/>
        <w:numPr>
          <w:ilvl w:val="0"/>
          <w:numId w:val="37"/>
        </w:numPr>
      </w:pPr>
      <w:r>
        <w:t xml:space="preserve">A 2. és a 3. táblázat a tőkekövetelmények CRR szerinti kiszámításához használt kitettségi osztályokat felelteti meg a </w:t>
      </w:r>
      <w:proofErr w:type="spellStart"/>
      <w:r>
        <w:t>FINREP-táblákban</w:t>
      </w:r>
      <w:proofErr w:type="spellEnd"/>
      <w:r>
        <w:t xml:space="preserve"> használt ügyfélszektoroknak.</w:t>
      </w:r>
    </w:p>
    <w:p w:rsidR="009569C7" w:rsidRPr="00EC4FA2" w:rsidRDefault="00A834F1" w:rsidP="009569C7">
      <w:pPr>
        <w:jc w:val="center"/>
        <w:rPr>
          <w:rFonts w:ascii="Times New Roman" w:hAnsi="Times New Roman"/>
          <w:bCs/>
          <w:i/>
          <w:sz w:val="24"/>
          <w:szCs w:val="24"/>
        </w:rPr>
      </w:pPr>
      <w:r>
        <w:rPr>
          <w:rFonts w:ascii="Times New Roman" w:hAnsi="Times New Roman"/>
          <w:i/>
          <w:sz w:val="24"/>
        </w:rPr>
        <w:t>2. táblázat: Sztenderd módszer</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Tr="009569C7">
        <w:trPr>
          <w:tblHeader/>
        </w:trPr>
        <w:tc>
          <w:tcPr>
            <w:tcW w:w="3168"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SA kitettségi osztályok (CRR 112. cikke)</w:t>
            </w:r>
          </w:p>
        </w:tc>
        <w:tc>
          <w:tcPr>
            <w:tcW w:w="306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FINREP ügyfélszektorok</w:t>
            </w:r>
          </w:p>
        </w:tc>
        <w:tc>
          <w:tcPr>
            <w:tcW w:w="3240" w:type="dxa"/>
            <w:vAlign w:val="center"/>
          </w:tcPr>
          <w:p w:rsidR="009569C7" w:rsidRPr="00EC4FA2" w:rsidRDefault="00A834F1" w:rsidP="009569C7">
            <w:pPr>
              <w:spacing w:before="60" w:after="60"/>
              <w:jc w:val="center"/>
              <w:rPr>
                <w:rFonts w:ascii="Times New Roman" w:hAnsi="Times New Roman"/>
                <w:b/>
                <w:bCs/>
                <w:i/>
                <w:iCs/>
                <w:sz w:val="20"/>
              </w:rPr>
            </w:pPr>
            <w:r>
              <w:rPr>
                <w:rFonts w:ascii="Times New Roman" w:hAnsi="Times New Roman"/>
                <w:b/>
                <w:i/>
                <w:sz w:val="20"/>
              </w:rPr>
              <w:t>Megjegyzések</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a) Központi kormányzatok vagy központi bankok</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Központi bankok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b) Regionális kormányzatok vagy helyi hatóságok</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c) Közszektorbeli intézmények</w:t>
            </w:r>
          </w:p>
        </w:tc>
        <w:tc>
          <w:tcPr>
            <w:tcW w:w="306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(2) Államháztartások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14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d) Multilaterális fejlesztési bankok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70"/>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 Nemzetközi szervezetek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f) Intézmények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(vagyis hitelintézetek és befektetési vállalkozások)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Vállalkozások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(5) Nem pénzügyi vállalatok </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Háztartások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h) Lakosság</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(6) Háztartások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134"/>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i) Ingatlanra bejegyzett zálogjoggal fedezett kitettségek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 (6) Háztartások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6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j) </w:t>
            </w:r>
            <w:proofErr w:type="spellStart"/>
            <w:r>
              <w:rPr>
                <w:rFonts w:ascii="Times New Roman" w:hAnsi="Times New Roman"/>
                <w:sz w:val="18"/>
              </w:rPr>
              <w:t>Nemteljesítő</w:t>
            </w:r>
            <w:proofErr w:type="spellEnd"/>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Központi bankok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Háztartások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ja) Kiemelkedően magas kockázatú tételek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(1) Központi bankok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(6) Háztartások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89"/>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k) Fedezett kötvények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(l) Értékpapírosítási pozíciók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Háztartások </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Ezeket a kitettségeket az értékpapírosítás mögöttes kockázata alapján kell hozzárendelni a FINREP ügyfélszektorokhoz. Amikor az értékpapírosítási pozíciók továbbra is szerepelnek a mérlegben, a </w:t>
            </w:r>
            <w:proofErr w:type="spellStart"/>
            <w:r>
              <w:rPr>
                <w:rFonts w:ascii="Times New Roman" w:hAnsi="Times New Roman"/>
                <w:sz w:val="18"/>
              </w:rPr>
              <w:t>FINREP-ben</w:t>
            </w:r>
            <w:proofErr w:type="spellEnd"/>
            <w:r>
              <w:rPr>
                <w:rFonts w:ascii="Times New Roman" w:hAnsi="Times New Roman"/>
                <w:sz w:val="18"/>
              </w:rPr>
              <w:t xml:space="preserve"> az ügyfélszektorok az </w:t>
            </w:r>
            <w:proofErr w:type="gramStart"/>
            <w:r>
              <w:rPr>
                <w:rFonts w:ascii="Times New Roman" w:hAnsi="Times New Roman"/>
                <w:sz w:val="18"/>
              </w:rPr>
              <w:t>ezen</w:t>
            </w:r>
            <w:proofErr w:type="gramEnd"/>
            <w:r>
              <w:rPr>
                <w:rFonts w:ascii="Times New Roman" w:hAnsi="Times New Roman"/>
                <w:sz w:val="18"/>
              </w:rPr>
              <w:t xml:space="preserve"> pozíciók közvetlen partnereinek szektorát jelentik.</w:t>
            </w:r>
          </w:p>
        </w:tc>
      </w:tr>
      <w:tr w:rsidR="005F4BF4" w:rsidTr="009569C7">
        <w:trPr>
          <w:cantSplit/>
          <w:trHeight w:val="267"/>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lastRenderedPageBreak/>
              <w:t>m) Rövid távú hitelminősítéssel rendelkező intézmények és vállalatok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spacing w:before="60" w:after="60"/>
              <w:rPr>
                <w:rFonts w:ascii="Times New Roman" w:hAnsi="Times New Roman"/>
                <w:sz w:val="18"/>
                <w:szCs w:val="18"/>
              </w:rPr>
            </w:pPr>
            <w:r>
              <w:rPr>
                <w:rFonts w:ascii="Times New Roman" w:hAnsi="Times New Roman"/>
                <w:sz w:val="18"/>
              </w:rPr>
              <w:t>(5) Nem pénzügyi vállalatok</w:t>
            </w: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rPr>
          <w:cantSplit/>
          <w:trHeight w:val="263"/>
        </w:trPr>
        <w:tc>
          <w:tcPr>
            <w:tcW w:w="3168"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n) Kollektív befektetési formák</w:t>
            </w:r>
          </w:p>
        </w:tc>
        <w:tc>
          <w:tcPr>
            <w:tcW w:w="306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Tulajdoni részesedést megtestesítő instrumentumok</w:t>
            </w:r>
          </w:p>
          <w:p w:rsidR="009569C7" w:rsidRPr="00EC4FA2" w:rsidRDefault="009569C7" w:rsidP="009569C7">
            <w:pPr>
              <w:spacing w:before="60" w:after="60"/>
              <w:rPr>
                <w:rFonts w:ascii="Times New Roman" w:hAnsi="Times New Roman"/>
                <w:sz w:val="18"/>
                <w:szCs w:val="18"/>
              </w:rPr>
            </w:pPr>
          </w:p>
        </w:tc>
        <w:tc>
          <w:tcPr>
            <w:tcW w:w="3240"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KBF-be</w:t>
            </w:r>
            <w:proofErr w:type="spellEnd"/>
            <w:r>
              <w:rPr>
                <w:rFonts w:ascii="Times New Roman" w:hAnsi="Times New Roman"/>
                <w:sz w:val="18"/>
              </w:rPr>
              <w:t xml:space="preserve"> történő befektetéseket tulajdoni részesedést megtestesítő instrumentumként kell a </w:t>
            </w:r>
            <w:proofErr w:type="spellStart"/>
            <w:r>
              <w:rPr>
                <w:rFonts w:ascii="Times New Roman" w:hAnsi="Times New Roman"/>
                <w:sz w:val="18"/>
              </w:rPr>
              <w:t>FINREP-ben</w:t>
            </w:r>
            <w:proofErr w:type="spellEnd"/>
            <w:r>
              <w:rPr>
                <w:rFonts w:ascii="Times New Roman" w:hAnsi="Times New Roman"/>
                <w:sz w:val="18"/>
              </w:rPr>
              <w:t xml:space="preserve"> feltüntetni, függetlenül attól, hogy a CRR lehetővé teszi-e a vizsgálati módszert („</w:t>
            </w:r>
            <w:proofErr w:type="spellStart"/>
            <w:r>
              <w:rPr>
                <w:rFonts w:ascii="Times New Roman" w:hAnsi="Times New Roman"/>
                <w:sz w:val="18"/>
              </w:rPr>
              <w:t>look-through</w:t>
            </w:r>
            <w:proofErr w:type="spellEnd"/>
            <w:r>
              <w:rPr>
                <w:rFonts w:ascii="Times New Roman" w:hAnsi="Times New Roman"/>
                <w:sz w:val="18"/>
              </w:rPr>
              <w:t>”).</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br w:type="page"/>
            </w:r>
            <w:r>
              <w:rPr>
                <w:rFonts w:ascii="Times New Roman" w:hAnsi="Times New Roman"/>
                <w:sz w:val="18"/>
              </w:rPr>
              <w:t xml:space="preserve"> o) Saját tőke</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Tulajdoni részesedést megtestesítő instrumentumok</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FINREP-ben</w:t>
            </w:r>
            <w:proofErr w:type="spellEnd"/>
            <w:r>
              <w:rPr>
                <w:rFonts w:ascii="Times New Roman" w:hAnsi="Times New Roman"/>
                <w:sz w:val="18"/>
              </w:rPr>
              <w:t xml:space="preserve"> a részvényeket instrumentumként el kell különíteni a pénzügyi eszközök különböző kategóriáiban.</w:t>
            </w:r>
          </w:p>
        </w:tc>
      </w:tr>
      <w:tr w:rsidR="005F4BF4"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p) Egyéb tételek.</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gramStart"/>
            <w:r>
              <w:rPr>
                <w:rFonts w:ascii="Times New Roman" w:hAnsi="Times New Roman"/>
                <w:sz w:val="18"/>
              </w:rPr>
              <w:t>mérleg különböző</w:t>
            </w:r>
            <w:proofErr w:type="gramEnd"/>
            <w:r>
              <w:rPr>
                <w:rFonts w:ascii="Times New Roman" w:hAnsi="Times New Roman"/>
                <w:sz w:val="18"/>
              </w:rPr>
              <w:t xml:space="preserve"> tételei</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FINREP-ben</w:t>
            </w:r>
            <w:proofErr w:type="spellEnd"/>
            <w:r>
              <w:rPr>
                <w:rFonts w:ascii="Times New Roman" w:hAnsi="Times New Roman"/>
                <w:sz w:val="18"/>
              </w:rPr>
              <w:t xml:space="preserve"> az egyéb tételek különböző eszközkategóriákban szerepelhetnek.</w:t>
            </w:r>
          </w:p>
        </w:tc>
      </w:tr>
    </w:tbl>
    <w:p w:rsidR="009569C7" w:rsidRPr="00EC4FA2" w:rsidRDefault="009569C7" w:rsidP="009569C7">
      <w:pPr>
        <w:pStyle w:val="Baseparagraphnumbered"/>
        <w:numPr>
          <w:ilvl w:val="0"/>
          <w:numId w:val="0"/>
        </w:numPr>
        <w:spacing w:after="0"/>
        <w:ind w:left="782"/>
      </w:pPr>
    </w:p>
    <w:p w:rsidR="009569C7" w:rsidRPr="00EC4FA2" w:rsidRDefault="00A834F1" w:rsidP="009569C7">
      <w:pPr>
        <w:keepNext/>
        <w:jc w:val="center"/>
        <w:rPr>
          <w:rFonts w:ascii="Times New Roman" w:hAnsi="Times New Roman"/>
          <w:bCs/>
          <w:i/>
          <w:sz w:val="24"/>
          <w:szCs w:val="24"/>
        </w:rPr>
      </w:pPr>
      <w:r>
        <w:rPr>
          <w:rFonts w:ascii="Times New Roman" w:hAnsi="Times New Roman"/>
          <w:i/>
          <w:sz w:val="24"/>
        </w:rPr>
        <w:t>3. táblázat: Belső minősítésen alapuló módszer</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Tr="009569C7">
        <w:trPr>
          <w:tblHeader/>
        </w:trPr>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IRBA Kitettségi osztályok</w:t>
            </w:r>
          </w:p>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(CRR 147. cikke)</w:t>
            </w:r>
          </w:p>
        </w:tc>
        <w:tc>
          <w:tcPr>
            <w:tcW w:w="3055"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FINREP ügyfélszektorok</w:t>
            </w:r>
          </w:p>
        </w:tc>
        <w:tc>
          <w:tcPr>
            <w:tcW w:w="3212" w:type="dxa"/>
            <w:vAlign w:val="center"/>
          </w:tcPr>
          <w:p w:rsidR="009569C7" w:rsidRPr="00EC4FA2" w:rsidRDefault="00A834F1" w:rsidP="009569C7">
            <w:pPr>
              <w:keepNext/>
              <w:spacing w:before="60" w:after="60"/>
              <w:jc w:val="center"/>
              <w:rPr>
                <w:rFonts w:ascii="Times New Roman" w:hAnsi="Times New Roman"/>
                <w:b/>
                <w:bCs/>
                <w:i/>
                <w:iCs/>
                <w:sz w:val="20"/>
              </w:rPr>
            </w:pPr>
            <w:r>
              <w:rPr>
                <w:rFonts w:ascii="Times New Roman" w:hAnsi="Times New Roman"/>
                <w:b/>
                <w:i/>
                <w:sz w:val="20"/>
              </w:rPr>
              <w:t>Megjegyzések</w:t>
            </w:r>
          </w:p>
        </w:tc>
      </w:tr>
      <w:tr w:rsidR="005F4BF4" w:rsidTr="009569C7">
        <w:trPr>
          <w:cantSplit/>
          <w:trHeight w:val="438"/>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a) Központi kormányzatok és központi bankok</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(1) Központi bankok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Hitelintézetek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Ezeket a kitettségeket a közvetlen partner jellege alapján kell hozzárendelni a FINREP ügyfélszektorokhoz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b) Intézmények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(vagyis hitelintézetek és befektetési vállalkozások</w:t>
            </w:r>
            <w:r>
              <w:t>,</w:t>
            </w:r>
            <w:r>
              <w:rPr>
                <w:rFonts w:ascii="Times New Roman" w:hAnsi="Times New Roman"/>
                <w:i/>
                <w:sz w:val="20"/>
              </w:rPr>
              <w:t xml:space="preserve"> </w:t>
            </w:r>
            <w:r>
              <w:rPr>
                <w:rFonts w:ascii="Times New Roman" w:hAnsi="Times New Roman"/>
                <w:sz w:val="18"/>
              </w:rPr>
              <w:t>valamint bizonyos államháztartások és multilaterális bankok)</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(2) Államháztartások </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c) Vállalkozások</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Háztartások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d) Lakosság</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(6) Háztartások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Ezeket a kitettségeket a közvetlen partner jellege alapján kell hozzárendelni a FINREP ügyfélszektorokhoz</w:t>
            </w:r>
          </w:p>
        </w:tc>
      </w:tr>
      <w:tr w:rsidR="005F4BF4" w:rsidTr="009569C7">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e) Saját tőke</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Tulajdoni részesedést megtestesítő instrumentumok</w:t>
            </w: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FINREP-ben</w:t>
            </w:r>
            <w:proofErr w:type="spellEnd"/>
            <w:r>
              <w:rPr>
                <w:rFonts w:ascii="Times New Roman" w:hAnsi="Times New Roman"/>
                <w:sz w:val="18"/>
              </w:rPr>
              <w:t xml:space="preserve"> a részvényeket instrumentumként el kell különíteni a pénzügyi eszközök különböző kategóriáiban. </w:t>
            </w:r>
          </w:p>
        </w:tc>
      </w:tr>
      <w:tr w:rsidR="005F4BF4" w:rsidTr="009569C7">
        <w:trPr>
          <w:cantSplit/>
        </w:trPr>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f) Értékpapírosítási pozíciók</w:t>
            </w:r>
          </w:p>
        </w:tc>
        <w:tc>
          <w:tcPr>
            <w:tcW w:w="3055"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(2) Államháztartások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(3) Hitelintézetek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(4) Egyéb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(5) Nem pénzügyi vállalatok</w:t>
            </w:r>
          </w:p>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(6) Háztartások </w:t>
            </w:r>
          </w:p>
          <w:p w:rsidR="009569C7" w:rsidRPr="00EC4FA2" w:rsidRDefault="009569C7" w:rsidP="009569C7">
            <w:pPr>
              <w:keepNext/>
              <w:spacing w:before="60" w:after="60"/>
              <w:rPr>
                <w:rFonts w:ascii="Times New Roman" w:hAnsi="Times New Roman"/>
                <w:sz w:val="18"/>
                <w:szCs w:val="18"/>
              </w:rPr>
            </w:pPr>
          </w:p>
        </w:tc>
        <w:tc>
          <w:tcPr>
            <w:tcW w:w="3212" w:type="dxa"/>
            <w:vAlign w:val="center"/>
          </w:tcPr>
          <w:p w:rsidR="009569C7" w:rsidRPr="00EC4FA2" w:rsidRDefault="00A834F1" w:rsidP="009569C7">
            <w:pPr>
              <w:keepNext/>
              <w:spacing w:before="60" w:after="60"/>
              <w:rPr>
                <w:rFonts w:ascii="Times New Roman" w:hAnsi="Times New Roman"/>
                <w:sz w:val="18"/>
                <w:szCs w:val="18"/>
              </w:rPr>
            </w:pPr>
            <w:r>
              <w:rPr>
                <w:rFonts w:ascii="Times New Roman" w:hAnsi="Times New Roman"/>
                <w:sz w:val="18"/>
              </w:rPr>
              <w:t xml:space="preserve">Ezeket a kitettségeket az értékpapírosítási pozíció mögöttes kockázata alapján kell hozzárendelni a FINREP ügyfélszektorokhoz. Amikor az értékpapírosítási pozíciók továbbra is szerepelnek a mérlegben, a </w:t>
            </w:r>
            <w:proofErr w:type="spellStart"/>
            <w:r>
              <w:rPr>
                <w:rFonts w:ascii="Times New Roman" w:hAnsi="Times New Roman"/>
                <w:sz w:val="18"/>
              </w:rPr>
              <w:t>FINREP-ben</w:t>
            </w:r>
            <w:proofErr w:type="spellEnd"/>
            <w:r>
              <w:rPr>
                <w:rFonts w:ascii="Times New Roman" w:hAnsi="Times New Roman"/>
                <w:sz w:val="18"/>
              </w:rPr>
              <w:t xml:space="preserve"> az ügyfélszektorok az </w:t>
            </w:r>
            <w:proofErr w:type="gramStart"/>
            <w:r>
              <w:rPr>
                <w:rFonts w:ascii="Times New Roman" w:hAnsi="Times New Roman"/>
                <w:sz w:val="18"/>
              </w:rPr>
              <w:t>ezen</w:t>
            </w:r>
            <w:proofErr w:type="gramEnd"/>
            <w:r>
              <w:rPr>
                <w:rFonts w:ascii="Times New Roman" w:hAnsi="Times New Roman"/>
                <w:sz w:val="18"/>
              </w:rPr>
              <w:t xml:space="preserve"> pozíciók közvetlen partnereinek szektorát jelentik.</w:t>
            </w:r>
          </w:p>
        </w:tc>
      </w:tr>
      <w:tr w:rsidR="005F4BF4" w:rsidTr="009569C7">
        <w:trPr>
          <w:trHeight w:val="299"/>
        </w:trPr>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g) Egyéb nem hiteljellegű kötelezettségek</w:t>
            </w:r>
          </w:p>
        </w:tc>
        <w:tc>
          <w:tcPr>
            <w:tcW w:w="3055" w:type="dxa"/>
            <w:vAlign w:val="center"/>
          </w:tcPr>
          <w:p w:rsidR="009569C7" w:rsidRPr="00EC4FA2"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gramStart"/>
            <w:r>
              <w:rPr>
                <w:rFonts w:ascii="Times New Roman" w:hAnsi="Times New Roman"/>
                <w:sz w:val="18"/>
              </w:rPr>
              <w:t>mérleg különböző</w:t>
            </w:r>
            <w:proofErr w:type="gramEnd"/>
            <w:r>
              <w:rPr>
                <w:rFonts w:ascii="Times New Roman" w:hAnsi="Times New Roman"/>
                <w:sz w:val="18"/>
              </w:rPr>
              <w:t xml:space="preserve"> tételei</w:t>
            </w:r>
          </w:p>
        </w:tc>
        <w:tc>
          <w:tcPr>
            <w:tcW w:w="3212" w:type="dxa"/>
            <w:vAlign w:val="center"/>
          </w:tcPr>
          <w:p w:rsidR="009569C7" w:rsidRPr="00014814" w:rsidRDefault="00A834F1" w:rsidP="009569C7">
            <w:pPr>
              <w:spacing w:before="60" w:after="60"/>
              <w:rPr>
                <w:rFonts w:ascii="Times New Roman" w:hAnsi="Times New Roman"/>
                <w:sz w:val="18"/>
                <w:szCs w:val="18"/>
              </w:rPr>
            </w:pPr>
            <w:r>
              <w:rPr>
                <w:rFonts w:ascii="Times New Roman" w:hAnsi="Times New Roman"/>
                <w:sz w:val="18"/>
              </w:rPr>
              <w:t xml:space="preserve">A </w:t>
            </w:r>
            <w:proofErr w:type="spellStart"/>
            <w:r>
              <w:rPr>
                <w:rFonts w:ascii="Times New Roman" w:hAnsi="Times New Roman"/>
                <w:sz w:val="18"/>
              </w:rPr>
              <w:t>FINREP-ben</w:t>
            </w:r>
            <w:proofErr w:type="spellEnd"/>
            <w:r>
              <w:rPr>
                <w:rFonts w:ascii="Times New Roman" w:hAnsi="Times New Roman"/>
                <w:sz w:val="18"/>
              </w:rPr>
              <w:t xml:space="preserve"> az egyéb tételek különböző eszközkategóriákban szerepelhetnek.</w:t>
            </w:r>
          </w:p>
        </w:tc>
      </w:tr>
    </w:tbl>
    <w:p w:rsidR="009569C7" w:rsidRPr="00014814" w:rsidRDefault="009569C7" w:rsidP="009569C7">
      <w:pPr>
        <w:spacing w:after="0"/>
        <w:jc w:val="center"/>
        <w:rPr>
          <w:rFonts w:ascii="Times New Roman" w:hAnsi="Times New Roman"/>
          <w:b/>
          <w:sz w:val="24"/>
          <w:szCs w:val="24"/>
        </w:rPr>
      </w:pPr>
    </w:p>
    <w:p w:rsidR="009569C7" w:rsidRPr="00014814" w:rsidRDefault="009569C7" w:rsidP="009569C7">
      <w:pPr>
        <w:pStyle w:val="Baseparagraphnumbered"/>
        <w:numPr>
          <w:ilvl w:val="0"/>
          <w:numId w:val="0"/>
        </w:numPr>
        <w:ind w:left="782"/>
      </w:pPr>
    </w:p>
    <w:sectPr w:rsidR="009569C7" w:rsidRPr="00014814" w:rsidSect="009569C7">
      <w:footerReference w:type="default" r:id="rId15"/>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E9B" w:rsidRDefault="00861E9B">
      <w:pPr>
        <w:spacing w:after="0"/>
      </w:pPr>
      <w:r>
        <w:separator/>
      </w:r>
    </w:p>
  </w:endnote>
  <w:endnote w:type="continuationSeparator" w:id="0">
    <w:p w:rsidR="00861E9B" w:rsidRDefault="00861E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C35B6F">
      <w:rPr>
        <w:noProof/>
      </w:rPr>
      <w:t>3</w:t>
    </w:r>
    <w:r>
      <w:rPr>
        <w:noProof/>
      </w:rPr>
      <w:fldChar w:fldCharType="end"/>
    </w:r>
  </w:p>
  <w:p w:rsidR="00C82C90" w:rsidRDefault="00C82C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Footer"/>
      <w:jc w:val="right"/>
    </w:pPr>
    <w:r>
      <w:fldChar w:fldCharType="begin"/>
    </w:r>
    <w:r>
      <w:instrText xml:space="preserve"> PAGE   \* MERGEFORMAT </w:instrText>
    </w:r>
    <w:r>
      <w:fldChar w:fldCharType="separate"/>
    </w:r>
    <w:r w:rsidR="00C35B6F">
      <w:rPr>
        <w:noProof/>
      </w:rPr>
      <w:t>71</w:t>
    </w:r>
    <w:r>
      <w:rPr>
        <w:noProof/>
      </w:rPr>
      <w:fldChar w:fldCharType="end"/>
    </w:r>
  </w:p>
  <w:p w:rsidR="00C82C90" w:rsidRDefault="00C82C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E9B" w:rsidRDefault="00861E9B" w:rsidP="009569C7">
      <w:pPr>
        <w:spacing w:after="0"/>
      </w:pPr>
      <w:r>
        <w:separator/>
      </w:r>
    </w:p>
  </w:footnote>
  <w:footnote w:type="continuationSeparator" w:id="0">
    <w:p w:rsidR="00861E9B" w:rsidRDefault="00861E9B" w:rsidP="009569C7">
      <w:pPr>
        <w:spacing w:after="0"/>
      </w:pPr>
      <w:r>
        <w:continuationSeparator/>
      </w:r>
    </w:p>
  </w:footnote>
  <w:footnote w:type="continuationNotice" w:id="1">
    <w:p w:rsidR="00861E9B" w:rsidRDefault="00861E9B">
      <w:pPr>
        <w:spacing w:after="0"/>
      </w:pPr>
    </w:p>
  </w:footnote>
  <w:footnote w:id="2">
    <w:p w:rsidR="00C82C90" w:rsidRPr="001118C7" w:rsidRDefault="00C82C90" w:rsidP="009569C7">
      <w:pPr>
        <w:pStyle w:val="FootnoteText"/>
      </w:pPr>
      <w:r>
        <w:rPr>
          <w:rStyle w:val="FootnoteReference"/>
        </w:rPr>
        <w:footnoteRef/>
      </w:r>
      <w:r>
        <w:t xml:space="preserve"> </w:t>
      </w:r>
      <w:r>
        <w:tab/>
        <w:t>Az Európai Parlament és a Tanács 1606/2002/EK rendelete (2002. július 19.) a nemzetközi számviteli standardok alkalmazásáról (HL L 243., 2002.9.11</w:t>
      </w:r>
      <w:proofErr w:type="gramStart"/>
      <w:r>
        <w:t>.,</w:t>
      </w:r>
      <w:proofErr w:type="gramEnd"/>
      <w:r>
        <w:t xml:space="preserve"> 1. o.).</w:t>
      </w:r>
    </w:p>
  </w:footnote>
  <w:footnote w:id="3">
    <w:p w:rsidR="00C82C90" w:rsidRPr="004F7202" w:rsidRDefault="00C82C90" w:rsidP="009569C7">
      <w:pPr>
        <w:pStyle w:val="FootnoteText"/>
        <w:spacing w:after="120"/>
        <w:rPr>
          <w:lang w:val="et-EE"/>
        </w:rPr>
      </w:pPr>
      <w:r>
        <w:rPr>
          <w:rStyle w:val="FootnoteReference"/>
        </w:rPr>
        <w:footnoteRef/>
      </w:r>
      <w:r>
        <w:t xml:space="preserve"> </w:t>
      </w:r>
      <w:r>
        <w:tab/>
        <w:t>Az Európai Központi Bank 1071/2013/EU rendelete (2013. szeptember 24.) a monetáris pénzügyi intézmények ágazati mérlegéről (átdolgozott szöveg) (EKB/2013/33) (HL L 297., 2013.11.7</w:t>
      </w:r>
      <w:proofErr w:type="gramStart"/>
      <w:r>
        <w:t>.,</w:t>
      </w:r>
      <w:proofErr w:type="gramEnd"/>
      <w:r>
        <w:t xml:space="preserve"> 1. o.).</w:t>
      </w:r>
    </w:p>
  </w:footnote>
  <w:footnote w:id="4">
    <w:p w:rsidR="00C82C90" w:rsidRPr="004F7202" w:rsidRDefault="00C82C90">
      <w:pPr>
        <w:pStyle w:val="FootnoteText"/>
        <w:rPr>
          <w:lang w:val="et-EE"/>
        </w:rPr>
      </w:pPr>
      <w:r>
        <w:rPr>
          <w:rStyle w:val="FootnoteReference"/>
        </w:rPr>
        <w:footnoteRef/>
      </w:r>
      <w:r>
        <w:t xml:space="preserve"> </w:t>
      </w:r>
      <w:r>
        <w:tab/>
        <w:t xml:space="preserve">Az Európai Parlament és a Tanács 1893/2006/EK rendelete (2006. december 20.) a gazdasági tevékenységek statisztikai osztályozása NACE </w:t>
      </w:r>
      <w:proofErr w:type="spellStart"/>
      <w:r>
        <w:t>Rev</w:t>
      </w:r>
      <w:proofErr w:type="spellEnd"/>
      <w:r>
        <w:t>. 2. rendszerének létrehozásáról és a 3037/90/EGK tanácsi rendelet, valamint egyes meghatározott statisztikai területekre vonatkozó EK-rendeletek módosításáról (HL L 393., 2006.12.30</w:t>
      </w:r>
      <w:proofErr w:type="gramStart"/>
      <w:r>
        <w:t>.,</w:t>
      </w:r>
      <w:proofErr w:type="gramEnd"/>
      <w:r>
        <w:t xml:space="preserve"> 1. o.).</w:t>
      </w:r>
    </w:p>
  </w:footnote>
  <w:footnote w:id="5">
    <w:p w:rsidR="00C82C90" w:rsidRPr="004F7202" w:rsidRDefault="00C82C90">
      <w:pPr>
        <w:pStyle w:val="FootnoteText"/>
        <w:rPr>
          <w:lang w:val="et-EE"/>
        </w:rPr>
      </w:pPr>
      <w:r>
        <w:rPr>
          <w:rStyle w:val="FootnoteReference"/>
        </w:rPr>
        <w:footnoteRef/>
      </w:r>
      <w:r>
        <w:t xml:space="preserve"> </w:t>
      </w:r>
      <w:r>
        <w:tab/>
        <w:t>A Tanács 86/635/EGK irányelve (1986. december 8.) a bankok és más pénzügyi intézmények éves beszámolójáról és konszolidált éves beszámolójáról (HL L 372., 1986.12.31</w:t>
      </w:r>
      <w:proofErr w:type="gramStart"/>
      <w:r>
        <w:t>.,</w:t>
      </w:r>
      <w:proofErr w:type="gramEnd"/>
      <w:r>
        <w:t xml:space="preserve"> 1. o.).</w:t>
      </w:r>
    </w:p>
  </w:footnote>
  <w:footnote w:id="6">
    <w:p w:rsidR="00C82C90" w:rsidRPr="00BA387A" w:rsidRDefault="00C82C90" w:rsidP="009569C7">
      <w:pPr>
        <w:pStyle w:val="FootnoteText"/>
      </w:pPr>
      <w:r>
        <w:rPr>
          <w:rStyle w:val="FootnoteReference"/>
        </w:rPr>
        <w:footnoteRef/>
      </w:r>
      <w:r>
        <w:t xml:space="preserve"> </w:t>
      </w:r>
      <w:r>
        <w:tab/>
      </w:r>
      <w:proofErr w:type="gramStart"/>
      <w:r>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w:t>
      </w:r>
      <w:proofErr w:type="gramEnd"/>
    </w:p>
  </w:footnote>
  <w:footnote w:id="7">
    <w:p w:rsidR="00C82C90" w:rsidRPr="00BA387A" w:rsidRDefault="00C82C90" w:rsidP="009569C7">
      <w:pPr>
        <w:pStyle w:val="FootnoteText"/>
      </w:pPr>
      <w:r>
        <w:rPr>
          <w:rStyle w:val="FootnoteReference"/>
        </w:rPr>
        <w:footnoteRef/>
      </w:r>
      <w:r>
        <w:tab/>
        <w:t xml:space="preserve">A Bizottság </w:t>
      </w:r>
      <w:proofErr w:type="gramStart"/>
      <w:r>
        <w:t>C(</w:t>
      </w:r>
      <w:proofErr w:type="gramEnd"/>
      <w:r>
        <w:t xml:space="preserve">2003)1422 ajánlása (2003. május 6.) a mikro-, kis- és középvállalkozások meghatározásáról (HL L 124., 2003.5.20., 36. 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C90" w:rsidRDefault="00C82C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nsid w:val="095B1056"/>
    <w:multiLevelType w:val="hybridMultilevel"/>
    <w:tmpl w:val="5D1A2236"/>
    <w:lvl w:ilvl="0" w:tplc="F528AC08">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nsid w:val="0AEF2152"/>
    <w:multiLevelType w:val="hybridMultilevel"/>
    <w:tmpl w:val="AA4A6DE4"/>
    <w:lvl w:ilvl="0" w:tplc="F528AC08">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nsid w:val="0D3A0C54"/>
    <w:multiLevelType w:val="hybridMultilevel"/>
    <w:tmpl w:val="5D6EB0A8"/>
    <w:lvl w:ilvl="0" w:tplc="F528AC08">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nsid w:val="0E421C8C"/>
    <w:multiLevelType w:val="hybridMultilevel"/>
    <w:tmpl w:val="78164864"/>
    <w:lvl w:ilvl="0" w:tplc="473E6C42">
      <w:start w:val="1"/>
      <w:numFmt w:val="lowerLetter"/>
      <w:lvlText w:val="(%1)"/>
      <w:lvlJc w:val="left"/>
      <w:pPr>
        <w:ind w:left="1637" w:hanging="360"/>
      </w:pPr>
      <w:rPr>
        <w:rFonts w:cs="Times New Roman" w:hint="default"/>
      </w:rPr>
    </w:lvl>
    <w:lvl w:ilvl="1" w:tplc="A59CF840" w:tentative="1">
      <w:start w:val="1"/>
      <w:numFmt w:val="lowerLetter"/>
      <w:lvlText w:val="%2."/>
      <w:lvlJc w:val="left"/>
      <w:pPr>
        <w:tabs>
          <w:tab w:val="num" w:pos="2357"/>
        </w:tabs>
        <w:ind w:left="2357" w:hanging="360"/>
      </w:pPr>
    </w:lvl>
    <w:lvl w:ilvl="2" w:tplc="67C80518" w:tentative="1">
      <w:start w:val="1"/>
      <w:numFmt w:val="lowerRoman"/>
      <w:lvlText w:val="%3."/>
      <w:lvlJc w:val="right"/>
      <w:pPr>
        <w:tabs>
          <w:tab w:val="num" w:pos="3077"/>
        </w:tabs>
        <w:ind w:left="3077" w:hanging="180"/>
      </w:pPr>
    </w:lvl>
    <w:lvl w:ilvl="3" w:tplc="D60895C0" w:tentative="1">
      <w:start w:val="1"/>
      <w:numFmt w:val="decimal"/>
      <w:lvlText w:val="%4."/>
      <w:lvlJc w:val="left"/>
      <w:pPr>
        <w:tabs>
          <w:tab w:val="num" w:pos="3797"/>
        </w:tabs>
        <w:ind w:left="3797" w:hanging="360"/>
      </w:pPr>
    </w:lvl>
    <w:lvl w:ilvl="4" w:tplc="94EA6C66" w:tentative="1">
      <w:start w:val="1"/>
      <w:numFmt w:val="lowerLetter"/>
      <w:lvlText w:val="%5."/>
      <w:lvlJc w:val="left"/>
      <w:pPr>
        <w:tabs>
          <w:tab w:val="num" w:pos="4517"/>
        </w:tabs>
        <w:ind w:left="4517" w:hanging="360"/>
      </w:pPr>
    </w:lvl>
    <w:lvl w:ilvl="5" w:tplc="FAB0DA42" w:tentative="1">
      <w:start w:val="1"/>
      <w:numFmt w:val="lowerRoman"/>
      <w:lvlText w:val="%6."/>
      <w:lvlJc w:val="right"/>
      <w:pPr>
        <w:tabs>
          <w:tab w:val="num" w:pos="5237"/>
        </w:tabs>
        <w:ind w:left="5237" w:hanging="180"/>
      </w:pPr>
    </w:lvl>
    <w:lvl w:ilvl="6" w:tplc="BF1C0C60" w:tentative="1">
      <w:start w:val="1"/>
      <w:numFmt w:val="decimal"/>
      <w:lvlText w:val="%7."/>
      <w:lvlJc w:val="left"/>
      <w:pPr>
        <w:tabs>
          <w:tab w:val="num" w:pos="5957"/>
        </w:tabs>
        <w:ind w:left="5957" w:hanging="360"/>
      </w:pPr>
    </w:lvl>
    <w:lvl w:ilvl="7" w:tplc="22847464" w:tentative="1">
      <w:start w:val="1"/>
      <w:numFmt w:val="lowerLetter"/>
      <w:lvlText w:val="%8."/>
      <w:lvlJc w:val="left"/>
      <w:pPr>
        <w:tabs>
          <w:tab w:val="num" w:pos="6677"/>
        </w:tabs>
        <w:ind w:left="6677" w:hanging="360"/>
      </w:pPr>
    </w:lvl>
    <w:lvl w:ilvl="8" w:tplc="B82297FC" w:tentative="1">
      <w:start w:val="1"/>
      <w:numFmt w:val="lowerRoman"/>
      <w:lvlText w:val="%9."/>
      <w:lvlJc w:val="right"/>
      <w:pPr>
        <w:tabs>
          <w:tab w:val="num" w:pos="7397"/>
        </w:tabs>
        <w:ind w:left="7397" w:hanging="180"/>
      </w:pPr>
    </w:lvl>
  </w:abstractNum>
  <w:abstractNum w:abstractNumId="5">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0537BDF"/>
    <w:multiLevelType w:val="hybridMultilevel"/>
    <w:tmpl w:val="930A4B44"/>
    <w:lvl w:ilvl="0" w:tplc="F528AC08">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7">
    <w:nsid w:val="13710F59"/>
    <w:multiLevelType w:val="hybridMultilevel"/>
    <w:tmpl w:val="26141AC2"/>
    <w:lvl w:ilvl="0" w:tplc="829AB43C">
      <w:start w:val="1"/>
      <w:numFmt w:val="decimal"/>
      <w:pStyle w:val="Baseparagraphnumbered"/>
      <w:lvlText w:val="%1."/>
      <w:lvlJc w:val="left"/>
      <w:pPr>
        <w:ind w:left="786" w:hanging="360"/>
      </w:pPr>
      <w:rPr>
        <w:lang w:val="en-US"/>
      </w:rPr>
    </w:lvl>
    <w:lvl w:ilvl="1" w:tplc="F528AC08">
      <w:start w:val="1"/>
      <w:numFmt w:val="lowerLetter"/>
      <w:lvlText w:val="%2)"/>
      <w:lvlJc w:val="left"/>
      <w:pPr>
        <w:ind w:left="1494" w:hanging="360"/>
      </w:pPr>
      <w:rPr>
        <w:rFonts w:hint="default"/>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nsid w:val="16A454BE"/>
    <w:multiLevelType w:val="hybridMultilevel"/>
    <w:tmpl w:val="4490B420"/>
    <w:lvl w:ilvl="0" w:tplc="F528AC08">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nsid w:val="185D690C"/>
    <w:multiLevelType w:val="hybridMultilevel"/>
    <w:tmpl w:val="72AEF31C"/>
    <w:lvl w:ilvl="0" w:tplc="F528AC08">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nsid w:val="20C273EE"/>
    <w:multiLevelType w:val="hybridMultilevel"/>
    <w:tmpl w:val="2710DC38"/>
    <w:lvl w:ilvl="0" w:tplc="F528AC08">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3">
    <w:nsid w:val="21492079"/>
    <w:multiLevelType w:val="hybridMultilevel"/>
    <w:tmpl w:val="0B5C3182"/>
    <w:lvl w:ilvl="0" w:tplc="F528AC08">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4">
    <w:nsid w:val="22444C57"/>
    <w:multiLevelType w:val="hybridMultilevel"/>
    <w:tmpl w:val="37CC0B7A"/>
    <w:lvl w:ilvl="0" w:tplc="F528AC08">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5">
    <w:nsid w:val="263A46C2"/>
    <w:multiLevelType w:val="hybridMultilevel"/>
    <w:tmpl w:val="423A3A34"/>
    <w:lvl w:ilvl="0" w:tplc="F528AC08">
      <w:start w:val="1"/>
      <w:numFmt w:val="lowerLetter"/>
      <w:lvlText w:val="%1)"/>
      <w:lvlJc w:val="left"/>
      <w:pPr>
        <w:ind w:left="1637" w:hanging="360"/>
      </w:pPr>
      <w:rPr>
        <w:rFonts w:hint="default"/>
      </w:rPr>
    </w:lvl>
    <w:lvl w:ilvl="1" w:tplc="E2705CCC" w:tentative="1">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6">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nsid w:val="29C77995"/>
    <w:multiLevelType w:val="hybridMultilevel"/>
    <w:tmpl w:val="F8CE9CC2"/>
    <w:lvl w:ilvl="0" w:tplc="F528AC08">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18">
    <w:nsid w:val="2B312445"/>
    <w:multiLevelType w:val="hybridMultilevel"/>
    <w:tmpl w:val="202EE2FC"/>
    <w:lvl w:ilvl="0" w:tplc="F528AC08">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19">
    <w:nsid w:val="2BC30C4F"/>
    <w:multiLevelType w:val="hybridMultilevel"/>
    <w:tmpl w:val="D8D0435A"/>
    <w:lvl w:ilvl="0" w:tplc="F528AC08">
      <w:start w:val="1"/>
      <w:numFmt w:val="lowerLetter"/>
      <w:lvlText w:val="%1)"/>
      <w:lvlJc w:val="left"/>
      <w:pPr>
        <w:ind w:left="1440" w:hanging="360"/>
      </w:pPr>
      <w:rPr>
        <w:rFonts w:hint="default"/>
      </w:rPr>
    </w:lvl>
    <w:lvl w:ilvl="1" w:tplc="45AC5862" w:tentative="1">
      <w:start w:val="1"/>
      <w:numFmt w:val="lowerLetter"/>
      <w:lvlText w:val="%2."/>
      <w:lvlJc w:val="left"/>
      <w:pPr>
        <w:ind w:left="1440" w:hanging="360"/>
      </w:pPr>
    </w:lvl>
    <w:lvl w:ilvl="2" w:tplc="103AD78C" w:tentative="1">
      <w:start w:val="1"/>
      <w:numFmt w:val="lowerRoman"/>
      <w:lvlText w:val="%3."/>
      <w:lvlJc w:val="right"/>
      <w:pPr>
        <w:ind w:left="2160" w:hanging="180"/>
      </w:pPr>
    </w:lvl>
    <w:lvl w:ilvl="3" w:tplc="C8727314" w:tentative="1">
      <w:start w:val="1"/>
      <w:numFmt w:val="decimal"/>
      <w:lvlText w:val="%4."/>
      <w:lvlJc w:val="left"/>
      <w:pPr>
        <w:ind w:left="2880" w:hanging="360"/>
      </w:pPr>
    </w:lvl>
    <w:lvl w:ilvl="4" w:tplc="5B0C328E" w:tentative="1">
      <w:start w:val="1"/>
      <w:numFmt w:val="lowerLetter"/>
      <w:lvlText w:val="%5."/>
      <w:lvlJc w:val="left"/>
      <w:pPr>
        <w:ind w:left="3600" w:hanging="360"/>
      </w:pPr>
    </w:lvl>
    <w:lvl w:ilvl="5" w:tplc="0062E9A4" w:tentative="1">
      <w:start w:val="1"/>
      <w:numFmt w:val="lowerRoman"/>
      <w:lvlText w:val="%6."/>
      <w:lvlJc w:val="right"/>
      <w:pPr>
        <w:ind w:left="4320" w:hanging="180"/>
      </w:pPr>
    </w:lvl>
    <w:lvl w:ilvl="6" w:tplc="EF203A20" w:tentative="1">
      <w:start w:val="1"/>
      <w:numFmt w:val="decimal"/>
      <w:lvlText w:val="%7."/>
      <w:lvlJc w:val="left"/>
      <w:pPr>
        <w:ind w:left="5040" w:hanging="360"/>
      </w:pPr>
    </w:lvl>
    <w:lvl w:ilvl="7" w:tplc="34421FB0" w:tentative="1">
      <w:start w:val="1"/>
      <w:numFmt w:val="lowerLetter"/>
      <w:lvlText w:val="%8."/>
      <w:lvlJc w:val="left"/>
      <w:pPr>
        <w:ind w:left="5760" w:hanging="360"/>
      </w:pPr>
    </w:lvl>
    <w:lvl w:ilvl="8" w:tplc="042C7E5C" w:tentative="1">
      <w:start w:val="1"/>
      <w:numFmt w:val="lowerRoman"/>
      <w:lvlText w:val="%9."/>
      <w:lvlJc w:val="right"/>
      <w:pPr>
        <w:ind w:left="6480" w:hanging="180"/>
      </w:pPr>
    </w:lvl>
  </w:abstractNum>
  <w:abstractNum w:abstractNumId="20">
    <w:nsid w:val="2C341011"/>
    <w:multiLevelType w:val="hybridMultilevel"/>
    <w:tmpl w:val="0A862264"/>
    <w:lvl w:ilvl="0" w:tplc="F528AC0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1">
    <w:nsid w:val="2C8767F7"/>
    <w:multiLevelType w:val="hybridMultilevel"/>
    <w:tmpl w:val="E198181A"/>
    <w:lvl w:ilvl="0" w:tplc="DB447DF4">
      <w:start w:val="191"/>
      <w:numFmt w:val="decimal"/>
      <w:lvlText w:val="%1."/>
      <w:lvlJc w:val="left"/>
      <w:pPr>
        <w:ind w:left="720" w:hanging="360"/>
      </w:pPr>
      <w:rPr>
        <w:rFonts w:hint="default"/>
      </w:rPr>
    </w:lvl>
    <w:lvl w:ilvl="1" w:tplc="F528AC0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2">
    <w:nsid w:val="2DEE45FA"/>
    <w:multiLevelType w:val="hybridMultilevel"/>
    <w:tmpl w:val="BFE441E0"/>
    <w:lvl w:ilvl="0" w:tplc="F528AC08">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3">
    <w:nsid w:val="2E3904D0"/>
    <w:multiLevelType w:val="hybridMultilevel"/>
    <w:tmpl w:val="CECACC2E"/>
    <w:lvl w:ilvl="0" w:tplc="F528AC08">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4">
    <w:nsid w:val="2F6321AD"/>
    <w:multiLevelType w:val="hybridMultilevel"/>
    <w:tmpl w:val="EEE0C436"/>
    <w:lvl w:ilvl="0" w:tplc="BB206538">
      <w:start w:val="1"/>
      <w:numFmt w:val="lowerLetter"/>
      <w:lvlText w:val="(%1)"/>
      <w:lvlJc w:val="left"/>
      <w:pPr>
        <w:ind w:left="720" w:hanging="360"/>
      </w:pPr>
      <w:rPr>
        <w:rFonts w:cs="Times New Roman" w:hint="default"/>
      </w:rPr>
    </w:lvl>
    <w:lvl w:ilvl="1" w:tplc="72827E82">
      <w:start w:val="1"/>
      <w:numFmt w:val="lowerLetter"/>
      <w:lvlText w:val="%2."/>
      <w:lvlJc w:val="left"/>
      <w:pPr>
        <w:ind w:left="1440" w:hanging="360"/>
      </w:pPr>
    </w:lvl>
    <w:lvl w:ilvl="2" w:tplc="E31E8FEA" w:tentative="1">
      <w:start w:val="1"/>
      <w:numFmt w:val="lowerRoman"/>
      <w:lvlText w:val="%3."/>
      <w:lvlJc w:val="right"/>
      <w:pPr>
        <w:ind w:left="2160" w:hanging="180"/>
      </w:pPr>
    </w:lvl>
    <w:lvl w:ilvl="3" w:tplc="B19C5A56" w:tentative="1">
      <w:start w:val="1"/>
      <w:numFmt w:val="decimal"/>
      <w:lvlText w:val="%4."/>
      <w:lvlJc w:val="left"/>
      <w:pPr>
        <w:ind w:left="2880" w:hanging="360"/>
      </w:pPr>
    </w:lvl>
    <w:lvl w:ilvl="4" w:tplc="FB00FB84" w:tentative="1">
      <w:start w:val="1"/>
      <w:numFmt w:val="lowerLetter"/>
      <w:lvlText w:val="%5."/>
      <w:lvlJc w:val="left"/>
      <w:pPr>
        <w:ind w:left="3600" w:hanging="360"/>
      </w:pPr>
    </w:lvl>
    <w:lvl w:ilvl="5" w:tplc="BF665D82" w:tentative="1">
      <w:start w:val="1"/>
      <w:numFmt w:val="lowerRoman"/>
      <w:lvlText w:val="%6."/>
      <w:lvlJc w:val="right"/>
      <w:pPr>
        <w:ind w:left="4320" w:hanging="180"/>
      </w:pPr>
    </w:lvl>
    <w:lvl w:ilvl="6" w:tplc="A0382F14" w:tentative="1">
      <w:start w:val="1"/>
      <w:numFmt w:val="decimal"/>
      <w:lvlText w:val="%7."/>
      <w:lvlJc w:val="left"/>
      <w:pPr>
        <w:ind w:left="5040" w:hanging="360"/>
      </w:pPr>
    </w:lvl>
    <w:lvl w:ilvl="7" w:tplc="97E80A46" w:tentative="1">
      <w:start w:val="1"/>
      <w:numFmt w:val="lowerLetter"/>
      <w:lvlText w:val="%8."/>
      <w:lvlJc w:val="left"/>
      <w:pPr>
        <w:ind w:left="5760" w:hanging="360"/>
      </w:pPr>
    </w:lvl>
    <w:lvl w:ilvl="8" w:tplc="9D9E3970" w:tentative="1">
      <w:start w:val="1"/>
      <w:numFmt w:val="lowerRoman"/>
      <w:lvlText w:val="%9."/>
      <w:lvlJc w:val="right"/>
      <w:pPr>
        <w:ind w:left="6480" w:hanging="180"/>
      </w:pPr>
    </w:lvl>
  </w:abstractNum>
  <w:abstractNum w:abstractNumId="25">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6">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27">
    <w:nsid w:val="38803EFE"/>
    <w:multiLevelType w:val="hybridMultilevel"/>
    <w:tmpl w:val="1188FCE8"/>
    <w:lvl w:ilvl="0" w:tplc="F528AC08">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28">
    <w:nsid w:val="3F653A5A"/>
    <w:multiLevelType w:val="hybridMultilevel"/>
    <w:tmpl w:val="0FEC2516"/>
    <w:lvl w:ilvl="0" w:tplc="F528AC08">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29">
    <w:nsid w:val="40C746B8"/>
    <w:multiLevelType w:val="hybridMultilevel"/>
    <w:tmpl w:val="B8D2D462"/>
    <w:lvl w:ilvl="0" w:tplc="F528AC08">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0">
    <w:nsid w:val="415B00B3"/>
    <w:multiLevelType w:val="hybridMultilevel"/>
    <w:tmpl w:val="7AC2FCAC"/>
    <w:lvl w:ilvl="0" w:tplc="67B4C9DC">
      <w:start w:val="183"/>
      <w:numFmt w:val="decimal"/>
      <w:lvlText w:val="%1."/>
      <w:lvlJc w:val="left"/>
      <w:pPr>
        <w:ind w:left="720" w:hanging="360"/>
      </w:pPr>
      <w:rPr>
        <w:rFonts w:hint="default"/>
      </w:rPr>
    </w:lvl>
    <w:lvl w:ilvl="1" w:tplc="F528AC08">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1">
    <w:nsid w:val="42946EB9"/>
    <w:multiLevelType w:val="hybridMultilevel"/>
    <w:tmpl w:val="B5F61F48"/>
    <w:lvl w:ilvl="0" w:tplc="F528AC08">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2">
    <w:nsid w:val="43B67207"/>
    <w:multiLevelType w:val="hybridMultilevel"/>
    <w:tmpl w:val="F0021BE8"/>
    <w:lvl w:ilvl="0" w:tplc="F528AC08">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33">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34">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47D86D0C"/>
    <w:multiLevelType w:val="hybridMultilevel"/>
    <w:tmpl w:val="8FB6BFBE"/>
    <w:lvl w:ilvl="0" w:tplc="F528AC08">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36">
    <w:nsid w:val="47F95008"/>
    <w:multiLevelType w:val="hybridMultilevel"/>
    <w:tmpl w:val="10EEE3C6"/>
    <w:lvl w:ilvl="0" w:tplc="F528AC08">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37">
    <w:nsid w:val="49214E1B"/>
    <w:multiLevelType w:val="hybridMultilevel"/>
    <w:tmpl w:val="A6441B82"/>
    <w:lvl w:ilvl="0" w:tplc="F528AC08">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38">
    <w:nsid w:val="49E7763A"/>
    <w:multiLevelType w:val="hybridMultilevel"/>
    <w:tmpl w:val="0A3E5C28"/>
    <w:lvl w:ilvl="0" w:tplc="F528AC08">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39">
    <w:nsid w:val="4A444A18"/>
    <w:multiLevelType w:val="hybridMultilevel"/>
    <w:tmpl w:val="4A4CD66A"/>
    <w:lvl w:ilvl="0" w:tplc="F528AC0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0">
    <w:nsid w:val="4B2E73B9"/>
    <w:multiLevelType w:val="hybridMultilevel"/>
    <w:tmpl w:val="22069796"/>
    <w:lvl w:ilvl="0" w:tplc="9F18CFAC">
      <w:start w:val="195"/>
      <w:numFmt w:val="decimal"/>
      <w:lvlText w:val="%1."/>
      <w:lvlJc w:val="left"/>
      <w:pPr>
        <w:ind w:left="720" w:hanging="360"/>
      </w:pPr>
      <w:rPr>
        <w:rFonts w:hint="default"/>
      </w:rPr>
    </w:lvl>
    <w:lvl w:ilvl="1" w:tplc="F528AC08">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1">
    <w:nsid w:val="4BA95364"/>
    <w:multiLevelType w:val="hybridMultilevel"/>
    <w:tmpl w:val="1764ABD0"/>
    <w:lvl w:ilvl="0" w:tplc="F528AC08">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42">
    <w:nsid w:val="4BB93101"/>
    <w:multiLevelType w:val="hybridMultilevel"/>
    <w:tmpl w:val="602AA1CC"/>
    <w:lvl w:ilvl="0" w:tplc="F528AC08">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43">
    <w:nsid w:val="4EAB3B05"/>
    <w:multiLevelType w:val="hybridMultilevel"/>
    <w:tmpl w:val="82242500"/>
    <w:lvl w:ilvl="0" w:tplc="F528AC08">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44">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5">
    <w:nsid w:val="53AB067D"/>
    <w:multiLevelType w:val="hybridMultilevel"/>
    <w:tmpl w:val="759C7DE0"/>
    <w:lvl w:ilvl="0" w:tplc="F528AC08">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46">
    <w:nsid w:val="561E0102"/>
    <w:multiLevelType w:val="hybridMultilevel"/>
    <w:tmpl w:val="A21465A0"/>
    <w:lvl w:ilvl="0" w:tplc="F528AC08">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47">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5A134BD0"/>
    <w:multiLevelType w:val="hybridMultilevel"/>
    <w:tmpl w:val="7EBA2318"/>
    <w:lvl w:ilvl="0" w:tplc="F528AC08">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49">
    <w:nsid w:val="5D641C81"/>
    <w:multiLevelType w:val="hybridMultilevel"/>
    <w:tmpl w:val="18AA91FC"/>
    <w:lvl w:ilvl="0" w:tplc="F528AC08">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51">
    <w:nsid w:val="60641D12"/>
    <w:multiLevelType w:val="hybridMultilevel"/>
    <w:tmpl w:val="98184780"/>
    <w:lvl w:ilvl="0" w:tplc="F528AC08">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52">
    <w:nsid w:val="630B7BDD"/>
    <w:multiLevelType w:val="hybridMultilevel"/>
    <w:tmpl w:val="F864AFA0"/>
    <w:lvl w:ilvl="0" w:tplc="F528AC08">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53">
    <w:nsid w:val="63737DAF"/>
    <w:multiLevelType w:val="hybridMultilevel"/>
    <w:tmpl w:val="AADE9D96"/>
    <w:lvl w:ilvl="0" w:tplc="F528AC08">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54">
    <w:nsid w:val="63AE5626"/>
    <w:multiLevelType w:val="hybridMultilevel"/>
    <w:tmpl w:val="B7C69E80"/>
    <w:lvl w:ilvl="0" w:tplc="F528AC08">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55">
    <w:nsid w:val="663542C2"/>
    <w:multiLevelType w:val="hybridMultilevel"/>
    <w:tmpl w:val="D7822208"/>
    <w:lvl w:ilvl="0" w:tplc="F528AC08">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56">
    <w:nsid w:val="670D35CB"/>
    <w:multiLevelType w:val="hybridMultilevel"/>
    <w:tmpl w:val="44B418AE"/>
    <w:lvl w:ilvl="0" w:tplc="F528AC08">
      <w:start w:val="1"/>
      <w:numFmt w:val="lowerLetter"/>
      <w:lvlText w:val="%1)"/>
      <w:lvlJc w:val="left"/>
      <w:pPr>
        <w:ind w:left="132"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57">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8">
    <w:nsid w:val="6CB36654"/>
    <w:multiLevelType w:val="hybridMultilevel"/>
    <w:tmpl w:val="543CE8DC"/>
    <w:lvl w:ilvl="0" w:tplc="F528AC08">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59">
    <w:nsid w:val="6E2664DF"/>
    <w:multiLevelType w:val="hybridMultilevel"/>
    <w:tmpl w:val="7A6C13DC"/>
    <w:lvl w:ilvl="0" w:tplc="F528AC08">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60">
    <w:nsid w:val="70F37BAB"/>
    <w:multiLevelType w:val="hybridMultilevel"/>
    <w:tmpl w:val="19B22AC6"/>
    <w:lvl w:ilvl="0" w:tplc="F528AC0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61">
    <w:nsid w:val="72C304B4"/>
    <w:multiLevelType w:val="hybridMultilevel"/>
    <w:tmpl w:val="117061EA"/>
    <w:lvl w:ilvl="0" w:tplc="52EEC6C4">
      <w:numFmt w:val="bullet"/>
      <w:lvlText w:val="-"/>
      <w:lvlJc w:val="left"/>
      <w:pPr>
        <w:ind w:left="720" w:hanging="360"/>
      </w:pPr>
      <w:rPr>
        <w:rFonts w:ascii="Calibri" w:eastAsia="Calibri" w:hAnsi="Calibri" w:hint="default"/>
      </w:rPr>
    </w:lvl>
    <w:lvl w:ilvl="1" w:tplc="D608AFD8">
      <w:start w:val="1"/>
      <w:numFmt w:val="bullet"/>
      <w:lvlText w:val="o"/>
      <w:lvlJc w:val="left"/>
      <w:pPr>
        <w:ind w:left="1440" w:hanging="360"/>
      </w:pPr>
      <w:rPr>
        <w:rFonts w:ascii="Courier New" w:hAnsi="Courier New" w:cs="Courier New" w:hint="default"/>
      </w:rPr>
    </w:lvl>
    <w:lvl w:ilvl="2" w:tplc="7200DA1A">
      <w:start w:val="1"/>
      <w:numFmt w:val="bullet"/>
      <w:lvlText w:val=""/>
      <w:lvlJc w:val="left"/>
      <w:pPr>
        <w:ind w:left="2160" w:hanging="360"/>
      </w:pPr>
      <w:rPr>
        <w:rFonts w:ascii="Wingdings" w:hAnsi="Wingdings" w:hint="default"/>
      </w:rPr>
    </w:lvl>
    <w:lvl w:ilvl="3" w:tplc="AD7E2D80">
      <w:start w:val="1"/>
      <w:numFmt w:val="bullet"/>
      <w:lvlText w:val=""/>
      <w:lvlJc w:val="left"/>
      <w:pPr>
        <w:ind w:left="2880" w:hanging="360"/>
      </w:pPr>
      <w:rPr>
        <w:rFonts w:ascii="Symbol" w:hAnsi="Symbol" w:hint="default"/>
      </w:rPr>
    </w:lvl>
    <w:lvl w:ilvl="4" w:tplc="E7DA4DD8">
      <w:start w:val="1"/>
      <w:numFmt w:val="bullet"/>
      <w:lvlText w:val="o"/>
      <w:lvlJc w:val="left"/>
      <w:pPr>
        <w:ind w:left="3600" w:hanging="360"/>
      </w:pPr>
      <w:rPr>
        <w:rFonts w:ascii="Courier New" w:hAnsi="Courier New" w:cs="Courier New" w:hint="default"/>
      </w:rPr>
    </w:lvl>
    <w:lvl w:ilvl="5" w:tplc="D1EA8A22">
      <w:start w:val="1"/>
      <w:numFmt w:val="bullet"/>
      <w:lvlText w:val=""/>
      <w:lvlJc w:val="left"/>
      <w:pPr>
        <w:ind w:left="4320" w:hanging="360"/>
      </w:pPr>
      <w:rPr>
        <w:rFonts w:ascii="Wingdings" w:hAnsi="Wingdings" w:hint="default"/>
      </w:rPr>
    </w:lvl>
    <w:lvl w:ilvl="6" w:tplc="A3E63C94">
      <w:start w:val="1"/>
      <w:numFmt w:val="bullet"/>
      <w:lvlText w:val=""/>
      <w:lvlJc w:val="left"/>
      <w:pPr>
        <w:ind w:left="5040" w:hanging="360"/>
      </w:pPr>
      <w:rPr>
        <w:rFonts w:ascii="Symbol" w:hAnsi="Symbol" w:hint="default"/>
      </w:rPr>
    </w:lvl>
    <w:lvl w:ilvl="7" w:tplc="6604FDA6">
      <w:start w:val="1"/>
      <w:numFmt w:val="bullet"/>
      <w:lvlText w:val="o"/>
      <w:lvlJc w:val="left"/>
      <w:pPr>
        <w:ind w:left="5760" w:hanging="360"/>
      </w:pPr>
      <w:rPr>
        <w:rFonts w:ascii="Courier New" w:hAnsi="Courier New" w:cs="Courier New" w:hint="default"/>
      </w:rPr>
    </w:lvl>
    <w:lvl w:ilvl="8" w:tplc="73CE13FC">
      <w:start w:val="1"/>
      <w:numFmt w:val="bullet"/>
      <w:lvlText w:val=""/>
      <w:lvlJc w:val="left"/>
      <w:pPr>
        <w:ind w:left="6480" w:hanging="360"/>
      </w:pPr>
      <w:rPr>
        <w:rFonts w:ascii="Wingdings" w:hAnsi="Wingdings" w:hint="default"/>
      </w:rPr>
    </w:lvl>
  </w:abstractNum>
  <w:abstractNum w:abstractNumId="62">
    <w:nsid w:val="737A69F1"/>
    <w:multiLevelType w:val="hybridMultilevel"/>
    <w:tmpl w:val="1572016A"/>
    <w:lvl w:ilvl="0" w:tplc="F528AC08">
      <w:start w:val="1"/>
      <w:numFmt w:val="lowerLetter"/>
      <w:lvlText w:val="%1)"/>
      <w:lvlJc w:val="left"/>
      <w:pPr>
        <w:ind w:left="1637" w:hanging="360"/>
      </w:pPr>
      <w:rPr>
        <w:rFonts w:hint="default"/>
      </w:rPr>
    </w:lvl>
    <w:lvl w:ilvl="1" w:tplc="3C2CB518" w:tentative="1">
      <w:start w:val="1"/>
      <w:numFmt w:val="lowerLetter"/>
      <w:lvlText w:val="%2."/>
      <w:lvlJc w:val="left"/>
      <w:pPr>
        <w:tabs>
          <w:tab w:val="num" w:pos="2357"/>
        </w:tabs>
        <w:ind w:left="2357" w:hanging="360"/>
      </w:p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63">
    <w:nsid w:val="74F11725"/>
    <w:multiLevelType w:val="hybridMultilevel"/>
    <w:tmpl w:val="4C0CEB50"/>
    <w:lvl w:ilvl="0" w:tplc="6E3206BC">
      <w:start w:val="177"/>
      <w:numFmt w:val="decimal"/>
      <w:lvlText w:val="%1."/>
      <w:lvlJc w:val="left"/>
      <w:pPr>
        <w:ind w:left="720" w:hanging="360"/>
      </w:pPr>
      <w:rPr>
        <w:rFonts w:hint="default"/>
      </w:rPr>
    </w:lvl>
    <w:lvl w:ilvl="1" w:tplc="F528AC08">
      <w:start w:val="1"/>
      <w:numFmt w:val="lowerLetter"/>
      <w:lvlText w:val="%2)"/>
      <w:lvlJc w:val="left"/>
      <w:pPr>
        <w:ind w:left="1440" w:hanging="360"/>
      </w:pPr>
      <w:rPr>
        <w:rFonts w:hint="default"/>
        <w:color w:val="auto"/>
      </w:rPr>
    </w:lvl>
    <w:lvl w:ilvl="2" w:tplc="F528AC08">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64">
    <w:nsid w:val="76BE2CAB"/>
    <w:multiLevelType w:val="hybridMultilevel"/>
    <w:tmpl w:val="AEF0E43E"/>
    <w:lvl w:ilvl="0" w:tplc="F528AC08">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65">
    <w:nsid w:val="79591479"/>
    <w:multiLevelType w:val="hybridMultilevel"/>
    <w:tmpl w:val="F83A5DD8"/>
    <w:lvl w:ilvl="0" w:tplc="F528AC08">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66">
    <w:nsid w:val="79E92780"/>
    <w:multiLevelType w:val="hybridMultilevel"/>
    <w:tmpl w:val="BD04B990"/>
    <w:lvl w:ilvl="0" w:tplc="F528AC08">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67">
    <w:nsid w:val="7DCB34EC"/>
    <w:multiLevelType w:val="hybridMultilevel"/>
    <w:tmpl w:val="48066630"/>
    <w:lvl w:ilvl="0" w:tplc="F528AC08">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68">
    <w:nsid w:val="7EE1606F"/>
    <w:multiLevelType w:val="hybridMultilevel"/>
    <w:tmpl w:val="3CEA3CD4"/>
    <w:lvl w:ilvl="0" w:tplc="F528AC08">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num w:numId="1">
    <w:abstractNumId w:val="33"/>
  </w:num>
  <w:num w:numId="2">
    <w:abstractNumId w:val="50"/>
  </w:num>
  <w:num w:numId="3">
    <w:abstractNumId w:val="8"/>
  </w:num>
  <w:num w:numId="4">
    <w:abstractNumId w:val="16"/>
  </w:num>
  <w:num w:numId="5">
    <w:abstractNumId w:val="34"/>
  </w:num>
  <w:num w:numId="6">
    <w:abstractNumId w:val="0"/>
  </w:num>
  <w:num w:numId="7">
    <w:abstractNumId w:val="47"/>
  </w:num>
  <w:num w:numId="8">
    <w:abstractNumId w:val="1"/>
  </w:num>
  <w:num w:numId="9">
    <w:abstractNumId w:val="13"/>
  </w:num>
  <w:num w:numId="10">
    <w:abstractNumId w:val="66"/>
  </w:num>
  <w:num w:numId="11">
    <w:abstractNumId w:val="35"/>
  </w:num>
  <w:num w:numId="12">
    <w:abstractNumId w:val="67"/>
  </w:num>
  <w:num w:numId="13">
    <w:abstractNumId w:val="57"/>
  </w:num>
  <w:num w:numId="14">
    <w:abstractNumId w:val="25"/>
  </w:num>
  <w:num w:numId="15">
    <w:abstractNumId w:val="44"/>
  </w:num>
  <w:num w:numId="16">
    <w:abstractNumId w:val="56"/>
  </w:num>
  <w:num w:numId="17">
    <w:abstractNumId w:val="5"/>
  </w:num>
  <w:num w:numId="18">
    <w:abstractNumId w:val="49"/>
  </w:num>
  <w:num w:numId="19">
    <w:abstractNumId w:val="4"/>
  </w:num>
  <w:num w:numId="20">
    <w:abstractNumId w:val="9"/>
  </w:num>
  <w:num w:numId="21">
    <w:abstractNumId w:val="42"/>
  </w:num>
  <w:num w:numId="22">
    <w:abstractNumId w:val="14"/>
  </w:num>
  <w:num w:numId="23">
    <w:abstractNumId w:val="64"/>
  </w:num>
  <w:num w:numId="24">
    <w:abstractNumId w:val="38"/>
  </w:num>
  <w:num w:numId="25">
    <w:abstractNumId w:val="15"/>
  </w:num>
  <w:num w:numId="26">
    <w:abstractNumId w:val="5"/>
  </w:num>
  <w:num w:numId="27">
    <w:abstractNumId w:val="7"/>
  </w:num>
  <w:num w:numId="28">
    <w:abstractNumId w:val="53"/>
  </w:num>
  <w:num w:numId="29">
    <w:abstractNumId w:val="17"/>
  </w:num>
  <w:num w:numId="30">
    <w:abstractNumId w:val="48"/>
  </w:num>
  <w:num w:numId="31">
    <w:abstractNumId w:val="23"/>
  </w:num>
  <w:num w:numId="32">
    <w:abstractNumId w:val="43"/>
  </w:num>
  <w:num w:numId="33">
    <w:abstractNumId w:val="20"/>
  </w:num>
  <w:num w:numId="34">
    <w:abstractNumId w:val="26"/>
  </w:num>
  <w:num w:numId="35">
    <w:abstractNumId w:val="7"/>
    <w:lvlOverride w:ilvl="0">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num>
  <w:num w:numId="38">
    <w:abstractNumId w:val="51"/>
  </w:num>
  <w:num w:numId="39">
    <w:abstractNumId w:val="11"/>
  </w:num>
  <w:num w:numId="40">
    <w:abstractNumId w:val="63"/>
  </w:num>
  <w:num w:numId="41">
    <w:abstractNumId w:val="30"/>
  </w:num>
  <w:num w:numId="42">
    <w:abstractNumId w:val="21"/>
  </w:num>
  <w:num w:numId="43">
    <w:abstractNumId w:val="60"/>
  </w:num>
  <w:num w:numId="44">
    <w:abstractNumId w:val="19"/>
  </w:num>
  <w:num w:numId="45">
    <w:abstractNumId w:val="40"/>
  </w:num>
  <w:num w:numId="46">
    <w:abstractNumId w:val="41"/>
  </w:num>
  <w:num w:numId="47">
    <w:abstractNumId w:val="65"/>
  </w:num>
  <w:num w:numId="48">
    <w:abstractNumId w:val="37"/>
  </w:num>
  <w:num w:numId="49">
    <w:abstractNumId w:val="32"/>
  </w:num>
  <w:num w:numId="50">
    <w:abstractNumId w:val="18"/>
  </w:num>
  <w:num w:numId="51">
    <w:abstractNumId w:val="6"/>
  </w:num>
  <w:num w:numId="52">
    <w:abstractNumId w:val="22"/>
  </w:num>
  <w:num w:numId="53">
    <w:abstractNumId w:val="58"/>
  </w:num>
  <w:num w:numId="54">
    <w:abstractNumId w:val="27"/>
  </w:num>
  <w:num w:numId="55">
    <w:abstractNumId w:val="62"/>
  </w:num>
  <w:num w:numId="56">
    <w:abstractNumId w:val="10"/>
  </w:num>
  <w:num w:numId="57">
    <w:abstractNumId w:val="39"/>
  </w:num>
  <w:num w:numId="58">
    <w:abstractNumId w:val="3"/>
  </w:num>
  <w:num w:numId="59">
    <w:abstractNumId w:val="68"/>
  </w:num>
  <w:num w:numId="60">
    <w:abstractNumId w:val="55"/>
  </w:num>
  <w:num w:numId="61">
    <w:abstractNumId w:val="45"/>
  </w:num>
  <w:num w:numId="62">
    <w:abstractNumId w:val="54"/>
  </w:num>
  <w:num w:numId="63">
    <w:abstractNumId w:val="28"/>
  </w:num>
  <w:num w:numId="64">
    <w:abstractNumId w:val="24"/>
  </w:num>
  <w:num w:numId="65">
    <w:abstractNumId w:val="31"/>
  </w:num>
  <w:num w:numId="66">
    <w:abstractNumId w:val="36"/>
  </w:num>
  <w:num w:numId="67">
    <w:abstractNumId w:val="52"/>
  </w:num>
  <w:num w:numId="68">
    <w:abstractNumId w:val="59"/>
  </w:num>
  <w:num w:numId="69">
    <w:abstractNumId w:val="12"/>
  </w:num>
  <w:num w:numId="70">
    <w:abstractNumId w:val="2"/>
  </w:num>
  <w:num w:numId="71">
    <w:abstractNumId w:val="29"/>
  </w:num>
  <w:num w:numId="72">
    <w:abstractNumId w:val="7"/>
  </w:num>
  <w:num w:numId="73">
    <w:abstractNumId w:val="61"/>
  </w:num>
  <w:num w:numId="74">
    <w:abstractNumId w:val="4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F4BF4"/>
    <w:rsid w:val="000173EF"/>
    <w:rsid w:val="00152278"/>
    <w:rsid w:val="002C06EE"/>
    <w:rsid w:val="0030521D"/>
    <w:rsid w:val="00316C77"/>
    <w:rsid w:val="003A35E6"/>
    <w:rsid w:val="003A3647"/>
    <w:rsid w:val="005427F9"/>
    <w:rsid w:val="005F4BF4"/>
    <w:rsid w:val="0062687D"/>
    <w:rsid w:val="00675B49"/>
    <w:rsid w:val="006A2EB8"/>
    <w:rsid w:val="007E58F7"/>
    <w:rsid w:val="00837ED5"/>
    <w:rsid w:val="00860F58"/>
    <w:rsid w:val="00861E9B"/>
    <w:rsid w:val="00874A40"/>
    <w:rsid w:val="0093244C"/>
    <w:rsid w:val="009569C7"/>
    <w:rsid w:val="009E0809"/>
    <w:rsid w:val="00A00717"/>
    <w:rsid w:val="00A834F1"/>
    <w:rsid w:val="00AA6762"/>
    <w:rsid w:val="00B420BD"/>
    <w:rsid w:val="00C35B6F"/>
    <w:rsid w:val="00C82C90"/>
    <w:rsid w:val="00ED3B87"/>
    <w:rsid w:val="00F76279"/>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hu-H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u-HU"/>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u-HU"/>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u-HU"/>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u-HU"/>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hu-HU"/>
    </w:rPr>
  </w:style>
  <w:style w:type="character" w:customStyle="1" w:styleId="subtitlenonumberChar">
    <w:name w:val="subtitle no number Char"/>
    <w:link w:val="subtitlenonumber"/>
    <w:rsid w:val="00AD63B8"/>
    <w:rPr>
      <w:b/>
      <w:i/>
      <w:sz w:val="24"/>
      <w:szCs w:val="24"/>
      <w:lang w:val="hu-HU" w:eastAsia="hu-HU"/>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u-HU" w:eastAsia="hu-HU"/>
    </w:rPr>
  </w:style>
  <w:style w:type="character" w:customStyle="1" w:styleId="Heading2Char">
    <w:name w:val="Heading 2 Char"/>
    <w:link w:val="Heading2"/>
    <w:rsid w:val="005100D0"/>
    <w:rPr>
      <w:rFonts w:ascii="Cambria" w:hAnsi="Cambria"/>
      <w:b/>
      <w:bCs/>
      <w:color w:val="4F81BD"/>
      <w:sz w:val="26"/>
      <w:szCs w:val="26"/>
      <w:lang w:val="hu-HU" w:eastAsia="hu-HU"/>
    </w:rPr>
  </w:style>
  <w:style w:type="character" w:customStyle="1" w:styleId="Heading3Char">
    <w:name w:val="Heading 3 Char"/>
    <w:link w:val="Heading3"/>
    <w:rsid w:val="005100D0"/>
    <w:rPr>
      <w:rFonts w:ascii="Cambria" w:hAnsi="Cambria"/>
      <w:b/>
      <w:bCs/>
      <w:color w:val="4F81BD"/>
      <w:sz w:val="22"/>
      <w:szCs w:val="22"/>
      <w:lang w:val="hu-HU" w:eastAsia="hu-HU"/>
    </w:rPr>
  </w:style>
  <w:style w:type="character" w:customStyle="1" w:styleId="Heading4Char">
    <w:name w:val="Heading 4 Char"/>
    <w:link w:val="Heading4"/>
    <w:rsid w:val="005100D0"/>
    <w:rPr>
      <w:rFonts w:ascii="Cambria" w:hAnsi="Cambria"/>
      <w:b/>
      <w:bCs/>
      <w:i/>
      <w:iCs/>
      <w:color w:val="4F81BD"/>
      <w:sz w:val="22"/>
      <w:szCs w:val="22"/>
      <w:lang w:val="hu-HU" w:eastAsia="hu-HU"/>
    </w:rPr>
  </w:style>
  <w:style w:type="character" w:customStyle="1" w:styleId="Heading5Char">
    <w:name w:val="Heading 5 Char"/>
    <w:link w:val="Heading5"/>
    <w:rsid w:val="005100D0"/>
    <w:rPr>
      <w:rFonts w:ascii="Cambria" w:hAnsi="Cambria"/>
      <w:color w:val="243F60"/>
      <w:sz w:val="22"/>
      <w:szCs w:val="22"/>
      <w:lang w:val="hu-HU" w:eastAsia="hu-HU"/>
    </w:rPr>
  </w:style>
  <w:style w:type="character" w:customStyle="1" w:styleId="Heading6Char">
    <w:name w:val="Heading 6 Char"/>
    <w:link w:val="Heading6"/>
    <w:rsid w:val="005100D0"/>
    <w:rPr>
      <w:rFonts w:ascii="Cambria" w:hAnsi="Cambria"/>
      <w:i/>
      <w:iCs/>
      <w:color w:val="243F60"/>
      <w:sz w:val="22"/>
      <w:szCs w:val="22"/>
      <w:lang w:val="hu-HU" w:eastAsia="hu-HU"/>
    </w:rPr>
  </w:style>
  <w:style w:type="character" w:customStyle="1" w:styleId="Heading7Char">
    <w:name w:val="Heading 7 Char"/>
    <w:link w:val="Heading7"/>
    <w:rsid w:val="005100D0"/>
    <w:rPr>
      <w:rFonts w:ascii="Cambria" w:hAnsi="Cambria"/>
      <w:i/>
      <w:iCs/>
      <w:color w:val="404040"/>
      <w:sz w:val="22"/>
      <w:szCs w:val="22"/>
      <w:lang w:val="hu-HU" w:eastAsia="hu-HU"/>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u-HU" w:eastAsia="hu-HU"/>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u-HU" w:eastAsia="hu-HU"/>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u-HU" w:eastAsia="hu-HU"/>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hu-HU" w:eastAsia="hu-HU"/>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u-HU" w:eastAsia="hu-HU"/>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u-HU" w:eastAsia="hu-HU"/>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hu-H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rPr>
  </w:style>
  <w:style w:type="paragraph" w:customStyle="1" w:styleId="Langue">
    <w:name w:val="Langue"/>
    <w:basedOn w:val="Normal"/>
    <w:next w:val="Normal"/>
    <w:rsid w:val="002647B0"/>
    <w:pPr>
      <w:spacing w:after="600"/>
      <w:jc w:val="center"/>
    </w:pPr>
    <w:rPr>
      <w:rFonts w:ascii="Times New Roman" w:hAnsi="Times New Roman"/>
      <w:b/>
      <w:caps/>
      <w:sz w:val="24"/>
      <w:szCs w:val="24"/>
    </w:rPr>
  </w:style>
  <w:style w:type="paragraph" w:customStyle="1" w:styleId="subtitlenumbered">
    <w:name w:val="subtitle numbered"/>
    <w:basedOn w:val="Subtitle"/>
    <w:link w:val="subtitlenumberedChar"/>
    <w:uiPriority w:val="99"/>
    <w:qFormat/>
    <w:rsid w:val="002647B0"/>
    <w:pPr>
      <w:numPr>
        <w:numId w:val="26"/>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7"/>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hu-HU"/>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hu-HU"/>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hu-HU"/>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hu-HU"/>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hu-HU"/>
    </w:rPr>
  </w:style>
  <w:style w:type="character" w:customStyle="1" w:styleId="subtitlenonumberChar">
    <w:name w:val="subtitle no number Char"/>
    <w:link w:val="subtitlenonumber"/>
    <w:rsid w:val="00AD63B8"/>
    <w:rPr>
      <w:b/>
      <w:i/>
      <w:sz w:val="24"/>
      <w:szCs w:val="24"/>
      <w:lang w:val="hu-HU" w:eastAsia="hu-HU"/>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hu-HU" w:eastAsia="hu-HU"/>
    </w:rPr>
  </w:style>
  <w:style w:type="character" w:customStyle="1" w:styleId="Heading2Char">
    <w:name w:val="Heading 2 Char"/>
    <w:link w:val="Heading2"/>
    <w:rsid w:val="005100D0"/>
    <w:rPr>
      <w:rFonts w:ascii="Cambria" w:hAnsi="Cambria"/>
      <w:b/>
      <w:bCs/>
      <w:color w:val="4F81BD"/>
      <w:sz w:val="26"/>
      <w:szCs w:val="26"/>
      <w:lang w:val="hu-HU" w:eastAsia="hu-HU"/>
    </w:rPr>
  </w:style>
  <w:style w:type="character" w:customStyle="1" w:styleId="Heading3Char">
    <w:name w:val="Heading 3 Char"/>
    <w:link w:val="Heading3"/>
    <w:rsid w:val="005100D0"/>
    <w:rPr>
      <w:rFonts w:ascii="Cambria" w:hAnsi="Cambria"/>
      <w:b/>
      <w:bCs/>
      <w:color w:val="4F81BD"/>
      <w:sz w:val="22"/>
      <w:szCs w:val="22"/>
      <w:lang w:val="hu-HU" w:eastAsia="hu-HU"/>
    </w:rPr>
  </w:style>
  <w:style w:type="character" w:customStyle="1" w:styleId="Heading4Char">
    <w:name w:val="Heading 4 Char"/>
    <w:link w:val="Heading4"/>
    <w:rsid w:val="005100D0"/>
    <w:rPr>
      <w:rFonts w:ascii="Cambria" w:hAnsi="Cambria"/>
      <w:b/>
      <w:bCs/>
      <w:i/>
      <w:iCs/>
      <w:color w:val="4F81BD"/>
      <w:sz w:val="22"/>
      <w:szCs w:val="22"/>
      <w:lang w:val="hu-HU" w:eastAsia="hu-HU"/>
    </w:rPr>
  </w:style>
  <w:style w:type="character" w:customStyle="1" w:styleId="Heading5Char">
    <w:name w:val="Heading 5 Char"/>
    <w:link w:val="Heading5"/>
    <w:rsid w:val="005100D0"/>
    <w:rPr>
      <w:rFonts w:ascii="Cambria" w:hAnsi="Cambria"/>
      <w:color w:val="243F60"/>
      <w:sz w:val="22"/>
      <w:szCs w:val="22"/>
      <w:lang w:val="hu-HU" w:eastAsia="hu-HU"/>
    </w:rPr>
  </w:style>
  <w:style w:type="character" w:customStyle="1" w:styleId="Heading6Char">
    <w:name w:val="Heading 6 Char"/>
    <w:link w:val="Heading6"/>
    <w:rsid w:val="005100D0"/>
    <w:rPr>
      <w:rFonts w:ascii="Cambria" w:hAnsi="Cambria"/>
      <w:i/>
      <w:iCs/>
      <w:color w:val="243F60"/>
      <w:sz w:val="22"/>
      <w:szCs w:val="22"/>
      <w:lang w:val="hu-HU" w:eastAsia="hu-HU"/>
    </w:rPr>
  </w:style>
  <w:style w:type="character" w:customStyle="1" w:styleId="Heading7Char">
    <w:name w:val="Heading 7 Char"/>
    <w:link w:val="Heading7"/>
    <w:rsid w:val="005100D0"/>
    <w:rPr>
      <w:rFonts w:ascii="Cambria" w:hAnsi="Cambria"/>
      <w:i/>
      <w:iCs/>
      <w:color w:val="404040"/>
      <w:sz w:val="22"/>
      <w:szCs w:val="22"/>
      <w:lang w:val="hu-HU" w:eastAsia="hu-HU"/>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hu-HU" w:eastAsia="hu-HU"/>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hu-HU" w:eastAsia="hu-HU"/>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hu-HU" w:eastAsia="hu-HU"/>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rPr>
  </w:style>
  <w:style w:type="character" w:customStyle="1" w:styleId="ManualNumPar1Char">
    <w:name w:val="Manual NumPar 1 Char"/>
    <w:link w:val="ManualNumPar1"/>
    <w:locked/>
    <w:rsid w:val="005100D0"/>
    <w:rPr>
      <w:sz w:val="24"/>
      <w:szCs w:val="24"/>
      <w:lang w:val="hu-HU" w:eastAsia="hu-HU"/>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hu-HU" w:eastAsia="hu-HU"/>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rPr>
  </w:style>
  <w:style w:type="paragraph" w:customStyle="1" w:styleId="Sous-titreobjet">
    <w:name w:val="Sous-titre objet"/>
    <w:basedOn w:val="Normal"/>
    <w:rsid w:val="005100D0"/>
    <w:pPr>
      <w:spacing w:after="0"/>
      <w:jc w:val="center"/>
    </w:pPr>
    <w:rPr>
      <w:rFonts w:ascii="Times New Roman" w:hAnsi="Times New Roman"/>
      <w:b/>
      <w:sz w:val="24"/>
      <w:szCs w:val="24"/>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rPr>
  </w:style>
  <w:style w:type="paragraph" w:customStyle="1" w:styleId="Para1">
    <w:name w:val="Para 1."/>
    <w:basedOn w:val="Normal"/>
    <w:rsid w:val="005100D0"/>
    <w:pPr>
      <w:numPr>
        <w:ilvl w:val="3"/>
        <w:numId w:val="3"/>
      </w:numPr>
      <w:outlineLvl w:val="3"/>
    </w:pPr>
    <w:rPr>
      <w:rFonts w:ascii="Times New Roman" w:hAnsi="Times New Roman"/>
      <w:sz w:val="24"/>
      <w:szCs w:val="24"/>
    </w:rPr>
  </w:style>
  <w:style w:type="paragraph" w:customStyle="1" w:styleId="Sub-paraa">
    <w:name w:val="Sub-para (a)"/>
    <w:basedOn w:val="Normal"/>
    <w:rsid w:val="005100D0"/>
    <w:pPr>
      <w:numPr>
        <w:ilvl w:val="4"/>
        <w:numId w:val="3"/>
      </w:numPr>
      <w:outlineLvl w:val="4"/>
    </w:pPr>
    <w:rPr>
      <w:rFonts w:ascii="Times New Roman" w:hAnsi="Times New Roman"/>
      <w:sz w:val="24"/>
      <w:szCs w:val="24"/>
    </w:rPr>
  </w:style>
  <w:style w:type="paragraph" w:customStyle="1" w:styleId="Sub-parai">
    <w:name w:val="Sub-para (i)"/>
    <w:basedOn w:val="Normal"/>
    <w:rsid w:val="005100D0"/>
    <w:pPr>
      <w:numPr>
        <w:ilvl w:val="5"/>
        <w:numId w:val="3"/>
      </w:numPr>
      <w:outlineLvl w:val="5"/>
    </w:pPr>
    <w:rPr>
      <w:rFonts w:ascii="Times New Roman" w:hAnsi="Times New Roman"/>
      <w:sz w:val="24"/>
      <w:szCs w:val="24"/>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hu-HU" w:eastAsia="hu-HU"/>
    </w:rPr>
  </w:style>
  <w:style w:type="paragraph" w:customStyle="1" w:styleId="Default">
    <w:name w:val="Default"/>
    <w:rsid w:val="00A62A33"/>
    <w:pPr>
      <w:autoSpaceDE w:val="0"/>
      <w:autoSpaceDN w:val="0"/>
      <w:adjustRightInd w:val="0"/>
    </w:pPr>
    <w:rPr>
      <w:rFonts w:eastAsia="Calibri"/>
      <w:color w:val="000000"/>
      <w:sz w:val="24"/>
      <w:szCs w:val="24"/>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9"/>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9"/>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9"/>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9"/>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9"/>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9"/>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9"/>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9"/>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9"/>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A7AAAC-0785-4D20-A0CD-18586FA98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84</Pages>
  <Words>26122</Words>
  <Characters>195613</Characters>
  <Application>Microsoft Office Word</Application>
  <DocSecurity>0</DocSecurity>
  <Lines>3431</Lines>
  <Paragraphs>1119</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220616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mrimmanen</dc:creator>
  <cp:lastModifiedBy>GORDOS Agnes (DGT)</cp:lastModifiedBy>
  <cp:revision>8</cp:revision>
  <cp:lastPrinted>2016-10-27T14:00:00Z</cp:lastPrinted>
  <dcterms:created xsi:type="dcterms:W3CDTF">2017-06-16T07:20:00Z</dcterms:created>
  <dcterms:modified xsi:type="dcterms:W3CDTF">2017-06-22T15:29:00Z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