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165857" w:rsidRDefault="0029107D" w:rsidP="0016585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72024ABDE9346DDAEDF4A6F9B9DDB86" style="width:450.45pt;height:409.55pt">
            <v:imagedata r:id="rId9" o:title=""/>
          </v:shape>
        </w:pict>
      </w:r>
    </w:p>
    <w:p w:rsidR="00AD7ACA" w:rsidRPr="00165857" w:rsidRDefault="00AD7ACA" w:rsidP="00AD7ACA">
      <w:pPr>
        <w:pStyle w:val="Pagedecouverture"/>
        <w:sectPr w:rsidR="00AD7ACA" w:rsidRPr="00165857" w:rsidSect="00643214">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165857" w:rsidRDefault="00165857" w:rsidP="00165857">
      <w:pPr>
        <w:pStyle w:val="Typedudocument"/>
      </w:pPr>
      <w:r w:rsidRPr="00165857">
        <w:lastRenderedPageBreak/>
        <w:t>KOMISSION TÄYTÄNTÖÖNPANOASETUS (EU) …/…,</w:t>
      </w:r>
    </w:p>
    <w:p w:rsidR="000826D9" w:rsidRPr="00165857" w:rsidRDefault="00165857" w:rsidP="00165857">
      <w:pPr>
        <w:pStyle w:val="Datedadoption"/>
      </w:pPr>
      <w:r w:rsidRPr="00165857">
        <w:t xml:space="preserve">annettu </w:t>
      </w:r>
      <w:r w:rsidRPr="00165857">
        <w:rPr>
          <w:rStyle w:val="Marker2"/>
        </w:rPr>
        <w:t>XXX</w:t>
      </w:r>
      <w:r w:rsidRPr="00165857">
        <w:t>,</w:t>
      </w:r>
    </w:p>
    <w:p w:rsidR="000826D9" w:rsidRPr="00165857" w:rsidRDefault="00165857" w:rsidP="00165857">
      <w:pPr>
        <w:pStyle w:val="Titreobjet"/>
      </w:pPr>
      <w:proofErr w:type="gramStart"/>
      <w:r w:rsidRPr="00165857">
        <w:t>Euroopan parlamentin ja neuvoston asetuksen (EU) N:o 575/2013 mukaisista laitosten vakavaraisuusvalvontaan liittyvää raportointia koskevista teknisistä täytäntöönpanostandardeista annetun täytäntöönpanoasetuksen (EU) N:o 680/2014 muuttamisesta</w:t>
      </w:r>
      <w:proofErr w:type="gramEnd"/>
    </w:p>
    <w:p w:rsidR="000826D9" w:rsidRPr="00165857" w:rsidRDefault="00165857" w:rsidP="00165857">
      <w:pPr>
        <w:pStyle w:val="IntrtEEE"/>
      </w:pPr>
      <w:r w:rsidRPr="00165857">
        <w:t>(ETA:n kannalta merkityksellinen teksti)</w:t>
      </w:r>
    </w:p>
    <w:p w:rsidR="000826D9" w:rsidRPr="00165857" w:rsidRDefault="000826D9" w:rsidP="004E1EF9">
      <w:pPr>
        <w:pStyle w:val="Institutionquiagit"/>
      </w:pPr>
      <w:r w:rsidRPr="00165857">
        <w:t>EUROOPAN KOMISSIO, joka</w:t>
      </w:r>
    </w:p>
    <w:p w:rsidR="000826D9" w:rsidRPr="00165857" w:rsidRDefault="000826D9" w:rsidP="004E1EF9">
      <w:r w:rsidRPr="00165857">
        <w:t>ottaa huomioon Euroopan unionin toiminnasta tehdyn sopimuksen,</w:t>
      </w:r>
    </w:p>
    <w:p w:rsidR="000826D9" w:rsidRPr="00165857" w:rsidRDefault="005E43C0" w:rsidP="00FC0A99">
      <w:r w:rsidRPr="00165857">
        <w:t>ottaa huomioon luottolaitosten ja sijoituspalveluyritysten vakavaraisuusvaatimuksista ja asetuksen (EU) N:o 648/2012 muuttamisesta 26 päivänä kesäkuuta 2013 annetun Euroopan parlamentin ja neuvoston asetuksen (EU) N:o 575/2013 ja erityisesti sen 99 artiklan 5 kohdan neljännen alakohdan ja 6 kohdan neljännen alakohdan, 101 artiklan 4 kohdan kolmannen alakohdan ja 394 artiklan 4 kohdan kolmannen alakohdan,</w:t>
      </w:r>
    </w:p>
    <w:p w:rsidR="000826D9" w:rsidRPr="00165857" w:rsidRDefault="000826D9" w:rsidP="004E1EF9">
      <w:r w:rsidRPr="00165857">
        <w:t>sekä katsoo seuraavaa:</w:t>
      </w:r>
    </w:p>
    <w:p w:rsidR="005E43C0" w:rsidRPr="00165857" w:rsidRDefault="005E43C0" w:rsidP="00584220">
      <w:pPr>
        <w:pStyle w:val="Considrant"/>
        <w:numPr>
          <w:ilvl w:val="0"/>
          <w:numId w:val="5"/>
        </w:numPr>
      </w:pPr>
      <w:r w:rsidRPr="00165857">
        <w:t>Komission täytäntöönpanoasetuksessa (EU) N:o 680/2014</w:t>
      </w:r>
      <w:r w:rsidRPr="00165857">
        <w:rPr>
          <w:rStyle w:val="FootnoteReference"/>
        </w:rPr>
        <w:footnoteReference w:id="1"/>
      </w:r>
      <w:r w:rsidRPr="00165857">
        <w:t xml:space="preserve"> annetaan yksityiskohtaiset säännöt, joiden mukaisesti laitosten edellytetään täyttävän asetuksen (EU) N:o 575/2013 noudattamiseen liittyvät tiedonantovelvoitteensa. </w:t>
      </w:r>
      <w:proofErr w:type="gramStart"/>
      <w:r w:rsidRPr="00165857">
        <w:t>Asetuksen (EU) N:o 575/2013 99 artiklan 5 kohdassa Euroopan pankkiviranomainen, jäljempänä ’EPV’</w:t>
      </w:r>
      <w:proofErr w:type="gramEnd"/>
      <w:r w:rsidRPr="00165857">
        <w:t>, valtuutetaan laatimaan teknisten täytäntöönpanostandardien luonnokset, joissa määritetään yhtenäiset esitysmuodot, joita Euroopan parlamentin ja neuvoston asetuksen (EY) N:o 1606/2002</w:t>
      </w:r>
      <w:r w:rsidRPr="00165857">
        <w:rPr>
          <w:rStyle w:val="FootnoteReference"/>
        </w:rPr>
        <w:footnoteReference w:id="2"/>
      </w:r>
      <w:r w:rsidRPr="00165857">
        <w:t xml:space="preserve"> 4 artiklan soveltamisalaan kuuluvien laitosten ja sellaisten muiden kuin kyseisessä artiklassa tarkoitettujen luottolaitosten, jotka laativat konsolidoidut tilinpäätöksensä asetuksen (EY) N:o 1060/2002 6 artiklan 2 kohdassa vahvistetun menettelyn mukaisesti hyväksyttyjä kansainvälisiä tilinpäätösstandardeja noudattaen, edellytetään käyttävän ilmoittaessaan taloudellisia tietoja. Lisäksi EPV valtuutetaan asetuksen (EU) N:o 575/2013 99 artiklan 6 kohdassa laatimaan teknisten täytäntöönpanostandardien luonnokset sellaisten yhtenäisten esitysmuotojen määrittämiseksi, joita laitosten, joihin sovelletaan neuvoston direktiiviin 86/635/ETY</w:t>
      </w:r>
      <w:r w:rsidRPr="00165857">
        <w:rPr>
          <w:rStyle w:val="FootnoteReference"/>
        </w:rPr>
        <w:footnoteReference w:id="3"/>
      </w:r>
      <w:r w:rsidRPr="00165857">
        <w:t xml:space="preserve"> perustuvia tilinpäätössäännöstöjä ja jotka toimivaltaiset viranomaiset voivat sisällyttää raportointivaatimusten soveltamisalaan, edellytetään käyttävän ilmoittaessaan taloudellisia tietoja. Jokainen näistä säännöksistä koskee unionissa vakavaraisuusvalvontaan liittyvässä raportoinnissa sovellettavan kehyksen näkökohtia, jotka on tarpeen sovittaa yhteen uusien sovellettavien kansainvälisten standardien kanssa. </w:t>
      </w:r>
    </w:p>
    <w:p w:rsidR="005E43C0" w:rsidRPr="00165857" w:rsidRDefault="005E43C0" w:rsidP="001B668B">
      <w:pPr>
        <w:pStyle w:val="Considrant"/>
      </w:pPr>
      <w:r w:rsidRPr="00165857">
        <w:lastRenderedPageBreak/>
        <w:t xml:space="preserve">Asetuksen (EY) N:o 1606/2002 6 artiklan 2 kohdassa säädetyn menettelyn mukaisesti hyväksytyt kansainväliset tilinpäätösstandardit perustuvat kansainvälisiä tilinpäätösstandardeja antavan elimen (International Accounting </w:t>
      </w:r>
      <w:proofErr w:type="spellStart"/>
      <w:r w:rsidRPr="00165857">
        <w:t>Standards</w:t>
      </w:r>
      <w:proofErr w:type="spellEnd"/>
      <w:r w:rsidRPr="00165857">
        <w:t xml:space="preserve"> Board, IASB) laatimiin kansainvälisin tilinpäätösstandardeihin (</w:t>
      </w:r>
      <w:proofErr w:type="spellStart"/>
      <w:r w:rsidRPr="00165857">
        <w:t>IFRS-standardit</w:t>
      </w:r>
      <w:proofErr w:type="spellEnd"/>
      <w:r w:rsidRPr="00165857">
        <w:t>).</w:t>
      </w:r>
    </w:p>
    <w:p w:rsidR="005E43C0" w:rsidRPr="00165857" w:rsidRDefault="005E43C0" w:rsidP="005E43C0">
      <w:pPr>
        <w:pStyle w:val="Considrant"/>
      </w:pPr>
      <w:r w:rsidRPr="00165857">
        <w:t>IASB julkaisi heinäkuussa 2014 IFRS 9:n Rahoitusinstrumentit, jäljempänä ’IFRS 9’, rahoitusinstrumenttien kirjanpitokäsittelyä koskevana uutena standardina pyrkien siihen, että kyseistä standardia sovelletaan kansainvälisellä tasolla 1 päivästä tammikuuta 2018. IFRS 9 hyväksyttiin unionissa 22 päivänä marraskuuta 2016 komission asetuksella (EU) 2016/2067</w:t>
      </w:r>
      <w:r w:rsidRPr="00165857">
        <w:rPr>
          <w:rStyle w:val="FootnoteReference"/>
        </w:rPr>
        <w:footnoteReference w:id="4"/>
      </w:r>
      <w:r w:rsidRPr="00165857">
        <w:t>.</w:t>
      </w:r>
    </w:p>
    <w:p w:rsidR="008A3611" w:rsidRPr="00165857" w:rsidRDefault="005E43C0" w:rsidP="002F4AD0">
      <w:pPr>
        <w:pStyle w:val="Considrant"/>
      </w:pPr>
      <w:r w:rsidRPr="00165857">
        <w:t>IFRS 9 muuttaa perinpohjaisesti rahoitusinstrumenttien kirjanpitokäsittelyä asetuksen (EU) N:o 575/2013 99 artiklan 2 kohdan soveltamisalaan kuuluvien laitosten osalta. IFRS 9 sisältää luokitteluun ja arvostamiseen tarkoitetun loogisen mallin, yhden ennakoivan mallin odotettavissa olevien tappioiden aiheuttamaa arvonalentumista varten sekä olennaisesti uudistetun suojauslaskentamenetelmän. Sen vuoksi laitosten suorittamaa raportointia olisi muutettava vastaavasti.</w:t>
      </w:r>
    </w:p>
    <w:p w:rsidR="005E43C0" w:rsidRPr="00165857" w:rsidRDefault="005E43C0" w:rsidP="002358B5">
      <w:pPr>
        <w:pStyle w:val="Considrant"/>
      </w:pPr>
      <w:r w:rsidRPr="00165857">
        <w:t>Lisäksi on tarpeen päivittää lomakkeita ja ohjeita, jotka liittyvät käypään arvoon tulosvaikutteisesti arvostettavien rahoitusvarojen bruttomääräisen kirjanpitoarvon ilmoittamiseen. Syynä tähän on tarve täsmentää bruttomääräisen kirjanpitoarvon määritelmää luottoriskin seurantaa varten sekä parantaa ilmoitettujen tietojen laatua ja keventää raportointitaakkaa.</w:t>
      </w:r>
    </w:p>
    <w:p w:rsidR="005E43C0" w:rsidRPr="00165857" w:rsidRDefault="008A3611" w:rsidP="005E43C0">
      <w:pPr>
        <w:pStyle w:val="Considrant"/>
      </w:pPr>
      <w:r w:rsidRPr="00165857">
        <w:t>On myös tarpeen päivittää neuvoston direktiiviin 86/635/ETY perustuvien tilinpäätössäännöstöjen soveltamisalaan kuuluville laitoksille tarkoitettuja lomakkeita ja ohjeita, jotta voidaan varmistaa, että ilmoitetut taloudelliset tiedot säilyvät merkityksellisinä ja yhdenmukaisina kaikkien laitosten välillä, sekä korjata erityisiin kansallisiin tilinpäätössäännöstöihin liittyvät tietopuutteet, joita ei ole aiemmin otettu lomakkeissa täysin huomioon.</w:t>
      </w:r>
    </w:p>
    <w:p w:rsidR="005E43C0" w:rsidRPr="00165857" w:rsidRDefault="005E43C0" w:rsidP="005E43C0">
      <w:pPr>
        <w:pStyle w:val="Considrant"/>
      </w:pPr>
      <w:r w:rsidRPr="00165857">
        <w:t>Koska tilinpäätösraportointi ja sovellettavat tilinpäätösstandardit ovat erottamattomasti yhteydessä toisiinsa, tämän asetuksen soveltamispäivän olisi oltava sama kuin IFRS 9:n soveltamispäivä. Samasta syystä tämän asetuksen soveltamispäivän olisi niiden laitosten osalta, joiden tilikausi ei ole sama kuin kalenterivuosi, oltava sama kuin IFRS 9:n soveltamispäivä, joka on se kalenterivuoden päivä, jona kyseisten laitosten tilikausi alkaa.</w:t>
      </w:r>
    </w:p>
    <w:p w:rsidR="005E43C0" w:rsidRPr="00165857" w:rsidRDefault="005E43C0" w:rsidP="005E43C0">
      <w:pPr>
        <w:pStyle w:val="Considrant"/>
      </w:pPr>
      <w:r w:rsidRPr="00165857">
        <w:t xml:space="preserve">Tämä asetus perustuu teknisten täytäntöönpanostandardien luonnoksiin, jotka EPV on toimittanut komissiolle. </w:t>
      </w:r>
    </w:p>
    <w:p w:rsidR="005E43C0" w:rsidRPr="00165857" w:rsidRDefault="005E43C0" w:rsidP="005E43C0">
      <w:pPr>
        <w:pStyle w:val="Considrant"/>
      </w:pPr>
      <w:r w:rsidRPr="00165857">
        <w:t>EPV on järjestänyt avoimet julkiset kuulemiset tämän asetuksen perustana olevista teknisten täytäntöönpanostandardien luonnoksista, analysoinut niihin mahdollisesti liittyviä kustannuksia ja hyötyjä sekä pyytänyt lausunnon Euroopan parlamentin ja neuvoston asetuksen (EU) N:o 1093/2010</w:t>
      </w:r>
      <w:r w:rsidRPr="00165857">
        <w:rPr>
          <w:rStyle w:val="FootnoteReference"/>
        </w:rPr>
        <w:footnoteReference w:id="5"/>
      </w:r>
      <w:r w:rsidRPr="00165857">
        <w:t xml:space="preserve"> 37 artiklan mukaisesti perustetulta pankkialan osallisryhmältä. </w:t>
      </w:r>
    </w:p>
    <w:p w:rsidR="000826D9" w:rsidRPr="00165857" w:rsidRDefault="005E43C0" w:rsidP="005E43C0">
      <w:pPr>
        <w:pStyle w:val="Considrant"/>
      </w:pPr>
      <w:r w:rsidRPr="00165857">
        <w:lastRenderedPageBreak/>
        <w:t xml:space="preserve">Sen vuoksi täytäntöönpanoasetusta (EU) N:o 680/2014 olisi muutettava, </w:t>
      </w:r>
    </w:p>
    <w:p w:rsidR="000826D9" w:rsidRPr="00165857" w:rsidRDefault="000826D9" w:rsidP="004E1EF9">
      <w:pPr>
        <w:pStyle w:val="Formuledadoption"/>
      </w:pPr>
      <w:r w:rsidRPr="00165857">
        <w:t>ON HYVÄKSYNYT TÄMÄN ASETUKSEN:</w:t>
      </w:r>
    </w:p>
    <w:p w:rsidR="000826D9" w:rsidRPr="00165857" w:rsidRDefault="000826D9" w:rsidP="004E1EF9">
      <w:pPr>
        <w:pStyle w:val="Titrearticle"/>
      </w:pPr>
      <w:r w:rsidRPr="00165857">
        <w:t>1 artikla</w:t>
      </w:r>
    </w:p>
    <w:p w:rsidR="005E43C0" w:rsidRPr="00165857" w:rsidRDefault="005E43C0" w:rsidP="005E43C0">
      <w:r w:rsidRPr="00165857">
        <w:t>Muutetaan täytäntöönpanoasetus (EU) N:o 680/2014 seuraavasti:</w:t>
      </w:r>
    </w:p>
    <w:p w:rsidR="005E43C0" w:rsidRPr="00165857" w:rsidRDefault="00E67A4C" w:rsidP="00E67A4C">
      <w:pPr>
        <w:pStyle w:val="Point0"/>
      </w:pPr>
      <w:r>
        <w:t>1)</w:t>
      </w:r>
      <w:r>
        <w:tab/>
      </w:r>
      <w:r w:rsidR="005E43C0" w:rsidRPr="00165857">
        <w:t>Korvataan täytäntöönpanoasetuksen (EU) N:o 680/2014 liite III tämän asetuksen liitteen I tekstillä.</w:t>
      </w:r>
    </w:p>
    <w:p w:rsidR="005E43C0" w:rsidRPr="00165857" w:rsidRDefault="00E67A4C" w:rsidP="00E67A4C">
      <w:pPr>
        <w:pStyle w:val="Point0"/>
      </w:pPr>
      <w:r>
        <w:t>2)</w:t>
      </w:r>
      <w:r>
        <w:tab/>
      </w:r>
      <w:r w:rsidR="005E43C0" w:rsidRPr="00165857">
        <w:t>Korvataan täytäntöönpanoasetuksen (EU) N:o 680/2014 liite IV tämän asetuksen liitteen II tekstillä.</w:t>
      </w:r>
    </w:p>
    <w:p w:rsidR="005E43C0" w:rsidRPr="00165857" w:rsidRDefault="00E67A4C" w:rsidP="00E67A4C">
      <w:pPr>
        <w:pStyle w:val="Point0"/>
      </w:pPr>
      <w:r>
        <w:t>3)</w:t>
      </w:r>
      <w:r>
        <w:tab/>
      </w:r>
      <w:r w:rsidR="005E43C0" w:rsidRPr="00165857">
        <w:t>Korvataan täytäntöönpanoasetuksen (EU) N:o 680/2014 liite V tämän asetuksen liitteen III tekstillä.</w:t>
      </w:r>
    </w:p>
    <w:p w:rsidR="000826D9" w:rsidRPr="00165857" w:rsidRDefault="000826D9" w:rsidP="004E1EF9">
      <w:pPr>
        <w:pStyle w:val="Titrearticle"/>
      </w:pPr>
      <w:r w:rsidRPr="00165857">
        <w:t>2 artikla</w:t>
      </w:r>
    </w:p>
    <w:p w:rsidR="005E43C0" w:rsidRPr="00165857" w:rsidRDefault="005E43C0" w:rsidP="005E43C0">
      <w:pPr>
        <w:pStyle w:val="Applicationdirecte"/>
      </w:pPr>
      <w:r w:rsidRPr="00165857">
        <w:t xml:space="preserve">Tämä asetus tulee voimaan kahdentenakymmenentenä päivänä sen jälkeen, kun se on julkaistu </w:t>
      </w:r>
      <w:r w:rsidRPr="00165857">
        <w:rPr>
          <w:i/>
        </w:rPr>
        <w:t>Euroopan unionin virallisessa lehdessä</w:t>
      </w:r>
      <w:r w:rsidRPr="00165857">
        <w:t>.</w:t>
      </w:r>
    </w:p>
    <w:p w:rsidR="005E43C0" w:rsidRPr="00165857" w:rsidRDefault="005E43C0" w:rsidP="005E43C0">
      <w:r w:rsidRPr="00165857">
        <w:t>Sitä sovelletaan 1 päivästä tammikuuta 2018.</w:t>
      </w:r>
    </w:p>
    <w:p w:rsidR="0065426A" w:rsidRPr="00165857" w:rsidRDefault="00BE632F" w:rsidP="005E43C0">
      <w:r w:rsidRPr="00165857">
        <w:t xml:space="preserve">Tämän asetuksen liitteitä I ja III sovelletaan 1 päivän tammikuuta 2018 jälkeen alkavan tilikauden alusta </w:t>
      </w:r>
      <w:proofErr w:type="gramStart"/>
      <w:r w:rsidRPr="00165857">
        <w:t>seuraavin laitoksiin</w:t>
      </w:r>
      <w:proofErr w:type="gramEnd"/>
      <w:r w:rsidRPr="00165857">
        <w:t>, jos kyseisten laitosten tilikausi ei ole sama kuin kalenterivuosi:</w:t>
      </w:r>
    </w:p>
    <w:p w:rsidR="0065426A" w:rsidRPr="00165857" w:rsidRDefault="0065426A" w:rsidP="005E43C0">
      <w:r w:rsidRPr="00165857">
        <w:t xml:space="preserve">a) asetuksen (EY) N:o 1606/2002 4 artiklan soveltamisalaan kuuluvat laitokset; </w:t>
      </w:r>
    </w:p>
    <w:p w:rsidR="0065426A" w:rsidRPr="00165857" w:rsidRDefault="0065426A" w:rsidP="005E43C0">
      <w:r w:rsidRPr="00165857">
        <w:t>b) sellaiset muut kuin asetuksen (EY) N:o 1606/2002 4 artiklassa tarkoitetut luottolaitokset, jotka laativat konsolidoidut tilinpäätöksensä kyseisen asetuksen 6 artiklan 2 kohdassa vahvistetun menettelyn mukaisesti hyväksyttyjä kansainvälisiä tilinpäätösstandardeja noudattaen;</w:t>
      </w:r>
    </w:p>
    <w:p w:rsidR="00375E2B" w:rsidRPr="00165857" w:rsidRDefault="00375E2B" w:rsidP="005E43C0">
      <w:r w:rsidRPr="00165857">
        <w:t xml:space="preserve">c) luottolaitokset, jotka soveltavat kansainvälisiä tilinpäätösstandardeja, sellaisina kuin niitä sovelletaan asetuksen (EY) N:o 1606/2002 nojalla, omien varojen ilmoittamiseen </w:t>
      </w:r>
      <w:proofErr w:type="spellStart"/>
      <w:r w:rsidRPr="00165857">
        <w:t>konsolidoidusti</w:t>
      </w:r>
      <w:proofErr w:type="spellEnd"/>
      <w:r w:rsidRPr="00165857">
        <w:t xml:space="preserve"> asetuksen (EU) N:o 575/2013 24 artiklan 2 kohdan mukaisesti.</w:t>
      </w:r>
    </w:p>
    <w:p w:rsidR="005E43C0" w:rsidRPr="00165857" w:rsidRDefault="005E43C0" w:rsidP="005E43C0">
      <w:r w:rsidRPr="00165857">
        <w:t>Tämä asetus on kaikilta osiltaan velvoittava, ja sitä sovelletaan sellaisenaan kaikissa jäsenvaltioissa.</w:t>
      </w:r>
    </w:p>
    <w:p w:rsidR="000826D9" w:rsidRPr="00165857" w:rsidRDefault="00165857" w:rsidP="00165857">
      <w:pPr>
        <w:pStyle w:val="Fait"/>
      </w:pPr>
      <w:proofErr w:type="gramStart"/>
      <w:r w:rsidRPr="00165857">
        <w:t>Tehty Brysselissä</w:t>
      </w:r>
      <w:proofErr w:type="gramEnd"/>
    </w:p>
    <w:p w:rsidR="000826D9" w:rsidRPr="00165857" w:rsidRDefault="000826D9" w:rsidP="000826D9">
      <w:pPr>
        <w:pStyle w:val="Institutionquisigne"/>
      </w:pPr>
      <w:r w:rsidRPr="00165857">
        <w:tab/>
        <w:t>Komission puolesta</w:t>
      </w:r>
    </w:p>
    <w:p w:rsidR="000826D9" w:rsidRPr="00165857" w:rsidRDefault="000826D9" w:rsidP="000826D9">
      <w:pPr>
        <w:pStyle w:val="Personnequisigne"/>
      </w:pPr>
      <w:r w:rsidRPr="00165857">
        <w:tab/>
        <w:t>Puheenjohtaja</w:t>
      </w:r>
      <w:r w:rsidRPr="00165857">
        <w:br/>
      </w:r>
      <w:r w:rsidRPr="00165857">
        <w:tab/>
      </w:r>
      <w:proofErr w:type="spellStart"/>
      <w:r w:rsidRPr="00165857">
        <w:t>Jean-Claude</w:t>
      </w:r>
      <w:proofErr w:type="spellEnd"/>
      <w:r w:rsidRPr="00165857">
        <w:t xml:space="preserve"> </w:t>
      </w:r>
      <w:proofErr w:type="spellStart"/>
      <w:r w:rsidRPr="00165857">
        <w:t>Juncker</w:t>
      </w:r>
      <w:proofErr w:type="spellEnd"/>
    </w:p>
    <w:sectPr w:rsidR="000826D9" w:rsidRPr="00165857" w:rsidSect="00643214">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Default="002910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857" w:rsidRPr="00643214" w:rsidRDefault="00643214" w:rsidP="00643214">
    <w:pPr>
      <w:pStyle w:val="Footer"/>
      <w:rPr>
        <w:rFonts w:ascii="Arial" w:hAnsi="Arial" w:cs="Arial"/>
        <w:b/>
        <w:sz w:val="48"/>
      </w:rPr>
    </w:pPr>
    <w:r w:rsidRPr="00643214">
      <w:rPr>
        <w:rFonts w:ascii="Arial" w:hAnsi="Arial" w:cs="Arial"/>
        <w:b/>
        <w:sz w:val="48"/>
      </w:rPr>
      <w:t>FI</w:t>
    </w:r>
    <w:r w:rsidRPr="00643214">
      <w:rPr>
        <w:rFonts w:ascii="Arial" w:hAnsi="Arial" w:cs="Arial"/>
        <w:b/>
        <w:sz w:val="48"/>
      </w:rPr>
      <w:tab/>
    </w:r>
    <w:r w:rsidRPr="00643214">
      <w:rPr>
        <w:rFonts w:ascii="Arial" w:hAnsi="Arial" w:cs="Arial"/>
        <w:b/>
        <w:sz w:val="48"/>
      </w:rPr>
      <w:tab/>
    </w:r>
    <w:fldSimple w:instr=" DOCVARIABLE &quot;LW_Confidence&quot; \* MERGEFORMAT ">
      <w:r>
        <w:t xml:space="preserve"> </w:t>
      </w:r>
    </w:fldSimple>
    <w:r w:rsidRPr="00643214">
      <w:tab/>
    </w:r>
    <w:proofErr w:type="spellStart"/>
    <w:r w:rsidRPr="00643214">
      <w:rPr>
        <w:rFonts w:ascii="Arial" w:hAnsi="Arial" w:cs="Arial"/>
        <w:b/>
        <w:sz w:val="48"/>
      </w:rPr>
      <w:t>FI</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Default="0029107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14" w:rsidRPr="00643214" w:rsidRDefault="00643214" w:rsidP="00643214">
    <w:pPr>
      <w:pStyle w:val="Footer"/>
      <w:rPr>
        <w:rFonts w:ascii="Arial" w:hAnsi="Arial" w:cs="Arial"/>
        <w:b/>
        <w:sz w:val="48"/>
      </w:rPr>
    </w:pPr>
    <w:r w:rsidRPr="00643214">
      <w:rPr>
        <w:rFonts w:ascii="Arial" w:hAnsi="Arial" w:cs="Arial"/>
        <w:b/>
        <w:sz w:val="48"/>
      </w:rPr>
      <w:t>FI</w:t>
    </w:r>
    <w:r w:rsidRPr="00643214">
      <w:rPr>
        <w:rFonts w:ascii="Arial" w:hAnsi="Arial" w:cs="Arial"/>
        <w:b/>
        <w:sz w:val="48"/>
      </w:rPr>
      <w:tab/>
    </w:r>
    <w:r>
      <w:fldChar w:fldCharType="begin"/>
    </w:r>
    <w:r>
      <w:instrText xml:space="preserve"> PAGE  \* MERGEFORMAT </w:instrText>
    </w:r>
    <w:r>
      <w:fldChar w:fldCharType="separate"/>
    </w:r>
    <w:r w:rsidR="0029107D">
      <w:rPr>
        <w:noProof/>
      </w:rPr>
      <w:t>4</w:t>
    </w:r>
    <w:r>
      <w:fldChar w:fldCharType="end"/>
    </w:r>
    <w:r>
      <w:tab/>
    </w:r>
    <w:fldSimple w:instr=" DOCVARIABLE &quot;LW_Confidence&quot; \* MERGEFORMAT ">
      <w:r>
        <w:t xml:space="preserve"> </w:t>
      </w:r>
    </w:fldSimple>
    <w:r w:rsidRPr="00643214">
      <w:tab/>
    </w:r>
    <w:r w:rsidRPr="00643214">
      <w:rPr>
        <w:rFonts w:ascii="Arial" w:hAnsi="Arial" w:cs="Arial"/>
        <w:b/>
        <w:sz w:val="48"/>
      </w:rPr>
      <w:t>FI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214" w:rsidRPr="00643214" w:rsidRDefault="00643214" w:rsidP="006432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Komission täytäntöönpanoasetus (EU) N:o 680/2014 Euroopan parlamentin ja neuvoston asetuksen (EU) N:o 575/2013 mukaisista laitosten vakavaraisuusvalvontaan liittyvää raportointia koskevista teknisistä täytäntöönpanostandardeista (EUVL L 191, 28.6.2014, s. 1). </w:t>
      </w:r>
    </w:p>
  </w:footnote>
  <w:footnote w:id="2">
    <w:p w:rsidR="005E43C0" w:rsidRPr="00F86D15" w:rsidRDefault="005E43C0" w:rsidP="005E43C0">
      <w:pPr>
        <w:pStyle w:val="FootnoteText"/>
      </w:pPr>
      <w:r>
        <w:rPr>
          <w:rStyle w:val="FootnoteReference"/>
        </w:rPr>
        <w:footnoteRef/>
      </w:r>
      <w:r>
        <w:tab/>
      </w:r>
      <w:proofErr w:type="gramStart"/>
      <w:r>
        <w:t>Euroopan parlamentin ja neuvoston asetus (EY) N:o 1606/2002, annettu 19 päivänä heinäkuuta 2002, kansainvälisten tilinpäätösstandardien soveltamisesta (EYVL L 243, 11.9.2002, s. 1).</w:t>
      </w:r>
      <w:proofErr w:type="gramEnd"/>
    </w:p>
  </w:footnote>
  <w:footnote w:id="3">
    <w:p w:rsidR="002A64F4" w:rsidRDefault="002A64F4">
      <w:pPr>
        <w:pStyle w:val="FootnoteText"/>
      </w:pPr>
      <w:r>
        <w:rPr>
          <w:rStyle w:val="FootnoteReference"/>
        </w:rPr>
        <w:footnoteRef/>
      </w:r>
      <w:r>
        <w:tab/>
      </w:r>
      <w:proofErr w:type="gramStart"/>
      <w:r>
        <w:t xml:space="preserve">Neuvoston direktiivi 86/635/ETY, annettu 8 päivänä joulukuuta 1986, pankkien ja muiden rahoituslaitosten tilinpäätöksestä ja </w:t>
      </w:r>
      <w:proofErr w:type="spellStart"/>
      <w:r>
        <w:t>konsolidoidusta</w:t>
      </w:r>
      <w:proofErr w:type="spellEnd"/>
      <w:r>
        <w:t xml:space="preserve"> tilinpäätöksestä (EYVL L 372, 31.12.1986, s. 1).</w:t>
      </w:r>
      <w:proofErr w:type="gramEnd"/>
    </w:p>
  </w:footnote>
  <w:footnote w:id="4">
    <w:p w:rsidR="00775C98" w:rsidRDefault="00775C98">
      <w:pPr>
        <w:pStyle w:val="FootnoteText"/>
      </w:pPr>
      <w:r>
        <w:rPr>
          <w:rStyle w:val="FootnoteReference"/>
        </w:rPr>
        <w:footnoteRef/>
      </w:r>
      <w:r>
        <w:tab/>
      </w:r>
      <w:proofErr w:type="gramStart"/>
      <w:r>
        <w:t>Komission asetus (EU) 2016/2067, annettu 22 päivänä syyskuuta 2016, tiettyjen kansainvälisten tilinpäätösstandardien hyväksymisestä Euroopan parlamentin ja neuvoston asetuksen (EY) N:o 1606/2002 mukaisesti annetun asetuksen (EY) N:o 1126/2008 muuttamisesta kansainvälisen tilinpäätösstandardin IFRS 9 osalta (EUVL L 323, 29.11.2016, s. 1).</w:t>
      </w:r>
      <w:proofErr w:type="gramEnd"/>
    </w:p>
  </w:footnote>
  <w:footnote w:id="5">
    <w:p w:rsidR="005E43C0" w:rsidRPr="004500CE" w:rsidRDefault="005E43C0" w:rsidP="005E43C0">
      <w:pPr>
        <w:pStyle w:val="FootnoteText"/>
      </w:pPr>
      <w:r>
        <w:rPr>
          <w:rStyle w:val="FootnoteReference"/>
        </w:rPr>
        <w:footnoteRef/>
      </w:r>
      <w:r>
        <w:tab/>
      </w:r>
      <w:proofErr w:type="gramStart"/>
      <w:r>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Default="002910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Default="002910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07D" w:rsidRDefault="002910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30"/>
  <w:removePersonalInformation/>
  <w:removeDateAndTime/>
  <w:proofState w:spelling="clean" w:grammar="clean"/>
  <w:attachedTemplate r:id="rId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0:42:21"/>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
    <w:docVar w:name="LW_COVERPAGE_GUID" w:val="472024ABDE9346DDAEDF4A6F9B9DDB86"/>
    <w:docVar w:name="LW_CROSSREFERENCE" w:val="&lt;UNUSED&gt;"/>
    <w:docVar w:name="LW_DATE.ADOPT.CP" w:val="annettu XXX,"/>
    <w:docVar w:name="LW_DATE.ADOPT.CP_DATEFORMAT" w:val="annettu %DATE%,"/>
    <w:docVar w:name="LW_DATE.ADOPT.CP_ISODATE" w:val="&lt;EMPTY&gt;"/>
    <w:docVar w:name="LW_DocType" w:val="COM"/>
    <w:docVar w:name="LW_EMISSION" w:val="&lt;EMPTY&gt;"/>
    <w:docVar w:name="LW_EMISSION_ISODATE" w:val="&lt;EMPTY&gt;"/>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MARKING" w:val="&lt;UNUSED&gt;"/>
    <w:docVar w:name="LW_NOM.INST" w:val="EUROOPAN KOMISSIO"/>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Euroopan parlamentin ja neuvoston asetuksen (EU) N:o 575/2013 mukaisista laitosten vakavaraisuusvalvontaan liittyvää raportointia koskevista teknisistä täytäntöönpanostandardeista annetun täytäntöönpanoasetuksen (EU) N:o 680/2014 muuttamisesta"/>
    <w:docVar w:name="LW_TYPE.DOC.CP" w:val="KOMISSION TÄYTÄNTÖÖNPANOASETUS (EU) \u8230?/\u8230?,"/>
  </w:docVars>
  <w:rsids>
    <w:rsidRoot w:val="000826D9"/>
    <w:rsid w:val="0002331C"/>
    <w:rsid w:val="0007327F"/>
    <w:rsid w:val="000826D9"/>
    <w:rsid w:val="000A65E4"/>
    <w:rsid w:val="000A6BA1"/>
    <w:rsid w:val="000C2CD5"/>
    <w:rsid w:val="000D0FA1"/>
    <w:rsid w:val="000D3B73"/>
    <w:rsid w:val="000E3E7A"/>
    <w:rsid w:val="00115297"/>
    <w:rsid w:val="00165857"/>
    <w:rsid w:val="00171635"/>
    <w:rsid w:val="001A267B"/>
    <w:rsid w:val="001B668B"/>
    <w:rsid w:val="001C5A8C"/>
    <w:rsid w:val="00200E41"/>
    <w:rsid w:val="00223509"/>
    <w:rsid w:val="002358B5"/>
    <w:rsid w:val="00240BF2"/>
    <w:rsid w:val="0025654F"/>
    <w:rsid w:val="0029107D"/>
    <w:rsid w:val="002A64F4"/>
    <w:rsid w:val="002F4AD0"/>
    <w:rsid w:val="002F7366"/>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214"/>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40CC5"/>
    <w:rsid w:val="00C5224D"/>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67A4C"/>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fi-FI" w:bidi="fi-F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fi-FI"/>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fi-FI"/>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fi-FI" w:bidi="fi-F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fi-FI"/>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fi-FI"/>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ECB86-1608-473B-8E15-46E57E16E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747</Words>
  <Characters>6214</Characters>
  <Application>Microsoft Office Word</Application>
  <DocSecurity>0</DocSecurity>
  <Lines>107</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2017-06-22T08:42:00Z</dcterms:created>
  <dcterms:modified xsi:type="dcterms:W3CDTF">2017-06-22T08:42:00Z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20141001</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