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D9" w:rsidRPr="00DD6598" w:rsidRDefault="00630C93" w:rsidP="002F6A67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6018CC83B7434C54A4B18D58CBEA6B8E" style="width:451.35pt;height:395.45pt">
            <v:imagedata r:id="rId9" o:title=""/>
          </v:shape>
        </w:pict>
      </w:r>
    </w:p>
    <w:p w:rsidR="00AD7ACA" w:rsidRPr="00DD6598" w:rsidRDefault="00AD7ACA" w:rsidP="00AD7ACA">
      <w:pPr>
        <w:pStyle w:val="Pagedecouverture"/>
        <w:sectPr w:rsidR="00AD7ACA" w:rsidRPr="00DD6598" w:rsidSect="00113D4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0826D9" w:rsidRPr="00DD6598" w:rsidRDefault="002F6A67" w:rsidP="002F6A67">
      <w:pPr>
        <w:pStyle w:val="Typedudocument"/>
      </w:pPr>
      <w:r w:rsidRPr="002F6A67">
        <w:lastRenderedPageBreak/>
        <w:t>VYKONÁVACIE NARIADENIE KOMISIE (EÚ) …/...</w:t>
      </w:r>
    </w:p>
    <w:p w:rsidR="000826D9" w:rsidRPr="00DD6598" w:rsidRDefault="002F6A67" w:rsidP="002F6A67">
      <w:pPr>
        <w:pStyle w:val="Datedadoption"/>
      </w:pPr>
      <w:r w:rsidRPr="002F6A67">
        <w:t xml:space="preserve">z </w:t>
      </w:r>
      <w:r w:rsidRPr="002F6A67">
        <w:rPr>
          <w:rStyle w:val="Marker2"/>
        </w:rPr>
        <w:t>XXX</w:t>
      </w:r>
      <w:r w:rsidRPr="002F6A67">
        <w:t>,</w:t>
      </w:r>
    </w:p>
    <w:p w:rsidR="000826D9" w:rsidRPr="00DD6598" w:rsidRDefault="002F6A67" w:rsidP="002F6A67">
      <w:pPr>
        <w:pStyle w:val="Titreobjet"/>
      </w:pPr>
      <w:r w:rsidRPr="002F6A67">
        <w:t>ktorým sa mení vykonávacie nariadenie (EÚ) č.</w:t>
      </w:r>
      <w:r>
        <w:t> </w:t>
      </w:r>
      <w:r w:rsidRPr="002F6A67">
        <w:t>680/2014, ktorým sa stanovujú vykonávacie technické predpisy, pokiaľ ide o</w:t>
      </w:r>
      <w:r>
        <w:t> </w:t>
      </w:r>
      <w:r w:rsidRPr="002F6A67">
        <w:t>vykazovanie inštitúciami na účely dohľadu podľa nariadenia Európskeho parlamentu a</w:t>
      </w:r>
      <w:r>
        <w:t> </w:t>
      </w:r>
      <w:r w:rsidRPr="002F6A67">
        <w:t>Rady (EÚ) č.</w:t>
      </w:r>
      <w:r>
        <w:t> </w:t>
      </w:r>
      <w:r w:rsidRPr="002F6A67">
        <w:t>575/2013</w:t>
      </w:r>
    </w:p>
    <w:p w:rsidR="000826D9" w:rsidRPr="00DD6598" w:rsidRDefault="002F6A67" w:rsidP="002F6A67">
      <w:pPr>
        <w:pStyle w:val="IntrtEEE"/>
      </w:pPr>
      <w:r w:rsidRPr="002F6A67">
        <w:t>(Text s</w:t>
      </w:r>
      <w:r>
        <w:t> </w:t>
      </w:r>
      <w:r w:rsidRPr="002F6A67">
        <w:t>významom pre EHP)</w:t>
      </w:r>
    </w:p>
    <w:p w:rsidR="000826D9" w:rsidRPr="00DD6598" w:rsidRDefault="000826D9" w:rsidP="004E1EF9">
      <w:pPr>
        <w:pStyle w:val="Institutionquiagit"/>
      </w:pPr>
      <w:r w:rsidRPr="00DD6598">
        <w:t>EURÓPSKA KOMISIA,</w:t>
      </w:r>
    </w:p>
    <w:p w:rsidR="000826D9" w:rsidRPr="00DD6598" w:rsidRDefault="000826D9" w:rsidP="004E1EF9">
      <w:r w:rsidRPr="00DD6598">
        <w:rPr>
          <w:color w:val="000000"/>
        </w:rPr>
        <w:t>so zreteľom na Zmluvu</w:t>
      </w:r>
      <w:r w:rsidR="00DD6598">
        <w:rPr>
          <w:color w:val="000000"/>
        </w:rPr>
        <w:t xml:space="preserve"> o </w:t>
      </w:r>
      <w:r w:rsidRPr="00DD6598">
        <w:rPr>
          <w:color w:val="000000"/>
        </w:rPr>
        <w:t>fungovaní Európskej únie</w:t>
      </w:r>
      <w:r w:rsidRPr="00DD6598">
        <w:t>,</w:t>
      </w:r>
    </w:p>
    <w:p w:rsidR="000826D9" w:rsidRPr="00DD6598" w:rsidRDefault="005E43C0" w:rsidP="00FC0A99">
      <w:r w:rsidRPr="00DD6598">
        <w:t>so zreteľom na nariadenie Európskeho parlamentu</w:t>
      </w:r>
      <w:r w:rsidR="00DD6598">
        <w:t xml:space="preserve"> a </w:t>
      </w:r>
      <w:r w:rsidRPr="00DD6598">
        <w:t xml:space="preserve">Rady (EÚ) </w:t>
      </w:r>
      <w:r w:rsidR="00DD6598">
        <w:t>č. </w:t>
      </w:r>
      <w:r w:rsidRPr="00DD6598">
        <w:t>575/2013</w:t>
      </w:r>
      <w:r w:rsidR="00DD6598">
        <w:t xml:space="preserve"> z </w:t>
      </w:r>
      <w:r w:rsidRPr="00DD6598">
        <w:t>26</w:t>
      </w:r>
      <w:r w:rsidR="00DD6598">
        <w:t>. júna</w:t>
      </w:r>
      <w:r w:rsidRPr="00DD6598">
        <w:t xml:space="preserve"> 2013</w:t>
      </w:r>
      <w:r w:rsidR="00DD6598">
        <w:t xml:space="preserve"> o </w:t>
      </w:r>
      <w:r w:rsidRPr="00DD6598">
        <w:t>prudenciálnych požiadavkách na úverové inštitúcie</w:t>
      </w:r>
      <w:r w:rsidR="00DD6598">
        <w:t xml:space="preserve"> a </w:t>
      </w:r>
      <w:r w:rsidRPr="00DD6598">
        <w:t>investičné spoločnosti</w:t>
      </w:r>
      <w:r w:rsidR="00DD6598">
        <w:t xml:space="preserve"> a o </w:t>
      </w:r>
      <w:r w:rsidRPr="00DD6598">
        <w:t xml:space="preserve">zmene nariadenia (EÚ) </w:t>
      </w:r>
      <w:r w:rsidR="00DD6598">
        <w:t>č. </w:t>
      </w:r>
      <w:r w:rsidRPr="00DD6598">
        <w:t>648/2012,</w:t>
      </w:r>
      <w:r w:rsidR="00DD6598">
        <w:t xml:space="preserve"> a </w:t>
      </w:r>
      <w:r w:rsidRPr="00DD6598">
        <w:t>najmä na jeho článok 99 ods. 5 štvrtý pododsek, článok 99 ods. 6 štvrtý pododsek, článok 101 ods. 4 tretí pododsek</w:t>
      </w:r>
      <w:r w:rsidR="00DD6598">
        <w:t xml:space="preserve"> a </w:t>
      </w:r>
      <w:r w:rsidRPr="00DD6598">
        <w:t>článok 394 ods. 4 tretí pododsek,</w:t>
      </w:r>
    </w:p>
    <w:p w:rsidR="000826D9" w:rsidRPr="00DD6598" w:rsidRDefault="000826D9" w:rsidP="004E1EF9">
      <w:r w:rsidRPr="00DD6598">
        <w:t>keďže:</w:t>
      </w:r>
    </w:p>
    <w:p w:rsidR="00DD6598" w:rsidRDefault="005E43C0" w:rsidP="00584220">
      <w:pPr>
        <w:pStyle w:val="Considrant"/>
        <w:numPr>
          <w:ilvl w:val="0"/>
          <w:numId w:val="5"/>
        </w:numPr>
      </w:pPr>
      <w:r w:rsidRPr="00DD6598">
        <w:t xml:space="preserve">Vo vykonávacom nariadení Komisie (EÚ) </w:t>
      </w:r>
      <w:r w:rsidR="00DD6598">
        <w:t>č. </w:t>
      </w:r>
      <w:r w:rsidRPr="00DD6598">
        <w:t>680/2014</w:t>
      </w:r>
      <w:r w:rsidRPr="00DD6598">
        <w:rPr>
          <w:rStyle w:val="FootnoteReference"/>
        </w:rPr>
        <w:footnoteReference w:id="1"/>
      </w:r>
      <w:r w:rsidRPr="00DD6598">
        <w:t xml:space="preserve"> sú stanovené postupy, podľa ktorých sú inštitúcie povinné vykazovať informácie týkajúce sa ich dodržiavania nariadenia (EÚ) </w:t>
      </w:r>
      <w:r w:rsidR="00DD6598">
        <w:t>č. </w:t>
      </w:r>
      <w:r w:rsidRPr="00DD6598">
        <w:t>575/2013.</w:t>
      </w:r>
      <w:r w:rsidR="00DD6598">
        <w:t xml:space="preserve"> V </w:t>
      </w:r>
      <w:r w:rsidRPr="00DD6598">
        <w:t xml:space="preserve">článku 99 ods. 5 nariadenia (EÚ) </w:t>
      </w:r>
      <w:r w:rsidR="00DD6598">
        <w:t>č. </w:t>
      </w:r>
      <w:r w:rsidRPr="00DD6598">
        <w:t>575/2013 sa Európsky orgán pre bankovníctvo (EBA) splnomocňuje vypracovať návrh vykonávacích technických predpisov</w:t>
      </w:r>
      <w:r w:rsidR="00DD6598">
        <w:t xml:space="preserve"> s </w:t>
      </w:r>
      <w:r w:rsidRPr="00DD6598">
        <w:t>cieľom presne stanoviť jednotné formáty pre predkladanie finančných informácií inštitúciami, na ktoré sa vzťahuje článok 4 nariadenia Európskeho parlamentu</w:t>
      </w:r>
      <w:r w:rsidR="00DD6598">
        <w:t xml:space="preserve"> a </w:t>
      </w:r>
      <w:r w:rsidRPr="00DD6598">
        <w:t xml:space="preserve">Rady (ES) </w:t>
      </w:r>
      <w:r w:rsidR="00DD6598">
        <w:t>č. </w:t>
      </w:r>
      <w:r w:rsidRPr="00DD6598">
        <w:t>1606/2002</w:t>
      </w:r>
      <w:r w:rsidRPr="00DD6598">
        <w:rPr>
          <w:rStyle w:val="FootnoteReference"/>
        </w:rPr>
        <w:footnoteReference w:id="2"/>
      </w:r>
      <w:r w:rsidRPr="00DD6598">
        <w:t>,</w:t>
      </w:r>
      <w:r w:rsidR="00DD6598">
        <w:t xml:space="preserve"> a </w:t>
      </w:r>
      <w:r w:rsidRPr="00DD6598">
        <w:t>úverovými inštitúciami inými ako uvedenými</w:t>
      </w:r>
      <w:r w:rsidR="00DD6598">
        <w:t xml:space="preserve"> v </w:t>
      </w:r>
      <w:r w:rsidRPr="00DD6598">
        <w:t>uvedenom článku, ktoré pripravujú svoje konsolidované účtovné závierky podľa medzinárodných účtovných štandardov</w:t>
      </w:r>
      <w:r w:rsidR="00DD6598">
        <w:t xml:space="preserve"> v </w:t>
      </w:r>
      <w:r w:rsidRPr="00DD6598">
        <w:t>súlade</w:t>
      </w:r>
      <w:r w:rsidR="00DD6598">
        <w:t xml:space="preserve"> s </w:t>
      </w:r>
      <w:r w:rsidRPr="00DD6598">
        <w:t>postupom stanoveným</w:t>
      </w:r>
      <w:r w:rsidR="00DD6598">
        <w:t xml:space="preserve"> v </w:t>
      </w:r>
      <w:r w:rsidRPr="00DD6598">
        <w:t xml:space="preserve">článku 6 ods. 2 nariadenia (ES) </w:t>
      </w:r>
      <w:r w:rsidR="00DD6598">
        <w:t>č. </w:t>
      </w:r>
      <w:r w:rsidRPr="00DD6598">
        <w:t>1606/2002.</w:t>
      </w:r>
      <w:r w:rsidR="00DD6598">
        <w:t xml:space="preserve"> V </w:t>
      </w:r>
      <w:r w:rsidRPr="00DD6598">
        <w:t xml:space="preserve">článku 99 ods. 6 nariadenia (EÚ) </w:t>
      </w:r>
      <w:r w:rsidR="00DD6598">
        <w:t>č. </w:t>
      </w:r>
      <w:r w:rsidRPr="00DD6598">
        <w:t>575/2013 sa takisto splnomocňuje EBA vypracovať návrh vykonávacích technických predpisov</w:t>
      </w:r>
      <w:r w:rsidR="00DD6598">
        <w:t xml:space="preserve"> s </w:t>
      </w:r>
      <w:r w:rsidRPr="00DD6598">
        <w:t>cieľom presne stanoviť jednotné formáty na predkladanie finančných informácií inštitúciami, na ktoré sa vzťahuje účtovný rámec na základe smernice Rady 86/635/EHS</w:t>
      </w:r>
      <w:r w:rsidRPr="00DD6598">
        <w:rPr>
          <w:rStyle w:val="FootnoteReference"/>
        </w:rPr>
        <w:footnoteReference w:id="3"/>
      </w:r>
      <w:r w:rsidR="00DD6598">
        <w:t xml:space="preserve"> a </w:t>
      </w:r>
      <w:r w:rsidRPr="00DD6598">
        <w:t>prostredníctvom ktorých môžu príslušné orgány rozšíriť požiadavky na predkladanie správ. Každé</w:t>
      </w:r>
      <w:r w:rsidR="00DD6598">
        <w:t xml:space="preserve"> z </w:t>
      </w:r>
      <w:r w:rsidRPr="00DD6598">
        <w:t>týchto ustanovení sa týka aspektov rámca vykazovania na účely dohľadu</w:t>
      </w:r>
      <w:r w:rsidR="00DD6598">
        <w:t xml:space="preserve"> v </w:t>
      </w:r>
      <w:r w:rsidRPr="00DD6598">
        <w:t>Únii, ktoré treba zosúladiť</w:t>
      </w:r>
      <w:r w:rsidR="00DD6598">
        <w:t xml:space="preserve"> s </w:t>
      </w:r>
      <w:r w:rsidRPr="00DD6598">
        <w:t>novo uplatniteľnými medzinárodnými štandardmi</w:t>
      </w:r>
      <w:r w:rsidR="00DD6598">
        <w:t>.</w:t>
      </w:r>
    </w:p>
    <w:p w:rsidR="005E43C0" w:rsidRPr="00DD6598" w:rsidRDefault="005E43C0" w:rsidP="001B668B">
      <w:pPr>
        <w:pStyle w:val="Considrant"/>
      </w:pPr>
      <w:r w:rsidRPr="00DD6598">
        <w:t>Medzinárodné účtovné štandardy</w:t>
      </w:r>
      <w:r w:rsidR="00DD6598">
        <w:t xml:space="preserve"> v </w:t>
      </w:r>
      <w:r w:rsidRPr="00DD6598">
        <w:t>súlade</w:t>
      </w:r>
      <w:r w:rsidR="00DD6598">
        <w:t xml:space="preserve"> s </w:t>
      </w:r>
      <w:r w:rsidRPr="00DD6598">
        <w:t>postupom stanoveným</w:t>
      </w:r>
      <w:r w:rsidR="00DD6598">
        <w:t xml:space="preserve"> v </w:t>
      </w:r>
      <w:r w:rsidRPr="00DD6598">
        <w:t xml:space="preserve">článku 6 ods. 2 nariadenia (ES) </w:t>
      </w:r>
      <w:r w:rsidR="00DD6598">
        <w:t>č. </w:t>
      </w:r>
      <w:r w:rsidRPr="00DD6598">
        <w:t>1606/2002 vychádzajú</w:t>
      </w:r>
      <w:r w:rsidR="00DD6598">
        <w:t xml:space="preserve"> z </w:t>
      </w:r>
      <w:r w:rsidRPr="00DD6598">
        <w:t>medzinárodných štandardov finančného výkazníctva (IFRS), ktoré vypracovala Rada pre medzinárodné účtovné štandardy (IASB).</w:t>
      </w:r>
    </w:p>
    <w:p w:rsidR="005E43C0" w:rsidRPr="00DD6598" w:rsidRDefault="005E43C0" w:rsidP="005E43C0">
      <w:pPr>
        <w:pStyle w:val="Considrant"/>
      </w:pPr>
      <w:r w:rsidRPr="00DD6598">
        <w:lastRenderedPageBreak/>
        <w:t>V júli 2014 vydala IASB IFRS 9 Finančné nástroje („IFRS 9“) ako nový štandard pre účtovanie finančných nástrojov, aby sa mohol medzinárodne uplatňovať od 1</w:t>
      </w:r>
      <w:r w:rsidR="00DD6598">
        <w:t>. januára</w:t>
      </w:r>
      <w:r w:rsidRPr="00DD6598">
        <w:t xml:space="preserve"> 2018. Štandard IFRS 9 bol</w:t>
      </w:r>
      <w:r w:rsidR="00DD6598">
        <w:t xml:space="preserve"> v </w:t>
      </w:r>
      <w:r w:rsidRPr="00DD6598">
        <w:t>Únii prijatý 22</w:t>
      </w:r>
      <w:r w:rsidR="00DD6598">
        <w:t>. novembra</w:t>
      </w:r>
      <w:r w:rsidRPr="00DD6598">
        <w:t xml:space="preserve"> 2016 nariadením Komisie (EÚ) 2016/2067</w:t>
      </w:r>
      <w:r w:rsidRPr="00DD6598">
        <w:rPr>
          <w:rStyle w:val="FootnoteReference"/>
        </w:rPr>
        <w:footnoteReference w:id="4"/>
      </w:r>
      <w:r w:rsidRPr="00DD6598">
        <w:t>.</w:t>
      </w:r>
    </w:p>
    <w:p w:rsidR="008A3611" w:rsidRPr="00DD6598" w:rsidRDefault="005E43C0" w:rsidP="002F4AD0">
      <w:pPr>
        <w:pStyle w:val="Considrant"/>
      </w:pPr>
      <w:r w:rsidRPr="00DD6598">
        <w:t xml:space="preserve">Štandardom IFRS 9 sa zásadne mení účtovanie finančných nástrojov pre inštitúcie, na ktoré sa vzťahuje článok 99 ods. 2 nariadenia (EÚ) </w:t>
      </w:r>
      <w:r w:rsidR="00DD6598">
        <w:t>č. </w:t>
      </w:r>
      <w:r w:rsidRPr="00DD6598">
        <w:t>575/2013. Štandard IFRS 9 obsahuje logický model na klasifikáciu</w:t>
      </w:r>
      <w:r w:rsidR="00DD6598">
        <w:t xml:space="preserve"> a </w:t>
      </w:r>
      <w:r w:rsidRPr="00DD6598">
        <w:t>oceňovanie, ako aj jediný, výhľadový model „očakávanej straty“ zo zníženia hodnoty</w:t>
      </w:r>
      <w:r w:rsidR="00DD6598">
        <w:t xml:space="preserve"> a </w:t>
      </w:r>
      <w:r w:rsidRPr="00DD6598">
        <w:t>zásadne zreformovaný prístup</w:t>
      </w:r>
      <w:r w:rsidR="00DD6598">
        <w:t xml:space="preserve"> k </w:t>
      </w:r>
      <w:r w:rsidRPr="00DD6598">
        <w:t xml:space="preserve">účtovaniu </w:t>
      </w:r>
      <w:proofErr w:type="spellStart"/>
      <w:r w:rsidRPr="00DD6598">
        <w:t>hedžingu</w:t>
      </w:r>
      <w:proofErr w:type="spellEnd"/>
      <w:r w:rsidRPr="00DD6598">
        <w:t>. Predkladanie správ inštitúciami by sa preto malo zodpovedajúcim spôsobom zmeniť.</w:t>
      </w:r>
    </w:p>
    <w:p w:rsidR="005E43C0" w:rsidRPr="00DD6598" w:rsidRDefault="005E43C0" w:rsidP="002358B5">
      <w:pPr>
        <w:pStyle w:val="Considrant"/>
      </w:pPr>
      <w:r w:rsidRPr="00DD6598">
        <w:t>Okrem toho treba aktualizovať vzory</w:t>
      </w:r>
      <w:r w:rsidR="00DD6598">
        <w:t xml:space="preserve"> a </w:t>
      </w:r>
      <w:r w:rsidRPr="00DD6598">
        <w:t>pokyny týkajúce sa vykazovania údajov</w:t>
      </w:r>
      <w:r w:rsidR="00DD6598">
        <w:t xml:space="preserve"> o </w:t>
      </w:r>
      <w:r w:rsidRPr="00DD6598">
        <w:t>hrubej účtovnej hodnote finančných aktív oceňovaných reálnou hodnotou cez výsledok hospodárenia. Je to</w:t>
      </w:r>
      <w:r w:rsidR="00DD6598">
        <w:t xml:space="preserve"> z </w:t>
      </w:r>
      <w:r w:rsidRPr="00DD6598">
        <w:t>dôvodu potreby objasniť vymedzenie pojmu „hrubá účtovná hodnota“ pre monitorovanie kreditného rizika, aby sa zlepšila kvalita vykazovaných informácií</w:t>
      </w:r>
      <w:r w:rsidR="00DD6598">
        <w:t xml:space="preserve"> a </w:t>
      </w:r>
      <w:r w:rsidRPr="00DD6598">
        <w:t>znížilo zaťaženie spojené</w:t>
      </w:r>
      <w:r w:rsidR="00DD6598">
        <w:t xml:space="preserve"> s </w:t>
      </w:r>
      <w:r w:rsidRPr="00DD6598">
        <w:t>vykazovaním.</w:t>
      </w:r>
    </w:p>
    <w:p w:rsidR="005E43C0" w:rsidRPr="00DD6598" w:rsidRDefault="008A3611" w:rsidP="005E43C0">
      <w:pPr>
        <w:pStyle w:val="Considrant"/>
      </w:pPr>
      <w:r w:rsidRPr="00DD6598">
        <w:t>Takisto treba aktualizovať vzory</w:t>
      </w:r>
      <w:r w:rsidR="00DD6598">
        <w:t xml:space="preserve"> a </w:t>
      </w:r>
      <w:r w:rsidRPr="00DD6598">
        <w:t>pokyny pre inštitúcie, na ktoré sa vzťahujú účtovné rámce na základe smernice 86/635/EHS,</w:t>
      </w:r>
      <w:r w:rsidR="00DD6598">
        <w:t xml:space="preserve"> s </w:t>
      </w:r>
      <w:r w:rsidRPr="00DD6598">
        <w:t>cieľom zabezpečiť, aby vykazované finančné informácie zostali relevantné</w:t>
      </w:r>
      <w:r w:rsidR="00DD6598">
        <w:t xml:space="preserve"> a </w:t>
      </w:r>
      <w:r w:rsidRPr="00DD6598">
        <w:t>zosúladené medzi všetkými inštitúciami, ako aj</w:t>
      </w:r>
      <w:r w:rsidR="00DD6598">
        <w:t xml:space="preserve"> s </w:t>
      </w:r>
      <w:r w:rsidRPr="00DD6598">
        <w:t>cieľom riešiť nedostatok informácií týkajúcich sa konkrétnych národných účtovných rámcov</w:t>
      </w:r>
      <w:r w:rsidR="00DD6598">
        <w:t xml:space="preserve"> a </w:t>
      </w:r>
      <w:r w:rsidRPr="00DD6598">
        <w:t>ktorá predtým nebola plne zohľadnená vo vzoroch.</w:t>
      </w:r>
    </w:p>
    <w:p w:rsidR="005E43C0" w:rsidRPr="00DD6598" w:rsidRDefault="005E43C0" w:rsidP="005E43C0">
      <w:pPr>
        <w:pStyle w:val="Considrant"/>
      </w:pPr>
      <w:r w:rsidRPr="00DD6598">
        <w:t>Vzhľadom na prirodzené prepojenie finančného výkazníctva</w:t>
      </w:r>
      <w:r w:rsidR="00DD6598">
        <w:t xml:space="preserve"> s </w:t>
      </w:r>
      <w:r w:rsidRPr="00DD6598">
        <w:t>uplatniteľnými účtovnými štandardmi treba, aby sa dátum uplatňovania uvedeného nariadenia zhodoval</w:t>
      </w:r>
      <w:r w:rsidR="00DD6598">
        <w:t xml:space="preserve"> s </w:t>
      </w:r>
      <w:r w:rsidRPr="00DD6598">
        <w:t>dátumom uplatňovania štandardu IFRS 9.</w:t>
      </w:r>
      <w:r w:rsidR="00DD6598">
        <w:t xml:space="preserve"> Z </w:t>
      </w:r>
      <w:r w:rsidRPr="00DD6598">
        <w:t>toho istého dôvodu takisto treba, aby sa pre tie inštitúcie, ktoré uplatňujú účtovné obdobie odlišné od kalendárneho roku, dátum uplatňovania tohto nariadenia zhodoval</w:t>
      </w:r>
      <w:r w:rsidR="00DD6598">
        <w:t xml:space="preserve"> s </w:t>
      </w:r>
      <w:r w:rsidRPr="00DD6598">
        <w:t>dátumom uplatňovania štandardu IFRS 9, ktorý je dátumom kalendárneho roka,</w:t>
      </w:r>
      <w:r w:rsidR="00DD6598">
        <w:t xml:space="preserve"> v </w:t>
      </w:r>
      <w:r w:rsidRPr="00DD6598">
        <w:t>ktorom sa pre tieto inštitúcie začína rozpočtový rok.</w:t>
      </w:r>
    </w:p>
    <w:p w:rsidR="00DD6598" w:rsidRDefault="005E43C0" w:rsidP="005E43C0">
      <w:pPr>
        <w:pStyle w:val="Considrant"/>
      </w:pPr>
      <w:r w:rsidRPr="00DD6598">
        <w:t>Toto nariadenie vychádza</w:t>
      </w:r>
      <w:r w:rsidR="00DD6598">
        <w:t xml:space="preserve"> z </w:t>
      </w:r>
      <w:r w:rsidRPr="00DD6598">
        <w:t>návrhu vykonávacích technických predpisov, ktoré Komisii predložil Európsky orgán pre bankovníctvo (EBA)</w:t>
      </w:r>
      <w:r w:rsidR="00DD6598">
        <w:t>.</w:t>
      </w:r>
    </w:p>
    <w:p w:rsidR="00DD6598" w:rsidRDefault="005E43C0" w:rsidP="005E43C0">
      <w:pPr>
        <w:pStyle w:val="Considrant"/>
      </w:pPr>
      <w:r w:rsidRPr="00DD6598">
        <w:t>Európsky orgán pre bankovníctvo vykonal otvorené verejné konzultácie</w:t>
      </w:r>
      <w:r w:rsidR="00DD6598">
        <w:t xml:space="preserve"> k </w:t>
      </w:r>
      <w:r w:rsidRPr="00DD6598">
        <w:t>návrhu vykonávacích technických predpisov,</w:t>
      </w:r>
      <w:r w:rsidR="00DD6598">
        <w:t xml:space="preserve"> z </w:t>
      </w:r>
      <w:r w:rsidRPr="00DD6598">
        <w:t>ktorých toto nariadenie vychádza, analyzoval možné súvisiace náklady</w:t>
      </w:r>
      <w:r w:rsidR="00DD6598">
        <w:t xml:space="preserve"> a </w:t>
      </w:r>
      <w:r w:rsidRPr="00DD6598">
        <w:t>prínosy</w:t>
      </w:r>
      <w:r w:rsidR="00DD6598">
        <w:t xml:space="preserve"> a </w:t>
      </w:r>
      <w:r w:rsidRPr="00DD6598">
        <w:t>požiadal</w:t>
      </w:r>
      <w:r w:rsidR="00DD6598">
        <w:t xml:space="preserve"> o </w:t>
      </w:r>
      <w:r w:rsidRPr="00DD6598">
        <w:t>stanovisko Skupinu zainteresovaných strán</w:t>
      </w:r>
      <w:r w:rsidR="00DD6598">
        <w:t xml:space="preserve"> v </w:t>
      </w:r>
      <w:r w:rsidRPr="00DD6598">
        <w:t>bankovníctve vytvorenú</w:t>
      </w:r>
      <w:r w:rsidR="00DD6598">
        <w:t xml:space="preserve"> v </w:t>
      </w:r>
      <w:r w:rsidRPr="00DD6598">
        <w:t>súlade</w:t>
      </w:r>
      <w:r w:rsidR="00DD6598">
        <w:t xml:space="preserve"> s </w:t>
      </w:r>
      <w:r w:rsidRPr="00DD6598">
        <w:t>článkom 37 nariadenia Európskeho parlamentu</w:t>
      </w:r>
      <w:r w:rsidR="00DD6598">
        <w:t xml:space="preserve"> a </w:t>
      </w:r>
      <w:r w:rsidRPr="00DD6598">
        <w:t xml:space="preserve">Rady (EÚ) </w:t>
      </w:r>
      <w:r w:rsidR="00DD6598">
        <w:t>č. </w:t>
      </w:r>
      <w:r w:rsidRPr="00DD6598">
        <w:t>1093/2010</w:t>
      </w:r>
      <w:r w:rsidRPr="00DD6598">
        <w:rPr>
          <w:rStyle w:val="FootnoteReference"/>
        </w:rPr>
        <w:footnoteReference w:id="5"/>
      </w:r>
      <w:r w:rsidR="00DD6598">
        <w:t>.</w:t>
      </w:r>
    </w:p>
    <w:p w:rsidR="00DD6598" w:rsidRDefault="005E43C0" w:rsidP="005E43C0">
      <w:pPr>
        <w:pStyle w:val="Considrant"/>
      </w:pPr>
      <w:r w:rsidRPr="00DD6598">
        <w:t xml:space="preserve">Vykonávacie nariadenie (EÚ) </w:t>
      </w:r>
      <w:r w:rsidR="00DD6598">
        <w:t>č. </w:t>
      </w:r>
      <w:r w:rsidRPr="00DD6598">
        <w:t>680/2014 by sa preto malo zodpovedajúcim spôsobom zmeniť,</w:t>
      </w:r>
    </w:p>
    <w:p w:rsidR="000826D9" w:rsidRPr="00DD6598" w:rsidRDefault="000826D9" w:rsidP="004E1EF9">
      <w:pPr>
        <w:pStyle w:val="Formuledadoption"/>
      </w:pPr>
      <w:r w:rsidRPr="00DD6598">
        <w:lastRenderedPageBreak/>
        <w:t>PRIJALA TOTO NARIADENIE:</w:t>
      </w:r>
    </w:p>
    <w:p w:rsidR="000826D9" w:rsidRPr="00DD6598" w:rsidRDefault="000826D9" w:rsidP="004E1EF9">
      <w:pPr>
        <w:pStyle w:val="Titrearticle"/>
      </w:pPr>
      <w:r w:rsidRPr="00DD6598">
        <w:t>Článok 1</w:t>
      </w:r>
    </w:p>
    <w:p w:rsidR="005E43C0" w:rsidRPr="00DD6598" w:rsidRDefault="005E43C0" w:rsidP="005E43C0">
      <w:r w:rsidRPr="00DD6598">
        <w:t xml:space="preserve">Vykonávacie nariadenie (EÚ) </w:t>
      </w:r>
      <w:r w:rsidR="00DD6598">
        <w:t>č. </w:t>
      </w:r>
      <w:r w:rsidRPr="00DD6598">
        <w:t>680/2014 sa mení takto:</w:t>
      </w:r>
    </w:p>
    <w:p w:rsidR="005E43C0" w:rsidRPr="00DD6598" w:rsidRDefault="00DD6598" w:rsidP="00DD6598">
      <w:pPr>
        <w:pStyle w:val="Point0"/>
      </w:pPr>
      <w:r>
        <w:t>1.</w:t>
      </w:r>
      <w:r w:rsidRPr="00DD6598">
        <w:tab/>
      </w:r>
      <w:r w:rsidR="005E43C0" w:rsidRPr="00DD6598">
        <w:t>Príloha III</w:t>
      </w:r>
      <w:r>
        <w:t xml:space="preserve"> k </w:t>
      </w:r>
      <w:r w:rsidR="005E43C0" w:rsidRPr="00DD6598">
        <w:t xml:space="preserve">vykonávaciemu nariadeniu (EÚ) </w:t>
      </w:r>
      <w:r>
        <w:t>č. </w:t>
      </w:r>
      <w:r w:rsidR="005E43C0" w:rsidRPr="00DD6598">
        <w:t>680/2014 sa nahrádza textom uvedeným</w:t>
      </w:r>
      <w:r>
        <w:t xml:space="preserve"> v </w:t>
      </w:r>
      <w:r w:rsidR="005E43C0" w:rsidRPr="00DD6598">
        <w:t>prílohe I</w:t>
      </w:r>
      <w:r>
        <w:t xml:space="preserve"> k </w:t>
      </w:r>
      <w:r w:rsidR="005E43C0" w:rsidRPr="00DD6598">
        <w:t>tomuto nariadeniu.</w:t>
      </w:r>
    </w:p>
    <w:p w:rsidR="005E43C0" w:rsidRPr="00DD6598" w:rsidRDefault="00DD6598" w:rsidP="00DD6598">
      <w:pPr>
        <w:pStyle w:val="Point0"/>
      </w:pPr>
      <w:r>
        <w:t>2.</w:t>
      </w:r>
      <w:r w:rsidRPr="00DD6598">
        <w:tab/>
      </w:r>
      <w:r w:rsidR="005E43C0" w:rsidRPr="00DD6598">
        <w:t>Príloha IV</w:t>
      </w:r>
      <w:r>
        <w:t xml:space="preserve"> k </w:t>
      </w:r>
      <w:r w:rsidR="005E43C0" w:rsidRPr="00DD6598">
        <w:t xml:space="preserve">vykonávaciemu nariadeniu (EÚ) </w:t>
      </w:r>
      <w:r>
        <w:t>č. </w:t>
      </w:r>
      <w:r w:rsidR="005E43C0" w:rsidRPr="00DD6598">
        <w:t>680/2014 sa nahrádza textom uvedeným</w:t>
      </w:r>
      <w:r>
        <w:t xml:space="preserve"> v </w:t>
      </w:r>
      <w:r w:rsidR="005E43C0" w:rsidRPr="00DD6598">
        <w:t>prílohe II</w:t>
      </w:r>
      <w:r>
        <w:t xml:space="preserve"> k </w:t>
      </w:r>
      <w:r w:rsidR="005E43C0" w:rsidRPr="00DD6598">
        <w:t>tomuto nariadeniu.</w:t>
      </w:r>
    </w:p>
    <w:p w:rsidR="005E43C0" w:rsidRPr="00DD6598" w:rsidRDefault="00DD6598" w:rsidP="00DD6598">
      <w:pPr>
        <w:pStyle w:val="Point0"/>
      </w:pPr>
      <w:r>
        <w:t>3.</w:t>
      </w:r>
      <w:r w:rsidRPr="00DD6598">
        <w:tab/>
      </w:r>
      <w:r w:rsidR="005E43C0" w:rsidRPr="00DD6598">
        <w:t>Príloha</w:t>
      </w:r>
      <w:r>
        <w:t xml:space="preserve"> V k </w:t>
      </w:r>
      <w:r w:rsidR="005E43C0" w:rsidRPr="00DD6598">
        <w:t xml:space="preserve">vykonávaciemu nariadeniu (EÚ) </w:t>
      </w:r>
      <w:r>
        <w:t>č. </w:t>
      </w:r>
      <w:r w:rsidR="005E43C0" w:rsidRPr="00DD6598">
        <w:t>680/2014 sa nahrádza textom uvedeným</w:t>
      </w:r>
      <w:r>
        <w:t xml:space="preserve"> v </w:t>
      </w:r>
      <w:r w:rsidR="005E43C0" w:rsidRPr="00DD6598">
        <w:t>prílohe III</w:t>
      </w:r>
      <w:r>
        <w:t xml:space="preserve"> k </w:t>
      </w:r>
      <w:r w:rsidR="005E43C0" w:rsidRPr="00DD6598">
        <w:t>tomuto nariadeniu.</w:t>
      </w:r>
    </w:p>
    <w:p w:rsidR="000826D9" w:rsidRPr="00DD6598" w:rsidRDefault="000826D9" w:rsidP="004E1EF9">
      <w:pPr>
        <w:pStyle w:val="Titrearticle"/>
      </w:pPr>
      <w:r w:rsidRPr="00DD6598">
        <w:t>Článok 2</w:t>
      </w:r>
    </w:p>
    <w:p w:rsidR="005E43C0" w:rsidRPr="00DD6598" w:rsidRDefault="005E43C0" w:rsidP="005E43C0">
      <w:pPr>
        <w:pStyle w:val="Applicationdirecte"/>
      </w:pPr>
      <w:r w:rsidRPr="00DD6598">
        <w:t>Toto nariadenie nadobúda účinnosť dvadsiatym dňom po jeho uverejnení</w:t>
      </w:r>
      <w:r w:rsidR="00DD6598">
        <w:t xml:space="preserve"> v </w:t>
      </w:r>
      <w:r w:rsidRPr="00DD6598">
        <w:rPr>
          <w:i/>
        </w:rPr>
        <w:t>Úradnom vestníku Európskej únie</w:t>
      </w:r>
      <w:r w:rsidRPr="00DD6598">
        <w:t>.</w:t>
      </w:r>
    </w:p>
    <w:p w:rsidR="005E43C0" w:rsidRPr="00DD6598" w:rsidRDefault="005E43C0" w:rsidP="005E43C0">
      <w:r w:rsidRPr="00DD6598">
        <w:t>Uplatňuje sa od 1</w:t>
      </w:r>
      <w:r w:rsidR="00DD6598">
        <w:t>. januára</w:t>
      </w:r>
      <w:r w:rsidRPr="00DD6598">
        <w:t xml:space="preserve"> 2018.</w:t>
      </w:r>
    </w:p>
    <w:p w:rsidR="0065426A" w:rsidRPr="00DD6598" w:rsidRDefault="00BE632F" w:rsidP="005E43C0">
      <w:r w:rsidRPr="00DD6598">
        <w:t>So zreteľom na nasledujúce inštitúcie, ktoré uplatňujú účtovné obdobie odlišné od kalendárneho roku, sa prílohy I</w:t>
      </w:r>
      <w:r w:rsidR="00DD6598">
        <w:t xml:space="preserve"> a </w:t>
      </w:r>
      <w:r w:rsidRPr="00DD6598">
        <w:t>III</w:t>
      </w:r>
      <w:r w:rsidR="00DD6598">
        <w:t xml:space="preserve"> k </w:t>
      </w:r>
      <w:r w:rsidRPr="00DD6598">
        <w:t>tomuto nariadeniu uplatňujú od začiatku účtovného obdobia, ktoré sa začína po 1. januári 2018:</w:t>
      </w:r>
    </w:p>
    <w:p w:rsidR="00DD6598" w:rsidRDefault="0065426A" w:rsidP="005E43C0">
      <w:r w:rsidRPr="00DD6598">
        <w:t xml:space="preserve">a) inštitúcie, na ktoré sa vzťahuje článok 4 nariadenia (ES) </w:t>
      </w:r>
      <w:r w:rsidR="00DD6598">
        <w:t>č. </w:t>
      </w:r>
      <w:r w:rsidRPr="00DD6598">
        <w:t>1606/2002</w:t>
      </w:r>
      <w:r w:rsidR="00DD6598">
        <w:t>;</w:t>
      </w:r>
    </w:p>
    <w:p w:rsidR="0065426A" w:rsidRPr="00DD6598" w:rsidRDefault="0065426A" w:rsidP="005E43C0">
      <w:r w:rsidRPr="00DD6598">
        <w:t>b) úverové inštitúcie iné ako tie, ktoré sú uvedené</w:t>
      </w:r>
      <w:r w:rsidR="00DD6598">
        <w:t xml:space="preserve"> v </w:t>
      </w:r>
      <w:r w:rsidRPr="00DD6598">
        <w:t xml:space="preserve">článku 4 nariadenia (ES) </w:t>
      </w:r>
      <w:r w:rsidR="00DD6598">
        <w:t>č. </w:t>
      </w:r>
      <w:r w:rsidRPr="00DD6598">
        <w:t>1606/2002, ktoré pripravujú svoje konsolidované účtovné závierky podľa medzinárodných účtovných štandardov</w:t>
      </w:r>
      <w:r w:rsidR="00DD6598">
        <w:t xml:space="preserve"> v </w:t>
      </w:r>
      <w:r w:rsidRPr="00DD6598">
        <w:t>súlade</w:t>
      </w:r>
      <w:r w:rsidR="00DD6598">
        <w:t xml:space="preserve"> s </w:t>
      </w:r>
      <w:r w:rsidRPr="00DD6598">
        <w:t>postupom stanoveným</w:t>
      </w:r>
      <w:r w:rsidR="00DD6598">
        <w:t xml:space="preserve"> v </w:t>
      </w:r>
      <w:r w:rsidRPr="00DD6598">
        <w:t>článku 6 ods. 2 uvedeného nariadenia;</w:t>
      </w:r>
    </w:p>
    <w:p w:rsidR="00375E2B" w:rsidRPr="00DD6598" w:rsidRDefault="00375E2B" w:rsidP="005E43C0">
      <w:r w:rsidRPr="00DD6598">
        <w:t xml:space="preserve">c) úverové inštitúcie uplatňujúce medzinárodné účtovné štandardy na základe nariadenia (ES) </w:t>
      </w:r>
      <w:r w:rsidR="00DD6598">
        <w:t>č. </w:t>
      </w:r>
      <w:r w:rsidRPr="00DD6598">
        <w:t xml:space="preserve">1606/2002 na vykazovanie vlastných zdrojov na konsolidovanom základe podľa článku 24 ods. 2 nariadenia (EÚ) </w:t>
      </w:r>
      <w:r w:rsidR="00DD6598">
        <w:t>č. </w:t>
      </w:r>
      <w:r w:rsidRPr="00DD6598">
        <w:t>575/2013.</w:t>
      </w:r>
    </w:p>
    <w:p w:rsidR="005E43C0" w:rsidRPr="00DD6598" w:rsidRDefault="005E43C0" w:rsidP="005E43C0">
      <w:r w:rsidRPr="00DD6598">
        <w:t>Toto nariadenie je záväzné</w:t>
      </w:r>
      <w:r w:rsidR="00DD6598">
        <w:t xml:space="preserve"> v </w:t>
      </w:r>
      <w:r w:rsidRPr="00DD6598">
        <w:t>celom rozsahu</w:t>
      </w:r>
      <w:r w:rsidR="00DD6598">
        <w:t xml:space="preserve"> a </w:t>
      </w:r>
      <w:r w:rsidRPr="00DD6598">
        <w:t>priamo uplatniteľné vo všetkých členských štátoch.</w:t>
      </w:r>
    </w:p>
    <w:p w:rsidR="000826D9" w:rsidRPr="00DD6598" w:rsidRDefault="002F6A67" w:rsidP="002F6A67">
      <w:pPr>
        <w:pStyle w:val="Fait"/>
      </w:pPr>
      <w:r w:rsidRPr="002F6A67">
        <w:t>V Bruseli</w:t>
      </w:r>
    </w:p>
    <w:p w:rsidR="000826D9" w:rsidRPr="00DD6598" w:rsidRDefault="000826D9" w:rsidP="000826D9">
      <w:pPr>
        <w:pStyle w:val="Institutionquisigne"/>
      </w:pPr>
      <w:r w:rsidRPr="00DD6598">
        <w:tab/>
        <w:t>Za Komisiu</w:t>
      </w:r>
    </w:p>
    <w:p w:rsidR="000826D9" w:rsidRPr="00DD6598" w:rsidRDefault="000826D9" w:rsidP="000826D9">
      <w:pPr>
        <w:pStyle w:val="Personnequisigne"/>
      </w:pPr>
      <w:r w:rsidRPr="00DD6598">
        <w:tab/>
        <w:t>predseda</w:t>
      </w:r>
      <w:r w:rsidRPr="00DD6598">
        <w:br/>
      </w:r>
      <w:r w:rsidRPr="00DD6598">
        <w:tab/>
      </w:r>
      <w:proofErr w:type="spellStart"/>
      <w:r w:rsidRPr="00DD6598">
        <w:t>Jean-Claude</w:t>
      </w:r>
      <w:proofErr w:type="spellEnd"/>
      <w:r w:rsidRPr="00DD6598">
        <w:t xml:space="preserve"> </w:t>
      </w:r>
      <w:proofErr w:type="spellStart"/>
      <w:r w:rsidRPr="00DD6598">
        <w:t>Juncker</w:t>
      </w:r>
      <w:proofErr w:type="spellEnd"/>
    </w:p>
    <w:sectPr w:rsidR="000826D9" w:rsidRPr="00DD6598" w:rsidSect="00113D4A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41" w:rsidRDefault="00200E41" w:rsidP="000826D9">
      <w:pPr>
        <w:spacing w:before="0" w:after="0"/>
      </w:pPr>
      <w:r>
        <w:separator/>
      </w:r>
    </w:p>
  </w:endnote>
  <w:endnote w:type="continuationSeparator" w:id="0">
    <w:p w:rsidR="00200E41" w:rsidRDefault="00200E41" w:rsidP="000826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C93" w:rsidRDefault="00630C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67" w:rsidRPr="00113D4A" w:rsidRDefault="00113D4A" w:rsidP="00113D4A">
    <w:pPr>
      <w:pStyle w:val="Footer"/>
      <w:rPr>
        <w:rFonts w:ascii="Arial" w:hAnsi="Arial" w:cs="Arial"/>
        <w:b/>
        <w:sz w:val="48"/>
      </w:rPr>
    </w:pPr>
    <w:r w:rsidRPr="00113D4A">
      <w:rPr>
        <w:rFonts w:ascii="Arial" w:hAnsi="Arial" w:cs="Arial"/>
        <w:b/>
        <w:sz w:val="48"/>
      </w:rPr>
      <w:t>SK</w:t>
    </w:r>
    <w:r w:rsidRPr="00113D4A">
      <w:rPr>
        <w:rFonts w:ascii="Arial" w:hAnsi="Arial" w:cs="Arial"/>
        <w:b/>
        <w:sz w:val="48"/>
      </w:rPr>
      <w:tab/>
    </w:r>
    <w:r w:rsidRPr="00113D4A">
      <w:rPr>
        <w:rFonts w:ascii="Arial" w:hAnsi="Arial" w:cs="Arial"/>
        <w:b/>
        <w:sz w:val="48"/>
      </w:rPr>
      <w:tab/>
    </w:r>
    <w:fldSimple w:instr=" DOCVARIABLE &quot;LW_Confidence&quot; \* MERGEFORMAT ">
      <w:r>
        <w:t xml:space="preserve"> </w:t>
      </w:r>
    </w:fldSimple>
    <w:r w:rsidRPr="00113D4A">
      <w:tab/>
    </w:r>
    <w:proofErr w:type="spellStart"/>
    <w:r w:rsidRPr="00113D4A">
      <w:rPr>
        <w:rFonts w:ascii="Arial" w:hAnsi="Arial" w:cs="Arial"/>
        <w:b/>
        <w:sz w:val="48"/>
      </w:rPr>
      <w:t>SK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C93" w:rsidRDefault="00630C9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4A" w:rsidRPr="00113D4A" w:rsidRDefault="00113D4A" w:rsidP="00113D4A">
    <w:pPr>
      <w:pStyle w:val="Footer"/>
      <w:rPr>
        <w:rFonts w:ascii="Arial" w:hAnsi="Arial" w:cs="Arial"/>
        <w:b/>
        <w:sz w:val="48"/>
      </w:rPr>
    </w:pPr>
    <w:r w:rsidRPr="00113D4A">
      <w:rPr>
        <w:rFonts w:ascii="Arial" w:hAnsi="Arial" w:cs="Arial"/>
        <w:b/>
        <w:sz w:val="48"/>
      </w:rPr>
      <w:t>SK</w:t>
    </w:r>
    <w:r w:rsidRPr="00113D4A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30C93">
      <w:rPr>
        <w:noProof/>
      </w:rPr>
      <w:t>4</w:t>
    </w:r>
    <w:r>
      <w:fldChar w:fldCharType="end"/>
    </w:r>
    <w:r>
      <w:tab/>
    </w:r>
    <w:fldSimple w:instr=" DOCVARIABLE &quot;LW_Confidence&quot; \* MERGEFORMAT ">
      <w:r>
        <w:t xml:space="preserve"> </w:t>
      </w:r>
    </w:fldSimple>
    <w:r w:rsidRPr="00113D4A">
      <w:tab/>
    </w:r>
    <w:r w:rsidRPr="00113D4A">
      <w:rPr>
        <w:rFonts w:ascii="Arial" w:hAnsi="Arial" w:cs="Arial"/>
        <w:b/>
        <w:sz w:val="48"/>
      </w:rPr>
      <w:t>SK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D4A" w:rsidRPr="00113D4A" w:rsidRDefault="00113D4A" w:rsidP="00113D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41" w:rsidRDefault="00200E41" w:rsidP="000826D9">
      <w:pPr>
        <w:spacing w:before="0" w:after="0"/>
      </w:pPr>
      <w:r>
        <w:separator/>
      </w:r>
    </w:p>
  </w:footnote>
  <w:footnote w:type="continuationSeparator" w:id="0">
    <w:p w:rsidR="00200E41" w:rsidRDefault="00200E41" w:rsidP="000826D9">
      <w:pPr>
        <w:spacing w:before="0" w:after="0"/>
      </w:pPr>
      <w:r>
        <w:continuationSeparator/>
      </w:r>
    </w:p>
  </w:footnote>
  <w:footnote w:id="1">
    <w:p w:rsidR="005E43C0" w:rsidRPr="00113D4A" w:rsidRDefault="005E43C0" w:rsidP="005E43C0">
      <w:pPr>
        <w:pStyle w:val="FootnoteText"/>
      </w:pPr>
      <w:r w:rsidRPr="00113D4A">
        <w:rPr>
          <w:rStyle w:val="FootnoteReference"/>
        </w:rPr>
        <w:footnoteRef/>
      </w:r>
      <w:r w:rsidRPr="00113D4A">
        <w:tab/>
        <w:t xml:space="preserve">Vykonávacie nariadenie Komisie (EÚ) </w:t>
      </w:r>
      <w:r w:rsidR="00113D4A">
        <w:t>č. </w:t>
      </w:r>
      <w:r w:rsidRPr="00113D4A">
        <w:t>680/2014, ktorým sa stanovujú vykonávacie technické predpisy, pokiaľ ide</w:t>
      </w:r>
      <w:r w:rsidR="00113D4A">
        <w:t xml:space="preserve"> o </w:t>
      </w:r>
      <w:r w:rsidRPr="00113D4A">
        <w:t xml:space="preserve">vykazovanie inštitúciami na účely dohľadu podľa nariadenia (EÚ) </w:t>
      </w:r>
      <w:r w:rsidR="00113D4A">
        <w:t>č. </w:t>
      </w:r>
      <w:r w:rsidRPr="00113D4A">
        <w:t xml:space="preserve">575/2013 (Ú. v. EÚ L 191, 28.6.2014, s. 1). </w:t>
      </w:r>
    </w:p>
  </w:footnote>
  <w:footnote w:id="2">
    <w:p w:rsidR="005E43C0" w:rsidRPr="00113D4A" w:rsidRDefault="005E43C0" w:rsidP="005E43C0">
      <w:pPr>
        <w:pStyle w:val="FootnoteText"/>
      </w:pPr>
      <w:r w:rsidRPr="00113D4A">
        <w:rPr>
          <w:rStyle w:val="FootnoteReference"/>
        </w:rPr>
        <w:footnoteRef/>
      </w:r>
      <w:r w:rsidRPr="00113D4A">
        <w:tab/>
      </w:r>
      <w:r w:rsidRPr="00113D4A">
        <w:t>Nariadenie Európskeho parlamentu</w:t>
      </w:r>
      <w:r w:rsidR="00113D4A">
        <w:t xml:space="preserve"> a </w:t>
      </w:r>
      <w:r w:rsidRPr="00113D4A">
        <w:t xml:space="preserve">Rady (ES) </w:t>
      </w:r>
      <w:r w:rsidR="00113D4A">
        <w:t>č. </w:t>
      </w:r>
      <w:r w:rsidRPr="00113D4A">
        <w:t>1606/2002</w:t>
      </w:r>
      <w:r w:rsidR="00113D4A">
        <w:t xml:space="preserve"> z </w:t>
      </w:r>
      <w:r w:rsidRPr="00113D4A">
        <w:t>19</w:t>
      </w:r>
      <w:r w:rsidR="00113D4A">
        <w:t>. júla</w:t>
      </w:r>
      <w:r w:rsidRPr="00113D4A">
        <w:t> 2002</w:t>
      </w:r>
      <w:r w:rsidR="00113D4A">
        <w:t xml:space="preserve"> o </w:t>
      </w:r>
      <w:r w:rsidRPr="00113D4A">
        <w:t>uplatňovaní medzinárodných účtovných noriem (Ú. v. ES L 243, 11.9.2002, s. 1).</w:t>
      </w:r>
    </w:p>
  </w:footnote>
  <w:footnote w:id="3">
    <w:p w:rsidR="002A64F4" w:rsidRPr="00113D4A" w:rsidRDefault="002A64F4">
      <w:pPr>
        <w:pStyle w:val="FootnoteText"/>
      </w:pPr>
      <w:r w:rsidRPr="00113D4A">
        <w:rPr>
          <w:rStyle w:val="FootnoteReference"/>
        </w:rPr>
        <w:footnoteRef/>
      </w:r>
      <w:r w:rsidRPr="00113D4A">
        <w:tab/>
      </w:r>
      <w:r w:rsidRPr="00113D4A">
        <w:t>Smernica Rady 86/635/EHS</w:t>
      </w:r>
      <w:r w:rsidR="00113D4A">
        <w:t xml:space="preserve"> z </w:t>
      </w:r>
      <w:r w:rsidRPr="00113D4A">
        <w:t>8</w:t>
      </w:r>
      <w:r w:rsidR="00113D4A">
        <w:t>. decembra</w:t>
      </w:r>
      <w:r w:rsidRPr="00113D4A">
        <w:t xml:space="preserve"> 1986</w:t>
      </w:r>
      <w:r w:rsidR="00113D4A">
        <w:t xml:space="preserve"> o </w:t>
      </w:r>
      <w:r w:rsidRPr="00113D4A">
        <w:t>ročnej účtovnej závierke</w:t>
      </w:r>
      <w:r w:rsidR="00113D4A">
        <w:t xml:space="preserve"> a </w:t>
      </w:r>
      <w:r w:rsidRPr="00113D4A">
        <w:t>konsolidovaných účtoch bánk</w:t>
      </w:r>
      <w:r w:rsidR="00113D4A">
        <w:t xml:space="preserve"> a </w:t>
      </w:r>
      <w:r w:rsidRPr="00113D4A">
        <w:t>iných finančných inštitúcií (Ú. v. ES L 372, 31.12.1986, s. 1).</w:t>
      </w:r>
    </w:p>
  </w:footnote>
  <w:footnote w:id="4">
    <w:p w:rsidR="00775C98" w:rsidRPr="00113D4A" w:rsidRDefault="00775C98">
      <w:pPr>
        <w:pStyle w:val="FootnoteText"/>
      </w:pPr>
      <w:r w:rsidRPr="00113D4A">
        <w:rPr>
          <w:rStyle w:val="FootnoteReference"/>
        </w:rPr>
        <w:footnoteRef/>
      </w:r>
      <w:r w:rsidRPr="00113D4A">
        <w:tab/>
      </w:r>
      <w:r w:rsidRPr="00113D4A">
        <w:t>Nariadenie Komisie (EÚ) 2016/2067</w:t>
      </w:r>
      <w:r w:rsidR="00113D4A">
        <w:t xml:space="preserve"> z </w:t>
      </w:r>
      <w:r w:rsidRPr="00113D4A">
        <w:t>22</w:t>
      </w:r>
      <w:r w:rsidR="00113D4A">
        <w:t>. novembra</w:t>
      </w:r>
      <w:r w:rsidRPr="00113D4A">
        <w:t xml:space="preserve"> 2016, ktorým sa mení nariadenie (ES) </w:t>
      </w:r>
      <w:r w:rsidR="00113D4A">
        <w:t>č. </w:t>
      </w:r>
      <w:r w:rsidRPr="00113D4A">
        <w:t>1126/2008, ktorým sa</w:t>
      </w:r>
      <w:r w:rsidR="00113D4A">
        <w:t xml:space="preserve"> v </w:t>
      </w:r>
      <w:r w:rsidRPr="00113D4A">
        <w:t>súlade</w:t>
      </w:r>
      <w:r w:rsidR="00113D4A">
        <w:t xml:space="preserve"> s </w:t>
      </w:r>
      <w:r w:rsidRPr="00113D4A">
        <w:t>nariadením Európskeho parlamentu</w:t>
      </w:r>
      <w:r w:rsidR="00113D4A">
        <w:t xml:space="preserve"> a </w:t>
      </w:r>
      <w:r w:rsidRPr="00113D4A">
        <w:t xml:space="preserve">Rady (ES) </w:t>
      </w:r>
      <w:r w:rsidR="00113D4A">
        <w:t>č. </w:t>
      </w:r>
      <w:r w:rsidRPr="00113D4A">
        <w:t>1606/2002 prijímajú určité medzinárodné účtovné štandardy, pokiaľ ide</w:t>
      </w:r>
      <w:r w:rsidR="00113D4A">
        <w:t xml:space="preserve"> o </w:t>
      </w:r>
      <w:r w:rsidRPr="00113D4A">
        <w:t>medzinárodný štandard finančného výkazníctva 9 (Ú. v. EÚ L 323, 29.10.2016, s. 1).</w:t>
      </w:r>
    </w:p>
  </w:footnote>
  <w:footnote w:id="5">
    <w:p w:rsidR="005E43C0" w:rsidRPr="00113D4A" w:rsidRDefault="005E43C0" w:rsidP="005E43C0">
      <w:pPr>
        <w:pStyle w:val="FootnoteText"/>
      </w:pPr>
      <w:r w:rsidRPr="00113D4A">
        <w:rPr>
          <w:rStyle w:val="FootnoteReference"/>
        </w:rPr>
        <w:footnoteRef/>
      </w:r>
      <w:r w:rsidRPr="00113D4A">
        <w:tab/>
      </w:r>
      <w:r w:rsidRPr="00113D4A">
        <w:t>Nariadenie Európskeho parlamentu</w:t>
      </w:r>
      <w:r w:rsidR="00113D4A">
        <w:t xml:space="preserve"> a </w:t>
      </w:r>
      <w:r w:rsidRPr="00113D4A">
        <w:t xml:space="preserve">Rady (EÚ) </w:t>
      </w:r>
      <w:r w:rsidR="00113D4A">
        <w:t>č. </w:t>
      </w:r>
      <w:r w:rsidRPr="00113D4A">
        <w:t>1093/2010</w:t>
      </w:r>
      <w:r w:rsidR="00113D4A">
        <w:t xml:space="preserve"> z </w:t>
      </w:r>
      <w:r w:rsidRPr="00113D4A">
        <w:t>24</w:t>
      </w:r>
      <w:r w:rsidR="00113D4A">
        <w:t>. novembra</w:t>
      </w:r>
      <w:r w:rsidRPr="00113D4A">
        <w:t xml:space="preserve"> 2010, ktorým sa zriaďuje Európsky orgán dohľadu (Európsky orgán pre bankovníctvo)</w:t>
      </w:r>
      <w:r w:rsidR="00113D4A">
        <w:t xml:space="preserve"> a </w:t>
      </w:r>
      <w:r w:rsidRPr="00113D4A">
        <w:t>ktorým sa mení</w:t>
      </w:r>
      <w:r w:rsidR="00113D4A">
        <w:t xml:space="preserve"> a </w:t>
      </w:r>
      <w:r w:rsidRPr="00113D4A">
        <w:t xml:space="preserve">dopĺňa rozhodnutie </w:t>
      </w:r>
      <w:r w:rsidR="00113D4A">
        <w:t>č. </w:t>
      </w:r>
      <w:r w:rsidRPr="00113D4A">
        <w:t>716/2009/ES</w:t>
      </w:r>
      <w:r w:rsidR="00113D4A">
        <w:t xml:space="preserve"> a </w:t>
      </w:r>
      <w:r w:rsidRPr="00113D4A">
        <w:t xml:space="preserve">zrušuje rozhodnutie Komisie 2009/78/ES (Ú. v. EÚ L 331, 15.12.2010, s. 12).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C93" w:rsidRDefault="00630C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C93" w:rsidRDefault="00630C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C93" w:rsidRDefault="00630C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7405E8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CBF044D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C00969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087E3F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A3AED8E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9FA95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D0D05A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07BE56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1"/>
    <w:lvlOverride w:ilvl="0">
      <w:startOverride w:val="1"/>
    </w:lvlOverride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7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7-06-21 10:06:14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1"/>
    <w:docVar w:name="LW_CONFIDENCE" w:val=" "/>
    <w:docVar w:name="LW_CONST_RESTREINT_UE" w:val="RESTREINT UE/EU RESTRICTED"/>
    <w:docVar w:name="LW_COVERPAGE_GUID" w:val="6018CC83B7434C54A4B18D58CBEA6B8E"/>
    <w:docVar w:name="LW_CROSSREFERENCE" w:val="&lt;UNUSED&gt;"/>
    <w:docVar w:name="LW_DATE.ADOPT.CP" w:val="z XXX,"/>
    <w:docVar w:name="LW_DATE.ADOPT.CP_DATEFORMAT" w:val="z %DATE%,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V Bruseli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 významom pre EHP)"/>
    <w:docVar w:name="LW_LANGUE" w:val="SK"/>
    <w:docVar w:name="LW_LANGUESFAISANTFOI.CP" w:val="&lt;UNUSED&gt;"/>
    <w:docVar w:name="LW_MARKING" w:val="&lt;UNUSED&gt;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7) XXX"/>
    <w:docVar w:name="LW_REF.INTERNE" w:val="&lt;UNUSED&gt;"/>
    <w:docVar w:name="LW_SOUS.TITRE.OBJ.CP" w:val="&lt;UNUSED&gt;"/>
    <w:docVar w:name="LW_SUPERTITRE" w:val="&lt;UNUSED&gt;"/>
    <w:docVar w:name="LW_TITRE.OBJ.CP" w:val="ktorým sa mení vykonávacie nariadenie (EÚ) \u269?. 680/2014, ktorým sa stanovujú vykonávacie technické predpisy, pokia\u318? ide o vykazovanie in\u353?titúciami na ú\u269?ely doh\u318?adu pod\u318?a nariadenia Európskeho parlamentu a Rady (EÚ) \u269?. 575/2013"/>
    <w:docVar w:name="LW_TYPE.DOC.CP" w:val="VYKONÁVACIE NARIADENIE KOMISIE (EÚ) \u8230?/..."/>
  </w:docVars>
  <w:rsids>
    <w:rsidRoot w:val="000826D9"/>
    <w:rsid w:val="0002331C"/>
    <w:rsid w:val="0007327F"/>
    <w:rsid w:val="000826D9"/>
    <w:rsid w:val="000A65E4"/>
    <w:rsid w:val="000A6BA1"/>
    <w:rsid w:val="000C2CD5"/>
    <w:rsid w:val="000D0FA1"/>
    <w:rsid w:val="000D3B73"/>
    <w:rsid w:val="000E3E7A"/>
    <w:rsid w:val="00113D4A"/>
    <w:rsid w:val="00115297"/>
    <w:rsid w:val="00171635"/>
    <w:rsid w:val="001A267B"/>
    <w:rsid w:val="001B668B"/>
    <w:rsid w:val="001C5A8C"/>
    <w:rsid w:val="00200E41"/>
    <w:rsid w:val="00223509"/>
    <w:rsid w:val="002358B5"/>
    <w:rsid w:val="00240BF2"/>
    <w:rsid w:val="0025654F"/>
    <w:rsid w:val="002A64F4"/>
    <w:rsid w:val="002F4AD0"/>
    <w:rsid w:val="002F6A67"/>
    <w:rsid w:val="003035AD"/>
    <w:rsid w:val="003102EE"/>
    <w:rsid w:val="00317B11"/>
    <w:rsid w:val="00321090"/>
    <w:rsid w:val="0033343F"/>
    <w:rsid w:val="0034445E"/>
    <w:rsid w:val="00351B46"/>
    <w:rsid w:val="00375E2B"/>
    <w:rsid w:val="003B0755"/>
    <w:rsid w:val="003B3DC7"/>
    <w:rsid w:val="003B4C8E"/>
    <w:rsid w:val="003B7D15"/>
    <w:rsid w:val="003C09FC"/>
    <w:rsid w:val="003C33DE"/>
    <w:rsid w:val="004000BA"/>
    <w:rsid w:val="004216FA"/>
    <w:rsid w:val="004375FF"/>
    <w:rsid w:val="00437AE2"/>
    <w:rsid w:val="00460C9F"/>
    <w:rsid w:val="00465328"/>
    <w:rsid w:val="00491253"/>
    <w:rsid w:val="0049787A"/>
    <w:rsid w:val="004B2C4E"/>
    <w:rsid w:val="004D06CB"/>
    <w:rsid w:val="00501364"/>
    <w:rsid w:val="005055FB"/>
    <w:rsid w:val="00555ED3"/>
    <w:rsid w:val="00584220"/>
    <w:rsid w:val="005C29AB"/>
    <w:rsid w:val="005D5307"/>
    <w:rsid w:val="005E43C0"/>
    <w:rsid w:val="00630C93"/>
    <w:rsid w:val="00643D9B"/>
    <w:rsid w:val="0065426A"/>
    <w:rsid w:val="00657892"/>
    <w:rsid w:val="0066591E"/>
    <w:rsid w:val="00673264"/>
    <w:rsid w:val="006B5EF3"/>
    <w:rsid w:val="00715D61"/>
    <w:rsid w:val="00731A0F"/>
    <w:rsid w:val="00751070"/>
    <w:rsid w:val="00775C98"/>
    <w:rsid w:val="007D53B6"/>
    <w:rsid w:val="007E06E3"/>
    <w:rsid w:val="007E67B7"/>
    <w:rsid w:val="007F7FA9"/>
    <w:rsid w:val="00820527"/>
    <w:rsid w:val="00831684"/>
    <w:rsid w:val="0083273A"/>
    <w:rsid w:val="00864B77"/>
    <w:rsid w:val="00867D0F"/>
    <w:rsid w:val="008A3611"/>
    <w:rsid w:val="008A6ACC"/>
    <w:rsid w:val="008E6C1F"/>
    <w:rsid w:val="008F3767"/>
    <w:rsid w:val="00926B9D"/>
    <w:rsid w:val="009369DA"/>
    <w:rsid w:val="0095758A"/>
    <w:rsid w:val="009972C3"/>
    <w:rsid w:val="009B5077"/>
    <w:rsid w:val="009C214E"/>
    <w:rsid w:val="009C57F6"/>
    <w:rsid w:val="009F7ACE"/>
    <w:rsid w:val="00A255D5"/>
    <w:rsid w:val="00A325D0"/>
    <w:rsid w:val="00A8566B"/>
    <w:rsid w:val="00AD7ACA"/>
    <w:rsid w:val="00AE3A6D"/>
    <w:rsid w:val="00AF24A6"/>
    <w:rsid w:val="00AF5826"/>
    <w:rsid w:val="00B04DCA"/>
    <w:rsid w:val="00B44CFD"/>
    <w:rsid w:val="00B6276F"/>
    <w:rsid w:val="00B71D16"/>
    <w:rsid w:val="00B76774"/>
    <w:rsid w:val="00B907CC"/>
    <w:rsid w:val="00BA0D2E"/>
    <w:rsid w:val="00BB4D39"/>
    <w:rsid w:val="00BC306E"/>
    <w:rsid w:val="00BD541C"/>
    <w:rsid w:val="00BE632F"/>
    <w:rsid w:val="00C120E1"/>
    <w:rsid w:val="00C1439F"/>
    <w:rsid w:val="00C40CC5"/>
    <w:rsid w:val="00C56B66"/>
    <w:rsid w:val="00C751B7"/>
    <w:rsid w:val="00C809B6"/>
    <w:rsid w:val="00C94153"/>
    <w:rsid w:val="00CB671C"/>
    <w:rsid w:val="00D06A94"/>
    <w:rsid w:val="00D5747C"/>
    <w:rsid w:val="00D604C4"/>
    <w:rsid w:val="00D60A2C"/>
    <w:rsid w:val="00D66031"/>
    <w:rsid w:val="00DC2257"/>
    <w:rsid w:val="00DD6598"/>
    <w:rsid w:val="00DE7040"/>
    <w:rsid w:val="00E45975"/>
    <w:rsid w:val="00E50FE8"/>
    <w:rsid w:val="00E625E8"/>
    <w:rsid w:val="00E6497D"/>
    <w:rsid w:val="00E84EAD"/>
    <w:rsid w:val="00EB4B56"/>
    <w:rsid w:val="00ED4073"/>
    <w:rsid w:val="00EE3FFC"/>
    <w:rsid w:val="00EE7E75"/>
    <w:rsid w:val="00F1767C"/>
    <w:rsid w:val="00F17F56"/>
    <w:rsid w:val="00F83467"/>
    <w:rsid w:val="00F87183"/>
    <w:rsid w:val="00FB2481"/>
    <w:rsid w:val="00FC0A99"/>
    <w:rsid w:val="00FE5F32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1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1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1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1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sk-SK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sk-SK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0"/>
      </w:numPr>
    </w:pPr>
  </w:style>
  <w:style w:type="paragraph" w:customStyle="1" w:styleId="Tiret1">
    <w:name w:val="Tiret 1"/>
    <w:basedOn w:val="Point1"/>
    <w:rsid w:val="007D53B6"/>
    <w:pPr>
      <w:numPr>
        <w:numId w:val="11"/>
      </w:numPr>
    </w:pPr>
  </w:style>
  <w:style w:type="paragraph" w:customStyle="1" w:styleId="Tiret2">
    <w:name w:val="Tiret 2"/>
    <w:basedOn w:val="Point2"/>
    <w:rsid w:val="007D53B6"/>
    <w:pPr>
      <w:numPr>
        <w:numId w:val="12"/>
      </w:numPr>
    </w:pPr>
  </w:style>
  <w:style w:type="paragraph" w:customStyle="1" w:styleId="Tiret3">
    <w:name w:val="Tiret 3"/>
    <w:basedOn w:val="Point3"/>
    <w:rsid w:val="007D53B6"/>
    <w:pPr>
      <w:numPr>
        <w:numId w:val="13"/>
      </w:numPr>
    </w:pPr>
  </w:style>
  <w:style w:type="paragraph" w:customStyle="1" w:styleId="Tiret4">
    <w:name w:val="Tiret 4"/>
    <w:basedOn w:val="Point4"/>
    <w:rsid w:val="007D53B6"/>
    <w:pPr>
      <w:numPr>
        <w:numId w:val="14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15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15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15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15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17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17"/>
      </w:numPr>
    </w:pPr>
  </w:style>
  <w:style w:type="paragraph" w:customStyle="1" w:styleId="Bullet0">
    <w:name w:val="Bullet 0"/>
    <w:basedOn w:val="Normal"/>
    <w:rsid w:val="007D53B6"/>
    <w:pPr>
      <w:numPr>
        <w:numId w:val="18"/>
      </w:numPr>
    </w:pPr>
  </w:style>
  <w:style w:type="paragraph" w:customStyle="1" w:styleId="Bullet1">
    <w:name w:val="Bullet 1"/>
    <w:basedOn w:val="Normal"/>
    <w:rsid w:val="007D53B6"/>
    <w:pPr>
      <w:numPr>
        <w:numId w:val="19"/>
      </w:numPr>
    </w:pPr>
  </w:style>
  <w:style w:type="paragraph" w:customStyle="1" w:styleId="Bullet2">
    <w:name w:val="Bullet 2"/>
    <w:basedOn w:val="Normal"/>
    <w:rsid w:val="007D53B6"/>
    <w:pPr>
      <w:numPr>
        <w:numId w:val="20"/>
      </w:numPr>
    </w:pPr>
  </w:style>
  <w:style w:type="paragraph" w:customStyle="1" w:styleId="Bullet3">
    <w:name w:val="Bullet 3"/>
    <w:basedOn w:val="Normal"/>
    <w:rsid w:val="007D53B6"/>
    <w:pPr>
      <w:numPr>
        <w:numId w:val="21"/>
      </w:numPr>
    </w:pPr>
  </w:style>
  <w:style w:type="paragraph" w:customStyle="1" w:styleId="Bullet4">
    <w:name w:val="Bullet 4"/>
    <w:basedOn w:val="Normal"/>
    <w:rsid w:val="007D53B6"/>
    <w:pPr>
      <w:numPr>
        <w:numId w:val="22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1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1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1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16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sk-SK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sk-SK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0"/>
      </w:numPr>
    </w:pPr>
  </w:style>
  <w:style w:type="paragraph" w:customStyle="1" w:styleId="Tiret1">
    <w:name w:val="Tiret 1"/>
    <w:basedOn w:val="Point1"/>
    <w:rsid w:val="007D53B6"/>
    <w:pPr>
      <w:numPr>
        <w:numId w:val="11"/>
      </w:numPr>
    </w:pPr>
  </w:style>
  <w:style w:type="paragraph" w:customStyle="1" w:styleId="Tiret2">
    <w:name w:val="Tiret 2"/>
    <w:basedOn w:val="Point2"/>
    <w:rsid w:val="007D53B6"/>
    <w:pPr>
      <w:numPr>
        <w:numId w:val="12"/>
      </w:numPr>
    </w:pPr>
  </w:style>
  <w:style w:type="paragraph" w:customStyle="1" w:styleId="Tiret3">
    <w:name w:val="Tiret 3"/>
    <w:basedOn w:val="Point3"/>
    <w:rsid w:val="007D53B6"/>
    <w:pPr>
      <w:numPr>
        <w:numId w:val="13"/>
      </w:numPr>
    </w:pPr>
  </w:style>
  <w:style w:type="paragraph" w:customStyle="1" w:styleId="Tiret4">
    <w:name w:val="Tiret 4"/>
    <w:basedOn w:val="Point4"/>
    <w:rsid w:val="007D53B6"/>
    <w:pPr>
      <w:numPr>
        <w:numId w:val="14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15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15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15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15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17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17"/>
      </w:numPr>
    </w:pPr>
  </w:style>
  <w:style w:type="paragraph" w:customStyle="1" w:styleId="Bullet0">
    <w:name w:val="Bullet 0"/>
    <w:basedOn w:val="Normal"/>
    <w:rsid w:val="007D53B6"/>
    <w:pPr>
      <w:numPr>
        <w:numId w:val="18"/>
      </w:numPr>
    </w:pPr>
  </w:style>
  <w:style w:type="paragraph" w:customStyle="1" w:styleId="Bullet1">
    <w:name w:val="Bullet 1"/>
    <w:basedOn w:val="Normal"/>
    <w:rsid w:val="007D53B6"/>
    <w:pPr>
      <w:numPr>
        <w:numId w:val="19"/>
      </w:numPr>
    </w:pPr>
  </w:style>
  <w:style w:type="paragraph" w:customStyle="1" w:styleId="Bullet2">
    <w:name w:val="Bullet 2"/>
    <w:basedOn w:val="Normal"/>
    <w:rsid w:val="007D53B6"/>
    <w:pPr>
      <w:numPr>
        <w:numId w:val="20"/>
      </w:numPr>
    </w:pPr>
  </w:style>
  <w:style w:type="paragraph" w:customStyle="1" w:styleId="Bullet3">
    <w:name w:val="Bullet 3"/>
    <w:basedOn w:val="Normal"/>
    <w:rsid w:val="007D53B6"/>
    <w:pPr>
      <w:numPr>
        <w:numId w:val="21"/>
      </w:numPr>
    </w:pPr>
  </w:style>
  <w:style w:type="paragraph" w:customStyle="1" w:styleId="Bullet4">
    <w:name w:val="Bullet 4"/>
    <w:basedOn w:val="Normal"/>
    <w:rsid w:val="007D53B6"/>
    <w:pPr>
      <w:numPr>
        <w:numId w:val="22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98108-884C-4883-BAF0-DD5DD72D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908</Words>
  <Characters>5459</Characters>
  <Application>Microsoft Office Word</Application>
  <DocSecurity>0</DocSecurity>
  <Lines>101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2017-06-21T08:06:00Z</dcterms:created>
  <dcterms:modified xsi:type="dcterms:W3CDTF">2017-06-21T08:06:00Z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COM/AA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DQCStatus">
    <vt:lpwstr>Green (DQC version 03)</vt:lpwstr>
  </property>
</Properties>
</file>