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915077" w:rsidRPr="00E26EF6" w:rsidRDefault="006B08A5">
      <w:pPr>
        <w:jc w:val="center"/>
        <w:rPr>
          <w:rFonts w:ascii="Times New Roman" w:hAnsi="Times New Roman"/>
          <w:b/>
          <w:sz w:val="24"/>
        </w:rPr>
      </w:pPr>
      <w:r w:rsidRPr="00E26EF6">
        <w:rPr>
          <w:rFonts w:ascii="Times New Roman" w:hAnsi="Times New Roman"/>
          <w:b/>
        </w:rPr>
        <w:t>PL</w:t>
      </w:r>
    </w:p>
    <w:p w14:paraId="09258196" w14:textId="77777777" w:rsidR="00915077" w:rsidRPr="00E26EF6" w:rsidRDefault="00453999">
      <w:pPr>
        <w:jc w:val="center"/>
        <w:rPr>
          <w:rFonts w:ascii="Times New Roman" w:hAnsi="Times New Roman"/>
          <w:b/>
          <w:sz w:val="24"/>
        </w:rPr>
      </w:pPr>
      <w:r w:rsidRPr="00E26EF6">
        <w:rPr>
          <w:rFonts w:ascii="Times New Roman" w:hAnsi="Times New Roman"/>
          <w:b/>
        </w:rPr>
        <w:t>ZAŁĄCZNIK II</w:t>
      </w:r>
    </w:p>
    <w:p w14:paraId="7EE8FB87" w14:textId="77777777" w:rsidR="00915077" w:rsidRPr="00E26EF6" w:rsidRDefault="00915077">
      <w:pPr>
        <w:jc w:val="center"/>
        <w:rPr>
          <w:rFonts w:ascii="Times New Roman" w:hAnsi="Times New Roman"/>
          <w:b/>
          <w:sz w:val="24"/>
        </w:rPr>
      </w:pPr>
    </w:p>
    <w:p w14:paraId="4B067868" w14:textId="77777777" w:rsidR="00915077" w:rsidRPr="00E26EF6" w:rsidRDefault="00915077">
      <w:pPr>
        <w:jc w:val="center"/>
        <w:rPr>
          <w:rFonts w:ascii="Times New Roman" w:hAnsi="Times New Roman"/>
          <w:b/>
          <w:sz w:val="24"/>
        </w:rPr>
      </w:pPr>
    </w:p>
    <w:p w14:paraId="52460C1D" w14:textId="77777777" w:rsidR="00915077" w:rsidRPr="00E26EF6" w:rsidRDefault="00C7103D">
      <w:pPr>
        <w:jc w:val="center"/>
        <w:rPr>
          <w:rFonts w:ascii="Times New Roman" w:hAnsi="Times New Roman"/>
          <w:b/>
          <w:sz w:val="24"/>
          <w:u w:val="single"/>
        </w:rPr>
      </w:pPr>
      <w:r w:rsidRPr="00E26EF6">
        <w:rPr>
          <w:rFonts w:ascii="Times New Roman" w:hAnsi="Times New Roman"/>
          <w:b/>
          <w:u w:val="single"/>
        </w:rPr>
        <w:t>„ZAŁĄCZNIK II</w:t>
      </w:r>
    </w:p>
    <w:p w14:paraId="644BA8AC" w14:textId="77777777" w:rsidR="00915077" w:rsidRPr="00E26EF6" w:rsidRDefault="002648B0">
      <w:pPr>
        <w:jc w:val="center"/>
        <w:rPr>
          <w:rFonts w:ascii="Times New Roman" w:hAnsi="Times New Roman"/>
          <w:b/>
          <w:sz w:val="24"/>
        </w:rPr>
      </w:pPr>
      <w:r w:rsidRPr="00E26EF6">
        <w:rPr>
          <w:rFonts w:ascii="Times New Roman" w:hAnsi="Times New Roman"/>
          <w:b/>
        </w:rPr>
        <w:t>SPRAWOZDAWCZOŚĆ W ZAKRESIE FUNDUSZY WŁASNYCH ORAZ WYMOGÓW W ZAKRESIE FUNDUSZY WŁASNYCH</w:t>
      </w:r>
    </w:p>
    <w:p w14:paraId="4592BD27" w14:textId="77777777" w:rsidR="00915077" w:rsidRPr="00E26EF6" w:rsidRDefault="00915077">
      <w:pPr>
        <w:jc w:val="center"/>
        <w:rPr>
          <w:rFonts w:ascii="Times New Roman" w:hAnsi="Times New Roman"/>
          <w:b/>
          <w:sz w:val="24"/>
        </w:rPr>
      </w:pPr>
    </w:p>
    <w:p w14:paraId="296F65E0" w14:textId="77777777" w:rsidR="00915077" w:rsidRPr="00E26EF6" w:rsidRDefault="002648B0">
      <w:pPr>
        <w:pStyle w:val="InstructionsText"/>
      </w:pPr>
      <w:r w:rsidRPr="00E26EF6">
        <w:t>Spis treści</w:t>
      </w:r>
    </w:p>
    <w:p w14:paraId="6AE0D288" w14:textId="0A959CC4" w:rsidR="00E26EF6" w:rsidRPr="00E26EF6" w:rsidRDefault="00745369">
      <w:pPr>
        <w:pStyle w:val="TOC2"/>
        <w:rPr>
          <w:rFonts w:asciiTheme="minorHAnsi" w:eastAsiaTheme="minorEastAsia" w:hAnsiTheme="minorHAnsi" w:cstheme="minorBidi"/>
          <w:b w:val="0"/>
          <w:smallCaps w:val="0"/>
          <w:noProof w:val="0"/>
          <w:sz w:val="22"/>
        </w:rPr>
      </w:pPr>
      <w:r w:rsidRPr="00E26EF6">
        <w:rPr>
          <w:rFonts w:ascii="Times New Roman" w:hAnsi="Times New Roman"/>
          <w:noProof w:val="0"/>
        </w:rPr>
        <w:fldChar w:fldCharType="begin"/>
      </w:r>
      <w:r w:rsidRPr="00E26EF6">
        <w:rPr>
          <w:rFonts w:ascii="Times New Roman" w:hAnsi="Times New Roman"/>
          <w:noProof w:val="0"/>
        </w:rPr>
        <w:instrText xml:space="preserve"> TOC \o "1-3" \h \z \u </w:instrText>
      </w:r>
      <w:r w:rsidRPr="00E26EF6">
        <w:rPr>
          <w:rFonts w:ascii="Times New Roman" w:hAnsi="Times New Roman"/>
          <w:noProof w:val="0"/>
        </w:rPr>
        <w:fldChar w:fldCharType="separate"/>
      </w:r>
      <w:hyperlink w:anchor="_Toc31014298" w:history="1">
        <w:r w:rsidR="00E26EF6" w:rsidRPr="00E26EF6">
          <w:rPr>
            <w:rStyle w:val="Hyperlink"/>
            <w:rFonts w:ascii="Times New Roman" w:hAnsi="Times New Roman"/>
            <w:noProof w:val="0"/>
          </w:rPr>
          <w:t>CZĘŚĆ I: INSTRUKCJE OGÓLNE</w:t>
        </w:r>
        <w:r w:rsidR="00E26EF6" w:rsidRPr="00E26EF6">
          <w:rPr>
            <w:noProof w:val="0"/>
            <w:webHidden/>
          </w:rPr>
          <w:tab/>
        </w:r>
        <w:r w:rsidR="00E26EF6" w:rsidRPr="00E26EF6">
          <w:rPr>
            <w:noProof w:val="0"/>
            <w:webHidden/>
          </w:rPr>
          <w:fldChar w:fldCharType="begin"/>
        </w:r>
        <w:r w:rsidR="00E26EF6" w:rsidRPr="00E26EF6">
          <w:rPr>
            <w:noProof w:val="0"/>
            <w:webHidden/>
          </w:rPr>
          <w:instrText xml:space="preserve"> PAGEREF _Toc31014298 \h </w:instrText>
        </w:r>
        <w:r w:rsidR="00E26EF6" w:rsidRPr="00E26EF6">
          <w:rPr>
            <w:noProof w:val="0"/>
            <w:webHidden/>
          </w:rPr>
        </w:r>
        <w:r w:rsidR="00E26EF6" w:rsidRPr="00E26EF6">
          <w:rPr>
            <w:noProof w:val="0"/>
            <w:webHidden/>
          </w:rPr>
          <w:fldChar w:fldCharType="separate"/>
        </w:r>
        <w:r w:rsidR="00E26EF6" w:rsidRPr="00E26EF6">
          <w:rPr>
            <w:noProof w:val="0"/>
            <w:webHidden/>
          </w:rPr>
          <w:t>5</w:t>
        </w:r>
        <w:r w:rsidR="00E26EF6" w:rsidRPr="00E26EF6">
          <w:rPr>
            <w:noProof w:val="0"/>
            <w:webHidden/>
          </w:rPr>
          <w:fldChar w:fldCharType="end"/>
        </w:r>
      </w:hyperlink>
    </w:p>
    <w:p w14:paraId="4DF992E2" w14:textId="4EF2E448" w:rsidR="00E26EF6" w:rsidRPr="00E26EF6" w:rsidRDefault="00E26EF6">
      <w:pPr>
        <w:pStyle w:val="TOC2"/>
        <w:rPr>
          <w:rFonts w:asciiTheme="minorHAnsi" w:eastAsiaTheme="minorEastAsia" w:hAnsiTheme="minorHAnsi" w:cstheme="minorBidi"/>
          <w:b w:val="0"/>
          <w:smallCaps w:val="0"/>
          <w:noProof w:val="0"/>
          <w:sz w:val="22"/>
        </w:rPr>
      </w:pPr>
      <w:hyperlink w:anchor="_Toc31014299" w:history="1">
        <w:r w:rsidRPr="00E26EF6">
          <w:rPr>
            <w:rStyle w:val="Hyperlink"/>
            <w:rFonts w:ascii="Times New Roman" w:hAnsi="Times New Roman"/>
            <w:noProof w:val="0"/>
          </w:rPr>
          <w:t>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Struktura i konwencje</w:t>
        </w:r>
        <w:r w:rsidRPr="00E26EF6">
          <w:rPr>
            <w:noProof w:val="0"/>
            <w:webHidden/>
          </w:rPr>
          <w:tab/>
        </w:r>
        <w:r w:rsidRPr="00E26EF6">
          <w:rPr>
            <w:noProof w:val="0"/>
            <w:webHidden/>
          </w:rPr>
          <w:fldChar w:fldCharType="begin"/>
        </w:r>
        <w:r w:rsidRPr="00E26EF6">
          <w:rPr>
            <w:noProof w:val="0"/>
            <w:webHidden/>
          </w:rPr>
          <w:instrText xml:space="preserve"> PAGEREF _Toc31014299 \h </w:instrText>
        </w:r>
        <w:r w:rsidRPr="00E26EF6">
          <w:rPr>
            <w:noProof w:val="0"/>
            <w:webHidden/>
          </w:rPr>
        </w:r>
        <w:r w:rsidRPr="00E26EF6">
          <w:rPr>
            <w:noProof w:val="0"/>
            <w:webHidden/>
          </w:rPr>
          <w:fldChar w:fldCharType="separate"/>
        </w:r>
        <w:r w:rsidRPr="00E26EF6">
          <w:rPr>
            <w:noProof w:val="0"/>
            <w:webHidden/>
          </w:rPr>
          <w:t>5</w:t>
        </w:r>
        <w:r w:rsidRPr="00E26EF6">
          <w:rPr>
            <w:noProof w:val="0"/>
            <w:webHidden/>
          </w:rPr>
          <w:fldChar w:fldCharType="end"/>
        </w:r>
      </w:hyperlink>
    </w:p>
    <w:p w14:paraId="7A84BC18" w14:textId="2D9364D4" w:rsidR="00E26EF6" w:rsidRPr="00E26EF6" w:rsidRDefault="00E26EF6">
      <w:pPr>
        <w:pStyle w:val="TOC2"/>
        <w:rPr>
          <w:rFonts w:asciiTheme="minorHAnsi" w:eastAsiaTheme="minorEastAsia" w:hAnsiTheme="minorHAnsi" w:cstheme="minorBidi"/>
          <w:b w:val="0"/>
          <w:smallCaps w:val="0"/>
          <w:noProof w:val="0"/>
          <w:sz w:val="22"/>
        </w:rPr>
      </w:pPr>
      <w:hyperlink w:anchor="_Toc31014300" w:history="1">
        <w:r w:rsidRPr="00E26EF6">
          <w:rPr>
            <w:rStyle w:val="Hyperlink"/>
            <w:rFonts w:ascii="Times New Roman" w:hAnsi="Times New Roman"/>
            <w:noProof w:val="0"/>
          </w:rPr>
          <w:t>1.1.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Struktura</w:t>
        </w:r>
        <w:r w:rsidRPr="00E26EF6">
          <w:rPr>
            <w:noProof w:val="0"/>
            <w:webHidden/>
          </w:rPr>
          <w:tab/>
        </w:r>
        <w:r w:rsidRPr="00E26EF6">
          <w:rPr>
            <w:noProof w:val="0"/>
            <w:webHidden/>
          </w:rPr>
          <w:fldChar w:fldCharType="begin"/>
        </w:r>
        <w:r w:rsidRPr="00E26EF6">
          <w:rPr>
            <w:noProof w:val="0"/>
            <w:webHidden/>
          </w:rPr>
          <w:instrText xml:space="preserve"> PAGEREF _Toc31014300 \h </w:instrText>
        </w:r>
        <w:r w:rsidRPr="00E26EF6">
          <w:rPr>
            <w:noProof w:val="0"/>
            <w:webHidden/>
          </w:rPr>
        </w:r>
        <w:r w:rsidRPr="00E26EF6">
          <w:rPr>
            <w:noProof w:val="0"/>
            <w:webHidden/>
          </w:rPr>
          <w:fldChar w:fldCharType="separate"/>
        </w:r>
        <w:r w:rsidRPr="00E26EF6">
          <w:rPr>
            <w:noProof w:val="0"/>
            <w:webHidden/>
          </w:rPr>
          <w:t>5</w:t>
        </w:r>
        <w:r w:rsidRPr="00E26EF6">
          <w:rPr>
            <w:noProof w:val="0"/>
            <w:webHidden/>
          </w:rPr>
          <w:fldChar w:fldCharType="end"/>
        </w:r>
      </w:hyperlink>
    </w:p>
    <w:p w14:paraId="5130D64F" w14:textId="4DC76EB1" w:rsidR="00E26EF6" w:rsidRPr="00E26EF6" w:rsidRDefault="00E26EF6">
      <w:pPr>
        <w:pStyle w:val="TOC2"/>
        <w:rPr>
          <w:rFonts w:asciiTheme="minorHAnsi" w:eastAsiaTheme="minorEastAsia" w:hAnsiTheme="minorHAnsi" w:cstheme="minorBidi"/>
          <w:b w:val="0"/>
          <w:smallCaps w:val="0"/>
          <w:noProof w:val="0"/>
          <w:sz w:val="22"/>
        </w:rPr>
      </w:pPr>
      <w:hyperlink w:anchor="_Toc31014301" w:history="1">
        <w:r w:rsidRPr="00E26EF6">
          <w:rPr>
            <w:rStyle w:val="Hyperlink"/>
            <w:rFonts w:ascii="Times New Roman" w:hAnsi="Times New Roman"/>
            <w:noProof w:val="0"/>
          </w:rPr>
          <w:t>1.2.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Konwencja numerowania</w:t>
        </w:r>
        <w:r w:rsidRPr="00E26EF6">
          <w:rPr>
            <w:noProof w:val="0"/>
            <w:webHidden/>
          </w:rPr>
          <w:tab/>
        </w:r>
        <w:r w:rsidRPr="00E26EF6">
          <w:rPr>
            <w:noProof w:val="0"/>
            <w:webHidden/>
          </w:rPr>
          <w:fldChar w:fldCharType="begin"/>
        </w:r>
        <w:r w:rsidRPr="00E26EF6">
          <w:rPr>
            <w:noProof w:val="0"/>
            <w:webHidden/>
          </w:rPr>
          <w:instrText xml:space="preserve"> PAGEREF _Toc31014301 \h </w:instrText>
        </w:r>
        <w:r w:rsidRPr="00E26EF6">
          <w:rPr>
            <w:noProof w:val="0"/>
            <w:webHidden/>
          </w:rPr>
        </w:r>
        <w:r w:rsidRPr="00E26EF6">
          <w:rPr>
            <w:noProof w:val="0"/>
            <w:webHidden/>
          </w:rPr>
          <w:fldChar w:fldCharType="separate"/>
        </w:r>
        <w:r w:rsidRPr="00E26EF6">
          <w:rPr>
            <w:noProof w:val="0"/>
            <w:webHidden/>
          </w:rPr>
          <w:t>5</w:t>
        </w:r>
        <w:r w:rsidRPr="00E26EF6">
          <w:rPr>
            <w:noProof w:val="0"/>
            <w:webHidden/>
          </w:rPr>
          <w:fldChar w:fldCharType="end"/>
        </w:r>
      </w:hyperlink>
    </w:p>
    <w:p w14:paraId="599A7CA0" w14:textId="0FD19C6C" w:rsidR="00E26EF6" w:rsidRPr="00E26EF6" w:rsidRDefault="00E26EF6">
      <w:pPr>
        <w:pStyle w:val="TOC2"/>
        <w:rPr>
          <w:rFonts w:asciiTheme="minorHAnsi" w:eastAsiaTheme="minorEastAsia" w:hAnsiTheme="minorHAnsi" w:cstheme="minorBidi"/>
          <w:b w:val="0"/>
          <w:smallCaps w:val="0"/>
          <w:noProof w:val="0"/>
          <w:sz w:val="22"/>
        </w:rPr>
      </w:pPr>
      <w:hyperlink w:anchor="_Toc31014302" w:history="1">
        <w:r w:rsidRPr="00E26EF6">
          <w:rPr>
            <w:rStyle w:val="Hyperlink"/>
            <w:rFonts w:ascii="Times New Roman" w:hAnsi="Times New Roman"/>
            <w:noProof w:val="0"/>
          </w:rPr>
          <w:t>1.3.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Konwencja znaku</w:t>
        </w:r>
        <w:r w:rsidRPr="00E26EF6">
          <w:rPr>
            <w:noProof w:val="0"/>
            <w:webHidden/>
          </w:rPr>
          <w:tab/>
        </w:r>
        <w:r w:rsidRPr="00E26EF6">
          <w:rPr>
            <w:noProof w:val="0"/>
            <w:webHidden/>
          </w:rPr>
          <w:fldChar w:fldCharType="begin"/>
        </w:r>
        <w:r w:rsidRPr="00E26EF6">
          <w:rPr>
            <w:noProof w:val="0"/>
            <w:webHidden/>
          </w:rPr>
          <w:instrText xml:space="preserve"> PAGEREF _Toc31014302 \h </w:instrText>
        </w:r>
        <w:r w:rsidRPr="00E26EF6">
          <w:rPr>
            <w:noProof w:val="0"/>
            <w:webHidden/>
          </w:rPr>
        </w:r>
        <w:r w:rsidRPr="00E26EF6">
          <w:rPr>
            <w:noProof w:val="0"/>
            <w:webHidden/>
          </w:rPr>
          <w:fldChar w:fldCharType="separate"/>
        </w:r>
        <w:r w:rsidRPr="00E26EF6">
          <w:rPr>
            <w:noProof w:val="0"/>
            <w:webHidden/>
          </w:rPr>
          <w:t>6</w:t>
        </w:r>
        <w:r w:rsidRPr="00E26EF6">
          <w:rPr>
            <w:noProof w:val="0"/>
            <w:webHidden/>
          </w:rPr>
          <w:fldChar w:fldCharType="end"/>
        </w:r>
      </w:hyperlink>
    </w:p>
    <w:p w14:paraId="16ABDD7F" w14:textId="1C0ADF11" w:rsidR="00E26EF6" w:rsidRPr="00E26EF6" w:rsidRDefault="00E26EF6">
      <w:pPr>
        <w:pStyle w:val="TOC2"/>
        <w:rPr>
          <w:rFonts w:asciiTheme="minorHAnsi" w:eastAsiaTheme="minorEastAsia" w:hAnsiTheme="minorHAnsi" w:cstheme="minorBidi"/>
          <w:b w:val="0"/>
          <w:smallCaps w:val="0"/>
          <w:noProof w:val="0"/>
          <w:sz w:val="22"/>
        </w:rPr>
      </w:pPr>
      <w:hyperlink w:anchor="_Toc31014303" w:history="1">
        <w:r w:rsidRPr="00E26EF6">
          <w:rPr>
            <w:rStyle w:val="Hyperlink"/>
            <w:rFonts w:ascii="Times New Roman" w:hAnsi="Times New Roman"/>
            <w:noProof w:val="0"/>
          </w:rPr>
          <w:t>1.4.</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Skróty</w:t>
        </w:r>
        <w:r w:rsidRPr="00E26EF6">
          <w:rPr>
            <w:noProof w:val="0"/>
            <w:webHidden/>
          </w:rPr>
          <w:tab/>
        </w:r>
        <w:r w:rsidRPr="00E26EF6">
          <w:rPr>
            <w:noProof w:val="0"/>
            <w:webHidden/>
          </w:rPr>
          <w:fldChar w:fldCharType="begin"/>
        </w:r>
        <w:r w:rsidRPr="00E26EF6">
          <w:rPr>
            <w:noProof w:val="0"/>
            <w:webHidden/>
          </w:rPr>
          <w:instrText xml:space="preserve"> PAGEREF _Toc31014303 \h </w:instrText>
        </w:r>
        <w:r w:rsidRPr="00E26EF6">
          <w:rPr>
            <w:noProof w:val="0"/>
            <w:webHidden/>
          </w:rPr>
        </w:r>
        <w:r w:rsidRPr="00E26EF6">
          <w:rPr>
            <w:noProof w:val="0"/>
            <w:webHidden/>
          </w:rPr>
          <w:fldChar w:fldCharType="separate"/>
        </w:r>
        <w:r w:rsidRPr="00E26EF6">
          <w:rPr>
            <w:noProof w:val="0"/>
            <w:webHidden/>
          </w:rPr>
          <w:t>6</w:t>
        </w:r>
        <w:r w:rsidRPr="00E26EF6">
          <w:rPr>
            <w:noProof w:val="0"/>
            <w:webHidden/>
          </w:rPr>
          <w:fldChar w:fldCharType="end"/>
        </w:r>
      </w:hyperlink>
    </w:p>
    <w:p w14:paraId="5A5CFCAB" w14:textId="08536D65" w:rsidR="00E26EF6" w:rsidRPr="00E26EF6" w:rsidRDefault="00E26EF6">
      <w:pPr>
        <w:pStyle w:val="TOC2"/>
        <w:rPr>
          <w:rFonts w:asciiTheme="minorHAnsi" w:eastAsiaTheme="minorEastAsia" w:hAnsiTheme="minorHAnsi" w:cstheme="minorBidi"/>
          <w:b w:val="0"/>
          <w:smallCaps w:val="0"/>
          <w:noProof w:val="0"/>
          <w:sz w:val="22"/>
        </w:rPr>
      </w:pPr>
      <w:hyperlink w:anchor="_Toc31014304" w:history="1">
        <w:r w:rsidRPr="00E26EF6">
          <w:rPr>
            <w:rStyle w:val="Hyperlink"/>
            <w:rFonts w:ascii="Times New Roman" w:hAnsi="Times New Roman"/>
            <w:noProof w:val="0"/>
          </w:rPr>
          <w:t>CZĘŚĆ II INSTRUKCJE DOTYCZĄCE WZORÓW</w:t>
        </w:r>
        <w:r w:rsidRPr="00E26EF6">
          <w:rPr>
            <w:noProof w:val="0"/>
            <w:webHidden/>
          </w:rPr>
          <w:tab/>
        </w:r>
        <w:r w:rsidRPr="00E26EF6">
          <w:rPr>
            <w:noProof w:val="0"/>
            <w:webHidden/>
          </w:rPr>
          <w:fldChar w:fldCharType="begin"/>
        </w:r>
        <w:r w:rsidRPr="00E26EF6">
          <w:rPr>
            <w:noProof w:val="0"/>
            <w:webHidden/>
          </w:rPr>
          <w:instrText xml:space="preserve"> PAGEREF _Toc31014304 \h </w:instrText>
        </w:r>
        <w:r w:rsidRPr="00E26EF6">
          <w:rPr>
            <w:noProof w:val="0"/>
            <w:webHidden/>
          </w:rPr>
        </w:r>
        <w:r w:rsidRPr="00E26EF6">
          <w:rPr>
            <w:noProof w:val="0"/>
            <w:webHidden/>
          </w:rPr>
          <w:fldChar w:fldCharType="separate"/>
        </w:r>
        <w:r w:rsidRPr="00E26EF6">
          <w:rPr>
            <w:noProof w:val="0"/>
            <w:webHidden/>
          </w:rPr>
          <w:t>7</w:t>
        </w:r>
        <w:r w:rsidRPr="00E26EF6">
          <w:rPr>
            <w:noProof w:val="0"/>
            <w:webHidden/>
          </w:rPr>
          <w:fldChar w:fldCharType="end"/>
        </w:r>
      </w:hyperlink>
    </w:p>
    <w:p w14:paraId="3C561A6B" w14:textId="09433470" w:rsidR="00E26EF6" w:rsidRPr="00E26EF6" w:rsidRDefault="00E26EF6">
      <w:pPr>
        <w:pStyle w:val="TOC2"/>
        <w:rPr>
          <w:rFonts w:asciiTheme="minorHAnsi" w:eastAsiaTheme="minorEastAsia" w:hAnsiTheme="minorHAnsi" w:cstheme="minorBidi"/>
          <w:b w:val="0"/>
          <w:smallCaps w:val="0"/>
          <w:noProof w:val="0"/>
          <w:sz w:val="22"/>
        </w:rPr>
      </w:pPr>
      <w:hyperlink w:anchor="_Toc31014305" w:history="1">
        <w:r w:rsidRPr="00E26EF6">
          <w:rPr>
            <w:rStyle w:val="Hyperlink"/>
            <w:rFonts w:ascii="Times New Roman" w:hAnsi="Times New Roman"/>
            <w:noProof w:val="0"/>
          </w:rPr>
          <w:t>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Przegląd adekwatności kapitałowej („CA”)</w:t>
        </w:r>
        <w:r w:rsidRPr="00E26EF6">
          <w:rPr>
            <w:noProof w:val="0"/>
            <w:webHidden/>
          </w:rPr>
          <w:tab/>
        </w:r>
        <w:r w:rsidRPr="00E26EF6">
          <w:rPr>
            <w:noProof w:val="0"/>
            <w:webHidden/>
          </w:rPr>
          <w:fldChar w:fldCharType="begin"/>
        </w:r>
        <w:r w:rsidRPr="00E26EF6">
          <w:rPr>
            <w:noProof w:val="0"/>
            <w:webHidden/>
          </w:rPr>
          <w:instrText xml:space="preserve"> PAGEREF _Toc31014305 \h </w:instrText>
        </w:r>
        <w:r w:rsidRPr="00E26EF6">
          <w:rPr>
            <w:noProof w:val="0"/>
            <w:webHidden/>
          </w:rPr>
        </w:r>
        <w:r w:rsidRPr="00E26EF6">
          <w:rPr>
            <w:noProof w:val="0"/>
            <w:webHidden/>
          </w:rPr>
          <w:fldChar w:fldCharType="separate"/>
        </w:r>
        <w:r w:rsidRPr="00E26EF6">
          <w:rPr>
            <w:noProof w:val="0"/>
            <w:webHidden/>
          </w:rPr>
          <w:t>7</w:t>
        </w:r>
        <w:r w:rsidRPr="00E26EF6">
          <w:rPr>
            <w:noProof w:val="0"/>
            <w:webHidden/>
          </w:rPr>
          <w:fldChar w:fldCharType="end"/>
        </w:r>
      </w:hyperlink>
    </w:p>
    <w:p w14:paraId="4E403CBC" w14:textId="44837C2E" w:rsidR="00E26EF6" w:rsidRPr="00E26EF6" w:rsidRDefault="00E26EF6">
      <w:pPr>
        <w:pStyle w:val="TOC2"/>
        <w:rPr>
          <w:rFonts w:asciiTheme="minorHAnsi" w:eastAsiaTheme="minorEastAsia" w:hAnsiTheme="minorHAnsi" w:cstheme="minorBidi"/>
          <w:b w:val="0"/>
          <w:smallCaps w:val="0"/>
          <w:noProof w:val="0"/>
          <w:sz w:val="22"/>
        </w:rPr>
      </w:pPr>
      <w:hyperlink w:anchor="_Toc31014306" w:history="1">
        <w:r w:rsidRPr="00E26EF6">
          <w:rPr>
            <w:rStyle w:val="Hyperlink"/>
            <w:rFonts w:ascii="Times New Roman" w:hAnsi="Times New Roman"/>
            <w:noProof w:val="0"/>
          </w:rPr>
          <w:t>1.1.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_Toc31014306 \h </w:instrText>
        </w:r>
        <w:r w:rsidRPr="00E26EF6">
          <w:rPr>
            <w:noProof w:val="0"/>
            <w:webHidden/>
          </w:rPr>
        </w:r>
        <w:r w:rsidRPr="00E26EF6">
          <w:rPr>
            <w:noProof w:val="0"/>
            <w:webHidden/>
          </w:rPr>
          <w:fldChar w:fldCharType="separate"/>
        </w:r>
        <w:r w:rsidRPr="00E26EF6">
          <w:rPr>
            <w:noProof w:val="0"/>
            <w:webHidden/>
          </w:rPr>
          <w:t>7</w:t>
        </w:r>
        <w:r w:rsidRPr="00E26EF6">
          <w:rPr>
            <w:noProof w:val="0"/>
            <w:webHidden/>
          </w:rPr>
          <w:fldChar w:fldCharType="end"/>
        </w:r>
      </w:hyperlink>
    </w:p>
    <w:p w14:paraId="1166C52D" w14:textId="70EE27E5" w:rsidR="00E26EF6" w:rsidRPr="00E26EF6" w:rsidRDefault="00E26EF6">
      <w:pPr>
        <w:pStyle w:val="TOC2"/>
        <w:rPr>
          <w:rFonts w:asciiTheme="minorHAnsi" w:eastAsiaTheme="minorEastAsia" w:hAnsiTheme="minorHAnsi" w:cstheme="minorBidi"/>
          <w:b w:val="0"/>
          <w:smallCaps w:val="0"/>
          <w:noProof w:val="0"/>
          <w:sz w:val="22"/>
        </w:rPr>
      </w:pPr>
      <w:hyperlink w:anchor="_Toc31014307" w:history="1">
        <w:r w:rsidRPr="00E26EF6">
          <w:rPr>
            <w:rStyle w:val="Hyperlink"/>
            <w:rFonts w:ascii="Times New Roman" w:hAnsi="Times New Roman"/>
            <w:noProof w:val="0"/>
          </w:rPr>
          <w:t>1.2.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01.00 – FUNDUSZE WŁASNE (CA1)</w:t>
        </w:r>
        <w:r w:rsidRPr="00E26EF6">
          <w:rPr>
            <w:noProof w:val="0"/>
            <w:webHidden/>
          </w:rPr>
          <w:tab/>
        </w:r>
        <w:r w:rsidRPr="00E26EF6">
          <w:rPr>
            <w:noProof w:val="0"/>
            <w:webHidden/>
          </w:rPr>
          <w:fldChar w:fldCharType="begin"/>
        </w:r>
        <w:r w:rsidRPr="00E26EF6">
          <w:rPr>
            <w:noProof w:val="0"/>
            <w:webHidden/>
          </w:rPr>
          <w:instrText xml:space="preserve"> PAGEREF _Toc31014307 \h </w:instrText>
        </w:r>
        <w:r w:rsidRPr="00E26EF6">
          <w:rPr>
            <w:noProof w:val="0"/>
            <w:webHidden/>
          </w:rPr>
        </w:r>
        <w:r w:rsidRPr="00E26EF6">
          <w:rPr>
            <w:noProof w:val="0"/>
            <w:webHidden/>
          </w:rPr>
          <w:fldChar w:fldCharType="separate"/>
        </w:r>
        <w:r w:rsidRPr="00E26EF6">
          <w:rPr>
            <w:noProof w:val="0"/>
            <w:webHidden/>
          </w:rPr>
          <w:t>8</w:t>
        </w:r>
        <w:r w:rsidRPr="00E26EF6">
          <w:rPr>
            <w:noProof w:val="0"/>
            <w:webHidden/>
          </w:rPr>
          <w:fldChar w:fldCharType="end"/>
        </w:r>
      </w:hyperlink>
    </w:p>
    <w:p w14:paraId="2EA710C3" w14:textId="17863A40" w:rsidR="00E26EF6" w:rsidRPr="00E26EF6" w:rsidRDefault="00E26EF6">
      <w:pPr>
        <w:pStyle w:val="TOC2"/>
        <w:rPr>
          <w:rFonts w:asciiTheme="minorHAnsi" w:eastAsiaTheme="minorEastAsia" w:hAnsiTheme="minorHAnsi" w:cstheme="minorBidi"/>
          <w:b w:val="0"/>
          <w:smallCaps w:val="0"/>
          <w:noProof w:val="0"/>
          <w:sz w:val="22"/>
        </w:rPr>
      </w:pPr>
      <w:hyperlink w:anchor="_Toc31014308" w:history="1">
        <w:r w:rsidRPr="00E26EF6">
          <w:rPr>
            <w:rStyle w:val="Hyperlink"/>
            <w:rFonts w:ascii="Times New Roman" w:hAnsi="Times New Roman"/>
            <w:noProof w:val="0"/>
          </w:rPr>
          <w:t>1.2.1.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_Toc31014308 \h </w:instrText>
        </w:r>
        <w:r w:rsidRPr="00E26EF6">
          <w:rPr>
            <w:noProof w:val="0"/>
            <w:webHidden/>
          </w:rPr>
        </w:r>
        <w:r w:rsidRPr="00E26EF6">
          <w:rPr>
            <w:noProof w:val="0"/>
            <w:webHidden/>
          </w:rPr>
          <w:fldChar w:fldCharType="separate"/>
        </w:r>
        <w:r w:rsidRPr="00E26EF6">
          <w:rPr>
            <w:noProof w:val="0"/>
            <w:webHidden/>
          </w:rPr>
          <w:t>8</w:t>
        </w:r>
        <w:r w:rsidRPr="00E26EF6">
          <w:rPr>
            <w:noProof w:val="0"/>
            <w:webHidden/>
          </w:rPr>
          <w:fldChar w:fldCharType="end"/>
        </w:r>
      </w:hyperlink>
    </w:p>
    <w:p w14:paraId="5A3AD245" w14:textId="07647416" w:rsidR="00E26EF6" w:rsidRPr="00E26EF6" w:rsidRDefault="00E26EF6">
      <w:pPr>
        <w:pStyle w:val="TOC2"/>
        <w:rPr>
          <w:rFonts w:asciiTheme="minorHAnsi" w:eastAsiaTheme="minorEastAsia" w:hAnsiTheme="minorHAnsi" w:cstheme="minorBidi"/>
          <w:b w:val="0"/>
          <w:smallCaps w:val="0"/>
          <w:noProof w:val="0"/>
          <w:sz w:val="22"/>
        </w:rPr>
      </w:pPr>
      <w:hyperlink w:anchor="_Toc31014309" w:history="1">
        <w:r w:rsidRPr="00E26EF6">
          <w:rPr>
            <w:rStyle w:val="Hyperlink"/>
            <w:rFonts w:ascii="Times New Roman" w:hAnsi="Times New Roman"/>
            <w:noProof w:val="0"/>
          </w:rPr>
          <w:t>1.3.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02.00 – WYMOGI W ZAKRESIE FUNDUSZY WŁASNYCH (CA2)</w:t>
        </w:r>
        <w:r w:rsidRPr="00E26EF6">
          <w:rPr>
            <w:noProof w:val="0"/>
            <w:webHidden/>
          </w:rPr>
          <w:tab/>
        </w:r>
        <w:r w:rsidRPr="00E26EF6">
          <w:rPr>
            <w:noProof w:val="0"/>
            <w:webHidden/>
          </w:rPr>
          <w:fldChar w:fldCharType="begin"/>
        </w:r>
        <w:r w:rsidRPr="00E26EF6">
          <w:rPr>
            <w:noProof w:val="0"/>
            <w:webHidden/>
          </w:rPr>
          <w:instrText xml:space="preserve"> PAGEREF _Toc31014309 \h </w:instrText>
        </w:r>
        <w:r w:rsidRPr="00E26EF6">
          <w:rPr>
            <w:noProof w:val="0"/>
            <w:webHidden/>
          </w:rPr>
        </w:r>
        <w:r w:rsidRPr="00E26EF6">
          <w:rPr>
            <w:noProof w:val="0"/>
            <w:webHidden/>
          </w:rPr>
          <w:fldChar w:fldCharType="separate"/>
        </w:r>
        <w:r w:rsidRPr="00E26EF6">
          <w:rPr>
            <w:noProof w:val="0"/>
            <w:webHidden/>
          </w:rPr>
          <w:t>21</w:t>
        </w:r>
        <w:r w:rsidRPr="00E26EF6">
          <w:rPr>
            <w:noProof w:val="0"/>
            <w:webHidden/>
          </w:rPr>
          <w:fldChar w:fldCharType="end"/>
        </w:r>
      </w:hyperlink>
    </w:p>
    <w:p w14:paraId="1DA17B35" w14:textId="5E877B76" w:rsidR="00E26EF6" w:rsidRPr="00E26EF6" w:rsidRDefault="00E26EF6">
      <w:pPr>
        <w:pStyle w:val="TOC2"/>
        <w:rPr>
          <w:rFonts w:asciiTheme="minorHAnsi" w:eastAsiaTheme="minorEastAsia" w:hAnsiTheme="minorHAnsi" w:cstheme="minorBidi"/>
          <w:b w:val="0"/>
          <w:smallCaps w:val="0"/>
          <w:noProof w:val="0"/>
          <w:sz w:val="22"/>
        </w:rPr>
      </w:pPr>
      <w:hyperlink w:anchor="_Toc31014310" w:history="1">
        <w:r w:rsidRPr="00E26EF6">
          <w:rPr>
            <w:rStyle w:val="Hyperlink"/>
            <w:rFonts w:ascii="Times New Roman" w:hAnsi="Times New Roman"/>
            <w:noProof w:val="0"/>
          </w:rPr>
          <w:t>1.3.1.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_Toc31014310 \h </w:instrText>
        </w:r>
        <w:r w:rsidRPr="00E26EF6">
          <w:rPr>
            <w:noProof w:val="0"/>
            <w:webHidden/>
          </w:rPr>
        </w:r>
        <w:r w:rsidRPr="00E26EF6">
          <w:rPr>
            <w:noProof w:val="0"/>
            <w:webHidden/>
          </w:rPr>
          <w:fldChar w:fldCharType="separate"/>
        </w:r>
        <w:r w:rsidRPr="00E26EF6">
          <w:rPr>
            <w:noProof w:val="0"/>
            <w:webHidden/>
          </w:rPr>
          <w:t>21</w:t>
        </w:r>
        <w:r w:rsidRPr="00E26EF6">
          <w:rPr>
            <w:noProof w:val="0"/>
            <w:webHidden/>
          </w:rPr>
          <w:fldChar w:fldCharType="end"/>
        </w:r>
      </w:hyperlink>
    </w:p>
    <w:p w14:paraId="5700676F" w14:textId="453E4874" w:rsidR="00E26EF6" w:rsidRPr="00E26EF6" w:rsidRDefault="00E26EF6">
      <w:pPr>
        <w:pStyle w:val="TOC2"/>
        <w:rPr>
          <w:rFonts w:asciiTheme="minorHAnsi" w:eastAsiaTheme="minorEastAsia" w:hAnsiTheme="minorHAnsi" w:cstheme="minorBidi"/>
          <w:b w:val="0"/>
          <w:smallCaps w:val="0"/>
          <w:noProof w:val="0"/>
          <w:sz w:val="22"/>
        </w:rPr>
      </w:pPr>
      <w:hyperlink w:anchor="_Toc31014311" w:history="1">
        <w:r w:rsidRPr="00E26EF6">
          <w:rPr>
            <w:rStyle w:val="Hyperlink"/>
            <w:rFonts w:ascii="Times New Roman" w:hAnsi="Times New Roman"/>
            <w:noProof w:val="0"/>
          </w:rPr>
          <w:t>1.4</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03.00 – WSPÓŁCZYNNIKI KAPITAŁOWE ORAZ POZIOMY KAPITAŁU (CA3)</w:t>
        </w:r>
        <w:r w:rsidRPr="00E26EF6">
          <w:rPr>
            <w:noProof w:val="0"/>
            <w:webHidden/>
          </w:rPr>
          <w:tab/>
        </w:r>
        <w:r w:rsidRPr="00E26EF6">
          <w:rPr>
            <w:noProof w:val="0"/>
            <w:webHidden/>
          </w:rPr>
          <w:fldChar w:fldCharType="begin"/>
        </w:r>
        <w:r w:rsidRPr="00E26EF6">
          <w:rPr>
            <w:noProof w:val="0"/>
            <w:webHidden/>
          </w:rPr>
          <w:instrText xml:space="preserve"> PAGEREF _Toc31014311 \h </w:instrText>
        </w:r>
        <w:r w:rsidRPr="00E26EF6">
          <w:rPr>
            <w:noProof w:val="0"/>
            <w:webHidden/>
          </w:rPr>
        </w:r>
        <w:r w:rsidRPr="00E26EF6">
          <w:rPr>
            <w:noProof w:val="0"/>
            <w:webHidden/>
          </w:rPr>
          <w:fldChar w:fldCharType="separate"/>
        </w:r>
        <w:r w:rsidRPr="00E26EF6">
          <w:rPr>
            <w:noProof w:val="0"/>
            <w:webHidden/>
          </w:rPr>
          <w:t>27</w:t>
        </w:r>
        <w:r w:rsidRPr="00E26EF6">
          <w:rPr>
            <w:noProof w:val="0"/>
            <w:webHidden/>
          </w:rPr>
          <w:fldChar w:fldCharType="end"/>
        </w:r>
      </w:hyperlink>
    </w:p>
    <w:p w14:paraId="458CFC98" w14:textId="2E23CB39" w:rsidR="00E26EF6" w:rsidRPr="00E26EF6" w:rsidRDefault="00E26EF6">
      <w:pPr>
        <w:pStyle w:val="TOC2"/>
        <w:rPr>
          <w:rFonts w:asciiTheme="minorHAnsi" w:eastAsiaTheme="minorEastAsia" w:hAnsiTheme="minorHAnsi" w:cstheme="minorBidi"/>
          <w:b w:val="0"/>
          <w:smallCaps w:val="0"/>
          <w:noProof w:val="0"/>
          <w:sz w:val="22"/>
        </w:rPr>
      </w:pPr>
      <w:hyperlink w:anchor="_Toc31014312" w:history="1">
        <w:r w:rsidRPr="00E26EF6">
          <w:rPr>
            <w:rStyle w:val="Hyperlink"/>
            <w:rFonts w:ascii="Times New Roman" w:hAnsi="Times New Roman"/>
            <w:noProof w:val="0"/>
          </w:rPr>
          <w:t>1.4.1.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_Toc31014312 \h </w:instrText>
        </w:r>
        <w:r w:rsidRPr="00E26EF6">
          <w:rPr>
            <w:noProof w:val="0"/>
            <w:webHidden/>
          </w:rPr>
        </w:r>
        <w:r w:rsidRPr="00E26EF6">
          <w:rPr>
            <w:noProof w:val="0"/>
            <w:webHidden/>
          </w:rPr>
          <w:fldChar w:fldCharType="separate"/>
        </w:r>
        <w:r w:rsidRPr="00E26EF6">
          <w:rPr>
            <w:noProof w:val="0"/>
            <w:webHidden/>
          </w:rPr>
          <w:t>27</w:t>
        </w:r>
        <w:r w:rsidRPr="00E26EF6">
          <w:rPr>
            <w:noProof w:val="0"/>
            <w:webHidden/>
          </w:rPr>
          <w:fldChar w:fldCharType="end"/>
        </w:r>
      </w:hyperlink>
    </w:p>
    <w:p w14:paraId="4CC322F1" w14:textId="07197DF6" w:rsidR="00E26EF6" w:rsidRPr="00E26EF6" w:rsidRDefault="00E26EF6">
      <w:pPr>
        <w:pStyle w:val="TOC2"/>
        <w:rPr>
          <w:rFonts w:asciiTheme="minorHAnsi" w:eastAsiaTheme="minorEastAsia" w:hAnsiTheme="minorHAnsi" w:cstheme="minorBidi"/>
          <w:b w:val="0"/>
          <w:smallCaps w:val="0"/>
          <w:noProof w:val="0"/>
          <w:sz w:val="22"/>
        </w:rPr>
      </w:pPr>
      <w:hyperlink w:anchor="_Toc31014313" w:history="1">
        <w:r w:rsidRPr="00E26EF6">
          <w:rPr>
            <w:rStyle w:val="Hyperlink"/>
            <w:rFonts w:ascii="Times New Roman" w:hAnsi="Times New Roman"/>
            <w:noProof w:val="0"/>
          </w:rPr>
          <w:t>1.5.</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04.00 – POZYCJE UZUPEŁNIAJĄCE (CA4)</w:t>
        </w:r>
        <w:r w:rsidRPr="00E26EF6">
          <w:rPr>
            <w:noProof w:val="0"/>
            <w:webHidden/>
          </w:rPr>
          <w:tab/>
        </w:r>
        <w:r w:rsidRPr="00E26EF6">
          <w:rPr>
            <w:noProof w:val="0"/>
            <w:webHidden/>
          </w:rPr>
          <w:fldChar w:fldCharType="begin"/>
        </w:r>
        <w:r w:rsidRPr="00E26EF6">
          <w:rPr>
            <w:noProof w:val="0"/>
            <w:webHidden/>
          </w:rPr>
          <w:instrText xml:space="preserve"> PAGEREF _Toc31014313 \h </w:instrText>
        </w:r>
        <w:r w:rsidRPr="00E26EF6">
          <w:rPr>
            <w:noProof w:val="0"/>
            <w:webHidden/>
          </w:rPr>
        </w:r>
        <w:r w:rsidRPr="00E26EF6">
          <w:rPr>
            <w:noProof w:val="0"/>
            <w:webHidden/>
          </w:rPr>
          <w:fldChar w:fldCharType="separate"/>
        </w:r>
        <w:r w:rsidRPr="00E26EF6">
          <w:rPr>
            <w:noProof w:val="0"/>
            <w:webHidden/>
          </w:rPr>
          <w:t>30</w:t>
        </w:r>
        <w:r w:rsidRPr="00E26EF6">
          <w:rPr>
            <w:noProof w:val="0"/>
            <w:webHidden/>
          </w:rPr>
          <w:fldChar w:fldCharType="end"/>
        </w:r>
      </w:hyperlink>
    </w:p>
    <w:p w14:paraId="75205B94" w14:textId="58A3691A" w:rsidR="00E26EF6" w:rsidRPr="00E26EF6" w:rsidRDefault="00E26EF6">
      <w:pPr>
        <w:pStyle w:val="TOC2"/>
        <w:rPr>
          <w:rFonts w:asciiTheme="minorHAnsi" w:eastAsiaTheme="minorEastAsia" w:hAnsiTheme="minorHAnsi" w:cstheme="minorBidi"/>
          <w:b w:val="0"/>
          <w:smallCaps w:val="0"/>
          <w:noProof w:val="0"/>
          <w:sz w:val="22"/>
        </w:rPr>
      </w:pPr>
      <w:hyperlink w:anchor="_Toc31014314" w:history="1">
        <w:r w:rsidRPr="00E26EF6">
          <w:rPr>
            <w:rStyle w:val="Hyperlink"/>
            <w:rFonts w:ascii="Times New Roman" w:hAnsi="Times New Roman"/>
            <w:noProof w:val="0"/>
          </w:rPr>
          <w:t>1.5.1.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_Toc31014314 \h </w:instrText>
        </w:r>
        <w:r w:rsidRPr="00E26EF6">
          <w:rPr>
            <w:noProof w:val="0"/>
            <w:webHidden/>
          </w:rPr>
        </w:r>
        <w:r w:rsidRPr="00E26EF6">
          <w:rPr>
            <w:noProof w:val="0"/>
            <w:webHidden/>
          </w:rPr>
          <w:fldChar w:fldCharType="separate"/>
        </w:r>
        <w:r w:rsidRPr="00E26EF6">
          <w:rPr>
            <w:noProof w:val="0"/>
            <w:webHidden/>
          </w:rPr>
          <w:t>30</w:t>
        </w:r>
        <w:r w:rsidRPr="00E26EF6">
          <w:rPr>
            <w:noProof w:val="0"/>
            <w:webHidden/>
          </w:rPr>
          <w:fldChar w:fldCharType="end"/>
        </w:r>
      </w:hyperlink>
    </w:p>
    <w:p w14:paraId="75662969" w14:textId="26EAC97C" w:rsidR="00E26EF6" w:rsidRPr="00E26EF6" w:rsidRDefault="00E26EF6">
      <w:pPr>
        <w:pStyle w:val="TOC2"/>
        <w:rPr>
          <w:rFonts w:asciiTheme="minorHAnsi" w:eastAsiaTheme="minorEastAsia" w:hAnsiTheme="minorHAnsi" w:cstheme="minorBidi"/>
          <w:b w:val="0"/>
          <w:smallCaps w:val="0"/>
          <w:noProof w:val="0"/>
          <w:sz w:val="22"/>
        </w:rPr>
      </w:pPr>
      <w:hyperlink w:anchor="_Toc31014315" w:history="1">
        <w:r w:rsidRPr="00E26EF6">
          <w:rPr>
            <w:rStyle w:val="Hyperlink"/>
            <w:rFonts w:ascii="Times New Roman" w:hAnsi="Times New Roman"/>
            <w:noProof w:val="0"/>
          </w:rPr>
          <w:t>1.6</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PRZEPISY PRZEJŚCIOWE oraz INSTRUMENTY PODLEGAJĄCE ZASADZIE PRAW NABYTYCH: INSTRUMENTY NIESTANOWIĄCE POMOCY PAŃSTWA (CA5)</w:t>
        </w:r>
        <w:r w:rsidRPr="00E26EF6">
          <w:rPr>
            <w:noProof w:val="0"/>
            <w:webHidden/>
          </w:rPr>
          <w:tab/>
        </w:r>
        <w:r w:rsidRPr="00E26EF6">
          <w:rPr>
            <w:noProof w:val="0"/>
            <w:webHidden/>
          </w:rPr>
          <w:fldChar w:fldCharType="begin"/>
        </w:r>
        <w:r w:rsidRPr="00E26EF6">
          <w:rPr>
            <w:noProof w:val="0"/>
            <w:webHidden/>
          </w:rPr>
          <w:instrText xml:space="preserve"> PAGEREF _Toc31014315 \h </w:instrText>
        </w:r>
        <w:r w:rsidRPr="00E26EF6">
          <w:rPr>
            <w:noProof w:val="0"/>
            <w:webHidden/>
          </w:rPr>
        </w:r>
        <w:r w:rsidRPr="00E26EF6">
          <w:rPr>
            <w:noProof w:val="0"/>
            <w:webHidden/>
          </w:rPr>
          <w:fldChar w:fldCharType="separate"/>
        </w:r>
        <w:r w:rsidRPr="00E26EF6">
          <w:rPr>
            <w:noProof w:val="0"/>
            <w:webHidden/>
          </w:rPr>
          <w:t>47</w:t>
        </w:r>
        <w:r w:rsidRPr="00E26EF6">
          <w:rPr>
            <w:noProof w:val="0"/>
            <w:webHidden/>
          </w:rPr>
          <w:fldChar w:fldCharType="end"/>
        </w:r>
      </w:hyperlink>
    </w:p>
    <w:p w14:paraId="6B4F89AB" w14:textId="620AB07C" w:rsidR="00E26EF6" w:rsidRPr="00E26EF6" w:rsidRDefault="00E26EF6">
      <w:pPr>
        <w:pStyle w:val="TOC2"/>
        <w:rPr>
          <w:rFonts w:asciiTheme="minorHAnsi" w:eastAsiaTheme="minorEastAsia" w:hAnsiTheme="minorHAnsi" w:cstheme="minorBidi"/>
          <w:b w:val="0"/>
          <w:smallCaps w:val="0"/>
          <w:noProof w:val="0"/>
          <w:sz w:val="22"/>
        </w:rPr>
      </w:pPr>
      <w:hyperlink w:anchor="_Toc31014316" w:history="1">
        <w:r w:rsidRPr="00E26EF6">
          <w:rPr>
            <w:rStyle w:val="Hyperlink"/>
            <w:rFonts w:ascii="Times New Roman" w:hAnsi="Times New Roman"/>
            <w:noProof w:val="0"/>
          </w:rPr>
          <w:t>1.6.1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_Toc31014316 \h </w:instrText>
        </w:r>
        <w:r w:rsidRPr="00E26EF6">
          <w:rPr>
            <w:noProof w:val="0"/>
            <w:webHidden/>
          </w:rPr>
        </w:r>
        <w:r w:rsidRPr="00E26EF6">
          <w:rPr>
            <w:noProof w:val="0"/>
            <w:webHidden/>
          </w:rPr>
          <w:fldChar w:fldCharType="separate"/>
        </w:r>
        <w:r w:rsidRPr="00E26EF6">
          <w:rPr>
            <w:noProof w:val="0"/>
            <w:webHidden/>
          </w:rPr>
          <w:t>47</w:t>
        </w:r>
        <w:r w:rsidRPr="00E26EF6">
          <w:rPr>
            <w:noProof w:val="0"/>
            <w:webHidden/>
          </w:rPr>
          <w:fldChar w:fldCharType="end"/>
        </w:r>
      </w:hyperlink>
    </w:p>
    <w:p w14:paraId="65614DF2" w14:textId="3292654B" w:rsidR="00E26EF6" w:rsidRPr="00E26EF6" w:rsidRDefault="00E26EF6">
      <w:pPr>
        <w:pStyle w:val="TOC2"/>
        <w:rPr>
          <w:rFonts w:asciiTheme="minorHAnsi" w:eastAsiaTheme="minorEastAsia" w:hAnsiTheme="minorHAnsi" w:cstheme="minorBidi"/>
          <w:b w:val="0"/>
          <w:smallCaps w:val="0"/>
          <w:noProof w:val="0"/>
          <w:sz w:val="22"/>
        </w:rPr>
      </w:pPr>
      <w:hyperlink w:anchor="_Toc31014317" w:history="1">
        <w:r w:rsidRPr="00E26EF6">
          <w:rPr>
            <w:rStyle w:val="Hyperlink"/>
            <w:rFonts w:ascii="Times New Roman" w:hAnsi="Times New Roman"/>
            <w:noProof w:val="0"/>
          </w:rPr>
          <w:t>1.6.2.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05.01 – PRZEPISY PRZEJŚCIOWE (CA5.1)</w:t>
        </w:r>
        <w:r w:rsidRPr="00E26EF6">
          <w:rPr>
            <w:noProof w:val="0"/>
            <w:webHidden/>
          </w:rPr>
          <w:tab/>
        </w:r>
        <w:r w:rsidRPr="00E26EF6">
          <w:rPr>
            <w:noProof w:val="0"/>
            <w:webHidden/>
          </w:rPr>
          <w:fldChar w:fldCharType="begin"/>
        </w:r>
        <w:r w:rsidRPr="00E26EF6">
          <w:rPr>
            <w:noProof w:val="0"/>
            <w:webHidden/>
          </w:rPr>
          <w:instrText xml:space="preserve"> PAGEREF _Toc31014317 \h </w:instrText>
        </w:r>
        <w:r w:rsidRPr="00E26EF6">
          <w:rPr>
            <w:noProof w:val="0"/>
            <w:webHidden/>
          </w:rPr>
        </w:r>
        <w:r w:rsidRPr="00E26EF6">
          <w:rPr>
            <w:noProof w:val="0"/>
            <w:webHidden/>
          </w:rPr>
          <w:fldChar w:fldCharType="separate"/>
        </w:r>
        <w:r w:rsidRPr="00E26EF6">
          <w:rPr>
            <w:noProof w:val="0"/>
            <w:webHidden/>
          </w:rPr>
          <w:t>48</w:t>
        </w:r>
        <w:r w:rsidRPr="00E26EF6">
          <w:rPr>
            <w:noProof w:val="0"/>
            <w:webHidden/>
          </w:rPr>
          <w:fldChar w:fldCharType="end"/>
        </w:r>
      </w:hyperlink>
    </w:p>
    <w:p w14:paraId="60F81B3F" w14:textId="368BA8AF" w:rsidR="00E26EF6" w:rsidRPr="00E26EF6" w:rsidRDefault="00E26EF6">
      <w:pPr>
        <w:pStyle w:val="TOC2"/>
        <w:rPr>
          <w:rFonts w:asciiTheme="minorHAnsi" w:eastAsiaTheme="minorEastAsia" w:hAnsiTheme="minorHAnsi" w:cstheme="minorBidi"/>
          <w:b w:val="0"/>
          <w:smallCaps w:val="0"/>
          <w:noProof w:val="0"/>
          <w:sz w:val="22"/>
        </w:rPr>
      </w:pPr>
      <w:hyperlink w:anchor="_Toc31014318" w:history="1">
        <w:r w:rsidRPr="00E26EF6">
          <w:rPr>
            <w:rStyle w:val="Hyperlink"/>
            <w:rFonts w:ascii="Times New Roman" w:hAnsi="Times New Roman"/>
            <w:noProof w:val="0"/>
          </w:rPr>
          <w:t>1.6.2.1.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_Toc31014318 \h </w:instrText>
        </w:r>
        <w:r w:rsidRPr="00E26EF6">
          <w:rPr>
            <w:noProof w:val="0"/>
            <w:webHidden/>
          </w:rPr>
        </w:r>
        <w:r w:rsidRPr="00E26EF6">
          <w:rPr>
            <w:noProof w:val="0"/>
            <w:webHidden/>
          </w:rPr>
          <w:fldChar w:fldCharType="separate"/>
        </w:r>
        <w:r w:rsidRPr="00E26EF6">
          <w:rPr>
            <w:noProof w:val="0"/>
            <w:webHidden/>
          </w:rPr>
          <w:t>48</w:t>
        </w:r>
        <w:r w:rsidRPr="00E26EF6">
          <w:rPr>
            <w:noProof w:val="0"/>
            <w:webHidden/>
          </w:rPr>
          <w:fldChar w:fldCharType="end"/>
        </w:r>
      </w:hyperlink>
    </w:p>
    <w:p w14:paraId="293A3407" w14:textId="54848AD6" w:rsidR="00E26EF6" w:rsidRPr="00E26EF6" w:rsidRDefault="00E26EF6">
      <w:pPr>
        <w:pStyle w:val="TOC2"/>
        <w:rPr>
          <w:rFonts w:asciiTheme="minorHAnsi" w:eastAsiaTheme="minorEastAsia" w:hAnsiTheme="minorHAnsi" w:cstheme="minorBidi"/>
          <w:b w:val="0"/>
          <w:smallCaps w:val="0"/>
          <w:noProof w:val="0"/>
          <w:sz w:val="22"/>
        </w:rPr>
      </w:pPr>
      <w:hyperlink w:anchor="_Toc31014319" w:history="1">
        <w:r w:rsidRPr="00E26EF6">
          <w:rPr>
            <w:rStyle w:val="Hyperlink"/>
            <w:rFonts w:ascii="Times New Roman" w:hAnsi="Times New Roman"/>
            <w:noProof w:val="0"/>
          </w:rPr>
          <w:t>1.6.3.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05.02 – INSTRUMENTY PODLEGAJĄCE ZASADZIE PRAW NABYTYCH: INSTRUMENTY NIESTANOWIĄCE POMOCY PAŃSTWA (CA5.2)</w:t>
        </w:r>
        <w:r w:rsidRPr="00E26EF6">
          <w:rPr>
            <w:noProof w:val="0"/>
            <w:webHidden/>
          </w:rPr>
          <w:tab/>
        </w:r>
        <w:r w:rsidRPr="00E26EF6">
          <w:rPr>
            <w:noProof w:val="0"/>
            <w:webHidden/>
          </w:rPr>
          <w:fldChar w:fldCharType="begin"/>
        </w:r>
        <w:r w:rsidRPr="00E26EF6">
          <w:rPr>
            <w:noProof w:val="0"/>
            <w:webHidden/>
          </w:rPr>
          <w:instrText xml:space="preserve"> PAGEREF _Toc31014319 \h </w:instrText>
        </w:r>
        <w:r w:rsidRPr="00E26EF6">
          <w:rPr>
            <w:noProof w:val="0"/>
            <w:webHidden/>
          </w:rPr>
        </w:r>
        <w:r w:rsidRPr="00E26EF6">
          <w:rPr>
            <w:noProof w:val="0"/>
            <w:webHidden/>
          </w:rPr>
          <w:fldChar w:fldCharType="separate"/>
        </w:r>
        <w:r w:rsidRPr="00E26EF6">
          <w:rPr>
            <w:noProof w:val="0"/>
            <w:webHidden/>
          </w:rPr>
          <w:t>55</w:t>
        </w:r>
        <w:r w:rsidRPr="00E26EF6">
          <w:rPr>
            <w:noProof w:val="0"/>
            <w:webHidden/>
          </w:rPr>
          <w:fldChar w:fldCharType="end"/>
        </w:r>
      </w:hyperlink>
    </w:p>
    <w:p w14:paraId="38EAB8D9" w14:textId="2101BDC1" w:rsidR="00E26EF6" w:rsidRPr="00E26EF6" w:rsidRDefault="00E26EF6">
      <w:pPr>
        <w:pStyle w:val="TOC2"/>
        <w:rPr>
          <w:rFonts w:asciiTheme="minorHAnsi" w:eastAsiaTheme="minorEastAsia" w:hAnsiTheme="minorHAnsi" w:cstheme="minorBidi"/>
          <w:b w:val="0"/>
          <w:smallCaps w:val="0"/>
          <w:noProof w:val="0"/>
          <w:sz w:val="22"/>
        </w:rPr>
      </w:pPr>
      <w:hyperlink w:anchor="_Toc31014320" w:history="1">
        <w:r w:rsidRPr="00E26EF6">
          <w:rPr>
            <w:rStyle w:val="Hyperlink"/>
            <w:rFonts w:ascii="Times New Roman" w:hAnsi="Times New Roman"/>
            <w:noProof w:val="0"/>
          </w:rPr>
          <w:t>1.6.3.1.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_Toc31014320 \h </w:instrText>
        </w:r>
        <w:r w:rsidRPr="00E26EF6">
          <w:rPr>
            <w:noProof w:val="0"/>
            <w:webHidden/>
          </w:rPr>
        </w:r>
        <w:r w:rsidRPr="00E26EF6">
          <w:rPr>
            <w:noProof w:val="0"/>
            <w:webHidden/>
          </w:rPr>
          <w:fldChar w:fldCharType="separate"/>
        </w:r>
        <w:r w:rsidRPr="00E26EF6">
          <w:rPr>
            <w:noProof w:val="0"/>
            <w:webHidden/>
          </w:rPr>
          <w:t>56</w:t>
        </w:r>
        <w:r w:rsidRPr="00E26EF6">
          <w:rPr>
            <w:noProof w:val="0"/>
            <w:webHidden/>
          </w:rPr>
          <w:fldChar w:fldCharType="end"/>
        </w:r>
      </w:hyperlink>
    </w:p>
    <w:p w14:paraId="1FC2418A" w14:textId="52A0A48F" w:rsidR="00E26EF6" w:rsidRPr="00E26EF6" w:rsidRDefault="00E26EF6">
      <w:pPr>
        <w:pStyle w:val="TOC2"/>
        <w:rPr>
          <w:rFonts w:asciiTheme="minorHAnsi" w:eastAsiaTheme="minorEastAsia" w:hAnsiTheme="minorHAnsi" w:cstheme="minorBidi"/>
          <w:b w:val="0"/>
          <w:smallCaps w:val="0"/>
          <w:noProof w:val="0"/>
          <w:sz w:val="22"/>
        </w:rPr>
      </w:pPr>
      <w:hyperlink w:anchor="_Toc31014321" w:history="1">
        <w:r w:rsidRPr="00E26EF6">
          <w:rPr>
            <w:rStyle w:val="Hyperlink"/>
            <w:rFonts w:ascii="Times New Roman" w:hAnsi="Times New Roman"/>
            <w:noProof w:val="0"/>
          </w:rPr>
          <w:t>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WYPŁACALNOŚĆ GRUPY: INFORMACJE NA TEMAT PODMIOTÓW POWIĄZANYCH (GS)</w:t>
        </w:r>
        <w:r w:rsidRPr="00E26EF6">
          <w:rPr>
            <w:noProof w:val="0"/>
            <w:webHidden/>
          </w:rPr>
          <w:tab/>
        </w:r>
        <w:r w:rsidRPr="00E26EF6">
          <w:rPr>
            <w:noProof w:val="0"/>
            <w:webHidden/>
          </w:rPr>
          <w:fldChar w:fldCharType="begin"/>
        </w:r>
        <w:r w:rsidRPr="00E26EF6">
          <w:rPr>
            <w:noProof w:val="0"/>
            <w:webHidden/>
          </w:rPr>
          <w:instrText xml:space="preserve"> PAGEREF _Toc31014321 \h </w:instrText>
        </w:r>
        <w:r w:rsidRPr="00E26EF6">
          <w:rPr>
            <w:noProof w:val="0"/>
            <w:webHidden/>
          </w:rPr>
        </w:r>
        <w:r w:rsidRPr="00E26EF6">
          <w:rPr>
            <w:noProof w:val="0"/>
            <w:webHidden/>
          </w:rPr>
          <w:fldChar w:fldCharType="separate"/>
        </w:r>
        <w:r w:rsidRPr="00E26EF6">
          <w:rPr>
            <w:noProof w:val="0"/>
            <w:webHidden/>
          </w:rPr>
          <w:t>58</w:t>
        </w:r>
        <w:r w:rsidRPr="00E26EF6">
          <w:rPr>
            <w:noProof w:val="0"/>
            <w:webHidden/>
          </w:rPr>
          <w:fldChar w:fldCharType="end"/>
        </w:r>
      </w:hyperlink>
    </w:p>
    <w:p w14:paraId="7A590367" w14:textId="7E19D433" w:rsidR="00E26EF6" w:rsidRPr="00E26EF6" w:rsidRDefault="00E26EF6">
      <w:pPr>
        <w:pStyle w:val="TOC2"/>
        <w:rPr>
          <w:rFonts w:asciiTheme="minorHAnsi" w:eastAsiaTheme="minorEastAsia" w:hAnsiTheme="minorHAnsi" w:cstheme="minorBidi"/>
          <w:b w:val="0"/>
          <w:smallCaps w:val="0"/>
          <w:noProof w:val="0"/>
          <w:sz w:val="22"/>
        </w:rPr>
      </w:pPr>
      <w:hyperlink w:anchor="_Toc31014322" w:history="1">
        <w:r w:rsidRPr="00E26EF6">
          <w:rPr>
            <w:rStyle w:val="Hyperlink"/>
            <w:rFonts w:ascii="Times New Roman" w:hAnsi="Times New Roman"/>
            <w:noProof w:val="0"/>
          </w:rPr>
          <w:t>2.1.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_Toc31014322 \h </w:instrText>
        </w:r>
        <w:r w:rsidRPr="00E26EF6">
          <w:rPr>
            <w:noProof w:val="0"/>
            <w:webHidden/>
          </w:rPr>
        </w:r>
        <w:r w:rsidRPr="00E26EF6">
          <w:rPr>
            <w:noProof w:val="0"/>
            <w:webHidden/>
          </w:rPr>
          <w:fldChar w:fldCharType="separate"/>
        </w:r>
        <w:r w:rsidRPr="00E26EF6">
          <w:rPr>
            <w:noProof w:val="0"/>
            <w:webHidden/>
          </w:rPr>
          <w:t>58</w:t>
        </w:r>
        <w:r w:rsidRPr="00E26EF6">
          <w:rPr>
            <w:noProof w:val="0"/>
            <w:webHidden/>
          </w:rPr>
          <w:fldChar w:fldCharType="end"/>
        </w:r>
      </w:hyperlink>
    </w:p>
    <w:p w14:paraId="43E47011" w14:textId="4A2E6D05" w:rsidR="00E26EF6" w:rsidRPr="00E26EF6" w:rsidRDefault="00E26EF6">
      <w:pPr>
        <w:pStyle w:val="TOC2"/>
        <w:rPr>
          <w:rFonts w:asciiTheme="minorHAnsi" w:eastAsiaTheme="minorEastAsia" w:hAnsiTheme="minorHAnsi" w:cstheme="minorBidi"/>
          <w:b w:val="0"/>
          <w:smallCaps w:val="0"/>
          <w:noProof w:val="0"/>
          <w:sz w:val="22"/>
        </w:rPr>
      </w:pPr>
      <w:hyperlink w:anchor="_Toc31014323" w:history="1">
        <w:r w:rsidRPr="00E26EF6">
          <w:rPr>
            <w:rStyle w:val="Hyperlink"/>
            <w:rFonts w:ascii="Times New Roman" w:hAnsi="Times New Roman"/>
            <w:noProof w:val="0"/>
          </w:rPr>
          <w:t>2.2.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Szczegółowe informacje na temat wypłacalności grupy</w:t>
        </w:r>
        <w:r w:rsidRPr="00E26EF6">
          <w:rPr>
            <w:noProof w:val="0"/>
            <w:webHidden/>
          </w:rPr>
          <w:tab/>
        </w:r>
        <w:r w:rsidRPr="00E26EF6">
          <w:rPr>
            <w:noProof w:val="0"/>
            <w:webHidden/>
          </w:rPr>
          <w:fldChar w:fldCharType="begin"/>
        </w:r>
        <w:r w:rsidRPr="00E26EF6">
          <w:rPr>
            <w:noProof w:val="0"/>
            <w:webHidden/>
          </w:rPr>
          <w:instrText xml:space="preserve"> PAGEREF _Toc31014323 \h </w:instrText>
        </w:r>
        <w:r w:rsidRPr="00E26EF6">
          <w:rPr>
            <w:noProof w:val="0"/>
            <w:webHidden/>
          </w:rPr>
        </w:r>
        <w:r w:rsidRPr="00E26EF6">
          <w:rPr>
            <w:noProof w:val="0"/>
            <w:webHidden/>
          </w:rPr>
          <w:fldChar w:fldCharType="separate"/>
        </w:r>
        <w:r w:rsidRPr="00E26EF6">
          <w:rPr>
            <w:noProof w:val="0"/>
            <w:webHidden/>
          </w:rPr>
          <w:t>58</w:t>
        </w:r>
        <w:r w:rsidRPr="00E26EF6">
          <w:rPr>
            <w:noProof w:val="0"/>
            <w:webHidden/>
          </w:rPr>
          <w:fldChar w:fldCharType="end"/>
        </w:r>
      </w:hyperlink>
    </w:p>
    <w:p w14:paraId="2DAC1A83" w14:textId="1470215C" w:rsidR="00E26EF6" w:rsidRPr="00E26EF6" w:rsidRDefault="00E26EF6">
      <w:pPr>
        <w:pStyle w:val="TOC2"/>
        <w:rPr>
          <w:rFonts w:asciiTheme="minorHAnsi" w:eastAsiaTheme="minorEastAsia" w:hAnsiTheme="minorHAnsi" w:cstheme="minorBidi"/>
          <w:b w:val="0"/>
          <w:smallCaps w:val="0"/>
          <w:noProof w:val="0"/>
          <w:sz w:val="22"/>
        </w:rPr>
      </w:pPr>
      <w:hyperlink w:anchor="_Toc31014324" w:history="1">
        <w:r w:rsidRPr="00E26EF6">
          <w:rPr>
            <w:rStyle w:val="Hyperlink"/>
            <w:rFonts w:ascii="Times New Roman" w:hAnsi="Times New Roman"/>
            <w:noProof w:val="0"/>
          </w:rPr>
          <w:t>2.3.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Informacje na temat wkładu poszczególnych podmiotów na rzecz wypłacalności grupy</w:t>
        </w:r>
        <w:r w:rsidRPr="00E26EF6">
          <w:rPr>
            <w:noProof w:val="0"/>
            <w:webHidden/>
          </w:rPr>
          <w:tab/>
        </w:r>
        <w:r w:rsidRPr="00E26EF6">
          <w:rPr>
            <w:noProof w:val="0"/>
            <w:webHidden/>
          </w:rPr>
          <w:fldChar w:fldCharType="begin"/>
        </w:r>
        <w:r w:rsidRPr="00E26EF6">
          <w:rPr>
            <w:noProof w:val="0"/>
            <w:webHidden/>
          </w:rPr>
          <w:instrText xml:space="preserve"> PAGEREF _Toc31014324 \h </w:instrText>
        </w:r>
        <w:r w:rsidRPr="00E26EF6">
          <w:rPr>
            <w:noProof w:val="0"/>
            <w:webHidden/>
          </w:rPr>
        </w:r>
        <w:r w:rsidRPr="00E26EF6">
          <w:rPr>
            <w:noProof w:val="0"/>
            <w:webHidden/>
          </w:rPr>
          <w:fldChar w:fldCharType="separate"/>
        </w:r>
        <w:r w:rsidRPr="00E26EF6">
          <w:rPr>
            <w:noProof w:val="0"/>
            <w:webHidden/>
          </w:rPr>
          <w:t>58</w:t>
        </w:r>
        <w:r w:rsidRPr="00E26EF6">
          <w:rPr>
            <w:noProof w:val="0"/>
            <w:webHidden/>
          </w:rPr>
          <w:fldChar w:fldCharType="end"/>
        </w:r>
      </w:hyperlink>
    </w:p>
    <w:p w14:paraId="3E81E15E" w14:textId="34CF5181" w:rsidR="00E26EF6" w:rsidRPr="00E26EF6" w:rsidRDefault="00E26EF6">
      <w:pPr>
        <w:pStyle w:val="TOC2"/>
        <w:rPr>
          <w:rFonts w:asciiTheme="minorHAnsi" w:eastAsiaTheme="minorEastAsia" w:hAnsiTheme="minorHAnsi" w:cstheme="minorBidi"/>
          <w:b w:val="0"/>
          <w:smallCaps w:val="0"/>
          <w:noProof w:val="0"/>
          <w:sz w:val="22"/>
        </w:rPr>
      </w:pPr>
      <w:hyperlink w:anchor="_Toc31014325" w:history="1">
        <w:r w:rsidRPr="00E26EF6">
          <w:rPr>
            <w:rStyle w:val="Hyperlink"/>
            <w:rFonts w:ascii="Times New Roman" w:hAnsi="Times New Roman"/>
            <w:noProof w:val="0"/>
          </w:rPr>
          <w:t>2.4.</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06.01 – WYPŁACALNOŚĆ GRUPY: INFORMACJE NA TEMAT PODMIOTÓW POWIĄZANYCH – Razem (GS razem)</w:t>
        </w:r>
        <w:r w:rsidRPr="00E26EF6">
          <w:rPr>
            <w:noProof w:val="0"/>
            <w:webHidden/>
          </w:rPr>
          <w:tab/>
        </w:r>
        <w:r w:rsidRPr="00E26EF6">
          <w:rPr>
            <w:noProof w:val="0"/>
            <w:webHidden/>
          </w:rPr>
          <w:fldChar w:fldCharType="begin"/>
        </w:r>
        <w:r w:rsidRPr="00E26EF6">
          <w:rPr>
            <w:noProof w:val="0"/>
            <w:webHidden/>
          </w:rPr>
          <w:instrText xml:space="preserve"> PAGEREF _Toc31014325 \h </w:instrText>
        </w:r>
        <w:r w:rsidRPr="00E26EF6">
          <w:rPr>
            <w:noProof w:val="0"/>
            <w:webHidden/>
          </w:rPr>
        </w:r>
        <w:r w:rsidRPr="00E26EF6">
          <w:rPr>
            <w:noProof w:val="0"/>
            <w:webHidden/>
          </w:rPr>
          <w:fldChar w:fldCharType="separate"/>
        </w:r>
        <w:r w:rsidRPr="00E26EF6">
          <w:rPr>
            <w:noProof w:val="0"/>
            <w:webHidden/>
          </w:rPr>
          <w:t>59</w:t>
        </w:r>
        <w:r w:rsidRPr="00E26EF6">
          <w:rPr>
            <w:noProof w:val="0"/>
            <w:webHidden/>
          </w:rPr>
          <w:fldChar w:fldCharType="end"/>
        </w:r>
      </w:hyperlink>
    </w:p>
    <w:p w14:paraId="17AF9B75" w14:textId="49D8F114" w:rsidR="00E26EF6" w:rsidRPr="00E26EF6" w:rsidRDefault="00E26EF6">
      <w:pPr>
        <w:pStyle w:val="TOC2"/>
        <w:rPr>
          <w:rFonts w:asciiTheme="minorHAnsi" w:eastAsiaTheme="minorEastAsia" w:hAnsiTheme="minorHAnsi" w:cstheme="minorBidi"/>
          <w:b w:val="0"/>
          <w:smallCaps w:val="0"/>
          <w:noProof w:val="0"/>
          <w:sz w:val="22"/>
        </w:rPr>
      </w:pPr>
      <w:hyperlink w:anchor="_Toc31014326" w:history="1">
        <w:r w:rsidRPr="00E26EF6">
          <w:rPr>
            <w:rStyle w:val="Hyperlink"/>
            <w:rFonts w:ascii="Times New Roman" w:hAnsi="Times New Roman"/>
            <w:noProof w:val="0"/>
          </w:rPr>
          <w:t>2.5.</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06.02 – WYPŁACALNOŚĆ GRUPY: INFORMACJE NA TEMAT PODMIOTÓW POWIĄZANYCH (GS)</w:t>
        </w:r>
        <w:r w:rsidRPr="00E26EF6">
          <w:rPr>
            <w:noProof w:val="0"/>
            <w:webHidden/>
          </w:rPr>
          <w:tab/>
        </w:r>
        <w:r w:rsidRPr="00E26EF6">
          <w:rPr>
            <w:noProof w:val="0"/>
            <w:webHidden/>
          </w:rPr>
          <w:fldChar w:fldCharType="begin"/>
        </w:r>
        <w:r w:rsidRPr="00E26EF6">
          <w:rPr>
            <w:noProof w:val="0"/>
            <w:webHidden/>
          </w:rPr>
          <w:instrText xml:space="preserve"> PAGEREF _Toc31014326 \h </w:instrText>
        </w:r>
        <w:r w:rsidRPr="00E26EF6">
          <w:rPr>
            <w:noProof w:val="0"/>
            <w:webHidden/>
          </w:rPr>
        </w:r>
        <w:r w:rsidRPr="00E26EF6">
          <w:rPr>
            <w:noProof w:val="0"/>
            <w:webHidden/>
          </w:rPr>
          <w:fldChar w:fldCharType="separate"/>
        </w:r>
        <w:r w:rsidRPr="00E26EF6">
          <w:rPr>
            <w:noProof w:val="0"/>
            <w:webHidden/>
          </w:rPr>
          <w:t>60</w:t>
        </w:r>
        <w:r w:rsidRPr="00E26EF6">
          <w:rPr>
            <w:noProof w:val="0"/>
            <w:webHidden/>
          </w:rPr>
          <w:fldChar w:fldCharType="end"/>
        </w:r>
      </w:hyperlink>
    </w:p>
    <w:p w14:paraId="46EB95D8" w14:textId="5E84D145" w:rsidR="00E26EF6" w:rsidRPr="00E26EF6" w:rsidRDefault="00E26EF6">
      <w:pPr>
        <w:pStyle w:val="TOC2"/>
        <w:rPr>
          <w:rFonts w:asciiTheme="minorHAnsi" w:eastAsiaTheme="minorEastAsia" w:hAnsiTheme="minorHAnsi" w:cstheme="minorBidi"/>
          <w:b w:val="0"/>
          <w:smallCaps w:val="0"/>
          <w:noProof w:val="0"/>
          <w:sz w:val="22"/>
        </w:rPr>
      </w:pPr>
      <w:hyperlink w:anchor="_Toc31014327" w:history="1">
        <w:r w:rsidRPr="00E26EF6">
          <w:rPr>
            <w:rStyle w:val="Hyperlink"/>
            <w:rFonts w:ascii="Times New Roman" w:hAnsi="Times New Roman"/>
            <w:noProof w:val="0"/>
          </w:rPr>
          <w:t>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Wzory dotyczące ryzyka kredytowego</w:t>
        </w:r>
        <w:r w:rsidRPr="00E26EF6">
          <w:rPr>
            <w:noProof w:val="0"/>
            <w:webHidden/>
          </w:rPr>
          <w:tab/>
        </w:r>
        <w:r w:rsidRPr="00E26EF6">
          <w:rPr>
            <w:noProof w:val="0"/>
            <w:webHidden/>
          </w:rPr>
          <w:fldChar w:fldCharType="begin"/>
        </w:r>
        <w:r w:rsidRPr="00E26EF6">
          <w:rPr>
            <w:noProof w:val="0"/>
            <w:webHidden/>
          </w:rPr>
          <w:instrText xml:space="preserve"> PAGEREF _Toc31014327 \h </w:instrText>
        </w:r>
        <w:r w:rsidRPr="00E26EF6">
          <w:rPr>
            <w:noProof w:val="0"/>
            <w:webHidden/>
          </w:rPr>
        </w:r>
        <w:r w:rsidRPr="00E26EF6">
          <w:rPr>
            <w:noProof w:val="0"/>
            <w:webHidden/>
          </w:rPr>
          <w:fldChar w:fldCharType="separate"/>
        </w:r>
        <w:r w:rsidRPr="00E26EF6">
          <w:rPr>
            <w:noProof w:val="0"/>
            <w:webHidden/>
          </w:rPr>
          <w:t>67</w:t>
        </w:r>
        <w:r w:rsidRPr="00E26EF6">
          <w:rPr>
            <w:noProof w:val="0"/>
            <w:webHidden/>
          </w:rPr>
          <w:fldChar w:fldCharType="end"/>
        </w:r>
      </w:hyperlink>
    </w:p>
    <w:p w14:paraId="56E05E1A" w14:textId="22ABD9C1" w:rsidR="00E26EF6" w:rsidRPr="00E26EF6" w:rsidRDefault="00E26EF6">
      <w:pPr>
        <w:pStyle w:val="TOC2"/>
        <w:rPr>
          <w:rFonts w:asciiTheme="minorHAnsi" w:eastAsiaTheme="minorEastAsia" w:hAnsiTheme="minorHAnsi" w:cstheme="minorBidi"/>
          <w:b w:val="0"/>
          <w:smallCaps w:val="0"/>
          <w:noProof w:val="0"/>
          <w:sz w:val="22"/>
        </w:rPr>
      </w:pPr>
      <w:hyperlink w:anchor="_Toc31014328" w:history="1">
        <w:r w:rsidRPr="00E26EF6">
          <w:rPr>
            <w:rStyle w:val="Hyperlink"/>
            <w:rFonts w:ascii="Times New Roman" w:hAnsi="Times New Roman"/>
            <w:noProof w:val="0"/>
          </w:rPr>
          <w:t>3.1.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_Toc31014328 \h </w:instrText>
        </w:r>
        <w:r w:rsidRPr="00E26EF6">
          <w:rPr>
            <w:noProof w:val="0"/>
            <w:webHidden/>
          </w:rPr>
        </w:r>
        <w:r w:rsidRPr="00E26EF6">
          <w:rPr>
            <w:noProof w:val="0"/>
            <w:webHidden/>
          </w:rPr>
          <w:fldChar w:fldCharType="separate"/>
        </w:r>
        <w:r w:rsidRPr="00E26EF6">
          <w:rPr>
            <w:noProof w:val="0"/>
            <w:webHidden/>
          </w:rPr>
          <w:t>67</w:t>
        </w:r>
        <w:r w:rsidRPr="00E26EF6">
          <w:rPr>
            <w:noProof w:val="0"/>
            <w:webHidden/>
          </w:rPr>
          <w:fldChar w:fldCharType="end"/>
        </w:r>
      </w:hyperlink>
    </w:p>
    <w:p w14:paraId="7886F517" w14:textId="3ABF23CD" w:rsidR="00E26EF6" w:rsidRPr="00E26EF6" w:rsidRDefault="00E26EF6">
      <w:pPr>
        <w:pStyle w:val="TOC2"/>
        <w:rPr>
          <w:rFonts w:asciiTheme="minorHAnsi" w:eastAsiaTheme="minorEastAsia" w:hAnsiTheme="minorHAnsi" w:cstheme="minorBidi"/>
          <w:b w:val="0"/>
          <w:smallCaps w:val="0"/>
          <w:noProof w:val="0"/>
          <w:sz w:val="22"/>
        </w:rPr>
      </w:pPr>
      <w:hyperlink w:anchor="_Toc31014329" w:history="1">
        <w:r w:rsidRPr="00E26EF6">
          <w:rPr>
            <w:rStyle w:val="Hyperlink"/>
            <w:rFonts w:ascii="Times New Roman" w:hAnsi="Times New Roman"/>
            <w:noProof w:val="0"/>
          </w:rPr>
          <w:t>3.1.1.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Sprawozdawczość w zakresie technik ograniczania ryzyka kredytowego z uwzględnieniem efektów substytucyjnych</w:t>
        </w:r>
        <w:r w:rsidRPr="00E26EF6">
          <w:rPr>
            <w:noProof w:val="0"/>
            <w:webHidden/>
          </w:rPr>
          <w:tab/>
        </w:r>
        <w:r w:rsidRPr="00E26EF6">
          <w:rPr>
            <w:noProof w:val="0"/>
            <w:webHidden/>
          </w:rPr>
          <w:fldChar w:fldCharType="begin"/>
        </w:r>
        <w:r w:rsidRPr="00E26EF6">
          <w:rPr>
            <w:noProof w:val="0"/>
            <w:webHidden/>
          </w:rPr>
          <w:instrText xml:space="preserve"> PAGEREF _Toc31014329 \h </w:instrText>
        </w:r>
        <w:r w:rsidRPr="00E26EF6">
          <w:rPr>
            <w:noProof w:val="0"/>
            <w:webHidden/>
          </w:rPr>
        </w:r>
        <w:r w:rsidRPr="00E26EF6">
          <w:rPr>
            <w:noProof w:val="0"/>
            <w:webHidden/>
          </w:rPr>
          <w:fldChar w:fldCharType="separate"/>
        </w:r>
        <w:r w:rsidRPr="00E26EF6">
          <w:rPr>
            <w:noProof w:val="0"/>
            <w:webHidden/>
          </w:rPr>
          <w:t>67</w:t>
        </w:r>
        <w:r w:rsidRPr="00E26EF6">
          <w:rPr>
            <w:noProof w:val="0"/>
            <w:webHidden/>
          </w:rPr>
          <w:fldChar w:fldCharType="end"/>
        </w:r>
      </w:hyperlink>
    </w:p>
    <w:p w14:paraId="6C7577E7" w14:textId="16474898" w:rsidR="00E26EF6" w:rsidRPr="00E26EF6" w:rsidRDefault="00E26EF6">
      <w:pPr>
        <w:pStyle w:val="TOC2"/>
        <w:rPr>
          <w:rFonts w:asciiTheme="minorHAnsi" w:eastAsiaTheme="minorEastAsia" w:hAnsiTheme="minorHAnsi" w:cstheme="minorBidi"/>
          <w:b w:val="0"/>
          <w:smallCaps w:val="0"/>
          <w:noProof w:val="0"/>
          <w:sz w:val="22"/>
        </w:rPr>
      </w:pPr>
      <w:hyperlink w:anchor="_Toc31014330" w:history="1">
        <w:r w:rsidRPr="00E26EF6">
          <w:rPr>
            <w:rStyle w:val="Hyperlink"/>
            <w:rFonts w:ascii="Times New Roman" w:hAnsi="Times New Roman"/>
            <w:noProof w:val="0"/>
          </w:rPr>
          <w:t>3.1.2.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Sprawozdawczość w zakresie ryzyka kredytowego kontrahenta</w:t>
        </w:r>
        <w:r w:rsidRPr="00E26EF6">
          <w:rPr>
            <w:noProof w:val="0"/>
            <w:webHidden/>
          </w:rPr>
          <w:tab/>
        </w:r>
        <w:r w:rsidRPr="00E26EF6">
          <w:rPr>
            <w:noProof w:val="0"/>
            <w:webHidden/>
          </w:rPr>
          <w:fldChar w:fldCharType="begin"/>
        </w:r>
        <w:r w:rsidRPr="00E26EF6">
          <w:rPr>
            <w:noProof w:val="0"/>
            <w:webHidden/>
          </w:rPr>
          <w:instrText xml:space="preserve"> PAGEREF _Toc31014330 \h </w:instrText>
        </w:r>
        <w:r w:rsidRPr="00E26EF6">
          <w:rPr>
            <w:noProof w:val="0"/>
            <w:webHidden/>
          </w:rPr>
        </w:r>
        <w:r w:rsidRPr="00E26EF6">
          <w:rPr>
            <w:noProof w:val="0"/>
            <w:webHidden/>
          </w:rPr>
          <w:fldChar w:fldCharType="separate"/>
        </w:r>
        <w:r w:rsidRPr="00E26EF6">
          <w:rPr>
            <w:noProof w:val="0"/>
            <w:webHidden/>
          </w:rPr>
          <w:t>68</w:t>
        </w:r>
        <w:r w:rsidRPr="00E26EF6">
          <w:rPr>
            <w:noProof w:val="0"/>
            <w:webHidden/>
          </w:rPr>
          <w:fldChar w:fldCharType="end"/>
        </w:r>
      </w:hyperlink>
    </w:p>
    <w:p w14:paraId="7185BF31" w14:textId="5068984D" w:rsidR="00E26EF6" w:rsidRPr="00E26EF6" w:rsidRDefault="00E26EF6">
      <w:pPr>
        <w:pStyle w:val="TOC2"/>
        <w:rPr>
          <w:rFonts w:asciiTheme="minorHAnsi" w:eastAsiaTheme="minorEastAsia" w:hAnsiTheme="minorHAnsi" w:cstheme="minorBidi"/>
          <w:b w:val="0"/>
          <w:smallCaps w:val="0"/>
          <w:noProof w:val="0"/>
          <w:sz w:val="22"/>
        </w:rPr>
      </w:pPr>
      <w:hyperlink w:anchor="_Toc31014331" w:history="1">
        <w:r w:rsidRPr="00E26EF6">
          <w:rPr>
            <w:rStyle w:val="Hyperlink"/>
            <w:rFonts w:ascii="Times New Roman" w:hAnsi="Times New Roman"/>
            <w:noProof w:val="0"/>
          </w:rPr>
          <w:t>3.2.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07.00 – Ryzyko kredytowe i ryzyko kredytowe kontrahenta oraz dostawy z późniejszym terminem rozliczenia: wymogi kapitałowe według metody standardowej (CR SA)</w:t>
        </w:r>
        <w:r w:rsidRPr="00E26EF6">
          <w:rPr>
            <w:noProof w:val="0"/>
            <w:webHidden/>
          </w:rPr>
          <w:tab/>
        </w:r>
        <w:r w:rsidRPr="00E26EF6">
          <w:rPr>
            <w:noProof w:val="0"/>
            <w:webHidden/>
          </w:rPr>
          <w:fldChar w:fldCharType="begin"/>
        </w:r>
        <w:r w:rsidRPr="00E26EF6">
          <w:rPr>
            <w:noProof w:val="0"/>
            <w:webHidden/>
          </w:rPr>
          <w:instrText xml:space="preserve"> PAGEREF _Toc31014331 \h </w:instrText>
        </w:r>
        <w:r w:rsidRPr="00E26EF6">
          <w:rPr>
            <w:noProof w:val="0"/>
            <w:webHidden/>
          </w:rPr>
        </w:r>
        <w:r w:rsidRPr="00E26EF6">
          <w:rPr>
            <w:noProof w:val="0"/>
            <w:webHidden/>
          </w:rPr>
          <w:fldChar w:fldCharType="separate"/>
        </w:r>
        <w:r w:rsidRPr="00E26EF6">
          <w:rPr>
            <w:noProof w:val="0"/>
            <w:webHidden/>
          </w:rPr>
          <w:t>68</w:t>
        </w:r>
        <w:r w:rsidRPr="00E26EF6">
          <w:rPr>
            <w:noProof w:val="0"/>
            <w:webHidden/>
          </w:rPr>
          <w:fldChar w:fldCharType="end"/>
        </w:r>
      </w:hyperlink>
    </w:p>
    <w:p w14:paraId="3304B8C2" w14:textId="06024A56" w:rsidR="00E26EF6" w:rsidRPr="00E26EF6" w:rsidRDefault="00E26EF6">
      <w:pPr>
        <w:pStyle w:val="TOC2"/>
        <w:rPr>
          <w:rFonts w:asciiTheme="minorHAnsi" w:eastAsiaTheme="minorEastAsia" w:hAnsiTheme="minorHAnsi" w:cstheme="minorBidi"/>
          <w:b w:val="0"/>
          <w:smallCaps w:val="0"/>
          <w:noProof w:val="0"/>
          <w:sz w:val="22"/>
        </w:rPr>
      </w:pPr>
      <w:hyperlink w:anchor="_Toc31014332" w:history="1">
        <w:r w:rsidRPr="00E26EF6">
          <w:rPr>
            <w:rStyle w:val="Hyperlink"/>
            <w:rFonts w:ascii="Times New Roman" w:hAnsi="Times New Roman"/>
            <w:noProof w:val="0"/>
          </w:rPr>
          <w:t>3.2.1.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_Toc31014332 \h </w:instrText>
        </w:r>
        <w:r w:rsidRPr="00E26EF6">
          <w:rPr>
            <w:noProof w:val="0"/>
            <w:webHidden/>
          </w:rPr>
        </w:r>
        <w:r w:rsidRPr="00E26EF6">
          <w:rPr>
            <w:noProof w:val="0"/>
            <w:webHidden/>
          </w:rPr>
          <w:fldChar w:fldCharType="separate"/>
        </w:r>
        <w:r w:rsidRPr="00E26EF6">
          <w:rPr>
            <w:noProof w:val="0"/>
            <w:webHidden/>
          </w:rPr>
          <w:t>68</w:t>
        </w:r>
        <w:r w:rsidRPr="00E26EF6">
          <w:rPr>
            <w:noProof w:val="0"/>
            <w:webHidden/>
          </w:rPr>
          <w:fldChar w:fldCharType="end"/>
        </w:r>
      </w:hyperlink>
    </w:p>
    <w:p w14:paraId="5730AAFD" w14:textId="03E07ABD" w:rsidR="00E26EF6" w:rsidRPr="00E26EF6" w:rsidRDefault="00E26EF6">
      <w:pPr>
        <w:pStyle w:val="TOC2"/>
        <w:rPr>
          <w:rFonts w:asciiTheme="minorHAnsi" w:eastAsiaTheme="minorEastAsia" w:hAnsiTheme="minorHAnsi" w:cstheme="minorBidi"/>
          <w:b w:val="0"/>
          <w:smallCaps w:val="0"/>
          <w:noProof w:val="0"/>
          <w:sz w:val="22"/>
        </w:rPr>
      </w:pPr>
      <w:hyperlink w:anchor="_Toc31014333" w:history="1">
        <w:r w:rsidRPr="00E26EF6">
          <w:rPr>
            <w:rStyle w:val="Hyperlink"/>
            <w:rFonts w:ascii="Times New Roman" w:hAnsi="Times New Roman"/>
            <w:noProof w:val="0"/>
          </w:rPr>
          <w:t>3.2.2.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Zakres wzoru CR SA</w:t>
        </w:r>
        <w:r w:rsidRPr="00E26EF6">
          <w:rPr>
            <w:noProof w:val="0"/>
            <w:webHidden/>
          </w:rPr>
          <w:tab/>
        </w:r>
        <w:r w:rsidRPr="00E26EF6">
          <w:rPr>
            <w:noProof w:val="0"/>
            <w:webHidden/>
          </w:rPr>
          <w:fldChar w:fldCharType="begin"/>
        </w:r>
        <w:r w:rsidRPr="00E26EF6">
          <w:rPr>
            <w:noProof w:val="0"/>
            <w:webHidden/>
          </w:rPr>
          <w:instrText xml:space="preserve"> PAGEREF _Toc31014333 \h </w:instrText>
        </w:r>
        <w:r w:rsidRPr="00E26EF6">
          <w:rPr>
            <w:noProof w:val="0"/>
            <w:webHidden/>
          </w:rPr>
        </w:r>
        <w:r w:rsidRPr="00E26EF6">
          <w:rPr>
            <w:noProof w:val="0"/>
            <w:webHidden/>
          </w:rPr>
          <w:fldChar w:fldCharType="separate"/>
        </w:r>
        <w:r w:rsidRPr="00E26EF6">
          <w:rPr>
            <w:noProof w:val="0"/>
            <w:webHidden/>
          </w:rPr>
          <w:t>68</w:t>
        </w:r>
        <w:r w:rsidRPr="00E26EF6">
          <w:rPr>
            <w:noProof w:val="0"/>
            <w:webHidden/>
          </w:rPr>
          <w:fldChar w:fldCharType="end"/>
        </w:r>
      </w:hyperlink>
    </w:p>
    <w:p w14:paraId="011C94D0" w14:textId="1D6BE5DE" w:rsidR="00E26EF6" w:rsidRPr="00E26EF6" w:rsidRDefault="00E26EF6">
      <w:pPr>
        <w:pStyle w:val="TOC2"/>
        <w:rPr>
          <w:rFonts w:asciiTheme="minorHAnsi" w:eastAsiaTheme="minorEastAsia" w:hAnsiTheme="minorHAnsi" w:cstheme="minorBidi"/>
          <w:b w:val="0"/>
          <w:smallCaps w:val="0"/>
          <w:noProof w:val="0"/>
          <w:sz w:val="22"/>
        </w:rPr>
      </w:pPr>
      <w:hyperlink w:anchor="_Toc31014334" w:history="1">
        <w:r w:rsidRPr="00E26EF6">
          <w:rPr>
            <w:rStyle w:val="Hyperlink"/>
            <w:rFonts w:ascii="Times New Roman" w:hAnsi="Times New Roman"/>
            <w:noProof w:val="0"/>
          </w:rPr>
          <w:t>3.2.3.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 xml:space="preserve"> Klasyfikowanie ekspozycji do kategorii ekspozycji według metody standardowej</w:t>
        </w:r>
        <w:r w:rsidRPr="00E26EF6">
          <w:rPr>
            <w:noProof w:val="0"/>
            <w:webHidden/>
          </w:rPr>
          <w:tab/>
        </w:r>
        <w:r w:rsidRPr="00E26EF6">
          <w:rPr>
            <w:noProof w:val="0"/>
            <w:webHidden/>
          </w:rPr>
          <w:fldChar w:fldCharType="begin"/>
        </w:r>
        <w:r w:rsidRPr="00E26EF6">
          <w:rPr>
            <w:noProof w:val="0"/>
            <w:webHidden/>
          </w:rPr>
          <w:instrText xml:space="preserve"> PAGEREF _Toc31014334 \h </w:instrText>
        </w:r>
        <w:r w:rsidRPr="00E26EF6">
          <w:rPr>
            <w:noProof w:val="0"/>
            <w:webHidden/>
          </w:rPr>
        </w:r>
        <w:r w:rsidRPr="00E26EF6">
          <w:rPr>
            <w:noProof w:val="0"/>
            <w:webHidden/>
          </w:rPr>
          <w:fldChar w:fldCharType="separate"/>
        </w:r>
        <w:r w:rsidRPr="00E26EF6">
          <w:rPr>
            <w:noProof w:val="0"/>
            <w:webHidden/>
          </w:rPr>
          <w:t>70</w:t>
        </w:r>
        <w:r w:rsidRPr="00E26EF6">
          <w:rPr>
            <w:noProof w:val="0"/>
            <w:webHidden/>
          </w:rPr>
          <w:fldChar w:fldCharType="end"/>
        </w:r>
      </w:hyperlink>
    </w:p>
    <w:p w14:paraId="4085AE6D" w14:textId="07D3F1D5" w:rsidR="00E26EF6" w:rsidRPr="00E26EF6" w:rsidRDefault="00E26EF6">
      <w:pPr>
        <w:pStyle w:val="TOC2"/>
        <w:rPr>
          <w:rFonts w:asciiTheme="minorHAnsi" w:eastAsiaTheme="minorEastAsia" w:hAnsiTheme="minorHAnsi" w:cstheme="minorBidi"/>
          <w:b w:val="0"/>
          <w:smallCaps w:val="0"/>
          <w:noProof w:val="0"/>
          <w:sz w:val="22"/>
        </w:rPr>
      </w:pPr>
      <w:hyperlink w:anchor="_Toc31014335" w:history="1">
        <w:r w:rsidRPr="00E26EF6">
          <w:rPr>
            <w:rStyle w:val="Hyperlink"/>
            <w:rFonts w:ascii="Times New Roman" w:hAnsi="Times New Roman"/>
            <w:noProof w:val="0"/>
          </w:rPr>
          <w:t>3.2.4.</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Wyjaśnienia dotyczące zakresu pewnych określonych kategorii ekspozycji, o których mowa w art. 112 CRR</w:t>
        </w:r>
        <w:r w:rsidRPr="00E26EF6">
          <w:rPr>
            <w:noProof w:val="0"/>
            <w:webHidden/>
          </w:rPr>
          <w:tab/>
        </w:r>
        <w:r w:rsidRPr="00E26EF6">
          <w:rPr>
            <w:noProof w:val="0"/>
            <w:webHidden/>
          </w:rPr>
          <w:fldChar w:fldCharType="begin"/>
        </w:r>
        <w:r w:rsidRPr="00E26EF6">
          <w:rPr>
            <w:noProof w:val="0"/>
            <w:webHidden/>
          </w:rPr>
          <w:instrText xml:space="preserve"> PAGEREF _Toc31014335 \h </w:instrText>
        </w:r>
        <w:r w:rsidRPr="00E26EF6">
          <w:rPr>
            <w:noProof w:val="0"/>
            <w:webHidden/>
          </w:rPr>
        </w:r>
        <w:r w:rsidRPr="00E26EF6">
          <w:rPr>
            <w:noProof w:val="0"/>
            <w:webHidden/>
          </w:rPr>
          <w:fldChar w:fldCharType="separate"/>
        </w:r>
        <w:r w:rsidRPr="00E26EF6">
          <w:rPr>
            <w:noProof w:val="0"/>
            <w:webHidden/>
          </w:rPr>
          <w:t>75</w:t>
        </w:r>
        <w:r w:rsidRPr="00E26EF6">
          <w:rPr>
            <w:noProof w:val="0"/>
            <w:webHidden/>
          </w:rPr>
          <w:fldChar w:fldCharType="end"/>
        </w:r>
      </w:hyperlink>
    </w:p>
    <w:p w14:paraId="638174A5" w14:textId="359BBC5F" w:rsidR="00E26EF6" w:rsidRPr="00E26EF6" w:rsidRDefault="00E26EF6">
      <w:pPr>
        <w:pStyle w:val="TOC2"/>
        <w:rPr>
          <w:rFonts w:asciiTheme="minorHAnsi" w:eastAsiaTheme="minorEastAsia" w:hAnsiTheme="minorHAnsi" w:cstheme="minorBidi"/>
          <w:b w:val="0"/>
          <w:smallCaps w:val="0"/>
          <w:noProof w:val="0"/>
          <w:sz w:val="22"/>
        </w:rPr>
      </w:pPr>
      <w:hyperlink w:anchor="_Toc31014336" w:history="1">
        <w:r w:rsidRPr="00E26EF6">
          <w:rPr>
            <w:rStyle w:val="Hyperlink"/>
            <w:rFonts w:ascii="Times New Roman" w:hAnsi="Times New Roman"/>
            <w:noProof w:val="0"/>
          </w:rPr>
          <w:t>3.2.4.1.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Kategoria ekspozycji „ekspozycje wobec instytucji”</w:t>
        </w:r>
        <w:r w:rsidRPr="00E26EF6">
          <w:rPr>
            <w:noProof w:val="0"/>
            <w:webHidden/>
          </w:rPr>
          <w:tab/>
        </w:r>
        <w:r w:rsidRPr="00E26EF6">
          <w:rPr>
            <w:noProof w:val="0"/>
            <w:webHidden/>
          </w:rPr>
          <w:fldChar w:fldCharType="begin"/>
        </w:r>
        <w:r w:rsidRPr="00E26EF6">
          <w:rPr>
            <w:noProof w:val="0"/>
            <w:webHidden/>
          </w:rPr>
          <w:instrText xml:space="preserve"> PAGEREF _Toc31014336 \h </w:instrText>
        </w:r>
        <w:r w:rsidRPr="00E26EF6">
          <w:rPr>
            <w:noProof w:val="0"/>
            <w:webHidden/>
          </w:rPr>
        </w:r>
        <w:r w:rsidRPr="00E26EF6">
          <w:rPr>
            <w:noProof w:val="0"/>
            <w:webHidden/>
          </w:rPr>
          <w:fldChar w:fldCharType="separate"/>
        </w:r>
        <w:r w:rsidRPr="00E26EF6">
          <w:rPr>
            <w:noProof w:val="0"/>
            <w:webHidden/>
          </w:rPr>
          <w:t>75</w:t>
        </w:r>
        <w:r w:rsidRPr="00E26EF6">
          <w:rPr>
            <w:noProof w:val="0"/>
            <w:webHidden/>
          </w:rPr>
          <w:fldChar w:fldCharType="end"/>
        </w:r>
      </w:hyperlink>
    </w:p>
    <w:p w14:paraId="7864DC91" w14:textId="3F31176F" w:rsidR="00E26EF6" w:rsidRPr="00E26EF6" w:rsidRDefault="00E26EF6">
      <w:pPr>
        <w:pStyle w:val="TOC2"/>
        <w:rPr>
          <w:rFonts w:asciiTheme="minorHAnsi" w:eastAsiaTheme="minorEastAsia" w:hAnsiTheme="minorHAnsi" w:cstheme="minorBidi"/>
          <w:b w:val="0"/>
          <w:smallCaps w:val="0"/>
          <w:noProof w:val="0"/>
          <w:sz w:val="22"/>
        </w:rPr>
      </w:pPr>
      <w:hyperlink w:anchor="_Toc31014337" w:history="1">
        <w:r w:rsidRPr="00E26EF6">
          <w:rPr>
            <w:rStyle w:val="Hyperlink"/>
            <w:rFonts w:ascii="Times New Roman" w:hAnsi="Times New Roman"/>
            <w:noProof w:val="0"/>
          </w:rPr>
          <w:t>3.2.4.2.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Kategoria ekspozycji „ekspozycje w postaci obligacji zabezpieczonych”</w:t>
        </w:r>
        <w:r w:rsidRPr="00E26EF6">
          <w:rPr>
            <w:noProof w:val="0"/>
            <w:webHidden/>
          </w:rPr>
          <w:tab/>
        </w:r>
        <w:r w:rsidRPr="00E26EF6">
          <w:rPr>
            <w:noProof w:val="0"/>
            <w:webHidden/>
          </w:rPr>
          <w:fldChar w:fldCharType="begin"/>
        </w:r>
        <w:r w:rsidRPr="00E26EF6">
          <w:rPr>
            <w:noProof w:val="0"/>
            <w:webHidden/>
          </w:rPr>
          <w:instrText xml:space="preserve"> PAGEREF _Toc31014337 \h </w:instrText>
        </w:r>
        <w:r w:rsidRPr="00E26EF6">
          <w:rPr>
            <w:noProof w:val="0"/>
            <w:webHidden/>
          </w:rPr>
        </w:r>
        <w:r w:rsidRPr="00E26EF6">
          <w:rPr>
            <w:noProof w:val="0"/>
            <w:webHidden/>
          </w:rPr>
          <w:fldChar w:fldCharType="separate"/>
        </w:r>
        <w:r w:rsidRPr="00E26EF6">
          <w:rPr>
            <w:noProof w:val="0"/>
            <w:webHidden/>
          </w:rPr>
          <w:t>75</w:t>
        </w:r>
        <w:r w:rsidRPr="00E26EF6">
          <w:rPr>
            <w:noProof w:val="0"/>
            <w:webHidden/>
          </w:rPr>
          <w:fldChar w:fldCharType="end"/>
        </w:r>
      </w:hyperlink>
    </w:p>
    <w:p w14:paraId="506EA5D4" w14:textId="3AEA794F" w:rsidR="00E26EF6" w:rsidRPr="00E26EF6" w:rsidRDefault="00E26EF6">
      <w:pPr>
        <w:pStyle w:val="TOC2"/>
        <w:rPr>
          <w:rFonts w:asciiTheme="minorHAnsi" w:eastAsiaTheme="minorEastAsia" w:hAnsiTheme="minorHAnsi" w:cstheme="minorBidi"/>
          <w:b w:val="0"/>
          <w:smallCaps w:val="0"/>
          <w:noProof w:val="0"/>
          <w:sz w:val="22"/>
        </w:rPr>
      </w:pPr>
      <w:hyperlink w:anchor="_Toc31014338" w:history="1">
        <w:r w:rsidRPr="00E26EF6">
          <w:rPr>
            <w:rStyle w:val="Hyperlink"/>
            <w:rFonts w:ascii="Times New Roman" w:hAnsi="Times New Roman"/>
            <w:noProof w:val="0"/>
          </w:rPr>
          <w:t>3.2.4.3.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Kategoria ekspozycji „ekspozycje związane z przedsiębiorstwami zbiorowego inwestowania”</w:t>
        </w:r>
        <w:r w:rsidRPr="00E26EF6">
          <w:rPr>
            <w:noProof w:val="0"/>
            <w:webHidden/>
          </w:rPr>
          <w:tab/>
        </w:r>
        <w:r w:rsidRPr="00E26EF6">
          <w:rPr>
            <w:noProof w:val="0"/>
            <w:webHidden/>
          </w:rPr>
          <w:fldChar w:fldCharType="begin"/>
        </w:r>
        <w:r w:rsidRPr="00E26EF6">
          <w:rPr>
            <w:noProof w:val="0"/>
            <w:webHidden/>
          </w:rPr>
          <w:instrText xml:space="preserve"> PAGEREF _Toc31014338 \h </w:instrText>
        </w:r>
        <w:r w:rsidRPr="00E26EF6">
          <w:rPr>
            <w:noProof w:val="0"/>
            <w:webHidden/>
          </w:rPr>
        </w:r>
        <w:r w:rsidRPr="00E26EF6">
          <w:rPr>
            <w:noProof w:val="0"/>
            <w:webHidden/>
          </w:rPr>
          <w:fldChar w:fldCharType="separate"/>
        </w:r>
        <w:r w:rsidRPr="00E26EF6">
          <w:rPr>
            <w:noProof w:val="0"/>
            <w:webHidden/>
          </w:rPr>
          <w:t>75</w:t>
        </w:r>
        <w:r w:rsidRPr="00E26EF6">
          <w:rPr>
            <w:noProof w:val="0"/>
            <w:webHidden/>
          </w:rPr>
          <w:fldChar w:fldCharType="end"/>
        </w:r>
      </w:hyperlink>
    </w:p>
    <w:p w14:paraId="3FDC994C" w14:textId="10597667" w:rsidR="00E26EF6" w:rsidRPr="00E26EF6" w:rsidRDefault="00E26EF6">
      <w:pPr>
        <w:pStyle w:val="TOC2"/>
        <w:rPr>
          <w:rFonts w:asciiTheme="minorHAnsi" w:eastAsiaTheme="minorEastAsia" w:hAnsiTheme="minorHAnsi" w:cstheme="minorBidi"/>
          <w:b w:val="0"/>
          <w:smallCaps w:val="0"/>
          <w:noProof w:val="0"/>
          <w:sz w:val="22"/>
        </w:rPr>
      </w:pPr>
      <w:hyperlink w:anchor="_Toc31014339" w:history="1">
        <w:r w:rsidRPr="00E26EF6">
          <w:rPr>
            <w:rStyle w:val="Hyperlink"/>
            <w:rFonts w:ascii="Times New Roman" w:hAnsi="Times New Roman"/>
            <w:noProof w:val="0"/>
          </w:rPr>
          <w:t>3.2.5.</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_Toc31014339 \h </w:instrText>
        </w:r>
        <w:r w:rsidRPr="00E26EF6">
          <w:rPr>
            <w:noProof w:val="0"/>
            <w:webHidden/>
          </w:rPr>
        </w:r>
        <w:r w:rsidRPr="00E26EF6">
          <w:rPr>
            <w:noProof w:val="0"/>
            <w:webHidden/>
          </w:rPr>
          <w:fldChar w:fldCharType="separate"/>
        </w:r>
        <w:r w:rsidRPr="00E26EF6">
          <w:rPr>
            <w:noProof w:val="0"/>
            <w:webHidden/>
          </w:rPr>
          <w:t>76</w:t>
        </w:r>
        <w:r w:rsidRPr="00E26EF6">
          <w:rPr>
            <w:noProof w:val="0"/>
            <w:webHidden/>
          </w:rPr>
          <w:fldChar w:fldCharType="end"/>
        </w:r>
      </w:hyperlink>
    </w:p>
    <w:p w14:paraId="0CF1C5F0" w14:textId="18A5A2B7" w:rsidR="00E26EF6" w:rsidRPr="00E26EF6" w:rsidRDefault="00E26EF6">
      <w:pPr>
        <w:pStyle w:val="TOC2"/>
        <w:rPr>
          <w:rFonts w:asciiTheme="minorHAnsi" w:eastAsiaTheme="minorEastAsia" w:hAnsiTheme="minorHAnsi" w:cstheme="minorBidi"/>
          <w:b w:val="0"/>
          <w:smallCaps w:val="0"/>
          <w:noProof w:val="0"/>
          <w:sz w:val="22"/>
        </w:rPr>
      </w:pPr>
      <w:hyperlink w:anchor="_Toc31014340" w:history="1">
        <w:r w:rsidRPr="00E26EF6">
          <w:rPr>
            <w:rStyle w:val="Hyperlink"/>
            <w:rFonts w:ascii="Times New Roman" w:hAnsi="Times New Roman"/>
            <w:noProof w:val="0"/>
          </w:rPr>
          <w:t>3.3.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Ryzyko kredytowe i ryzyko kredytowe kontrahenta oraz dostawy z późniejszym terminem rozliczenia: wymogi w zakresie funduszy własnych według metody IRB (CR IRB).</w:t>
        </w:r>
        <w:r w:rsidRPr="00E26EF6">
          <w:rPr>
            <w:noProof w:val="0"/>
            <w:webHidden/>
          </w:rPr>
          <w:tab/>
        </w:r>
        <w:r w:rsidRPr="00E26EF6">
          <w:rPr>
            <w:noProof w:val="0"/>
            <w:webHidden/>
          </w:rPr>
          <w:fldChar w:fldCharType="begin"/>
        </w:r>
        <w:r w:rsidRPr="00E26EF6">
          <w:rPr>
            <w:noProof w:val="0"/>
            <w:webHidden/>
          </w:rPr>
          <w:instrText xml:space="preserve"> PAGEREF _Toc31014340 \h </w:instrText>
        </w:r>
        <w:r w:rsidRPr="00E26EF6">
          <w:rPr>
            <w:noProof w:val="0"/>
            <w:webHidden/>
          </w:rPr>
        </w:r>
        <w:r w:rsidRPr="00E26EF6">
          <w:rPr>
            <w:noProof w:val="0"/>
            <w:webHidden/>
          </w:rPr>
          <w:fldChar w:fldCharType="separate"/>
        </w:r>
        <w:r w:rsidRPr="00E26EF6">
          <w:rPr>
            <w:noProof w:val="0"/>
            <w:webHidden/>
          </w:rPr>
          <w:t>83</w:t>
        </w:r>
        <w:r w:rsidRPr="00E26EF6">
          <w:rPr>
            <w:noProof w:val="0"/>
            <w:webHidden/>
          </w:rPr>
          <w:fldChar w:fldCharType="end"/>
        </w:r>
      </w:hyperlink>
    </w:p>
    <w:p w14:paraId="32434D0C" w14:textId="3E175203" w:rsidR="00E26EF6" w:rsidRPr="00E26EF6" w:rsidRDefault="00E26EF6">
      <w:pPr>
        <w:pStyle w:val="TOC2"/>
        <w:rPr>
          <w:rFonts w:asciiTheme="minorHAnsi" w:eastAsiaTheme="minorEastAsia" w:hAnsiTheme="minorHAnsi" w:cstheme="minorBidi"/>
          <w:b w:val="0"/>
          <w:smallCaps w:val="0"/>
          <w:noProof w:val="0"/>
          <w:sz w:val="22"/>
        </w:rPr>
      </w:pPr>
      <w:hyperlink w:anchor="_Toc31014341" w:history="1">
        <w:r w:rsidRPr="00E26EF6">
          <w:rPr>
            <w:rStyle w:val="Hyperlink"/>
            <w:rFonts w:ascii="Times New Roman" w:hAnsi="Times New Roman"/>
            <w:noProof w:val="0"/>
          </w:rPr>
          <w:t>3.3.1.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Zakres wzoru CR IRB</w:t>
        </w:r>
        <w:r w:rsidRPr="00E26EF6">
          <w:rPr>
            <w:noProof w:val="0"/>
            <w:webHidden/>
          </w:rPr>
          <w:tab/>
        </w:r>
        <w:r w:rsidRPr="00E26EF6">
          <w:rPr>
            <w:noProof w:val="0"/>
            <w:webHidden/>
          </w:rPr>
          <w:fldChar w:fldCharType="begin"/>
        </w:r>
        <w:r w:rsidRPr="00E26EF6">
          <w:rPr>
            <w:noProof w:val="0"/>
            <w:webHidden/>
          </w:rPr>
          <w:instrText xml:space="preserve"> PAGEREF _Toc31014341 \h </w:instrText>
        </w:r>
        <w:r w:rsidRPr="00E26EF6">
          <w:rPr>
            <w:noProof w:val="0"/>
            <w:webHidden/>
          </w:rPr>
        </w:r>
        <w:r w:rsidRPr="00E26EF6">
          <w:rPr>
            <w:noProof w:val="0"/>
            <w:webHidden/>
          </w:rPr>
          <w:fldChar w:fldCharType="separate"/>
        </w:r>
        <w:r w:rsidRPr="00E26EF6">
          <w:rPr>
            <w:noProof w:val="0"/>
            <w:webHidden/>
          </w:rPr>
          <w:t>83</w:t>
        </w:r>
        <w:r w:rsidRPr="00E26EF6">
          <w:rPr>
            <w:noProof w:val="0"/>
            <w:webHidden/>
          </w:rPr>
          <w:fldChar w:fldCharType="end"/>
        </w:r>
      </w:hyperlink>
    </w:p>
    <w:p w14:paraId="5AEF9C6D" w14:textId="0EFB32B2" w:rsidR="00E26EF6" w:rsidRPr="00E26EF6" w:rsidRDefault="00E26EF6">
      <w:pPr>
        <w:pStyle w:val="TOC2"/>
        <w:rPr>
          <w:rFonts w:asciiTheme="minorHAnsi" w:eastAsiaTheme="minorEastAsia" w:hAnsiTheme="minorHAnsi" w:cstheme="minorBidi"/>
          <w:b w:val="0"/>
          <w:smallCaps w:val="0"/>
          <w:noProof w:val="0"/>
          <w:sz w:val="22"/>
        </w:rPr>
      </w:pPr>
      <w:hyperlink w:anchor="_Toc31014342" w:history="1">
        <w:r w:rsidRPr="00E26EF6">
          <w:rPr>
            <w:rStyle w:val="Hyperlink"/>
            <w:rFonts w:ascii="Times New Roman" w:hAnsi="Times New Roman"/>
            <w:noProof w:val="0"/>
          </w:rPr>
          <w:t>3.3.2.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Podział wzoru CR IRB</w:t>
        </w:r>
        <w:r w:rsidRPr="00E26EF6">
          <w:rPr>
            <w:noProof w:val="0"/>
            <w:webHidden/>
          </w:rPr>
          <w:tab/>
        </w:r>
        <w:r w:rsidRPr="00E26EF6">
          <w:rPr>
            <w:noProof w:val="0"/>
            <w:webHidden/>
          </w:rPr>
          <w:fldChar w:fldCharType="begin"/>
        </w:r>
        <w:r w:rsidRPr="00E26EF6">
          <w:rPr>
            <w:noProof w:val="0"/>
            <w:webHidden/>
          </w:rPr>
          <w:instrText xml:space="preserve"> PAGEREF _Toc31014342 \h </w:instrText>
        </w:r>
        <w:r w:rsidRPr="00E26EF6">
          <w:rPr>
            <w:noProof w:val="0"/>
            <w:webHidden/>
          </w:rPr>
        </w:r>
        <w:r w:rsidRPr="00E26EF6">
          <w:rPr>
            <w:noProof w:val="0"/>
            <w:webHidden/>
          </w:rPr>
          <w:fldChar w:fldCharType="separate"/>
        </w:r>
        <w:r w:rsidRPr="00E26EF6">
          <w:rPr>
            <w:noProof w:val="0"/>
            <w:webHidden/>
          </w:rPr>
          <w:t>84</w:t>
        </w:r>
        <w:r w:rsidRPr="00E26EF6">
          <w:rPr>
            <w:noProof w:val="0"/>
            <w:webHidden/>
          </w:rPr>
          <w:fldChar w:fldCharType="end"/>
        </w:r>
      </w:hyperlink>
    </w:p>
    <w:p w14:paraId="3550DDFC" w14:textId="5586430D" w:rsidR="00E26EF6" w:rsidRPr="00E26EF6" w:rsidRDefault="00E26EF6">
      <w:pPr>
        <w:pStyle w:val="TOC2"/>
        <w:rPr>
          <w:rFonts w:asciiTheme="minorHAnsi" w:eastAsiaTheme="minorEastAsia" w:hAnsiTheme="minorHAnsi" w:cstheme="minorBidi"/>
          <w:b w:val="0"/>
          <w:smallCaps w:val="0"/>
          <w:noProof w:val="0"/>
          <w:sz w:val="22"/>
        </w:rPr>
      </w:pPr>
      <w:hyperlink w:anchor="_Toc31014343" w:history="1">
        <w:r w:rsidRPr="00E26EF6">
          <w:rPr>
            <w:rStyle w:val="Hyperlink"/>
            <w:rFonts w:ascii="Times New Roman" w:hAnsi="Times New Roman"/>
            <w:noProof w:val="0"/>
          </w:rPr>
          <w:t>3.3.3.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08.01 – Ryzyko kredytowe i ryzyko kredytowe kontrahenta oraz dostawy z późniejszym terminem rozliczenia: wymogi kapitałowe według metody IRB (CR IRB 1)</w:t>
        </w:r>
        <w:r w:rsidRPr="00E26EF6">
          <w:rPr>
            <w:noProof w:val="0"/>
            <w:webHidden/>
          </w:rPr>
          <w:tab/>
        </w:r>
        <w:r w:rsidRPr="00E26EF6">
          <w:rPr>
            <w:noProof w:val="0"/>
            <w:webHidden/>
          </w:rPr>
          <w:fldChar w:fldCharType="begin"/>
        </w:r>
        <w:r w:rsidRPr="00E26EF6">
          <w:rPr>
            <w:noProof w:val="0"/>
            <w:webHidden/>
          </w:rPr>
          <w:instrText xml:space="preserve"> PAGEREF _Toc31014343 \h </w:instrText>
        </w:r>
        <w:r w:rsidRPr="00E26EF6">
          <w:rPr>
            <w:noProof w:val="0"/>
            <w:webHidden/>
          </w:rPr>
        </w:r>
        <w:r w:rsidRPr="00E26EF6">
          <w:rPr>
            <w:noProof w:val="0"/>
            <w:webHidden/>
          </w:rPr>
          <w:fldChar w:fldCharType="separate"/>
        </w:r>
        <w:r w:rsidRPr="00E26EF6">
          <w:rPr>
            <w:noProof w:val="0"/>
            <w:webHidden/>
          </w:rPr>
          <w:t>85</w:t>
        </w:r>
        <w:r w:rsidRPr="00E26EF6">
          <w:rPr>
            <w:noProof w:val="0"/>
            <w:webHidden/>
          </w:rPr>
          <w:fldChar w:fldCharType="end"/>
        </w:r>
      </w:hyperlink>
    </w:p>
    <w:p w14:paraId="7A60E4F6" w14:textId="5083981B" w:rsidR="00E26EF6" w:rsidRPr="00E26EF6" w:rsidRDefault="00E26EF6">
      <w:pPr>
        <w:pStyle w:val="TOC2"/>
        <w:rPr>
          <w:rFonts w:asciiTheme="minorHAnsi" w:eastAsiaTheme="minorEastAsia" w:hAnsiTheme="minorHAnsi" w:cstheme="minorBidi"/>
          <w:b w:val="0"/>
          <w:smallCaps w:val="0"/>
          <w:noProof w:val="0"/>
          <w:sz w:val="22"/>
        </w:rPr>
      </w:pPr>
      <w:hyperlink w:anchor="_Toc31014344" w:history="1">
        <w:r w:rsidRPr="00E26EF6">
          <w:rPr>
            <w:rStyle w:val="Hyperlink"/>
            <w:rFonts w:ascii="Times New Roman" w:hAnsi="Times New Roman"/>
            <w:noProof w:val="0"/>
          </w:rPr>
          <w:t>3.3.3.1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_Toc31014344 \h </w:instrText>
        </w:r>
        <w:r w:rsidRPr="00E26EF6">
          <w:rPr>
            <w:noProof w:val="0"/>
            <w:webHidden/>
          </w:rPr>
        </w:r>
        <w:r w:rsidRPr="00E26EF6">
          <w:rPr>
            <w:noProof w:val="0"/>
            <w:webHidden/>
          </w:rPr>
          <w:fldChar w:fldCharType="separate"/>
        </w:r>
        <w:r w:rsidRPr="00E26EF6">
          <w:rPr>
            <w:noProof w:val="0"/>
            <w:webHidden/>
          </w:rPr>
          <w:t>85</w:t>
        </w:r>
        <w:r w:rsidRPr="00E26EF6">
          <w:rPr>
            <w:noProof w:val="0"/>
            <w:webHidden/>
          </w:rPr>
          <w:fldChar w:fldCharType="end"/>
        </w:r>
      </w:hyperlink>
    </w:p>
    <w:p w14:paraId="723C9817" w14:textId="0CB4BD93" w:rsidR="00E26EF6" w:rsidRPr="00E26EF6" w:rsidRDefault="00E26EF6">
      <w:pPr>
        <w:pStyle w:val="TOC2"/>
        <w:rPr>
          <w:rFonts w:asciiTheme="minorHAnsi" w:eastAsiaTheme="minorEastAsia" w:hAnsiTheme="minorHAnsi" w:cstheme="minorBidi"/>
          <w:b w:val="0"/>
          <w:smallCaps w:val="0"/>
          <w:noProof w:val="0"/>
          <w:sz w:val="22"/>
        </w:rPr>
      </w:pPr>
      <w:hyperlink w:anchor="_Toc31014345" w:history="1">
        <w:r w:rsidRPr="00E26EF6">
          <w:rPr>
            <w:rStyle w:val="Hyperlink"/>
            <w:rFonts w:ascii="Times New Roman" w:hAnsi="Times New Roman"/>
            <w:noProof w:val="0"/>
          </w:rPr>
          <w:t>3.3.4.</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08.02 – Ryzyko kredytowe i ryzyko kredytowe kontrahenta oraz dostawy z późniejszym terminem rozliczenia: Wymogi kapitałowe według metody IRB: Podział według klas jakości lub puli dłużników (wzór CR IRB 2)</w:t>
        </w:r>
        <w:r w:rsidRPr="00E26EF6">
          <w:rPr>
            <w:noProof w:val="0"/>
            <w:webHidden/>
          </w:rPr>
          <w:tab/>
        </w:r>
        <w:r w:rsidRPr="00E26EF6">
          <w:rPr>
            <w:noProof w:val="0"/>
            <w:webHidden/>
          </w:rPr>
          <w:fldChar w:fldCharType="begin"/>
        </w:r>
        <w:r w:rsidRPr="00E26EF6">
          <w:rPr>
            <w:noProof w:val="0"/>
            <w:webHidden/>
          </w:rPr>
          <w:instrText xml:space="preserve"> PAGEREF _Toc31014345 \h </w:instrText>
        </w:r>
        <w:r w:rsidRPr="00E26EF6">
          <w:rPr>
            <w:noProof w:val="0"/>
            <w:webHidden/>
          </w:rPr>
        </w:r>
        <w:r w:rsidRPr="00E26EF6">
          <w:rPr>
            <w:noProof w:val="0"/>
            <w:webHidden/>
          </w:rPr>
          <w:fldChar w:fldCharType="separate"/>
        </w:r>
        <w:r w:rsidRPr="00E26EF6">
          <w:rPr>
            <w:noProof w:val="0"/>
            <w:webHidden/>
          </w:rPr>
          <w:t>93</w:t>
        </w:r>
        <w:r w:rsidRPr="00E26EF6">
          <w:rPr>
            <w:noProof w:val="0"/>
            <w:webHidden/>
          </w:rPr>
          <w:fldChar w:fldCharType="end"/>
        </w:r>
      </w:hyperlink>
    </w:p>
    <w:p w14:paraId="19A3ABC2" w14:textId="7CA0CDBA" w:rsidR="00E26EF6" w:rsidRPr="00E26EF6" w:rsidRDefault="00E26EF6">
      <w:pPr>
        <w:pStyle w:val="TOC2"/>
        <w:rPr>
          <w:rFonts w:asciiTheme="minorHAnsi" w:eastAsiaTheme="minorEastAsia" w:hAnsiTheme="minorHAnsi" w:cstheme="minorBidi"/>
          <w:b w:val="0"/>
          <w:smallCaps w:val="0"/>
          <w:noProof w:val="0"/>
          <w:sz w:val="22"/>
        </w:rPr>
      </w:pPr>
      <w:hyperlink w:anchor="_Toc31014346" w:history="1">
        <w:r w:rsidRPr="00E26EF6">
          <w:rPr>
            <w:rStyle w:val="Hyperlink"/>
            <w:rFonts w:ascii="Times New Roman" w:hAnsi="Times New Roman"/>
            <w:noProof w:val="0"/>
          </w:rPr>
          <w:t>3.4.</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Ryzyko kredytowe i ryzyko kredytowe kontrahenta oraz dostawy z późniejszym terminem rozliczenia: Informacje z podziałem pod względem geograficznym</w:t>
        </w:r>
        <w:r w:rsidRPr="00E26EF6">
          <w:rPr>
            <w:noProof w:val="0"/>
            <w:webHidden/>
          </w:rPr>
          <w:tab/>
        </w:r>
        <w:r w:rsidRPr="00E26EF6">
          <w:rPr>
            <w:noProof w:val="0"/>
            <w:webHidden/>
          </w:rPr>
          <w:fldChar w:fldCharType="begin"/>
        </w:r>
        <w:r w:rsidRPr="00E26EF6">
          <w:rPr>
            <w:noProof w:val="0"/>
            <w:webHidden/>
          </w:rPr>
          <w:instrText xml:space="preserve"> PAGEREF _Toc31014346 \h </w:instrText>
        </w:r>
        <w:r w:rsidRPr="00E26EF6">
          <w:rPr>
            <w:noProof w:val="0"/>
            <w:webHidden/>
          </w:rPr>
        </w:r>
        <w:r w:rsidRPr="00E26EF6">
          <w:rPr>
            <w:noProof w:val="0"/>
            <w:webHidden/>
          </w:rPr>
          <w:fldChar w:fldCharType="separate"/>
        </w:r>
        <w:r w:rsidRPr="00E26EF6">
          <w:rPr>
            <w:noProof w:val="0"/>
            <w:webHidden/>
          </w:rPr>
          <w:t>93</w:t>
        </w:r>
        <w:r w:rsidRPr="00E26EF6">
          <w:rPr>
            <w:noProof w:val="0"/>
            <w:webHidden/>
          </w:rPr>
          <w:fldChar w:fldCharType="end"/>
        </w:r>
      </w:hyperlink>
    </w:p>
    <w:p w14:paraId="3700FFA1" w14:textId="65D39274" w:rsidR="00E26EF6" w:rsidRPr="00E26EF6" w:rsidRDefault="00E26EF6">
      <w:pPr>
        <w:pStyle w:val="TOC2"/>
        <w:rPr>
          <w:rFonts w:asciiTheme="minorHAnsi" w:eastAsiaTheme="minorEastAsia" w:hAnsiTheme="minorHAnsi" w:cstheme="minorBidi"/>
          <w:b w:val="0"/>
          <w:smallCaps w:val="0"/>
          <w:noProof w:val="0"/>
          <w:sz w:val="22"/>
        </w:rPr>
      </w:pPr>
      <w:hyperlink w:anchor="_Toc31014347" w:history="1">
        <w:r w:rsidRPr="00E26EF6">
          <w:rPr>
            <w:rStyle w:val="Hyperlink"/>
            <w:rFonts w:ascii="Times New Roman" w:hAnsi="Times New Roman"/>
            <w:noProof w:val="0"/>
          </w:rPr>
          <w:t>3.4.1.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09.01 – Podział ekspozycji pod względem geograficznym według siedziby dłużnika: ekspozycje według metody standardowej (CR GB 1)</w:t>
        </w:r>
        <w:r w:rsidRPr="00E26EF6">
          <w:rPr>
            <w:noProof w:val="0"/>
            <w:webHidden/>
          </w:rPr>
          <w:tab/>
        </w:r>
        <w:r w:rsidRPr="00E26EF6">
          <w:rPr>
            <w:noProof w:val="0"/>
            <w:webHidden/>
          </w:rPr>
          <w:fldChar w:fldCharType="begin"/>
        </w:r>
        <w:r w:rsidRPr="00E26EF6">
          <w:rPr>
            <w:noProof w:val="0"/>
            <w:webHidden/>
          </w:rPr>
          <w:instrText xml:space="preserve"> PAGEREF _Toc31014347 \h </w:instrText>
        </w:r>
        <w:r w:rsidRPr="00E26EF6">
          <w:rPr>
            <w:noProof w:val="0"/>
            <w:webHidden/>
          </w:rPr>
        </w:r>
        <w:r w:rsidRPr="00E26EF6">
          <w:rPr>
            <w:noProof w:val="0"/>
            <w:webHidden/>
          </w:rPr>
          <w:fldChar w:fldCharType="separate"/>
        </w:r>
        <w:r w:rsidRPr="00E26EF6">
          <w:rPr>
            <w:noProof w:val="0"/>
            <w:webHidden/>
          </w:rPr>
          <w:t>94</w:t>
        </w:r>
        <w:r w:rsidRPr="00E26EF6">
          <w:rPr>
            <w:noProof w:val="0"/>
            <w:webHidden/>
          </w:rPr>
          <w:fldChar w:fldCharType="end"/>
        </w:r>
      </w:hyperlink>
    </w:p>
    <w:p w14:paraId="3C5B8846" w14:textId="45A6EC0F" w:rsidR="00E26EF6" w:rsidRPr="00E26EF6" w:rsidRDefault="00E26EF6">
      <w:pPr>
        <w:pStyle w:val="TOC2"/>
        <w:rPr>
          <w:rFonts w:asciiTheme="minorHAnsi" w:eastAsiaTheme="minorEastAsia" w:hAnsiTheme="minorHAnsi" w:cstheme="minorBidi"/>
          <w:b w:val="0"/>
          <w:smallCaps w:val="0"/>
          <w:noProof w:val="0"/>
          <w:sz w:val="22"/>
        </w:rPr>
      </w:pPr>
      <w:hyperlink w:anchor="_Toc31014348" w:history="1">
        <w:r w:rsidRPr="00E26EF6">
          <w:rPr>
            <w:rStyle w:val="Hyperlink"/>
            <w:rFonts w:ascii="Times New Roman" w:hAnsi="Times New Roman"/>
            <w:noProof w:val="0"/>
          </w:rPr>
          <w:t>3.4.1.1.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_Toc31014348 \h </w:instrText>
        </w:r>
        <w:r w:rsidRPr="00E26EF6">
          <w:rPr>
            <w:noProof w:val="0"/>
            <w:webHidden/>
          </w:rPr>
        </w:r>
        <w:r w:rsidRPr="00E26EF6">
          <w:rPr>
            <w:noProof w:val="0"/>
            <w:webHidden/>
          </w:rPr>
          <w:fldChar w:fldCharType="separate"/>
        </w:r>
        <w:r w:rsidRPr="00E26EF6">
          <w:rPr>
            <w:noProof w:val="0"/>
            <w:webHidden/>
          </w:rPr>
          <w:t>94</w:t>
        </w:r>
        <w:r w:rsidRPr="00E26EF6">
          <w:rPr>
            <w:noProof w:val="0"/>
            <w:webHidden/>
          </w:rPr>
          <w:fldChar w:fldCharType="end"/>
        </w:r>
      </w:hyperlink>
    </w:p>
    <w:p w14:paraId="1E87B588" w14:textId="140C8E9D" w:rsidR="00E26EF6" w:rsidRPr="00E26EF6" w:rsidRDefault="00E26EF6">
      <w:pPr>
        <w:pStyle w:val="TOC2"/>
        <w:rPr>
          <w:rFonts w:asciiTheme="minorHAnsi" w:eastAsiaTheme="minorEastAsia" w:hAnsiTheme="minorHAnsi" w:cstheme="minorBidi"/>
          <w:b w:val="0"/>
          <w:smallCaps w:val="0"/>
          <w:noProof w:val="0"/>
          <w:sz w:val="22"/>
        </w:rPr>
      </w:pPr>
      <w:hyperlink w:anchor="_Toc31014349" w:history="1">
        <w:r w:rsidRPr="00E26EF6">
          <w:rPr>
            <w:rStyle w:val="Hyperlink"/>
            <w:rFonts w:ascii="Times New Roman" w:hAnsi="Times New Roman"/>
            <w:noProof w:val="0"/>
          </w:rPr>
          <w:t>3.4.2.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09.02 – Podział ekspozycji pod względem geograficznym według siedziby dłużnika: ekspozycje według metody IRB (CR GB 2)</w:t>
        </w:r>
        <w:r w:rsidRPr="00E26EF6">
          <w:rPr>
            <w:noProof w:val="0"/>
            <w:webHidden/>
          </w:rPr>
          <w:tab/>
        </w:r>
        <w:r w:rsidRPr="00E26EF6">
          <w:rPr>
            <w:noProof w:val="0"/>
            <w:webHidden/>
          </w:rPr>
          <w:fldChar w:fldCharType="begin"/>
        </w:r>
        <w:r w:rsidRPr="00E26EF6">
          <w:rPr>
            <w:noProof w:val="0"/>
            <w:webHidden/>
          </w:rPr>
          <w:instrText xml:space="preserve"> PAGEREF _Toc31014349 \h </w:instrText>
        </w:r>
        <w:r w:rsidRPr="00E26EF6">
          <w:rPr>
            <w:noProof w:val="0"/>
            <w:webHidden/>
          </w:rPr>
        </w:r>
        <w:r w:rsidRPr="00E26EF6">
          <w:rPr>
            <w:noProof w:val="0"/>
            <w:webHidden/>
          </w:rPr>
          <w:fldChar w:fldCharType="separate"/>
        </w:r>
        <w:r w:rsidRPr="00E26EF6">
          <w:rPr>
            <w:noProof w:val="0"/>
            <w:webHidden/>
          </w:rPr>
          <w:t>96</w:t>
        </w:r>
        <w:r w:rsidRPr="00E26EF6">
          <w:rPr>
            <w:noProof w:val="0"/>
            <w:webHidden/>
          </w:rPr>
          <w:fldChar w:fldCharType="end"/>
        </w:r>
      </w:hyperlink>
    </w:p>
    <w:p w14:paraId="574BDC8D" w14:textId="730C80F0" w:rsidR="00E26EF6" w:rsidRPr="00E26EF6" w:rsidRDefault="00E26EF6">
      <w:pPr>
        <w:pStyle w:val="TOC2"/>
        <w:rPr>
          <w:rFonts w:asciiTheme="minorHAnsi" w:eastAsiaTheme="minorEastAsia" w:hAnsiTheme="minorHAnsi" w:cstheme="minorBidi"/>
          <w:b w:val="0"/>
          <w:smallCaps w:val="0"/>
          <w:noProof w:val="0"/>
          <w:sz w:val="22"/>
        </w:rPr>
      </w:pPr>
      <w:hyperlink w:anchor="_Toc31014350" w:history="1">
        <w:r w:rsidRPr="00E26EF6">
          <w:rPr>
            <w:rStyle w:val="Hyperlink"/>
            <w:rFonts w:ascii="Times New Roman" w:hAnsi="Times New Roman"/>
            <w:noProof w:val="0"/>
          </w:rPr>
          <w:t>3.4.2.1.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_Toc31014350 \h </w:instrText>
        </w:r>
        <w:r w:rsidRPr="00E26EF6">
          <w:rPr>
            <w:noProof w:val="0"/>
            <w:webHidden/>
          </w:rPr>
        </w:r>
        <w:r w:rsidRPr="00E26EF6">
          <w:rPr>
            <w:noProof w:val="0"/>
            <w:webHidden/>
          </w:rPr>
          <w:fldChar w:fldCharType="separate"/>
        </w:r>
        <w:r w:rsidRPr="00E26EF6">
          <w:rPr>
            <w:noProof w:val="0"/>
            <w:webHidden/>
          </w:rPr>
          <w:t>96</w:t>
        </w:r>
        <w:r w:rsidRPr="00E26EF6">
          <w:rPr>
            <w:noProof w:val="0"/>
            <w:webHidden/>
          </w:rPr>
          <w:fldChar w:fldCharType="end"/>
        </w:r>
      </w:hyperlink>
    </w:p>
    <w:p w14:paraId="1458E544" w14:textId="20444FA0" w:rsidR="00E26EF6" w:rsidRPr="00E26EF6" w:rsidRDefault="00E26EF6">
      <w:pPr>
        <w:pStyle w:val="TOC2"/>
        <w:rPr>
          <w:rFonts w:asciiTheme="minorHAnsi" w:eastAsiaTheme="minorEastAsia" w:hAnsiTheme="minorHAnsi" w:cstheme="minorBidi"/>
          <w:b w:val="0"/>
          <w:smallCaps w:val="0"/>
          <w:noProof w:val="0"/>
          <w:sz w:val="22"/>
        </w:rPr>
      </w:pPr>
      <w:hyperlink w:anchor="_Toc31014351" w:history="1">
        <w:r w:rsidRPr="00E26EF6">
          <w:rPr>
            <w:rStyle w:val="Hyperlink"/>
            <w:rFonts w:ascii="Times New Roman" w:hAnsi="Times New Roman"/>
            <w:noProof w:val="0"/>
          </w:rPr>
          <w:t>3.4.3.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Tabela 09.04 – Podział ekspozycji kredytowych istotnych do celów obliczania bufora antycyklicznego według państw oraz specyficznego dla instytucji wskaźnika bufora antycyklicznego (CCB)</w:t>
        </w:r>
        <w:r w:rsidRPr="00E26EF6">
          <w:rPr>
            <w:noProof w:val="0"/>
            <w:webHidden/>
          </w:rPr>
          <w:tab/>
        </w:r>
        <w:r w:rsidRPr="00E26EF6">
          <w:rPr>
            <w:noProof w:val="0"/>
            <w:webHidden/>
          </w:rPr>
          <w:fldChar w:fldCharType="begin"/>
        </w:r>
        <w:r w:rsidRPr="00E26EF6">
          <w:rPr>
            <w:noProof w:val="0"/>
            <w:webHidden/>
          </w:rPr>
          <w:instrText xml:space="preserve"> PAGEREF _Toc31014351 \h </w:instrText>
        </w:r>
        <w:r w:rsidRPr="00E26EF6">
          <w:rPr>
            <w:noProof w:val="0"/>
            <w:webHidden/>
          </w:rPr>
        </w:r>
        <w:r w:rsidRPr="00E26EF6">
          <w:rPr>
            <w:noProof w:val="0"/>
            <w:webHidden/>
          </w:rPr>
          <w:fldChar w:fldCharType="separate"/>
        </w:r>
        <w:r w:rsidRPr="00E26EF6">
          <w:rPr>
            <w:noProof w:val="0"/>
            <w:webHidden/>
          </w:rPr>
          <w:t>99</w:t>
        </w:r>
        <w:r w:rsidRPr="00E26EF6">
          <w:rPr>
            <w:noProof w:val="0"/>
            <w:webHidden/>
          </w:rPr>
          <w:fldChar w:fldCharType="end"/>
        </w:r>
      </w:hyperlink>
    </w:p>
    <w:p w14:paraId="31602597" w14:textId="779F2090" w:rsidR="00E26EF6" w:rsidRPr="00E26EF6" w:rsidRDefault="00E26EF6">
      <w:pPr>
        <w:pStyle w:val="TOC2"/>
        <w:rPr>
          <w:rFonts w:asciiTheme="minorHAnsi" w:eastAsiaTheme="minorEastAsia" w:hAnsiTheme="minorHAnsi" w:cstheme="minorBidi"/>
          <w:b w:val="0"/>
          <w:smallCaps w:val="0"/>
          <w:noProof w:val="0"/>
          <w:sz w:val="22"/>
        </w:rPr>
      </w:pPr>
      <w:hyperlink w:anchor="_Toc31014352" w:history="1">
        <w:r w:rsidRPr="00E26EF6">
          <w:rPr>
            <w:rStyle w:val="Hyperlink"/>
            <w:rFonts w:ascii="Times New Roman" w:hAnsi="Times New Roman"/>
            <w:noProof w:val="0"/>
          </w:rPr>
          <w:t>3.4.3.1.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_Toc31014352 \h </w:instrText>
        </w:r>
        <w:r w:rsidRPr="00E26EF6">
          <w:rPr>
            <w:noProof w:val="0"/>
            <w:webHidden/>
          </w:rPr>
        </w:r>
        <w:r w:rsidRPr="00E26EF6">
          <w:rPr>
            <w:noProof w:val="0"/>
            <w:webHidden/>
          </w:rPr>
          <w:fldChar w:fldCharType="separate"/>
        </w:r>
        <w:r w:rsidRPr="00E26EF6">
          <w:rPr>
            <w:noProof w:val="0"/>
            <w:webHidden/>
          </w:rPr>
          <w:t>99</w:t>
        </w:r>
        <w:r w:rsidRPr="00E26EF6">
          <w:rPr>
            <w:noProof w:val="0"/>
            <w:webHidden/>
          </w:rPr>
          <w:fldChar w:fldCharType="end"/>
        </w:r>
      </w:hyperlink>
    </w:p>
    <w:p w14:paraId="508EDB0F" w14:textId="5C20BAE6" w:rsidR="00E26EF6" w:rsidRPr="00E26EF6" w:rsidRDefault="00E26EF6">
      <w:pPr>
        <w:pStyle w:val="TOC2"/>
        <w:rPr>
          <w:rFonts w:asciiTheme="minorHAnsi" w:eastAsiaTheme="minorEastAsia" w:hAnsiTheme="minorHAnsi" w:cstheme="minorBidi"/>
          <w:b w:val="0"/>
          <w:smallCaps w:val="0"/>
          <w:noProof w:val="0"/>
          <w:sz w:val="22"/>
        </w:rPr>
      </w:pPr>
      <w:hyperlink w:anchor="_Toc31014353" w:history="1">
        <w:r w:rsidRPr="00E26EF6">
          <w:rPr>
            <w:rStyle w:val="Hyperlink"/>
            <w:rFonts w:ascii="Times New Roman" w:hAnsi="Times New Roman"/>
            <w:noProof w:val="0"/>
          </w:rPr>
          <w:t>3.4.3.2.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_Toc31014353 \h </w:instrText>
        </w:r>
        <w:r w:rsidRPr="00E26EF6">
          <w:rPr>
            <w:noProof w:val="0"/>
            <w:webHidden/>
          </w:rPr>
        </w:r>
        <w:r w:rsidRPr="00E26EF6">
          <w:rPr>
            <w:noProof w:val="0"/>
            <w:webHidden/>
          </w:rPr>
          <w:fldChar w:fldCharType="separate"/>
        </w:r>
        <w:r w:rsidRPr="00E26EF6">
          <w:rPr>
            <w:noProof w:val="0"/>
            <w:webHidden/>
          </w:rPr>
          <w:t>99</w:t>
        </w:r>
        <w:r w:rsidRPr="00E26EF6">
          <w:rPr>
            <w:noProof w:val="0"/>
            <w:webHidden/>
          </w:rPr>
          <w:fldChar w:fldCharType="end"/>
        </w:r>
      </w:hyperlink>
    </w:p>
    <w:p w14:paraId="1376BA0D" w14:textId="173BA0F3" w:rsidR="00E26EF6" w:rsidRPr="00E26EF6" w:rsidRDefault="00E26EF6">
      <w:pPr>
        <w:pStyle w:val="TOC2"/>
        <w:rPr>
          <w:rFonts w:asciiTheme="minorHAnsi" w:eastAsiaTheme="minorEastAsia" w:hAnsiTheme="minorHAnsi" w:cstheme="minorBidi"/>
          <w:b w:val="0"/>
          <w:smallCaps w:val="0"/>
          <w:noProof w:val="0"/>
          <w:sz w:val="22"/>
        </w:rPr>
      </w:pPr>
      <w:hyperlink w:anchor="_Toc31014354" w:history="1">
        <w:r w:rsidRPr="00E26EF6">
          <w:rPr>
            <w:rStyle w:val="Hyperlink"/>
            <w:rFonts w:ascii="Times New Roman" w:hAnsi="Times New Roman"/>
            <w:noProof w:val="0"/>
          </w:rPr>
          <w:t>3.5.</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10.01 oraz C 10.02 – Ekspozycje kapitałowe, w odniesieniu do których zastosowano metodę wewnętrznych ratingów (CR EQU IRB 1 oraz CR EQU IRB 2)</w:t>
        </w:r>
        <w:r w:rsidRPr="00E26EF6">
          <w:rPr>
            <w:noProof w:val="0"/>
            <w:webHidden/>
          </w:rPr>
          <w:tab/>
        </w:r>
        <w:r w:rsidRPr="00E26EF6">
          <w:rPr>
            <w:noProof w:val="0"/>
            <w:webHidden/>
          </w:rPr>
          <w:fldChar w:fldCharType="begin"/>
        </w:r>
        <w:r w:rsidRPr="00E26EF6">
          <w:rPr>
            <w:noProof w:val="0"/>
            <w:webHidden/>
          </w:rPr>
          <w:instrText xml:space="preserve"> PAGEREF _Toc31014354 \h </w:instrText>
        </w:r>
        <w:r w:rsidRPr="00E26EF6">
          <w:rPr>
            <w:noProof w:val="0"/>
            <w:webHidden/>
          </w:rPr>
        </w:r>
        <w:r w:rsidRPr="00E26EF6">
          <w:rPr>
            <w:noProof w:val="0"/>
            <w:webHidden/>
          </w:rPr>
          <w:fldChar w:fldCharType="separate"/>
        </w:r>
        <w:r w:rsidRPr="00E26EF6">
          <w:rPr>
            <w:noProof w:val="0"/>
            <w:webHidden/>
          </w:rPr>
          <w:t>103</w:t>
        </w:r>
        <w:r w:rsidRPr="00E26EF6">
          <w:rPr>
            <w:noProof w:val="0"/>
            <w:webHidden/>
          </w:rPr>
          <w:fldChar w:fldCharType="end"/>
        </w:r>
      </w:hyperlink>
    </w:p>
    <w:p w14:paraId="4CCC31E7" w14:textId="6E5B5E82" w:rsidR="00E26EF6" w:rsidRPr="00E26EF6" w:rsidRDefault="00E26EF6">
      <w:pPr>
        <w:pStyle w:val="TOC2"/>
        <w:rPr>
          <w:rFonts w:asciiTheme="minorHAnsi" w:eastAsiaTheme="minorEastAsia" w:hAnsiTheme="minorHAnsi" w:cstheme="minorBidi"/>
          <w:b w:val="0"/>
          <w:smallCaps w:val="0"/>
          <w:noProof w:val="0"/>
          <w:sz w:val="22"/>
        </w:rPr>
      </w:pPr>
      <w:hyperlink w:anchor="_Toc31014355" w:history="1">
        <w:r w:rsidRPr="00E26EF6">
          <w:rPr>
            <w:rStyle w:val="Hyperlink"/>
            <w:rFonts w:ascii="Times New Roman" w:hAnsi="Times New Roman"/>
            <w:noProof w:val="0"/>
          </w:rPr>
          <w:t>3.5.1.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_Toc31014355 \h </w:instrText>
        </w:r>
        <w:r w:rsidRPr="00E26EF6">
          <w:rPr>
            <w:noProof w:val="0"/>
            <w:webHidden/>
          </w:rPr>
        </w:r>
        <w:r w:rsidRPr="00E26EF6">
          <w:rPr>
            <w:noProof w:val="0"/>
            <w:webHidden/>
          </w:rPr>
          <w:fldChar w:fldCharType="separate"/>
        </w:r>
        <w:r w:rsidRPr="00E26EF6">
          <w:rPr>
            <w:noProof w:val="0"/>
            <w:webHidden/>
          </w:rPr>
          <w:t>103</w:t>
        </w:r>
        <w:r w:rsidRPr="00E26EF6">
          <w:rPr>
            <w:noProof w:val="0"/>
            <w:webHidden/>
          </w:rPr>
          <w:fldChar w:fldCharType="end"/>
        </w:r>
      </w:hyperlink>
    </w:p>
    <w:p w14:paraId="50A35910" w14:textId="52A627AB" w:rsidR="00E26EF6" w:rsidRPr="00E26EF6" w:rsidRDefault="00E26EF6">
      <w:pPr>
        <w:pStyle w:val="TOC2"/>
        <w:rPr>
          <w:rFonts w:asciiTheme="minorHAnsi" w:eastAsiaTheme="minorEastAsia" w:hAnsiTheme="minorHAnsi" w:cstheme="minorBidi"/>
          <w:b w:val="0"/>
          <w:smallCaps w:val="0"/>
          <w:noProof w:val="0"/>
          <w:sz w:val="22"/>
        </w:rPr>
      </w:pPr>
      <w:hyperlink w:anchor="_Toc31014356" w:history="1">
        <w:r w:rsidRPr="00E26EF6">
          <w:rPr>
            <w:rStyle w:val="Hyperlink"/>
            <w:rFonts w:ascii="Times New Roman" w:hAnsi="Times New Roman"/>
            <w:noProof w:val="0"/>
          </w:rPr>
          <w:t>3.5.2.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 (mające zastosowanie zarówno do CR EQU IRB 1, jak i do CR EQU IRB 2)</w:t>
        </w:r>
        <w:r w:rsidRPr="00E26EF6">
          <w:rPr>
            <w:noProof w:val="0"/>
            <w:webHidden/>
          </w:rPr>
          <w:tab/>
        </w:r>
        <w:r w:rsidRPr="00E26EF6">
          <w:rPr>
            <w:noProof w:val="0"/>
            <w:webHidden/>
          </w:rPr>
          <w:fldChar w:fldCharType="begin"/>
        </w:r>
        <w:r w:rsidRPr="00E26EF6">
          <w:rPr>
            <w:noProof w:val="0"/>
            <w:webHidden/>
          </w:rPr>
          <w:instrText xml:space="preserve"> PAGEREF _Toc31014356 \h </w:instrText>
        </w:r>
        <w:r w:rsidRPr="00E26EF6">
          <w:rPr>
            <w:noProof w:val="0"/>
            <w:webHidden/>
          </w:rPr>
        </w:r>
        <w:r w:rsidRPr="00E26EF6">
          <w:rPr>
            <w:noProof w:val="0"/>
            <w:webHidden/>
          </w:rPr>
          <w:fldChar w:fldCharType="separate"/>
        </w:r>
        <w:r w:rsidRPr="00E26EF6">
          <w:rPr>
            <w:noProof w:val="0"/>
            <w:webHidden/>
          </w:rPr>
          <w:t>104</w:t>
        </w:r>
        <w:r w:rsidRPr="00E26EF6">
          <w:rPr>
            <w:noProof w:val="0"/>
            <w:webHidden/>
          </w:rPr>
          <w:fldChar w:fldCharType="end"/>
        </w:r>
      </w:hyperlink>
    </w:p>
    <w:p w14:paraId="259C951A" w14:textId="63D0CD65" w:rsidR="00E26EF6" w:rsidRPr="00E26EF6" w:rsidRDefault="00E26EF6">
      <w:pPr>
        <w:pStyle w:val="TOC2"/>
        <w:rPr>
          <w:rFonts w:asciiTheme="minorHAnsi" w:eastAsiaTheme="minorEastAsia" w:hAnsiTheme="minorHAnsi" w:cstheme="minorBidi"/>
          <w:b w:val="0"/>
          <w:smallCaps w:val="0"/>
          <w:noProof w:val="0"/>
          <w:sz w:val="22"/>
        </w:rPr>
      </w:pPr>
      <w:hyperlink w:anchor="_Toc31014357" w:history="1">
        <w:r w:rsidRPr="00E26EF6">
          <w:rPr>
            <w:rStyle w:val="Hyperlink"/>
            <w:rFonts w:ascii="Times New Roman" w:hAnsi="Times New Roman"/>
            <w:noProof w:val="0"/>
          </w:rPr>
          <w:t>3.6.</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11.00 – Ryzyko rozliczenia/dostawy (CR SETT)</w:t>
        </w:r>
        <w:r w:rsidRPr="00E26EF6">
          <w:rPr>
            <w:noProof w:val="0"/>
            <w:webHidden/>
          </w:rPr>
          <w:tab/>
        </w:r>
        <w:r w:rsidRPr="00E26EF6">
          <w:rPr>
            <w:noProof w:val="0"/>
            <w:webHidden/>
          </w:rPr>
          <w:fldChar w:fldCharType="begin"/>
        </w:r>
        <w:r w:rsidRPr="00E26EF6">
          <w:rPr>
            <w:noProof w:val="0"/>
            <w:webHidden/>
          </w:rPr>
          <w:instrText xml:space="preserve"> PAGEREF _Toc31014357 \h </w:instrText>
        </w:r>
        <w:r w:rsidRPr="00E26EF6">
          <w:rPr>
            <w:noProof w:val="0"/>
            <w:webHidden/>
          </w:rPr>
        </w:r>
        <w:r w:rsidRPr="00E26EF6">
          <w:rPr>
            <w:noProof w:val="0"/>
            <w:webHidden/>
          </w:rPr>
          <w:fldChar w:fldCharType="separate"/>
        </w:r>
        <w:r w:rsidRPr="00E26EF6">
          <w:rPr>
            <w:noProof w:val="0"/>
            <w:webHidden/>
          </w:rPr>
          <w:t>107</w:t>
        </w:r>
        <w:r w:rsidRPr="00E26EF6">
          <w:rPr>
            <w:noProof w:val="0"/>
            <w:webHidden/>
          </w:rPr>
          <w:fldChar w:fldCharType="end"/>
        </w:r>
      </w:hyperlink>
    </w:p>
    <w:p w14:paraId="0310DB91" w14:textId="5399612B" w:rsidR="00E26EF6" w:rsidRPr="00E26EF6" w:rsidRDefault="00E26EF6">
      <w:pPr>
        <w:pStyle w:val="TOC2"/>
        <w:rPr>
          <w:rFonts w:asciiTheme="minorHAnsi" w:eastAsiaTheme="minorEastAsia" w:hAnsiTheme="minorHAnsi" w:cstheme="minorBidi"/>
          <w:b w:val="0"/>
          <w:smallCaps w:val="0"/>
          <w:noProof w:val="0"/>
          <w:sz w:val="22"/>
        </w:rPr>
      </w:pPr>
      <w:hyperlink w:anchor="_Toc31014358" w:history="1">
        <w:r w:rsidRPr="00E26EF6">
          <w:rPr>
            <w:rStyle w:val="Hyperlink"/>
            <w:rFonts w:ascii="Times New Roman" w:hAnsi="Times New Roman"/>
            <w:noProof w:val="0"/>
          </w:rPr>
          <w:t>3.6.1.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_Toc31014358 \h </w:instrText>
        </w:r>
        <w:r w:rsidRPr="00E26EF6">
          <w:rPr>
            <w:noProof w:val="0"/>
            <w:webHidden/>
          </w:rPr>
        </w:r>
        <w:r w:rsidRPr="00E26EF6">
          <w:rPr>
            <w:noProof w:val="0"/>
            <w:webHidden/>
          </w:rPr>
          <w:fldChar w:fldCharType="separate"/>
        </w:r>
        <w:r w:rsidRPr="00E26EF6">
          <w:rPr>
            <w:noProof w:val="0"/>
            <w:webHidden/>
          </w:rPr>
          <w:t>107</w:t>
        </w:r>
        <w:r w:rsidRPr="00E26EF6">
          <w:rPr>
            <w:noProof w:val="0"/>
            <w:webHidden/>
          </w:rPr>
          <w:fldChar w:fldCharType="end"/>
        </w:r>
      </w:hyperlink>
    </w:p>
    <w:p w14:paraId="38C40A57" w14:textId="74F897B8" w:rsidR="00E26EF6" w:rsidRPr="00E26EF6" w:rsidRDefault="00E26EF6">
      <w:pPr>
        <w:pStyle w:val="TOC2"/>
        <w:rPr>
          <w:rFonts w:asciiTheme="minorHAnsi" w:eastAsiaTheme="minorEastAsia" w:hAnsiTheme="minorHAnsi" w:cstheme="minorBidi"/>
          <w:b w:val="0"/>
          <w:smallCaps w:val="0"/>
          <w:noProof w:val="0"/>
          <w:sz w:val="22"/>
        </w:rPr>
      </w:pPr>
      <w:hyperlink w:anchor="_Toc31014359" w:history="1">
        <w:r w:rsidRPr="00E26EF6">
          <w:rPr>
            <w:rStyle w:val="Hyperlink"/>
            <w:rFonts w:ascii="Times New Roman" w:hAnsi="Times New Roman"/>
            <w:noProof w:val="0"/>
          </w:rPr>
          <w:t>3.6.2.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_Toc31014359 \h </w:instrText>
        </w:r>
        <w:r w:rsidRPr="00E26EF6">
          <w:rPr>
            <w:noProof w:val="0"/>
            <w:webHidden/>
          </w:rPr>
        </w:r>
        <w:r w:rsidRPr="00E26EF6">
          <w:rPr>
            <w:noProof w:val="0"/>
            <w:webHidden/>
          </w:rPr>
          <w:fldChar w:fldCharType="separate"/>
        </w:r>
        <w:r w:rsidRPr="00E26EF6">
          <w:rPr>
            <w:noProof w:val="0"/>
            <w:webHidden/>
          </w:rPr>
          <w:t>108</w:t>
        </w:r>
        <w:r w:rsidRPr="00E26EF6">
          <w:rPr>
            <w:noProof w:val="0"/>
            <w:webHidden/>
          </w:rPr>
          <w:fldChar w:fldCharType="end"/>
        </w:r>
      </w:hyperlink>
    </w:p>
    <w:p w14:paraId="53CD7C14" w14:textId="3EBC31FA" w:rsidR="00E26EF6" w:rsidRPr="00E26EF6" w:rsidRDefault="00E26EF6">
      <w:pPr>
        <w:pStyle w:val="TOC2"/>
        <w:rPr>
          <w:rFonts w:asciiTheme="minorHAnsi" w:eastAsiaTheme="minorEastAsia" w:hAnsiTheme="minorHAnsi" w:cstheme="minorBidi"/>
          <w:b w:val="0"/>
          <w:smallCaps w:val="0"/>
          <w:noProof w:val="0"/>
          <w:sz w:val="22"/>
        </w:rPr>
      </w:pPr>
      <w:hyperlink w:anchor="_Toc31014360" w:history="1">
        <w:r w:rsidRPr="00E26EF6">
          <w:rPr>
            <w:rStyle w:val="Hyperlink"/>
            <w:rFonts w:ascii="Times New Roman" w:hAnsi="Times New Roman"/>
            <w:noProof w:val="0"/>
          </w:rPr>
          <w:t>3.7.</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13.01 – Ryzyko kredytowe – sekurytyzacje (CR SEC)</w:t>
        </w:r>
        <w:r w:rsidRPr="00E26EF6">
          <w:rPr>
            <w:noProof w:val="0"/>
            <w:webHidden/>
          </w:rPr>
          <w:tab/>
        </w:r>
        <w:r w:rsidRPr="00E26EF6">
          <w:rPr>
            <w:noProof w:val="0"/>
            <w:webHidden/>
          </w:rPr>
          <w:fldChar w:fldCharType="begin"/>
        </w:r>
        <w:r w:rsidRPr="00E26EF6">
          <w:rPr>
            <w:noProof w:val="0"/>
            <w:webHidden/>
          </w:rPr>
          <w:instrText xml:space="preserve"> PAGEREF _Toc31014360 \h </w:instrText>
        </w:r>
        <w:r w:rsidRPr="00E26EF6">
          <w:rPr>
            <w:noProof w:val="0"/>
            <w:webHidden/>
          </w:rPr>
        </w:r>
        <w:r w:rsidRPr="00E26EF6">
          <w:rPr>
            <w:noProof w:val="0"/>
            <w:webHidden/>
          </w:rPr>
          <w:fldChar w:fldCharType="separate"/>
        </w:r>
        <w:r w:rsidRPr="00E26EF6">
          <w:rPr>
            <w:noProof w:val="0"/>
            <w:webHidden/>
          </w:rPr>
          <w:t>110</w:t>
        </w:r>
        <w:r w:rsidRPr="00E26EF6">
          <w:rPr>
            <w:noProof w:val="0"/>
            <w:webHidden/>
          </w:rPr>
          <w:fldChar w:fldCharType="end"/>
        </w:r>
      </w:hyperlink>
    </w:p>
    <w:p w14:paraId="0D1DFF42" w14:textId="10668CE6" w:rsidR="00E26EF6" w:rsidRPr="00E26EF6" w:rsidRDefault="00E26EF6">
      <w:pPr>
        <w:pStyle w:val="TOC2"/>
        <w:rPr>
          <w:rFonts w:asciiTheme="minorHAnsi" w:eastAsiaTheme="minorEastAsia" w:hAnsiTheme="minorHAnsi" w:cstheme="minorBidi"/>
          <w:b w:val="0"/>
          <w:smallCaps w:val="0"/>
          <w:noProof w:val="0"/>
          <w:sz w:val="22"/>
        </w:rPr>
      </w:pPr>
      <w:hyperlink w:anchor="_Toc31014361" w:history="1">
        <w:r w:rsidRPr="00E26EF6">
          <w:rPr>
            <w:rStyle w:val="Hyperlink"/>
            <w:rFonts w:ascii="Times New Roman" w:hAnsi="Times New Roman"/>
            <w:noProof w:val="0"/>
          </w:rPr>
          <w:t>3.7.1.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_Toc31014361 \h </w:instrText>
        </w:r>
        <w:r w:rsidRPr="00E26EF6">
          <w:rPr>
            <w:noProof w:val="0"/>
            <w:webHidden/>
          </w:rPr>
        </w:r>
        <w:r w:rsidRPr="00E26EF6">
          <w:rPr>
            <w:noProof w:val="0"/>
            <w:webHidden/>
          </w:rPr>
          <w:fldChar w:fldCharType="separate"/>
        </w:r>
        <w:r w:rsidRPr="00E26EF6">
          <w:rPr>
            <w:noProof w:val="0"/>
            <w:webHidden/>
          </w:rPr>
          <w:t>110</w:t>
        </w:r>
        <w:r w:rsidRPr="00E26EF6">
          <w:rPr>
            <w:noProof w:val="0"/>
            <w:webHidden/>
          </w:rPr>
          <w:fldChar w:fldCharType="end"/>
        </w:r>
      </w:hyperlink>
    </w:p>
    <w:p w14:paraId="52D64158" w14:textId="62C12014" w:rsidR="00E26EF6" w:rsidRPr="00E26EF6" w:rsidRDefault="00E26EF6">
      <w:pPr>
        <w:pStyle w:val="TOC2"/>
        <w:rPr>
          <w:rFonts w:asciiTheme="minorHAnsi" w:eastAsiaTheme="minorEastAsia" w:hAnsiTheme="minorHAnsi" w:cstheme="minorBidi"/>
          <w:b w:val="0"/>
          <w:smallCaps w:val="0"/>
          <w:noProof w:val="0"/>
          <w:sz w:val="22"/>
        </w:rPr>
      </w:pPr>
      <w:hyperlink w:anchor="_Toc31014362" w:history="1">
        <w:r w:rsidRPr="00E26EF6">
          <w:rPr>
            <w:rStyle w:val="Hyperlink"/>
            <w:rFonts w:ascii="Times New Roman" w:hAnsi="Times New Roman"/>
            <w:noProof w:val="0"/>
          </w:rPr>
          <w:t>3.7.2.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_Toc31014362 \h </w:instrText>
        </w:r>
        <w:r w:rsidRPr="00E26EF6">
          <w:rPr>
            <w:noProof w:val="0"/>
            <w:webHidden/>
          </w:rPr>
        </w:r>
        <w:r w:rsidRPr="00E26EF6">
          <w:rPr>
            <w:noProof w:val="0"/>
            <w:webHidden/>
          </w:rPr>
          <w:fldChar w:fldCharType="separate"/>
        </w:r>
        <w:r w:rsidRPr="00E26EF6">
          <w:rPr>
            <w:noProof w:val="0"/>
            <w:webHidden/>
          </w:rPr>
          <w:t>110</w:t>
        </w:r>
        <w:r w:rsidRPr="00E26EF6">
          <w:rPr>
            <w:noProof w:val="0"/>
            <w:webHidden/>
          </w:rPr>
          <w:fldChar w:fldCharType="end"/>
        </w:r>
      </w:hyperlink>
    </w:p>
    <w:p w14:paraId="0095B9EB" w14:textId="2EB8C6EE" w:rsidR="00E26EF6" w:rsidRPr="00E26EF6" w:rsidRDefault="00E26EF6">
      <w:pPr>
        <w:pStyle w:val="TOC2"/>
        <w:rPr>
          <w:rFonts w:asciiTheme="minorHAnsi" w:eastAsiaTheme="minorEastAsia" w:hAnsiTheme="minorHAnsi" w:cstheme="minorBidi"/>
          <w:b w:val="0"/>
          <w:smallCaps w:val="0"/>
          <w:noProof w:val="0"/>
          <w:sz w:val="22"/>
        </w:rPr>
      </w:pPr>
      <w:hyperlink w:anchor="_Toc31014363" w:history="1">
        <w:r w:rsidRPr="00E26EF6">
          <w:rPr>
            <w:rStyle w:val="Hyperlink"/>
            <w:rFonts w:ascii="Times New Roman" w:hAnsi="Times New Roman"/>
            <w:noProof w:val="0"/>
          </w:rPr>
          <w:t>3.9.</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Szczegółowe informacje na temat sekurytyzacji (SEC SZCZEGÓŁY)</w:t>
        </w:r>
        <w:r w:rsidRPr="00E26EF6">
          <w:rPr>
            <w:noProof w:val="0"/>
            <w:webHidden/>
          </w:rPr>
          <w:tab/>
        </w:r>
        <w:r w:rsidRPr="00E26EF6">
          <w:rPr>
            <w:noProof w:val="0"/>
            <w:webHidden/>
          </w:rPr>
          <w:fldChar w:fldCharType="begin"/>
        </w:r>
        <w:r w:rsidRPr="00E26EF6">
          <w:rPr>
            <w:noProof w:val="0"/>
            <w:webHidden/>
          </w:rPr>
          <w:instrText xml:space="preserve"> PAGEREF _Toc31014363 \h </w:instrText>
        </w:r>
        <w:r w:rsidRPr="00E26EF6">
          <w:rPr>
            <w:noProof w:val="0"/>
            <w:webHidden/>
          </w:rPr>
        </w:r>
        <w:r w:rsidRPr="00E26EF6">
          <w:rPr>
            <w:noProof w:val="0"/>
            <w:webHidden/>
          </w:rPr>
          <w:fldChar w:fldCharType="separate"/>
        </w:r>
        <w:r w:rsidRPr="00E26EF6">
          <w:rPr>
            <w:noProof w:val="0"/>
            <w:webHidden/>
          </w:rPr>
          <w:t>120</w:t>
        </w:r>
        <w:r w:rsidRPr="00E26EF6">
          <w:rPr>
            <w:noProof w:val="0"/>
            <w:webHidden/>
          </w:rPr>
          <w:fldChar w:fldCharType="end"/>
        </w:r>
      </w:hyperlink>
    </w:p>
    <w:p w14:paraId="0B0A23E6" w14:textId="1AC9A374" w:rsidR="00E26EF6" w:rsidRPr="00E26EF6" w:rsidRDefault="00E26EF6">
      <w:pPr>
        <w:pStyle w:val="TOC2"/>
        <w:rPr>
          <w:rFonts w:asciiTheme="minorHAnsi" w:eastAsiaTheme="minorEastAsia" w:hAnsiTheme="minorHAnsi" w:cstheme="minorBidi"/>
          <w:b w:val="0"/>
          <w:smallCaps w:val="0"/>
          <w:noProof w:val="0"/>
          <w:sz w:val="22"/>
        </w:rPr>
      </w:pPr>
      <w:hyperlink w:anchor="_Toc31014364" w:history="1">
        <w:r w:rsidRPr="00E26EF6">
          <w:rPr>
            <w:rStyle w:val="Hyperlink"/>
            <w:rFonts w:ascii="Times New Roman" w:hAnsi="Times New Roman"/>
            <w:noProof w:val="0"/>
          </w:rPr>
          <w:t>3.9.1.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Zakres stosowania wzoru SEC SZCZEGÓŁY</w:t>
        </w:r>
        <w:r w:rsidRPr="00E26EF6">
          <w:rPr>
            <w:noProof w:val="0"/>
            <w:webHidden/>
          </w:rPr>
          <w:tab/>
        </w:r>
        <w:r w:rsidRPr="00E26EF6">
          <w:rPr>
            <w:noProof w:val="0"/>
            <w:webHidden/>
          </w:rPr>
          <w:fldChar w:fldCharType="begin"/>
        </w:r>
        <w:r w:rsidRPr="00E26EF6">
          <w:rPr>
            <w:noProof w:val="0"/>
            <w:webHidden/>
          </w:rPr>
          <w:instrText xml:space="preserve"> PAGEREF _Toc31014364 \h </w:instrText>
        </w:r>
        <w:r w:rsidRPr="00E26EF6">
          <w:rPr>
            <w:noProof w:val="0"/>
            <w:webHidden/>
          </w:rPr>
        </w:r>
        <w:r w:rsidRPr="00E26EF6">
          <w:rPr>
            <w:noProof w:val="0"/>
            <w:webHidden/>
          </w:rPr>
          <w:fldChar w:fldCharType="separate"/>
        </w:r>
        <w:r w:rsidRPr="00E26EF6">
          <w:rPr>
            <w:noProof w:val="0"/>
            <w:webHidden/>
          </w:rPr>
          <w:t>120</w:t>
        </w:r>
        <w:r w:rsidRPr="00E26EF6">
          <w:rPr>
            <w:noProof w:val="0"/>
            <w:webHidden/>
          </w:rPr>
          <w:fldChar w:fldCharType="end"/>
        </w:r>
      </w:hyperlink>
    </w:p>
    <w:p w14:paraId="1F0FD286" w14:textId="06231E44" w:rsidR="00E26EF6" w:rsidRPr="00E26EF6" w:rsidRDefault="00E26EF6">
      <w:pPr>
        <w:pStyle w:val="TOC2"/>
        <w:rPr>
          <w:rFonts w:asciiTheme="minorHAnsi" w:eastAsiaTheme="minorEastAsia" w:hAnsiTheme="minorHAnsi" w:cstheme="minorBidi"/>
          <w:b w:val="0"/>
          <w:smallCaps w:val="0"/>
          <w:noProof w:val="0"/>
          <w:sz w:val="22"/>
        </w:rPr>
      </w:pPr>
      <w:hyperlink w:anchor="_Toc31014365" w:history="1">
        <w:r w:rsidRPr="00E26EF6">
          <w:rPr>
            <w:rStyle w:val="Hyperlink"/>
            <w:rFonts w:ascii="Times New Roman" w:hAnsi="Times New Roman"/>
            <w:noProof w:val="0"/>
          </w:rPr>
          <w:t>3.9.2 Pod</w:t>
        </w:r>
        <w:r w:rsidRPr="00E26EF6">
          <w:rPr>
            <w:rStyle w:val="Hyperlink"/>
            <w:rFonts w:ascii="Times New Roman" w:hAnsi="Times New Roman"/>
            <w:noProof w:val="0"/>
          </w:rPr>
          <w:t>z</w:t>
        </w:r>
        <w:r w:rsidRPr="00E26EF6">
          <w:rPr>
            <w:rStyle w:val="Hyperlink"/>
            <w:rFonts w:ascii="Times New Roman" w:hAnsi="Times New Roman"/>
            <w:noProof w:val="0"/>
          </w:rPr>
          <w:t>iał wzoru SEC SZCZEGÓŁY</w:t>
        </w:r>
        <w:r w:rsidRPr="00E26EF6">
          <w:rPr>
            <w:noProof w:val="0"/>
            <w:webHidden/>
          </w:rPr>
          <w:tab/>
        </w:r>
        <w:r w:rsidRPr="00E26EF6">
          <w:rPr>
            <w:noProof w:val="0"/>
            <w:webHidden/>
          </w:rPr>
          <w:fldChar w:fldCharType="begin"/>
        </w:r>
        <w:r w:rsidRPr="00E26EF6">
          <w:rPr>
            <w:noProof w:val="0"/>
            <w:webHidden/>
          </w:rPr>
          <w:instrText xml:space="preserve"> PAGEREF _Toc31014365 \h </w:instrText>
        </w:r>
        <w:r w:rsidRPr="00E26EF6">
          <w:rPr>
            <w:noProof w:val="0"/>
            <w:webHidden/>
          </w:rPr>
        </w:r>
        <w:r w:rsidRPr="00E26EF6">
          <w:rPr>
            <w:noProof w:val="0"/>
            <w:webHidden/>
          </w:rPr>
          <w:fldChar w:fldCharType="separate"/>
        </w:r>
        <w:r w:rsidRPr="00E26EF6">
          <w:rPr>
            <w:noProof w:val="0"/>
            <w:webHidden/>
          </w:rPr>
          <w:t>121</w:t>
        </w:r>
        <w:r w:rsidRPr="00E26EF6">
          <w:rPr>
            <w:noProof w:val="0"/>
            <w:webHidden/>
          </w:rPr>
          <w:fldChar w:fldCharType="end"/>
        </w:r>
      </w:hyperlink>
    </w:p>
    <w:p w14:paraId="3D0C24DA" w14:textId="1EC75142" w:rsidR="00E26EF6" w:rsidRPr="00E26EF6" w:rsidRDefault="00E26EF6">
      <w:pPr>
        <w:pStyle w:val="TOC2"/>
        <w:rPr>
          <w:rFonts w:asciiTheme="minorHAnsi" w:eastAsiaTheme="minorEastAsia" w:hAnsiTheme="minorHAnsi" w:cstheme="minorBidi"/>
          <w:b w:val="0"/>
          <w:smallCaps w:val="0"/>
          <w:noProof w:val="0"/>
          <w:sz w:val="22"/>
        </w:rPr>
      </w:pPr>
      <w:hyperlink w:anchor="_Toc31014366" w:history="1">
        <w:r w:rsidRPr="00E26EF6">
          <w:rPr>
            <w:rStyle w:val="Hyperlink"/>
            <w:rFonts w:ascii="Times New Roman" w:hAnsi="Times New Roman"/>
            <w:noProof w:val="0"/>
          </w:rPr>
          <w:t>3.9.3 C 14.00 – Szczegółowe informacje na temat sekurytyzacji (SEC SZCZEGÓŁY)</w:t>
        </w:r>
        <w:r w:rsidRPr="00E26EF6">
          <w:rPr>
            <w:noProof w:val="0"/>
            <w:webHidden/>
          </w:rPr>
          <w:tab/>
        </w:r>
        <w:r w:rsidRPr="00E26EF6">
          <w:rPr>
            <w:noProof w:val="0"/>
            <w:webHidden/>
          </w:rPr>
          <w:fldChar w:fldCharType="begin"/>
        </w:r>
        <w:r w:rsidRPr="00E26EF6">
          <w:rPr>
            <w:noProof w:val="0"/>
            <w:webHidden/>
          </w:rPr>
          <w:instrText xml:space="preserve"> PAGEREF _Toc31014366 \h </w:instrText>
        </w:r>
        <w:r w:rsidRPr="00E26EF6">
          <w:rPr>
            <w:noProof w:val="0"/>
            <w:webHidden/>
          </w:rPr>
        </w:r>
        <w:r w:rsidRPr="00E26EF6">
          <w:rPr>
            <w:noProof w:val="0"/>
            <w:webHidden/>
          </w:rPr>
          <w:fldChar w:fldCharType="separate"/>
        </w:r>
        <w:r w:rsidRPr="00E26EF6">
          <w:rPr>
            <w:noProof w:val="0"/>
            <w:webHidden/>
          </w:rPr>
          <w:t>121</w:t>
        </w:r>
        <w:r w:rsidRPr="00E26EF6">
          <w:rPr>
            <w:noProof w:val="0"/>
            <w:webHidden/>
          </w:rPr>
          <w:fldChar w:fldCharType="end"/>
        </w:r>
      </w:hyperlink>
    </w:p>
    <w:p w14:paraId="15EE89F0" w14:textId="3B384CE1" w:rsidR="00E26EF6" w:rsidRPr="00E26EF6" w:rsidRDefault="00E26EF6">
      <w:pPr>
        <w:pStyle w:val="TOC2"/>
        <w:rPr>
          <w:rFonts w:asciiTheme="minorHAnsi" w:eastAsiaTheme="minorEastAsia" w:hAnsiTheme="minorHAnsi" w:cstheme="minorBidi"/>
          <w:b w:val="0"/>
          <w:smallCaps w:val="0"/>
          <w:noProof w:val="0"/>
          <w:sz w:val="22"/>
        </w:rPr>
      </w:pPr>
      <w:hyperlink w:anchor="_Toc31014367" w:history="1">
        <w:r w:rsidRPr="00E26EF6">
          <w:rPr>
            <w:rStyle w:val="Hyperlink"/>
            <w:rFonts w:ascii="Times New Roman" w:hAnsi="Times New Roman"/>
            <w:noProof w:val="0"/>
          </w:rPr>
          <w:t>3.9.4.</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14.01 – Szczegółowe informacje na temat sekurytyzacji według metody (SEC Szczegóły 2)</w:t>
        </w:r>
        <w:r w:rsidRPr="00E26EF6">
          <w:rPr>
            <w:noProof w:val="0"/>
            <w:webHidden/>
          </w:rPr>
          <w:tab/>
        </w:r>
        <w:r w:rsidRPr="00E26EF6">
          <w:rPr>
            <w:noProof w:val="0"/>
            <w:webHidden/>
          </w:rPr>
          <w:fldChar w:fldCharType="begin"/>
        </w:r>
        <w:r w:rsidRPr="00E26EF6">
          <w:rPr>
            <w:noProof w:val="0"/>
            <w:webHidden/>
          </w:rPr>
          <w:instrText xml:space="preserve"> PAGEREF _Toc31014367 \h </w:instrText>
        </w:r>
        <w:r w:rsidRPr="00E26EF6">
          <w:rPr>
            <w:noProof w:val="0"/>
            <w:webHidden/>
          </w:rPr>
        </w:r>
        <w:r w:rsidRPr="00E26EF6">
          <w:rPr>
            <w:noProof w:val="0"/>
            <w:webHidden/>
          </w:rPr>
          <w:fldChar w:fldCharType="separate"/>
        </w:r>
        <w:r w:rsidRPr="00E26EF6">
          <w:rPr>
            <w:noProof w:val="0"/>
            <w:webHidden/>
          </w:rPr>
          <w:t>132</w:t>
        </w:r>
        <w:r w:rsidRPr="00E26EF6">
          <w:rPr>
            <w:noProof w:val="0"/>
            <w:webHidden/>
          </w:rPr>
          <w:fldChar w:fldCharType="end"/>
        </w:r>
      </w:hyperlink>
    </w:p>
    <w:p w14:paraId="7B2E89F6" w14:textId="69AFF01E" w:rsidR="00E26EF6" w:rsidRPr="00E26EF6" w:rsidRDefault="00E26EF6">
      <w:pPr>
        <w:pStyle w:val="TOC2"/>
        <w:rPr>
          <w:rFonts w:asciiTheme="minorHAnsi" w:eastAsiaTheme="minorEastAsia" w:hAnsiTheme="minorHAnsi" w:cstheme="minorBidi"/>
          <w:b w:val="0"/>
          <w:smallCaps w:val="0"/>
          <w:noProof w:val="0"/>
          <w:sz w:val="22"/>
        </w:rPr>
      </w:pPr>
      <w:hyperlink w:anchor="_Toc31014368" w:history="1">
        <w:r w:rsidRPr="00E26EF6">
          <w:rPr>
            <w:rStyle w:val="Hyperlink"/>
            <w:rFonts w:ascii="Times New Roman" w:hAnsi="Times New Roman"/>
            <w:noProof w:val="0"/>
          </w:rPr>
          <w:t>4.</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Wzory dotyczące ryzyka operacyjnego</w:t>
        </w:r>
        <w:r w:rsidRPr="00E26EF6">
          <w:rPr>
            <w:noProof w:val="0"/>
            <w:webHidden/>
          </w:rPr>
          <w:tab/>
        </w:r>
        <w:r w:rsidRPr="00E26EF6">
          <w:rPr>
            <w:noProof w:val="0"/>
            <w:webHidden/>
          </w:rPr>
          <w:fldChar w:fldCharType="begin"/>
        </w:r>
        <w:r w:rsidRPr="00E26EF6">
          <w:rPr>
            <w:noProof w:val="0"/>
            <w:webHidden/>
          </w:rPr>
          <w:instrText xml:space="preserve"> PAGEREF _Toc31014368 \h </w:instrText>
        </w:r>
        <w:r w:rsidRPr="00E26EF6">
          <w:rPr>
            <w:noProof w:val="0"/>
            <w:webHidden/>
          </w:rPr>
        </w:r>
        <w:r w:rsidRPr="00E26EF6">
          <w:rPr>
            <w:noProof w:val="0"/>
            <w:webHidden/>
          </w:rPr>
          <w:fldChar w:fldCharType="separate"/>
        </w:r>
        <w:r w:rsidRPr="00E26EF6">
          <w:rPr>
            <w:noProof w:val="0"/>
            <w:webHidden/>
          </w:rPr>
          <w:t>135</w:t>
        </w:r>
        <w:r w:rsidRPr="00E26EF6">
          <w:rPr>
            <w:noProof w:val="0"/>
            <w:webHidden/>
          </w:rPr>
          <w:fldChar w:fldCharType="end"/>
        </w:r>
      </w:hyperlink>
    </w:p>
    <w:p w14:paraId="436F9109" w14:textId="71BC486B" w:rsidR="00E26EF6" w:rsidRPr="00E26EF6" w:rsidRDefault="00E26EF6">
      <w:pPr>
        <w:pStyle w:val="TOC2"/>
        <w:rPr>
          <w:rFonts w:asciiTheme="minorHAnsi" w:eastAsiaTheme="minorEastAsia" w:hAnsiTheme="minorHAnsi" w:cstheme="minorBidi"/>
          <w:b w:val="0"/>
          <w:smallCaps w:val="0"/>
          <w:noProof w:val="0"/>
          <w:sz w:val="22"/>
        </w:rPr>
      </w:pPr>
      <w:hyperlink w:anchor="_Toc31014369" w:history="1">
        <w:r w:rsidRPr="00E26EF6">
          <w:rPr>
            <w:rStyle w:val="Hyperlink"/>
            <w:rFonts w:ascii="Times New Roman" w:hAnsi="Times New Roman"/>
            <w:noProof w:val="0"/>
          </w:rPr>
          <w:t>4.1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 xml:space="preserve"> C 16.00 – Ryzyko operacyjne (OPR)</w:t>
        </w:r>
        <w:r w:rsidRPr="00E26EF6">
          <w:rPr>
            <w:noProof w:val="0"/>
            <w:webHidden/>
          </w:rPr>
          <w:tab/>
        </w:r>
        <w:r w:rsidRPr="00E26EF6">
          <w:rPr>
            <w:noProof w:val="0"/>
            <w:webHidden/>
          </w:rPr>
          <w:fldChar w:fldCharType="begin"/>
        </w:r>
        <w:r w:rsidRPr="00E26EF6">
          <w:rPr>
            <w:noProof w:val="0"/>
            <w:webHidden/>
          </w:rPr>
          <w:instrText xml:space="preserve"> PAGEREF _Toc31014369 \h </w:instrText>
        </w:r>
        <w:r w:rsidRPr="00E26EF6">
          <w:rPr>
            <w:noProof w:val="0"/>
            <w:webHidden/>
          </w:rPr>
        </w:r>
        <w:r w:rsidRPr="00E26EF6">
          <w:rPr>
            <w:noProof w:val="0"/>
            <w:webHidden/>
          </w:rPr>
          <w:fldChar w:fldCharType="separate"/>
        </w:r>
        <w:r w:rsidRPr="00E26EF6">
          <w:rPr>
            <w:noProof w:val="0"/>
            <w:webHidden/>
          </w:rPr>
          <w:t>135</w:t>
        </w:r>
        <w:r w:rsidRPr="00E26EF6">
          <w:rPr>
            <w:noProof w:val="0"/>
            <w:webHidden/>
          </w:rPr>
          <w:fldChar w:fldCharType="end"/>
        </w:r>
      </w:hyperlink>
    </w:p>
    <w:p w14:paraId="2A1BEB0D" w14:textId="081E8546" w:rsidR="00E26EF6" w:rsidRPr="00E26EF6" w:rsidRDefault="00E26EF6">
      <w:pPr>
        <w:pStyle w:val="TOC2"/>
        <w:rPr>
          <w:rFonts w:asciiTheme="minorHAnsi" w:eastAsiaTheme="minorEastAsia" w:hAnsiTheme="minorHAnsi" w:cstheme="minorBidi"/>
          <w:b w:val="0"/>
          <w:smallCaps w:val="0"/>
          <w:noProof w:val="0"/>
          <w:sz w:val="22"/>
        </w:rPr>
      </w:pPr>
      <w:hyperlink w:anchor="_Toc31014370" w:history="1">
        <w:r w:rsidRPr="00E26EF6">
          <w:rPr>
            <w:rStyle w:val="Hyperlink"/>
            <w:rFonts w:ascii="Times New Roman" w:hAnsi="Times New Roman"/>
            <w:noProof w:val="0"/>
          </w:rPr>
          <w:t>4.1.1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_Toc31014370 \h </w:instrText>
        </w:r>
        <w:r w:rsidRPr="00E26EF6">
          <w:rPr>
            <w:noProof w:val="0"/>
            <w:webHidden/>
          </w:rPr>
        </w:r>
        <w:r w:rsidRPr="00E26EF6">
          <w:rPr>
            <w:noProof w:val="0"/>
            <w:webHidden/>
          </w:rPr>
          <w:fldChar w:fldCharType="separate"/>
        </w:r>
        <w:r w:rsidRPr="00E26EF6">
          <w:rPr>
            <w:noProof w:val="0"/>
            <w:webHidden/>
          </w:rPr>
          <w:t>135</w:t>
        </w:r>
        <w:r w:rsidRPr="00E26EF6">
          <w:rPr>
            <w:noProof w:val="0"/>
            <w:webHidden/>
          </w:rPr>
          <w:fldChar w:fldCharType="end"/>
        </w:r>
      </w:hyperlink>
    </w:p>
    <w:p w14:paraId="0C1510F7" w14:textId="2949A42A" w:rsidR="00E26EF6" w:rsidRPr="00E26EF6" w:rsidRDefault="00E26EF6">
      <w:pPr>
        <w:pStyle w:val="TOC2"/>
        <w:rPr>
          <w:rFonts w:asciiTheme="minorHAnsi" w:eastAsiaTheme="minorEastAsia" w:hAnsiTheme="minorHAnsi" w:cstheme="minorBidi"/>
          <w:b w:val="0"/>
          <w:smallCaps w:val="0"/>
          <w:noProof w:val="0"/>
          <w:sz w:val="22"/>
        </w:rPr>
      </w:pPr>
      <w:hyperlink w:anchor="_Toc31014371" w:history="1">
        <w:r w:rsidRPr="00E26EF6">
          <w:rPr>
            <w:rStyle w:val="Hyperlink"/>
            <w:rFonts w:ascii="Times New Roman" w:hAnsi="Times New Roman"/>
            <w:noProof w:val="0"/>
          </w:rPr>
          <w:t>4.1.2.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_Toc31014371 \h </w:instrText>
        </w:r>
        <w:r w:rsidRPr="00E26EF6">
          <w:rPr>
            <w:noProof w:val="0"/>
            <w:webHidden/>
          </w:rPr>
        </w:r>
        <w:r w:rsidRPr="00E26EF6">
          <w:rPr>
            <w:noProof w:val="0"/>
            <w:webHidden/>
          </w:rPr>
          <w:fldChar w:fldCharType="separate"/>
        </w:r>
        <w:r w:rsidRPr="00E26EF6">
          <w:rPr>
            <w:noProof w:val="0"/>
            <w:webHidden/>
          </w:rPr>
          <w:t>136</w:t>
        </w:r>
        <w:r w:rsidRPr="00E26EF6">
          <w:rPr>
            <w:noProof w:val="0"/>
            <w:webHidden/>
          </w:rPr>
          <w:fldChar w:fldCharType="end"/>
        </w:r>
      </w:hyperlink>
    </w:p>
    <w:p w14:paraId="1F3892E6" w14:textId="043D824B" w:rsidR="00E26EF6" w:rsidRPr="00E26EF6" w:rsidRDefault="00E26EF6">
      <w:pPr>
        <w:pStyle w:val="TOC2"/>
        <w:rPr>
          <w:rFonts w:asciiTheme="minorHAnsi" w:eastAsiaTheme="minorEastAsia" w:hAnsiTheme="minorHAnsi" w:cstheme="minorBidi"/>
          <w:b w:val="0"/>
          <w:smallCaps w:val="0"/>
          <w:noProof w:val="0"/>
          <w:sz w:val="22"/>
        </w:rPr>
      </w:pPr>
      <w:hyperlink w:anchor="_Toc31014372" w:history="1">
        <w:r w:rsidRPr="00E26EF6">
          <w:rPr>
            <w:rStyle w:val="Hyperlink"/>
            <w:rFonts w:ascii="Times New Roman" w:hAnsi="Times New Roman"/>
            <w:noProof w:val="0"/>
          </w:rPr>
          <w:t>4.2.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Ryzyko operacyjne: Szczegółowe informacje na temat strat w ostatnim roku (OPR SZCZEGÓŁY)</w:t>
        </w:r>
        <w:r w:rsidRPr="00E26EF6">
          <w:rPr>
            <w:noProof w:val="0"/>
            <w:webHidden/>
          </w:rPr>
          <w:tab/>
        </w:r>
        <w:r w:rsidRPr="00E26EF6">
          <w:rPr>
            <w:noProof w:val="0"/>
            <w:webHidden/>
          </w:rPr>
          <w:fldChar w:fldCharType="begin"/>
        </w:r>
        <w:r w:rsidRPr="00E26EF6">
          <w:rPr>
            <w:noProof w:val="0"/>
            <w:webHidden/>
          </w:rPr>
          <w:instrText xml:space="preserve"> PAGEREF _Toc31014372 \h </w:instrText>
        </w:r>
        <w:r w:rsidRPr="00E26EF6">
          <w:rPr>
            <w:noProof w:val="0"/>
            <w:webHidden/>
          </w:rPr>
        </w:r>
        <w:r w:rsidRPr="00E26EF6">
          <w:rPr>
            <w:noProof w:val="0"/>
            <w:webHidden/>
          </w:rPr>
          <w:fldChar w:fldCharType="separate"/>
        </w:r>
        <w:r w:rsidRPr="00E26EF6">
          <w:rPr>
            <w:noProof w:val="0"/>
            <w:webHidden/>
          </w:rPr>
          <w:t>139</w:t>
        </w:r>
        <w:r w:rsidRPr="00E26EF6">
          <w:rPr>
            <w:noProof w:val="0"/>
            <w:webHidden/>
          </w:rPr>
          <w:fldChar w:fldCharType="end"/>
        </w:r>
      </w:hyperlink>
    </w:p>
    <w:p w14:paraId="586839C0" w14:textId="18C7BBAE" w:rsidR="00E26EF6" w:rsidRPr="00E26EF6" w:rsidRDefault="00E26EF6">
      <w:pPr>
        <w:pStyle w:val="TOC2"/>
        <w:rPr>
          <w:rFonts w:asciiTheme="minorHAnsi" w:eastAsiaTheme="minorEastAsia" w:hAnsiTheme="minorHAnsi" w:cstheme="minorBidi"/>
          <w:b w:val="0"/>
          <w:smallCaps w:val="0"/>
          <w:noProof w:val="0"/>
          <w:sz w:val="22"/>
        </w:rPr>
      </w:pPr>
      <w:hyperlink w:anchor="_Toc31014373" w:history="1">
        <w:r w:rsidRPr="00E26EF6">
          <w:rPr>
            <w:rStyle w:val="Hyperlink"/>
            <w:rFonts w:ascii="Times New Roman" w:hAnsi="Times New Roman"/>
            <w:noProof w:val="0"/>
          </w:rPr>
          <w:t>4.2.1.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_Toc31014373 \h </w:instrText>
        </w:r>
        <w:r w:rsidRPr="00E26EF6">
          <w:rPr>
            <w:noProof w:val="0"/>
            <w:webHidden/>
          </w:rPr>
        </w:r>
        <w:r w:rsidRPr="00E26EF6">
          <w:rPr>
            <w:noProof w:val="0"/>
            <w:webHidden/>
          </w:rPr>
          <w:fldChar w:fldCharType="separate"/>
        </w:r>
        <w:r w:rsidRPr="00E26EF6">
          <w:rPr>
            <w:noProof w:val="0"/>
            <w:webHidden/>
          </w:rPr>
          <w:t>139</w:t>
        </w:r>
        <w:r w:rsidRPr="00E26EF6">
          <w:rPr>
            <w:noProof w:val="0"/>
            <w:webHidden/>
          </w:rPr>
          <w:fldChar w:fldCharType="end"/>
        </w:r>
      </w:hyperlink>
    </w:p>
    <w:p w14:paraId="317C5D6F" w14:textId="52B1CA4C" w:rsidR="00E26EF6" w:rsidRPr="00E26EF6" w:rsidRDefault="00E26EF6">
      <w:pPr>
        <w:pStyle w:val="TOC2"/>
        <w:rPr>
          <w:rFonts w:asciiTheme="minorHAnsi" w:eastAsiaTheme="minorEastAsia" w:hAnsiTheme="minorHAnsi" w:cstheme="minorBidi"/>
          <w:b w:val="0"/>
          <w:smallCaps w:val="0"/>
          <w:noProof w:val="0"/>
          <w:sz w:val="22"/>
        </w:rPr>
      </w:pPr>
      <w:hyperlink w:anchor="_Toc31014374" w:history="1">
        <w:r w:rsidRPr="00E26EF6">
          <w:rPr>
            <w:rStyle w:val="Hyperlink"/>
            <w:rFonts w:ascii="Times New Roman" w:hAnsi="Times New Roman"/>
            <w:noProof w:val="0"/>
          </w:rPr>
          <w:t>4.2.2.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17.01: Ryzyko operacyjne: straty i odzyskane należności według linii biznesowych i rodzajów zdarzeń straty w ostatnim roku (OPR SZCZEGÓŁY 1)</w:t>
        </w:r>
        <w:r w:rsidRPr="00E26EF6">
          <w:rPr>
            <w:noProof w:val="0"/>
            <w:webHidden/>
          </w:rPr>
          <w:tab/>
        </w:r>
        <w:r w:rsidRPr="00E26EF6">
          <w:rPr>
            <w:noProof w:val="0"/>
            <w:webHidden/>
          </w:rPr>
          <w:fldChar w:fldCharType="begin"/>
        </w:r>
        <w:r w:rsidRPr="00E26EF6">
          <w:rPr>
            <w:noProof w:val="0"/>
            <w:webHidden/>
          </w:rPr>
          <w:instrText xml:space="preserve"> PAGEREF _Toc31014374 \h </w:instrText>
        </w:r>
        <w:r w:rsidRPr="00E26EF6">
          <w:rPr>
            <w:noProof w:val="0"/>
            <w:webHidden/>
          </w:rPr>
        </w:r>
        <w:r w:rsidRPr="00E26EF6">
          <w:rPr>
            <w:noProof w:val="0"/>
            <w:webHidden/>
          </w:rPr>
          <w:fldChar w:fldCharType="separate"/>
        </w:r>
        <w:r w:rsidRPr="00E26EF6">
          <w:rPr>
            <w:noProof w:val="0"/>
            <w:webHidden/>
          </w:rPr>
          <w:t>140</w:t>
        </w:r>
        <w:r w:rsidRPr="00E26EF6">
          <w:rPr>
            <w:noProof w:val="0"/>
            <w:webHidden/>
          </w:rPr>
          <w:fldChar w:fldCharType="end"/>
        </w:r>
      </w:hyperlink>
    </w:p>
    <w:p w14:paraId="0B192745" w14:textId="52D47C84" w:rsidR="00E26EF6" w:rsidRPr="00E26EF6" w:rsidRDefault="00E26EF6">
      <w:pPr>
        <w:pStyle w:val="TOC2"/>
        <w:rPr>
          <w:rFonts w:asciiTheme="minorHAnsi" w:eastAsiaTheme="minorEastAsia" w:hAnsiTheme="minorHAnsi" w:cstheme="minorBidi"/>
          <w:b w:val="0"/>
          <w:smallCaps w:val="0"/>
          <w:noProof w:val="0"/>
          <w:sz w:val="22"/>
        </w:rPr>
      </w:pPr>
      <w:hyperlink w:anchor="_Toc31014375" w:history="1">
        <w:r w:rsidRPr="00E26EF6">
          <w:rPr>
            <w:rStyle w:val="Hyperlink"/>
            <w:rFonts w:ascii="Times New Roman" w:hAnsi="Times New Roman"/>
            <w:noProof w:val="0"/>
          </w:rPr>
          <w:t>4.2.2.1.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_Toc31014375 \h </w:instrText>
        </w:r>
        <w:r w:rsidRPr="00E26EF6">
          <w:rPr>
            <w:noProof w:val="0"/>
            <w:webHidden/>
          </w:rPr>
        </w:r>
        <w:r w:rsidRPr="00E26EF6">
          <w:rPr>
            <w:noProof w:val="0"/>
            <w:webHidden/>
          </w:rPr>
          <w:fldChar w:fldCharType="separate"/>
        </w:r>
        <w:r w:rsidRPr="00E26EF6">
          <w:rPr>
            <w:noProof w:val="0"/>
            <w:webHidden/>
          </w:rPr>
          <w:t>140</w:t>
        </w:r>
        <w:r w:rsidRPr="00E26EF6">
          <w:rPr>
            <w:noProof w:val="0"/>
            <w:webHidden/>
          </w:rPr>
          <w:fldChar w:fldCharType="end"/>
        </w:r>
      </w:hyperlink>
    </w:p>
    <w:p w14:paraId="5F044187" w14:textId="7686E34E" w:rsidR="00E26EF6" w:rsidRPr="00E26EF6" w:rsidRDefault="00E26EF6">
      <w:pPr>
        <w:pStyle w:val="TOC2"/>
        <w:rPr>
          <w:rFonts w:asciiTheme="minorHAnsi" w:eastAsiaTheme="minorEastAsia" w:hAnsiTheme="minorHAnsi" w:cstheme="minorBidi"/>
          <w:b w:val="0"/>
          <w:smallCaps w:val="0"/>
          <w:noProof w:val="0"/>
          <w:sz w:val="22"/>
        </w:rPr>
      </w:pPr>
      <w:hyperlink w:anchor="_Toc31014376" w:history="1">
        <w:r w:rsidRPr="00E26EF6">
          <w:rPr>
            <w:rStyle w:val="Hyperlink"/>
            <w:rFonts w:ascii="Times New Roman" w:hAnsi="Times New Roman"/>
            <w:noProof w:val="0"/>
          </w:rPr>
          <w:t>4.2.2.2.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_Toc31014376 \h </w:instrText>
        </w:r>
        <w:r w:rsidRPr="00E26EF6">
          <w:rPr>
            <w:noProof w:val="0"/>
            <w:webHidden/>
          </w:rPr>
        </w:r>
        <w:r w:rsidRPr="00E26EF6">
          <w:rPr>
            <w:noProof w:val="0"/>
            <w:webHidden/>
          </w:rPr>
          <w:fldChar w:fldCharType="separate"/>
        </w:r>
        <w:r w:rsidRPr="00E26EF6">
          <w:rPr>
            <w:noProof w:val="0"/>
            <w:webHidden/>
          </w:rPr>
          <w:t>141</w:t>
        </w:r>
        <w:r w:rsidRPr="00E26EF6">
          <w:rPr>
            <w:noProof w:val="0"/>
            <w:webHidden/>
          </w:rPr>
          <w:fldChar w:fldCharType="end"/>
        </w:r>
      </w:hyperlink>
    </w:p>
    <w:p w14:paraId="4152D27A" w14:textId="01192F9B" w:rsidR="00E26EF6" w:rsidRPr="00E26EF6" w:rsidRDefault="00E26EF6">
      <w:pPr>
        <w:pStyle w:val="TOC2"/>
        <w:rPr>
          <w:rFonts w:asciiTheme="minorHAnsi" w:eastAsiaTheme="minorEastAsia" w:hAnsiTheme="minorHAnsi" w:cstheme="minorBidi"/>
          <w:b w:val="0"/>
          <w:smallCaps w:val="0"/>
          <w:noProof w:val="0"/>
          <w:sz w:val="22"/>
        </w:rPr>
      </w:pPr>
      <w:hyperlink w:anchor="_Toc31014377" w:history="1">
        <w:r w:rsidRPr="00E26EF6">
          <w:rPr>
            <w:rStyle w:val="Hyperlink"/>
            <w:rFonts w:ascii="Times New Roman" w:hAnsi="Times New Roman"/>
            <w:noProof w:val="0"/>
          </w:rPr>
          <w:t>4.2.3.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17.02: Ryzyko operacyjne: Szczegółowe informacje na temat zdarzeń największych strat w ostatnim roku (OPR SZCZEGÓŁY 2)</w:t>
        </w:r>
        <w:r w:rsidRPr="00E26EF6">
          <w:rPr>
            <w:noProof w:val="0"/>
            <w:webHidden/>
          </w:rPr>
          <w:tab/>
        </w:r>
        <w:r w:rsidRPr="00E26EF6">
          <w:rPr>
            <w:noProof w:val="0"/>
            <w:webHidden/>
          </w:rPr>
          <w:fldChar w:fldCharType="begin"/>
        </w:r>
        <w:r w:rsidRPr="00E26EF6">
          <w:rPr>
            <w:noProof w:val="0"/>
            <w:webHidden/>
          </w:rPr>
          <w:instrText xml:space="preserve"> PAGEREF _Toc31014377 \h </w:instrText>
        </w:r>
        <w:r w:rsidRPr="00E26EF6">
          <w:rPr>
            <w:noProof w:val="0"/>
            <w:webHidden/>
          </w:rPr>
        </w:r>
        <w:r w:rsidRPr="00E26EF6">
          <w:rPr>
            <w:noProof w:val="0"/>
            <w:webHidden/>
          </w:rPr>
          <w:fldChar w:fldCharType="separate"/>
        </w:r>
        <w:r w:rsidRPr="00E26EF6">
          <w:rPr>
            <w:noProof w:val="0"/>
            <w:webHidden/>
          </w:rPr>
          <w:t>146</w:t>
        </w:r>
        <w:r w:rsidRPr="00E26EF6">
          <w:rPr>
            <w:noProof w:val="0"/>
            <w:webHidden/>
          </w:rPr>
          <w:fldChar w:fldCharType="end"/>
        </w:r>
      </w:hyperlink>
    </w:p>
    <w:p w14:paraId="21616485" w14:textId="6E7807F5" w:rsidR="00E26EF6" w:rsidRPr="00E26EF6" w:rsidRDefault="00E26EF6">
      <w:pPr>
        <w:pStyle w:val="TOC2"/>
        <w:rPr>
          <w:rFonts w:asciiTheme="minorHAnsi" w:eastAsiaTheme="minorEastAsia" w:hAnsiTheme="minorHAnsi" w:cstheme="minorBidi"/>
          <w:b w:val="0"/>
          <w:smallCaps w:val="0"/>
          <w:noProof w:val="0"/>
          <w:sz w:val="22"/>
        </w:rPr>
      </w:pPr>
      <w:hyperlink w:anchor="_Toc31014378" w:history="1">
        <w:r w:rsidRPr="00E26EF6">
          <w:rPr>
            <w:rStyle w:val="Hyperlink"/>
            <w:rFonts w:ascii="Times New Roman" w:hAnsi="Times New Roman"/>
            <w:noProof w:val="0"/>
          </w:rPr>
          <w:t>4.2.3.1.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_Toc31014378 \h </w:instrText>
        </w:r>
        <w:r w:rsidRPr="00E26EF6">
          <w:rPr>
            <w:noProof w:val="0"/>
            <w:webHidden/>
          </w:rPr>
        </w:r>
        <w:r w:rsidRPr="00E26EF6">
          <w:rPr>
            <w:noProof w:val="0"/>
            <w:webHidden/>
          </w:rPr>
          <w:fldChar w:fldCharType="separate"/>
        </w:r>
        <w:r w:rsidRPr="00E26EF6">
          <w:rPr>
            <w:noProof w:val="0"/>
            <w:webHidden/>
          </w:rPr>
          <w:t>146</w:t>
        </w:r>
        <w:r w:rsidRPr="00E26EF6">
          <w:rPr>
            <w:noProof w:val="0"/>
            <w:webHidden/>
          </w:rPr>
          <w:fldChar w:fldCharType="end"/>
        </w:r>
      </w:hyperlink>
    </w:p>
    <w:p w14:paraId="3059FFC2" w14:textId="41FB02F9" w:rsidR="00E26EF6" w:rsidRPr="00E26EF6" w:rsidRDefault="00E26EF6">
      <w:pPr>
        <w:pStyle w:val="TOC2"/>
        <w:rPr>
          <w:rFonts w:asciiTheme="minorHAnsi" w:eastAsiaTheme="minorEastAsia" w:hAnsiTheme="minorHAnsi" w:cstheme="minorBidi"/>
          <w:b w:val="0"/>
          <w:smallCaps w:val="0"/>
          <w:noProof w:val="0"/>
          <w:sz w:val="22"/>
        </w:rPr>
      </w:pPr>
      <w:hyperlink w:anchor="_Toc31014379" w:history="1">
        <w:r w:rsidRPr="00E26EF6">
          <w:rPr>
            <w:rStyle w:val="Hyperlink"/>
            <w:rFonts w:ascii="Times New Roman" w:hAnsi="Times New Roman"/>
            <w:noProof w:val="0"/>
          </w:rPr>
          <w:t>4.2.3.2.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_Toc31014379 \h </w:instrText>
        </w:r>
        <w:r w:rsidRPr="00E26EF6">
          <w:rPr>
            <w:noProof w:val="0"/>
            <w:webHidden/>
          </w:rPr>
        </w:r>
        <w:r w:rsidRPr="00E26EF6">
          <w:rPr>
            <w:noProof w:val="0"/>
            <w:webHidden/>
          </w:rPr>
          <w:fldChar w:fldCharType="separate"/>
        </w:r>
        <w:r w:rsidRPr="00E26EF6">
          <w:rPr>
            <w:noProof w:val="0"/>
            <w:webHidden/>
          </w:rPr>
          <w:t>147</w:t>
        </w:r>
        <w:r w:rsidRPr="00E26EF6">
          <w:rPr>
            <w:noProof w:val="0"/>
            <w:webHidden/>
          </w:rPr>
          <w:fldChar w:fldCharType="end"/>
        </w:r>
      </w:hyperlink>
    </w:p>
    <w:p w14:paraId="07B58D39" w14:textId="175DDB35" w:rsidR="00E26EF6" w:rsidRPr="00E26EF6" w:rsidRDefault="00E26EF6">
      <w:pPr>
        <w:pStyle w:val="TOC2"/>
        <w:rPr>
          <w:rFonts w:asciiTheme="minorHAnsi" w:eastAsiaTheme="minorEastAsia" w:hAnsiTheme="minorHAnsi" w:cstheme="minorBidi"/>
          <w:b w:val="0"/>
          <w:smallCaps w:val="0"/>
          <w:noProof w:val="0"/>
          <w:sz w:val="22"/>
        </w:rPr>
      </w:pPr>
      <w:hyperlink w:anchor="_Toc31014380" w:history="1">
        <w:r w:rsidRPr="00E26EF6">
          <w:rPr>
            <w:rStyle w:val="Hyperlink"/>
            <w:rFonts w:ascii="Times New Roman" w:hAnsi="Times New Roman"/>
            <w:noProof w:val="0"/>
          </w:rPr>
          <w:t>5.</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Wzory dotyczące ryzyka rynkowego</w:t>
        </w:r>
        <w:r w:rsidRPr="00E26EF6">
          <w:rPr>
            <w:noProof w:val="0"/>
            <w:webHidden/>
          </w:rPr>
          <w:tab/>
        </w:r>
        <w:r w:rsidRPr="00E26EF6">
          <w:rPr>
            <w:noProof w:val="0"/>
            <w:webHidden/>
          </w:rPr>
          <w:fldChar w:fldCharType="begin"/>
        </w:r>
        <w:r w:rsidRPr="00E26EF6">
          <w:rPr>
            <w:noProof w:val="0"/>
            <w:webHidden/>
          </w:rPr>
          <w:instrText xml:space="preserve"> PAGEREF _Toc31014380 \h </w:instrText>
        </w:r>
        <w:r w:rsidRPr="00E26EF6">
          <w:rPr>
            <w:noProof w:val="0"/>
            <w:webHidden/>
          </w:rPr>
        </w:r>
        <w:r w:rsidRPr="00E26EF6">
          <w:rPr>
            <w:noProof w:val="0"/>
            <w:webHidden/>
          </w:rPr>
          <w:fldChar w:fldCharType="separate"/>
        </w:r>
        <w:r w:rsidRPr="00E26EF6">
          <w:rPr>
            <w:noProof w:val="0"/>
            <w:webHidden/>
          </w:rPr>
          <w:t>149</w:t>
        </w:r>
        <w:r w:rsidRPr="00E26EF6">
          <w:rPr>
            <w:noProof w:val="0"/>
            <w:webHidden/>
          </w:rPr>
          <w:fldChar w:fldCharType="end"/>
        </w:r>
      </w:hyperlink>
    </w:p>
    <w:p w14:paraId="5AF76BB8" w14:textId="7E1B7144" w:rsidR="00E26EF6" w:rsidRPr="00E26EF6" w:rsidRDefault="00E26EF6">
      <w:pPr>
        <w:pStyle w:val="TOC2"/>
        <w:rPr>
          <w:rFonts w:asciiTheme="minorHAnsi" w:eastAsiaTheme="minorEastAsia" w:hAnsiTheme="minorHAnsi" w:cstheme="minorBidi"/>
          <w:b w:val="0"/>
          <w:smallCaps w:val="0"/>
          <w:noProof w:val="0"/>
          <w:sz w:val="22"/>
        </w:rPr>
      </w:pPr>
      <w:hyperlink w:anchor="_Toc31014381" w:history="1">
        <w:r w:rsidRPr="00E26EF6">
          <w:rPr>
            <w:rStyle w:val="Hyperlink"/>
            <w:rFonts w:ascii="Times New Roman" w:hAnsi="Times New Roman"/>
            <w:noProof w:val="0"/>
          </w:rPr>
          <w:t>5.1.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18.00 – Ryzyko rynkowe: ryzyko pozycji z tytułu rynkowych instrumentów dłużnych według metody standardowej (MKR SA TDI)</w:t>
        </w:r>
        <w:r w:rsidRPr="00E26EF6">
          <w:rPr>
            <w:noProof w:val="0"/>
            <w:webHidden/>
          </w:rPr>
          <w:tab/>
        </w:r>
        <w:r w:rsidRPr="00E26EF6">
          <w:rPr>
            <w:noProof w:val="0"/>
            <w:webHidden/>
          </w:rPr>
          <w:fldChar w:fldCharType="begin"/>
        </w:r>
        <w:r w:rsidRPr="00E26EF6">
          <w:rPr>
            <w:noProof w:val="0"/>
            <w:webHidden/>
          </w:rPr>
          <w:instrText xml:space="preserve"> PAGEREF _Toc31014381 \h </w:instrText>
        </w:r>
        <w:r w:rsidRPr="00E26EF6">
          <w:rPr>
            <w:noProof w:val="0"/>
            <w:webHidden/>
          </w:rPr>
        </w:r>
        <w:r w:rsidRPr="00E26EF6">
          <w:rPr>
            <w:noProof w:val="0"/>
            <w:webHidden/>
          </w:rPr>
          <w:fldChar w:fldCharType="separate"/>
        </w:r>
        <w:r w:rsidRPr="00E26EF6">
          <w:rPr>
            <w:noProof w:val="0"/>
            <w:webHidden/>
          </w:rPr>
          <w:t>149</w:t>
        </w:r>
        <w:r w:rsidRPr="00E26EF6">
          <w:rPr>
            <w:noProof w:val="0"/>
            <w:webHidden/>
          </w:rPr>
          <w:fldChar w:fldCharType="end"/>
        </w:r>
      </w:hyperlink>
    </w:p>
    <w:p w14:paraId="60EC4B88" w14:textId="0583FA44" w:rsidR="00E26EF6" w:rsidRPr="00E26EF6" w:rsidRDefault="00E26EF6">
      <w:pPr>
        <w:pStyle w:val="TOC2"/>
        <w:rPr>
          <w:rFonts w:asciiTheme="minorHAnsi" w:eastAsiaTheme="minorEastAsia" w:hAnsiTheme="minorHAnsi" w:cstheme="minorBidi"/>
          <w:b w:val="0"/>
          <w:smallCaps w:val="0"/>
          <w:noProof w:val="0"/>
          <w:sz w:val="22"/>
        </w:rPr>
      </w:pPr>
      <w:hyperlink w:anchor="_Toc31014382" w:history="1">
        <w:r w:rsidRPr="00E26EF6">
          <w:rPr>
            <w:rStyle w:val="Hyperlink"/>
            <w:rFonts w:ascii="Times New Roman" w:hAnsi="Times New Roman"/>
            <w:noProof w:val="0"/>
          </w:rPr>
          <w:t>5.1.1.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_Toc31014382 \h </w:instrText>
        </w:r>
        <w:r w:rsidRPr="00E26EF6">
          <w:rPr>
            <w:noProof w:val="0"/>
            <w:webHidden/>
          </w:rPr>
        </w:r>
        <w:r w:rsidRPr="00E26EF6">
          <w:rPr>
            <w:noProof w:val="0"/>
            <w:webHidden/>
          </w:rPr>
          <w:fldChar w:fldCharType="separate"/>
        </w:r>
        <w:r w:rsidRPr="00E26EF6">
          <w:rPr>
            <w:noProof w:val="0"/>
            <w:webHidden/>
          </w:rPr>
          <w:t>149</w:t>
        </w:r>
        <w:r w:rsidRPr="00E26EF6">
          <w:rPr>
            <w:noProof w:val="0"/>
            <w:webHidden/>
          </w:rPr>
          <w:fldChar w:fldCharType="end"/>
        </w:r>
      </w:hyperlink>
    </w:p>
    <w:p w14:paraId="641A8A81" w14:textId="593CC1FC" w:rsidR="00E26EF6" w:rsidRPr="00E26EF6" w:rsidRDefault="00E26EF6">
      <w:pPr>
        <w:pStyle w:val="TOC2"/>
        <w:rPr>
          <w:rFonts w:asciiTheme="minorHAnsi" w:eastAsiaTheme="minorEastAsia" w:hAnsiTheme="minorHAnsi" w:cstheme="minorBidi"/>
          <w:b w:val="0"/>
          <w:smallCaps w:val="0"/>
          <w:noProof w:val="0"/>
          <w:sz w:val="22"/>
        </w:rPr>
      </w:pPr>
      <w:hyperlink w:anchor="_Toc31014383" w:history="1">
        <w:r w:rsidRPr="00E26EF6">
          <w:rPr>
            <w:rStyle w:val="Hyperlink"/>
            <w:rFonts w:ascii="Times New Roman" w:hAnsi="Times New Roman"/>
            <w:noProof w:val="0"/>
          </w:rPr>
          <w:t>5.1.2.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_Toc31014383 \h </w:instrText>
        </w:r>
        <w:r w:rsidRPr="00E26EF6">
          <w:rPr>
            <w:noProof w:val="0"/>
            <w:webHidden/>
          </w:rPr>
        </w:r>
        <w:r w:rsidRPr="00E26EF6">
          <w:rPr>
            <w:noProof w:val="0"/>
            <w:webHidden/>
          </w:rPr>
          <w:fldChar w:fldCharType="separate"/>
        </w:r>
        <w:r w:rsidRPr="00E26EF6">
          <w:rPr>
            <w:noProof w:val="0"/>
            <w:webHidden/>
          </w:rPr>
          <w:t>149</w:t>
        </w:r>
        <w:r w:rsidRPr="00E26EF6">
          <w:rPr>
            <w:noProof w:val="0"/>
            <w:webHidden/>
          </w:rPr>
          <w:fldChar w:fldCharType="end"/>
        </w:r>
      </w:hyperlink>
    </w:p>
    <w:p w14:paraId="6940587E" w14:textId="650E132D" w:rsidR="00E26EF6" w:rsidRPr="00E26EF6" w:rsidRDefault="00E26EF6">
      <w:pPr>
        <w:pStyle w:val="TOC2"/>
        <w:rPr>
          <w:rFonts w:asciiTheme="minorHAnsi" w:eastAsiaTheme="minorEastAsia" w:hAnsiTheme="minorHAnsi" w:cstheme="minorBidi"/>
          <w:b w:val="0"/>
          <w:smallCaps w:val="0"/>
          <w:noProof w:val="0"/>
          <w:sz w:val="22"/>
        </w:rPr>
      </w:pPr>
      <w:hyperlink w:anchor="_Toc31014384" w:history="1">
        <w:r w:rsidRPr="00E26EF6">
          <w:rPr>
            <w:rStyle w:val="Hyperlink"/>
            <w:rFonts w:ascii="Times New Roman" w:hAnsi="Times New Roman"/>
            <w:noProof w:val="0"/>
          </w:rPr>
          <w:t>5.2.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19.00 – RYZYKO RYNKOWE: SZCZEGÓLNE RYZYKO Z TYTUŁU SEKURYTYZACJI WEDŁUG METODY STANDARDOWEJ (MKR SA SEC)</w:t>
        </w:r>
        <w:r w:rsidRPr="00E26EF6">
          <w:rPr>
            <w:noProof w:val="0"/>
            <w:webHidden/>
          </w:rPr>
          <w:tab/>
        </w:r>
        <w:r w:rsidRPr="00E26EF6">
          <w:rPr>
            <w:noProof w:val="0"/>
            <w:webHidden/>
          </w:rPr>
          <w:fldChar w:fldCharType="begin"/>
        </w:r>
        <w:r w:rsidRPr="00E26EF6">
          <w:rPr>
            <w:noProof w:val="0"/>
            <w:webHidden/>
          </w:rPr>
          <w:instrText xml:space="preserve"> PAGEREF _Toc31014384 \h </w:instrText>
        </w:r>
        <w:r w:rsidRPr="00E26EF6">
          <w:rPr>
            <w:noProof w:val="0"/>
            <w:webHidden/>
          </w:rPr>
        </w:r>
        <w:r w:rsidRPr="00E26EF6">
          <w:rPr>
            <w:noProof w:val="0"/>
            <w:webHidden/>
          </w:rPr>
          <w:fldChar w:fldCharType="separate"/>
        </w:r>
        <w:r w:rsidRPr="00E26EF6">
          <w:rPr>
            <w:noProof w:val="0"/>
            <w:webHidden/>
          </w:rPr>
          <w:t>151</w:t>
        </w:r>
        <w:r w:rsidRPr="00E26EF6">
          <w:rPr>
            <w:noProof w:val="0"/>
            <w:webHidden/>
          </w:rPr>
          <w:fldChar w:fldCharType="end"/>
        </w:r>
      </w:hyperlink>
    </w:p>
    <w:p w14:paraId="648FCD9C" w14:textId="580A1525" w:rsidR="00E26EF6" w:rsidRPr="00E26EF6" w:rsidRDefault="00E26EF6">
      <w:pPr>
        <w:pStyle w:val="TOC2"/>
        <w:rPr>
          <w:rFonts w:asciiTheme="minorHAnsi" w:eastAsiaTheme="minorEastAsia" w:hAnsiTheme="minorHAnsi" w:cstheme="minorBidi"/>
          <w:b w:val="0"/>
          <w:smallCaps w:val="0"/>
          <w:noProof w:val="0"/>
          <w:sz w:val="22"/>
        </w:rPr>
      </w:pPr>
      <w:hyperlink w:anchor="_Toc31014385" w:history="1">
        <w:r w:rsidRPr="00E26EF6">
          <w:rPr>
            <w:rStyle w:val="Hyperlink"/>
            <w:rFonts w:ascii="Times New Roman" w:hAnsi="Times New Roman"/>
            <w:noProof w:val="0"/>
          </w:rPr>
          <w:t>5.2.1.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_Toc31014385 \h </w:instrText>
        </w:r>
        <w:r w:rsidRPr="00E26EF6">
          <w:rPr>
            <w:noProof w:val="0"/>
            <w:webHidden/>
          </w:rPr>
        </w:r>
        <w:r w:rsidRPr="00E26EF6">
          <w:rPr>
            <w:noProof w:val="0"/>
            <w:webHidden/>
          </w:rPr>
          <w:fldChar w:fldCharType="separate"/>
        </w:r>
        <w:r w:rsidRPr="00E26EF6">
          <w:rPr>
            <w:noProof w:val="0"/>
            <w:webHidden/>
          </w:rPr>
          <w:t>151</w:t>
        </w:r>
        <w:r w:rsidRPr="00E26EF6">
          <w:rPr>
            <w:noProof w:val="0"/>
            <w:webHidden/>
          </w:rPr>
          <w:fldChar w:fldCharType="end"/>
        </w:r>
      </w:hyperlink>
    </w:p>
    <w:p w14:paraId="7BCFD2D4" w14:textId="5D6F27E6" w:rsidR="00E26EF6" w:rsidRPr="00E26EF6" w:rsidRDefault="00E26EF6">
      <w:pPr>
        <w:pStyle w:val="TOC2"/>
        <w:rPr>
          <w:rFonts w:asciiTheme="minorHAnsi" w:eastAsiaTheme="minorEastAsia" w:hAnsiTheme="minorHAnsi" w:cstheme="minorBidi"/>
          <w:b w:val="0"/>
          <w:smallCaps w:val="0"/>
          <w:noProof w:val="0"/>
          <w:sz w:val="22"/>
        </w:rPr>
      </w:pPr>
      <w:hyperlink w:anchor="_Toc31014386" w:history="1">
        <w:r w:rsidRPr="00E26EF6">
          <w:rPr>
            <w:rStyle w:val="Hyperlink"/>
            <w:rFonts w:ascii="Times New Roman" w:hAnsi="Times New Roman"/>
            <w:noProof w:val="0"/>
          </w:rPr>
          <w:t>5.2.2.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_Toc31014386 \h </w:instrText>
        </w:r>
        <w:r w:rsidRPr="00E26EF6">
          <w:rPr>
            <w:noProof w:val="0"/>
            <w:webHidden/>
          </w:rPr>
        </w:r>
        <w:r w:rsidRPr="00E26EF6">
          <w:rPr>
            <w:noProof w:val="0"/>
            <w:webHidden/>
          </w:rPr>
          <w:fldChar w:fldCharType="separate"/>
        </w:r>
        <w:r w:rsidRPr="00E26EF6">
          <w:rPr>
            <w:noProof w:val="0"/>
            <w:webHidden/>
          </w:rPr>
          <w:t>152</w:t>
        </w:r>
        <w:r w:rsidRPr="00E26EF6">
          <w:rPr>
            <w:noProof w:val="0"/>
            <w:webHidden/>
          </w:rPr>
          <w:fldChar w:fldCharType="end"/>
        </w:r>
      </w:hyperlink>
    </w:p>
    <w:p w14:paraId="6ED80433" w14:textId="3880484F" w:rsidR="00E26EF6" w:rsidRPr="00E26EF6" w:rsidRDefault="00E26EF6">
      <w:pPr>
        <w:pStyle w:val="TOC2"/>
        <w:rPr>
          <w:rFonts w:asciiTheme="minorHAnsi" w:eastAsiaTheme="minorEastAsia" w:hAnsiTheme="minorHAnsi" w:cstheme="minorBidi"/>
          <w:b w:val="0"/>
          <w:smallCaps w:val="0"/>
          <w:noProof w:val="0"/>
          <w:sz w:val="22"/>
        </w:rPr>
      </w:pPr>
      <w:hyperlink w:anchor="_Toc31014387" w:history="1">
        <w:r w:rsidRPr="00E26EF6">
          <w:rPr>
            <w:rStyle w:val="Hyperlink"/>
            <w:rFonts w:ascii="Times New Roman" w:hAnsi="Times New Roman"/>
            <w:noProof w:val="0"/>
          </w:rPr>
          <w:t>5.3.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20.00 – RYZYKO RYNKOWE: SZCZEGÓLNE RYZYKO Z TYTUŁU KORELACYJNEGO PORTFELA HANDLOWEGO WEDŁUG METODY STANDARDOWEJ (MKR SA CTP)</w:t>
        </w:r>
        <w:r w:rsidRPr="00E26EF6">
          <w:rPr>
            <w:noProof w:val="0"/>
            <w:webHidden/>
          </w:rPr>
          <w:tab/>
        </w:r>
        <w:r w:rsidRPr="00E26EF6">
          <w:rPr>
            <w:noProof w:val="0"/>
            <w:webHidden/>
          </w:rPr>
          <w:fldChar w:fldCharType="begin"/>
        </w:r>
        <w:r w:rsidRPr="00E26EF6">
          <w:rPr>
            <w:noProof w:val="0"/>
            <w:webHidden/>
          </w:rPr>
          <w:instrText xml:space="preserve"> PAGEREF _Toc31014387 \h </w:instrText>
        </w:r>
        <w:r w:rsidRPr="00E26EF6">
          <w:rPr>
            <w:noProof w:val="0"/>
            <w:webHidden/>
          </w:rPr>
        </w:r>
        <w:r w:rsidRPr="00E26EF6">
          <w:rPr>
            <w:noProof w:val="0"/>
            <w:webHidden/>
          </w:rPr>
          <w:fldChar w:fldCharType="separate"/>
        </w:r>
        <w:r w:rsidRPr="00E26EF6">
          <w:rPr>
            <w:noProof w:val="0"/>
            <w:webHidden/>
          </w:rPr>
          <w:t>154</w:t>
        </w:r>
        <w:r w:rsidRPr="00E26EF6">
          <w:rPr>
            <w:noProof w:val="0"/>
            <w:webHidden/>
          </w:rPr>
          <w:fldChar w:fldCharType="end"/>
        </w:r>
      </w:hyperlink>
    </w:p>
    <w:p w14:paraId="70261C06" w14:textId="5A4357D2" w:rsidR="00E26EF6" w:rsidRPr="00E26EF6" w:rsidRDefault="00E26EF6">
      <w:pPr>
        <w:pStyle w:val="TOC2"/>
        <w:rPr>
          <w:rFonts w:asciiTheme="minorHAnsi" w:eastAsiaTheme="minorEastAsia" w:hAnsiTheme="minorHAnsi" w:cstheme="minorBidi"/>
          <w:b w:val="0"/>
          <w:smallCaps w:val="0"/>
          <w:noProof w:val="0"/>
          <w:sz w:val="22"/>
        </w:rPr>
      </w:pPr>
      <w:hyperlink w:anchor="_Toc31014388" w:history="1">
        <w:r w:rsidRPr="00E26EF6">
          <w:rPr>
            <w:rStyle w:val="Hyperlink"/>
            <w:rFonts w:ascii="Times New Roman" w:hAnsi="Times New Roman"/>
            <w:noProof w:val="0"/>
          </w:rPr>
          <w:t>5.3.1.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_Toc31014388 \h </w:instrText>
        </w:r>
        <w:r w:rsidRPr="00E26EF6">
          <w:rPr>
            <w:noProof w:val="0"/>
            <w:webHidden/>
          </w:rPr>
        </w:r>
        <w:r w:rsidRPr="00E26EF6">
          <w:rPr>
            <w:noProof w:val="0"/>
            <w:webHidden/>
          </w:rPr>
          <w:fldChar w:fldCharType="separate"/>
        </w:r>
        <w:r w:rsidRPr="00E26EF6">
          <w:rPr>
            <w:noProof w:val="0"/>
            <w:webHidden/>
          </w:rPr>
          <w:t>154</w:t>
        </w:r>
        <w:r w:rsidRPr="00E26EF6">
          <w:rPr>
            <w:noProof w:val="0"/>
            <w:webHidden/>
          </w:rPr>
          <w:fldChar w:fldCharType="end"/>
        </w:r>
      </w:hyperlink>
    </w:p>
    <w:p w14:paraId="010E09FF" w14:textId="7311BFF5" w:rsidR="00E26EF6" w:rsidRPr="00E26EF6" w:rsidRDefault="00E26EF6">
      <w:pPr>
        <w:pStyle w:val="TOC2"/>
        <w:rPr>
          <w:rFonts w:asciiTheme="minorHAnsi" w:eastAsiaTheme="minorEastAsia" w:hAnsiTheme="minorHAnsi" w:cstheme="minorBidi"/>
          <w:b w:val="0"/>
          <w:smallCaps w:val="0"/>
          <w:noProof w:val="0"/>
          <w:sz w:val="22"/>
        </w:rPr>
      </w:pPr>
      <w:hyperlink w:anchor="_Toc31014389" w:history="1">
        <w:r w:rsidRPr="00E26EF6">
          <w:rPr>
            <w:rStyle w:val="Hyperlink"/>
            <w:rFonts w:ascii="Times New Roman" w:hAnsi="Times New Roman"/>
            <w:noProof w:val="0"/>
          </w:rPr>
          <w:t>5.3.2.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_Toc31014389 \h </w:instrText>
        </w:r>
        <w:r w:rsidRPr="00E26EF6">
          <w:rPr>
            <w:noProof w:val="0"/>
            <w:webHidden/>
          </w:rPr>
        </w:r>
        <w:r w:rsidRPr="00E26EF6">
          <w:rPr>
            <w:noProof w:val="0"/>
            <w:webHidden/>
          </w:rPr>
          <w:fldChar w:fldCharType="separate"/>
        </w:r>
        <w:r w:rsidRPr="00E26EF6">
          <w:rPr>
            <w:noProof w:val="0"/>
            <w:webHidden/>
          </w:rPr>
          <w:t>154</w:t>
        </w:r>
        <w:r w:rsidRPr="00E26EF6">
          <w:rPr>
            <w:noProof w:val="0"/>
            <w:webHidden/>
          </w:rPr>
          <w:fldChar w:fldCharType="end"/>
        </w:r>
      </w:hyperlink>
    </w:p>
    <w:p w14:paraId="12A219D6" w14:textId="1F8CD05E" w:rsidR="00E26EF6" w:rsidRPr="00E26EF6" w:rsidRDefault="00E26EF6">
      <w:pPr>
        <w:pStyle w:val="TOC2"/>
        <w:rPr>
          <w:rFonts w:asciiTheme="minorHAnsi" w:eastAsiaTheme="minorEastAsia" w:hAnsiTheme="minorHAnsi" w:cstheme="minorBidi"/>
          <w:b w:val="0"/>
          <w:smallCaps w:val="0"/>
          <w:noProof w:val="0"/>
          <w:sz w:val="22"/>
        </w:rPr>
      </w:pPr>
      <w:hyperlink w:anchor="_Toc31014390" w:history="1">
        <w:r w:rsidRPr="00E26EF6">
          <w:rPr>
            <w:rStyle w:val="Hyperlink"/>
            <w:rFonts w:ascii="Times New Roman" w:hAnsi="Times New Roman"/>
            <w:noProof w:val="0"/>
          </w:rPr>
          <w:t>5.4.</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21.00 – Ryzyko rynkowe: ryzyko pozycji związane z papierami kapitałowymi według metody standardowej (MKR SA EQU)</w:t>
        </w:r>
        <w:r w:rsidRPr="00E26EF6">
          <w:rPr>
            <w:noProof w:val="0"/>
            <w:webHidden/>
          </w:rPr>
          <w:tab/>
        </w:r>
        <w:r w:rsidRPr="00E26EF6">
          <w:rPr>
            <w:noProof w:val="0"/>
            <w:webHidden/>
          </w:rPr>
          <w:fldChar w:fldCharType="begin"/>
        </w:r>
        <w:r w:rsidRPr="00E26EF6">
          <w:rPr>
            <w:noProof w:val="0"/>
            <w:webHidden/>
          </w:rPr>
          <w:instrText xml:space="preserve"> PAGEREF _Toc31014390 \h </w:instrText>
        </w:r>
        <w:r w:rsidRPr="00E26EF6">
          <w:rPr>
            <w:noProof w:val="0"/>
            <w:webHidden/>
          </w:rPr>
        </w:r>
        <w:r w:rsidRPr="00E26EF6">
          <w:rPr>
            <w:noProof w:val="0"/>
            <w:webHidden/>
          </w:rPr>
          <w:fldChar w:fldCharType="separate"/>
        </w:r>
        <w:r w:rsidRPr="00E26EF6">
          <w:rPr>
            <w:noProof w:val="0"/>
            <w:webHidden/>
          </w:rPr>
          <w:t>156</w:t>
        </w:r>
        <w:r w:rsidRPr="00E26EF6">
          <w:rPr>
            <w:noProof w:val="0"/>
            <w:webHidden/>
          </w:rPr>
          <w:fldChar w:fldCharType="end"/>
        </w:r>
      </w:hyperlink>
    </w:p>
    <w:p w14:paraId="6FC5E1EF" w14:textId="36534CF3" w:rsidR="00E26EF6" w:rsidRPr="00E26EF6" w:rsidRDefault="00E26EF6">
      <w:pPr>
        <w:pStyle w:val="TOC2"/>
        <w:rPr>
          <w:rFonts w:asciiTheme="minorHAnsi" w:eastAsiaTheme="minorEastAsia" w:hAnsiTheme="minorHAnsi" w:cstheme="minorBidi"/>
          <w:b w:val="0"/>
          <w:smallCaps w:val="0"/>
          <w:noProof w:val="0"/>
          <w:sz w:val="22"/>
        </w:rPr>
      </w:pPr>
      <w:hyperlink w:anchor="_Toc31014391" w:history="1">
        <w:r w:rsidRPr="00E26EF6">
          <w:rPr>
            <w:rStyle w:val="Hyperlink"/>
            <w:rFonts w:ascii="Times New Roman" w:hAnsi="Times New Roman"/>
            <w:noProof w:val="0"/>
          </w:rPr>
          <w:t>5.4.1.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_Toc31014391 \h </w:instrText>
        </w:r>
        <w:r w:rsidRPr="00E26EF6">
          <w:rPr>
            <w:noProof w:val="0"/>
            <w:webHidden/>
          </w:rPr>
        </w:r>
        <w:r w:rsidRPr="00E26EF6">
          <w:rPr>
            <w:noProof w:val="0"/>
            <w:webHidden/>
          </w:rPr>
          <w:fldChar w:fldCharType="separate"/>
        </w:r>
        <w:r w:rsidRPr="00E26EF6">
          <w:rPr>
            <w:noProof w:val="0"/>
            <w:webHidden/>
          </w:rPr>
          <w:t>156</w:t>
        </w:r>
        <w:r w:rsidRPr="00E26EF6">
          <w:rPr>
            <w:noProof w:val="0"/>
            <w:webHidden/>
          </w:rPr>
          <w:fldChar w:fldCharType="end"/>
        </w:r>
      </w:hyperlink>
    </w:p>
    <w:p w14:paraId="15798633" w14:textId="53D443C3" w:rsidR="00E26EF6" w:rsidRPr="00E26EF6" w:rsidRDefault="00E26EF6">
      <w:pPr>
        <w:pStyle w:val="TOC2"/>
        <w:rPr>
          <w:rFonts w:asciiTheme="minorHAnsi" w:eastAsiaTheme="minorEastAsia" w:hAnsiTheme="minorHAnsi" w:cstheme="minorBidi"/>
          <w:b w:val="0"/>
          <w:smallCaps w:val="0"/>
          <w:noProof w:val="0"/>
          <w:sz w:val="22"/>
        </w:rPr>
      </w:pPr>
      <w:hyperlink w:anchor="_Toc31014392" w:history="1">
        <w:r w:rsidRPr="00E26EF6">
          <w:rPr>
            <w:rStyle w:val="Hyperlink"/>
            <w:rFonts w:ascii="Times New Roman" w:hAnsi="Times New Roman"/>
            <w:noProof w:val="0"/>
          </w:rPr>
          <w:t>5.4.2.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_Toc31014392 \h </w:instrText>
        </w:r>
        <w:r w:rsidRPr="00E26EF6">
          <w:rPr>
            <w:noProof w:val="0"/>
            <w:webHidden/>
          </w:rPr>
        </w:r>
        <w:r w:rsidRPr="00E26EF6">
          <w:rPr>
            <w:noProof w:val="0"/>
            <w:webHidden/>
          </w:rPr>
          <w:fldChar w:fldCharType="separate"/>
        </w:r>
        <w:r w:rsidRPr="00E26EF6">
          <w:rPr>
            <w:noProof w:val="0"/>
            <w:webHidden/>
          </w:rPr>
          <w:t>157</w:t>
        </w:r>
        <w:r w:rsidRPr="00E26EF6">
          <w:rPr>
            <w:noProof w:val="0"/>
            <w:webHidden/>
          </w:rPr>
          <w:fldChar w:fldCharType="end"/>
        </w:r>
      </w:hyperlink>
    </w:p>
    <w:p w14:paraId="721E11D7" w14:textId="3CBB88C9" w:rsidR="00E26EF6" w:rsidRPr="00E26EF6" w:rsidRDefault="00E26EF6">
      <w:pPr>
        <w:pStyle w:val="TOC2"/>
        <w:rPr>
          <w:rFonts w:asciiTheme="minorHAnsi" w:eastAsiaTheme="minorEastAsia" w:hAnsiTheme="minorHAnsi" w:cstheme="minorBidi"/>
          <w:b w:val="0"/>
          <w:smallCaps w:val="0"/>
          <w:noProof w:val="0"/>
          <w:sz w:val="22"/>
        </w:rPr>
      </w:pPr>
      <w:hyperlink w:anchor="_Toc31014393" w:history="1">
        <w:r w:rsidRPr="00E26EF6">
          <w:rPr>
            <w:rStyle w:val="Hyperlink"/>
            <w:rFonts w:ascii="Times New Roman" w:hAnsi="Times New Roman"/>
            <w:noProof w:val="0"/>
          </w:rPr>
          <w:t>5.5.</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22.00 – Ryzyko rynkowe: ryzyko walutowe według metod standardowych (MKR SA FX)</w:t>
        </w:r>
        <w:r w:rsidRPr="00E26EF6">
          <w:rPr>
            <w:noProof w:val="0"/>
            <w:webHidden/>
          </w:rPr>
          <w:tab/>
        </w:r>
        <w:r w:rsidRPr="00E26EF6">
          <w:rPr>
            <w:noProof w:val="0"/>
            <w:webHidden/>
          </w:rPr>
          <w:fldChar w:fldCharType="begin"/>
        </w:r>
        <w:r w:rsidRPr="00E26EF6">
          <w:rPr>
            <w:noProof w:val="0"/>
            <w:webHidden/>
          </w:rPr>
          <w:instrText xml:space="preserve"> PAGEREF _Toc31014393 \h </w:instrText>
        </w:r>
        <w:r w:rsidRPr="00E26EF6">
          <w:rPr>
            <w:noProof w:val="0"/>
            <w:webHidden/>
          </w:rPr>
        </w:r>
        <w:r w:rsidRPr="00E26EF6">
          <w:rPr>
            <w:noProof w:val="0"/>
            <w:webHidden/>
          </w:rPr>
          <w:fldChar w:fldCharType="separate"/>
        </w:r>
        <w:r w:rsidRPr="00E26EF6">
          <w:rPr>
            <w:noProof w:val="0"/>
            <w:webHidden/>
          </w:rPr>
          <w:t>158</w:t>
        </w:r>
        <w:r w:rsidRPr="00E26EF6">
          <w:rPr>
            <w:noProof w:val="0"/>
            <w:webHidden/>
          </w:rPr>
          <w:fldChar w:fldCharType="end"/>
        </w:r>
      </w:hyperlink>
    </w:p>
    <w:p w14:paraId="069F519B" w14:textId="13BBE6A9" w:rsidR="00E26EF6" w:rsidRPr="00E26EF6" w:rsidRDefault="00E26EF6">
      <w:pPr>
        <w:pStyle w:val="TOC2"/>
        <w:rPr>
          <w:rFonts w:asciiTheme="minorHAnsi" w:eastAsiaTheme="minorEastAsia" w:hAnsiTheme="minorHAnsi" w:cstheme="minorBidi"/>
          <w:b w:val="0"/>
          <w:smallCaps w:val="0"/>
          <w:noProof w:val="0"/>
          <w:sz w:val="22"/>
        </w:rPr>
      </w:pPr>
      <w:hyperlink w:anchor="_Toc31014394" w:history="1">
        <w:r w:rsidRPr="00E26EF6">
          <w:rPr>
            <w:rStyle w:val="Hyperlink"/>
            <w:rFonts w:ascii="Times New Roman" w:hAnsi="Times New Roman"/>
            <w:noProof w:val="0"/>
          </w:rPr>
          <w:t>5.5.1.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_Toc31014394 \h </w:instrText>
        </w:r>
        <w:r w:rsidRPr="00E26EF6">
          <w:rPr>
            <w:noProof w:val="0"/>
            <w:webHidden/>
          </w:rPr>
        </w:r>
        <w:r w:rsidRPr="00E26EF6">
          <w:rPr>
            <w:noProof w:val="0"/>
            <w:webHidden/>
          </w:rPr>
          <w:fldChar w:fldCharType="separate"/>
        </w:r>
        <w:r w:rsidRPr="00E26EF6">
          <w:rPr>
            <w:noProof w:val="0"/>
            <w:webHidden/>
          </w:rPr>
          <w:t>158</w:t>
        </w:r>
        <w:r w:rsidRPr="00E26EF6">
          <w:rPr>
            <w:noProof w:val="0"/>
            <w:webHidden/>
          </w:rPr>
          <w:fldChar w:fldCharType="end"/>
        </w:r>
      </w:hyperlink>
    </w:p>
    <w:p w14:paraId="290A5B63" w14:textId="406CA9F8" w:rsidR="00E26EF6" w:rsidRPr="00E26EF6" w:rsidRDefault="00E26EF6">
      <w:pPr>
        <w:pStyle w:val="TOC2"/>
        <w:rPr>
          <w:rFonts w:asciiTheme="minorHAnsi" w:eastAsiaTheme="minorEastAsia" w:hAnsiTheme="minorHAnsi" w:cstheme="minorBidi"/>
          <w:b w:val="0"/>
          <w:smallCaps w:val="0"/>
          <w:noProof w:val="0"/>
          <w:sz w:val="22"/>
        </w:rPr>
      </w:pPr>
      <w:hyperlink w:anchor="_Toc31014395" w:history="1">
        <w:r w:rsidRPr="00E26EF6">
          <w:rPr>
            <w:rStyle w:val="Hyperlink"/>
            <w:rFonts w:ascii="Times New Roman" w:hAnsi="Times New Roman"/>
            <w:noProof w:val="0"/>
          </w:rPr>
          <w:t>5.5.2.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_Toc31014395 \h </w:instrText>
        </w:r>
        <w:r w:rsidRPr="00E26EF6">
          <w:rPr>
            <w:noProof w:val="0"/>
            <w:webHidden/>
          </w:rPr>
        </w:r>
        <w:r w:rsidRPr="00E26EF6">
          <w:rPr>
            <w:noProof w:val="0"/>
            <w:webHidden/>
          </w:rPr>
          <w:fldChar w:fldCharType="separate"/>
        </w:r>
        <w:r w:rsidRPr="00E26EF6">
          <w:rPr>
            <w:noProof w:val="0"/>
            <w:webHidden/>
          </w:rPr>
          <w:t>159</w:t>
        </w:r>
        <w:r w:rsidRPr="00E26EF6">
          <w:rPr>
            <w:noProof w:val="0"/>
            <w:webHidden/>
          </w:rPr>
          <w:fldChar w:fldCharType="end"/>
        </w:r>
      </w:hyperlink>
    </w:p>
    <w:p w14:paraId="0D60A1A9" w14:textId="7FDD5B28" w:rsidR="00E26EF6" w:rsidRPr="00E26EF6" w:rsidRDefault="00E26EF6">
      <w:pPr>
        <w:pStyle w:val="TOC2"/>
        <w:rPr>
          <w:rFonts w:asciiTheme="minorHAnsi" w:eastAsiaTheme="minorEastAsia" w:hAnsiTheme="minorHAnsi" w:cstheme="minorBidi"/>
          <w:b w:val="0"/>
          <w:smallCaps w:val="0"/>
          <w:noProof w:val="0"/>
          <w:sz w:val="22"/>
        </w:rPr>
      </w:pPr>
      <w:hyperlink w:anchor="_Toc31014396" w:history="1">
        <w:r w:rsidRPr="00E26EF6">
          <w:rPr>
            <w:rStyle w:val="Hyperlink"/>
            <w:rFonts w:ascii="Times New Roman" w:hAnsi="Times New Roman"/>
            <w:noProof w:val="0"/>
          </w:rPr>
          <w:t>5.6.</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23.00 – Ryzyko rynkowe: ryzyko cen towarów według metod standardowych (MKR SA COM)</w:t>
        </w:r>
        <w:r w:rsidRPr="00E26EF6">
          <w:rPr>
            <w:noProof w:val="0"/>
            <w:webHidden/>
          </w:rPr>
          <w:tab/>
        </w:r>
        <w:r w:rsidRPr="00E26EF6">
          <w:rPr>
            <w:noProof w:val="0"/>
            <w:webHidden/>
          </w:rPr>
          <w:fldChar w:fldCharType="begin"/>
        </w:r>
        <w:r w:rsidRPr="00E26EF6">
          <w:rPr>
            <w:noProof w:val="0"/>
            <w:webHidden/>
          </w:rPr>
          <w:instrText xml:space="preserve"> PAGEREF _Toc31014396 \h </w:instrText>
        </w:r>
        <w:r w:rsidRPr="00E26EF6">
          <w:rPr>
            <w:noProof w:val="0"/>
            <w:webHidden/>
          </w:rPr>
        </w:r>
        <w:r w:rsidRPr="00E26EF6">
          <w:rPr>
            <w:noProof w:val="0"/>
            <w:webHidden/>
          </w:rPr>
          <w:fldChar w:fldCharType="separate"/>
        </w:r>
        <w:r w:rsidRPr="00E26EF6">
          <w:rPr>
            <w:noProof w:val="0"/>
            <w:webHidden/>
          </w:rPr>
          <w:t>161</w:t>
        </w:r>
        <w:r w:rsidRPr="00E26EF6">
          <w:rPr>
            <w:noProof w:val="0"/>
            <w:webHidden/>
          </w:rPr>
          <w:fldChar w:fldCharType="end"/>
        </w:r>
      </w:hyperlink>
    </w:p>
    <w:p w14:paraId="4F2688D1" w14:textId="50CC06F7" w:rsidR="00E26EF6" w:rsidRPr="00E26EF6" w:rsidRDefault="00E26EF6">
      <w:pPr>
        <w:pStyle w:val="TOC2"/>
        <w:rPr>
          <w:rFonts w:asciiTheme="minorHAnsi" w:eastAsiaTheme="minorEastAsia" w:hAnsiTheme="minorHAnsi" w:cstheme="minorBidi"/>
          <w:b w:val="0"/>
          <w:smallCaps w:val="0"/>
          <w:noProof w:val="0"/>
          <w:sz w:val="22"/>
        </w:rPr>
      </w:pPr>
      <w:hyperlink w:anchor="_Toc31014397" w:history="1">
        <w:r w:rsidRPr="00E26EF6">
          <w:rPr>
            <w:rStyle w:val="Hyperlink"/>
            <w:rFonts w:ascii="Times New Roman" w:hAnsi="Times New Roman"/>
            <w:noProof w:val="0"/>
          </w:rPr>
          <w:t>5.6.1.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_Toc31014397 \h </w:instrText>
        </w:r>
        <w:r w:rsidRPr="00E26EF6">
          <w:rPr>
            <w:noProof w:val="0"/>
            <w:webHidden/>
          </w:rPr>
        </w:r>
        <w:r w:rsidRPr="00E26EF6">
          <w:rPr>
            <w:noProof w:val="0"/>
            <w:webHidden/>
          </w:rPr>
          <w:fldChar w:fldCharType="separate"/>
        </w:r>
        <w:r w:rsidRPr="00E26EF6">
          <w:rPr>
            <w:noProof w:val="0"/>
            <w:webHidden/>
          </w:rPr>
          <w:t>161</w:t>
        </w:r>
        <w:r w:rsidRPr="00E26EF6">
          <w:rPr>
            <w:noProof w:val="0"/>
            <w:webHidden/>
          </w:rPr>
          <w:fldChar w:fldCharType="end"/>
        </w:r>
      </w:hyperlink>
    </w:p>
    <w:p w14:paraId="145B8B27" w14:textId="5ECEF0D6" w:rsidR="00E26EF6" w:rsidRPr="00E26EF6" w:rsidRDefault="00E26EF6">
      <w:pPr>
        <w:pStyle w:val="TOC2"/>
        <w:rPr>
          <w:rFonts w:asciiTheme="minorHAnsi" w:eastAsiaTheme="minorEastAsia" w:hAnsiTheme="minorHAnsi" w:cstheme="minorBidi"/>
          <w:b w:val="0"/>
          <w:smallCaps w:val="0"/>
          <w:noProof w:val="0"/>
          <w:sz w:val="22"/>
        </w:rPr>
      </w:pPr>
      <w:hyperlink w:anchor="_Toc31014398" w:history="1">
        <w:r w:rsidRPr="00E26EF6">
          <w:rPr>
            <w:rStyle w:val="Hyperlink"/>
            <w:rFonts w:ascii="Times New Roman" w:hAnsi="Times New Roman"/>
            <w:noProof w:val="0"/>
          </w:rPr>
          <w:t>5.6.2.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_Toc31014398 \h </w:instrText>
        </w:r>
        <w:r w:rsidRPr="00E26EF6">
          <w:rPr>
            <w:noProof w:val="0"/>
            <w:webHidden/>
          </w:rPr>
        </w:r>
        <w:r w:rsidRPr="00E26EF6">
          <w:rPr>
            <w:noProof w:val="0"/>
            <w:webHidden/>
          </w:rPr>
          <w:fldChar w:fldCharType="separate"/>
        </w:r>
        <w:r w:rsidRPr="00E26EF6">
          <w:rPr>
            <w:noProof w:val="0"/>
            <w:webHidden/>
          </w:rPr>
          <w:t>161</w:t>
        </w:r>
        <w:r w:rsidRPr="00E26EF6">
          <w:rPr>
            <w:noProof w:val="0"/>
            <w:webHidden/>
          </w:rPr>
          <w:fldChar w:fldCharType="end"/>
        </w:r>
      </w:hyperlink>
    </w:p>
    <w:p w14:paraId="16F606C0" w14:textId="0DE72952" w:rsidR="00E26EF6" w:rsidRPr="00E26EF6" w:rsidRDefault="00E26EF6">
      <w:pPr>
        <w:pStyle w:val="TOC2"/>
        <w:rPr>
          <w:rFonts w:asciiTheme="minorHAnsi" w:eastAsiaTheme="minorEastAsia" w:hAnsiTheme="minorHAnsi" w:cstheme="minorBidi"/>
          <w:b w:val="0"/>
          <w:smallCaps w:val="0"/>
          <w:noProof w:val="0"/>
          <w:sz w:val="22"/>
        </w:rPr>
      </w:pPr>
      <w:hyperlink w:anchor="_Toc31014399" w:history="1">
        <w:r w:rsidRPr="00E26EF6">
          <w:rPr>
            <w:rStyle w:val="Hyperlink"/>
            <w:rFonts w:ascii="Times New Roman" w:hAnsi="Times New Roman"/>
            <w:noProof w:val="0"/>
          </w:rPr>
          <w:t>5.7.</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24.00 – Modele wewnętrzne ryzyka rynkowego (MKR IM)</w:t>
        </w:r>
        <w:r w:rsidRPr="00E26EF6">
          <w:rPr>
            <w:noProof w:val="0"/>
            <w:webHidden/>
          </w:rPr>
          <w:tab/>
        </w:r>
        <w:r w:rsidRPr="00E26EF6">
          <w:rPr>
            <w:noProof w:val="0"/>
            <w:webHidden/>
          </w:rPr>
          <w:fldChar w:fldCharType="begin"/>
        </w:r>
        <w:r w:rsidRPr="00E26EF6">
          <w:rPr>
            <w:noProof w:val="0"/>
            <w:webHidden/>
          </w:rPr>
          <w:instrText xml:space="preserve"> PAGEREF _Toc31014399 \h </w:instrText>
        </w:r>
        <w:r w:rsidRPr="00E26EF6">
          <w:rPr>
            <w:noProof w:val="0"/>
            <w:webHidden/>
          </w:rPr>
        </w:r>
        <w:r w:rsidRPr="00E26EF6">
          <w:rPr>
            <w:noProof w:val="0"/>
            <w:webHidden/>
          </w:rPr>
          <w:fldChar w:fldCharType="separate"/>
        </w:r>
        <w:r w:rsidRPr="00E26EF6">
          <w:rPr>
            <w:noProof w:val="0"/>
            <w:webHidden/>
          </w:rPr>
          <w:t>163</w:t>
        </w:r>
        <w:r w:rsidRPr="00E26EF6">
          <w:rPr>
            <w:noProof w:val="0"/>
            <w:webHidden/>
          </w:rPr>
          <w:fldChar w:fldCharType="end"/>
        </w:r>
      </w:hyperlink>
    </w:p>
    <w:p w14:paraId="776DB456" w14:textId="481ADED9" w:rsidR="00E26EF6" w:rsidRPr="00E26EF6" w:rsidRDefault="00E26EF6">
      <w:pPr>
        <w:pStyle w:val="TOC2"/>
        <w:rPr>
          <w:rFonts w:asciiTheme="minorHAnsi" w:eastAsiaTheme="minorEastAsia" w:hAnsiTheme="minorHAnsi" w:cstheme="minorBidi"/>
          <w:b w:val="0"/>
          <w:smallCaps w:val="0"/>
          <w:noProof w:val="0"/>
          <w:sz w:val="22"/>
        </w:rPr>
      </w:pPr>
      <w:hyperlink w:anchor="_Toc31014400" w:history="1">
        <w:r w:rsidRPr="00E26EF6">
          <w:rPr>
            <w:rStyle w:val="Hyperlink"/>
            <w:rFonts w:ascii="Times New Roman" w:hAnsi="Times New Roman"/>
            <w:noProof w:val="0"/>
          </w:rPr>
          <w:t>5.7.1.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_Toc31014400 \h </w:instrText>
        </w:r>
        <w:r w:rsidRPr="00E26EF6">
          <w:rPr>
            <w:noProof w:val="0"/>
            <w:webHidden/>
          </w:rPr>
        </w:r>
        <w:r w:rsidRPr="00E26EF6">
          <w:rPr>
            <w:noProof w:val="0"/>
            <w:webHidden/>
          </w:rPr>
          <w:fldChar w:fldCharType="separate"/>
        </w:r>
        <w:r w:rsidRPr="00E26EF6">
          <w:rPr>
            <w:noProof w:val="0"/>
            <w:webHidden/>
          </w:rPr>
          <w:t>163</w:t>
        </w:r>
        <w:r w:rsidRPr="00E26EF6">
          <w:rPr>
            <w:noProof w:val="0"/>
            <w:webHidden/>
          </w:rPr>
          <w:fldChar w:fldCharType="end"/>
        </w:r>
      </w:hyperlink>
    </w:p>
    <w:p w14:paraId="46AC371C" w14:textId="3E0BC04E" w:rsidR="00E26EF6" w:rsidRPr="00E26EF6" w:rsidRDefault="00E26EF6">
      <w:pPr>
        <w:pStyle w:val="TOC2"/>
        <w:rPr>
          <w:rFonts w:asciiTheme="minorHAnsi" w:eastAsiaTheme="minorEastAsia" w:hAnsiTheme="minorHAnsi" w:cstheme="minorBidi"/>
          <w:b w:val="0"/>
          <w:smallCaps w:val="0"/>
          <w:noProof w:val="0"/>
          <w:sz w:val="22"/>
        </w:rPr>
      </w:pPr>
      <w:hyperlink w:anchor="_Toc31014401" w:history="1">
        <w:r w:rsidRPr="00E26EF6">
          <w:rPr>
            <w:rStyle w:val="Hyperlink"/>
            <w:rFonts w:ascii="Times New Roman" w:hAnsi="Times New Roman"/>
            <w:noProof w:val="0"/>
          </w:rPr>
          <w:t>5.7.2.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_Toc31014401 \h </w:instrText>
        </w:r>
        <w:r w:rsidRPr="00E26EF6">
          <w:rPr>
            <w:noProof w:val="0"/>
            <w:webHidden/>
          </w:rPr>
        </w:r>
        <w:r w:rsidRPr="00E26EF6">
          <w:rPr>
            <w:noProof w:val="0"/>
            <w:webHidden/>
          </w:rPr>
          <w:fldChar w:fldCharType="separate"/>
        </w:r>
        <w:r w:rsidRPr="00E26EF6">
          <w:rPr>
            <w:noProof w:val="0"/>
            <w:webHidden/>
          </w:rPr>
          <w:t>163</w:t>
        </w:r>
        <w:r w:rsidRPr="00E26EF6">
          <w:rPr>
            <w:noProof w:val="0"/>
            <w:webHidden/>
          </w:rPr>
          <w:fldChar w:fldCharType="end"/>
        </w:r>
      </w:hyperlink>
    </w:p>
    <w:p w14:paraId="57CB0E5A" w14:textId="3CB5E87B" w:rsidR="00E26EF6" w:rsidRPr="00E26EF6" w:rsidRDefault="00E26EF6">
      <w:pPr>
        <w:pStyle w:val="TOC2"/>
        <w:rPr>
          <w:rFonts w:asciiTheme="minorHAnsi" w:eastAsiaTheme="minorEastAsia" w:hAnsiTheme="minorHAnsi" w:cstheme="minorBidi"/>
          <w:b w:val="0"/>
          <w:smallCaps w:val="0"/>
          <w:noProof w:val="0"/>
          <w:sz w:val="22"/>
        </w:rPr>
      </w:pPr>
      <w:hyperlink w:anchor="_Toc31014402" w:history="1">
        <w:r w:rsidRPr="00E26EF6">
          <w:rPr>
            <w:rStyle w:val="Hyperlink"/>
            <w:rFonts w:ascii="Times New Roman" w:hAnsi="Times New Roman"/>
            <w:noProof w:val="0"/>
          </w:rPr>
          <w:t>5.8.</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25.00 – RYZYKO ZWIĄZANE Z KOREKTĄ WYCENY KREDYTOWEJ (CVA)</w:t>
        </w:r>
        <w:r w:rsidRPr="00E26EF6">
          <w:rPr>
            <w:noProof w:val="0"/>
            <w:webHidden/>
          </w:rPr>
          <w:tab/>
        </w:r>
        <w:r w:rsidRPr="00E26EF6">
          <w:rPr>
            <w:noProof w:val="0"/>
            <w:webHidden/>
          </w:rPr>
          <w:fldChar w:fldCharType="begin"/>
        </w:r>
        <w:r w:rsidRPr="00E26EF6">
          <w:rPr>
            <w:noProof w:val="0"/>
            <w:webHidden/>
          </w:rPr>
          <w:instrText xml:space="preserve"> PAGEREF _Toc31014402 \h </w:instrText>
        </w:r>
        <w:r w:rsidRPr="00E26EF6">
          <w:rPr>
            <w:noProof w:val="0"/>
            <w:webHidden/>
          </w:rPr>
        </w:r>
        <w:r w:rsidRPr="00E26EF6">
          <w:rPr>
            <w:noProof w:val="0"/>
            <w:webHidden/>
          </w:rPr>
          <w:fldChar w:fldCharType="separate"/>
        </w:r>
        <w:r w:rsidRPr="00E26EF6">
          <w:rPr>
            <w:noProof w:val="0"/>
            <w:webHidden/>
          </w:rPr>
          <w:t>166</w:t>
        </w:r>
        <w:r w:rsidRPr="00E26EF6">
          <w:rPr>
            <w:noProof w:val="0"/>
            <w:webHidden/>
          </w:rPr>
          <w:fldChar w:fldCharType="end"/>
        </w:r>
      </w:hyperlink>
    </w:p>
    <w:p w14:paraId="23F28317" w14:textId="5125F8C7" w:rsidR="00E26EF6" w:rsidRPr="00E26EF6" w:rsidRDefault="00E26EF6">
      <w:pPr>
        <w:pStyle w:val="TOC2"/>
        <w:rPr>
          <w:rFonts w:asciiTheme="minorHAnsi" w:eastAsiaTheme="minorEastAsia" w:hAnsiTheme="minorHAnsi" w:cstheme="minorBidi"/>
          <w:b w:val="0"/>
          <w:smallCaps w:val="0"/>
          <w:noProof w:val="0"/>
          <w:sz w:val="22"/>
        </w:rPr>
      </w:pPr>
      <w:hyperlink w:anchor="_Toc31014403" w:history="1">
        <w:r w:rsidRPr="00E26EF6">
          <w:rPr>
            <w:rStyle w:val="Hyperlink"/>
            <w:rFonts w:ascii="Times New Roman" w:hAnsi="Times New Roman"/>
            <w:noProof w:val="0"/>
          </w:rPr>
          <w:t>5.8.1.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_Toc31014403 \h </w:instrText>
        </w:r>
        <w:r w:rsidRPr="00E26EF6">
          <w:rPr>
            <w:noProof w:val="0"/>
            <w:webHidden/>
          </w:rPr>
        </w:r>
        <w:r w:rsidRPr="00E26EF6">
          <w:rPr>
            <w:noProof w:val="0"/>
            <w:webHidden/>
          </w:rPr>
          <w:fldChar w:fldCharType="separate"/>
        </w:r>
        <w:r w:rsidRPr="00E26EF6">
          <w:rPr>
            <w:noProof w:val="0"/>
            <w:webHidden/>
          </w:rPr>
          <w:t>166</w:t>
        </w:r>
        <w:r w:rsidRPr="00E26EF6">
          <w:rPr>
            <w:noProof w:val="0"/>
            <w:webHidden/>
          </w:rPr>
          <w:fldChar w:fldCharType="end"/>
        </w:r>
      </w:hyperlink>
    </w:p>
    <w:p w14:paraId="299BCE84" w14:textId="2FF2DCA2" w:rsidR="00E26EF6" w:rsidRPr="00E26EF6" w:rsidRDefault="00E26EF6">
      <w:pPr>
        <w:pStyle w:val="TOC2"/>
        <w:rPr>
          <w:rFonts w:asciiTheme="minorHAnsi" w:eastAsiaTheme="minorEastAsia" w:hAnsiTheme="minorHAnsi" w:cstheme="minorBidi"/>
          <w:b w:val="0"/>
          <w:smallCaps w:val="0"/>
          <w:noProof w:val="0"/>
          <w:sz w:val="22"/>
        </w:rPr>
      </w:pPr>
      <w:hyperlink w:anchor="_Toc31014404" w:history="1">
        <w:r w:rsidRPr="00E26EF6">
          <w:rPr>
            <w:rStyle w:val="Hyperlink"/>
            <w:rFonts w:ascii="Times New Roman" w:hAnsi="Times New Roman"/>
            <w:noProof w:val="0"/>
          </w:rPr>
          <w:t>6.</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Ostrożna wycena (PruVal)</w:t>
        </w:r>
        <w:r w:rsidRPr="00E26EF6">
          <w:rPr>
            <w:noProof w:val="0"/>
            <w:webHidden/>
          </w:rPr>
          <w:tab/>
        </w:r>
        <w:r w:rsidRPr="00E26EF6">
          <w:rPr>
            <w:noProof w:val="0"/>
            <w:webHidden/>
          </w:rPr>
          <w:fldChar w:fldCharType="begin"/>
        </w:r>
        <w:r w:rsidRPr="00E26EF6">
          <w:rPr>
            <w:noProof w:val="0"/>
            <w:webHidden/>
          </w:rPr>
          <w:instrText xml:space="preserve"> PAGEREF _Toc31014404 \h </w:instrText>
        </w:r>
        <w:r w:rsidRPr="00E26EF6">
          <w:rPr>
            <w:noProof w:val="0"/>
            <w:webHidden/>
          </w:rPr>
        </w:r>
        <w:r w:rsidRPr="00E26EF6">
          <w:rPr>
            <w:noProof w:val="0"/>
            <w:webHidden/>
          </w:rPr>
          <w:fldChar w:fldCharType="separate"/>
        </w:r>
        <w:r w:rsidRPr="00E26EF6">
          <w:rPr>
            <w:noProof w:val="0"/>
            <w:webHidden/>
          </w:rPr>
          <w:t>168</w:t>
        </w:r>
        <w:r w:rsidRPr="00E26EF6">
          <w:rPr>
            <w:noProof w:val="0"/>
            <w:webHidden/>
          </w:rPr>
          <w:fldChar w:fldCharType="end"/>
        </w:r>
      </w:hyperlink>
    </w:p>
    <w:p w14:paraId="594E6A87" w14:textId="3B71BCB0" w:rsidR="00E26EF6" w:rsidRPr="00E26EF6" w:rsidRDefault="00E26EF6">
      <w:pPr>
        <w:pStyle w:val="TOC2"/>
        <w:rPr>
          <w:rFonts w:asciiTheme="minorHAnsi" w:eastAsiaTheme="minorEastAsia" w:hAnsiTheme="minorHAnsi" w:cstheme="minorBidi"/>
          <w:b w:val="0"/>
          <w:smallCaps w:val="0"/>
          <w:noProof w:val="0"/>
          <w:sz w:val="22"/>
        </w:rPr>
      </w:pPr>
      <w:hyperlink w:anchor="_Toc31014405" w:history="1">
        <w:r w:rsidRPr="00E26EF6">
          <w:rPr>
            <w:rStyle w:val="Hyperlink"/>
            <w:rFonts w:ascii="Times New Roman" w:hAnsi="Times New Roman"/>
            <w:noProof w:val="0"/>
          </w:rPr>
          <w:t>6.1.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32.01 - Ostrożna wycena: aktywa i zobowiązania wyceniane według wartości godziwej (PruVal 1)</w:t>
        </w:r>
        <w:r w:rsidRPr="00E26EF6">
          <w:rPr>
            <w:noProof w:val="0"/>
            <w:webHidden/>
          </w:rPr>
          <w:tab/>
        </w:r>
        <w:r w:rsidRPr="00E26EF6">
          <w:rPr>
            <w:noProof w:val="0"/>
            <w:webHidden/>
          </w:rPr>
          <w:fldChar w:fldCharType="begin"/>
        </w:r>
        <w:r w:rsidRPr="00E26EF6">
          <w:rPr>
            <w:noProof w:val="0"/>
            <w:webHidden/>
          </w:rPr>
          <w:instrText xml:space="preserve"> PAGEREF _Toc31014405 \h </w:instrText>
        </w:r>
        <w:r w:rsidRPr="00E26EF6">
          <w:rPr>
            <w:noProof w:val="0"/>
            <w:webHidden/>
          </w:rPr>
        </w:r>
        <w:r w:rsidRPr="00E26EF6">
          <w:rPr>
            <w:noProof w:val="0"/>
            <w:webHidden/>
          </w:rPr>
          <w:fldChar w:fldCharType="separate"/>
        </w:r>
        <w:r w:rsidRPr="00E26EF6">
          <w:rPr>
            <w:noProof w:val="0"/>
            <w:webHidden/>
          </w:rPr>
          <w:t>168</w:t>
        </w:r>
        <w:r w:rsidRPr="00E26EF6">
          <w:rPr>
            <w:noProof w:val="0"/>
            <w:webHidden/>
          </w:rPr>
          <w:fldChar w:fldCharType="end"/>
        </w:r>
      </w:hyperlink>
    </w:p>
    <w:p w14:paraId="3059AF4F" w14:textId="2B33C4D8" w:rsidR="00E26EF6" w:rsidRPr="00E26EF6" w:rsidRDefault="00E26EF6">
      <w:pPr>
        <w:pStyle w:val="TOC2"/>
        <w:rPr>
          <w:rFonts w:asciiTheme="minorHAnsi" w:eastAsiaTheme="minorEastAsia" w:hAnsiTheme="minorHAnsi" w:cstheme="minorBidi"/>
          <w:b w:val="0"/>
          <w:smallCaps w:val="0"/>
          <w:noProof w:val="0"/>
          <w:sz w:val="22"/>
        </w:rPr>
      </w:pPr>
      <w:hyperlink w:anchor="_Toc31014406" w:history="1">
        <w:r w:rsidRPr="00E26EF6">
          <w:rPr>
            <w:rStyle w:val="Hyperlink"/>
            <w:rFonts w:ascii="Times New Roman" w:hAnsi="Times New Roman"/>
            <w:noProof w:val="0"/>
          </w:rPr>
          <w:t>6.1.1.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_Toc31014406 \h </w:instrText>
        </w:r>
        <w:r w:rsidRPr="00E26EF6">
          <w:rPr>
            <w:noProof w:val="0"/>
            <w:webHidden/>
          </w:rPr>
        </w:r>
        <w:r w:rsidRPr="00E26EF6">
          <w:rPr>
            <w:noProof w:val="0"/>
            <w:webHidden/>
          </w:rPr>
          <w:fldChar w:fldCharType="separate"/>
        </w:r>
        <w:r w:rsidRPr="00E26EF6">
          <w:rPr>
            <w:noProof w:val="0"/>
            <w:webHidden/>
          </w:rPr>
          <w:t>168</w:t>
        </w:r>
        <w:r w:rsidRPr="00E26EF6">
          <w:rPr>
            <w:noProof w:val="0"/>
            <w:webHidden/>
          </w:rPr>
          <w:fldChar w:fldCharType="end"/>
        </w:r>
      </w:hyperlink>
    </w:p>
    <w:p w14:paraId="7BA7439C" w14:textId="7B80AD06" w:rsidR="00E26EF6" w:rsidRPr="00E26EF6" w:rsidRDefault="00E26EF6">
      <w:pPr>
        <w:pStyle w:val="TOC2"/>
        <w:rPr>
          <w:rFonts w:asciiTheme="minorHAnsi" w:eastAsiaTheme="minorEastAsia" w:hAnsiTheme="minorHAnsi" w:cstheme="minorBidi"/>
          <w:b w:val="0"/>
          <w:smallCaps w:val="0"/>
          <w:noProof w:val="0"/>
          <w:sz w:val="22"/>
        </w:rPr>
      </w:pPr>
      <w:hyperlink w:anchor="_Toc31014407" w:history="1">
        <w:r w:rsidRPr="00E26EF6">
          <w:rPr>
            <w:rStyle w:val="Hyperlink"/>
            <w:rFonts w:ascii="Times New Roman" w:hAnsi="Times New Roman"/>
            <w:noProof w:val="0"/>
          </w:rPr>
          <w:t>6.1.2.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_Toc31014407 \h </w:instrText>
        </w:r>
        <w:r w:rsidRPr="00E26EF6">
          <w:rPr>
            <w:noProof w:val="0"/>
            <w:webHidden/>
          </w:rPr>
        </w:r>
        <w:r w:rsidRPr="00E26EF6">
          <w:rPr>
            <w:noProof w:val="0"/>
            <w:webHidden/>
          </w:rPr>
          <w:fldChar w:fldCharType="separate"/>
        </w:r>
        <w:r w:rsidRPr="00E26EF6">
          <w:rPr>
            <w:noProof w:val="0"/>
            <w:webHidden/>
          </w:rPr>
          <w:t>168</w:t>
        </w:r>
        <w:r w:rsidRPr="00E26EF6">
          <w:rPr>
            <w:noProof w:val="0"/>
            <w:webHidden/>
          </w:rPr>
          <w:fldChar w:fldCharType="end"/>
        </w:r>
      </w:hyperlink>
    </w:p>
    <w:p w14:paraId="5AD9B6AD" w14:textId="062C02F3" w:rsidR="00E26EF6" w:rsidRPr="00E26EF6" w:rsidRDefault="00E26EF6">
      <w:pPr>
        <w:pStyle w:val="TOC2"/>
        <w:rPr>
          <w:rFonts w:asciiTheme="minorHAnsi" w:eastAsiaTheme="minorEastAsia" w:hAnsiTheme="minorHAnsi" w:cstheme="minorBidi"/>
          <w:b w:val="0"/>
          <w:smallCaps w:val="0"/>
          <w:noProof w:val="0"/>
          <w:sz w:val="22"/>
        </w:rPr>
      </w:pPr>
      <w:hyperlink w:anchor="_Toc31014408" w:history="1">
        <w:r w:rsidRPr="00E26EF6">
          <w:rPr>
            <w:rStyle w:val="Hyperlink"/>
            <w:rFonts w:ascii="Times New Roman" w:hAnsi="Times New Roman"/>
            <w:noProof w:val="0"/>
          </w:rPr>
          <w:t>6.2.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32.02 - Ostrożna wycena: metoda podstawowa (PruVal 2)</w:t>
        </w:r>
        <w:r w:rsidRPr="00E26EF6">
          <w:rPr>
            <w:noProof w:val="0"/>
            <w:webHidden/>
          </w:rPr>
          <w:tab/>
        </w:r>
        <w:r w:rsidRPr="00E26EF6">
          <w:rPr>
            <w:noProof w:val="0"/>
            <w:webHidden/>
          </w:rPr>
          <w:fldChar w:fldCharType="begin"/>
        </w:r>
        <w:r w:rsidRPr="00E26EF6">
          <w:rPr>
            <w:noProof w:val="0"/>
            <w:webHidden/>
          </w:rPr>
          <w:instrText xml:space="preserve"> PAGEREF _Toc31014408 \h </w:instrText>
        </w:r>
        <w:r w:rsidRPr="00E26EF6">
          <w:rPr>
            <w:noProof w:val="0"/>
            <w:webHidden/>
          </w:rPr>
        </w:r>
        <w:r w:rsidRPr="00E26EF6">
          <w:rPr>
            <w:noProof w:val="0"/>
            <w:webHidden/>
          </w:rPr>
          <w:fldChar w:fldCharType="separate"/>
        </w:r>
        <w:r w:rsidRPr="00E26EF6">
          <w:rPr>
            <w:noProof w:val="0"/>
            <w:webHidden/>
          </w:rPr>
          <w:t>172</w:t>
        </w:r>
        <w:r w:rsidRPr="00E26EF6">
          <w:rPr>
            <w:noProof w:val="0"/>
            <w:webHidden/>
          </w:rPr>
          <w:fldChar w:fldCharType="end"/>
        </w:r>
      </w:hyperlink>
    </w:p>
    <w:p w14:paraId="6D41E030" w14:textId="5302FAD0" w:rsidR="00E26EF6" w:rsidRPr="00E26EF6" w:rsidRDefault="00E26EF6">
      <w:pPr>
        <w:pStyle w:val="TOC2"/>
        <w:rPr>
          <w:rFonts w:asciiTheme="minorHAnsi" w:eastAsiaTheme="minorEastAsia" w:hAnsiTheme="minorHAnsi" w:cstheme="minorBidi"/>
          <w:b w:val="0"/>
          <w:smallCaps w:val="0"/>
          <w:noProof w:val="0"/>
          <w:sz w:val="22"/>
        </w:rPr>
      </w:pPr>
      <w:hyperlink w:anchor="_Toc31014409" w:history="1">
        <w:r w:rsidRPr="00E26EF6">
          <w:rPr>
            <w:rStyle w:val="Hyperlink"/>
            <w:rFonts w:ascii="Times New Roman" w:hAnsi="Times New Roman"/>
            <w:noProof w:val="0"/>
          </w:rPr>
          <w:t>6.2.1.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_Toc31014409 \h </w:instrText>
        </w:r>
        <w:r w:rsidRPr="00E26EF6">
          <w:rPr>
            <w:noProof w:val="0"/>
            <w:webHidden/>
          </w:rPr>
        </w:r>
        <w:r w:rsidRPr="00E26EF6">
          <w:rPr>
            <w:noProof w:val="0"/>
            <w:webHidden/>
          </w:rPr>
          <w:fldChar w:fldCharType="separate"/>
        </w:r>
        <w:r w:rsidRPr="00E26EF6">
          <w:rPr>
            <w:noProof w:val="0"/>
            <w:webHidden/>
          </w:rPr>
          <w:t>172</w:t>
        </w:r>
        <w:r w:rsidRPr="00E26EF6">
          <w:rPr>
            <w:noProof w:val="0"/>
            <w:webHidden/>
          </w:rPr>
          <w:fldChar w:fldCharType="end"/>
        </w:r>
      </w:hyperlink>
    </w:p>
    <w:p w14:paraId="13428D5F" w14:textId="47123D11" w:rsidR="00E26EF6" w:rsidRPr="00E26EF6" w:rsidRDefault="00E26EF6">
      <w:pPr>
        <w:pStyle w:val="TOC2"/>
        <w:rPr>
          <w:rFonts w:asciiTheme="minorHAnsi" w:eastAsiaTheme="minorEastAsia" w:hAnsiTheme="minorHAnsi" w:cstheme="minorBidi"/>
          <w:b w:val="0"/>
          <w:smallCaps w:val="0"/>
          <w:noProof w:val="0"/>
          <w:sz w:val="22"/>
        </w:rPr>
      </w:pPr>
      <w:hyperlink w:anchor="_Toc31014410" w:history="1">
        <w:r w:rsidRPr="00E26EF6">
          <w:rPr>
            <w:rStyle w:val="Hyperlink"/>
            <w:rFonts w:ascii="Times New Roman" w:hAnsi="Times New Roman"/>
            <w:noProof w:val="0"/>
          </w:rPr>
          <w:t>6.2.2.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_Toc31014410 \h </w:instrText>
        </w:r>
        <w:r w:rsidRPr="00E26EF6">
          <w:rPr>
            <w:noProof w:val="0"/>
            <w:webHidden/>
          </w:rPr>
        </w:r>
        <w:r w:rsidRPr="00E26EF6">
          <w:rPr>
            <w:noProof w:val="0"/>
            <w:webHidden/>
          </w:rPr>
          <w:fldChar w:fldCharType="separate"/>
        </w:r>
        <w:r w:rsidRPr="00E26EF6">
          <w:rPr>
            <w:noProof w:val="0"/>
            <w:webHidden/>
          </w:rPr>
          <w:t>173</w:t>
        </w:r>
        <w:r w:rsidRPr="00E26EF6">
          <w:rPr>
            <w:noProof w:val="0"/>
            <w:webHidden/>
          </w:rPr>
          <w:fldChar w:fldCharType="end"/>
        </w:r>
      </w:hyperlink>
    </w:p>
    <w:p w14:paraId="7B3639C5" w14:textId="4C8E4362" w:rsidR="00E26EF6" w:rsidRPr="00E26EF6" w:rsidRDefault="00E26EF6">
      <w:pPr>
        <w:pStyle w:val="TOC2"/>
        <w:rPr>
          <w:rFonts w:asciiTheme="minorHAnsi" w:eastAsiaTheme="minorEastAsia" w:hAnsiTheme="minorHAnsi" w:cstheme="minorBidi"/>
          <w:b w:val="0"/>
          <w:smallCaps w:val="0"/>
          <w:noProof w:val="0"/>
          <w:sz w:val="22"/>
        </w:rPr>
      </w:pPr>
      <w:hyperlink w:anchor="_Toc31014411" w:history="1">
        <w:r w:rsidRPr="00E26EF6">
          <w:rPr>
            <w:rStyle w:val="Hyperlink"/>
            <w:rFonts w:ascii="Times New Roman" w:hAnsi="Times New Roman"/>
            <w:noProof w:val="0"/>
          </w:rPr>
          <w:t>6.3. C 32.03 - Ostrożna wycena: AVA z tytułu ryzyka modelu (PruVal 3)</w:t>
        </w:r>
        <w:r w:rsidRPr="00E26EF6">
          <w:rPr>
            <w:noProof w:val="0"/>
            <w:webHidden/>
          </w:rPr>
          <w:tab/>
        </w:r>
        <w:r w:rsidRPr="00E26EF6">
          <w:rPr>
            <w:noProof w:val="0"/>
            <w:webHidden/>
          </w:rPr>
          <w:fldChar w:fldCharType="begin"/>
        </w:r>
        <w:r w:rsidRPr="00E26EF6">
          <w:rPr>
            <w:noProof w:val="0"/>
            <w:webHidden/>
          </w:rPr>
          <w:instrText xml:space="preserve"> PAGEREF _Toc31014411 \h </w:instrText>
        </w:r>
        <w:r w:rsidRPr="00E26EF6">
          <w:rPr>
            <w:noProof w:val="0"/>
            <w:webHidden/>
          </w:rPr>
        </w:r>
        <w:r w:rsidRPr="00E26EF6">
          <w:rPr>
            <w:noProof w:val="0"/>
            <w:webHidden/>
          </w:rPr>
          <w:fldChar w:fldCharType="separate"/>
        </w:r>
        <w:r w:rsidRPr="00E26EF6">
          <w:rPr>
            <w:noProof w:val="0"/>
            <w:webHidden/>
          </w:rPr>
          <w:t>181</w:t>
        </w:r>
        <w:r w:rsidRPr="00E26EF6">
          <w:rPr>
            <w:noProof w:val="0"/>
            <w:webHidden/>
          </w:rPr>
          <w:fldChar w:fldCharType="end"/>
        </w:r>
      </w:hyperlink>
    </w:p>
    <w:p w14:paraId="6A53269C" w14:textId="16FEEE82" w:rsidR="00E26EF6" w:rsidRPr="00E26EF6" w:rsidRDefault="00E26EF6">
      <w:pPr>
        <w:pStyle w:val="TOC2"/>
        <w:rPr>
          <w:rFonts w:asciiTheme="minorHAnsi" w:eastAsiaTheme="minorEastAsia" w:hAnsiTheme="minorHAnsi" w:cstheme="minorBidi"/>
          <w:b w:val="0"/>
          <w:smallCaps w:val="0"/>
          <w:noProof w:val="0"/>
          <w:sz w:val="22"/>
        </w:rPr>
      </w:pPr>
      <w:hyperlink w:anchor="_Toc31014412" w:history="1">
        <w:r w:rsidRPr="00E26EF6">
          <w:rPr>
            <w:rStyle w:val="Hyperlink"/>
            <w:rFonts w:ascii="Times New Roman" w:hAnsi="Times New Roman"/>
            <w:noProof w:val="0"/>
          </w:rPr>
          <w:t>6.3.1.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_Toc31014412 \h </w:instrText>
        </w:r>
        <w:r w:rsidRPr="00E26EF6">
          <w:rPr>
            <w:noProof w:val="0"/>
            <w:webHidden/>
          </w:rPr>
        </w:r>
        <w:r w:rsidRPr="00E26EF6">
          <w:rPr>
            <w:noProof w:val="0"/>
            <w:webHidden/>
          </w:rPr>
          <w:fldChar w:fldCharType="separate"/>
        </w:r>
        <w:r w:rsidRPr="00E26EF6">
          <w:rPr>
            <w:noProof w:val="0"/>
            <w:webHidden/>
          </w:rPr>
          <w:t>181</w:t>
        </w:r>
        <w:r w:rsidRPr="00E26EF6">
          <w:rPr>
            <w:noProof w:val="0"/>
            <w:webHidden/>
          </w:rPr>
          <w:fldChar w:fldCharType="end"/>
        </w:r>
      </w:hyperlink>
    </w:p>
    <w:p w14:paraId="12FD2C2E" w14:textId="4E5862C1" w:rsidR="00E26EF6" w:rsidRPr="00E26EF6" w:rsidRDefault="00E26EF6">
      <w:pPr>
        <w:pStyle w:val="TOC2"/>
        <w:rPr>
          <w:rFonts w:asciiTheme="minorHAnsi" w:eastAsiaTheme="minorEastAsia" w:hAnsiTheme="minorHAnsi" w:cstheme="minorBidi"/>
          <w:b w:val="0"/>
          <w:smallCaps w:val="0"/>
          <w:noProof w:val="0"/>
          <w:sz w:val="22"/>
        </w:rPr>
      </w:pPr>
      <w:hyperlink w:anchor="_Toc31014413" w:history="1">
        <w:r w:rsidRPr="00E26EF6">
          <w:rPr>
            <w:rStyle w:val="Hyperlink"/>
            <w:rFonts w:ascii="Times New Roman" w:hAnsi="Times New Roman"/>
            <w:noProof w:val="0"/>
          </w:rPr>
          <w:t>6.3.2.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_Toc31014413 \h </w:instrText>
        </w:r>
        <w:r w:rsidRPr="00E26EF6">
          <w:rPr>
            <w:noProof w:val="0"/>
            <w:webHidden/>
          </w:rPr>
        </w:r>
        <w:r w:rsidRPr="00E26EF6">
          <w:rPr>
            <w:noProof w:val="0"/>
            <w:webHidden/>
          </w:rPr>
          <w:fldChar w:fldCharType="separate"/>
        </w:r>
        <w:r w:rsidRPr="00E26EF6">
          <w:rPr>
            <w:noProof w:val="0"/>
            <w:webHidden/>
          </w:rPr>
          <w:t>182</w:t>
        </w:r>
        <w:r w:rsidRPr="00E26EF6">
          <w:rPr>
            <w:noProof w:val="0"/>
            <w:webHidden/>
          </w:rPr>
          <w:fldChar w:fldCharType="end"/>
        </w:r>
      </w:hyperlink>
    </w:p>
    <w:p w14:paraId="15949DB5" w14:textId="5572A9C8" w:rsidR="00E26EF6" w:rsidRPr="00E26EF6" w:rsidRDefault="00E26EF6">
      <w:pPr>
        <w:pStyle w:val="TOC2"/>
        <w:rPr>
          <w:rFonts w:asciiTheme="minorHAnsi" w:eastAsiaTheme="minorEastAsia" w:hAnsiTheme="minorHAnsi" w:cstheme="minorBidi"/>
          <w:b w:val="0"/>
          <w:smallCaps w:val="0"/>
          <w:noProof w:val="0"/>
          <w:sz w:val="22"/>
        </w:rPr>
      </w:pPr>
      <w:hyperlink w:anchor="_Toc31014414" w:history="1">
        <w:r w:rsidRPr="00E26EF6">
          <w:rPr>
            <w:rStyle w:val="Hyperlink"/>
            <w:rFonts w:ascii="Times New Roman" w:hAnsi="Times New Roman"/>
            <w:noProof w:val="0"/>
          </w:rPr>
          <w:t>6.4 C 32.04 – Ostrożna wycena: AVA z tytułu pozycji o dużej koncentracji (PruVal 4)</w:t>
        </w:r>
        <w:r w:rsidRPr="00E26EF6">
          <w:rPr>
            <w:noProof w:val="0"/>
            <w:webHidden/>
          </w:rPr>
          <w:tab/>
        </w:r>
        <w:r w:rsidRPr="00E26EF6">
          <w:rPr>
            <w:noProof w:val="0"/>
            <w:webHidden/>
          </w:rPr>
          <w:fldChar w:fldCharType="begin"/>
        </w:r>
        <w:r w:rsidRPr="00E26EF6">
          <w:rPr>
            <w:noProof w:val="0"/>
            <w:webHidden/>
          </w:rPr>
          <w:instrText xml:space="preserve"> PAGEREF _Toc31014414 \h </w:instrText>
        </w:r>
        <w:r w:rsidRPr="00E26EF6">
          <w:rPr>
            <w:noProof w:val="0"/>
            <w:webHidden/>
          </w:rPr>
        </w:r>
        <w:r w:rsidRPr="00E26EF6">
          <w:rPr>
            <w:noProof w:val="0"/>
            <w:webHidden/>
          </w:rPr>
          <w:fldChar w:fldCharType="separate"/>
        </w:r>
        <w:r w:rsidRPr="00E26EF6">
          <w:rPr>
            <w:noProof w:val="0"/>
            <w:webHidden/>
          </w:rPr>
          <w:t>184</w:t>
        </w:r>
        <w:r w:rsidRPr="00E26EF6">
          <w:rPr>
            <w:noProof w:val="0"/>
            <w:webHidden/>
          </w:rPr>
          <w:fldChar w:fldCharType="end"/>
        </w:r>
      </w:hyperlink>
    </w:p>
    <w:p w14:paraId="0172D6B0" w14:textId="10578369" w:rsidR="00E26EF6" w:rsidRPr="00E26EF6" w:rsidRDefault="00E26EF6">
      <w:pPr>
        <w:pStyle w:val="TOC2"/>
        <w:rPr>
          <w:rFonts w:asciiTheme="minorHAnsi" w:eastAsiaTheme="minorEastAsia" w:hAnsiTheme="minorHAnsi" w:cstheme="minorBidi"/>
          <w:b w:val="0"/>
          <w:smallCaps w:val="0"/>
          <w:noProof w:val="0"/>
          <w:sz w:val="22"/>
        </w:rPr>
      </w:pPr>
      <w:hyperlink w:anchor="_Toc31014415" w:history="1">
        <w:r w:rsidRPr="00E26EF6">
          <w:rPr>
            <w:rStyle w:val="Hyperlink"/>
            <w:rFonts w:ascii="Times New Roman" w:hAnsi="Times New Roman"/>
            <w:noProof w:val="0"/>
          </w:rPr>
          <w:t>6.4.1.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_Toc31014415 \h </w:instrText>
        </w:r>
        <w:r w:rsidRPr="00E26EF6">
          <w:rPr>
            <w:noProof w:val="0"/>
            <w:webHidden/>
          </w:rPr>
        </w:r>
        <w:r w:rsidRPr="00E26EF6">
          <w:rPr>
            <w:noProof w:val="0"/>
            <w:webHidden/>
          </w:rPr>
          <w:fldChar w:fldCharType="separate"/>
        </w:r>
        <w:r w:rsidRPr="00E26EF6">
          <w:rPr>
            <w:noProof w:val="0"/>
            <w:webHidden/>
          </w:rPr>
          <w:t>184</w:t>
        </w:r>
        <w:r w:rsidRPr="00E26EF6">
          <w:rPr>
            <w:noProof w:val="0"/>
            <w:webHidden/>
          </w:rPr>
          <w:fldChar w:fldCharType="end"/>
        </w:r>
      </w:hyperlink>
    </w:p>
    <w:p w14:paraId="2DA2DEAD" w14:textId="19E78B5C" w:rsidR="00E26EF6" w:rsidRPr="00E26EF6" w:rsidRDefault="00E26EF6">
      <w:pPr>
        <w:pStyle w:val="TOC2"/>
        <w:rPr>
          <w:rFonts w:asciiTheme="minorHAnsi" w:eastAsiaTheme="minorEastAsia" w:hAnsiTheme="minorHAnsi" w:cstheme="minorBidi"/>
          <w:b w:val="0"/>
          <w:smallCaps w:val="0"/>
          <w:noProof w:val="0"/>
          <w:sz w:val="22"/>
        </w:rPr>
      </w:pPr>
      <w:hyperlink w:anchor="_Toc31014416" w:history="1">
        <w:r w:rsidRPr="00E26EF6">
          <w:rPr>
            <w:rStyle w:val="Hyperlink"/>
            <w:rFonts w:ascii="Times New Roman" w:hAnsi="Times New Roman"/>
            <w:noProof w:val="0"/>
          </w:rPr>
          <w:t>6.4.2.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_Toc31014416 \h </w:instrText>
        </w:r>
        <w:r w:rsidRPr="00E26EF6">
          <w:rPr>
            <w:noProof w:val="0"/>
            <w:webHidden/>
          </w:rPr>
        </w:r>
        <w:r w:rsidRPr="00E26EF6">
          <w:rPr>
            <w:noProof w:val="0"/>
            <w:webHidden/>
          </w:rPr>
          <w:fldChar w:fldCharType="separate"/>
        </w:r>
        <w:r w:rsidRPr="00E26EF6">
          <w:rPr>
            <w:noProof w:val="0"/>
            <w:webHidden/>
          </w:rPr>
          <w:t>184</w:t>
        </w:r>
        <w:r w:rsidRPr="00E26EF6">
          <w:rPr>
            <w:noProof w:val="0"/>
            <w:webHidden/>
          </w:rPr>
          <w:fldChar w:fldCharType="end"/>
        </w:r>
      </w:hyperlink>
    </w:p>
    <w:p w14:paraId="5C456A4A" w14:textId="3CC3B099" w:rsidR="00E26EF6" w:rsidRPr="00E26EF6" w:rsidRDefault="00E26EF6">
      <w:pPr>
        <w:pStyle w:val="TOC2"/>
        <w:rPr>
          <w:rFonts w:asciiTheme="minorHAnsi" w:eastAsiaTheme="minorEastAsia" w:hAnsiTheme="minorHAnsi" w:cstheme="minorBidi"/>
          <w:b w:val="0"/>
          <w:smallCaps w:val="0"/>
          <w:noProof w:val="0"/>
          <w:sz w:val="22"/>
        </w:rPr>
      </w:pPr>
      <w:hyperlink w:anchor="_Toc31014417" w:history="1">
        <w:r w:rsidRPr="00E26EF6">
          <w:rPr>
            <w:rStyle w:val="Hyperlink"/>
            <w:rFonts w:ascii="Times New Roman" w:hAnsi="Times New Roman"/>
            <w:noProof w:val="0"/>
          </w:rPr>
          <w:t>7.</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C 33.00 – Ekspozycje wobec sektora instytucji rządowych i samorządowych według państwa kontrahenta (GOV)</w:t>
        </w:r>
        <w:r w:rsidRPr="00E26EF6">
          <w:rPr>
            <w:noProof w:val="0"/>
            <w:webHidden/>
          </w:rPr>
          <w:tab/>
        </w:r>
        <w:r w:rsidRPr="00E26EF6">
          <w:rPr>
            <w:noProof w:val="0"/>
            <w:webHidden/>
          </w:rPr>
          <w:fldChar w:fldCharType="begin"/>
        </w:r>
        <w:r w:rsidRPr="00E26EF6">
          <w:rPr>
            <w:noProof w:val="0"/>
            <w:webHidden/>
          </w:rPr>
          <w:instrText xml:space="preserve"> PAGEREF _Toc31014417 \h </w:instrText>
        </w:r>
        <w:r w:rsidRPr="00E26EF6">
          <w:rPr>
            <w:noProof w:val="0"/>
            <w:webHidden/>
          </w:rPr>
        </w:r>
        <w:r w:rsidRPr="00E26EF6">
          <w:rPr>
            <w:noProof w:val="0"/>
            <w:webHidden/>
          </w:rPr>
          <w:fldChar w:fldCharType="separate"/>
        </w:r>
        <w:r w:rsidRPr="00E26EF6">
          <w:rPr>
            <w:noProof w:val="0"/>
            <w:webHidden/>
          </w:rPr>
          <w:t>186</w:t>
        </w:r>
        <w:r w:rsidRPr="00E26EF6">
          <w:rPr>
            <w:noProof w:val="0"/>
            <w:webHidden/>
          </w:rPr>
          <w:fldChar w:fldCharType="end"/>
        </w:r>
      </w:hyperlink>
    </w:p>
    <w:p w14:paraId="6E0B7D3F" w14:textId="4A808E56" w:rsidR="00E26EF6" w:rsidRPr="00E26EF6" w:rsidRDefault="00E26EF6">
      <w:pPr>
        <w:pStyle w:val="TOC2"/>
        <w:rPr>
          <w:rFonts w:asciiTheme="minorHAnsi" w:eastAsiaTheme="minorEastAsia" w:hAnsiTheme="minorHAnsi" w:cstheme="minorBidi"/>
          <w:b w:val="0"/>
          <w:smallCaps w:val="0"/>
          <w:noProof w:val="0"/>
          <w:sz w:val="22"/>
        </w:rPr>
      </w:pPr>
      <w:hyperlink w:anchor="_Toc31014418" w:history="1">
        <w:r w:rsidRPr="00E26EF6">
          <w:rPr>
            <w:rStyle w:val="Hyperlink"/>
            <w:rFonts w:ascii="Times New Roman" w:hAnsi="Times New Roman"/>
            <w:noProof w:val="0"/>
          </w:rPr>
          <w:t>7.1.</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Uwagi ogólne</w:t>
        </w:r>
        <w:r w:rsidRPr="00E26EF6">
          <w:rPr>
            <w:noProof w:val="0"/>
            <w:webHidden/>
          </w:rPr>
          <w:tab/>
        </w:r>
        <w:r w:rsidRPr="00E26EF6">
          <w:rPr>
            <w:noProof w:val="0"/>
            <w:webHidden/>
          </w:rPr>
          <w:fldChar w:fldCharType="begin"/>
        </w:r>
        <w:r w:rsidRPr="00E26EF6">
          <w:rPr>
            <w:noProof w:val="0"/>
            <w:webHidden/>
          </w:rPr>
          <w:instrText xml:space="preserve"> PAGEREF _Toc31014418 \h </w:instrText>
        </w:r>
        <w:r w:rsidRPr="00E26EF6">
          <w:rPr>
            <w:noProof w:val="0"/>
            <w:webHidden/>
          </w:rPr>
        </w:r>
        <w:r w:rsidRPr="00E26EF6">
          <w:rPr>
            <w:noProof w:val="0"/>
            <w:webHidden/>
          </w:rPr>
          <w:fldChar w:fldCharType="separate"/>
        </w:r>
        <w:r w:rsidRPr="00E26EF6">
          <w:rPr>
            <w:noProof w:val="0"/>
            <w:webHidden/>
          </w:rPr>
          <w:t>186</w:t>
        </w:r>
        <w:r w:rsidRPr="00E26EF6">
          <w:rPr>
            <w:noProof w:val="0"/>
            <w:webHidden/>
          </w:rPr>
          <w:fldChar w:fldCharType="end"/>
        </w:r>
      </w:hyperlink>
    </w:p>
    <w:p w14:paraId="49D0D2AC" w14:textId="6F15D429" w:rsidR="00E26EF6" w:rsidRPr="00E26EF6" w:rsidRDefault="00E26EF6">
      <w:pPr>
        <w:pStyle w:val="TOC2"/>
        <w:rPr>
          <w:rFonts w:asciiTheme="minorHAnsi" w:eastAsiaTheme="minorEastAsia" w:hAnsiTheme="minorHAnsi" w:cstheme="minorBidi"/>
          <w:b w:val="0"/>
          <w:smallCaps w:val="0"/>
          <w:noProof w:val="0"/>
          <w:sz w:val="22"/>
        </w:rPr>
      </w:pPr>
      <w:hyperlink w:anchor="_Toc31014419" w:history="1">
        <w:r w:rsidRPr="00E26EF6">
          <w:rPr>
            <w:rStyle w:val="Hyperlink"/>
            <w:rFonts w:ascii="Times New Roman" w:hAnsi="Times New Roman"/>
            <w:noProof w:val="0"/>
          </w:rPr>
          <w:t>7.2.</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Zakres wzoru dotyczącego ekspozycji wobec „sektora instytucji rządowych i samorządowych”</w:t>
        </w:r>
        <w:r w:rsidRPr="00E26EF6">
          <w:rPr>
            <w:noProof w:val="0"/>
            <w:webHidden/>
          </w:rPr>
          <w:tab/>
        </w:r>
        <w:r w:rsidRPr="00E26EF6">
          <w:rPr>
            <w:noProof w:val="0"/>
            <w:webHidden/>
          </w:rPr>
          <w:fldChar w:fldCharType="begin"/>
        </w:r>
        <w:r w:rsidRPr="00E26EF6">
          <w:rPr>
            <w:noProof w:val="0"/>
            <w:webHidden/>
          </w:rPr>
          <w:instrText xml:space="preserve"> PAGEREF _Toc31014419 \h </w:instrText>
        </w:r>
        <w:r w:rsidRPr="00E26EF6">
          <w:rPr>
            <w:noProof w:val="0"/>
            <w:webHidden/>
          </w:rPr>
        </w:r>
        <w:r w:rsidRPr="00E26EF6">
          <w:rPr>
            <w:noProof w:val="0"/>
            <w:webHidden/>
          </w:rPr>
          <w:fldChar w:fldCharType="separate"/>
        </w:r>
        <w:r w:rsidRPr="00E26EF6">
          <w:rPr>
            <w:noProof w:val="0"/>
            <w:webHidden/>
          </w:rPr>
          <w:t>187</w:t>
        </w:r>
        <w:r w:rsidRPr="00E26EF6">
          <w:rPr>
            <w:noProof w:val="0"/>
            <w:webHidden/>
          </w:rPr>
          <w:fldChar w:fldCharType="end"/>
        </w:r>
      </w:hyperlink>
    </w:p>
    <w:p w14:paraId="6B2EE2D4" w14:textId="0E6A91DD" w:rsidR="00E26EF6" w:rsidRPr="00E26EF6" w:rsidRDefault="00E26EF6">
      <w:pPr>
        <w:pStyle w:val="TOC2"/>
        <w:rPr>
          <w:rFonts w:asciiTheme="minorHAnsi" w:eastAsiaTheme="minorEastAsia" w:hAnsiTheme="minorHAnsi" w:cstheme="minorBidi"/>
          <w:b w:val="0"/>
          <w:smallCaps w:val="0"/>
          <w:noProof w:val="0"/>
          <w:sz w:val="22"/>
        </w:rPr>
      </w:pPr>
      <w:hyperlink w:anchor="_Toc31014420" w:history="1">
        <w:r w:rsidRPr="00E26EF6">
          <w:rPr>
            <w:rStyle w:val="Hyperlink"/>
            <w:rFonts w:ascii="Times New Roman" w:hAnsi="Times New Roman"/>
            <w:noProof w:val="0"/>
          </w:rPr>
          <w:t>7.3.</w:t>
        </w:r>
        <w:r w:rsidRPr="00E26EF6">
          <w:rPr>
            <w:rFonts w:asciiTheme="minorHAnsi" w:eastAsiaTheme="minorEastAsia" w:hAnsiTheme="minorHAnsi" w:cstheme="minorBidi"/>
            <w:b w:val="0"/>
            <w:smallCaps w:val="0"/>
            <w:noProof w:val="0"/>
            <w:sz w:val="22"/>
          </w:rPr>
          <w:tab/>
        </w:r>
        <w:r w:rsidRPr="00E26EF6">
          <w:rPr>
            <w:rStyle w:val="Hyperlink"/>
            <w:rFonts w:ascii="Times New Roman" w:hAnsi="Times New Roman"/>
            <w:noProof w:val="0"/>
          </w:rPr>
          <w:t>Instrukcje dotyczące poszczególnych pozycji</w:t>
        </w:r>
        <w:r w:rsidRPr="00E26EF6">
          <w:rPr>
            <w:noProof w:val="0"/>
            <w:webHidden/>
          </w:rPr>
          <w:tab/>
        </w:r>
        <w:r w:rsidRPr="00E26EF6">
          <w:rPr>
            <w:noProof w:val="0"/>
            <w:webHidden/>
          </w:rPr>
          <w:fldChar w:fldCharType="begin"/>
        </w:r>
        <w:r w:rsidRPr="00E26EF6">
          <w:rPr>
            <w:noProof w:val="0"/>
            <w:webHidden/>
          </w:rPr>
          <w:instrText xml:space="preserve"> PAGEREF _Toc31014420 \h </w:instrText>
        </w:r>
        <w:r w:rsidRPr="00E26EF6">
          <w:rPr>
            <w:noProof w:val="0"/>
            <w:webHidden/>
          </w:rPr>
        </w:r>
        <w:r w:rsidRPr="00E26EF6">
          <w:rPr>
            <w:noProof w:val="0"/>
            <w:webHidden/>
          </w:rPr>
          <w:fldChar w:fldCharType="separate"/>
        </w:r>
        <w:r w:rsidRPr="00E26EF6">
          <w:rPr>
            <w:noProof w:val="0"/>
            <w:webHidden/>
          </w:rPr>
          <w:t>187</w:t>
        </w:r>
        <w:r w:rsidRPr="00E26EF6">
          <w:rPr>
            <w:noProof w:val="0"/>
            <w:webHidden/>
          </w:rPr>
          <w:fldChar w:fldCharType="end"/>
        </w:r>
      </w:hyperlink>
    </w:p>
    <w:p w14:paraId="7AC7042C" w14:textId="52CBAE0C" w:rsidR="00915077" w:rsidRPr="00E26EF6" w:rsidRDefault="00745369">
      <w:pPr>
        <w:rPr>
          <w:rFonts w:ascii="Times New Roman" w:hAnsi="Times New Roman"/>
          <w:sz w:val="24"/>
        </w:rPr>
        <w:sectPr w:rsidR="00915077" w:rsidRPr="00E26EF6"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E26EF6">
        <w:rPr>
          <w:rFonts w:ascii="Times New Roman" w:hAnsi="Times New Roman"/>
        </w:rPr>
        <w:fldChar w:fldCharType="end"/>
      </w:r>
    </w:p>
    <w:p w14:paraId="3FF7FFE6" w14:textId="77777777" w:rsidR="00915077" w:rsidRPr="00E26EF6" w:rsidRDefault="00915077">
      <w:pPr>
        <w:rPr>
          <w:rFonts w:ascii="Times New Roman" w:hAnsi="Times New Roman"/>
          <w:sz w:val="24"/>
        </w:rPr>
      </w:pPr>
    </w:p>
    <w:p w14:paraId="2820F465" w14:textId="77777777" w:rsidR="00915077" w:rsidRPr="00E26EF6" w:rsidRDefault="002648B0">
      <w:pPr>
        <w:pStyle w:val="Heading2"/>
        <w:rPr>
          <w:rFonts w:ascii="Times New Roman" w:hAnsi="Times New Roman"/>
        </w:rPr>
      </w:pPr>
      <w:bookmarkStart w:id="0" w:name="_Toc31014298"/>
      <w:r w:rsidRPr="00E26EF6">
        <w:rPr>
          <w:rFonts w:ascii="Times New Roman" w:hAnsi="Times New Roman"/>
        </w:rPr>
        <w:t>CZĘŚĆ I: INSTRUKCJE OGÓLNE</w:t>
      </w:r>
      <w:bookmarkEnd w:id="0"/>
    </w:p>
    <w:p w14:paraId="134C985E" w14:textId="5BA990D0" w:rsidR="00915077" w:rsidRPr="00E26EF6" w:rsidRDefault="00125707">
      <w:pPr>
        <w:pStyle w:val="Instructionsberschrift2"/>
        <w:numPr>
          <w:ilvl w:val="0"/>
          <w:numId w:val="0"/>
        </w:numPr>
        <w:ind w:left="357" w:hanging="357"/>
        <w:rPr>
          <w:rFonts w:ascii="Times New Roman" w:hAnsi="Times New Roman" w:cs="Times New Roman"/>
          <w:sz w:val="24"/>
          <w:u w:val="none"/>
        </w:rPr>
      </w:pPr>
      <w:bookmarkStart w:id="1" w:name="_Toc31014299"/>
      <w:r w:rsidRPr="00E26EF6">
        <w:rPr>
          <w:rFonts w:ascii="Times New Roman" w:hAnsi="Times New Roman"/>
          <w:sz w:val="24"/>
          <w:u w:val="none"/>
        </w:rPr>
        <w:t>1.</w:t>
      </w:r>
      <w:r w:rsidRPr="00E26EF6">
        <w:rPr>
          <w:rFonts w:ascii="Times New Roman" w:hAnsi="Times New Roman"/>
          <w:sz w:val="24"/>
          <w:u w:val="none"/>
        </w:rPr>
        <w:tab/>
        <w:t>Struktura</w:t>
      </w:r>
      <w:r w:rsidR="00E26EF6" w:rsidRPr="00E26EF6">
        <w:rPr>
          <w:rFonts w:ascii="Times New Roman" w:hAnsi="Times New Roman"/>
          <w:sz w:val="24"/>
          <w:u w:val="none"/>
        </w:rPr>
        <w:t xml:space="preserve"> i kon</w:t>
      </w:r>
      <w:r w:rsidRPr="00E26EF6">
        <w:rPr>
          <w:rFonts w:ascii="Times New Roman" w:hAnsi="Times New Roman"/>
          <w:sz w:val="24"/>
          <w:u w:val="none"/>
        </w:rPr>
        <w:t>wencje</w:t>
      </w:r>
      <w:bookmarkEnd w:id="1"/>
    </w:p>
    <w:p w14:paraId="7C7E012C" w14:textId="77777777" w:rsidR="00915077" w:rsidRPr="00E26EF6" w:rsidRDefault="00125707">
      <w:pPr>
        <w:pStyle w:val="Instructionsberschrift2"/>
        <w:numPr>
          <w:ilvl w:val="0"/>
          <w:numId w:val="0"/>
        </w:numPr>
        <w:ind w:left="357" w:hanging="357"/>
        <w:rPr>
          <w:rFonts w:ascii="Times New Roman" w:hAnsi="Times New Roman" w:cs="Times New Roman"/>
          <w:sz w:val="24"/>
          <w:u w:val="none"/>
        </w:rPr>
      </w:pPr>
      <w:bookmarkStart w:id="2" w:name="_Toc31014300"/>
      <w:r w:rsidRPr="00E26EF6">
        <w:rPr>
          <w:rFonts w:ascii="Times New Roman" w:hAnsi="Times New Roman"/>
          <w:sz w:val="24"/>
          <w:u w:val="none"/>
        </w:rPr>
        <w:t>1.1.</w:t>
      </w:r>
      <w:r w:rsidRPr="00E26EF6">
        <w:rPr>
          <w:rFonts w:ascii="Times New Roman" w:hAnsi="Times New Roman"/>
          <w:sz w:val="24"/>
          <w:u w:val="none"/>
        </w:rPr>
        <w:tab/>
        <w:t>Struktura</w:t>
      </w:r>
      <w:bookmarkEnd w:id="2"/>
    </w:p>
    <w:p w14:paraId="08FFE994" w14:textId="09227DC3" w:rsidR="00915077" w:rsidRPr="00E26EF6" w:rsidRDefault="00125707">
      <w:pPr>
        <w:pStyle w:val="InstructionsText2"/>
        <w:numPr>
          <w:ilvl w:val="0"/>
          <w:numId w:val="0"/>
        </w:numPr>
        <w:ind w:left="993"/>
      </w:pPr>
      <w:r w:rsidRPr="00E26EF6">
        <w:t>1.</w:t>
      </w:r>
      <w:r w:rsidRPr="00E26EF6">
        <w:tab/>
        <w:t>Ogólnie ramy składają się</w:t>
      </w:r>
      <w:r w:rsidR="00E26EF6" w:rsidRPr="00E26EF6">
        <w:t xml:space="preserve"> z pię</w:t>
      </w:r>
      <w:r w:rsidRPr="00E26EF6">
        <w:t>ciu grup wzorów, które dotyczą:</w:t>
      </w:r>
    </w:p>
    <w:p w14:paraId="5CB07827" w14:textId="77777777" w:rsidR="00915077" w:rsidRPr="00E26EF6" w:rsidRDefault="00125707">
      <w:pPr>
        <w:pStyle w:val="InstructionsText2"/>
        <w:numPr>
          <w:ilvl w:val="0"/>
          <w:numId w:val="0"/>
        </w:numPr>
        <w:ind w:left="993"/>
      </w:pPr>
      <w:r w:rsidRPr="00E26EF6">
        <w:t>a</w:t>
      </w:r>
      <w:proofErr w:type="gramStart"/>
      <w:r w:rsidRPr="00E26EF6">
        <w:t>)</w:t>
      </w:r>
      <w:r w:rsidRPr="00E26EF6">
        <w:tab/>
        <w:t>adekwatności</w:t>
      </w:r>
      <w:proofErr w:type="gramEnd"/>
      <w:r w:rsidRPr="00E26EF6">
        <w:t xml:space="preserve"> kapitałowej, przeglądu kapitału regulacyjnego, łącznej kwoty ekspozycji na ryzyko;</w:t>
      </w:r>
    </w:p>
    <w:p w14:paraId="78FE6281" w14:textId="77777777" w:rsidR="00915077" w:rsidRPr="00E26EF6" w:rsidRDefault="00125707">
      <w:pPr>
        <w:pStyle w:val="InstructionsText2"/>
        <w:numPr>
          <w:ilvl w:val="0"/>
          <w:numId w:val="0"/>
        </w:numPr>
        <w:ind w:left="993"/>
      </w:pPr>
      <w:r w:rsidRPr="00E26EF6">
        <w:t>b</w:t>
      </w:r>
      <w:proofErr w:type="gramStart"/>
      <w:r w:rsidRPr="00E26EF6">
        <w:t>)</w:t>
      </w:r>
      <w:r w:rsidRPr="00E26EF6">
        <w:tab/>
        <w:t>wypłacalności</w:t>
      </w:r>
      <w:proofErr w:type="gramEnd"/>
      <w:r w:rsidRPr="00E26EF6">
        <w:t xml:space="preserve"> grupy, przeglądu spełniania wymogów dotyczących wypłacalności przez wszystkie poszczególne podmioty objęte zakresem konsolidacji jednostki sprawozdającej;</w:t>
      </w:r>
    </w:p>
    <w:p w14:paraId="5215F61C" w14:textId="5B437589" w:rsidR="00915077" w:rsidRPr="00E26EF6" w:rsidRDefault="00125707">
      <w:pPr>
        <w:pStyle w:val="InstructionsText2"/>
        <w:numPr>
          <w:ilvl w:val="0"/>
          <w:numId w:val="0"/>
        </w:numPr>
        <w:ind w:left="993"/>
      </w:pPr>
      <w:r w:rsidRPr="00E26EF6">
        <w:t>c</w:t>
      </w:r>
      <w:proofErr w:type="gramStart"/>
      <w:r w:rsidRPr="00E26EF6">
        <w:t>)</w:t>
      </w:r>
      <w:r w:rsidRPr="00E26EF6">
        <w:tab/>
        <w:t>ryzyka</w:t>
      </w:r>
      <w:proofErr w:type="gramEnd"/>
      <w:r w:rsidRPr="00E26EF6">
        <w:t xml:space="preserve"> kredytowego (w tym ryzyka kredytowego kontrahenta, ryzyka rozmycia</w:t>
      </w:r>
      <w:r w:rsidR="00E26EF6" w:rsidRPr="00E26EF6">
        <w:t xml:space="preserve"> i ryz</w:t>
      </w:r>
      <w:r w:rsidRPr="00E26EF6">
        <w:t>yka rozliczenia);</w:t>
      </w:r>
    </w:p>
    <w:p w14:paraId="2F8F64C4" w14:textId="4CCF07E4" w:rsidR="00915077" w:rsidRPr="00E26EF6" w:rsidRDefault="00125707">
      <w:pPr>
        <w:pStyle w:val="InstructionsText2"/>
        <w:numPr>
          <w:ilvl w:val="0"/>
          <w:numId w:val="0"/>
        </w:numPr>
        <w:ind w:left="993"/>
      </w:pPr>
      <w:r w:rsidRPr="00E26EF6">
        <w:t>d</w:t>
      </w:r>
      <w:proofErr w:type="gramStart"/>
      <w:r w:rsidRPr="00E26EF6">
        <w:t>)</w:t>
      </w:r>
      <w:r w:rsidRPr="00E26EF6">
        <w:tab/>
        <w:t>ryzyka</w:t>
      </w:r>
      <w:proofErr w:type="gramEnd"/>
      <w:r w:rsidRPr="00E26EF6">
        <w:t xml:space="preserve"> rynkowego (w tym ryzyka pozycji</w:t>
      </w:r>
      <w:r w:rsidR="00E26EF6" w:rsidRPr="00E26EF6">
        <w:t xml:space="preserve"> w por</w:t>
      </w:r>
      <w:r w:rsidRPr="00E26EF6">
        <w:t>tfelu handlowym, ryzyka walutowego, ryzyka cen towarów</w:t>
      </w:r>
      <w:r w:rsidR="00E26EF6" w:rsidRPr="00E26EF6">
        <w:t xml:space="preserve"> i ryz</w:t>
      </w:r>
      <w:r w:rsidRPr="00E26EF6">
        <w:t>yka związanego z CVA);</w:t>
      </w:r>
    </w:p>
    <w:p w14:paraId="2B198FD1" w14:textId="77777777" w:rsidR="00915077" w:rsidRPr="00E26EF6" w:rsidRDefault="00125707">
      <w:pPr>
        <w:pStyle w:val="InstructionsText2"/>
        <w:numPr>
          <w:ilvl w:val="0"/>
          <w:numId w:val="0"/>
        </w:numPr>
        <w:ind w:left="993"/>
      </w:pPr>
      <w:r w:rsidRPr="00E26EF6">
        <w:t>e</w:t>
      </w:r>
      <w:proofErr w:type="gramStart"/>
      <w:r w:rsidRPr="00E26EF6">
        <w:t>)</w:t>
      </w:r>
      <w:r w:rsidRPr="00E26EF6">
        <w:tab/>
        <w:t>ryzyka</w:t>
      </w:r>
      <w:proofErr w:type="gramEnd"/>
      <w:r w:rsidRPr="00E26EF6">
        <w:t xml:space="preserve"> operacyjnego.</w:t>
      </w:r>
    </w:p>
    <w:p w14:paraId="0EAF0BE3" w14:textId="0907B194" w:rsidR="00915077" w:rsidRPr="00E26EF6" w:rsidRDefault="00125707">
      <w:pPr>
        <w:pStyle w:val="InstructionsText2"/>
        <w:numPr>
          <w:ilvl w:val="0"/>
          <w:numId w:val="0"/>
        </w:numPr>
        <w:ind w:left="993"/>
      </w:pPr>
      <w:r w:rsidRPr="00E26EF6">
        <w:t>2.</w:t>
      </w:r>
      <w:r w:rsidRPr="00E26EF6">
        <w:tab/>
        <w:t>Dla każdego wzoru podano odniesienia prawne. Niniejsza część niniejszego rozporządzenia wykonawczego zawiera dalsze szczegółowe informacje dotyczące bardziej ogólnych aspektów sprawozdawczości</w:t>
      </w:r>
      <w:r w:rsidR="00E26EF6" w:rsidRPr="00E26EF6">
        <w:t xml:space="preserve"> w ram</w:t>
      </w:r>
      <w:r w:rsidRPr="00E26EF6">
        <w:t>ach każdej grupy wzorów, instrukcje dotyczące poszczególnych pozycji,</w:t>
      </w:r>
      <w:r w:rsidR="00E26EF6" w:rsidRPr="00E26EF6">
        <w:t xml:space="preserve"> a tak</w:t>
      </w:r>
      <w:r w:rsidRPr="00E26EF6">
        <w:t>że reguły walidacyjne.</w:t>
      </w:r>
    </w:p>
    <w:p w14:paraId="6C67B776" w14:textId="7C1D5C86" w:rsidR="00915077" w:rsidRPr="00E26EF6" w:rsidRDefault="00125707">
      <w:pPr>
        <w:pStyle w:val="InstructionsText2"/>
        <w:numPr>
          <w:ilvl w:val="0"/>
          <w:numId w:val="0"/>
        </w:numPr>
        <w:ind w:left="993"/>
      </w:pPr>
      <w:r w:rsidRPr="00E26EF6">
        <w:t>3.</w:t>
      </w:r>
      <w:r w:rsidRPr="00E26EF6">
        <w:tab/>
        <w:t>Instytucje zgłaszają tylko te wzory, które są odpowiednie</w:t>
      </w:r>
      <w:r w:rsidR="00E26EF6" w:rsidRPr="00E26EF6">
        <w:t xml:space="preserve"> w zal</w:t>
      </w:r>
      <w:r w:rsidRPr="00E26EF6">
        <w:t>eżności od podejścia zastosowanego do określenia wymogów</w:t>
      </w:r>
      <w:r w:rsidR="00E26EF6" w:rsidRPr="00E26EF6">
        <w:t xml:space="preserve"> w zak</w:t>
      </w:r>
      <w:r w:rsidRPr="00E26EF6">
        <w:t>resie funduszy własnych.</w:t>
      </w:r>
    </w:p>
    <w:p w14:paraId="61F62C51" w14:textId="77777777" w:rsidR="00915077" w:rsidRPr="00E26EF6" w:rsidRDefault="00125707">
      <w:pPr>
        <w:pStyle w:val="Instructionsberschrift2"/>
        <w:numPr>
          <w:ilvl w:val="0"/>
          <w:numId w:val="0"/>
        </w:numPr>
        <w:ind w:left="357" w:hanging="357"/>
        <w:rPr>
          <w:rFonts w:ascii="Times New Roman" w:hAnsi="Times New Roman" w:cs="Times New Roman"/>
          <w:sz w:val="24"/>
          <w:u w:val="none"/>
        </w:rPr>
      </w:pPr>
      <w:bookmarkStart w:id="3" w:name="_Toc31014301"/>
      <w:r w:rsidRPr="00E26EF6">
        <w:rPr>
          <w:rFonts w:ascii="Times New Roman" w:hAnsi="Times New Roman"/>
          <w:sz w:val="24"/>
          <w:u w:val="none"/>
        </w:rPr>
        <w:t>1.2.</w:t>
      </w:r>
      <w:r w:rsidRPr="00E26EF6">
        <w:rPr>
          <w:rFonts w:ascii="Times New Roman" w:hAnsi="Times New Roman"/>
          <w:sz w:val="24"/>
          <w:u w:val="none"/>
        </w:rPr>
        <w:tab/>
        <w:t>Konwencja numerowania</w:t>
      </w:r>
      <w:bookmarkEnd w:id="3"/>
    </w:p>
    <w:p w14:paraId="3C0F0268" w14:textId="310F7755" w:rsidR="00915077" w:rsidRPr="00E26EF6" w:rsidRDefault="00125707">
      <w:pPr>
        <w:pStyle w:val="InstructionsText2"/>
        <w:numPr>
          <w:ilvl w:val="0"/>
          <w:numId w:val="0"/>
        </w:numPr>
        <w:ind w:left="993"/>
      </w:pPr>
      <w:r w:rsidRPr="00E26EF6">
        <w:t>4.</w:t>
      </w:r>
      <w:r w:rsidRPr="00E26EF6">
        <w:tab/>
        <w:t>W przypadku odwołań do kolumn, wierszy</w:t>
      </w:r>
      <w:r w:rsidR="00E26EF6" w:rsidRPr="00E26EF6">
        <w:t xml:space="preserve"> i kom</w:t>
      </w:r>
      <w:r w:rsidRPr="00E26EF6">
        <w:t>órek poszczególnych wzorów</w:t>
      </w:r>
      <w:r w:rsidR="00E26EF6" w:rsidRPr="00E26EF6">
        <w:t xml:space="preserve"> w dok</w:t>
      </w:r>
      <w:r w:rsidRPr="00E26EF6">
        <w:t>umencie przestrzega się konwencji oznaczania przedstawionej</w:t>
      </w:r>
      <w:r w:rsidR="00E26EF6" w:rsidRPr="00E26EF6">
        <w:t xml:space="preserve"> w pkt</w:t>
      </w:r>
      <w:r w:rsidR="00023409" w:rsidRPr="00E26EF6">
        <w:t> </w:t>
      </w:r>
      <w:r w:rsidRPr="00E26EF6">
        <w:t>5–8. Przedmiotowe kody numeryczne znajdują szerokie zastosowanie</w:t>
      </w:r>
      <w:r w:rsidR="00E26EF6" w:rsidRPr="00E26EF6">
        <w:t xml:space="preserve"> w reg</w:t>
      </w:r>
      <w:r w:rsidRPr="00E26EF6">
        <w:t>ułach walidacyjnych.</w:t>
      </w:r>
    </w:p>
    <w:p w14:paraId="26DC2799" w14:textId="77777777" w:rsidR="00915077" w:rsidRPr="00E26EF6" w:rsidRDefault="00125707">
      <w:pPr>
        <w:pStyle w:val="InstructionsText2"/>
        <w:numPr>
          <w:ilvl w:val="0"/>
          <w:numId w:val="0"/>
        </w:numPr>
        <w:ind w:left="993"/>
      </w:pPr>
      <w:r w:rsidRPr="00E26EF6">
        <w:t>5.</w:t>
      </w:r>
      <w:r w:rsidRPr="00E26EF6">
        <w:tab/>
        <w:t>W instrukcjach stosowany jest następujący ogólny zapis: {wzór; wiersz; kolumna}.</w:t>
      </w:r>
    </w:p>
    <w:p w14:paraId="66E7EDEC" w14:textId="5DEB8F38" w:rsidR="00915077" w:rsidRPr="00E26EF6" w:rsidRDefault="00125707">
      <w:pPr>
        <w:pStyle w:val="InstructionsText2"/>
        <w:numPr>
          <w:ilvl w:val="0"/>
          <w:numId w:val="0"/>
        </w:numPr>
        <w:ind w:left="993"/>
      </w:pPr>
      <w:r w:rsidRPr="00E26EF6">
        <w:t>6.</w:t>
      </w:r>
      <w:r w:rsidRPr="00E26EF6">
        <w:tab/>
        <w:t>W przypadku walidacji wewnątrz wzoru, która odnosi się tylko do danych zawartych</w:t>
      </w:r>
      <w:r w:rsidR="00E26EF6" w:rsidRPr="00E26EF6">
        <w:t xml:space="preserve"> w tym</w:t>
      </w:r>
      <w:r w:rsidRPr="00E26EF6">
        <w:t xml:space="preserve"> wzorze, adnotacje nie odnoszą się do wzoru: {wiersz; kolumna}.</w:t>
      </w:r>
    </w:p>
    <w:p w14:paraId="6A9F72AA" w14:textId="77777777" w:rsidR="00915077" w:rsidRPr="00E26EF6" w:rsidRDefault="00125707">
      <w:pPr>
        <w:pStyle w:val="InstructionsText2"/>
        <w:numPr>
          <w:ilvl w:val="0"/>
          <w:numId w:val="0"/>
        </w:numPr>
        <w:ind w:left="993"/>
      </w:pPr>
      <w:r w:rsidRPr="00E26EF6">
        <w:t>7.</w:t>
      </w:r>
      <w:r w:rsidRPr="00E26EF6">
        <w:tab/>
        <w:t>W przypadku wzorów zawierających tylko jedną kolumnę adnotacja odnosi się tylko do wierszy: {wzór; wiersz}.</w:t>
      </w:r>
    </w:p>
    <w:p w14:paraId="01FECE3C" w14:textId="77777777" w:rsidR="00915077" w:rsidRPr="00E26EF6" w:rsidRDefault="00125707">
      <w:pPr>
        <w:pStyle w:val="InstructionsText2"/>
        <w:numPr>
          <w:ilvl w:val="0"/>
          <w:numId w:val="0"/>
        </w:numPr>
        <w:ind w:left="993"/>
      </w:pPr>
      <w:r w:rsidRPr="00E26EF6">
        <w:t>8.</w:t>
      </w:r>
      <w:r w:rsidRPr="00E26EF6">
        <w:tab/>
        <w:t>Znaku gwiazdki używa się do wskazania, że walidacja jest wykonywana dla wcześniej określonych wierszy lub kolumn.</w:t>
      </w:r>
    </w:p>
    <w:p w14:paraId="273A8B8C" w14:textId="77777777" w:rsidR="00915077" w:rsidRPr="00E26EF6" w:rsidRDefault="00125707">
      <w:pPr>
        <w:pStyle w:val="Instructionsberschrift2"/>
        <w:numPr>
          <w:ilvl w:val="0"/>
          <w:numId w:val="0"/>
        </w:numPr>
        <w:ind w:left="357" w:hanging="357"/>
        <w:rPr>
          <w:rFonts w:ascii="Times New Roman" w:hAnsi="Times New Roman" w:cs="Times New Roman"/>
          <w:sz w:val="24"/>
          <w:u w:val="none"/>
        </w:rPr>
      </w:pPr>
      <w:bookmarkStart w:id="4" w:name="_Toc31014302"/>
      <w:r w:rsidRPr="00E26EF6">
        <w:rPr>
          <w:rFonts w:ascii="Times New Roman" w:hAnsi="Times New Roman"/>
          <w:sz w:val="24"/>
          <w:u w:val="none"/>
        </w:rPr>
        <w:lastRenderedPageBreak/>
        <w:t>1.3.</w:t>
      </w:r>
      <w:r w:rsidRPr="00E26EF6">
        <w:rPr>
          <w:rFonts w:ascii="Times New Roman" w:hAnsi="Times New Roman"/>
          <w:sz w:val="24"/>
          <w:u w:val="none"/>
        </w:rPr>
        <w:tab/>
        <w:t>Konwencja znaku</w:t>
      </w:r>
      <w:bookmarkEnd w:id="4"/>
    </w:p>
    <w:p w14:paraId="0C0832BC" w14:textId="2755875A" w:rsidR="00915077" w:rsidRPr="00E26EF6" w:rsidRDefault="00125707">
      <w:pPr>
        <w:pStyle w:val="InstructionsText2"/>
        <w:numPr>
          <w:ilvl w:val="0"/>
          <w:numId w:val="0"/>
        </w:numPr>
        <w:ind w:left="993"/>
      </w:pPr>
      <w:r w:rsidRPr="00E26EF6">
        <w:t>9.</w:t>
      </w:r>
      <w:r w:rsidRPr="00E26EF6">
        <w:tab/>
        <w:t>Każdą kwotę, która zwiększa</w:t>
      </w:r>
      <w:r w:rsidR="00023409" w:rsidRPr="00E26EF6">
        <w:t xml:space="preserve"> </w:t>
      </w:r>
      <w:r w:rsidRPr="00E26EF6">
        <w:t>fundusze własne lub wymogi kapitałowe, zgłasza się jako wartość dodatnią. Każdą kwotę, która zmniejsza fundusze własne lub wymogi kapitałowe, zgłasza się natomiast jako wartość ujemną. Jeżeli przed oznaczeniem pozycji znajduje się znak ujemny (-), dla tej pozycji nie oczekuje się zgłoszenia wartości dodatniej.</w:t>
      </w:r>
    </w:p>
    <w:p w14:paraId="318F1B9B" w14:textId="77777777" w:rsidR="00915077" w:rsidRPr="00E26EF6" w:rsidRDefault="00304CA5">
      <w:pPr>
        <w:pStyle w:val="Instructionsberschrift2"/>
        <w:numPr>
          <w:ilvl w:val="0"/>
          <w:numId w:val="0"/>
        </w:numPr>
        <w:ind w:left="357" w:hanging="357"/>
        <w:rPr>
          <w:rFonts w:ascii="Times New Roman" w:hAnsi="Times New Roman" w:cs="Times New Roman"/>
          <w:sz w:val="24"/>
          <w:u w:val="none"/>
        </w:rPr>
      </w:pPr>
      <w:bookmarkStart w:id="5" w:name="_Toc31014303"/>
      <w:r w:rsidRPr="00E26EF6">
        <w:rPr>
          <w:rFonts w:ascii="Times New Roman" w:hAnsi="Times New Roman"/>
          <w:sz w:val="24"/>
          <w:u w:val="none"/>
        </w:rPr>
        <w:t>1.4.</w:t>
      </w:r>
      <w:r w:rsidRPr="00E26EF6">
        <w:rPr>
          <w:rFonts w:ascii="Times New Roman" w:hAnsi="Times New Roman"/>
          <w:sz w:val="24"/>
          <w:u w:val="none"/>
        </w:rPr>
        <w:tab/>
        <w:t>Skróty</w:t>
      </w:r>
      <w:bookmarkEnd w:id="5"/>
    </w:p>
    <w:p w14:paraId="5A22E3D2" w14:textId="0157AA59" w:rsidR="00915077" w:rsidRPr="00E26EF6" w:rsidRDefault="00304CA5">
      <w:pPr>
        <w:pStyle w:val="InstructionsText2"/>
        <w:numPr>
          <w:ilvl w:val="0"/>
          <w:numId w:val="0"/>
        </w:numPr>
        <w:ind w:left="993"/>
      </w:pPr>
      <w:r w:rsidRPr="00E26EF6">
        <w:t>9a. Do celów niniejszego załącznika rozporządzenie Parlamentu Europejskiego</w:t>
      </w:r>
      <w:r w:rsidR="00E26EF6" w:rsidRPr="00E26EF6">
        <w:t xml:space="preserve"> i Rad</w:t>
      </w:r>
      <w:r w:rsidRPr="00E26EF6">
        <w:t>y (UE) nr</w:t>
      </w:r>
      <w:r w:rsidR="00023409" w:rsidRPr="00E26EF6">
        <w:t> </w:t>
      </w:r>
      <w:r w:rsidRPr="00E26EF6">
        <w:t>575/2013</w:t>
      </w:r>
      <w:r w:rsidRPr="00E26EF6">
        <w:rPr>
          <w:rStyle w:val="FootnoteReference"/>
          <w:rFonts w:ascii="Times New Roman" w:hAnsi="Times New Roman"/>
          <w:vertAlign w:val="superscript"/>
        </w:rPr>
        <w:footnoteReference w:id="2"/>
      </w:r>
      <w:r w:rsidRPr="00E26EF6">
        <w:t xml:space="preserve"> zwane jest „CRR”, dyrektywa Parlamentu Europejskiego</w:t>
      </w:r>
      <w:r w:rsidR="00E26EF6" w:rsidRPr="00E26EF6">
        <w:t xml:space="preserve"> i Rad</w:t>
      </w:r>
      <w:r w:rsidRPr="00E26EF6">
        <w:t>y 2013/36/UE</w:t>
      </w:r>
      <w:r w:rsidRPr="00E26EF6">
        <w:rPr>
          <w:rStyle w:val="FootnoteReference"/>
          <w:rFonts w:ascii="Times New Roman" w:hAnsi="Times New Roman"/>
          <w:vertAlign w:val="superscript"/>
        </w:rPr>
        <w:footnoteReference w:id="3"/>
      </w:r>
      <w:r w:rsidRPr="00E26EF6">
        <w:t xml:space="preserve"> zwana jest „CRD”, dyrektywa Parlamentu Europejskiego</w:t>
      </w:r>
      <w:r w:rsidR="00E26EF6" w:rsidRPr="00E26EF6">
        <w:t xml:space="preserve"> i Rad</w:t>
      </w:r>
      <w:r w:rsidRPr="00E26EF6">
        <w:t>y 2013/34/UE</w:t>
      </w:r>
      <w:r w:rsidRPr="00E26EF6">
        <w:rPr>
          <w:rStyle w:val="FootnoteReference"/>
          <w:rFonts w:ascii="Times New Roman" w:hAnsi="Times New Roman"/>
          <w:vertAlign w:val="superscript"/>
        </w:rPr>
        <w:footnoteReference w:id="4"/>
      </w:r>
      <w:r w:rsidRPr="00E26EF6">
        <w:t xml:space="preserve"> zwana jest „AD”,</w:t>
      </w:r>
      <w:r w:rsidR="00E26EF6" w:rsidRPr="00E26EF6">
        <w:t xml:space="preserve"> a dyr</w:t>
      </w:r>
      <w:r w:rsidRPr="00E26EF6">
        <w:t>ektywa Rady 86/635/EWG</w:t>
      </w:r>
      <w:r w:rsidRPr="00E26EF6">
        <w:rPr>
          <w:rStyle w:val="FootnoteReference"/>
          <w:rFonts w:ascii="Times New Roman" w:hAnsi="Times New Roman"/>
          <w:vertAlign w:val="superscript"/>
        </w:rPr>
        <w:footnoteReference w:id="5"/>
      </w:r>
      <w:r w:rsidRPr="00E26EF6">
        <w:t xml:space="preserve"> zwana jest „BAD”.</w:t>
      </w:r>
    </w:p>
    <w:p w14:paraId="078AD951" w14:textId="77777777" w:rsidR="00915077" w:rsidRPr="00E26EF6" w:rsidRDefault="00915077">
      <w:pPr>
        <w:pStyle w:val="InstructionsText2"/>
        <w:numPr>
          <w:ilvl w:val="0"/>
          <w:numId w:val="0"/>
        </w:numPr>
        <w:ind w:left="993"/>
      </w:pPr>
    </w:p>
    <w:p w14:paraId="74BFACB9" w14:textId="77777777" w:rsidR="00915077" w:rsidRPr="00E26EF6" w:rsidRDefault="00915077">
      <w:pPr>
        <w:pStyle w:val="InstructionsText2"/>
        <w:sectPr w:rsidR="00915077" w:rsidRPr="00E26EF6" w:rsidSect="00A801A9">
          <w:endnotePr>
            <w:numFmt w:val="decimal"/>
          </w:endnotePr>
          <w:pgSz w:w="11906" w:h="16838"/>
          <w:pgMar w:top="1417" w:right="1417" w:bottom="1134" w:left="1417" w:header="708" w:footer="708" w:gutter="0"/>
          <w:cols w:space="708"/>
          <w:rtlGutter/>
          <w:docGrid w:linePitch="360"/>
        </w:sectPr>
      </w:pPr>
    </w:p>
    <w:p w14:paraId="78522D2A" w14:textId="77777777" w:rsidR="00915077" w:rsidRPr="00E26EF6" w:rsidRDefault="00915077">
      <w:pPr>
        <w:rPr>
          <w:rFonts w:ascii="Times New Roman" w:hAnsi="Times New Roman"/>
          <w:sz w:val="24"/>
        </w:rPr>
      </w:pPr>
    </w:p>
    <w:p w14:paraId="039B9D1F" w14:textId="77777777" w:rsidR="00915077" w:rsidRPr="00E26EF6" w:rsidRDefault="002648B0">
      <w:pPr>
        <w:pStyle w:val="Heading2"/>
        <w:rPr>
          <w:rFonts w:ascii="Times New Roman" w:hAnsi="Times New Roman"/>
        </w:rPr>
      </w:pPr>
      <w:bookmarkStart w:id="6" w:name="_Toc31014304"/>
      <w:r w:rsidRPr="00E26EF6">
        <w:rPr>
          <w:rFonts w:ascii="Times New Roman" w:hAnsi="Times New Roman"/>
        </w:rPr>
        <w:t>CZĘŚĆ II INSTRUKCJE DOTYCZĄCE WZORÓW</w:t>
      </w:r>
      <w:bookmarkEnd w:id="6"/>
    </w:p>
    <w:p w14:paraId="03E7614B" w14:textId="77777777" w:rsidR="00915077" w:rsidRPr="00E26EF6" w:rsidRDefault="00125707">
      <w:pPr>
        <w:pStyle w:val="Instructionsberschrift2"/>
        <w:numPr>
          <w:ilvl w:val="0"/>
          <w:numId w:val="0"/>
        </w:numPr>
        <w:ind w:left="357" w:hanging="357"/>
        <w:rPr>
          <w:rFonts w:ascii="Times New Roman" w:hAnsi="Times New Roman" w:cs="Times New Roman"/>
          <w:sz w:val="24"/>
          <w:u w:val="none"/>
        </w:rPr>
      </w:pPr>
      <w:bookmarkStart w:id="7" w:name="_Toc31014305"/>
      <w:r w:rsidRPr="00E26EF6">
        <w:rPr>
          <w:rFonts w:ascii="Times New Roman" w:hAnsi="Times New Roman"/>
          <w:sz w:val="24"/>
          <w:u w:val="none"/>
        </w:rPr>
        <w:t>1.</w:t>
      </w:r>
      <w:r w:rsidRPr="00E26EF6">
        <w:rPr>
          <w:rFonts w:ascii="Times New Roman" w:hAnsi="Times New Roman"/>
          <w:sz w:val="24"/>
          <w:u w:val="none"/>
        </w:rPr>
        <w:tab/>
        <w:t>Przegląd adekwatności kapitałowej („CA”)</w:t>
      </w:r>
      <w:bookmarkEnd w:id="7"/>
    </w:p>
    <w:p w14:paraId="5E8C221B" w14:textId="77777777" w:rsidR="00915077" w:rsidRPr="00E26EF6" w:rsidRDefault="00125707">
      <w:pPr>
        <w:pStyle w:val="Instructionsberschrift2"/>
        <w:numPr>
          <w:ilvl w:val="0"/>
          <w:numId w:val="0"/>
        </w:numPr>
        <w:ind w:left="357" w:hanging="357"/>
        <w:rPr>
          <w:rFonts w:ascii="Times New Roman" w:hAnsi="Times New Roman" w:cs="Times New Roman"/>
          <w:sz w:val="24"/>
          <w:u w:val="none"/>
        </w:rPr>
      </w:pPr>
      <w:bookmarkStart w:id="8" w:name="_Toc31014306"/>
      <w:r w:rsidRPr="00E26EF6">
        <w:rPr>
          <w:rFonts w:ascii="Times New Roman" w:hAnsi="Times New Roman"/>
          <w:sz w:val="24"/>
          <w:u w:val="none"/>
        </w:rPr>
        <w:t>1.1.</w:t>
      </w:r>
      <w:r w:rsidRPr="00E26EF6">
        <w:rPr>
          <w:rFonts w:ascii="Times New Roman" w:hAnsi="Times New Roman"/>
          <w:sz w:val="24"/>
          <w:u w:val="none"/>
        </w:rPr>
        <w:tab/>
        <w:t>Uwagi ogólne</w:t>
      </w:r>
      <w:bookmarkEnd w:id="8"/>
    </w:p>
    <w:p w14:paraId="410557ED" w14:textId="73A2277D" w:rsidR="00915077" w:rsidRPr="00E26EF6" w:rsidRDefault="00125707">
      <w:pPr>
        <w:pStyle w:val="InstructionsText2"/>
        <w:numPr>
          <w:ilvl w:val="0"/>
          <w:numId w:val="0"/>
        </w:numPr>
        <w:ind w:left="993"/>
      </w:pPr>
      <w:r w:rsidRPr="00E26EF6">
        <w:t>10.</w:t>
      </w:r>
      <w:r w:rsidRPr="00E26EF6">
        <w:tab/>
        <w:t>Wzory CA zawierają informacje na temat liczników</w:t>
      </w:r>
      <w:r w:rsidR="00E26EF6" w:rsidRPr="00E26EF6">
        <w:t xml:space="preserve"> w ram</w:t>
      </w:r>
      <w:r w:rsidRPr="00E26EF6">
        <w:t>ach filaru 1 (fundusze własne, kapitał Tier I, kapitał podstawowy Tier I), mianownika (wymogi</w:t>
      </w:r>
      <w:r w:rsidR="00E26EF6" w:rsidRPr="00E26EF6">
        <w:t xml:space="preserve"> w zak</w:t>
      </w:r>
      <w:r w:rsidRPr="00E26EF6">
        <w:t>resie funduszy własnych) oraz stosowania przepisów przejściowych CRR i CRD</w:t>
      </w:r>
      <w:r w:rsidR="00E26EF6" w:rsidRPr="00E26EF6">
        <w:t xml:space="preserve"> i skł</w:t>
      </w:r>
      <w:r w:rsidRPr="00E26EF6">
        <w:t>adają się one</w:t>
      </w:r>
      <w:r w:rsidR="00E26EF6" w:rsidRPr="00E26EF6">
        <w:t xml:space="preserve"> z pię</w:t>
      </w:r>
      <w:r w:rsidRPr="00E26EF6">
        <w:t xml:space="preserve">ciu wzorów: </w:t>
      </w:r>
    </w:p>
    <w:p w14:paraId="050AEB14" w14:textId="07C8EF2F" w:rsidR="00915077" w:rsidRPr="00E26EF6" w:rsidRDefault="00125707">
      <w:pPr>
        <w:pStyle w:val="InstructionsText2"/>
        <w:numPr>
          <w:ilvl w:val="0"/>
          <w:numId w:val="0"/>
        </w:numPr>
        <w:ind w:left="993"/>
      </w:pPr>
      <w:r w:rsidRPr="00E26EF6">
        <w:t>a</w:t>
      </w:r>
      <w:proofErr w:type="gramStart"/>
      <w:r w:rsidRPr="00E26EF6">
        <w:t>)</w:t>
      </w:r>
      <w:r w:rsidRPr="00E26EF6">
        <w:tab/>
        <w:t>wzór</w:t>
      </w:r>
      <w:proofErr w:type="gramEnd"/>
      <w:r w:rsidRPr="00E26EF6">
        <w:t xml:space="preserve"> CA1 zawiera kwotę funduszy własnych instytucji</w:t>
      </w:r>
      <w:r w:rsidR="00E26EF6" w:rsidRPr="00E26EF6">
        <w:t xml:space="preserve"> z pod</w:t>
      </w:r>
      <w:r w:rsidRPr="00E26EF6">
        <w:t>ziałem na pozycje potrzebne do uzyskania tej kwoty. Obliczona kwota funduszy własnych obejmuje zagregowany skutek stosowania przepisów przejściowych CRR i CRD według rodzaju kapitału;</w:t>
      </w:r>
    </w:p>
    <w:p w14:paraId="0EE918CA" w14:textId="29EDE5EB" w:rsidR="00915077" w:rsidRPr="00E26EF6" w:rsidRDefault="00125707">
      <w:pPr>
        <w:pStyle w:val="InstructionsText2"/>
        <w:numPr>
          <w:ilvl w:val="0"/>
          <w:numId w:val="0"/>
        </w:numPr>
        <w:ind w:left="993"/>
      </w:pPr>
      <w:r w:rsidRPr="00E26EF6">
        <w:t>b</w:t>
      </w:r>
      <w:proofErr w:type="gramStart"/>
      <w:r w:rsidRPr="00E26EF6">
        <w:t>)</w:t>
      </w:r>
      <w:r w:rsidRPr="00E26EF6">
        <w:tab/>
        <w:t>we</w:t>
      </w:r>
      <w:proofErr w:type="gramEnd"/>
      <w:r w:rsidRPr="00E26EF6">
        <w:t xml:space="preserve"> wzorze CA2 podsumowane są łączne kwoty ekspozycji na ryzyko zgodnie</w:t>
      </w:r>
      <w:r w:rsidR="00E26EF6" w:rsidRPr="00E26EF6">
        <w:t xml:space="preserve"> z art</w:t>
      </w:r>
      <w:r w:rsidRPr="00E26EF6">
        <w:t>.</w:t>
      </w:r>
      <w:r w:rsidR="00023409" w:rsidRPr="00E26EF6">
        <w:t> </w:t>
      </w:r>
      <w:r w:rsidRPr="00E26EF6">
        <w:t>92 ust.</w:t>
      </w:r>
      <w:r w:rsidR="00023409" w:rsidRPr="00E26EF6">
        <w:t> </w:t>
      </w:r>
      <w:r w:rsidRPr="00E26EF6">
        <w:t>3 CRR;</w:t>
      </w:r>
    </w:p>
    <w:p w14:paraId="1F68AB8A" w14:textId="68C46208" w:rsidR="00915077" w:rsidRPr="00E26EF6" w:rsidRDefault="00125707">
      <w:pPr>
        <w:pStyle w:val="InstructionsText2"/>
        <w:numPr>
          <w:ilvl w:val="0"/>
          <w:numId w:val="0"/>
        </w:numPr>
        <w:ind w:left="993"/>
      </w:pPr>
      <w:r w:rsidRPr="00E26EF6">
        <w:t>c</w:t>
      </w:r>
      <w:proofErr w:type="gramStart"/>
      <w:r w:rsidRPr="00E26EF6">
        <w:t>)</w:t>
      </w:r>
      <w:r w:rsidRPr="00E26EF6">
        <w:tab/>
        <w:t>wzór</w:t>
      </w:r>
      <w:proofErr w:type="gramEnd"/>
      <w:r w:rsidRPr="00E26EF6">
        <w:t xml:space="preserve"> CA3 zawiera współczynniki,</w:t>
      </w:r>
      <w:r w:rsidR="00E26EF6" w:rsidRPr="00E26EF6">
        <w:t xml:space="preserve"> w odn</w:t>
      </w:r>
      <w:r w:rsidRPr="00E26EF6">
        <w:t>iesieniu do których w CRR określono poziom minimalny,</w:t>
      </w:r>
      <w:r w:rsidR="00E26EF6" w:rsidRPr="00E26EF6">
        <w:t xml:space="preserve"> a tak</w:t>
      </w:r>
      <w:r w:rsidRPr="00E26EF6">
        <w:t>że pewne inne powiązane dane;</w:t>
      </w:r>
    </w:p>
    <w:p w14:paraId="0D89A2C7" w14:textId="53175F87" w:rsidR="00915077" w:rsidRPr="00E26EF6" w:rsidRDefault="00125707">
      <w:pPr>
        <w:pStyle w:val="InstructionsText2"/>
        <w:numPr>
          <w:ilvl w:val="0"/>
          <w:numId w:val="0"/>
        </w:numPr>
        <w:ind w:left="993"/>
      </w:pPr>
      <w:r w:rsidRPr="00E26EF6">
        <w:t>d</w:t>
      </w:r>
      <w:proofErr w:type="gramStart"/>
      <w:r w:rsidRPr="00E26EF6">
        <w:t>)</w:t>
      </w:r>
      <w:r w:rsidRPr="00E26EF6">
        <w:tab/>
        <w:t>wzór</w:t>
      </w:r>
      <w:proofErr w:type="gramEnd"/>
      <w:r w:rsidRPr="00E26EF6">
        <w:t xml:space="preserve"> CA4 zawiera pozycje uzupełniające niezbędne między innymi do obliczania pozycji we wzorze CA1, jak również informacje na temat buforów kapitałowych określonych w CRD; </w:t>
      </w:r>
    </w:p>
    <w:p w14:paraId="7436775E" w14:textId="1BBE5A85" w:rsidR="00915077" w:rsidRPr="00E26EF6" w:rsidRDefault="00125707">
      <w:pPr>
        <w:pStyle w:val="InstructionsText2"/>
        <w:numPr>
          <w:ilvl w:val="0"/>
          <w:numId w:val="0"/>
        </w:numPr>
        <w:ind w:left="993"/>
      </w:pPr>
      <w:r w:rsidRPr="00E26EF6">
        <w:t>e</w:t>
      </w:r>
      <w:proofErr w:type="gramStart"/>
      <w:r w:rsidRPr="00E26EF6">
        <w:t>)</w:t>
      </w:r>
      <w:r w:rsidRPr="00E26EF6">
        <w:tab/>
        <w:t>wzór</w:t>
      </w:r>
      <w:proofErr w:type="gramEnd"/>
      <w:r w:rsidRPr="00E26EF6">
        <w:t xml:space="preserve"> CA5 zawiera dane potrzebne do obliczenia skutku stosowania przepisów przejściowych CRR dla funduszy własnych. Wzór CA5 przestanie istnieć, gdy te przepisy przejściowe utracą moc.</w:t>
      </w:r>
    </w:p>
    <w:p w14:paraId="688E5180" w14:textId="4A356837" w:rsidR="00915077" w:rsidRPr="00E26EF6" w:rsidRDefault="00125707">
      <w:pPr>
        <w:pStyle w:val="InstructionsText2"/>
        <w:numPr>
          <w:ilvl w:val="0"/>
          <w:numId w:val="0"/>
        </w:numPr>
        <w:ind w:left="993"/>
      </w:pPr>
      <w:r w:rsidRPr="00E26EF6">
        <w:t>11.</w:t>
      </w:r>
      <w:r w:rsidRPr="00E26EF6">
        <w:tab/>
        <w:t>Wzory stosują wszystkie jednostki sprawozdające, niezależnie od stosowanych standardów rachunkowości, chociaż niektóre pozycje</w:t>
      </w:r>
      <w:r w:rsidR="00E26EF6" w:rsidRPr="00E26EF6">
        <w:t xml:space="preserve"> w lic</w:t>
      </w:r>
      <w:r w:rsidRPr="00E26EF6">
        <w:t>zniku są właściwe dla jednostek stosujących zasady wyceny typu MSR/MSSF. Na ogół informacja</w:t>
      </w:r>
      <w:r w:rsidR="00E26EF6" w:rsidRPr="00E26EF6">
        <w:t xml:space="preserve"> w mia</w:t>
      </w:r>
      <w:r w:rsidRPr="00E26EF6">
        <w:t>nowniku jest związana</w:t>
      </w:r>
      <w:r w:rsidR="00E26EF6" w:rsidRPr="00E26EF6">
        <w:t xml:space="preserve"> z ost</w:t>
      </w:r>
      <w:r w:rsidRPr="00E26EF6">
        <w:t>atecznymi wynikami zgłoszonymi</w:t>
      </w:r>
      <w:r w:rsidR="00E26EF6" w:rsidRPr="00E26EF6">
        <w:t xml:space="preserve"> w odp</w:t>
      </w:r>
      <w:r w:rsidRPr="00E26EF6">
        <w:t>owiednich wzorach na potrzeby obliczenia łącznej kwoty ekspozycji na ryzyko.</w:t>
      </w:r>
    </w:p>
    <w:p w14:paraId="36D97B2F" w14:textId="6798D058" w:rsidR="00915077" w:rsidRPr="00E26EF6" w:rsidRDefault="00125707">
      <w:pPr>
        <w:pStyle w:val="InstructionsText2"/>
        <w:numPr>
          <w:ilvl w:val="0"/>
          <w:numId w:val="0"/>
        </w:numPr>
        <w:ind w:left="993"/>
      </w:pPr>
      <w:r w:rsidRPr="00E26EF6">
        <w:t>12.</w:t>
      </w:r>
      <w:r w:rsidRPr="00E26EF6">
        <w:tab/>
        <w:t>Łączne fundusze własne składają się</w:t>
      </w:r>
      <w:r w:rsidR="00E26EF6" w:rsidRPr="00E26EF6">
        <w:t xml:space="preserve"> z róż</w:t>
      </w:r>
      <w:r w:rsidRPr="00E26EF6">
        <w:t>nych rodzajów kapitału: kapitału Tier I, który stanowi sumę kapitału podstawowego Tier I</w:t>
      </w:r>
      <w:r w:rsidR="00E26EF6" w:rsidRPr="00E26EF6">
        <w:t xml:space="preserve"> i kap</w:t>
      </w:r>
      <w:r w:rsidRPr="00E26EF6">
        <w:t xml:space="preserve">itału dodatkowego Tier I, oraz kapitału Tier II. </w:t>
      </w:r>
    </w:p>
    <w:p w14:paraId="50579230" w14:textId="7E3C12ED" w:rsidR="00915077" w:rsidRPr="00E26EF6" w:rsidRDefault="00125707">
      <w:pPr>
        <w:pStyle w:val="InstructionsText2"/>
        <w:numPr>
          <w:ilvl w:val="0"/>
          <w:numId w:val="0"/>
        </w:numPr>
        <w:ind w:left="993"/>
      </w:pPr>
      <w:r w:rsidRPr="00E26EF6">
        <w:t>13.</w:t>
      </w:r>
      <w:r w:rsidRPr="00E26EF6">
        <w:tab/>
        <w:t>Stosowanie przepisów przejściowych CRR i CRD uwzględniono we wzorach CA</w:t>
      </w:r>
      <w:r w:rsidR="00E26EF6" w:rsidRPr="00E26EF6">
        <w:t xml:space="preserve"> w nas</w:t>
      </w:r>
      <w:r w:rsidRPr="00E26EF6">
        <w:t>tępujący sposób:</w:t>
      </w:r>
    </w:p>
    <w:p w14:paraId="4A902CA7" w14:textId="659A0A97" w:rsidR="00915077" w:rsidRPr="00E26EF6" w:rsidRDefault="00125707">
      <w:pPr>
        <w:pStyle w:val="InstructionsText2"/>
        <w:numPr>
          <w:ilvl w:val="0"/>
          <w:numId w:val="0"/>
        </w:numPr>
        <w:ind w:left="993"/>
      </w:pPr>
      <w:r w:rsidRPr="00E26EF6">
        <w:t>a</w:t>
      </w:r>
      <w:proofErr w:type="gramStart"/>
      <w:r w:rsidRPr="00E26EF6">
        <w:t>)</w:t>
      </w:r>
      <w:r w:rsidRPr="00E26EF6">
        <w:tab/>
        <w:t>w</w:t>
      </w:r>
      <w:proofErr w:type="gramEnd"/>
      <w:r w:rsidRPr="00E26EF6">
        <w:t xml:space="preserve"> pozycjach we wzorze CA1 na ogół podaje się wartości przed odliczeniem korekt</w:t>
      </w:r>
      <w:r w:rsidR="00E26EF6" w:rsidRPr="00E26EF6">
        <w:t xml:space="preserve"> w okr</w:t>
      </w:r>
      <w:r w:rsidRPr="00E26EF6">
        <w:t>esie przejściowym. Oznacza to, że dane liczbowe</w:t>
      </w:r>
      <w:r w:rsidR="00E26EF6" w:rsidRPr="00E26EF6">
        <w:t xml:space="preserve"> w poz</w:t>
      </w:r>
      <w:r w:rsidRPr="00E26EF6">
        <w:t>ycjach wzoru CA1 są obliczane zgodnie</w:t>
      </w:r>
      <w:r w:rsidR="00E26EF6" w:rsidRPr="00E26EF6">
        <w:t xml:space="preserve"> z ost</w:t>
      </w:r>
      <w:r w:rsidRPr="00E26EF6">
        <w:t>atecznie obowiązującymi przepisami (czyli tak, jakby nie było żadnych przepisów przejściowych),</w:t>
      </w:r>
      <w:r w:rsidR="00E26EF6" w:rsidRPr="00E26EF6">
        <w:t xml:space="preserve"> z wyj</w:t>
      </w:r>
      <w:r w:rsidRPr="00E26EF6">
        <w:t>ątkiem pozycji, które służą podsumowaniu skutku tych przepisów przejściowych</w:t>
      </w:r>
      <w:r w:rsidR="00E26EF6" w:rsidRPr="00E26EF6">
        <w:t>. W odn</w:t>
      </w:r>
      <w:r w:rsidRPr="00E26EF6">
        <w:t>iesieniu do każdego rodzaju kapitału (tj. kapitału podstawowego Tier I, kapitału dodatkowego Tier I</w:t>
      </w:r>
      <w:r w:rsidR="00E26EF6" w:rsidRPr="00E26EF6">
        <w:t xml:space="preserve"> i kap</w:t>
      </w:r>
      <w:r w:rsidRPr="00E26EF6">
        <w:t xml:space="preserve">itału Tier </w:t>
      </w:r>
      <w:r w:rsidRPr="00E26EF6">
        <w:lastRenderedPageBreak/>
        <w:t>II) istnieją trzy różne pozycje,</w:t>
      </w:r>
      <w:r w:rsidR="00E26EF6" w:rsidRPr="00E26EF6">
        <w:t xml:space="preserve"> w któ</w:t>
      </w:r>
      <w:r w:rsidRPr="00E26EF6">
        <w:t>rych ujęte są wszystkie korekty wynikające</w:t>
      </w:r>
      <w:r w:rsidR="00E26EF6" w:rsidRPr="00E26EF6">
        <w:t xml:space="preserve"> z tyc</w:t>
      </w:r>
      <w:r w:rsidRPr="00E26EF6">
        <w:t>h przepisów przejściowych.</w:t>
      </w:r>
    </w:p>
    <w:p w14:paraId="180DEE1E" w14:textId="7794D723" w:rsidR="00915077" w:rsidRPr="00E26EF6" w:rsidRDefault="00125707">
      <w:pPr>
        <w:pStyle w:val="InstructionsText2"/>
        <w:numPr>
          <w:ilvl w:val="0"/>
          <w:numId w:val="0"/>
        </w:numPr>
        <w:ind w:left="993"/>
      </w:pPr>
      <w:r w:rsidRPr="00E26EF6">
        <w:t>b</w:t>
      </w:r>
      <w:proofErr w:type="gramStart"/>
      <w:r w:rsidRPr="00E26EF6">
        <w:t>)</w:t>
      </w:r>
      <w:r w:rsidRPr="00E26EF6">
        <w:tab/>
        <w:t>Przepisy</w:t>
      </w:r>
      <w:proofErr w:type="gramEnd"/>
      <w:r w:rsidRPr="00E26EF6">
        <w:t xml:space="preserve"> przejściowe mogą również wpływać na niedobór kapitału dodatkowego Tier I</w:t>
      </w:r>
      <w:r w:rsidR="00E26EF6" w:rsidRPr="00E26EF6">
        <w:t xml:space="preserve"> i kap</w:t>
      </w:r>
      <w:r w:rsidRPr="00E26EF6">
        <w:t>itału Tier II (tj. na nadwyżkę odliczenia od pozycji dodatkowych</w:t>
      </w:r>
      <w:r w:rsidR="00E26EF6" w:rsidRPr="00E26EF6">
        <w:t xml:space="preserve"> w Tie</w:t>
      </w:r>
      <w:r w:rsidRPr="00E26EF6">
        <w:t>r I oraz nadwyżkę odliczenia od pozycji</w:t>
      </w:r>
      <w:r w:rsidR="00E26EF6" w:rsidRPr="00E26EF6">
        <w:t xml:space="preserve"> w Tie</w:t>
      </w:r>
      <w:r w:rsidRPr="00E26EF6">
        <w:t>r II, co uregulowane jest odpowiednio</w:t>
      </w:r>
      <w:r w:rsidR="00E26EF6" w:rsidRPr="00E26EF6">
        <w:t xml:space="preserve"> w art</w:t>
      </w:r>
      <w:r w:rsidRPr="00E26EF6">
        <w:t>.</w:t>
      </w:r>
      <w:r w:rsidR="00023409" w:rsidRPr="00E26EF6">
        <w:t> </w:t>
      </w:r>
      <w:r w:rsidRPr="00E26EF6">
        <w:t>36 ust.</w:t>
      </w:r>
      <w:r w:rsidR="00023409" w:rsidRPr="00E26EF6">
        <w:t> </w:t>
      </w:r>
      <w:r w:rsidRPr="00E26EF6">
        <w:t>1 lit.</w:t>
      </w:r>
      <w:r w:rsidR="00023409" w:rsidRPr="00E26EF6">
        <w:t> </w:t>
      </w:r>
      <w:r w:rsidRPr="00E26EF6">
        <w:t>j)</w:t>
      </w:r>
      <w:r w:rsidR="00E26EF6" w:rsidRPr="00E26EF6">
        <w:t xml:space="preserve"> i w art</w:t>
      </w:r>
      <w:r w:rsidRPr="00E26EF6">
        <w:t>.</w:t>
      </w:r>
      <w:r w:rsidR="00023409" w:rsidRPr="00E26EF6">
        <w:t> </w:t>
      </w:r>
      <w:r w:rsidRPr="00E26EF6">
        <w:t>56 lit.</w:t>
      </w:r>
      <w:r w:rsidR="00023409" w:rsidRPr="00E26EF6">
        <w:t> </w:t>
      </w:r>
      <w:r w:rsidRPr="00E26EF6">
        <w:t>e) CRR),</w:t>
      </w:r>
      <w:r w:rsidR="00E26EF6" w:rsidRPr="00E26EF6">
        <w:t xml:space="preserve"> a tym</w:t>
      </w:r>
      <w:r w:rsidRPr="00E26EF6">
        <w:t xml:space="preserve"> samym pozycje zawierające te niedobory mogą pośrednio odzwierciedlać skutek tych przepisów przejściowych;</w:t>
      </w:r>
    </w:p>
    <w:p w14:paraId="6974BA81" w14:textId="716BAA3B" w:rsidR="00915077" w:rsidRPr="00E26EF6" w:rsidRDefault="00125707">
      <w:pPr>
        <w:pStyle w:val="InstructionsText2"/>
        <w:numPr>
          <w:ilvl w:val="0"/>
          <w:numId w:val="0"/>
        </w:numPr>
        <w:ind w:left="993"/>
      </w:pPr>
      <w:r w:rsidRPr="00E26EF6">
        <w:t>c</w:t>
      </w:r>
      <w:proofErr w:type="gramStart"/>
      <w:r w:rsidRPr="00E26EF6">
        <w:t>)</w:t>
      </w:r>
      <w:r w:rsidRPr="00E26EF6">
        <w:tab/>
        <w:t>Wzór</w:t>
      </w:r>
      <w:proofErr w:type="gramEnd"/>
      <w:r w:rsidRPr="00E26EF6">
        <w:t xml:space="preserve"> CA5 służy wyłącznie do sprawozdawczości</w:t>
      </w:r>
      <w:r w:rsidR="00E26EF6" w:rsidRPr="00E26EF6">
        <w:t xml:space="preserve"> w zak</w:t>
      </w:r>
      <w:r w:rsidRPr="00E26EF6">
        <w:t xml:space="preserve">resie skutków wynikających ze stosowania przepisów przejściowych CRR. </w:t>
      </w:r>
    </w:p>
    <w:p w14:paraId="3E23DD40" w14:textId="0ACB2C02" w:rsidR="00915077" w:rsidRPr="00E26EF6" w:rsidRDefault="00125707">
      <w:pPr>
        <w:pStyle w:val="InstructionsText2"/>
        <w:numPr>
          <w:ilvl w:val="0"/>
          <w:numId w:val="0"/>
        </w:numPr>
        <w:ind w:left="993"/>
      </w:pPr>
      <w:r w:rsidRPr="00E26EF6">
        <w:t>14.</w:t>
      </w:r>
      <w:r w:rsidRPr="00E26EF6">
        <w:tab/>
        <w:t>Poszczególne państwa UE mogą różnie traktować wymogi filaru II (art.</w:t>
      </w:r>
      <w:r w:rsidR="00023409" w:rsidRPr="00E26EF6">
        <w:t> </w:t>
      </w:r>
      <w:r w:rsidRPr="00E26EF6">
        <w:t>104 ust.</w:t>
      </w:r>
      <w:r w:rsidR="00023409" w:rsidRPr="00E26EF6">
        <w:t> </w:t>
      </w:r>
      <w:r w:rsidRPr="00E26EF6">
        <w:t>2 CRD musi być transponowany do przepisów krajowych)</w:t>
      </w:r>
      <w:r w:rsidR="00E26EF6" w:rsidRPr="00E26EF6">
        <w:t>. W spr</w:t>
      </w:r>
      <w:r w:rsidRPr="00E26EF6">
        <w:t>awozdawczości dotyczącej wypłacalności na mocy CRR uwzględnia się tylko wpływ wymogów filaru II na współczynnik wypłacalności lub na współczynnik docelowy. Szczegółowa sprawozdawczość</w:t>
      </w:r>
      <w:r w:rsidR="00E26EF6" w:rsidRPr="00E26EF6">
        <w:t xml:space="preserve"> w odn</w:t>
      </w:r>
      <w:r w:rsidRPr="00E26EF6">
        <w:t>iesieniu do wymogów filaru II nie wchodzi</w:t>
      </w:r>
      <w:r w:rsidR="00E26EF6" w:rsidRPr="00E26EF6">
        <w:t xml:space="preserve"> w zak</w:t>
      </w:r>
      <w:r w:rsidRPr="00E26EF6">
        <w:t>res stosowania art.</w:t>
      </w:r>
      <w:r w:rsidR="00023409" w:rsidRPr="00E26EF6">
        <w:t> </w:t>
      </w:r>
      <w:r w:rsidRPr="00E26EF6">
        <w:t>99 CRR.</w:t>
      </w:r>
    </w:p>
    <w:p w14:paraId="00EBB9CB" w14:textId="258969AC" w:rsidR="00915077" w:rsidRPr="00E26EF6" w:rsidRDefault="00125707">
      <w:pPr>
        <w:pStyle w:val="InstructionsText2"/>
        <w:numPr>
          <w:ilvl w:val="0"/>
          <w:numId w:val="0"/>
        </w:numPr>
        <w:ind w:left="993"/>
      </w:pPr>
      <w:r w:rsidRPr="00E26EF6">
        <w:t>a</w:t>
      </w:r>
      <w:proofErr w:type="gramStart"/>
      <w:r w:rsidRPr="00E26EF6">
        <w:t>)</w:t>
      </w:r>
      <w:r w:rsidRPr="00E26EF6">
        <w:tab/>
        <w:t>Wzory</w:t>
      </w:r>
      <w:proofErr w:type="gramEnd"/>
      <w:r w:rsidRPr="00E26EF6">
        <w:t xml:space="preserve"> CA1, CA2 i CA5 zawierają wyłącznie dane dotyczące zagadnień związanych</w:t>
      </w:r>
      <w:r w:rsidR="00E26EF6" w:rsidRPr="00E26EF6">
        <w:t xml:space="preserve"> z fil</w:t>
      </w:r>
      <w:r w:rsidRPr="00E26EF6">
        <w:t>arem I.</w:t>
      </w:r>
    </w:p>
    <w:p w14:paraId="6E43568B" w14:textId="06E59FE7" w:rsidR="00915077" w:rsidRPr="00E26EF6" w:rsidRDefault="00125707">
      <w:pPr>
        <w:pStyle w:val="InstructionsText2"/>
        <w:numPr>
          <w:ilvl w:val="0"/>
          <w:numId w:val="0"/>
        </w:numPr>
        <w:ind w:left="993"/>
      </w:pPr>
      <w:r w:rsidRPr="00E26EF6">
        <w:t>b</w:t>
      </w:r>
      <w:proofErr w:type="gramStart"/>
      <w:r w:rsidRPr="00E26EF6">
        <w:t>)</w:t>
      </w:r>
      <w:r w:rsidRPr="00E26EF6">
        <w:tab/>
        <w:t>Wzór</w:t>
      </w:r>
      <w:proofErr w:type="gramEnd"/>
      <w:r w:rsidRPr="00E26EF6">
        <w:t xml:space="preserve"> CA3 dotyczy wpływu dodatkowych wymogów filaru II na współczynnik wypłacalności</w:t>
      </w:r>
      <w:r w:rsidR="00E26EF6" w:rsidRPr="00E26EF6">
        <w:t xml:space="preserve"> w uję</w:t>
      </w:r>
      <w:r w:rsidRPr="00E26EF6">
        <w:t>ciu zagregowanym. Pierwsza część dotyczy wpływu kwot na współczynniki, zaś druga odnosi się do samego współczynnika. Obie części nie mają dalszego związku</w:t>
      </w:r>
      <w:r w:rsidR="00E26EF6" w:rsidRPr="00E26EF6">
        <w:t xml:space="preserve"> z wzo</w:t>
      </w:r>
      <w:r w:rsidRPr="00E26EF6">
        <w:t>rami CA1, CA2 i CA5.</w:t>
      </w:r>
    </w:p>
    <w:p w14:paraId="285BFC5F" w14:textId="6CE46393" w:rsidR="00915077" w:rsidRPr="00E26EF6" w:rsidRDefault="00125707">
      <w:pPr>
        <w:pStyle w:val="InstructionsText2"/>
        <w:numPr>
          <w:ilvl w:val="0"/>
          <w:numId w:val="0"/>
        </w:numPr>
        <w:ind w:left="993"/>
      </w:pPr>
      <w:r w:rsidRPr="00E26EF6">
        <w:t>c</w:t>
      </w:r>
      <w:proofErr w:type="gramStart"/>
      <w:r w:rsidRPr="00E26EF6">
        <w:t>)</w:t>
      </w:r>
      <w:r w:rsidRPr="00E26EF6">
        <w:tab/>
        <w:t>Wzór</w:t>
      </w:r>
      <w:proofErr w:type="gramEnd"/>
      <w:r w:rsidRPr="00E26EF6">
        <w:t xml:space="preserve"> CA4 zawiera jedną komórkę dotyczącą dodatkowych wymogów</w:t>
      </w:r>
      <w:r w:rsidR="00E26EF6" w:rsidRPr="00E26EF6">
        <w:t xml:space="preserve"> w zak</w:t>
      </w:r>
      <w:r w:rsidRPr="00E26EF6">
        <w:t>resie funduszy własnych, które to wymogi związane są</w:t>
      </w:r>
      <w:r w:rsidR="00E26EF6" w:rsidRPr="00E26EF6">
        <w:t xml:space="preserve"> z fil</w:t>
      </w:r>
      <w:r w:rsidRPr="00E26EF6">
        <w:t>arem II. Komórka ta</w:t>
      </w:r>
      <w:r w:rsidR="00E26EF6" w:rsidRPr="00E26EF6">
        <w:t xml:space="preserve"> w żad</w:t>
      </w:r>
      <w:r w:rsidRPr="00E26EF6">
        <w:t>en sposób nie jest powiązana regułami walidacyjnymi ze współczynnikami kapitałowymi ujętymi we wzorze CA3</w:t>
      </w:r>
      <w:r w:rsidR="00E26EF6" w:rsidRPr="00E26EF6">
        <w:t xml:space="preserve"> i odz</w:t>
      </w:r>
      <w:r w:rsidRPr="00E26EF6">
        <w:t>wierciedla ona art.</w:t>
      </w:r>
      <w:r w:rsidR="00023409" w:rsidRPr="00E26EF6">
        <w:t> </w:t>
      </w:r>
      <w:r w:rsidRPr="00E26EF6">
        <w:t>104 ust.</w:t>
      </w:r>
      <w:r w:rsidR="00023409" w:rsidRPr="00E26EF6">
        <w:t> </w:t>
      </w:r>
      <w:r w:rsidRPr="00E26EF6">
        <w:t>2 CRD,</w:t>
      </w:r>
      <w:r w:rsidR="00E26EF6" w:rsidRPr="00E26EF6">
        <w:t xml:space="preserve"> w któ</w:t>
      </w:r>
      <w:r w:rsidRPr="00E26EF6">
        <w:t>rym to przepisie wyraźnie wymienia się dodatkowe wymogi</w:t>
      </w:r>
      <w:r w:rsidR="00E26EF6" w:rsidRPr="00E26EF6">
        <w:t xml:space="preserve"> w zak</w:t>
      </w:r>
      <w:r w:rsidRPr="00E26EF6">
        <w:t>resie funduszy własnych jako jedną</w:t>
      </w:r>
      <w:r w:rsidR="00E26EF6" w:rsidRPr="00E26EF6">
        <w:t xml:space="preserve"> z moż</w:t>
      </w:r>
      <w:r w:rsidRPr="00E26EF6">
        <w:t>liwości podjęcia decyzji</w:t>
      </w:r>
      <w:r w:rsidR="00E26EF6" w:rsidRPr="00E26EF6">
        <w:t xml:space="preserve"> w ram</w:t>
      </w:r>
      <w:r w:rsidRPr="00E26EF6">
        <w:t>ach filaru II.</w:t>
      </w:r>
    </w:p>
    <w:p w14:paraId="6BEDA0DA"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 w:name="_Toc31014307"/>
      <w:r w:rsidRPr="00E26EF6">
        <w:rPr>
          <w:rFonts w:ascii="Times New Roman" w:hAnsi="Times New Roman"/>
          <w:sz w:val="24"/>
          <w:u w:val="none"/>
        </w:rPr>
        <w:t>1.2.</w:t>
      </w:r>
      <w:r w:rsidRPr="00E26EF6">
        <w:rPr>
          <w:rFonts w:ascii="Times New Roman" w:hAnsi="Times New Roman"/>
          <w:sz w:val="24"/>
          <w:u w:val="none"/>
        </w:rPr>
        <w:tab/>
      </w:r>
      <w:r w:rsidRPr="00E26EF6">
        <w:rPr>
          <w:rFonts w:ascii="Times New Roman" w:hAnsi="Times New Roman"/>
          <w:sz w:val="24"/>
        </w:rPr>
        <w:t>C 01.00 – FUNDUSZE WŁASNE (CA1)</w:t>
      </w:r>
      <w:bookmarkEnd w:id="9"/>
      <w:r w:rsidRPr="00E26EF6">
        <w:rPr>
          <w:rFonts w:ascii="Times New Roman" w:hAnsi="Times New Roman"/>
          <w:sz w:val="24"/>
        </w:rPr>
        <w:t xml:space="preserve"> </w:t>
      </w:r>
    </w:p>
    <w:p w14:paraId="1640AAF5"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0" w:name="_Toc31014308"/>
      <w:r w:rsidRPr="00E26EF6">
        <w:rPr>
          <w:rFonts w:ascii="Times New Roman" w:hAnsi="Times New Roman"/>
          <w:sz w:val="24"/>
          <w:u w:val="none"/>
        </w:rPr>
        <w:t>1.2.1.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0"/>
    </w:p>
    <w:p w14:paraId="49EB31E0" w14:textId="77777777" w:rsidR="00915077" w:rsidRPr="00E26EF6" w:rsidRDefault="0091507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5077" w:rsidRPr="00E26EF6" w14:paraId="5D5CC09A" w14:textId="77777777" w:rsidTr="00672D2A">
        <w:tc>
          <w:tcPr>
            <w:tcW w:w="1129" w:type="dxa"/>
            <w:shd w:val="clear" w:color="auto" w:fill="D9D9D9"/>
          </w:tcPr>
          <w:p w14:paraId="5EE5330B" w14:textId="77777777" w:rsidR="00915077" w:rsidRPr="00E26EF6" w:rsidRDefault="002648B0">
            <w:pPr>
              <w:pStyle w:val="InstructionsText"/>
              <w:rPr>
                <w:rStyle w:val="InstructionsTabelleText"/>
                <w:rFonts w:ascii="Times New Roman" w:hAnsi="Times New Roman"/>
                <w:bCs/>
                <w:sz w:val="24"/>
                <w:highlight w:val="lightGray"/>
              </w:rPr>
            </w:pPr>
            <w:r w:rsidRPr="00E26EF6">
              <w:rPr>
                <w:rStyle w:val="InstructionsTabelleText"/>
                <w:rFonts w:ascii="Times New Roman" w:hAnsi="Times New Roman"/>
                <w:sz w:val="24"/>
              </w:rPr>
              <w:t>Wiersz</w:t>
            </w:r>
          </w:p>
        </w:tc>
        <w:tc>
          <w:tcPr>
            <w:tcW w:w="7620" w:type="dxa"/>
            <w:shd w:val="clear" w:color="auto" w:fill="D9D9D9"/>
          </w:tcPr>
          <w:p w14:paraId="19E41094" w14:textId="61FF4D75" w:rsidR="00915077" w:rsidRPr="00E26EF6" w:rsidRDefault="002648B0">
            <w:pPr>
              <w:pStyle w:val="InstructionsText"/>
              <w:rPr>
                <w:rStyle w:val="InstructionsTabelleText"/>
                <w:rFonts w:ascii="Times New Roman" w:hAnsi="Times New Roman"/>
                <w:bCs/>
                <w:sz w:val="24"/>
                <w:highlight w:val="lightGray"/>
              </w:rPr>
            </w:pPr>
            <w:r w:rsidRPr="00E26EF6">
              <w:rPr>
                <w:rStyle w:val="InstructionsTabelleText"/>
                <w:rFonts w:ascii="Times New Roman" w:hAnsi="Times New Roman"/>
                <w:sz w:val="24"/>
              </w:rPr>
              <w:t>Odniesienia prawne</w:t>
            </w:r>
            <w:r w:rsidR="00E26EF6" w:rsidRPr="00E26EF6">
              <w:rPr>
                <w:rStyle w:val="InstructionsTabelleText"/>
                <w:rFonts w:ascii="Times New Roman" w:hAnsi="Times New Roman"/>
                <w:sz w:val="24"/>
              </w:rPr>
              <w:t xml:space="preserve"> i ins</w:t>
            </w:r>
            <w:r w:rsidRPr="00E26EF6">
              <w:rPr>
                <w:rStyle w:val="InstructionsTabelleText"/>
                <w:rFonts w:ascii="Times New Roman" w:hAnsi="Times New Roman"/>
                <w:sz w:val="24"/>
              </w:rPr>
              <w:t>trukcje</w:t>
            </w:r>
          </w:p>
        </w:tc>
      </w:tr>
      <w:tr w:rsidR="00915077" w:rsidRPr="00E26EF6" w14:paraId="0E5D273A" w14:textId="77777777" w:rsidTr="00672D2A">
        <w:tc>
          <w:tcPr>
            <w:tcW w:w="1129" w:type="dxa"/>
          </w:tcPr>
          <w:p w14:paraId="4A55AEAF"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010</w:t>
            </w:r>
          </w:p>
        </w:tc>
        <w:tc>
          <w:tcPr>
            <w:tcW w:w="7620" w:type="dxa"/>
          </w:tcPr>
          <w:p w14:paraId="541B4823" w14:textId="77777777" w:rsidR="00915077" w:rsidRPr="00E26EF6" w:rsidRDefault="00C66473">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w:t>
            </w:r>
            <w:r w:rsidRPr="00E26EF6">
              <w:rPr>
                <w:rStyle w:val="InstructionsTabelleberschrift"/>
                <w:rFonts w:ascii="Times New Roman" w:hAnsi="Times New Roman"/>
                <w:sz w:val="24"/>
              </w:rPr>
              <w:tab/>
              <w:t>Fundusze własne</w:t>
            </w:r>
          </w:p>
          <w:p w14:paraId="35AB5B61" w14:textId="32CFC18B"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118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72 CRR</w:t>
            </w:r>
          </w:p>
          <w:p w14:paraId="09DD6AF6" w14:textId="1EB91962" w:rsidR="00915077" w:rsidRPr="00E26EF6" w:rsidRDefault="002648B0">
            <w:pPr>
              <w:pStyle w:val="InstructionsText"/>
              <w:rPr>
                <w:rStyle w:val="InstructionsTabelleberschrift"/>
                <w:rFonts w:ascii="Times New Roman" w:hAnsi="Times New Roman"/>
                <w:sz w:val="24"/>
                <w:highlight w:val="lightGray"/>
              </w:rPr>
            </w:pPr>
            <w:r w:rsidRPr="00E26EF6">
              <w:rPr>
                <w:rStyle w:val="FormatvorlageInstructionsTabelleText"/>
                <w:rFonts w:ascii="Times New Roman" w:hAnsi="Times New Roman"/>
                <w:sz w:val="24"/>
              </w:rPr>
              <w:t>Fundusze własne danej instytucji stanowią sumę jej kapitału Tier I</w:t>
            </w:r>
            <w:r w:rsidR="00E26EF6" w:rsidRPr="00E26EF6">
              <w:rPr>
                <w:rStyle w:val="FormatvorlageInstructionsTabelleText"/>
                <w:rFonts w:ascii="Times New Roman" w:hAnsi="Times New Roman"/>
                <w:sz w:val="24"/>
              </w:rPr>
              <w:t xml:space="preserve"> i kap</w:t>
            </w:r>
            <w:r w:rsidRPr="00E26EF6">
              <w:rPr>
                <w:rStyle w:val="FormatvorlageInstructionsTabelleText"/>
                <w:rFonts w:ascii="Times New Roman" w:hAnsi="Times New Roman"/>
                <w:sz w:val="24"/>
              </w:rPr>
              <w:t>itału Tier II.</w:t>
            </w:r>
          </w:p>
        </w:tc>
      </w:tr>
      <w:tr w:rsidR="00915077" w:rsidRPr="00E26EF6" w14:paraId="16D41D9A" w14:textId="77777777" w:rsidTr="00672D2A">
        <w:tc>
          <w:tcPr>
            <w:tcW w:w="1129" w:type="dxa"/>
          </w:tcPr>
          <w:p w14:paraId="26B696F7"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015</w:t>
            </w:r>
          </w:p>
        </w:tc>
        <w:tc>
          <w:tcPr>
            <w:tcW w:w="7620" w:type="dxa"/>
          </w:tcPr>
          <w:p w14:paraId="45CA52BA" w14:textId="77777777" w:rsidR="00915077" w:rsidRPr="00E26EF6" w:rsidRDefault="00666996">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w:t>
            </w:r>
            <w:r w:rsidRPr="00E26EF6">
              <w:rPr>
                <w:rStyle w:val="InstructionsTabelleberschrift"/>
                <w:rFonts w:ascii="Times New Roman" w:hAnsi="Times New Roman"/>
                <w:sz w:val="24"/>
              </w:rPr>
              <w:tab/>
              <w:t>Kapitał Tier I</w:t>
            </w:r>
          </w:p>
          <w:p w14:paraId="7DD490F8" w14:textId="0DB0C581"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25 CRR</w:t>
            </w:r>
          </w:p>
          <w:p w14:paraId="5ECA6D68" w14:textId="14C51B89" w:rsidR="00915077" w:rsidRPr="00E26EF6" w:rsidRDefault="00666996">
            <w:pPr>
              <w:pStyle w:val="InstructionsText"/>
              <w:rPr>
                <w:rStyle w:val="InstructionsTabelleberschrift"/>
                <w:rFonts w:ascii="Times New Roman" w:hAnsi="Times New Roman"/>
                <w:sz w:val="24"/>
                <w:highlight w:val="lightGray"/>
              </w:rPr>
            </w:pPr>
            <w:r w:rsidRPr="00E26EF6">
              <w:rPr>
                <w:rStyle w:val="FormatvorlageInstructionsTabelleText"/>
                <w:rFonts w:ascii="Times New Roman" w:hAnsi="Times New Roman"/>
                <w:sz w:val="24"/>
              </w:rPr>
              <w:t>Kapitał Tier I stanowi sumę kapitału podstawowego Tier I</w:t>
            </w:r>
            <w:r w:rsidR="00E26EF6" w:rsidRPr="00E26EF6">
              <w:rPr>
                <w:rStyle w:val="FormatvorlageInstructionsTabelleText"/>
                <w:rFonts w:ascii="Times New Roman" w:hAnsi="Times New Roman"/>
                <w:sz w:val="24"/>
              </w:rPr>
              <w:t xml:space="preserve"> i kap</w:t>
            </w:r>
            <w:r w:rsidRPr="00E26EF6">
              <w:rPr>
                <w:rStyle w:val="FormatvorlageInstructionsTabelleText"/>
                <w:rFonts w:ascii="Times New Roman" w:hAnsi="Times New Roman"/>
                <w:sz w:val="24"/>
              </w:rPr>
              <w:t xml:space="preserve">itału dodatkowego Tier I. </w:t>
            </w:r>
          </w:p>
        </w:tc>
      </w:tr>
      <w:tr w:rsidR="00915077" w:rsidRPr="00E26EF6" w14:paraId="1E32E0D4" w14:textId="77777777" w:rsidTr="00672D2A">
        <w:tc>
          <w:tcPr>
            <w:tcW w:w="1129" w:type="dxa"/>
          </w:tcPr>
          <w:p w14:paraId="62806938"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020</w:t>
            </w:r>
          </w:p>
        </w:tc>
        <w:tc>
          <w:tcPr>
            <w:tcW w:w="7620" w:type="dxa"/>
          </w:tcPr>
          <w:p w14:paraId="73518619" w14:textId="77777777" w:rsidR="00915077" w:rsidRPr="00E26EF6" w:rsidRDefault="00666996">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w:t>
            </w:r>
            <w:r w:rsidRPr="00E26EF6">
              <w:rPr>
                <w:rStyle w:val="InstructionsTabelleberschrift"/>
                <w:rFonts w:ascii="Times New Roman" w:hAnsi="Times New Roman"/>
                <w:sz w:val="24"/>
              </w:rPr>
              <w:tab/>
              <w:t>Kapitał podstawowy Tier I</w:t>
            </w:r>
          </w:p>
          <w:p w14:paraId="1992577C" w14:textId="51959B83"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50 CRR</w:t>
            </w:r>
          </w:p>
        </w:tc>
      </w:tr>
      <w:tr w:rsidR="00915077" w:rsidRPr="00E26EF6" w14:paraId="168CAFD1" w14:textId="77777777" w:rsidTr="00672D2A">
        <w:tc>
          <w:tcPr>
            <w:tcW w:w="1129" w:type="dxa"/>
          </w:tcPr>
          <w:p w14:paraId="20E7E202"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030</w:t>
            </w:r>
          </w:p>
        </w:tc>
        <w:tc>
          <w:tcPr>
            <w:tcW w:w="7620" w:type="dxa"/>
          </w:tcPr>
          <w:p w14:paraId="7AD63B05" w14:textId="77777777" w:rsidR="00915077" w:rsidRPr="00E26EF6" w:rsidRDefault="000120E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1.1.1.1</w:t>
            </w:r>
            <w:r w:rsidRPr="00E26EF6">
              <w:rPr>
                <w:rStyle w:val="InstructionsTabelleberschrift"/>
                <w:rFonts w:ascii="Times New Roman" w:hAnsi="Times New Roman"/>
                <w:sz w:val="24"/>
              </w:rPr>
              <w:tab/>
              <w:t>Instrumenty kapitałowe kwalifikujące się jako kapitał podstawowy Tier I</w:t>
            </w:r>
          </w:p>
          <w:p w14:paraId="07A315EC" w14:textId="29BEED5F" w:rsidR="00915077" w:rsidRPr="00E26EF6" w:rsidRDefault="00C7103D">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i b),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27–30,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f)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42 CRR</w:t>
            </w:r>
          </w:p>
        </w:tc>
      </w:tr>
      <w:tr w:rsidR="00915077" w:rsidRPr="00E26EF6" w14:paraId="7D83D84B" w14:textId="77777777" w:rsidTr="00672D2A">
        <w:tc>
          <w:tcPr>
            <w:tcW w:w="1129" w:type="dxa"/>
          </w:tcPr>
          <w:p w14:paraId="2E41976E"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040</w:t>
            </w:r>
          </w:p>
        </w:tc>
        <w:tc>
          <w:tcPr>
            <w:tcW w:w="7620" w:type="dxa"/>
          </w:tcPr>
          <w:p w14:paraId="255B1AC6" w14:textId="77777777" w:rsidR="00915077" w:rsidRPr="00E26EF6" w:rsidRDefault="00666996">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1.1.1.1.1</w:t>
            </w:r>
            <w:r w:rsidRPr="00E26EF6">
              <w:rPr>
                <w:rStyle w:val="InstructionsTabelleberschrift"/>
                <w:rFonts w:ascii="Times New Roman" w:hAnsi="Times New Roman"/>
                <w:sz w:val="24"/>
              </w:rPr>
              <w:tab/>
              <w:t>Opłacone instrumenty kapitałowe</w:t>
            </w:r>
          </w:p>
          <w:p w14:paraId="331EE02B" w14:textId="4BA7E757"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27–31 CRR</w:t>
            </w:r>
          </w:p>
          <w:p w14:paraId="428A9AFA" w14:textId="67B21D71" w:rsidR="00915077" w:rsidRPr="00E26EF6" w:rsidRDefault="00543DB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Uwzględniane są instrumenty kapitałowe towarzystw ubezpieczeń wzajemnych, spółdzielni lub podobnych instytucji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w:t>
            </w:r>
            <w:r w:rsidR="00E26EF6" w:rsidRPr="00E26EF6">
              <w:rPr>
                <w:rStyle w:val="FormatvorlageInstructionsTabelleText"/>
                <w:rFonts w:ascii="Times New Roman" w:hAnsi="Times New Roman"/>
                <w:sz w:val="24"/>
              </w:rPr>
              <w:t xml:space="preserve"> i 2</w:t>
            </w:r>
            <w:r w:rsidRPr="00E26EF6">
              <w:rPr>
                <w:rStyle w:val="FormatvorlageInstructionsTabelleText"/>
                <w:rFonts w:ascii="Times New Roman" w:hAnsi="Times New Roman"/>
                <w:sz w:val="24"/>
              </w:rPr>
              <w:t>9 CRR).</w:t>
            </w:r>
          </w:p>
          <w:p w14:paraId="5A683BFD" w14:textId="4E4F7896"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Nie uwzględnia się ażio emisyjnego związanego</w:t>
            </w:r>
            <w:r w:rsidR="00E26EF6" w:rsidRPr="00E26EF6">
              <w:rPr>
                <w:rStyle w:val="FormatvorlageInstructionsTabelleText"/>
                <w:rFonts w:ascii="Times New Roman" w:hAnsi="Times New Roman"/>
                <w:sz w:val="24"/>
              </w:rPr>
              <w:t xml:space="preserve"> z ins</w:t>
            </w:r>
            <w:r w:rsidRPr="00E26EF6">
              <w:rPr>
                <w:rStyle w:val="FormatvorlageInstructionsTabelleText"/>
                <w:rFonts w:ascii="Times New Roman" w:hAnsi="Times New Roman"/>
                <w:sz w:val="24"/>
              </w:rPr>
              <w:t>trumentami.</w:t>
            </w:r>
          </w:p>
          <w:p w14:paraId="6BD24A93" w14:textId="0D839B5E" w:rsidR="00915077" w:rsidRPr="00E26EF6" w:rsidRDefault="00543DBD">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Instrumenty kapitałowe subskrybowane przez organy publiczne</w:t>
            </w:r>
            <w:r w:rsidR="00E26EF6" w:rsidRPr="00E26EF6">
              <w:rPr>
                <w:rStyle w:val="FormatvorlageInstructionsTabelleText"/>
                <w:rFonts w:ascii="Times New Roman" w:hAnsi="Times New Roman"/>
                <w:sz w:val="24"/>
              </w:rPr>
              <w:t xml:space="preserve"> w syt</w:t>
            </w:r>
            <w:r w:rsidRPr="00E26EF6">
              <w:rPr>
                <w:rStyle w:val="FormatvorlageInstructionsTabelleText"/>
                <w:rFonts w:ascii="Times New Roman" w:hAnsi="Times New Roman"/>
                <w:sz w:val="24"/>
              </w:rPr>
              <w:t>uacjach nadzwyczajnych są uwzględniane, jeżeli spełnione zostały wszystkie warunki określone</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31 CRR.</w:t>
            </w:r>
          </w:p>
        </w:tc>
      </w:tr>
      <w:tr w:rsidR="00915077" w:rsidRPr="00E26EF6" w14:paraId="4168FE51" w14:textId="77777777" w:rsidTr="00672D2A">
        <w:tc>
          <w:tcPr>
            <w:tcW w:w="1129" w:type="dxa"/>
          </w:tcPr>
          <w:p w14:paraId="460DAEDB" w14:textId="77777777" w:rsidR="00915077" w:rsidRPr="00E26EF6" w:rsidRDefault="00216D67">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045</w:t>
            </w:r>
          </w:p>
        </w:tc>
        <w:tc>
          <w:tcPr>
            <w:tcW w:w="7620" w:type="dxa"/>
          </w:tcPr>
          <w:p w14:paraId="15F9D9E8" w14:textId="3A0598AC" w:rsidR="00915077" w:rsidRPr="00E26EF6" w:rsidRDefault="00DD2C1E">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1.1.1.1.1*</w:t>
            </w:r>
            <w:r w:rsidRPr="00E26EF6">
              <w:rPr>
                <w:rStyle w:val="InstructionsTabelleberschrift"/>
                <w:rFonts w:ascii="Times New Roman" w:hAnsi="Times New Roman"/>
                <w:sz w:val="24"/>
              </w:rPr>
              <w:tab/>
              <w:t>W tym: instrumenty kapitałowe subskrybowane przez organy publiczne</w:t>
            </w:r>
            <w:r w:rsidR="00E26EF6" w:rsidRPr="00E26EF6">
              <w:rPr>
                <w:rStyle w:val="InstructionsTabelleberschrift"/>
                <w:rFonts w:ascii="Times New Roman" w:hAnsi="Times New Roman"/>
                <w:sz w:val="24"/>
              </w:rPr>
              <w:t xml:space="preserve"> w syt</w:t>
            </w:r>
            <w:r w:rsidRPr="00E26EF6">
              <w:rPr>
                <w:rStyle w:val="InstructionsTabelleberschrift"/>
                <w:rFonts w:ascii="Times New Roman" w:hAnsi="Times New Roman"/>
                <w:sz w:val="24"/>
              </w:rPr>
              <w:t>uacjach nadzwyczajnych</w:t>
            </w:r>
          </w:p>
          <w:p w14:paraId="2D2964A9" w14:textId="28B40176" w:rsidR="00915077" w:rsidRPr="00E26EF6" w:rsidRDefault="00216D67">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31 CRR</w:t>
            </w:r>
          </w:p>
          <w:p w14:paraId="280776E5" w14:textId="7C598A69" w:rsidR="00915077" w:rsidRPr="00E26EF6" w:rsidRDefault="00216D67">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b w:val="0"/>
                <w:sz w:val="24"/>
                <w:u w:val="none"/>
              </w:rPr>
              <w:t>Instrumenty kapitałowe subskrybowane przez organy publiczne</w:t>
            </w:r>
            <w:r w:rsidR="00E26EF6" w:rsidRPr="00E26EF6">
              <w:rPr>
                <w:rStyle w:val="InstructionsTabelleberschrift"/>
                <w:rFonts w:ascii="Times New Roman" w:hAnsi="Times New Roman"/>
                <w:b w:val="0"/>
                <w:sz w:val="24"/>
                <w:u w:val="none"/>
              </w:rPr>
              <w:t xml:space="preserve"> w syt</w:t>
            </w:r>
            <w:r w:rsidRPr="00E26EF6">
              <w:rPr>
                <w:rStyle w:val="InstructionsTabelleberschrift"/>
                <w:rFonts w:ascii="Times New Roman" w:hAnsi="Times New Roman"/>
                <w:b w:val="0"/>
                <w:sz w:val="24"/>
                <w:u w:val="none"/>
              </w:rPr>
              <w:t>uacjach nadzwyczajnych są uwzględniane</w:t>
            </w:r>
            <w:r w:rsidR="00E26EF6" w:rsidRPr="00E26EF6">
              <w:rPr>
                <w:rStyle w:val="InstructionsTabelleberschrift"/>
                <w:rFonts w:ascii="Times New Roman" w:hAnsi="Times New Roman"/>
                <w:b w:val="0"/>
                <w:sz w:val="24"/>
                <w:u w:val="none"/>
              </w:rPr>
              <w:t xml:space="preserve"> w kap</w:t>
            </w:r>
            <w:r w:rsidRPr="00E26EF6">
              <w:rPr>
                <w:rStyle w:val="InstructionsTabelleberschrift"/>
                <w:rFonts w:ascii="Times New Roman" w:hAnsi="Times New Roman"/>
                <w:b w:val="0"/>
                <w:sz w:val="24"/>
                <w:u w:val="none"/>
              </w:rPr>
              <w:t>itale podstawowym Tier I, jeżeli spełnione zostały wszystkie warunki określone</w:t>
            </w:r>
            <w:r w:rsidR="00E26EF6" w:rsidRPr="00E26EF6">
              <w:rPr>
                <w:rStyle w:val="InstructionsTabelleberschrift"/>
                <w:rFonts w:ascii="Times New Roman" w:hAnsi="Times New Roman"/>
                <w:b w:val="0"/>
                <w:sz w:val="24"/>
                <w:u w:val="none"/>
              </w:rPr>
              <w:t xml:space="preserve"> w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31 CRR.</w:t>
            </w:r>
          </w:p>
        </w:tc>
      </w:tr>
      <w:tr w:rsidR="00915077" w:rsidRPr="00E26EF6" w14:paraId="3D94B46C" w14:textId="77777777" w:rsidTr="00672D2A">
        <w:tc>
          <w:tcPr>
            <w:tcW w:w="1129" w:type="dxa"/>
          </w:tcPr>
          <w:p w14:paraId="73F13C12"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050</w:t>
            </w:r>
          </w:p>
        </w:tc>
        <w:tc>
          <w:tcPr>
            <w:tcW w:w="7620" w:type="dxa"/>
          </w:tcPr>
          <w:p w14:paraId="089A65CB" w14:textId="77777777"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1.1.1.1.2*</w:t>
            </w:r>
            <w:r w:rsidRPr="00E26EF6">
              <w:rPr>
                <w:rStyle w:val="InstructionsTabelleberschrift"/>
                <w:rFonts w:ascii="Times New Roman" w:hAnsi="Times New Roman"/>
                <w:sz w:val="24"/>
              </w:rPr>
              <w:tab/>
              <w:t>Pozycja uzupełniająca: nieuznane instrumenty kapitałowe</w:t>
            </w:r>
          </w:p>
          <w:p w14:paraId="263FDBEA" w14:textId="72C170D2"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28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l) i m) CRR</w:t>
            </w:r>
          </w:p>
          <w:p w14:paraId="7AE45833" w14:textId="2C42CB5E"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Warunki określone</w:t>
            </w:r>
            <w:r w:rsidR="00E26EF6" w:rsidRPr="00E26EF6">
              <w:rPr>
                <w:rStyle w:val="FormatvorlageInstructionsTabelleText"/>
                <w:rFonts w:ascii="Times New Roman" w:hAnsi="Times New Roman"/>
                <w:sz w:val="24"/>
              </w:rPr>
              <w:t xml:space="preserve"> w tyc</w:t>
            </w:r>
            <w:r w:rsidRPr="00E26EF6">
              <w:rPr>
                <w:rStyle w:val="FormatvorlageInstructionsTabelleText"/>
                <w:rFonts w:ascii="Times New Roman" w:hAnsi="Times New Roman"/>
                <w:sz w:val="24"/>
              </w:rPr>
              <w:t>h literach odzwierciedlają różne sytuacje dotyczące kapitału, które są odwracalne,</w:t>
            </w:r>
            <w:r w:rsidR="00E26EF6" w:rsidRPr="00E26EF6">
              <w:rPr>
                <w:rStyle w:val="FormatvorlageInstructionsTabelleText"/>
                <w:rFonts w:ascii="Times New Roman" w:hAnsi="Times New Roman"/>
                <w:sz w:val="24"/>
              </w:rPr>
              <w:t xml:space="preserve"> a wię</w:t>
            </w:r>
            <w:r w:rsidRPr="00E26EF6">
              <w:rPr>
                <w:rStyle w:val="FormatvorlageInstructionsTabelleText"/>
                <w:rFonts w:ascii="Times New Roman" w:hAnsi="Times New Roman"/>
                <w:sz w:val="24"/>
              </w:rPr>
              <w:t>c kwota tu zgłoszona może zostać uznana</w:t>
            </w:r>
            <w:r w:rsidR="00E26EF6" w:rsidRPr="00E26EF6">
              <w:rPr>
                <w:rStyle w:val="FormatvorlageInstructionsTabelleText"/>
                <w:rFonts w:ascii="Times New Roman" w:hAnsi="Times New Roman"/>
                <w:sz w:val="24"/>
              </w:rPr>
              <w:t xml:space="preserve"> w kol</w:t>
            </w:r>
            <w:r w:rsidRPr="00E26EF6">
              <w:rPr>
                <w:rStyle w:val="FormatvorlageInstructionsTabelleText"/>
                <w:rFonts w:ascii="Times New Roman" w:hAnsi="Times New Roman"/>
                <w:sz w:val="24"/>
              </w:rPr>
              <w:t>ejnych okresach.</w:t>
            </w:r>
          </w:p>
          <w:p w14:paraId="2518A593" w14:textId="51F37F41"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nie obejmuje ażio emisyjnego związanego</w:t>
            </w:r>
            <w:r w:rsidR="00E26EF6" w:rsidRPr="00E26EF6">
              <w:rPr>
                <w:rStyle w:val="FormatvorlageInstructionsTabelleText"/>
                <w:rFonts w:ascii="Times New Roman" w:hAnsi="Times New Roman"/>
                <w:sz w:val="24"/>
              </w:rPr>
              <w:t xml:space="preserve"> z ins</w:t>
            </w:r>
            <w:r w:rsidRPr="00E26EF6">
              <w:rPr>
                <w:rStyle w:val="FormatvorlageInstructionsTabelleText"/>
                <w:rFonts w:ascii="Times New Roman" w:hAnsi="Times New Roman"/>
                <w:sz w:val="24"/>
              </w:rPr>
              <w:t>trumentami.</w:t>
            </w:r>
          </w:p>
        </w:tc>
      </w:tr>
      <w:tr w:rsidR="00915077" w:rsidRPr="00E26EF6" w14:paraId="622132D3" w14:textId="77777777" w:rsidTr="00672D2A">
        <w:tc>
          <w:tcPr>
            <w:tcW w:w="1129" w:type="dxa"/>
          </w:tcPr>
          <w:p w14:paraId="0CDA59AC"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060</w:t>
            </w:r>
          </w:p>
        </w:tc>
        <w:tc>
          <w:tcPr>
            <w:tcW w:w="7620" w:type="dxa"/>
          </w:tcPr>
          <w:p w14:paraId="2FAEC512" w14:textId="77777777"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1.1.1.1.3</w:t>
            </w:r>
            <w:r w:rsidRPr="00E26EF6">
              <w:rPr>
                <w:rStyle w:val="InstructionsTabelleberschrift"/>
                <w:rFonts w:ascii="Times New Roman" w:hAnsi="Times New Roman"/>
                <w:sz w:val="24"/>
              </w:rPr>
              <w:tab/>
              <w:t>Ażio emisyjne</w:t>
            </w:r>
          </w:p>
          <w:p w14:paraId="5ECB161C" w14:textId="7E60AE37"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124,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p w14:paraId="301C1075" w14:textId="1D8893CB"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Ażio emisyjne ma takie samo znaczenie jak</w:t>
            </w:r>
            <w:r w:rsidR="00E26EF6" w:rsidRPr="00E26EF6">
              <w:rPr>
                <w:rStyle w:val="FormatvorlageInstructionsTabelleText"/>
                <w:rFonts w:ascii="Times New Roman" w:hAnsi="Times New Roman"/>
                <w:sz w:val="24"/>
              </w:rPr>
              <w:t xml:space="preserve"> w maj</w:t>
            </w:r>
            <w:r w:rsidRPr="00E26EF6">
              <w:rPr>
                <w:rStyle w:val="FormatvorlageInstructionsTabelleText"/>
                <w:rFonts w:ascii="Times New Roman" w:hAnsi="Times New Roman"/>
                <w:sz w:val="24"/>
              </w:rPr>
              <w:t xml:space="preserve">ących zastosowanie standardach rachunkowości. </w:t>
            </w:r>
          </w:p>
          <w:p w14:paraId="3FB01BA4" w14:textId="15D523B1"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w:t>
            </w:r>
            <w:r w:rsidR="00E26EF6" w:rsidRPr="00E26EF6">
              <w:rPr>
                <w:rStyle w:val="FormatvorlageInstructionsTabelleText"/>
                <w:rFonts w:ascii="Times New Roman" w:hAnsi="Times New Roman"/>
                <w:sz w:val="24"/>
              </w:rPr>
              <w:t xml:space="preserve"> w tej</w:t>
            </w:r>
            <w:r w:rsidRPr="00E26EF6">
              <w:rPr>
                <w:rStyle w:val="FormatvorlageInstructionsTabelleText"/>
                <w:rFonts w:ascii="Times New Roman" w:hAnsi="Times New Roman"/>
                <w:sz w:val="24"/>
              </w:rPr>
              <w:t xml:space="preserve"> pozycji, stanowi część związaną</w:t>
            </w:r>
            <w:r w:rsidR="00E26EF6" w:rsidRPr="00E26EF6">
              <w:rPr>
                <w:rStyle w:val="FormatvorlageInstructionsTabelleText"/>
                <w:rFonts w:ascii="Times New Roman" w:hAnsi="Times New Roman"/>
                <w:sz w:val="24"/>
              </w:rPr>
              <w:t xml:space="preserve"> z poz</w:t>
            </w:r>
            <w:r w:rsidRPr="00E26EF6">
              <w:rPr>
                <w:rStyle w:val="FormatvorlageInstructionsTabelleText"/>
                <w:rFonts w:ascii="Times New Roman" w:hAnsi="Times New Roman"/>
                <w:sz w:val="24"/>
              </w:rPr>
              <w:t xml:space="preserve">ycją „Opłacone instrumenty kapitałowe”. </w:t>
            </w:r>
          </w:p>
        </w:tc>
      </w:tr>
      <w:tr w:rsidR="00915077" w:rsidRPr="00E26EF6" w14:paraId="77AC2598" w14:textId="77777777" w:rsidTr="00672D2A">
        <w:tc>
          <w:tcPr>
            <w:tcW w:w="1129" w:type="dxa"/>
          </w:tcPr>
          <w:p w14:paraId="2EA7B719"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070</w:t>
            </w:r>
          </w:p>
        </w:tc>
        <w:tc>
          <w:tcPr>
            <w:tcW w:w="7620" w:type="dxa"/>
          </w:tcPr>
          <w:p w14:paraId="732809E1" w14:textId="6BB35DC6"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1.1.1.1.4</w:t>
            </w:r>
            <w:r w:rsidRPr="00E26EF6">
              <w:rPr>
                <w:rStyle w:val="InstructionsTabelleberschrift"/>
                <w:rFonts w:ascii="Times New Roman" w:hAnsi="Times New Roman"/>
                <w:sz w:val="24"/>
              </w:rPr>
              <w:tab/>
              <w:t>(-) Instrumenty własne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620FE7BC" w14:textId="4C86EBBE"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f)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42 CRR</w:t>
            </w:r>
          </w:p>
          <w:p w14:paraId="1739FFD3" w14:textId="6E2F950D"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Instrumenty własne</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podstawowym Tier I będące</w:t>
            </w:r>
            <w:r w:rsidR="00E26EF6" w:rsidRPr="00E26EF6">
              <w:rPr>
                <w:rStyle w:val="FormatvorlageInstructionsTabelleText"/>
                <w:rFonts w:ascii="Times New Roman" w:hAnsi="Times New Roman"/>
                <w:sz w:val="24"/>
              </w:rPr>
              <w:t xml:space="preserve"> w pos</w:t>
            </w:r>
            <w:r w:rsidRPr="00E26EF6">
              <w:rPr>
                <w:rStyle w:val="FormatvorlageInstructionsTabelleText"/>
                <w:rFonts w:ascii="Times New Roman" w:hAnsi="Times New Roman"/>
                <w:sz w:val="24"/>
              </w:rPr>
              <w:t>iadaniu instytucji lub grupy sprawozdającej na dzień sprawozdawczy</w:t>
            </w:r>
            <w:r w:rsidR="00E26EF6" w:rsidRPr="00E26EF6">
              <w:rPr>
                <w:rStyle w:val="FormatvorlageInstructionsTabelleText"/>
                <w:rFonts w:ascii="Times New Roman" w:hAnsi="Times New Roman"/>
                <w:sz w:val="24"/>
              </w:rPr>
              <w:t>. Z zas</w:t>
            </w:r>
            <w:r w:rsidRPr="00E26EF6">
              <w:rPr>
                <w:rStyle w:val="FormatvorlageInstructionsTabelleText"/>
                <w:rFonts w:ascii="Times New Roman" w:hAnsi="Times New Roman"/>
                <w:sz w:val="24"/>
              </w:rPr>
              <w:t>trzeżeniem wyjątków przewidzianych</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42 CRR.</w:t>
            </w:r>
          </w:p>
          <w:p w14:paraId="2718040A" w14:textId="77777777"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W tym wierszu nie zgłasza się udziałów kapitałowych zaliczanych do „Nieuznanych instrumentów kapitałowych”.</w:t>
            </w:r>
          </w:p>
          <w:p w14:paraId="5F5FCAEC" w14:textId="602A6B5D"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Kwota, którą należy zgłosić, obejmuje ażio emisyjne związane</w:t>
            </w:r>
            <w:r w:rsidR="00E26EF6" w:rsidRPr="00E26EF6">
              <w:rPr>
                <w:rStyle w:val="FormatvorlageInstructionsTabelleText"/>
                <w:rFonts w:ascii="Times New Roman" w:hAnsi="Times New Roman"/>
                <w:sz w:val="24"/>
              </w:rPr>
              <w:t xml:space="preserve"> z wła</w:t>
            </w:r>
            <w:r w:rsidRPr="00E26EF6">
              <w:rPr>
                <w:rStyle w:val="FormatvorlageInstructionsTabelleText"/>
                <w:rFonts w:ascii="Times New Roman" w:hAnsi="Times New Roman"/>
                <w:sz w:val="24"/>
              </w:rPr>
              <w:t>snymi udziałami.</w:t>
            </w:r>
          </w:p>
          <w:p w14:paraId="78F8B106" w14:textId="06FD4984"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 xml:space="preserve">Pozycje 1.1.1.1.4–1.1.1.1.4.3 </w:t>
            </w:r>
            <w:proofErr w:type="gramStart"/>
            <w:r w:rsidRPr="00E26EF6">
              <w:rPr>
                <w:rStyle w:val="FormatvorlageInstructionsTabelleText"/>
                <w:rFonts w:ascii="Times New Roman" w:hAnsi="Times New Roman"/>
                <w:sz w:val="24"/>
              </w:rPr>
              <w:t>nie</w:t>
            </w:r>
            <w:proofErr w:type="gramEnd"/>
            <w:r w:rsidRPr="00E26EF6">
              <w:rPr>
                <w:rStyle w:val="FormatvorlageInstructionsTabelleText"/>
                <w:rFonts w:ascii="Times New Roman" w:hAnsi="Times New Roman"/>
                <w:sz w:val="24"/>
              </w:rPr>
              <w:t xml:space="preserve"> obejmują faktycznych ani warunkowych zobowiązań do zakupu instrumentów własnych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podstawowym Tier I. Faktyczne lub warunkowe zobowiązania do zakupu instrumentów własnych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podstawowym Tier I zgłasza się oddzielnie</w:t>
            </w:r>
            <w:r w:rsidR="00E26EF6" w:rsidRPr="00E26EF6">
              <w:rPr>
                <w:rStyle w:val="FormatvorlageInstructionsTabelleText"/>
                <w:rFonts w:ascii="Times New Roman" w:hAnsi="Times New Roman"/>
                <w:sz w:val="24"/>
              </w:rPr>
              <w:t xml:space="preserve"> w poz</w:t>
            </w:r>
            <w:r w:rsidRPr="00E26EF6">
              <w:rPr>
                <w:rStyle w:val="FormatvorlageInstructionsTabelleText"/>
                <w:rFonts w:ascii="Times New Roman" w:hAnsi="Times New Roman"/>
                <w:sz w:val="24"/>
              </w:rPr>
              <w:t>ycji 1.1.1.1.5.</w:t>
            </w:r>
          </w:p>
        </w:tc>
      </w:tr>
      <w:tr w:rsidR="00915077" w:rsidRPr="00E26EF6" w14:paraId="43F77E74" w14:textId="77777777" w:rsidTr="00672D2A">
        <w:tc>
          <w:tcPr>
            <w:tcW w:w="1129" w:type="dxa"/>
          </w:tcPr>
          <w:p w14:paraId="222B2025"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080</w:t>
            </w:r>
          </w:p>
        </w:tc>
        <w:tc>
          <w:tcPr>
            <w:tcW w:w="7620" w:type="dxa"/>
          </w:tcPr>
          <w:p w14:paraId="6B7D02E1" w14:textId="3B91D238"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1.1.1.1.4.1</w:t>
            </w:r>
            <w:r w:rsidRPr="00E26EF6">
              <w:rPr>
                <w:rStyle w:val="InstructionsTabelleberschrift"/>
                <w:rFonts w:ascii="Times New Roman" w:hAnsi="Times New Roman"/>
                <w:sz w:val="24"/>
              </w:rPr>
              <w:tab/>
              <w:t>(-) Bezpośrednie udziały kapitałowe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trumentach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35E470F8" w14:textId="6903AFFC"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f)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42 CRR</w:t>
            </w:r>
          </w:p>
          <w:p w14:paraId="17CE9E0E" w14:textId="63BA20FF"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Instrumenty</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podstawowym Tier I objęte pozycją 1.1.1.1</w:t>
            </w:r>
            <w:r w:rsidR="00E26EF6" w:rsidRPr="00E26EF6">
              <w:rPr>
                <w:rStyle w:val="FormatvorlageInstructionsTabelleText"/>
                <w:rFonts w:ascii="Times New Roman" w:hAnsi="Times New Roman"/>
                <w:sz w:val="24"/>
              </w:rPr>
              <w:t xml:space="preserve"> </w:t>
            </w:r>
            <w:proofErr w:type="gramStart"/>
            <w:r w:rsidR="00E26EF6" w:rsidRPr="00E26EF6">
              <w:rPr>
                <w:rStyle w:val="FormatvorlageInstructionsTabelleText"/>
                <w:rFonts w:ascii="Times New Roman" w:hAnsi="Times New Roman"/>
                <w:sz w:val="24"/>
              </w:rPr>
              <w:t>i</w:t>
            </w:r>
            <w:proofErr w:type="gramEnd"/>
            <w:r w:rsidR="00E26EF6" w:rsidRPr="00E26EF6">
              <w:rPr>
                <w:rStyle w:val="FormatvorlageInstructionsTabelleText"/>
                <w:rFonts w:ascii="Times New Roman" w:hAnsi="Times New Roman"/>
                <w:sz w:val="24"/>
              </w:rPr>
              <w:t> będ</w:t>
            </w:r>
            <w:r w:rsidRPr="00E26EF6">
              <w:rPr>
                <w:rStyle w:val="FormatvorlageInstructionsTabelleText"/>
                <w:rFonts w:ascii="Times New Roman" w:hAnsi="Times New Roman"/>
                <w:sz w:val="24"/>
              </w:rPr>
              <w:t>ące</w:t>
            </w:r>
            <w:r w:rsidR="00E26EF6" w:rsidRPr="00E26EF6">
              <w:rPr>
                <w:rStyle w:val="FormatvorlageInstructionsTabelleText"/>
                <w:rFonts w:ascii="Times New Roman" w:hAnsi="Times New Roman"/>
                <w:sz w:val="24"/>
              </w:rPr>
              <w:t xml:space="preserve"> w pos</w:t>
            </w:r>
            <w:r w:rsidRPr="00E26EF6">
              <w:rPr>
                <w:rStyle w:val="FormatvorlageInstructionsTabelleText"/>
                <w:rFonts w:ascii="Times New Roman" w:hAnsi="Times New Roman"/>
                <w:sz w:val="24"/>
              </w:rPr>
              <w:t xml:space="preserve">iadaniu instytucji należących do skonsolidowanej grupy. </w:t>
            </w:r>
          </w:p>
          <w:p w14:paraId="6C924F42" w14:textId="50DC9CD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obejmuje wartość posiadanych</w:t>
            </w:r>
            <w:r w:rsidR="00E26EF6" w:rsidRPr="00E26EF6">
              <w:rPr>
                <w:rStyle w:val="FormatvorlageInstructionsTabelleText"/>
                <w:rFonts w:ascii="Times New Roman" w:hAnsi="Times New Roman"/>
                <w:sz w:val="24"/>
              </w:rPr>
              <w:t xml:space="preserve"> w por</w:t>
            </w:r>
            <w:r w:rsidRPr="00E26EF6">
              <w:rPr>
                <w:rStyle w:val="FormatvorlageInstructionsTabelleText"/>
                <w:rFonts w:ascii="Times New Roman" w:hAnsi="Times New Roman"/>
                <w:sz w:val="24"/>
              </w:rPr>
              <w:t>tfelu handlowym udziałów kapitałowych obliczoną na podstawie pozycji długiej netto, jak stanowi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tc>
      </w:tr>
      <w:tr w:rsidR="00915077" w:rsidRPr="00E26EF6" w14:paraId="0000EDB1" w14:textId="77777777" w:rsidTr="00672D2A">
        <w:tc>
          <w:tcPr>
            <w:tcW w:w="1129" w:type="dxa"/>
          </w:tcPr>
          <w:p w14:paraId="08BAFC24"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090</w:t>
            </w:r>
          </w:p>
        </w:tc>
        <w:tc>
          <w:tcPr>
            <w:tcW w:w="7620" w:type="dxa"/>
          </w:tcPr>
          <w:p w14:paraId="086795F2" w14:textId="12E813A4"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1.1.1.1.4.2</w:t>
            </w:r>
            <w:r w:rsidRPr="00E26EF6">
              <w:rPr>
                <w:rStyle w:val="InstructionsTabelleberschrift"/>
                <w:rFonts w:ascii="Times New Roman" w:hAnsi="Times New Roman"/>
                <w:sz w:val="24"/>
              </w:rPr>
              <w:tab/>
              <w:t>(-) Pośrednie udziały kapitałowe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trumentach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08F0267B" w14:textId="01542689" w:rsidR="00915077" w:rsidRPr="00E26EF6" w:rsidRDefault="00FF281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114,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f)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42 CRR</w:t>
            </w:r>
          </w:p>
        </w:tc>
      </w:tr>
      <w:tr w:rsidR="00915077" w:rsidRPr="00E26EF6" w14:paraId="20E3E2F0" w14:textId="77777777" w:rsidTr="00672D2A">
        <w:tc>
          <w:tcPr>
            <w:tcW w:w="1129" w:type="dxa"/>
          </w:tcPr>
          <w:p w14:paraId="3EAB4AD6" w14:textId="77777777"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091</w:t>
            </w:r>
          </w:p>
          <w:p w14:paraId="4C62BBAD" w14:textId="77777777" w:rsidR="00915077" w:rsidRPr="00E26EF6" w:rsidRDefault="00915077">
            <w:pPr>
              <w:pStyle w:val="InstructionsText"/>
              <w:rPr>
                <w:rStyle w:val="FormatvorlageInstructionsTabelleText"/>
                <w:rFonts w:ascii="Times New Roman" w:hAnsi="Times New Roman"/>
                <w:sz w:val="24"/>
                <w:highlight w:val="lightGray"/>
              </w:rPr>
            </w:pPr>
          </w:p>
        </w:tc>
        <w:tc>
          <w:tcPr>
            <w:tcW w:w="7620" w:type="dxa"/>
          </w:tcPr>
          <w:p w14:paraId="02C6AB80" w14:textId="275AA625"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1.1.1.1.4.3</w:t>
            </w:r>
            <w:r w:rsidRPr="00E26EF6">
              <w:rPr>
                <w:rStyle w:val="InstructionsTabelleberschrift"/>
                <w:rFonts w:ascii="Times New Roman" w:hAnsi="Times New Roman"/>
                <w:sz w:val="24"/>
              </w:rPr>
              <w:tab/>
              <w:t>(-) Syntetyczne udziały kapitałowe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trumentach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1AAE0433" w14:textId="107A5E13" w:rsidR="00915077" w:rsidRPr="00E26EF6" w:rsidRDefault="00FF2818">
            <w:pPr>
              <w:pStyle w:val="InstructionsText"/>
              <w:rPr>
                <w:rStyle w:val="InstructionsTabelleberschrift"/>
                <w:rFonts w:ascii="Times New Roman" w:hAnsi="Times New Roman"/>
                <w:b w:val="0"/>
                <w:sz w:val="24"/>
                <w:highlight w:val="lightGray"/>
                <w:u w:val="none"/>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126,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f)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42 CRR</w:t>
            </w:r>
          </w:p>
        </w:tc>
      </w:tr>
      <w:tr w:rsidR="00915077" w:rsidRPr="00E26EF6" w14:paraId="00DCCD96" w14:textId="77777777" w:rsidTr="00672D2A">
        <w:tc>
          <w:tcPr>
            <w:tcW w:w="1129" w:type="dxa"/>
          </w:tcPr>
          <w:p w14:paraId="6185C376"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092</w:t>
            </w:r>
          </w:p>
        </w:tc>
        <w:tc>
          <w:tcPr>
            <w:tcW w:w="7620" w:type="dxa"/>
          </w:tcPr>
          <w:p w14:paraId="63A8817F" w14:textId="76B44F02" w:rsidR="00915077" w:rsidRPr="00E26EF6" w:rsidRDefault="00666996">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1.1.1.1.5</w:t>
            </w:r>
            <w:r w:rsidRPr="00E26EF6">
              <w:rPr>
                <w:rStyle w:val="InstructionsTabelleberschrift"/>
                <w:rFonts w:ascii="Times New Roman" w:hAnsi="Times New Roman"/>
                <w:sz w:val="24"/>
              </w:rPr>
              <w:tab/>
              <w:t>(-) Faktyczne lub warunkowe zobowiązania do zakupu instrumentów własnych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527CDA19" w14:textId="0BF7E0C9"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f)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42 CRR</w:t>
            </w:r>
          </w:p>
          <w:p w14:paraId="1AC7DFAE" w14:textId="63E25295" w:rsidR="00915077" w:rsidRPr="00E26EF6" w:rsidRDefault="002648B0">
            <w:pPr>
              <w:pStyle w:val="InstructionsText"/>
              <w:rPr>
                <w:rStyle w:val="InstructionsTabelleberschrift"/>
                <w:rFonts w:ascii="Times New Roman" w:hAnsi="Times New Roman"/>
                <w:b w:val="0"/>
                <w:bCs w:val="0"/>
                <w:sz w:val="24"/>
                <w:highlight w:val="lightGray"/>
                <w:u w:val="none"/>
              </w:rPr>
            </w:pPr>
            <w:r w:rsidRPr="00E26EF6">
              <w:rPr>
                <w:rStyle w:val="InstructionsTabelleberschrift"/>
                <w:rFonts w:ascii="Times New Roman" w:hAnsi="Times New Roman"/>
                <w:b w:val="0"/>
                <w:sz w:val="24"/>
                <w:u w:val="none"/>
              </w:rPr>
              <w:t>Zgodnie</w:t>
            </w:r>
            <w:r w:rsidR="00E26EF6" w:rsidRPr="00E26EF6">
              <w:rPr>
                <w:rStyle w:val="InstructionsTabelleberschrift"/>
                <w:rFonts w:ascii="Times New Roman" w:hAnsi="Times New Roman"/>
                <w:b w:val="0"/>
                <w:sz w:val="24"/>
                <w:u w:val="none"/>
              </w:rPr>
              <w:t xml:space="preserve"> z </w:t>
            </w:r>
            <w:r w:rsidR="00E26EF6" w:rsidRPr="00E26EF6">
              <w:rPr>
                <w:rStyle w:val="FormatvorlageInstructionsTabelleText"/>
                <w:rFonts w:ascii="Times New Roman" w:hAnsi="Times New Roman"/>
                <w:sz w:val="24"/>
              </w:rPr>
              <w:t>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InstructionsTabelleberschrift"/>
                <w:rFonts w:ascii="Times New Roman" w:hAnsi="Times New Roman"/>
                <w:b w:val="0"/>
                <w:sz w:val="24"/>
                <w:u w:val="none"/>
              </w:rPr>
              <w:t>36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f) CRR odlicza się „</w:t>
            </w:r>
            <w:r w:rsidRPr="00E26EF6">
              <w:t>instrumenty własne</w:t>
            </w:r>
            <w:r w:rsidR="00E26EF6" w:rsidRPr="00E26EF6">
              <w:t xml:space="preserve"> w kap</w:t>
            </w:r>
            <w:r w:rsidRPr="00E26EF6">
              <w:t>itale podstawowym Tier I, do których zakupu instytucja jest faktycznie lub warunkowo zobowiązana na mocy istniejącego zobowiązania umownego”.</w:t>
            </w:r>
          </w:p>
        </w:tc>
      </w:tr>
      <w:tr w:rsidR="00915077" w:rsidRPr="00E26EF6" w14:paraId="677C9282" w14:textId="77777777" w:rsidTr="00672D2A">
        <w:tc>
          <w:tcPr>
            <w:tcW w:w="1129" w:type="dxa"/>
          </w:tcPr>
          <w:p w14:paraId="31C7AFE3"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130</w:t>
            </w:r>
          </w:p>
        </w:tc>
        <w:tc>
          <w:tcPr>
            <w:tcW w:w="7620" w:type="dxa"/>
          </w:tcPr>
          <w:p w14:paraId="54B35A60" w14:textId="77777777"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1.1.1.2</w:t>
            </w:r>
            <w:r w:rsidRPr="00E26EF6">
              <w:rPr>
                <w:rStyle w:val="InstructionsTabelleberschrift"/>
                <w:rFonts w:ascii="Times New Roman" w:hAnsi="Times New Roman"/>
                <w:sz w:val="24"/>
              </w:rPr>
              <w:tab/>
              <w:t>Zyski zatrzymane</w:t>
            </w:r>
          </w:p>
          <w:p w14:paraId="7F9F0214" w14:textId="05948FCF"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CRR</w:t>
            </w:r>
          </w:p>
          <w:p w14:paraId="121FC2B0" w14:textId="4695324A"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Zyski zatrzymane obejmują zyski zatrzymane</w:t>
            </w:r>
            <w:r w:rsidR="00E26EF6" w:rsidRPr="00E26EF6">
              <w:rPr>
                <w:rStyle w:val="FormatvorlageInstructionsTabelleText"/>
                <w:rFonts w:ascii="Times New Roman" w:hAnsi="Times New Roman"/>
                <w:sz w:val="24"/>
              </w:rPr>
              <w:t xml:space="preserve"> z pop</w:t>
            </w:r>
            <w:r w:rsidRPr="00E26EF6">
              <w:rPr>
                <w:rStyle w:val="FormatvorlageInstructionsTabelleText"/>
                <w:rFonts w:ascii="Times New Roman" w:hAnsi="Times New Roman"/>
                <w:sz w:val="24"/>
              </w:rPr>
              <w:t>rzednich lat powiększone</w:t>
            </w:r>
            <w:r w:rsidR="00E26EF6" w:rsidRPr="00E26EF6">
              <w:rPr>
                <w:rStyle w:val="FormatvorlageInstructionsTabelleText"/>
                <w:rFonts w:ascii="Times New Roman" w:hAnsi="Times New Roman"/>
                <w:sz w:val="24"/>
              </w:rPr>
              <w:t xml:space="preserve"> o uzn</w:t>
            </w:r>
            <w:r w:rsidRPr="00E26EF6">
              <w:rPr>
                <w:rStyle w:val="FormatvorlageInstructionsTabelleText"/>
                <w:rFonts w:ascii="Times New Roman" w:hAnsi="Times New Roman"/>
                <w:sz w:val="24"/>
              </w:rPr>
              <w:t>ane zyski</w:t>
            </w:r>
            <w:r w:rsidR="00E26EF6" w:rsidRPr="00E26EF6">
              <w:rPr>
                <w:rStyle w:val="FormatvorlageInstructionsTabelleText"/>
                <w:rFonts w:ascii="Times New Roman" w:hAnsi="Times New Roman"/>
                <w:sz w:val="24"/>
              </w:rPr>
              <w:t xml:space="preserve"> z bie</w:t>
            </w:r>
            <w:r w:rsidRPr="00E26EF6">
              <w:rPr>
                <w:rStyle w:val="FormatvorlageInstructionsTabelleText"/>
                <w:rFonts w:ascii="Times New Roman" w:hAnsi="Times New Roman"/>
                <w:sz w:val="24"/>
              </w:rPr>
              <w:t>żącego okresu lub zyski roczne.</w:t>
            </w:r>
          </w:p>
        </w:tc>
      </w:tr>
      <w:tr w:rsidR="00915077" w:rsidRPr="00E26EF6" w14:paraId="66BA7DC6" w14:textId="77777777" w:rsidTr="00672D2A">
        <w:tc>
          <w:tcPr>
            <w:tcW w:w="1129" w:type="dxa"/>
          </w:tcPr>
          <w:p w14:paraId="310D6463"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140</w:t>
            </w:r>
          </w:p>
        </w:tc>
        <w:tc>
          <w:tcPr>
            <w:tcW w:w="7620" w:type="dxa"/>
          </w:tcPr>
          <w:p w14:paraId="69D0F7AA" w14:textId="538E53AE"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1.1.1.2.1</w:t>
            </w:r>
            <w:r w:rsidRPr="00E26EF6">
              <w:rPr>
                <w:rStyle w:val="InstructionsTabelleberschrift"/>
                <w:rFonts w:ascii="Times New Roman" w:hAnsi="Times New Roman"/>
                <w:sz w:val="24"/>
              </w:rPr>
              <w:tab/>
              <w:t>Zyski zatrzymane</w:t>
            </w:r>
            <w:r w:rsidR="00E26EF6" w:rsidRPr="00E26EF6">
              <w:rPr>
                <w:rStyle w:val="InstructionsTabelleberschrift"/>
                <w:rFonts w:ascii="Times New Roman" w:hAnsi="Times New Roman"/>
                <w:sz w:val="24"/>
              </w:rPr>
              <w:t xml:space="preserve"> w pop</w:t>
            </w:r>
            <w:r w:rsidRPr="00E26EF6">
              <w:rPr>
                <w:rStyle w:val="InstructionsTabelleberschrift"/>
                <w:rFonts w:ascii="Times New Roman" w:hAnsi="Times New Roman"/>
                <w:sz w:val="24"/>
              </w:rPr>
              <w:t>rzednich latach</w:t>
            </w:r>
          </w:p>
          <w:p w14:paraId="10BA1C76" w14:textId="032407D2"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123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CRR</w:t>
            </w:r>
          </w:p>
          <w:p w14:paraId="4EE29D54" w14:textId="71F35143" w:rsidR="00915077" w:rsidRPr="00E26EF6" w:rsidRDefault="00FF281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123 CRR zyski zatrzymane zdefiniowane są jako „zyski</w:t>
            </w:r>
            <w:r w:rsidR="00E26EF6" w:rsidRPr="00E26EF6">
              <w:rPr>
                <w:rStyle w:val="FormatvorlageInstructionsTabelleText"/>
                <w:rFonts w:ascii="Times New Roman" w:hAnsi="Times New Roman"/>
                <w:sz w:val="24"/>
              </w:rPr>
              <w:t xml:space="preserve"> i str</w:t>
            </w:r>
            <w:r w:rsidRPr="00E26EF6">
              <w:rPr>
                <w:rStyle w:val="FormatvorlageInstructionsTabelleText"/>
                <w:rFonts w:ascii="Times New Roman" w:hAnsi="Times New Roman"/>
                <w:sz w:val="24"/>
              </w:rPr>
              <w:t>aty wynikające</w:t>
            </w:r>
            <w:r w:rsidR="00E26EF6" w:rsidRPr="00E26EF6">
              <w:rPr>
                <w:rStyle w:val="FormatvorlageInstructionsTabelleText"/>
                <w:rFonts w:ascii="Times New Roman" w:hAnsi="Times New Roman"/>
                <w:sz w:val="24"/>
              </w:rPr>
              <w:t xml:space="preserve"> z ost</w:t>
            </w:r>
            <w:r w:rsidRPr="00E26EF6">
              <w:rPr>
                <w:rStyle w:val="FormatvorlageInstructionsTabelleText"/>
                <w:rFonts w:ascii="Times New Roman" w:hAnsi="Times New Roman"/>
                <w:sz w:val="24"/>
              </w:rPr>
              <w:t>atecznego zastosowania wyniku finansowego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w:t>
            </w:r>
          </w:p>
        </w:tc>
      </w:tr>
      <w:tr w:rsidR="00915077" w:rsidRPr="00E26EF6" w14:paraId="24B21B52" w14:textId="77777777" w:rsidTr="00672D2A">
        <w:tc>
          <w:tcPr>
            <w:tcW w:w="1129" w:type="dxa"/>
          </w:tcPr>
          <w:p w14:paraId="1B78021A"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150</w:t>
            </w:r>
          </w:p>
        </w:tc>
        <w:tc>
          <w:tcPr>
            <w:tcW w:w="7620" w:type="dxa"/>
          </w:tcPr>
          <w:p w14:paraId="65F56BDF" w14:textId="77777777"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1.1.1.2.2</w:t>
            </w:r>
            <w:r w:rsidRPr="00E26EF6">
              <w:rPr>
                <w:rStyle w:val="InstructionsTabelleberschrift"/>
                <w:rFonts w:ascii="Times New Roman" w:hAnsi="Times New Roman"/>
                <w:sz w:val="24"/>
              </w:rPr>
              <w:tab/>
              <w:t>Uznany zysk lub uznana strata</w:t>
            </w:r>
          </w:p>
          <w:p w14:paraId="13382E58" w14:textId="7F04B77B"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121,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6D56A1C2" w14:textId="3EBF664F"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CRR pozwala – pod warunkiem otrzymania wcześniejszej zgody właściwego organu – na włączenie do zysków zatrzymanych zysków</w:t>
            </w:r>
            <w:r w:rsidR="00E26EF6" w:rsidRPr="00E26EF6">
              <w:rPr>
                <w:rStyle w:val="FormatvorlageInstructionsTabelleText"/>
                <w:rFonts w:ascii="Times New Roman" w:hAnsi="Times New Roman"/>
                <w:sz w:val="24"/>
              </w:rPr>
              <w:t xml:space="preserve"> z bie</w:t>
            </w:r>
            <w:r w:rsidRPr="00E26EF6">
              <w:rPr>
                <w:rStyle w:val="FormatvorlageInstructionsTabelleText"/>
                <w:rFonts w:ascii="Times New Roman" w:hAnsi="Times New Roman"/>
                <w:sz w:val="24"/>
              </w:rPr>
              <w:t xml:space="preserve">żącego okresu lub zysków rocznych, jeśli spełnione są pewne warunki. </w:t>
            </w:r>
          </w:p>
          <w:p w14:paraId="2F888DBB" w14:textId="42405BDC"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 kolei straty odlicza się od kapitału podstawowego Tier I, jak stanowi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tc>
      </w:tr>
      <w:tr w:rsidR="00915077" w:rsidRPr="00E26EF6" w14:paraId="5A972F21" w14:textId="77777777" w:rsidTr="00672D2A">
        <w:tc>
          <w:tcPr>
            <w:tcW w:w="1129" w:type="dxa"/>
          </w:tcPr>
          <w:p w14:paraId="5FCEF134"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160</w:t>
            </w:r>
          </w:p>
        </w:tc>
        <w:tc>
          <w:tcPr>
            <w:tcW w:w="7620" w:type="dxa"/>
          </w:tcPr>
          <w:p w14:paraId="21083E9F" w14:textId="77777777"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1.1.1.2.2.1</w:t>
            </w:r>
            <w:r w:rsidRPr="00E26EF6">
              <w:rPr>
                <w:rStyle w:val="InstructionsTabelleberschrift"/>
                <w:rFonts w:ascii="Times New Roman" w:hAnsi="Times New Roman"/>
                <w:sz w:val="24"/>
              </w:rPr>
              <w:tab/>
              <w:t>Zysk lub strata możliwe do przypisania właścicielom jednostki dominującej</w:t>
            </w:r>
          </w:p>
          <w:p w14:paraId="54570E5C" w14:textId="68E581DC"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2ACECCE5" w14:textId="00AE8BDD"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jest zyskiem lub stratą, które zgłoszone są</w:t>
            </w:r>
            <w:r w:rsidR="00E26EF6" w:rsidRPr="00E26EF6">
              <w:rPr>
                <w:rStyle w:val="FormatvorlageInstructionsTabelleText"/>
                <w:rFonts w:ascii="Times New Roman" w:hAnsi="Times New Roman"/>
                <w:sz w:val="24"/>
              </w:rPr>
              <w:t xml:space="preserve"> w ksi</w:t>
            </w:r>
            <w:r w:rsidRPr="00E26EF6">
              <w:rPr>
                <w:rStyle w:val="FormatvorlageInstructionsTabelleText"/>
                <w:rFonts w:ascii="Times New Roman" w:hAnsi="Times New Roman"/>
                <w:sz w:val="24"/>
              </w:rPr>
              <w:t>ęgowym rachunku zysków</w:t>
            </w:r>
            <w:r w:rsidR="00E26EF6" w:rsidRPr="00E26EF6">
              <w:rPr>
                <w:rStyle w:val="FormatvorlageInstructionsTabelleText"/>
                <w:rFonts w:ascii="Times New Roman" w:hAnsi="Times New Roman"/>
                <w:sz w:val="24"/>
              </w:rPr>
              <w:t xml:space="preserve"> i str</w:t>
            </w:r>
            <w:r w:rsidRPr="00E26EF6">
              <w:rPr>
                <w:rStyle w:val="FormatvorlageInstructionsTabelleText"/>
                <w:rFonts w:ascii="Times New Roman" w:hAnsi="Times New Roman"/>
                <w:sz w:val="24"/>
              </w:rPr>
              <w:t>at.</w:t>
            </w:r>
          </w:p>
        </w:tc>
      </w:tr>
      <w:tr w:rsidR="00915077" w:rsidRPr="00E26EF6" w14:paraId="47FDAD54" w14:textId="77777777" w:rsidTr="00672D2A">
        <w:tc>
          <w:tcPr>
            <w:tcW w:w="1129" w:type="dxa"/>
          </w:tcPr>
          <w:p w14:paraId="74F7D8D5"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170</w:t>
            </w:r>
          </w:p>
        </w:tc>
        <w:tc>
          <w:tcPr>
            <w:tcW w:w="7620" w:type="dxa"/>
          </w:tcPr>
          <w:p w14:paraId="63464708" w14:textId="241AAEC1" w:rsidR="00915077" w:rsidRPr="00E26EF6" w:rsidRDefault="00666996">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1.1.1.2.2.2</w:t>
            </w:r>
            <w:r w:rsidRPr="00E26EF6">
              <w:rPr>
                <w:rStyle w:val="InstructionsTabelleberschrift"/>
                <w:rFonts w:ascii="Times New Roman" w:hAnsi="Times New Roman"/>
                <w:sz w:val="24"/>
              </w:rPr>
              <w:tab/>
              <w:t>(-) Część nieuznanego zysku</w:t>
            </w:r>
            <w:r w:rsidR="00E26EF6" w:rsidRPr="00E26EF6">
              <w:rPr>
                <w:rStyle w:val="InstructionsTabelleberschrift"/>
                <w:rFonts w:ascii="Times New Roman" w:hAnsi="Times New Roman"/>
                <w:sz w:val="24"/>
              </w:rPr>
              <w:t xml:space="preserve"> z bie</w:t>
            </w:r>
            <w:r w:rsidRPr="00E26EF6">
              <w:rPr>
                <w:rStyle w:val="InstructionsTabelleberschrift"/>
                <w:rFonts w:ascii="Times New Roman" w:hAnsi="Times New Roman"/>
                <w:sz w:val="24"/>
              </w:rPr>
              <w:t>żącego okresu lub nieuznanego zysku rocznego</w:t>
            </w:r>
          </w:p>
          <w:p w14:paraId="1A1FEE3A" w14:textId="2A143887"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26 ust. 2 CRR</w:t>
            </w:r>
          </w:p>
          <w:p w14:paraId="5602E543" w14:textId="152D0C71"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W wierszu tym nie zgłasza się żadnej wartości, jeżeli za okres odniesienia instytucja zgłosiła straty, ponieważ straty te odlicza się</w:t>
            </w:r>
            <w:r w:rsidR="00E26EF6" w:rsidRPr="00E26EF6">
              <w:rPr>
                <w:rStyle w:val="FormatvorlageInstructionsTabelleText"/>
                <w:rFonts w:ascii="Times New Roman" w:hAnsi="Times New Roman"/>
                <w:sz w:val="24"/>
              </w:rPr>
              <w:t xml:space="preserve"> w cał</w:t>
            </w:r>
            <w:r w:rsidRPr="00E26EF6">
              <w:rPr>
                <w:rStyle w:val="FormatvorlageInstructionsTabelleText"/>
                <w:rFonts w:ascii="Times New Roman" w:hAnsi="Times New Roman"/>
                <w:sz w:val="24"/>
              </w:rPr>
              <w:t>ości od kapitału podstawowego Tier I.</w:t>
            </w:r>
          </w:p>
          <w:p w14:paraId="48220C0A" w14:textId="737F64E8"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Jeśli instytucja zgłasza zyski, zgłaszana jest część, która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CRR jest nieuznana (tj. zyski niezweryfikowane przez biegłego rewidenta oraz możliwe do przewidzenia obciążenia lub dywidendy).</w:t>
            </w:r>
          </w:p>
          <w:p w14:paraId="5D34A729" w14:textId="6011150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Należy zauważyć, że</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zysków odliczaną kwotę stanowią co najmniej dywidendy wypłacone</w:t>
            </w:r>
            <w:r w:rsidR="00E26EF6" w:rsidRPr="00E26EF6">
              <w:rPr>
                <w:rStyle w:val="FormatvorlageInstructionsTabelleText"/>
                <w:rFonts w:ascii="Times New Roman" w:hAnsi="Times New Roman"/>
                <w:sz w:val="24"/>
              </w:rPr>
              <w:t xml:space="preserve"> w cią</w:t>
            </w:r>
            <w:r w:rsidRPr="00E26EF6">
              <w:rPr>
                <w:rStyle w:val="FormatvorlageInstructionsTabelleText"/>
                <w:rFonts w:ascii="Times New Roman" w:hAnsi="Times New Roman"/>
                <w:sz w:val="24"/>
              </w:rPr>
              <w:t>gu roku obrotowego.</w:t>
            </w:r>
          </w:p>
        </w:tc>
      </w:tr>
      <w:tr w:rsidR="00915077" w:rsidRPr="00E26EF6" w14:paraId="78CCB38F" w14:textId="77777777" w:rsidTr="00672D2A">
        <w:tc>
          <w:tcPr>
            <w:tcW w:w="1129" w:type="dxa"/>
          </w:tcPr>
          <w:p w14:paraId="69EF5CC2"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180</w:t>
            </w:r>
          </w:p>
        </w:tc>
        <w:tc>
          <w:tcPr>
            <w:tcW w:w="7620" w:type="dxa"/>
          </w:tcPr>
          <w:p w14:paraId="1EC6783D" w14:textId="77777777"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1.1.1.3</w:t>
            </w:r>
            <w:r w:rsidRPr="00E26EF6">
              <w:rPr>
                <w:rStyle w:val="InstructionsTabelleberschrift"/>
                <w:rFonts w:ascii="Times New Roman" w:hAnsi="Times New Roman"/>
                <w:sz w:val="24"/>
              </w:rPr>
              <w:tab/>
              <w:t>Skumulowane inne całkowite dochody</w:t>
            </w:r>
          </w:p>
          <w:p w14:paraId="3EFF7601" w14:textId="3959451F"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100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d) CRR</w:t>
            </w:r>
          </w:p>
          <w:p w14:paraId="695EE6E4" w14:textId="639D0962"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Kwota, którą należy zgłosić, jest kwotą po odliczeniu wszelkich obciążeń podatkowych dających się przewidzieć</w:t>
            </w:r>
            <w:r w:rsidR="00E26EF6" w:rsidRPr="00E26EF6">
              <w:rPr>
                <w:rStyle w:val="FormatvorlageInstructionsTabelleText"/>
                <w:rFonts w:ascii="Times New Roman" w:hAnsi="Times New Roman"/>
                <w:sz w:val="24"/>
              </w:rPr>
              <w:t xml:space="preserve"> w chw</w:t>
            </w:r>
            <w:r w:rsidRPr="00E26EF6">
              <w:rPr>
                <w:rStyle w:val="FormatvorlageInstructionsTabelleText"/>
                <w:rFonts w:ascii="Times New Roman" w:hAnsi="Times New Roman"/>
                <w:sz w:val="24"/>
              </w:rPr>
              <w:t>ili wyliczania tej kwoty,</w:t>
            </w:r>
            <w:r w:rsidR="00E26EF6" w:rsidRPr="00E26EF6">
              <w:rPr>
                <w:rStyle w:val="FormatvorlageInstructionsTabelleText"/>
                <w:rFonts w:ascii="Times New Roman" w:hAnsi="Times New Roman"/>
                <w:sz w:val="24"/>
              </w:rPr>
              <w:t xml:space="preserve"> a prz</w:t>
            </w:r>
            <w:r w:rsidRPr="00E26EF6">
              <w:rPr>
                <w:rStyle w:val="FormatvorlageInstructionsTabelleText"/>
                <w:rFonts w:ascii="Times New Roman" w:hAnsi="Times New Roman"/>
                <w:sz w:val="24"/>
              </w:rPr>
              <w:t>ed zastosowaniem filtrów ostrożnościowych.</w:t>
            </w:r>
            <w:r w:rsidR="00023409" w:rsidRPr="00E26EF6">
              <w:rPr>
                <w:rStyle w:val="FormatvorlageInstructionsTabelleText"/>
                <w:rFonts w:ascii="Times New Roman" w:hAnsi="Times New Roman"/>
                <w:sz w:val="24"/>
              </w:rPr>
              <w:t xml:space="preserve"> </w:t>
            </w:r>
            <w:r w:rsidRPr="00E26EF6">
              <w:rPr>
                <w:rStyle w:val="FormatvorlageInstructionsTabelleText"/>
                <w:rFonts w:ascii="Times New Roman" w:hAnsi="Times New Roman"/>
                <w:sz w:val="24"/>
              </w:rPr>
              <w:t xml:space="preserve">Kwotę, którą należy zgłosić, </w:t>
            </w:r>
            <w:r w:rsidRPr="00E26EF6">
              <w:rPr>
                <w:rStyle w:val="FormatvorlageInstructionsTabelleText"/>
                <w:rFonts w:ascii="Times New Roman" w:hAnsi="Times New Roman"/>
                <w:iCs/>
                <w:sz w:val="24"/>
              </w:rPr>
              <w:t>określa się zgodnie</w:t>
            </w:r>
            <w:r w:rsidR="00E26EF6" w:rsidRPr="00E26EF6">
              <w:rPr>
                <w:rStyle w:val="FormatvorlageInstructionsTabelleText"/>
                <w:rFonts w:ascii="Times New Roman" w:hAnsi="Times New Roman"/>
                <w:iCs/>
                <w:sz w:val="24"/>
              </w:rPr>
              <w:t xml:space="preserve"> z </w:t>
            </w:r>
            <w:r w:rsidR="00E26EF6" w:rsidRPr="00E26EF6">
              <w:rPr>
                <w:rStyle w:val="FormatvorlageInstructionsTabelleText"/>
                <w:rFonts w:ascii="Times New Roman" w:hAnsi="Times New Roman"/>
                <w:sz w:val="24"/>
              </w:rPr>
              <w:t>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13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rozporządzenia delegowanego Komisji (UE) nr</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241/2014</w:t>
            </w:r>
            <w:r w:rsidRPr="00E26EF6">
              <w:rPr>
                <w:rStyle w:val="FootnoteReference"/>
                <w:rFonts w:ascii="Times New Roman" w:hAnsi="Times New Roman"/>
                <w:bCs/>
                <w:sz w:val="24"/>
                <w:szCs w:val="24"/>
                <w:vertAlign w:val="superscript"/>
              </w:rPr>
              <w:footnoteReference w:id="6"/>
            </w:r>
            <w:r w:rsidRPr="00E26EF6">
              <w:rPr>
                <w:rStyle w:val="FormatvorlageInstructionsTabelleText"/>
                <w:rFonts w:ascii="Times New Roman" w:hAnsi="Times New Roman"/>
                <w:sz w:val="24"/>
              </w:rPr>
              <w:t xml:space="preserve">. </w:t>
            </w:r>
          </w:p>
        </w:tc>
      </w:tr>
      <w:tr w:rsidR="00915077" w:rsidRPr="00E26EF6" w14:paraId="3D05A61F" w14:textId="77777777" w:rsidTr="00672D2A">
        <w:tc>
          <w:tcPr>
            <w:tcW w:w="1129" w:type="dxa"/>
          </w:tcPr>
          <w:p w14:paraId="60116304"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200</w:t>
            </w:r>
          </w:p>
        </w:tc>
        <w:tc>
          <w:tcPr>
            <w:tcW w:w="7620" w:type="dxa"/>
          </w:tcPr>
          <w:p w14:paraId="16108A37" w14:textId="77777777"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1.1.1.4</w:t>
            </w:r>
            <w:r w:rsidRPr="00E26EF6">
              <w:rPr>
                <w:rStyle w:val="InstructionsTabelleberschrift"/>
                <w:rFonts w:ascii="Times New Roman" w:hAnsi="Times New Roman"/>
                <w:sz w:val="24"/>
              </w:rPr>
              <w:tab/>
              <w:t>Kapitał rezerwowy</w:t>
            </w:r>
          </w:p>
          <w:p w14:paraId="139319D4" w14:textId="071B91B6"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117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e) CRR</w:t>
            </w:r>
          </w:p>
          <w:p w14:paraId="0D529630" w14:textId="4D82E4EE"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Kapitał rezerwowy jest zdefiniowany w CRR jako „kapitały</w:t>
            </w:r>
            <w:r w:rsidR="00E26EF6" w:rsidRPr="00E26EF6">
              <w:rPr>
                <w:rStyle w:val="FormatvorlageInstructionsTabelleText"/>
                <w:rFonts w:ascii="Times New Roman" w:hAnsi="Times New Roman"/>
                <w:sz w:val="24"/>
              </w:rPr>
              <w:t xml:space="preserve"> w roz</w:t>
            </w:r>
            <w:r w:rsidRPr="00E26EF6">
              <w:rPr>
                <w:rStyle w:val="FormatvorlageInstructionsTabelleText"/>
                <w:rFonts w:ascii="Times New Roman" w:hAnsi="Times New Roman"/>
                <w:sz w:val="24"/>
              </w:rPr>
              <w:t>umieniu mających zastosowanie standardów rachunkowości, których ujawnienie jest wymagane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w:t>
            </w:r>
            <w:r w:rsidR="00E26EF6" w:rsidRPr="00E26EF6">
              <w:rPr>
                <w:rStyle w:val="FormatvorlageInstructionsTabelleText"/>
                <w:rFonts w:ascii="Times New Roman" w:hAnsi="Times New Roman"/>
                <w:sz w:val="24"/>
              </w:rPr>
              <w:t xml:space="preserve"> z wyj</w:t>
            </w:r>
            <w:r w:rsidRPr="00E26EF6">
              <w:rPr>
                <w:rStyle w:val="FormatvorlageInstructionsTabelleText"/>
                <w:rFonts w:ascii="Times New Roman" w:hAnsi="Times New Roman"/>
                <w:sz w:val="24"/>
              </w:rPr>
              <w:t>ątkiem wszelkich kwot już uwzględnionych</w:t>
            </w:r>
            <w:r w:rsidR="00E26EF6" w:rsidRPr="00E26EF6">
              <w:rPr>
                <w:rStyle w:val="FormatvorlageInstructionsTabelleText"/>
                <w:rFonts w:ascii="Times New Roman" w:hAnsi="Times New Roman"/>
                <w:sz w:val="24"/>
              </w:rPr>
              <w:t xml:space="preserve"> w ram</w:t>
            </w:r>
            <w:r w:rsidRPr="00E26EF6">
              <w:rPr>
                <w:rStyle w:val="FormatvorlageInstructionsTabelleText"/>
                <w:rFonts w:ascii="Times New Roman" w:hAnsi="Times New Roman"/>
                <w:sz w:val="24"/>
              </w:rPr>
              <w:t>ach skumulowanych innych całkowitych dochodów lub zysków zatrzymanych”.</w:t>
            </w:r>
          </w:p>
          <w:p w14:paraId="34585D72" w14:textId="09316ECC"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jest kwotą po odliczeniu wszelkich obciążeń podatkowych dających się przewidzieć</w:t>
            </w:r>
            <w:r w:rsidR="00E26EF6" w:rsidRPr="00E26EF6">
              <w:rPr>
                <w:rStyle w:val="FormatvorlageInstructionsTabelleText"/>
                <w:rFonts w:ascii="Times New Roman" w:hAnsi="Times New Roman"/>
                <w:sz w:val="24"/>
              </w:rPr>
              <w:t xml:space="preserve"> w chw</w:t>
            </w:r>
            <w:r w:rsidRPr="00E26EF6">
              <w:rPr>
                <w:rStyle w:val="FormatvorlageInstructionsTabelleText"/>
                <w:rFonts w:ascii="Times New Roman" w:hAnsi="Times New Roman"/>
                <w:sz w:val="24"/>
              </w:rPr>
              <w:t>ili wyliczania tej kwoty.</w:t>
            </w:r>
          </w:p>
        </w:tc>
      </w:tr>
      <w:tr w:rsidR="00915077" w:rsidRPr="00E26EF6" w14:paraId="4FCB04FF" w14:textId="77777777" w:rsidTr="00672D2A">
        <w:tc>
          <w:tcPr>
            <w:tcW w:w="1129" w:type="dxa"/>
          </w:tcPr>
          <w:p w14:paraId="1CC2C696"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210</w:t>
            </w:r>
          </w:p>
        </w:tc>
        <w:tc>
          <w:tcPr>
            <w:tcW w:w="7620" w:type="dxa"/>
          </w:tcPr>
          <w:p w14:paraId="77491B5E" w14:textId="77777777"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1.1.1.5</w:t>
            </w:r>
            <w:r w:rsidRPr="00E26EF6">
              <w:rPr>
                <w:rStyle w:val="InstructionsTabelleberschrift"/>
                <w:rFonts w:ascii="Times New Roman" w:hAnsi="Times New Roman"/>
                <w:sz w:val="24"/>
              </w:rPr>
              <w:tab/>
              <w:t>Fundusze ogólnego ryzyka bankowego</w:t>
            </w:r>
          </w:p>
          <w:p w14:paraId="4AABCBCD" w14:textId="7EAF1021"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112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f) CRR</w:t>
            </w:r>
          </w:p>
          <w:p w14:paraId="3BB64B9E" w14:textId="28DB4A03"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Fundusze ogólnego ryzyka bankowego zdefiniowane są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38 BAD jako „kwoty, które instytucja kredytowa decyduje się zarezerwować na pokrycie ryzyka,</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gdy jest to wymagane ze względu na szczególne rodzaje ryzyka związanego</w:t>
            </w:r>
            <w:r w:rsidR="00E26EF6" w:rsidRPr="00E26EF6">
              <w:rPr>
                <w:rStyle w:val="FormatvorlageInstructionsTabelleText"/>
                <w:rFonts w:ascii="Times New Roman" w:hAnsi="Times New Roman"/>
                <w:sz w:val="24"/>
              </w:rPr>
              <w:t xml:space="preserve"> z ban</w:t>
            </w:r>
            <w:r w:rsidRPr="00E26EF6">
              <w:rPr>
                <w:rStyle w:val="FormatvorlageInstructionsTabelleText"/>
                <w:rFonts w:ascii="Times New Roman" w:hAnsi="Times New Roman"/>
                <w:sz w:val="24"/>
              </w:rPr>
              <w:t>kowością”.</w:t>
            </w:r>
          </w:p>
          <w:p w14:paraId="5B7FC590" w14:textId="490FDA2B"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jest kwotą po odliczeniu wszelkich obciążeń podatkowych dających się przewidzieć</w:t>
            </w:r>
            <w:r w:rsidR="00E26EF6" w:rsidRPr="00E26EF6">
              <w:rPr>
                <w:rStyle w:val="FormatvorlageInstructionsTabelleText"/>
                <w:rFonts w:ascii="Times New Roman" w:hAnsi="Times New Roman"/>
                <w:sz w:val="24"/>
              </w:rPr>
              <w:t xml:space="preserve"> w chw</w:t>
            </w:r>
            <w:r w:rsidRPr="00E26EF6">
              <w:rPr>
                <w:rStyle w:val="FormatvorlageInstructionsTabelleText"/>
                <w:rFonts w:ascii="Times New Roman" w:hAnsi="Times New Roman"/>
                <w:sz w:val="24"/>
              </w:rPr>
              <w:t>ili wyliczania tej kwoty.</w:t>
            </w:r>
          </w:p>
        </w:tc>
      </w:tr>
      <w:tr w:rsidR="00915077" w:rsidRPr="00E26EF6" w14:paraId="325532D0" w14:textId="77777777" w:rsidTr="00672D2A">
        <w:tc>
          <w:tcPr>
            <w:tcW w:w="1129" w:type="dxa"/>
          </w:tcPr>
          <w:p w14:paraId="3A8B82C1"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220</w:t>
            </w:r>
          </w:p>
        </w:tc>
        <w:tc>
          <w:tcPr>
            <w:tcW w:w="7620" w:type="dxa"/>
          </w:tcPr>
          <w:p w14:paraId="1523F0F8" w14:textId="59EE17FE"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1.1.1.6</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instrumentów</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podlegających zasadzie praw nabytych</w:t>
            </w:r>
          </w:p>
          <w:p w14:paraId="1EE01F2E" w14:textId="2F74F9ED" w:rsidR="00915077" w:rsidRPr="00E26EF6" w:rsidRDefault="002C66A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483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1, 2</w:t>
            </w:r>
            <w:r w:rsidR="00E26EF6" w:rsidRPr="00E26EF6">
              <w:rPr>
                <w:rStyle w:val="FormatvorlageInstructionsTabelleText"/>
                <w:rFonts w:ascii="Times New Roman" w:hAnsi="Times New Roman"/>
                <w:sz w:val="24"/>
              </w:rPr>
              <w:t xml:space="preserve"> i 3</w:t>
            </w:r>
            <w:r w:rsidRPr="00E26EF6">
              <w:rPr>
                <w:rStyle w:val="FormatvorlageInstructionsTabelleText"/>
                <w:rFonts w:ascii="Times New Roman" w:hAnsi="Times New Roman"/>
                <w:sz w:val="24"/>
              </w:rPr>
              <w:t xml:space="preserve">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484–487 CRR</w:t>
            </w:r>
          </w:p>
          <w:p w14:paraId="1718ED52" w14:textId="67F46DBC"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instrumentów kapitałowych podlegających</w:t>
            </w:r>
            <w:r w:rsidR="00E26EF6" w:rsidRPr="00E26EF6">
              <w:rPr>
                <w:rStyle w:val="FormatvorlageInstructionsTabelleText"/>
                <w:rFonts w:ascii="Times New Roman" w:hAnsi="Times New Roman"/>
                <w:sz w:val="24"/>
              </w:rPr>
              <w:t xml:space="preserve"> w okr</w:t>
            </w:r>
            <w:r w:rsidRPr="00E26EF6">
              <w:rPr>
                <w:rStyle w:val="FormatvorlageInstructionsTabelleText"/>
                <w:rFonts w:ascii="Times New Roman" w:hAnsi="Times New Roman"/>
                <w:sz w:val="24"/>
              </w:rPr>
              <w:t>esie przejściowym zasadzie praw nabytych jako kapitał podstawowy Tier I. Kwota, którą należy zgłosić, jest uzyskiwana bezpośrednio z CA5.</w:t>
            </w:r>
          </w:p>
        </w:tc>
      </w:tr>
      <w:tr w:rsidR="00915077" w:rsidRPr="00E26EF6" w14:paraId="18E51550" w14:textId="77777777" w:rsidTr="00672D2A">
        <w:tc>
          <w:tcPr>
            <w:tcW w:w="1129" w:type="dxa"/>
          </w:tcPr>
          <w:p w14:paraId="098B2F1B"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230</w:t>
            </w:r>
          </w:p>
        </w:tc>
        <w:tc>
          <w:tcPr>
            <w:tcW w:w="7620" w:type="dxa"/>
          </w:tcPr>
          <w:p w14:paraId="3B9AD49C" w14:textId="220706B0" w:rsidR="00915077" w:rsidRPr="00E26EF6" w:rsidRDefault="00666996">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1.1.1.7</w:t>
            </w:r>
            <w:r w:rsidRPr="00E26EF6">
              <w:rPr>
                <w:rStyle w:val="InstructionsTabelleberschrift"/>
                <w:rFonts w:ascii="Times New Roman" w:hAnsi="Times New Roman"/>
                <w:sz w:val="24"/>
              </w:rPr>
              <w:tab/>
              <w:t>Udział mniejszości uznany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3DDB282F" w14:textId="0F48D94C"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120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84 CRR</w:t>
            </w:r>
          </w:p>
          <w:p w14:paraId="1BA15FCE" w14:textId="2712A07A"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Suma wszystkich kwot udziałów mniejszości jednostek zależnych uwzględniona</w:t>
            </w:r>
            <w:r w:rsidR="00E26EF6" w:rsidRPr="00E26EF6">
              <w:rPr>
                <w:rStyle w:val="FormatvorlageInstructionsTabelleText"/>
                <w:rFonts w:ascii="Times New Roman" w:hAnsi="Times New Roman"/>
                <w:sz w:val="24"/>
              </w:rPr>
              <w:t xml:space="preserve"> w sko</w:t>
            </w:r>
            <w:r w:rsidRPr="00E26EF6">
              <w:rPr>
                <w:rStyle w:val="FormatvorlageInstructionsTabelleText"/>
                <w:rFonts w:ascii="Times New Roman" w:hAnsi="Times New Roman"/>
                <w:sz w:val="24"/>
              </w:rPr>
              <w:t>nsolidowanym kapitale podstawowym Tier I.</w:t>
            </w:r>
          </w:p>
        </w:tc>
      </w:tr>
      <w:tr w:rsidR="00915077" w:rsidRPr="00E26EF6" w14:paraId="71777011" w14:textId="77777777" w:rsidTr="00672D2A">
        <w:tc>
          <w:tcPr>
            <w:tcW w:w="1129" w:type="dxa"/>
          </w:tcPr>
          <w:p w14:paraId="276F6FBC"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240</w:t>
            </w:r>
          </w:p>
        </w:tc>
        <w:tc>
          <w:tcPr>
            <w:tcW w:w="7620" w:type="dxa"/>
          </w:tcPr>
          <w:p w14:paraId="791E58AF" w14:textId="1A04B3CA"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1.1.1.8</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dodatkowych udziałów mniejszości</w:t>
            </w:r>
          </w:p>
          <w:p w14:paraId="1C3D262A" w14:textId="5E53B52C"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479</w:t>
            </w:r>
            <w:r w:rsidR="00E26EF6" w:rsidRPr="00E26EF6">
              <w:rPr>
                <w:rStyle w:val="FormatvorlageInstructionsTabelleText"/>
                <w:rFonts w:ascii="Times New Roman" w:hAnsi="Times New Roman"/>
                <w:sz w:val="24"/>
              </w:rPr>
              <w:t xml:space="preserve"> i 4</w:t>
            </w:r>
            <w:r w:rsidRPr="00E26EF6">
              <w:rPr>
                <w:rStyle w:val="FormatvorlageInstructionsTabelleText"/>
                <w:rFonts w:ascii="Times New Roman" w:hAnsi="Times New Roman"/>
                <w:sz w:val="24"/>
              </w:rPr>
              <w:t>80 CRR</w:t>
            </w:r>
          </w:p>
          <w:p w14:paraId="70EDE502" w14:textId="0A1420B1"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Korekty udziałów mniejszości wynikające</w:t>
            </w:r>
            <w:r w:rsidR="00E26EF6" w:rsidRPr="00E26EF6">
              <w:rPr>
                <w:rStyle w:val="FormatvorlageInstructionsTabelleText"/>
                <w:rFonts w:ascii="Times New Roman" w:hAnsi="Times New Roman"/>
                <w:sz w:val="24"/>
              </w:rPr>
              <w:t xml:space="preserve"> z prz</w:t>
            </w:r>
            <w:r w:rsidRPr="00E26EF6">
              <w:rPr>
                <w:rStyle w:val="FormatvorlageInstructionsTabelleText"/>
                <w:rFonts w:ascii="Times New Roman" w:hAnsi="Times New Roman"/>
                <w:sz w:val="24"/>
              </w:rPr>
              <w:t>episów przejściowych. Pozycja ta jest uzyskiwana bezpośrednio z CA5.</w:t>
            </w:r>
          </w:p>
        </w:tc>
      </w:tr>
      <w:tr w:rsidR="00915077" w:rsidRPr="00E26EF6" w14:paraId="05F0470A" w14:textId="77777777" w:rsidTr="00672D2A">
        <w:tc>
          <w:tcPr>
            <w:tcW w:w="1129" w:type="dxa"/>
          </w:tcPr>
          <w:p w14:paraId="0E131D36"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250</w:t>
            </w:r>
          </w:p>
        </w:tc>
        <w:tc>
          <w:tcPr>
            <w:tcW w:w="7620" w:type="dxa"/>
          </w:tcPr>
          <w:p w14:paraId="0E545CCA" w14:textId="5D4C14D9"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1.1.1.9</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filtrów ostrożnościowych</w:t>
            </w:r>
          </w:p>
          <w:p w14:paraId="55785F63" w14:textId="479072D8"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 xml:space="preserve">Art. 32–35 CRR </w:t>
            </w:r>
          </w:p>
        </w:tc>
      </w:tr>
      <w:tr w:rsidR="00915077" w:rsidRPr="00E26EF6" w14:paraId="49C45845" w14:textId="77777777" w:rsidTr="00672D2A">
        <w:tc>
          <w:tcPr>
            <w:tcW w:w="1129" w:type="dxa"/>
          </w:tcPr>
          <w:p w14:paraId="6DE1F796"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260</w:t>
            </w:r>
          </w:p>
        </w:tc>
        <w:tc>
          <w:tcPr>
            <w:tcW w:w="7620" w:type="dxa"/>
          </w:tcPr>
          <w:p w14:paraId="10E43519" w14:textId="1C0BDA3A"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1.1.1.9.1</w:t>
            </w:r>
            <w:r w:rsidRPr="00E26EF6">
              <w:rPr>
                <w:rStyle w:val="InstructionsTabelleberschrift"/>
                <w:rFonts w:ascii="Times New Roman" w:hAnsi="Times New Roman"/>
                <w:sz w:val="24"/>
              </w:rPr>
              <w:tab/>
              <w:t>(-) Zwiększenia kapitału własnego</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aktywów sekurytyzowanych</w:t>
            </w:r>
          </w:p>
          <w:p w14:paraId="1DD5C073" w14:textId="0B92B348"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32 ust. 1 CRR</w:t>
            </w:r>
          </w:p>
          <w:p w14:paraId="2C44B061" w14:textId="429E2A7F"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Kwota, którą należy zgłosić, stanowi zwiększenie kapitału własnego instytucji</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aktywów sekurytyzowanych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w:t>
            </w:r>
          </w:p>
          <w:p w14:paraId="622F4058" w14:textId="2B346EE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Pozycja ta obejmuje na przykład przyszłe przychody</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marż będące źródłem zysku ze sprzedaży dla instytucji lub,</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jednostek inicjujących, zyski netto</w:t>
            </w:r>
            <w:r w:rsidR="00E26EF6" w:rsidRPr="00E26EF6">
              <w:rPr>
                <w:rStyle w:val="FormatvorlageInstructionsTabelleText"/>
                <w:rFonts w:ascii="Times New Roman" w:hAnsi="Times New Roman"/>
                <w:sz w:val="24"/>
              </w:rPr>
              <w:t xml:space="preserve"> z kap</w:t>
            </w:r>
            <w:r w:rsidRPr="00E26EF6">
              <w:rPr>
                <w:rStyle w:val="FormatvorlageInstructionsTabelleText"/>
                <w:rFonts w:ascii="Times New Roman" w:hAnsi="Times New Roman"/>
                <w:sz w:val="24"/>
              </w:rPr>
              <w:t xml:space="preserve">italizacji </w:t>
            </w:r>
            <w:r w:rsidRPr="00E26EF6">
              <w:rPr>
                <w:rStyle w:val="FormatvorlageInstructionsTabelleText"/>
                <w:rFonts w:ascii="Times New Roman" w:hAnsi="Times New Roman"/>
                <w:sz w:val="24"/>
              </w:rPr>
              <w:lastRenderedPageBreak/>
              <w:t>przyszłych przychodów</w:t>
            </w:r>
            <w:r w:rsidR="00E26EF6" w:rsidRPr="00E26EF6">
              <w:rPr>
                <w:rStyle w:val="FormatvorlageInstructionsTabelleText"/>
                <w:rFonts w:ascii="Times New Roman" w:hAnsi="Times New Roman"/>
                <w:sz w:val="24"/>
              </w:rPr>
              <w:t xml:space="preserve"> z akt</w:t>
            </w:r>
            <w:r w:rsidRPr="00E26EF6">
              <w:rPr>
                <w:rStyle w:val="FormatvorlageInstructionsTabelleText"/>
                <w:rFonts w:ascii="Times New Roman" w:hAnsi="Times New Roman"/>
                <w:sz w:val="24"/>
              </w:rPr>
              <w:t>ywów sekurytyzowanych stanowiące wsparcie jakości kredytowej dla pozycji sekurytyzacyjnych.</w:t>
            </w:r>
          </w:p>
        </w:tc>
      </w:tr>
      <w:tr w:rsidR="00915077" w:rsidRPr="00E26EF6" w14:paraId="616CB529" w14:textId="77777777" w:rsidTr="00672D2A">
        <w:tc>
          <w:tcPr>
            <w:tcW w:w="1129" w:type="dxa"/>
          </w:tcPr>
          <w:p w14:paraId="0C7B22EA"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270</w:t>
            </w:r>
          </w:p>
        </w:tc>
        <w:tc>
          <w:tcPr>
            <w:tcW w:w="7620" w:type="dxa"/>
          </w:tcPr>
          <w:p w14:paraId="6AF7284C" w14:textId="68DA4CBE"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1.1.1.9.2</w:t>
            </w:r>
            <w:r w:rsidRPr="00E26EF6">
              <w:rPr>
                <w:rStyle w:val="InstructionsTabelleberschrift"/>
                <w:rFonts w:ascii="Times New Roman" w:hAnsi="Times New Roman"/>
                <w:sz w:val="24"/>
              </w:rPr>
              <w:tab/>
              <w:t>Rezerwa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instrumentów zabezpieczających przepływy pieniężne</w:t>
            </w:r>
          </w:p>
          <w:p w14:paraId="26D1DBC7" w14:textId="0E0B4DBF"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33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5BE937FC" w14:textId="330F28E3"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Kwota, którą należy zgłosić, może mieć wartość dodatnią lub ujemną. Jest ona dodatnia, jeśli instrumenty zabezpieczające przepływy pieniężne przynoszą straty (tj. jeżeli zmniejszają kapitał księgowy),</w:t>
            </w:r>
            <w:r w:rsidR="00E26EF6" w:rsidRPr="00E26EF6">
              <w:rPr>
                <w:rStyle w:val="FormatvorlageInstructionsTabelleText"/>
                <w:rFonts w:ascii="Times New Roman" w:hAnsi="Times New Roman"/>
                <w:sz w:val="24"/>
              </w:rPr>
              <w:t xml:space="preserve"> i odw</w:t>
            </w:r>
            <w:r w:rsidRPr="00E26EF6">
              <w:rPr>
                <w:rStyle w:val="FormatvorlageInstructionsTabelleText"/>
                <w:rFonts w:ascii="Times New Roman" w:hAnsi="Times New Roman"/>
                <w:sz w:val="24"/>
              </w:rPr>
              <w:t>rotnie. Znak może być zatem przeciwny do tego zastosowanego</w:t>
            </w:r>
            <w:r w:rsidR="00E26EF6" w:rsidRPr="00E26EF6">
              <w:rPr>
                <w:rStyle w:val="FormatvorlageInstructionsTabelleText"/>
                <w:rFonts w:ascii="Times New Roman" w:hAnsi="Times New Roman"/>
                <w:sz w:val="24"/>
              </w:rPr>
              <w:t xml:space="preserve"> w spr</w:t>
            </w:r>
            <w:r w:rsidRPr="00E26EF6">
              <w:rPr>
                <w:rStyle w:val="FormatvorlageInstructionsTabelleText"/>
                <w:rFonts w:ascii="Times New Roman" w:hAnsi="Times New Roman"/>
                <w:sz w:val="24"/>
              </w:rPr>
              <w:t>awozdaniach finansowych.</w:t>
            </w:r>
          </w:p>
          <w:p w14:paraId="1D159E75" w14:textId="384E76A6"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ta jest kwotą po odliczeniu wszelkich obciążeń podatkowych dających się przewidzieć</w:t>
            </w:r>
            <w:r w:rsidR="00E26EF6" w:rsidRPr="00E26EF6">
              <w:rPr>
                <w:rStyle w:val="FormatvorlageInstructionsTabelleText"/>
                <w:rFonts w:ascii="Times New Roman" w:hAnsi="Times New Roman"/>
                <w:sz w:val="24"/>
              </w:rPr>
              <w:t xml:space="preserve"> w chw</w:t>
            </w:r>
            <w:r w:rsidRPr="00E26EF6">
              <w:rPr>
                <w:rStyle w:val="FormatvorlageInstructionsTabelleText"/>
                <w:rFonts w:ascii="Times New Roman" w:hAnsi="Times New Roman"/>
                <w:sz w:val="24"/>
              </w:rPr>
              <w:t>ili wyliczania tej kwoty.</w:t>
            </w:r>
          </w:p>
        </w:tc>
      </w:tr>
      <w:tr w:rsidR="00915077" w:rsidRPr="00E26EF6" w14:paraId="3331F14D" w14:textId="77777777" w:rsidTr="00672D2A">
        <w:tc>
          <w:tcPr>
            <w:tcW w:w="1129" w:type="dxa"/>
          </w:tcPr>
          <w:p w14:paraId="226ECAC0"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280</w:t>
            </w:r>
          </w:p>
        </w:tc>
        <w:tc>
          <w:tcPr>
            <w:tcW w:w="7620" w:type="dxa"/>
          </w:tcPr>
          <w:p w14:paraId="0F64EDF6" w14:textId="07D056C0"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1.1.1.9.3</w:t>
            </w:r>
            <w:r w:rsidRPr="00E26EF6">
              <w:rPr>
                <w:rStyle w:val="InstructionsTabelleberschrift"/>
                <w:rFonts w:ascii="Times New Roman" w:hAnsi="Times New Roman"/>
                <w:sz w:val="24"/>
              </w:rPr>
              <w:tab/>
              <w:t>Skumulowane zyski</w:t>
            </w:r>
            <w:r w:rsidR="00E26EF6" w:rsidRPr="00E26EF6">
              <w:rPr>
                <w:rStyle w:val="InstructionsTabelleberschrift"/>
                <w:rFonts w:ascii="Times New Roman" w:hAnsi="Times New Roman"/>
                <w:sz w:val="24"/>
              </w:rPr>
              <w:t xml:space="preserve"> i str</w:t>
            </w:r>
            <w:r w:rsidRPr="00E26EF6">
              <w:rPr>
                <w:rStyle w:val="InstructionsTabelleberschrift"/>
                <w:rFonts w:ascii="Times New Roman" w:hAnsi="Times New Roman"/>
                <w:sz w:val="24"/>
              </w:rPr>
              <w:t>aty spowodowane zmianami własnego ryzyka kredytowego</w:t>
            </w:r>
            <w:r w:rsidR="00E26EF6" w:rsidRPr="00E26EF6">
              <w:rPr>
                <w:rStyle w:val="InstructionsTabelleberschrift"/>
                <w:rFonts w:ascii="Times New Roman" w:hAnsi="Times New Roman"/>
                <w:sz w:val="24"/>
              </w:rPr>
              <w:t xml:space="preserve"> w zak</w:t>
            </w:r>
            <w:r w:rsidRPr="00E26EF6">
              <w:rPr>
                <w:rStyle w:val="InstructionsTabelleberschrift"/>
                <w:rFonts w:ascii="Times New Roman" w:hAnsi="Times New Roman"/>
                <w:sz w:val="24"/>
              </w:rPr>
              <w:t>resie zobowiązań wycenionych według wartości godziwej</w:t>
            </w:r>
          </w:p>
          <w:p w14:paraId="2E09B169" w14:textId="2155F8FC"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33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p w14:paraId="44E7E814" w14:textId="11667970"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Kwota, którą należy zgłosić, może mieć wartość dodatnią lub ujemną. Jest ona dodatnia, jeśli zmiany własnego ryzyka kredytowego przynoszą straty (tj. jeżeli zmniejszają kapitał księgowy),</w:t>
            </w:r>
            <w:r w:rsidR="00E26EF6" w:rsidRPr="00E26EF6">
              <w:rPr>
                <w:rStyle w:val="FormatvorlageInstructionsTabelleText"/>
                <w:rFonts w:ascii="Times New Roman" w:hAnsi="Times New Roman"/>
                <w:sz w:val="24"/>
              </w:rPr>
              <w:t xml:space="preserve"> i odw</w:t>
            </w:r>
            <w:r w:rsidRPr="00E26EF6">
              <w:rPr>
                <w:rStyle w:val="FormatvorlageInstructionsTabelleText"/>
                <w:rFonts w:ascii="Times New Roman" w:hAnsi="Times New Roman"/>
                <w:sz w:val="24"/>
              </w:rPr>
              <w:t>rotnie. Znak może być zatem przeciwny do tego zastosowanego</w:t>
            </w:r>
            <w:r w:rsidR="00E26EF6" w:rsidRPr="00E26EF6">
              <w:rPr>
                <w:rStyle w:val="FormatvorlageInstructionsTabelleText"/>
                <w:rFonts w:ascii="Times New Roman" w:hAnsi="Times New Roman"/>
                <w:sz w:val="24"/>
              </w:rPr>
              <w:t xml:space="preserve"> w spr</w:t>
            </w:r>
            <w:r w:rsidRPr="00E26EF6">
              <w:rPr>
                <w:rStyle w:val="FormatvorlageInstructionsTabelleText"/>
                <w:rFonts w:ascii="Times New Roman" w:hAnsi="Times New Roman"/>
                <w:sz w:val="24"/>
              </w:rPr>
              <w:t>awozdaniach finansowych.</w:t>
            </w:r>
          </w:p>
          <w:p w14:paraId="0FBF266E"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 pozycji tej nie uwzględnia się zysku niezweryfikowanego przez biegłego rewidenta.</w:t>
            </w:r>
          </w:p>
        </w:tc>
      </w:tr>
      <w:tr w:rsidR="00915077" w:rsidRPr="00E26EF6" w14:paraId="2E3DE2D0" w14:textId="77777777" w:rsidTr="00672D2A">
        <w:tc>
          <w:tcPr>
            <w:tcW w:w="1129" w:type="dxa"/>
          </w:tcPr>
          <w:p w14:paraId="1E02D850"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285</w:t>
            </w:r>
          </w:p>
        </w:tc>
        <w:tc>
          <w:tcPr>
            <w:tcW w:w="7620" w:type="dxa"/>
          </w:tcPr>
          <w:p w14:paraId="6E313785" w14:textId="175534AA" w:rsidR="00915077" w:rsidRPr="00E26EF6" w:rsidRDefault="00855D5F">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1.1.1.9.4</w:t>
            </w:r>
            <w:r w:rsidRPr="00E26EF6">
              <w:rPr>
                <w:rStyle w:val="InstructionsTabelleberschrift"/>
                <w:rFonts w:ascii="Times New Roman" w:hAnsi="Times New Roman"/>
                <w:sz w:val="24"/>
              </w:rPr>
              <w:tab/>
              <w:t>Zyski</w:t>
            </w:r>
            <w:r w:rsidR="00E26EF6" w:rsidRPr="00E26EF6">
              <w:rPr>
                <w:rStyle w:val="InstructionsTabelleberschrift"/>
                <w:rFonts w:ascii="Times New Roman" w:hAnsi="Times New Roman"/>
                <w:sz w:val="24"/>
              </w:rPr>
              <w:t xml:space="preserve"> i str</w:t>
            </w:r>
            <w:r w:rsidRPr="00E26EF6">
              <w:rPr>
                <w:rStyle w:val="InstructionsTabelleberschrift"/>
                <w:rFonts w:ascii="Times New Roman" w:hAnsi="Times New Roman"/>
                <w:sz w:val="24"/>
              </w:rPr>
              <w:t>aty związane</w:t>
            </w:r>
            <w:r w:rsidR="00E26EF6" w:rsidRPr="00E26EF6">
              <w:rPr>
                <w:rStyle w:val="InstructionsTabelleberschrift"/>
                <w:rFonts w:ascii="Times New Roman" w:hAnsi="Times New Roman"/>
                <w:sz w:val="24"/>
              </w:rPr>
              <w:t xml:space="preserve"> z wyc</w:t>
            </w:r>
            <w:r w:rsidRPr="00E26EF6">
              <w:rPr>
                <w:rStyle w:val="InstructionsTabelleberschrift"/>
                <w:rFonts w:ascii="Times New Roman" w:hAnsi="Times New Roman"/>
                <w:sz w:val="24"/>
              </w:rPr>
              <w:t>eną według wartości godziwej, wynikające</w:t>
            </w:r>
            <w:r w:rsidR="00E26EF6" w:rsidRPr="00E26EF6">
              <w:rPr>
                <w:rStyle w:val="InstructionsTabelleberschrift"/>
                <w:rFonts w:ascii="Times New Roman" w:hAnsi="Times New Roman"/>
                <w:sz w:val="24"/>
              </w:rPr>
              <w:t xml:space="preserve"> z wła</w:t>
            </w:r>
            <w:r w:rsidRPr="00E26EF6">
              <w:rPr>
                <w:rStyle w:val="InstructionsTabelleberschrift"/>
                <w:rFonts w:ascii="Times New Roman" w:hAnsi="Times New Roman"/>
                <w:sz w:val="24"/>
              </w:rPr>
              <w:t>snego ryzyka kredytowego instytucji związanego</w:t>
            </w:r>
            <w:r w:rsidR="00E26EF6" w:rsidRPr="00E26EF6">
              <w:rPr>
                <w:rStyle w:val="InstructionsTabelleberschrift"/>
                <w:rFonts w:ascii="Times New Roman" w:hAnsi="Times New Roman"/>
                <w:sz w:val="24"/>
              </w:rPr>
              <w:t xml:space="preserve"> z zob</w:t>
            </w:r>
            <w:r w:rsidRPr="00E26EF6">
              <w:rPr>
                <w:rStyle w:val="InstructionsTabelleberschrift"/>
                <w:rFonts w:ascii="Times New Roman" w:hAnsi="Times New Roman"/>
                <w:sz w:val="24"/>
              </w:rPr>
              <w:t>owiązaniami będącymi instrumentami pochodnymi</w:t>
            </w:r>
          </w:p>
          <w:p w14:paraId="712BEDF0" w14:textId="4818EE3D"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33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33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CRR</w:t>
            </w:r>
          </w:p>
          <w:p w14:paraId="3D53FD82" w14:textId="168B95D7"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Kwota, którą należy zgłosić, może mieć wartość dodatnią lub ujemną. Jest ona dodatnia, jeśli zmiany własnego ryzyka kredytowego przynoszą straty,</w:t>
            </w:r>
            <w:r w:rsidR="00E26EF6" w:rsidRPr="00E26EF6">
              <w:rPr>
                <w:rStyle w:val="FormatvorlageInstructionsTabelleText"/>
                <w:rFonts w:ascii="Times New Roman" w:hAnsi="Times New Roman"/>
                <w:sz w:val="24"/>
              </w:rPr>
              <w:t xml:space="preserve"> i odw</w:t>
            </w:r>
            <w:r w:rsidRPr="00E26EF6">
              <w:rPr>
                <w:rStyle w:val="FormatvorlageInstructionsTabelleText"/>
                <w:rFonts w:ascii="Times New Roman" w:hAnsi="Times New Roman"/>
                <w:sz w:val="24"/>
              </w:rPr>
              <w:t>rotnie. Znak może być zatem przeciwny do tego zastosowanego</w:t>
            </w:r>
            <w:r w:rsidR="00E26EF6" w:rsidRPr="00E26EF6">
              <w:rPr>
                <w:rStyle w:val="FormatvorlageInstructionsTabelleText"/>
                <w:rFonts w:ascii="Times New Roman" w:hAnsi="Times New Roman"/>
                <w:sz w:val="24"/>
              </w:rPr>
              <w:t xml:space="preserve"> w spr</w:t>
            </w:r>
            <w:r w:rsidRPr="00E26EF6">
              <w:rPr>
                <w:rStyle w:val="FormatvorlageInstructionsTabelleText"/>
                <w:rFonts w:ascii="Times New Roman" w:hAnsi="Times New Roman"/>
                <w:sz w:val="24"/>
              </w:rPr>
              <w:t>awozdaniach finansowych.</w:t>
            </w:r>
          </w:p>
          <w:p w14:paraId="5A313EAA" w14:textId="77777777" w:rsidR="00915077" w:rsidRPr="00E26EF6" w:rsidRDefault="00666996">
            <w:pPr>
              <w:pStyle w:val="InstructionsText"/>
              <w:rPr>
                <w:rStyle w:val="InstructionsTabelleberschrift"/>
                <w:rFonts w:ascii="Times New Roman" w:hAnsi="Times New Roman"/>
                <w:b w:val="0"/>
                <w:sz w:val="24"/>
                <w:highlight w:val="lightGray"/>
                <w:u w:val="none"/>
              </w:rPr>
            </w:pPr>
            <w:r w:rsidRPr="00E26EF6">
              <w:rPr>
                <w:rStyle w:val="FormatvorlageInstructionsTabelleText"/>
                <w:rFonts w:ascii="Times New Roman" w:hAnsi="Times New Roman"/>
                <w:sz w:val="24"/>
              </w:rPr>
              <w:t>W pozycji tej nie uwzględnia się zysku niezweryfikowanego przez biegłego rewidenta.</w:t>
            </w:r>
          </w:p>
        </w:tc>
      </w:tr>
      <w:tr w:rsidR="00915077" w:rsidRPr="00E26EF6" w14:paraId="208AE925" w14:textId="77777777" w:rsidTr="00672D2A">
        <w:tc>
          <w:tcPr>
            <w:tcW w:w="1129" w:type="dxa"/>
          </w:tcPr>
          <w:p w14:paraId="17332459"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290</w:t>
            </w:r>
          </w:p>
        </w:tc>
        <w:tc>
          <w:tcPr>
            <w:tcW w:w="7620" w:type="dxa"/>
          </w:tcPr>
          <w:p w14:paraId="20063B8E" w14:textId="7AD30169" w:rsidR="00915077" w:rsidRPr="00E26EF6" w:rsidRDefault="00855D5F">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1.1.1.9.5</w:t>
            </w:r>
            <w:r w:rsidRPr="00E26EF6">
              <w:rPr>
                <w:rStyle w:val="InstructionsTabelleberschrift"/>
                <w:rFonts w:ascii="Times New Roman" w:hAnsi="Times New Roman"/>
                <w:sz w:val="24"/>
              </w:rPr>
              <w:tab/>
              <w:t>(-) Korekty wartości</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wymogów</w:t>
            </w:r>
            <w:r w:rsidR="00E26EF6" w:rsidRPr="00E26EF6">
              <w:rPr>
                <w:rStyle w:val="InstructionsTabelleberschrift"/>
                <w:rFonts w:ascii="Times New Roman" w:hAnsi="Times New Roman"/>
                <w:sz w:val="24"/>
              </w:rPr>
              <w:t xml:space="preserve"> w zak</w:t>
            </w:r>
            <w:r w:rsidRPr="00E26EF6">
              <w:rPr>
                <w:rStyle w:val="InstructionsTabelleberschrift"/>
                <w:rFonts w:ascii="Times New Roman" w:hAnsi="Times New Roman"/>
                <w:sz w:val="24"/>
              </w:rPr>
              <w:t>resie ostrożnej wyceny</w:t>
            </w:r>
          </w:p>
          <w:p w14:paraId="2A278C88" w14:textId="1E8F9054"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34</w:t>
            </w:r>
            <w:r w:rsidR="00E26EF6" w:rsidRPr="00E26EF6">
              <w:rPr>
                <w:rStyle w:val="FormatvorlageInstructionsTabelleText"/>
                <w:rFonts w:ascii="Times New Roman" w:hAnsi="Times New Roman"/>
                <w:sz w:val="24"/>
              </w:rPr>
              <w:t xml:space="preserve"> i 1</w:t>
            </w:r>
            <w:r w:rsidRPr="00E26EF6">
              <w:rPr>
                <w:rStyle w:val="FormatvorlageInstructionsTabelleText"/>
                <w:rFonts w:ascii="Times New Roman" w:hAnsi="Times New Roman"/>
                <w:sz w:val="24"/>
              </w:rPr>
              <w:t>05 CRR</w:t>
            </w:r>
          </w:p>
          <w:p w14:paraId="4A46FDFE" w14:textId="45AB7A03"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Korekty wartości godziwej ekspozycji uwzględnionych</w:t>
            </w:r>
            <w:r w:rsidR="00E26EF6" w:rsidRPr="00E26EF6">
              <w:rPr>
                <w:rStyle w:val="FormatvorlageInstructionsTabelleText"/>
                <w:rFonts w:ascii="Times New Roman" w:hAnsi="Times New Roman"/>
                <w:sz w:val="24"/>
              </w:rPr>
              <w:t xml:space="preserve"> w por</w:t>
            </w:r>
            <w:r w:rsidRPr="00E26EF6">
              <w:rPr>
                <w:rStyle w:val="FormatvorlageInstructionsTabelleText"/>
                <w:rFonts w:ascii="Times New Roman" w:hAnsi="Times New Roman"/>
                <w:sz w:val="24"/>
              </w:rPr>
              <w:t>tfelu handlowym lub portfelu bankowym</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bardziej rygorystycznych norm</w:t>
            </w:r>
            <w:r w:rsidR="00E26EF6" w:rsidRPr="00E26EF6">
              <w:rPr>
                <w:rStyle w:val="FormatvorlageInstructionsTabelleText"/>
                <w:rFonts w:ascii="Times New Roman" w:hAnsi="Times New Roman"/>
                <w:sz w:val="24"/>
              </w:rPr>
              <w:t xml:space="preserve"> w zak</w:t>
            </w:r>
            <w:r w:rsidRPr="00E26EF6">
              <w:rPr>
                <w:rStyle w:val="FormatvorlageInstructionsTabelleText"/>
                <w:rFonts w:ascii="Times New Roman" w:hAnsi="Times New Roman"/>
                <w:sz w:val="24"/>
              </w:rPr>
              <w:t>resie ostrożnej wyceny określonych</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105 CRR.</w:t>
            </w:r>
          </w:p>
        </w:tc>
      </w:tr>
      <w:tr w:rsidR="00915077" w:rsidRPr="00E26EF6" w14:paraId="5372AADC" w14:textId="77777777" w:rsidTr="00672D2A">
        <w:tc>
          <w:tcPr>
            <w:tcW w:w="1129" w:type="dxa"/>
          </w:tcPr>
          <w:p w14:paraId="0C1EEB30"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300</w:t>
            </w:r>
          </w:p>
        </w:tc>
        <w:tc>
          <w:tcPr>
            <w:tcW w:w="7620" w:type="dxa"/>
          </w:tcPr>
          <w:p w14:paraId="19315380" w14:textId="77777777" w:rsidR="00915077" w:rsidRPr="00E26EF6" w:rsidRDefault="00855D5F">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1.1.1.10</w:t>
            </w:r>
            <w:r w:rsidRPr="00E26EF6">
              <w:rPr>
                <w:rStyle w:val="InstructionsTabelleberschrift"/>
                <w:rFonts w:ascii="Times New Roman" w:hAnsi="Times New Roman"/>
                <w:sz w:val="24"/>
              </w:rPr>
              <w:tab/>
              <w:t>(-) Wartość firmy</w:t>
            </w:r>
          </w:p>
          <w:p w14:paraId="145D1EC8" w14:textId="23C06FFA" w:rsidR="00915077" w:rsidRPr="00E26EF6" w:rsidRDefault="00FF281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113,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37 CRR</w:t>
            </w:r>
          </w:p>
        </w:tc>
      </w:tr>
      <w:tr w:rsidR="00915077" w:rsidRPr="00E26EF6" w14:paraId="1874F0BE" w14:textId="77777777" w:rsidTr="00672D2A">
        <w:tc>
          <w:tcPr>
            <w:tcW w:w="1129" w:type="dxa"/>
          </w:tcPr>
          <w:p w14:paraId="71118958"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310</w:t>
            </w:r>
          </w:p>
        </w:tc>
        <w:tc>
          <w:tcPr>
            <w:tcW w:w="7620" w:type="dxa"/>
          </w:tcPr>
          <w:p w14:paraId="48CEE37D" w14:textId="29CFF3BF" w:rsidR="00915077" w:rsidRPr="00E26EF6" w:rsidRDefault="00855D5F">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1.1.1.10.1</w:t>
            </w:r>
            <w:r w:rsidRPr="00E26EF6">
              <w:rPr>
                <w:rStyle w:val="InstructionsTabelleberschrift"/>
                <w:rFonts w:ascii="Times New Roman" w:hAnsi="Times New Roman"/>
                <w:sz w:val="24"/>
              </w:rPr>
              <w:tab/>
              <w:t>(-) Wartość firmy rozliczana jako aktywa niematerialne</w:t>
            </w:r>
            <w:r w:rsidR="00E26EF6" w:rsidRPr="00E26EF6">
              <w:rPr>
                <w:rStyle w:val="InstructionsTabelleberschrift"/>
                <w:rFonts w:ascii="Times New Roman" w:hAnsi="Times New Roman"/>
                <w:sz w:val="24"/>
              </w:rPr>
              <w:t xml:space="preserve"> i pra</w:t>
            </w:r>
            <w:r w:rsidRPr="00E26EF6">
              <w:rPr>
                <w:rStyle w:val="InstructionsTabelleberschrift"/>
                <w:rFonts w:ascii="Times New Roman" w:hAnsi="Times New Roman"/>
                <w:sz w:val="24"/>
              </w:rPr>
              <w:t>wne</w:t>
            </w:r>
          </w:p>
          <w:p w14:paraId="43FA0941" w14:textId="0C7C7559"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113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p w14:paraId="6A41CA18" w14:textId="311954F9"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Wartość firmy ma takie samo znaczenie jak</w:t>
            </w:r>
            <w:r w:rsidR="00E26EF6" w:rsidRPr="00E26EF6">
              <w:rPr>
                <w:rStyle w:val="FormatvorlageInstructionsTabelleText"/>
                <w:rFonts w:ascii="Times New Roman" w:hAnsi="Times New Roman"/>
                <w:sz w:val="24"/>
              </w:rPr>
              <w:t xml:space="preserve"> w maj</w:t>
            </w:r>
            <w:r w:rsidRPr="00E26EF6">
              <w:rPr>
                <w:rStyle w:val="FormatvorlageInstructionsTabelleText"/>
                <w:rFonts w:ascii="Times New Roman" w:hAnsi="Times New Roman"/>
                <w:sz w:val="24"/>
              </w:rPr>
              <w:t>ących zastosowanie standardach rachunkowości.</w:t>
            </w:r>
          </w:p>
          <w:p w14:paraId="78F2DF7F" w14:textId="0A87190E"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tu zgłosić, odpowiada kwocie zgłoszonej</w:t>
            </w:r>
            <w:r w:rsidR="00E26EF6" w:rsidRPr="00E26EF6">
              <w:rPr>
                <w:rStyle w:val="FormatvorlageInstructionsTabelleText"/>
                <w:rFonts w:ascii="Times New Roman" w:hAnsi="Times New Roman"/>
                <w:sz w:val="24"/>
              </w:rPr>
              <w:t xml:space="preserve"> w bil</w:t>
            </w:r>
            <w:r w:rsidRPr="00E26EF6">
              <w:rPr>
                <w:rStyle w:val="FormatvorlageInstructionsTabelleText"/>
                <w:rFonts w:ascii="Times New Roman" w:hAnsi="Times New Roman"/>
                <w:sz w:val="24"/>
              </w:rPr>
              <w:t>ansie.</w:t>
            </w:r>
          </w:p>
        </w:tc>
      </w:tr>
      <w:tr w:rsidR="00915077" w:rsidRPr="00E26EF6" w14:paraId="3CC7E9BB" w14:textId="77777777" w:rsidTr="00672D2A">
        <w:tc>
          <w:tcPr>
            <w:tcW w:w="1129" w:type="dxa"/>
          </w:tcPr>
          <w:p w14:paraId="59446830"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320</w:t>
            </w:r>
          </w:p>
        </w:tc>
        <w:tc>
          <w:tcPr>
            <w:tcW w:w="7620" w:type="dxa"/>
          </w:tcPr>
          <w:p w14:paraId="305DD800" w14:textId="1FD7D978" w:rsidR="00915077" w:rsidRPr="00E26EF6" w:rsidRDefault="00855D5F">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1.1.1.10.2</w:t>
            </w:r>
            <w:r w:rsidRPr="00E26EF6">
              <w:rPr>
                <w:rStyle w:val="InstructionsTabelleberschrift"/>
                <w:rFonts w:ascii="Times New Roman" w:hAnsi="Times New Roman"/>
                <w:sz w:val="24"/>
              </w:rPr>
              <w:tab/>
              <w:t>(-) Wartość firmy uwzględniona</w:t>
            </w:r>
            <w:r w:rsidR="00E26EF6" w:rsidRPr="00E26EF6">
              <w:rPr>
                <w:rStyle w:val="InstructionsTabelleberschrift"/>
                <w:rFonts w:ascii="Times New Roman" w:hAnsi="Times New Roman"/>
                <w:sz w:val="24"/>
              </w:rPr>
              <w:t xml:space="preserve"> w wyc</w:t>
            </w:r>
            <w:r w:rsidRPr="00E26EF6">
              <w:rPr>
                <w:rStyle w:val="InstructionsTabelleberschrift"/>
                <w:rFonts w:ascii="Times New Roman" w:hAnsi="Times New Roman"/>
                <w:sz w:val="24"/>
              </w:rPr>
              <w:t>enie znacznych inwestycji</w:t>
            </w:r>
          </w:p>
          <w:p w14:paraId="1B343452" w14:textId="021EEC0B" w:rsidR="00915077" w:rsidRPr="00E26EF6" w:rsidRDefault="00C7103D">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37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43 CRR</w:t>
            </w:r>
          </w:p>
        </w:tc>
      </w:tr>
      <w:tr w:rsidR="00915077" w:rsidRPr="00E26EF6" w14:paraId="4130F963" w14:textId="77777777" w:rsidTr="00672D2A">
        <w:tc>
          <w:tcPr>
            <w:tcW w:w="1129" w:type="dxa"/>
          </w:tcPr>
          <w:p w14:paraId="5C5E90C2"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330</w:t>
            </w:r>
          </w:p>
        </w:tc>
        <w:tc>
          <w:tcPr>
            <w:tcW w:w="7620" w:type="dxa"/>
          </w:tcPr>
          <w:p w14:paraId="32E45CE9" w14:textId="517EEEAA" w:rsidR="00915077" w:rsidRPr="00E26EF6" w:rsidRDefault="00AD70F1">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1.1.1.10.3</w:t>
            </w:r>
            <w:r w:rsidRPr="00E26EF6">
              <w:rPr>
                <w:rStyle w:val="InstructionsTabelleberschrift"/>
                <w:rFonts w:ascii="Times New Roman" w:hAnsi="Times New Roman"/>
                <w:sz w:val="24"/>
              </w:rPr>
              <w:tab/>
              <w:t>Rezerwy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związane</w:t>
            </w:r>
            <w:r w:rsidR="00E26EF6" w:rsidRPr="00E26EF6">
              <w:rPr>
                <w:rStyle w:val="InstructionsTabelleberschrift"/>
                <w:rFonts w:ascii="Times New Roman" w:hAnsi="Times New Roman"/>
                <w:sz w:val="24"/>
              </w:rPr>
              <w:t xml:space="preserve"> z war</w:t>
            </w:r>
            <w:r w:rsidRPr="00E26EF6">
              <w:rPr>
                <w:rStyle w:val="InstructionsTabelleberschrift"/>
                <w:rFonts w:ascii="Times New Roman" w:hAnsi="Times New Roman"/>
                <w:sz w:val="24"/>
              </w:rPr>
              <w:t>tością firmy</w:t>
            </w:r>
          </w:p>
          <w:p w14:paraId="7DCD28D6" w14:textId="2342524E"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37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42A4A3E9" w14:textId="60E06FD6"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rezerwy</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odroczonego podatku dochodowego, która byłaby rozwiązana</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utraty wartości firmy lub jej wyłączenia</w:t>
            </w:r>
            <w:r w:rsidR="00E26EF6" w:rsidRPr="00E26EF6">
              <w:rPr>
                <w:rStyle w:val="FormatvorlageInstructionsTabelleText"/>
                <w:rFonts w:ascii="Times New Roman" w:hAnsi="Times New Roman"/>
                <w:sz w:val="24"/>
              </w:rPr>
              <w:t xml:space="preserve"> z bil</w:t>
            </w:r>
            <w:r w:rsidRPr="00E26EF6">
              <w:rPr>
                <w:rStyle w:val="FormatvorlageInstructionsTabelleText"/>
                <w:rFonts w:ascii="Times New Roman" w:hAnsi="Times New Roman"/>
                <w:sz w:val="24"/>
              </w:rPr>
              <w:t>ansu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w:t>
            </w:r>
          </w:p>
        </w:tc>
      </w:tr>
      <w:tr w:rsidR="00915077" w:rsidRPr="00E26EF6" w14:paraId="2F7C856C" w14:textId="77777777" w:rsidTr="00672D2A">
        <w:tc>
          <w:tcPr>
            <w:tcW w:w="1129" w:type="dxa"/>
          </w:tcPr>
          <w:p w14:paraId="0EDC1958"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340</w:t>
            </w:r>
          </w:p>
        </w:tc>
        <w:tc>
          <w:tcPr>
            <w:tcW w:w="7620" w:type="dxa"/>
          </w:tcPr>
          <w:p w14:paraId="2CC4F84C" w14:textId="0BB8AD06" w:rsidR="00915077" w:rsidRPr="00E26EF6" w:rsidRDefault="00AD70F1">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1.1.1.11</w:t>
            </w:r>
            <w:r w:rsidRPr="00E26EF6">
              <w:rPr>
                <w:rStyle w:val="InstructionsTabelleberschrift"/>
                <w:rFonts w:ascii="Times New Roman" w:hAnsi="Times New Roman"/>
                <w:sz w:val="24"/>
              </w:rPr>
              <w:tab/>
              <w:t>(-) Inne wartości niematerialne</w:t>
            </w:r>
            <w:r w:rsidR="00E26EF6" w:rsidRPr="00E26EF6">
              <w:rPr>
                <w:rStyle w:val="InstructionsTabelleberschrift"/>
                <w:rFonts w:ascii="Times New Roman" w:hAnsi="Times New Roman"/>
                <w:sz w:val="24"/>
              </w:rPr>
              <w:t xml:space="preserve"> i pra</w:t>
            </w:r>
            <w:r w:rsidRPr="00E26EF6">
              <w:rPr>
                <w:rStyle w:val="InstructionsTabelleberschrift"/>
                <w:rFonts w:ascii="Times New Roman" w:hAnsi="Times New Roman"/>
                <w:sz w:val="24"/>
              </w:rPr>
              <w:t>wne</w:t>
            </w:r>
          </w:p>
          <w:p w14:paraId="1B763F59" w14:textId="273D05AF"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115,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37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2268F49A" w14:textId="6BC7EF68" w:rsidR="00915077" w:rsidRPr="00E26EF6" w:rsidRDefault="009339C1">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Inne wartości niematerialne</w:t>
            </w:r>
            <w:r w:rsidR="00E26EF6" w:rsidRPr="00E26EF6">
              <w:rPr>
                <w:rStyle w:val="FormatvorlageInstructionsTabelleText"/>
                <w:rFonts w:ascii="Times New Roman" w:hAnsi="Times New Roman"/>
                <w:sz w:val="24"/>
              </w:rPr>
              <w:t xml:space="preserve"> i pra</w:t>
            </w:r>
            <w:r w:rsidRPr="00E26EF6">
              <w:rPr>
                <w:rStyle w:val="FormatvorlageInstructionsTabelleText"/>
                <w:rFonts w:ascii="Times New Roman" w:hAnsi="Times New Roman"/>
                <w:sz w:val="24"/>
              </w:rPr>
              <w:t>wne to wartości niematerialne</w:t>
            </w:r>
            <w:r w:rsidR="00E26EF6" w:rsidRPr="00E26EF6">
              <w:rPr>
                <w:rStyle w:val="FormatvorlageInstructionsTabelleText"/>
                <w:rFonts w:ascii="Times New Roman" w:hAnsi="Times New Roman"/>
                <w:sz w:val="24"/>
              </w:rPr>
              <w:t xml:space="preserve"> i pra</w:t>
            </w:r>
            <w:r w:rsidRPr="00E26EF6">
              <w:rPr>
                <w:rStyle w:val="FormatvorlageInstructionsTabelleText"/>
                <w:rFonts w:ascii="Times New Roman" w:hAnsi="Times New Roman"/>
                <w:sz w:val="24"/>
              </w:rPr>
              <w:t>wne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 pomniejszone</w:t>
            </w:r>
            <w:r w:rsidR="00E26EF6" w:rsidRPr="00E26EF6">
              <w:rPr>
                <w:rStyle w:val="FormatvorlageInstructionsTabelleText"/>
                <w:rFonts w:ascii="Times New Roman" w:hAnsi="Times New Roman"/>
                <w:sz w:val="24"/>
              </w:rPr>
              <w:t xml:space="preserve"> o war</w:t>
            </w:r>
            <w:r w:rsidRPr="00E26EF6">
              <w:rPr>
                <w:rStyle w:val="FormatvorlageInstructionsTabelleText"/>
                <w:rFonts w:ascii="Times New Roman" w:hAnsi="Times New Roman"/>
                <w:sz w:val="24"/>
              </w:rPr>
              <w:t>tość firmy, również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w:t>
            </w:r>
          </w:p>
        </w:tc>
      </w:tr>
      <w:tr w:rsidR="00915077" w:rsidRPr="00E26EF6" w14:paraId="1A7DBB64" w14:textId="77777777" w:rsidTr="00672D2A">
        <w:tc>
          <w:tcPr>
            <w:tcW w:w="1129" w:type="dxa"/>
          </w:tcPr>
          <w:p w14:paraId="57175307"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350</w:t>
            </w:r>
          </w:p>
        </w:tc>
        <w:tc>
          <w:tcPr>
            <w:tcW w:w="7620" w:type="dxa"/>
          </w:tcPr>
          <w:p w14:paraId="34D928BB" w14:textId="5A4B5F9A" w:rsidR="00915077" w:rsidRPr="00E26EF6" w:rsidRDefault="00AD70F1">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1.1.1.11.1</w:t>
            </w:r>
            <w:r w:rsidRPr="00E26EF6">
              <w:rPr>
                <w:rStyle w:val="InstructionsTabelleberschrift"/>
                <w:rFonts w:ascii="Times New Roman" w:hAnsi="Times New Roman"/>
                <w:sz w:val="24"/>
              </w:rPr>
              <w:tab/>
              <w:t>(-) Inne wartości niematerialne</w:t>
            </w:r>
            <w:r w:rsidR="00E26EF6" w:rsidRPr="00E26EF6">
              <w:rPr>
                <w:rStyle w:val="InstructionsTabelleberschrift"/>
                <w:rFonts w:ascii="Times New Roman" w:hAnsi="Times New Roman"/>
                <w:sz w:val="24"/>
              </w:rPr>
              <w:t xml:space="preserve"> i pra</w:t>
            </w:r>
            <w:r w:rsidRPr="00E26EF6">
              <w:rPr>
                <w:rStyle w:val="InstructionsTabelleberschrift"/>
                <w:rFonts w:ascii="Times New Roman" w:hAnsi="Times New Roman"/>
                <w:sz w:val="24"/>
              </w:rPr>
              <w:t>wne przed odliczeniem rezerw</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w:t>
            </w:r>
          </w:p>
          <w:p w14:paraId="09FC6B13" w14:textId="38DDCE29"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115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p w14:paraId="33A462EA" w14:textId="61F56709"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Inne wartości niematerialne</w:t>
            </w:r>
            <w:r w:rsidR="00E26EF6" w:rsidRPr="00E26EF6">
              <w:rPr>
                <w:rStyle w:val="FormatvorlageInstructionsTabelleText"/>
                <w:rFonts w:ascii="Times New Roman" w:hAnsi="Times New Roman"/>
                <w:sz w:val="24"/>
              </w:rPr>
              <w:t xml:space="preserve"> i pra</w:t>
            </w:r>
            <w:r w:rsidRPr="00E26EF6">
              <w:rPr>
                <w:rStyle w:val="FormatvorlageInstructionsTabelleText"/>
                <w:rFonts w:ascii="Times New Roman" w:hAnsi="Times New Roman"/>
                <w:sz w:val="24"/>
              </w:rPr>
              <w:t>wne to wartości niematerialne</w:t>
            </w:r>
            <w:r w:rsidR="00E26EF6" w:rsidRPr="00E26EF6">
              <w:rPr>
                <w:rStyle w:val="FormatvorlageInstructionsTabelleText"/>
                <w:rFonts w:ascii="Times New Roman" w:hAnsi="Times New Roman"/>
                <w:sz w:val="24"/>
              </w:rPr>
              <w:t xml:space="preserve"> i pra</w:t>
            </w:r>
            <w:r w:rsidRPr="00E26EF6">
              <w:rPr>
                <w:rStyle w:val="FormatvorlageInstructionsTabelleText"/>
                <w:rFonts w:ascii="Times New Roman" w:hAnsi="Times New Roman"/>
                <w:sz w:val="24"/>
              </w:rPr>
              <w:t>wne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 pomniejszone</w:t>
            </w:r>
            <w:r w:rsidR="00E26EF6" w:rsidRPr="00E26EF6">
              <w:rPr>
                <w:rStyle w:val="FormatvorlageInstructionsTabelleText"/>
                <w:rFonts w:ascii="Times New Roman" w:hAnsi="Times New Roman"/>
                <w:sz w:val="24"/>
              </w:rPr>
              <w:t xml:space="preserve"> o war</w:t>
            </w:r>
            <w:r w:rsidRPr="00E26EF6">
              <w:rPr>
                <w:rStyle w:val="FormatvorlageInstructionsTabelleText"/>
                <w:rFonts w:ascii="Times New Roman" w:hAnsi="Times New Roman"/>
                <w:sz w:val="24"/>
              </w:rPr>
              <w:t>tość firmy, również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w:t>
            </w:r>
          </w:p>
          <w:p w14:paraId="44736886" w14:textId="683796DA"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tu zgłosić, odpowiada kwocie zgłoszonej</w:t>
            </w:r>
            <w:r w:rsidR="00E26EF6" w:rsidRPr="00E26EF6">
              <w:rPr>
                <w:rStyle w:val="FormatvorlageInstructionsTabelleText"/>
                <w:rFonts w:ascii="Times New Roman" w:hAnsi="Times New Roman"/>
                <w:sz w:val="24"/>
              </w:rPr>
              <w:t xml:space="preserve"> w bil</w:t>
            </w:r>
            <w:r w:rsidRPr="00E26EF6">
              <w:rPr>
                <w:rStyle w:val="FormatvorlageInstructionsTabelleText"/>
                <w:rFonts w:ascii="Times New Roman" w:hAnsi="Times New Roman"/>
                <w:sz w:val="24"/>
              </w:rPr>
              <w:t>ansie wartości niematerialnych</w:t>
            </w:r>
            <w:r w:rsidR="00E26EF6" w:rsidRPr="00E26EF6">
              <w:rPr>
                <w:rStyle w:val="FormatvorlageInstructionsTabelleText"/>
                <w:rFonts w:ascii="Times New Roman" w:hAnsi="Times New Roman"/>
                <w:sz w:val="24"/>
              </w:rPr>
              <w:t xml:space="preserve"> i pra</w:t>
            </w:r>
            <w:r w:rsidRPr="00E26EF6">
              <w:rPr>
                <w:rStyle w:val="FormatvorlageInstructionsTabelleText"/>
                <w:rFonts w:ascii="Times New Roman" w:hAnsi="Times New Roman"/>
                <w:sz w:val="24"/>
              </w:rPr>
              <w:t>wnych innych niż wartość firmy.</w:t>
            </w:r>
          </w:p>
        </w:tc>
      </w:tr>
      <w:tr w:rsidR="00915077" w:rsidRPr="00E26EF6" w14:paraId="6B24970D" w14:textId="77777777" w:rsidTr="00672D2A">
        <w:tc>
          <w:tcPr>
            <w:tcW w:w="1129" w:type="dxa"/>
          </w:tcPr>
          <w:p w14:paraId="648AB595"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360</w:t>
            </w:r>
          </w:p>
        </w:tc>
        <w:tc>
          <w:tcPr>
            <w:tcW w:w="7620" w:type="dxa"/>
          </w:tcPr>
          <w:p w14:paraId="3864EF32" w14:textId="19E48EC4" w:rsidR="00915077" w:rsidRPr="00E26EF6" w:rsidRDefault="00AD70F1">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1.1.1.11.2</w:t>
            </w:r>
            <w:r w:rsidRPr="00E26EF6">
              <w:rPr>
                <w:rStyle w:val="InstructionsTabelleberschrift"/>
                <w:rFonts w:ascii="Times New Roman" w:hAnsi="Times New Roman"/>
                <w:sz w:val="24"/>
              </w:rPr>
              <w:tab/>
              <w:t>Rezerwy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związane</w:t>
            </w:r>
            <w:r w:rsidR="00E26EF6" w:rsidRPr="00E26EF6">
              <w:rPr>
                <w:rStyle w:val="InstructionsTabelleberschrift"/>
                <w:rFonts w:ascii="Times New Roman" w:hAnsi="Times New Roman"/>
                <w:sz w:val="24"/>
              </w:rPr>
              <w:t xml:space="preserve"> z inn</w:t>
            </w:r>
            <w:r w:rsidRPr="00E26EF6">
              <w:rPr>
                <w:rStyle w:val="InstructionsTabelleberschrift"/>
                <w:rFonts w:ascii="Times New Roman" w:hAnsi="Times New Roman"/>
                <w:sz w:val="24"/>
              </w:rPr>
              <w:t>ymi wartościami niematerialnymi</w:t>
            </w:r>
            <w:r w:rsidR="00E26EF6" w:rsidRPr="00E26EF6">
              <w:rPr>
                <w:rStyle w:val="InstructionsTabelleberschrift"/>
                <w:rFonts w:ascii="Times New Roman" w:hAnsi="Times New Roman"/>
                <w:sz w:val="24"/>
              </w:rPr>
              <w:t xml:space="preserve"> i pra</w:t>
            </w:r>
            <w:r w:rsidRPr="00E26EF6">
              <w:rPr>
                <w:rStyle w:val="InstructionsTabelleberschrift"/>
                <w:rFonts w:ascii="Times New Roman" w:hAnsi="Times New Roman"/>
                <w:sz w:val="24"/>
              </w:rPr>
              <w:t>wnymi</w:t>
            </w:r>
          </w:p>
          <w:p w14:paraId="13391161" w14:textId="5B5F0936"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37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0F5C8345" w14:textId="2F0E25E4"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rezerwy</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odroczonego podatku dochodowego, która byłaby rozwiązana</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utraty wartości składnika aktywów</w:t>
            </w:r>
            <w:r w:rsidR="00E26EF6" w:rsidRPr="00E26EF6">
              <w:rPr>
                <w:rStyle w:val="FormatvorlageInstructionsTabelleText"/>
                <w:rFonts w:ascii="Times New Roman" w:hAnsi="Times New Roman"/>
                <w:sz w:val="24"/>
              </w:rPr>
              <w:t xml:space="preserve"> w pos</w:t>
            </w:r>
            <w:r w:rsidRPr="00E26EF6">
              <w:rPr>
                <w:rStyle w:val="FormatvorlageInstructionsTabelleText"/>
                <w:rFonts w:ascii="Times New Roman" w:hAnsi="Times New Roman"/>
                <w:sz w:val="24"/>
              </w:rPr>
              <w:t>taci wartości niematerialnych</w:t>
            </w:r>
            <w:r w:rsidR="00E26EF6" w:rsidRPr="00E26EF6">
              <w:rPr>
                <w:rStyle w:val="FormatvorlageInstructionsTabelleText"/>
                <w:rFonts w:ascii="Times New Roman" w:hAnsi="Times New Roman"/>
                <w:sz w:val="24"/>
              </w:rPr>
              <w:t xml:space="preserve"> i pra</w:t>
            </w:r>
            <w:r w:rsidRPr="00E26EF6">
              <w:rPr>
                <w:rStyle w:val="FormatvorlageInstructionsTabelleText"/>
                <w:rFonts w:ascii="Times New Roman" w:hAnsi="Times New Roman"/>
                <w:sz w:val="24"/>
              </w:rPr>
              <w:t>wnych innych niż wartość firmy lub wyłączenia</w:t>
            </w:r>
            <w:r w:rsidR="00E26EF6" w:rsidRPr="00E26EF6">
              <w:rPr>
                <w:rStyle w:val="FormatvorlageInstructionsTabelleText"/>
                <w:rFonts w:ascii="Times New Roman" w:hAnsi="Times New Roman"/>
                <w:sz w:val="24"/>
              </w:rPr>
              <w:t xml:space="preserve"> z bil</w:t>
            </w:r>
            <w:r w:rsidRPr="00E26EF6">
              <w:rPr>
                <w:rStyle w:val="FormatvorlageInstructionsTabelleText"/>
                <w:rFonts w:ascii="Times New Roman" w:hAnsi="Times New Roman"/>
                <w:sz w:val="24"/>
              </w:rPr>
              <w:t>ansu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w:t>
            </w:r>
          </w:p>
        </w:tc>
      </w:tr>
      <w:tr w:rsidR="00915077" w:rsidRPr="00E26EF6" w14:paraId="11B50A40" w14:textId="77777777" w:rsidTr="00672D2A">
        <w:tc>
          <w:tcPr>
            <w:tcW w:w="1129" w:type="dxa"/>
          </w:tcPr>
          <w:p w14:paraId="75C3B545"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370</w:t>
            </w:r>
          </w:p>
        </w:tc>
        <w:tc>
          <w:tcPr>
            <w:tcW w:w="7620" w:type="dxa"/>
          </w:tcPr>
          <w:p w14:paraId="700E1977" w14:textId="7A0D56F5" w:rsidR="00915077" w:rsidRPr="00E26EF6" w:rsidRDefault="00F9591C">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1.1.1.12</w:t>
            </w:r>
            <w:r w:rsidRPr="00E26EF6">
              <w:rPr>
                <w:rStyle w:val="InstructionsTabelleberschrift"/>
                <w:rFonts w:ascii="Times New Roman" w:hAnsi="Times New Roman"/>
                <w:sz w:val="24"/>
              </w:rPr>
              <w:tab/>
              <w:t>(-) 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oparte na przyszłej rentowności</w:t>
            </w:r>
            <w:r w:rsidR="00E26EF6" w:rsidRPr="00E26EF6">
              <w:rPr>
                <w:rStyle w:val="InstructionsTabelleberschrift"/>
                <w:rFonts w:ascii="Times New Roman" w:hAnsi="Times New Roman"/>
                <w:sz w:val="24"/>
              </w:rPr>
              <w:t xml:space="preserve"> i nie</w:t>
            </w:r>
            <w:r w:rsidRPr="00E26EF6">
              <w:rPr>
                <w:rStyle w:val="InstructionsTabelleberschrift"/>
                <w:rFonts w:ascii="Times New Roman" w:hAnsi="Times New Roman"/>
                <w:sz w:val="24"/>
              </w:rPr>
              <w:t>wynikające</w:t>
            </w:r>
            <w:r w:rsidR="00E26EF6" w:rsidRPr="00E26EF6">
              <w:rPr>
                <w:rStyle w:val="InstructionsTabelleberschrift"/>
                <w:rFonts w:ascii="Times New Roman" w:hAnsi="Times New Roman"/>
                <w:sz w:val="24"/>
              </w:rPr>
              <w:t xml:space="preserve"> z róż</w:t>
            </w:r>
            <w:r w:rsidRPr="00E26EF6">
              <w:rPr>
                <w:rStyle w:val="InstructionsTabelleberschrift"/>
                <w:rFonts w:ascii="Times New Roman" w:hAnsi="Times New Roman"/>
                <w:sz w:val="24"/>
              </w:rPr>
              <w:t>nic przejściowych po odliczeniu powiązanych rezerw</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podatku dochodowego</w:t>
            </w:r>
          </w:p>
          <w:p w14:paraId="67F3DEBE" w14:textId="04FBD123" w:rsidR="00915077" w:rsidRPr="00E26EF6" w:rsidRDefault="00C7103D">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38 CRR</w:t>
            </w:r>
          </w:p>
        </w:tc>
      </w:tr>
      <w:tr w:rsidR="00915077" w:rsidRPr="00E26EF6" w14:paraId="088B47E6" w14:textId="77777777" w:rsidTr="00672D2A">
        <w:tc>
          <w:tcPr>
            <w:tcW w:w="1129" w:type="dxa"/>
          </w:tcPr>
          <w:p w14:paraId="6956E9F4"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380</w:t>
            </w:r>
          </w:p>
        </w:tc>
        <w:tc>
          <w:tcPr>
            <w:tcW w:w="7620" w:type="dxa"/>
          </w:tcPr>
          <w:p w14:paraId="465A1207" w14:textId="16C6F9DD" w:rsidR="00915077" w:rsidRPr="00E26EF6" w:rsidRDefault="00F9591C">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1.1.1.13</w:t>
            </w:r>
            <w:r w:rsidRPr="00E26EF6">
              <w:rPr>
                <w:rStyle w:val="InstructionsTabelleberschrift"/>
                <w:rFonts w:ascii="Times New Roman" w:hAnsi="Times New Roman"/>
                <w:sz w:val="24"/>
              </w:rPr>
              <w:tab/>
              <w:t>(-) Niedobór korekt</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ryzyka kredytowego wobec oczekiwanych strat według metody IRB</w:t>
            </w:r>
          </w:p>
          <w:p w14:paraId="08726EF6" w14:textId="34BC37A5"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d),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40, 158</w:t>
            </w:r>
            <w:r w:rsidR="00E26EF6" w:rsidRPr="00E26EF6">
              <w:rPr>
                <w:rStyle w:val="FormatvorlageInstructionsTabelleText"/>
                <w:rFonts w:ascii="Times New Roman" w:hAnsi="Times New Roman"/>
                <w:sz w:val="24"/>
              </w:rPr>
              <w:t xml:space="preserve"> i 1</w:t>
            </w:r>
            <w:r w:rsidRPr="00E26EF6">
              <w:rPr>
                <w:rStyle w:val="FormatvorlageInstructionsTabelleText"/>
                <w:rFonts w:ascii="Times New Roman" w:hAnsi="Times New Roman"/>
                <w:sz w:val="24"/>
              </w:rPr>
              <w:t>59 CRR</w:t>
            </w:r>
          </w:p>
          <w:p w14:paraId="291793BB" w14:textId="200558CC"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Kwoty, którą należy zgłosić, „nie pomniejsza się</w:t>
            </w:r>
            <w:r w:rsidR="00E26EF6" w:rsidRPr="00E26EF6">
              <w:rPr>
                <w:rStyle w:val="FormatvorlageInstructionsTabelleText"/>
                <w:rFonts w:ascii="Times New Roman" w:hAnsi="Times New Roman"/>
                <w:sz w:val="24"/>
              </w:rPr>
              <w:t xml:space="preserve"> o wzr</w:t>
            </w:r>
            <w:r w:rsidRPr="00E26EF6">
              <w:rPr>
                <w:rStyle w:val="FormatvorlageInstructionsTabelleText"/>
                <w:rFonts w:ascii="Times New Roman" w:hAnsi="Times New Roman"/>
                <w:sz w:val="24"/>
              </w:rPr>
              <w:t>ost poziomu aktywów</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odroczonego podatku dochodowego opartych na przyszłej rentowności ani</w:t>
            </w:r>
            <w:r w:rsidR="00E26EF6" w:rsidRPr="00E26EF6">
              <w:rPr>
                <w:rStyle w:val="FormatvorlageInstructionsTabelleText"/>
                <w:rFonts w:ascii="Times New Roman" w:hAnsi="Times New Roman"/>
                <w:sz w:val="24"/>
              </w:rPr>
              <w:t xml:space="preserve"> o inn</w:t>
            </w:r>
            <w:r w:rsidRPr="00E26EF6">
              <w:rPr>
                <w:rStyle w:val="FormatvorlageInstructionsTabelleText"/>
                <w:rFonts w:ascii="Times New Roman" w:hAnsi="Times New Roman"/>
                <w:sz w:val="24"/>
              </w:rPr>
              <w:t>e dodatkowe skutki podatkowe, jakie mogłyby wystąpić</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wzrostu poziomu rezerw do poziomu oczekiwanych strat”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40 CRR).</w:t>
            </w:r>
          </w:p>
        </w:tc>
      </w:tr>
      <w:tr w:rsidR="00915077" w:rsidRPr="00E26EF6" w14:paraId="52AF5EE2" w14:textId="77777777" w:rsidTr="00672D2A">
        <w:tc>
          <w:tcPr>
            <w:tcW w:w="1129" w:type="dxa"/>
          </w:tcPr>
          <w:p w14:paraId="625209A9"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390</w:t>
            </w:r>
          </w:p>
        </w:tc>
        <w:tc>
          <w:tcPr>
            <w:tcW w:w="7620" w:type="dxa"/>
          </w:tcPr>
          <w:p w14:paraId="004980B3" w14:textId="77777777" w:rsidR="00915077" w:rsidRPr="00E26EF6" w:rsidRDefault="00F9591C">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1.1.1.14</w:t>
            </w:r>
            <w:r w:rsidRPr="00E26EF6">
              <w:rPr>
                <w:rStyle w:val="InstructionsTabelleberschrift"/>
                <w:rFonts w:ascii="Times New Roman" w:hAnsi="Times New Roman"/>
                <w:sz w:val="24"/>
              </w:rPr>
              <w:tab/>
              <w:t>(-) Aktywa funduszu emerytalnego ze zdefiniowanymi świadczeniami</w:t>
            </w:r>
          </w:p>
          <w:p w14:paraId="1EDB0083" w14:textId="44290120" w:rsidR="00915077" w:rsidRPr="00E26EF6" w:rsidRDefault="00214FDA">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109,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e)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41 CRR</w:t>
            </w:r>
          </w:p>
        </w:tc>
      </w:tr>
      <w:tr w:rsidR="00915077" w:rsidRPr="00E26EF6" w14:paraId="287C1312" w14:textId="77777777" w:rsidTr="00672D2A">
        <w:tc>
          <w:tcPr>
            <w:tcW w:w="1129" w:type="dxa"/>
          </w:tcPr>
          <w:p w14:paraId="2CD7DC4B"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400</w:t>
            </w:r>
          </w:p>
        </w:tc>
        <w:tc>
          <w:tcPr>
            <w:tcW w:w="7620" w:type="dxa"/>
          </w:tcPr>
          <w:p w14:paraId="702AFB11" w14:textId="77777777" w:rsidR="00915077" w:rsidRPr="00E26EF6" w:rsidRDefault="00F9591C">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1.1.1.14.1</w:t>
            </w:r>
            <w:r w:rsidRPr="00E26EF6">
              <w:rPr>
                <w:rStyle w:val="InstructionsTabelleberschrift"/>
                <w:rFonts w:ascii="Times New Roman" w:hAnsi="Times New Roman"/>
                <w:sz w:val="24"/>
              </w:rPr>
              <w:tab/>
              <w:t xml:space="preserve">(-) Aktywa funduszu emerytalnego ze zdefiniowanymi świadczeniami </w:t>
            </w:r>
          </w:p>
          <w:p w14:paraId="3BEEA281" w14:textId="6CAFC50D"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109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e) CRR</w:t>
            </w:r>
          </w:p>
          <w:p w14:paraId="4CDCF4EC" w14:textId="2E7D3A0A"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Aktywa funduszu emerytalnego ze zdefiniowanymi świadczeniami definiuje się jako „w stosownych przypadkach, aktywa określonego funduszu lub programu emerytalnego, których wartość została obliczona po odjęciu od nich kwoty zobowiązań</w:t>
            </w:r>
            <w:r w:rsidR="00E26EF6" w:rsidRPr="00E26EF6">
              <w:rPr>
                <w:rStyle w:val="FormatvorlageInstructionsTabelleText"/>
                <w:rFonts w:ascii="Times New Roman" w:hAnsi="Times New Roman"/>
                <w:sz w:val="24"/>
              </w:rPr>
              <w:t xml:space="preserve"> w ram</w:t>
            </w:r>
            <w:r w:rsidRPr="00E26EF6">
              <w:rPr>
                <w:rStyle w:val="FormatvorlageInstructionsTabelleText"/>
                <w:rFonts w:ascii="Times New Roman" w:hAnsi="Times New Roman"/>
                <w:sz w:val="24"/>
              </w:rPr>
              <w:t>ach tego samego funduszu lub programu”.</w:t>
            </w:r>
          </w:p>
          <w:p w14:paraId="53ACD534" w14:textId="3863C46A"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tu zgłosić, odpowiada kwocie zgłoszonej</w:t>
            </w:r>
            <w:r w:rsidR="00E26EF6" w:rsidRPr="00E26EF6">
              <w:rPr>
                <w:rStyle w:val="FormatvorlageInstructionsTabelleText"/>
                <w:rFonts w:ascii="Times New Roman" w:hAnsi="Times New Roman"/>
                <w:sz w:val="24"/>
              </w:rPr>
              <w:t xml:space="preserve"> w bil</w:t>
            </w:r>
            <w:r w:rsidRPr="00E26EF6">
              <w:rPr>
                <w:rStyle w:val="FormatvorlageInstructionsTabelleText"/>
                <w:rFonts w:ascii="Times New Roman" w:hAnsi="Times New Roman"/>
                <w:sz w:val="24"/>
              </w:rPr>
              <w:t>ansie (jeżeli zgłaszana jest oddzielnie).</w:t>
            </w:r>
          </w:p>
        </w:tc>
      </w:tr>
      <w:tr w:rsidR="00915077" w:rsidRPr="00E26EF6" w14:paraId="23971C79" w14:textId="77777777" w:rsidTr="00672D2A">
        <w:tc>
          <w:tcPr>
            <w:tcW w:w="1129" w:type="dxa"/>
          </w:tcPr>
          <w:p w14:paraId="3AF45196"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410</w:t>
            </w:r>
          </w:p>
        </w:tc>
        <w:tc>
          <w:tcPr>
            <w:tcW w:w="7620" w:type="dxa"/>
          </w:tcPr>
          <w:p w14:paraId="49EABC3C" w14:textId="6F9DC8D4" w:rsidR="00915077" w:rsidRPr="00E26EF6" w:rsidRDefault="00F9591C">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1.1.1.14.2</w:t>
            </w:r>
            <w:r w:rsidRPr="00E26EF6">
              <w:rPr>
                <w:rStyle w:val="InstructionsTabelleberschrift"/>
                <w:rFonts w:ascii="Times New Roman" w:hAnsi="Times New Roman"/>
                <w:sz w:val="24"/>
              </w:rPr>
              <w:tab/>
              <w:t>Rezerwy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związane</w:t>
            </w:r>
            <w:r w:rsidR="00E26EF6" w:rsidRPr="00E26EF6">
              <w:rPr>
                <w:rStyle w:val="InstructionsTabelleberschrift"/>
                <w:rFonts w:ascii="Times New Roman" w:hAnsi="Times New Roman"/>
                <w:sz w:val="24"/>
              </w:rPr>
              <w:t xml:space="preserve"> z akt</w:t>
            </w:r>
            <w:r w:rsidRPr="00E26EF6">
              <w:rPr>
                <w:rStyle w:val="InstructionsTabelleberschrift"/>
                <w:rFonts w:ascii="Times New Roman" w:hAnsi="Times New Roman"/>
                <w:sz w:val="24"/>
              </w:rPr>
              <w:t>ywami funduszu emerytalnego ze zdefiniowanymi świadczeniami</w:t>
            </w:r>
          </w:p>
          <w:p w14:paraId="4D443458" w14:textId="65DDD970" w:rsidR="00915077" w:rsidRPr="00E26EF6" w:rsidRDefault="002C66A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108</w:t>
            </w:r>
            <w:r w:rsidR="00E26EF6" w:rsidRPr="00E26EF6">
              <w:rPr>
                <w:rStyle w:val="FormatvorlageInstructionsTabelleText"/>
                <w:rFonts w:ascii="Times New Roman" w:hAnsi="Times New Roman"/>
                <w:sz w:val="24"/>
              </w:rPr>
              <w:t xml:space="preserve"> i 1</w:t>
            </w:r>
            <w:r w:rsidRPr="00E26EF6">
              <w:rPr>
                <w:rStyle w:val="FormatvorlageInstructionsTabelleText"/>
                <w:rFonts w:ascii="Times New Roman" w:hAnsi="Times New Roman"/>
                <w:sz w:val="24"/>
              </w:rPr>
              <w:t>09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41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4C98F90C" w14:textId="50145041"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Kwota rezerwy</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odroczonego podatku dochodowego, która byłaby rozwiązana</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utraty wartości aktywów funduszu emerytalnego ze zdefiniowanymi świadczeniami lub wyłączenia ich</w:t>
            </w:r>
            <w:r w:rsidR="00E26EF6" w:rsidRPr="00E26EF6">
              <w:rPr>
                <w:rStyle w:val="FormatvorlageInstructionsTabelleText"/>
                <w:rFonts w:ascii="Times New Roman" w:hAnsi="Times New Roman"/>
                <w:sz w:val="24"/>
              </w:rPr>
              <w:t xml:space="preserve"> z bil</w:t>
            </w:r>
            <w:r w:rsidRPr="00E26EF6">
              <w:rPr>
                <w:rStyle w:val="FormatvorlageInstructionsTabelleText"/>
                <w:rFonts w:ascii="Times New Roman" w:hAnsi="Times New Roman"/>
                <w:sz w:val="24"/>
              </w:rPr>
              <w:t>ansu zgodnie</w:t>
            </w:r>
            <w:r w:rsidR="00E26EF6" w:rsidRPr="00E26EF6">
              <w:rPr>
                <w:rStyle w:val="FormatvorlageInstructionsTabelleText"/>
                <w:rFonts w:ascii="Times New Roman" w:hAnsi="Times New Roman"/>
                <w:sz w:val="24"/>
              </w:rPr>
              <w:t xml:space="preserve"> z maj</w:t>
            </w:r>
            <w:r w:rsidRPr="00E26EF6">
              <w:rPr>
                <w:rStyle w:val="FormatvorlageInstructionsTabelleText"/>
                <w:rFonts w:ascii="Times New Roman" w:hAnsi="Times New Roman"/>
                <w:sz w:val="24"/>
              </w:rPr>
              <w:t>ącymi zastosowanie standardami rachunkowości.</w:t>
            </w:r>
          </w:p>
        </w:tc>
      </w:tr>
      <w:tr w:rsidR="00915077" w:rsidRPr="00E26EF6" w14:paraId="526CED26" w14:textId="77777777" w:rsidTr="00672D2A">
        <w:tc>
          <w:tcPr>
            <w:tcW w:w="1129" w:type="dxa"/>
          </w:tcPr>
          <w:p w14:paraId="772C22FF"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420</w:t>
            </w:r>
          </w:p>
        </w:tc>
        <w:tc>
          <w:tcPr>
            <w:tcW w:w="7620" w:type="dxa"/>
          </w:tcPr>
          <w:p w14:paraId="7347970E" w14:textId="103CFC6E" w:rsidR="00915077" w:rsidRPr="00E26EF6" w:rsidRDefault="00F9591C">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1.1.1.14.3</w:t>
            </w:r>
            <w:r w:rsidRPr="00E26EF6">
              <w:rPr>
                <w:rStyle w:val="InstructionsTabelleberschrift"/>
                <w:rFonts w:ascii="Times New Roman" w:hAnsi="Times New Roman"/>
                <w:sz w:val="24"/>
              </w:rPr>
              <w:tab/>
              <w:t>Aktywa funduszu emerytalnego ze zdefiniowanymi świadczeniami, które instytucja może wykorzystywać</w:t>
            </w:r>
            <w:r w:rsidR="00E26EF6" w:rsidRPr="00E26EF6">
              <w:rPr>
                <w:rStyle w:val="InstructionsTabelleberschrift"/>
                <w:rFonts w:ascii="Times New Roman" w:hAnsi="Times New Roman"/>
                <w:sz w:val="24"/>
              </w:rPr>
              <w:t xml:space="preserve"> w nie</w:t>
            </w:r>
            <w:r w:rsidRPr="00E26EF6">
              <w:rPr>
                <w:rStyle w:val="InstructionsTabelleberschrift"/>
                <w:rFonts w:ascii="Times New Roman" w:hAnsi="Times New Roman"/>
                <w:sz w:val="24"/>
              </w:rPr>
              <w:t>ograniczony sposób</w:t>
            </w:r>
          </w:p>
          <w:p w14:paraId="1C7AEF32" w14:textId="558471FD"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109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41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p w14:paraId="3337156D" w14:textId="77777777"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W pozycji tej zgłasza się jakąkolwiek kwotę tylko wtedy, gdy właściwy organ wcześniej zezwoli na zmniejszenie odliczanej kwoty aktywów funduszu emerytalnego ze zdefiniowanymi świadczeniami.</w:t>
            </w:r>
          </w:p>
          <w:p w14:paraId="633DBC47" w14:textId="18843A9E"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Aktywa ujęte</w:t>
            </w:r>
            <w:r w:rsidR="00E26EF6" w:rsidRPr="00E26EF6">
              <w:rPr>
                <w:rStyle w:val="FormatvorlageInstructionsTabelleText"/>
                <w:rFonts w:ascii="Times New Roman" w:hAnsi="Times New Roman"/>
                <w:sz w:val="24"/>
              </w:rPr>
              <w:t xml:space="preserve"> w tym</w:t>
            </w:r>
            <w:r w:rsidRPr="00E26EF6">
              <w:rPr>
                <w:rStyle w:val="FormatvorlageInstructionsTabelleText"/>
                <w:rFonts w:ascii="Times New Roman" w:hAnsi="Times New Roman"/>
                <w:sz w:val="24"/>
              </w:rPr>
              <w:t xml:space="preserve"> wierszu otrzymują wagę ryzyka dla celów wymogów</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ryzyka kredytowego.</w:t>
            </w:r>
          </w:p>
        </w:tc>
      </w:tr>
      <w:tr w:rsidR="00915077" w:rsidRPr="00E26EF6" w14:paraId="59DC2247" w14:textId="77777777" w:rsidTr="00672D2A">
        <w:tc>
          <w:tcPr>
            <w:tcW w:w="1129" w:type="dxa"/>
          </w:tcPr>
          <w:p w14:paraId="37D2A039"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430</w:t>
            </w:r>
          </w:p>
        </w:tc>
        <w:tc>
          <w:tcPr>
            <w:tcW w:w="7620" w:type="dxa"/>
          </w:tcPr>
          <w:p w14:paraId="2659873F" w14:textId="65BA43D4" w:rsidR="00915077" w:rsidRPr="00E26EF6" w:rsidRDefault="00F9591C">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1.1.1.15</w:t>
            </w:r>
            <w:r w:rsidRPr="00E26EF6">
              <w:rPr>
                <w:rStyle w:val="InstructionsTabelleberschrift"/>
                <w:rFonts w:ascii="Times New Roman" w:hAnsi="Times New Roman"/>
                <w:sz w:val="24"/>
              </w:rPr>
              <w:tab/>
              <w:t>(-) 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53A63BE0" w14:textId="2C6BBB4D"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122,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g)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44 CRR</w:t>
            </w:r>
          </w:p>
          <w:p w14:paraId="2B53DEDC" w14:textId="51D12F81"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Udziały kapitałowe</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Tier I 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 jeżeli istnieje krzyżowe powiązanie kapitałowe, uznane przez właściwy organ za mające na celu sztuczne zawyżanie funduszy własnych instytucji.</w:t>
            </w:r>
          </w:p>
          <w:p w14:paraId="4B9979A2" w14:textId="3529F915"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Kwotę, którą należy tu zgłosić, oblicza się na podstawie pozycji długich brutto</w:t>
            </w:r>
            <w:r w:rsidR="00E26EF6" w:rsidRPr="00E26EF6">
              <w:rPr>
                <w:rStyle w:val="FormatvorlageInstructionsTabelleText"/>
                <w:rFonts w:ascii="Times New Roman" w:hAnsi="Times New Roman"/>
                <w:sz w:val="24"/>
              </w:rPr>
              <w:t xml:space="preserve"> i obe</w:t>
            </w:r>
            <w:r w:rsidRPr="00E26EF6">
              <w:rPr>
                <w:rStyle w:val="FormatvorlageInstructionsTabelleText"/>
                <w:rFonts w:ascii="Times New Roman" w:hAnsi="Times New Roman"/>
                <w:sz w:val="24"/>
              </w:rPr>
              <w:t>jmuje ona pozycje ubezpieczeniowe funduszy własnych Tier I.</w:t>
            </w:r>
          </w:p>
        </w:tc>
      </w:tr>
      <w:tr w:rsidR="00915077" w:rsidRPr="00E26EF6" w14:paraId="4EBA580A" w14:textId="77777777" w:rsidTr="00672D2A">
        <w:tc>
          <w:tcPr>
            <w:tcW w:w="1129" w:type="dxa"/>
          </w:tcPr>
          <w:p w14:paraId="6D1BE33E"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440</w:t>
            </w:r>
          </w:p>
        </w:tc>
        <w:tc>
          <w:tcPr>
            <w:tcW w:w="7620" w:type="dxa"/>
          </w:tcPr>
          <w:p w14:paraId="61E9BF7A" w14:textId="548C30A9"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1.1.1.16</w:t>
            </w:r>
            <w:r w:rsidRPr="00E26EF6">
              <w:rPr>
                <w:rStyle w:val="InstructionsTabelleberschrift"/>
                <w:rFonts w:ascii="Times New Roman" w:hAnsi="Times New Roman"/>
                <w:sz w:val="24"/>
              </w:rPr>
              <w:tab/>
              <w:t>(-) Nadwyżka odliczenia od pozycji dodatkowych</w:t>
            </w:r>
            <w:r w:rsidR="00E26EF6" w:rsidRPr="00E26EF6">
              <w:rPr>
                <w:rStyle w:val="InstructionsTabelleberschrift"/>
                <w:rFonts w:ascii="Times New Roman" w:hAnsi="Times New Roman"/>
                <w:sz w:val="24"/>
              </w:rPr>
              <w:t xml:space="preserve"> w Tie</w:t>
            </w:r>
            <w:r w:rsidRPr="00E26EF6">
              <w:rPr>
                <w:rStyle w:val="InstructionsTabelleberschrift"/>
                <w:rFonts w:ascii="Times New Roman" w:hAnsi="Times New Roman"/>
                <w:sz w:val="24"/>
              </w:rPr>
              <w:t xml:space="preserve">r I ponad kapitał dodatkowy Tier I </w:t>
            </w:r>
          </w:p>
          <w:p w14:paraId="5F639232" w14:textId="60FABD4A"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j) CRR</w:t>
            </w:r>
          </w:p>
          <w:p w14:paraId="09EC7111" w14:textId="5EAE6C4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jest uzyskiwana bezpośrednio</w:t>
            </w:r>
            <w:r w:rsidR="00E26EF6" w:rsidRPr="00E26EF6">
              <w:rPr>
                <w:rStyle w:val="FormatvorlageInstructionsTabelleText"/>
                <w:rFonts w:ascii="Times New Roman" w:hAnsi="Times New Roman"/>
                <w:sz w:val="24"/>
              </w:rPr>
              <w:t xml:space="preserve"> z poz</w:t>
            </w:r>
            <w:r w:rsidRPr="00E26EF6">
              <w:rPr>
                <w:rStyle w:val="FormatvorlageInstructionsTabelleText"/>
                <w:rFonts w:ascii="Times New Roman" w:hAnsi="Times New Roman"/>
                <w:sz w:val="24"/>
              </w:rPr>
              <w:t>ycji CA1 „Nadwyżka odliczenia od pozycji dodatkowych</w:t>
            </w:r>
            <w:r w:rsidR="00E26EF6" w:rsidRPr="00E26EF6">
              <w:rPr>
                <w:rStyle w:val="FormatvorlageInstructionsTabelleText"/>
                <w:rFonts w:ascii="Times New Roman" w:hAnsi="Times New Roman"/>
                <w:sz w:val="24"/>
              </w:rPr>
              <w:t xml:space="preserve"> w Tie</w:t>
            </w:r>
            <w:r w:rsidRPr="00E26EF6">
              <w:rPr>
                <w:rStyle w:val="FormatvorlageInstructionsTabelleText"/>
                <w:rFonts w:ascii="Times New Roman" w:hAnsi="Times New Roman"/>
                <w:sz w:val="24"/>
              </w:rPr>
              <w:t>r I ponad kapitał dodatkowy Tier I”. Kwotę tę należy odliczyć od kapitału podstawowego Tier I.</w:t>
            </w:r>
          </w:p>
        </w:tc>
      </w:tr>
      <w:tr w:rsidR="00915077" w:rsidRPr="00E26EF6" w14:paraId="35614C08" w14:textId="77777777" w:rsidTr="00672D2A">
        <w:tc>
          <w:tcPr>
            <w:tcW w:w="1129" w:type="dxa"/>
          </w:tcPr>
          <w:p w14:paraId="5DD060AE" w14:textId="77777777" w:rsidR="00915077" w:rsidRPr="00E26EF6" w:rsidRDefault="00BA1C6C">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450</w:t>
            </w:r>
          </w:p>
        </w:tc>
        <w:tc>
          <w:tcPr>
            <w:tcW w:w="7620" w:type="dxa"/>
          </w:tcPr>
          <w:p w14:paraId="1E19E661" w14:textId="46EA93FB"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1.1.1.17</w:t>
            </w:r>
            <w:r w:rsidRPr="00E26EF6">
              <w:rPr>
                <w:rStyle w:val="InstructionsTabelleberschrift"/>
                <w:rFonts w:ascii="Times New Roman" w:hAnsi="Times New Roman"/>
                <w:sz w:val="24"/>
              </w:rPr>
              <w:tab/>
              <w:t>(-) Znaczne pakiety akcji poza sektorem finansowym, które alternatywnie mogą podlegać stosowaniu wagi ryzyka 1 250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62A7D1AE" w14:textId="1CC3FD33"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k) i i)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89–91 CRR</w:t>
            </w:r>
          </w:p>
          <w:p w14:paraId="5B23F420" w14:textId="4453E6F2"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Znaczny pakiet akcji definiuje się jako „posiadany bezpośredni lub pośredni udział</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edsiębiorstwie reprezentujący co najmniej 10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kapitału lub praw głosu lub umożliwiający wywieranie znacznego wpływu na zarządzanie tym przedsiębiorstwem”.</w:t>
            </w:r>
          </w:p>
          <w:p w14:paraId="0D594964" w14:textId="03153A09"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k) ppkt (i) CRR znaczne pakiety akcji można</w:t>
            </w:r>
            <w:r w:rsidR="00E26EF6" w:rsidRPr="00E26EF6">
              <w:rPr>
                <w:rStyle w:val="FormatvorlageInstructionsTabelleText"/>
                <w:rFonts w:ascii="Times New Roman" w:hAnsi="Times New Roman"/>
                <w:sz w:val="24"/>
              </w:rPr>
              <w:t xml:space="preserve"> w ram</w:t>
            </w:r>
            <w:r w:rsidRPr="00E26EF6">
              <w:rPr>
                <w:rStyle w:val="FormatvorlageInstructionsTabelleText"/>
                <w:rFonts w:ascii="Times New Roman" w:hAnsi="Times New Roman"/>
                <w:sz w:val="24"/>
              </w:rPr>
              <w:t>ach rozwiązania alternatywnego odliczyć od kapitału podstawowego Tier I (używając tej pozycji) lub zastosować wobec nich wagę ryzyka równą 1 250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w:t>
            </w:r>
          </w:p>
        </w:tc>
      </w:tr>
      <w:tr w:rsidR="00915077" w:rsidRPr="00E26EF6" w14:paraId="77436E8C" w14:textId="77777777" w:rsidTr="00672D2A">
        <w:tc>
          <w:tcPr>
            <w:tcW w:w="1129" w:type="dxa"/>
          </w:tcPr>
          <w:p w14:paraId="70AEAC6A" w14:textId="77777777" w:rsidR="00915077" w:rsidRPr="00E26EF6" w:rsidRDefault="00BA1C6C">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460</w:t>
            </w:r>
          </w:p>
        </w:tc>
        <w:tc>
          <w:tcPr>
            <w:tcW w:w="7620" w:type="dxa"/>
          </w:tcPr>
          <w:p w14:paraId="781952B8" w14:textId="07AC131A"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1.1.1.18</w:t>
            </w:r>
            <w:r w:rsidRPr="00E26EF6">
              <w:rPr>
                <w:rStyle w:val="InstructionsTabelleberschrift"/>
                <w:rFonts w:ascii="Times New Roman" w:hAnsi="Times New Roman"/>
                <w:sz w:val="24"/>
              </w:rPr>
              <w:tab/>
              <w:t>(-) Pozycje sekurytyzacyjne, które alternatywnie mogą podlegać stosowaniu wagi ryzyka 1250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7E87528D" w14:textId="79B263C9"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244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245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253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1 CRR </w:t>
            </w:r>
          </w:p>
          <w:p w14:paraId="2876F937" w14:textId="76BA16BC"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 tej pozycji zgłasza się pozycje sekurytyzacyjne, które są objęte wagą ryzyka równą 1 250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lecz które można alternatywnie odliczyć od kapitału podstawowego Tier 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k) ppkt (ii) CRR).</w:t>
            </w:r>
          </w:p>
        </w:tc>
      </w:tr>
      <w:tr w:rsidR="00915077" w:rsidRPr="00E26EF6" w14:paraId="1E8BDF63" w14:textId="77777777" w:rsidTr="00672D2A">
        <w:tc>
          <w:tcPr>
            <w:tcW w:w="1129" w:type="dxa"/>
          </w:tcPr>
          <w:p w14:paraId="70F4DA35"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470</w:t>
            </w:r>
          </w:p>
        </w:tc>
        <w:tc>
          <w:tcPr>
            <w:tcW w:w="7620" w:type="dxa"/>
          </w:tcPr>
          <w:p w14:paraId="7C640C13" w14:textId="37786CAB"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1.1.1.19</w:t>
            </w:r>
            <w:r w:rsidRPr="00E26EF6">
              <w:rPr>
                <w:rStyle w:val="InstructionsTabelleberschrift"/>
                <w:rFonts w:ascii="Times New Roman" w:hAnsi="Times New Roman"/>
                <w:sz w:val="24"/>
              </w:rPr>
              <w:tab/>
              <w:t>(-) Dostawy</w:t>
            </w:r>
            <w:r w:rsidR="00E26EF6" w:rsidRPr="00E26EF6">
              <w:rPr>
                <w:rStyle w:val="InstructionsTabelleberschrift"/>
                <w:rFonts w:ascii="Times New Roman" w:hAnsi="Times New Roman"/>
                <w:sz w:val="24"/>
              </w:rPr>
              <w:t xml:space="preserve"> z póź</w:t>
            </w:r>
            <w:r w:rsidRPr="00E26EF6">
              <w:rPr>
                <w:rStyle w:val="InstructionsTabelleberschrift"/>
                <w:rFonts w:ascii="Times New Roman" w:hAnsi="Times New Roman"/>
                <w:sz w:val="24"/>
              </w:rPr>
              <w:t>niejszym terminem rozliczenia, które alternatywnie mogą podlegać stosowaniu wagi ryzyka 1 250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2530399A" w14:textId="472359AC"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k) ppkt (iii)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379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 CRR</w:t>
            </w:r>
          </w:p>
          <w:p w14:paraId="461E96CC" w14:textId="660248F2"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Zgodnie</w:t>
            </w:r>
            <w:r w:rsidR="00E26EF6" w:rsidRPr="00E26EF6">
              <w:rPr>
                <w:rStyle w:val="FormatvorlageInstructionsTabelleText"/>
                <w:rFonts w:ascii="Times New Roman" w:hAnsi="Times New Roman"/>
                <w:sz w:val="24"/>
              </w:rPr>
              <w:t xml:space="preserve"> z wym</w:t>
            </w:r>
            <w:r w:rsidRPr="00E26EF6">
              <w:rPr>
                <w:rStyle w:val="FormatvorlageInstructionsTabelleText"/>
                <w:rFonts w:ascii="Times New Roman" w:hAnsi="Times New Roman"/>
                <w:sz w:val="24"/>
              </w:rPr>
              <w:t>ogami</w:t>
            </w:r>
            <w:r w:rsidR="00E26EF6" w:rsidRPr="00E26EF6">
              <w:rPr>
                <w:rStyle w:val="FormatvorlageInstructionsTabelleText"/>
                <w:rFonts w:ascii="Times New Roman" w:hAnsi="Times New Roman"/>
                <w:sz w:val="24"/>
              </w:rPr>
              <w:t xml:space="preserve"> w zak</w:t>
            </w:r>
            <w:r w:rsidRPr="00E26EF6">
              <w:rPr>
                <w:rStyle w:val="FormatvorlageInstructionsTabelleText"/>
                <w:rFonts w:ascii="Times New Roman" w:hAnsi="Times New Roman"/>
                <w:sz w:val="24"/>
              </w:rPr>
              <w:t>resie funduszy własnych</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ryzyka rozliczenia, dostawy</w:t>
            </w:r>
            <w:r w:rsidR="00E26EF6" w:rsidRPr="00E26EF6">
              <w:rPr>
                <w:rStyle w:val="FormatvorlageInstructionsTabelleText"/>
                <w:rFonts w:ascii="Times New Roman" w:hAnsi="Times New Roman"/>
                <w:sz w:val="24"/>
              </w:rPr>
              <w:t xml:space="preserve"> z póź</w:t>
            </w:r>
            <w:r w:rsidRPr="00E26EF6">
              <w:rPr>
                <w:rStyle w:val="FormatvorlageInstructionsTabelleText"/>
                <w:rFonts w:ascii="Times New Roman" w:hAnsi="Times New Roman"/>
                <w:sz w:val="24"/>
              </w:rPr>
              <w:t>niejszym terminem rozliczenia są objęte wagą ryzyka równą 1 250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po</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 dniach od drugiej umownej płatności lub dostawie do wygaśnięcia transakcji</w:t>
            </w:r>
            <w:r w:rsidR="00E26EF6" w:rsidRPr="00E26EF6">
              <w:rPr>
                <w:rStyle w:val="FormatvorlageInstructionsTabelleText"/>
                <w:rFonts w:ascii="Times New Roman" w:hAnsi="Times New Roman"/>
                <w:sz w:val="24"/>
              </w:rPr>
              <w:t>. W ram</w:t>
            </w:r>
            <w:r w:rsidRPr="00E26EF6">
              <w:rPr>
                <w:rStyle w:val="FormatvorlageInstructionsTabelleText"/>
                <w:rFonts w:ascii="Times New Roman" w:hAnsi="Times New Roman"/>
                <w:sz w:val="24"/>
              </w:rPr>
              <w:t xml:space="preserve">ach rozwiązania </w:t>
            </w:r>
            <w:r w:rsidRPr="00E26EF6">
              <w:rPr>
                <w:rStyle w:val="FormatvorlageInstructionsTabelleText"/>
                <w:rFonts w:ascii="Times New Roman" w:hAnsi="Times New Roman"/>
                <w:sz w:val="24"/>
              </w:rPr>
              <w:lastRenderedPageBreak/>
              <w:t>alternatywnego można je odliczyć od kapitału podstawowego Tier 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k) ppkt (iii) CRR)</w:t>
            </w:r>
            <w:r w:rsidR="00E26EF6" w:rsidRPr="00E26EF6">
              <w:rPr>
                <w:rStyle w:val="FormatvorlageInstructionsTabelleText"/>
                <w:rFonts w:ascii="Times New Roman" w:hAnsi="Times New Roman"/>
                <w:sz w:val="24"/>
              </w:rPr>
              <w:t>. W tym</w:t>
            </w:r>
            <w:r w:rsidRPr="00E26EF6">
              <w:rPr>
                <w:rStyle w:val="FormatvorlageInstructionsTabelleText"/>
                <w:rFonts w:ascii="Times New Roman" w:hAnsi="Times New Roman"/>
                <w:sz w:val="24"/>
              </w:rPr>
              <w:t xml:space="preserve"> ostatnim przypadku dostawy te zgłasza się</w:t>
            </w:r>
            <w:r w:rsidR="00E26EF6" w:rsidRPr="00E26EF6">
              <w:rPr>
                <w:rStyle w:val="FormatvorlageInstructionsTabelleText"/>
                <w:rFonts w:ascii="Times New Roman" w:hAnsi="Times New Roman"/>
                <w:sz w:val="24"/>
              </w:rPr>
              <w:t xml:space="preserve"> w tej</w:t>
            </w:r>
            <w:r w:rsidRPr="00E26EF6">
              <w:rPr>
                <w:rStyle w:val="FormatvorlageInstructionsTabelleText"/>
                <w:rFonts w:ascii="Times New Roman" w:hAnsi="Times New Roman"/>
                <w:sz w:val="24"/>
              </w:rPr>
              <w:t xml:space="preserve"> pozycji.</w:t>
            </w:r>
          </w:p>
        </w:tc>
      </w:tr>
      <w:tr w:rsidR="00915077" w:rsidRPr="00E26EF6" w14:paraId="3A892529" w14:textId="77777777" w:rsidTr="00672D2A">
        <w:tc>
          <w:tcPr>
            <w:tcW w:w="1129" w:type="dxa"/>
          </w:tcPr>
          <w:p w14:paraId="7705932E"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471</w:t>
            </w:r>
          </w:p>
        </w:tc>
        <w:tc>
          <w:tcPr>
            <w:tcW w:w="7620" w:type="dxa"/>
          </w:tcPr>
          <w:p w14:paraId="2BEC5116" w14:textId="31B1C890" w:rsidR="00915077" w:rsidRPr="00E26EF6" w:rsidRDefault="006022C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1.1.1.20</w:t>
            </w:r>
            <w:r w:rsidRPr="00E26EF6">
              <w:rPr>
                <w:rStyle w:val="InstructionsTabelleberschrift"/>
                <w:rFonts w:ascii="Times New Roman" w:hAnsi="Times New Roman"/>
                <w:sz w:val="24"/>
              </w:rPr>
              <w:tab/>
              <w:t>(-) Pozycje</w:t>
            </w:r>
            <w:r w:rsidR="00E26EF6" w:rsidRPr="00E26EF6">
              <w:rPr>
                <w:rStyle w:val="InstructionsTabelleberschrift"/>
                <w:rFonts w:ascii="Times New Roman" w:hAnsi="Times New Roman"/>
                <w:sz w:val="24"/>
              </w:rPr>
              <w:t xml:space="preserve"> w kos</w:t>
            </w:r>
            <w:r w:rsidRPr="00E26EF6">
              <w:rPr>
                <w:rStyle w:val="InstructionsTabelleberschrift"/>
                <w:rFonts w:ascii="Times New Roman" w:hAnsi="Times New Roman"/>
                <w:sz w:val="24"/>
              </w:rPr>
              <w:t>zyku,</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których instytucja nie może określić wagi ryzyka przy zastosowaniu metody IRB oraz które alternatywnie mogą podlegać stosowaniu wagi ryzyka 1 250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23EF78C2" w14:textId="280B9704" w:rsidR="00915077" w:rsidRPr="00E26EF6" w:rsidRDefault="00C7103D">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36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k) ppkt (iv) oraz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153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8 CRR</w:t>
            </w:r>
          </w:p>
          <w:p w14:paraId="34F8740F" w14:textId="370A89A4" w:rsidR="00915077" w:rsidRPr="00E26EF6" w:rsidRDefault="00666996">
            <w:pPr>
              <w:pStyle w:val="InstructionsText"/>
              <w:rPr>
                <w:rStyle w:val="InstructionsTabelleberschrift"/>
                <w:rFonts w:ascii="Times New Roman" w:hAnsi="Times New Roman"/>
                <w:b w:val="0"/>
                <w:sz w:val="24"/>
                <w:highlight w:val="lightGray"/>
                <w:u w:val="none"/>
              </w:rPr>
            </w:pPr>
            <w:r w:rsidRPr="00E26EF6">
              <w:rPr>
                <w:rStyle w:val="FormatvorlageInstructionsTabelleText"/>
                <w:rFonts w:ascii="Times New Roman" w:hAnsi="Times New Roman"/>
                <w:sz w:val="24"/>
              </w:rPr>
              <w:t>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k) ppkt (iv) CRR, </w:t>
            </w:r>
            <w:r w:rsidRPr="00E26EF6">
              <w:rPr>
                <w:rStyle w:val="InstructionsTabelleberschrift"/>
                <w:rFonts w:ascii="Times New Roman" w:hAnsi="Times New Roman"/>
                <w:b w:val="0"/>
                <w:sz w:val="24"/>
                <w:u w:val="none"/>
              </w:rPr>
              <w:t>(-) pozycje</w:t>
            </w:r>
            <w:r w:rsidR="00E26EF6" w:rsidRPr="00E26EF6">
              <w:rPr>
                <w:rStyle w:val="InstructionsTabelleberschrift"/>
                <w:rFonts w:ascii="Times New Roman" w:hAnsi="Times New Roman"/>
                <w:b w:val="0"/>
                <w:sz w:val="24"/>
                <w:u w:val="none"/>
              </w:rPr>
              <w:t xml:space="preserve"> w kos</w:t>
            </w:r>
            <w:r w:rsidRPr="00E26EF6">
              <w:rPr>
                <w:rStyle w:val="InstructionsTabelleberschrift"/>
                <w:rFonts w:ascii="Times New Roman" w:hAnsi="Times New Roman"/>
                <w:b w:val="0"/>
                <w:sz w:val="24"/>
                <w:u w:val="none"/>
              </w:rPr>
              <w:t>zyku,</w:t>
            </w:r>
            <w:r w:rsidR="00E26EF6" w:rsidRPr="00E26EF6">
              <w:rPr>
                <w:rStyle w:val="InstructionsTabelleberschrift"/>
                <w:rFonts w:ascii="Times New Roman" w:hAnsi="Times New Roman"/>
                <w:b w:val="0"/>
                <w:sz w:val="24"/>
                <w:u w:val="none"/>
              </w:rPr>
              <w:t xml:space="preserve"> w odn</w:t>
            </w:r>
            <w:r w:rsidRPr="00E26EF6">
              <w:rPr>
                <w:rStyle w:val="InstructionsTabelleberschrift"/>
                <w:rFonts w:ascii="Times New Roman" w:hAnsi="Times New Roman"/>
                <w:b w:val="0"/>
                <w:sz w:val="24"/>
                <w:u w:val="none"/>
              </w:rPr>
              <w:t>iesieniu do których instytucja nie może określić wagi ryzyka przy zastosowaniu metody IRB</w:t>
            </w:r>
            <w:r w:rsidRPr="00E26EF6">
              <w:rPr>
                <w:rStyle w:val="FormatvorlageInstructionsTabelleText"/>
                <w:rFonts w:ascii="Times New Roman" w:hAnsi="Times New Roman"/>
                <w:sz w:val="24"/>
              </w:rPr>
              <w:t xml:space="preserve"> mogą alternatywnie podlegać odliczeniu</w:t>
            </w:r>
            <w:r w:rsidR="00E26EF6" w:rsidRPr="00E26EF6">
              <w:rPr>
                <w:rStyle w:val="FormatvorlageInstructionsTabelleText"/>
                <w:rFonts w:ascii="Times New Roman" w:hAnsi="Times New Roman"/>
                <w:sz w:val="24"/>
              </w:rPr>
              <w:t xml:space="preserve"> z kap</w:t>
            </w:r>
            <w:r w:rsidRPr="00E26EF6">
              <w:rPr>
                <w:rStyle w:val="FormatvorlageInstructionsTabelleText"/>
                <w:rFonts w:ascii="Times New Roman" w:hAnsi="Times New Roman"/>
                <w:sz w:val="24"/>
              </w:rPr>
              <w:t>itału podstawowego Tier I (używając tej pozycji) lub stosowaniu wagi ryzyka 1 250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w:t>
            </w:r>
          </w:p>
        </w:tc>
      </w:tr>
      <w:tr w:rsidR="00915077" w:rsidRPr="00E26EF6" w14:paraId="3917E2A4" w14:textId="77777777" w:rsidTr="00672D2A">
        <w:tc>
          <w:tcPr>
            <w:tcW w:w="1129" w:type="dxa"/>
          </w:tcPr>
          <w:p w14:paraId="3A637B33"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472</w:t>
            </w:r>
          </w:p>
        </w:tc>
        <w:tc>
          <w:tcPr>
            <w:tcW w:w="7620" w:type="dxa"/>
          </w:tcPr>
          <w:p w14:paraId="157A1D2F" w14:textId="7160B5BD" w:rsidR="00915077" w:rsidRPr="00E26EF6" w:rsidRDefault="006022C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1.1.1.21</w:t>
            </w:r>
            <w:r w:rsidRPr="00E26EF6">
              <w:rPr>
                <w:rStyle w:val="InstructionsTabelleberschrift"/>
                <w:rFonts w:ascii="Times New Roman" w:hAnsi="Times New Roman"/>
                <w:sz w:val="24"/>
              </w:rPr>
              <w:tab/>
              <w:t>(-) Ekspozycje kapitałowe przy zastosowaniu metody modeli wewnętrznych, które alternatywnie mogą podlegać stosowaniu wagi ryzyka 1 250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08BE5CC2" w14:textId="6DBE80A8" w:rsidR="00915077" w:rsidRPr="00E26EF6" w:rsidRDefault="00C7103D">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36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k) ppkt (v) oraz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155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 CRR</w:t>
            </w:r>
          </w:p>
          <w:p w14:paraId="09F9394D" w14:textId="16F04B16" w:rsidR="00915077" w:rsidRPr="00E26EF6" w:rsidRDefault="00666996">
            <w:pPr>
              <w:pStyle w:val="InstructionsText"/>
              <w:rPr>
                <w:rStyle w:val="InstructionsTabelleberschrift"/>
                <w:rFonts w:ascii="Times New Roman" w:hAnsi="Times New Roman"/>
                <w:b w:val="0"/>
                <w:sz w:val="24"/>
                <w:highlight w:val="lightGray"/>
                <w:u w:val="none"/>
              </w:rPr>
            </w:pPr>
            <w:r w:rsidRPr="00E26EF6">
              <w:rPr>
                <w:rStyle w:val="FormatvorlageInstructionsTabelleText"/>
                <w:rFonts w:ascii="Times New Roman" w:hAnsi="Times New Roman"/>
                <w:sz w:val="24"/>
              </w:rPr>
              <w:t>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k) ppkt (v) CRR </w:t>
            </w:r>
            <w:r w:rsidRPr="00E26EF6">
              <w:rPr>
                <w:rStyle w:val="InstructionsTabelleberschrift"/>
                <w:rFonts w:ascii="Times New Roman" w:hAnsi="Times New Roman"/>
                <w:b w:val="0"/>
                <w:sz w:val="24"/>
                <w:u w:val="none"/>
              </w:rPr>
              <w:t>ekspozycje kapitałowe przy zastosowaniu metody modeli wewnętrznych</w:t>
            </w:r>
            <w:r w:rsidRPr="00E26EF6">
              <w:rPr>
                <w:rStyle w:val="FormatvorlageInstructionsTabelleText"/>
                <w:rFonts w:ascii="Times New Roman" w:hAnsi="Times New Roman"/>
                <w:sz w:val="24"/>
              </w:rPr>
              <w:t xml:space="preserve"> można</w:t>
            </w:r>
            <w:r w:rsidR="00E26EF6" w:rsidRPr="00E26EF6">
              <w:rPr>
                <w:rStyle w:val="FormatvorlageInstructionsTabelleText"/>
                <w:rFonts w:ascii="Times New Roman" w:hAnsi="Times New Roman"/>
                <w:sz w:val="24"/>
              </w:rPr>
              <w:t xml:space="preserve"> w ram</w:t>
            </w:r>
            <w:r w:rsidRPr="00E26EF6">
              <w:rPr>
                <w:rStyle w:val="FormatvorlageInstructionsTabelleText"/>
                <w:rFonts w:ascii="Times New Roman" w:hAnsi="Times New Roman"/>
                <w:sz w:val="24"/>
              </w:rPr>
              <w:t>ach rozwiązania alternatywnego odliczyć od kapitału podstawowego Tier I (używając tej pozycji) lub mogą one podlegać stosowaniu wagi ryzyka 1 250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w:t>
            </w:r>
          </w:p>
        </w:tc>
      </w:tr>
      <w:tr w:rsidR="00915077" w:rsidRPr="00E26EF6" w14:paraId="5BCBC4E2" w14:textId="77777777" w:rsidTr="00672D2A">
        <w:tc>
          <w:tcPr>
            <w:tcW w:w="1129" w:type="dxa"/>
          </w:tcPr>
          <w:p w14:paraId="645E72BC"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480</w:t>
            </w:r>
          </w:p>
        </w:tc>
        <w:tc>
          <w:tcPr>
            <w:tcW w:w="7620" w:type="dxa"/>
          </w:tcPr>
          <w:p w14:paraId="1664893D" w14:textId="1811C3E9"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1.1.1.22</w:t>
            </w:r>
            <w:r w:rsidRPr="00E26EF6">
              <w:rPr>
                <w:rStyle w:val="InstructionsTabelleberschrift"/>
                <w:rFonts w:ascii="Times New Roman" w:hAnsi="Times New Roman"/>
                <w:sz w:val="24"/>
              </w:rPr>
              <w:tab/>
              <w:t>(-)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w:t>
            </w:r>
          </w:p>
          <w:p w14:paraId="29F1B510" w14:textId="56FDF7CC"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h),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43–46,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49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w:t>
            </w:r>
            <w:r w:rsidR="00E26EF6" w:rsidRPr="00E26EF6">
              <w:rPr>
                <w:rStyle w:val="FormatvorlageInstructionsTabelleText"/>
                <w:rFonts w:ascii="Times New Roman" w:hAnsi="Times New Roman"/>
                <w:sz w:val="24"/>
              </w:rPr>
              <w:t xml:space="preserve"> i 3</w:t>
            </w:r>
            <w:r w:rsidRPr="00E26EF6">
              <w:rPr>
                <w:rStyle w:val="FormatvorlageInstructionsTabelleText"/>
                <w:rFonts w:ascii="Times New Roman" w:hAnsi="Times New Roman"/>
                <w:sz w:val="24"/>
              </w:rPr>
              <w:t xml:space="preserve">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79 CRR</w:t>
            </w:r>
          </w:p>
          <w:p w14:paraId="38BC00BA" w14:textId="4AA60463"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Część posiadanych przez instytucję udziałów kapitałowych</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 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ypadkach, gdy instytucja nie dokonała znacznej inwestycji w te podmioty, którą należy odliczyć od kapitału podstawowego Tier I.</w:t>
            </w:r>
          </w:p>
          <w:p w14:paraId="1F74B836" w14:textId="7D82E2BF"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opcje alternatywne dotyczące odliczeń</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zastosowania konsolidacji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49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w:t>
            </w:r>
            <w:r w:rsidR="00E26EF6" w:rsidRPr="00E26EF6">
              <w:rPr>
                <w:rStyle w:val="FormatvorlageInstructionsTabelleText"/>
                <w:rFonts w:ascii="Times New Roman" w:hAnsi="Times New Roman"/>
                <w:sz w:val="24"/>
              </w:rPr>
              <w:t xml:space="preserve"> i 3</w:t>
            </w:r>
            <w:r w:rsidRPr="00E26EF6">
              <w:rPr>
                <w:rStyle w:val="FormatvorlageInstructionsTabelleText"/>
                <w:rFonts w:ascii="Times New Roman" w:hAnsi="Times New Roman"/>
                <w:sz w:val="24"/>
              </w:rPr>
              <w:t xml:space="preserve"> CRR).</w:t>
            </w:r>
          </w:p>
        </w:tc>
      </w:tr>
      <w:tr w:rsidR="00915077" w:rsidRPr="00E26EF6" w14:paraId="631F7107" w14:textId="77777777" w:rsidTr="00672D2A">
        <w:tc>
          <w:tcPr>
            <w:tcW w:w="1129" w:type="dxa"/>
          </w:tcPr>
          <w:p w14:paraId="334D0711"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490</w:t>
            </w:r>
          </w:p>
        </w:tc>
        <w:tc>
          <w:tcPr>
            <w:tcW w:w="7620" w:type="dxa"/>
          </w:tcPr>
          <w:p w14:paraId="2D14DF68" w14:textId="4EEC7543"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1.1.1.23</w:t>
            </w:r>
            <w:r w:rsidRPr="00E26EF6">
              <w:rPr>
                <w:rStyle w:val="InstructionsTabelleberschrift"/>
                <w:rFonts w:ascii="Times New Roman" w:hAnsi="Times New Roman"/>
                <w:sz w:val="24"/>
              </w:rPr>
              <w:tab/>
              <w:t>(-) 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oparte na przyszłej rentowności</w:t>
            </w:r>
            <w:r w:rsidR="00E26EF6" w:rsidRPr="00E26EF6">
              <w:rPr>
                <w:rStyle w:val="InstructionsTabelleberschrift"/>
                <w:rFonts w:ascii="Times New Roman" w:hAnsi="Times New Roman"/>
                <w:sz w:val="24"/>
              </w:rPr>
              <w:t xml:space="preserve"> i wyn</w:t>
            </w:r>
            <w:r w:rsidRPr="00E26EF6">
              <w:rPr>
                <w:rStyle w:val="InstructionsTabelleberschrift"/>
                <w:rFonts w:ascii="Times New Roman" w:hAnsi="Times New Roman"/>
                <w:sz w:val="24"/>
              </w:rPr>
              <w:t>ikające</w:t>
            </w:r>
            <w:r w:rsidR="00E26EF6" w:rsidRPr="00E26EF6">
              <w:rPr>
                <w:rStyle w:val="InstructionsTabelleberschrift"/>
                <w:rFonts w:ascii="Times New Roman" w:hAnsi="Times New Roman"/>
                <w:sz w:val="24"/>
              </w:rPr>
              <w:t xml:space="preserve"> z róż</w:t>
            </w:r>
            <w:r w:rsidRPr="00E26EF6">
              <w:rPr>
                <w:rStyle w:val="InstructionsTabelleberschrift"/>
                <w:rFonts w:ascii="Times New Roman" w:hAnsi="Times New Roman"/>
                <w:sz w:val="24"/>
              </w:rPr>
              <w:t>nic przejściowych</w:t>
            </w:r>
          </w:p>
          <w:p w14:paraId="14CB7685" w14:textId="1983DF7A" w:rsidR="00915077" w:rsidRPr="00E26EF6" w:rsidRDefault="00C7103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Art. 38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5C8E88B5" w14:textId="6FD760A8"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Część aktywów</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odroczonego podatku dochodowego opartych na przyszłej rentowności</w:t>
            </w:r>
            <w:r w:rsidR="00E26EF6" w:rsidRPr="00E26EF6">
              <w:rPr>
                <w:rStyle w:val="FormatvorlageInstructionsTabelleText"/>
                <w:rFonts w:ascii="Times New Roman" w:hAnsi="Times New Roman"/>
                <w:sz w:val="24"/>
              </w:rPr>
              <w:t xml:space="preserve"> i wyn</w:t>
            </w:r>
            <w:r w:rsidRPr="00E26EF6">
              <w:rPr>
                <w:rStyle w:val="FormatvorlageInstructionsTabelleText"/>
                <w:rFonts w:ascii="Times New Roman" w:hAnsi="Times New Roman"/>
                <w:sz w:val="24"/>
              </w:rPr>
              <w:t>ikających</w:t>
            </w:r>
            <w:r w:rsidR="00E26EF6" w:rsidRPr="00E26EF6">
              <w:rPr>
                <w:rStyle w:val="FormatvorlageInstructionsTabelleText"/>
                <w:rFonts w:ascii="Times New Roman" w:hAnsi="Times New Roman"/>
                <w:sz w:val="24"/>
              </w:rPr>
              <w:t xml:space="preserve"> z róż</w:t>
            </w:r>
            <w:r w:rsidRPr="00E26EF6">
              <w:rPr>
                <w:rStyle w:val="FormatvorlageInstructionsTabelleText"/>
                <w:rFonts w:ascii="Times New Roman" w:hAnsi="Times New Roman"/>
                <w:sz w:val="24"/>
              </w:rPr>
              <w:t>nic przejściowych (po odliczeniu części powiązanych rezerw</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odroczonego podatku dochodowego zakwalifikowanych do aktywów</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odroczonego podatku dochodowego wynikających</w:t>
            </w:r>
            <w:r w:rsidR="00E26EF6" w:rsidRPr="00E26EF6">
              <w:rPr>
                <w:rStyle w:val="FormatvorlageInstructionsTabelleText"/>
                <w:rFonts w:ascii="Times New Roman" w:hAnsi="Times New Roman"/>
                <w:sz w:val="24"/>
              </w:rPr>
              <w:t xml:space="preserve"> z róż</w:t>
            </w:r>
            <w:r w:rsidRPr="00E26EF6">
              <w:rPr>
                <w:rStyle w:val="FormatvorlageInstructionsTabelleText"/>
                <w:rFonts w:ascii="Times New Roman" w:hAnsi="Times New Roman"/>
                <w:sz w:val="24"/>
              </w:rPr>
              <w:t>nic przejściowych), które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 należy odjąć, stosując próg 10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określony</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tc>
      </w:tr>
      <w:tr w:rsidR="00915077" w:rsidRPr="00E26EF6" w14:paraId="37D9C6E9" w14:textId="77777777" w:rsidTr="00672D2A">
        <w:tc>
          <w:tcPr>
            <w:tcW w:w="1129" w:type="dxa"/>
          </w:tcPr>
          <w:p w14:paraId="483FFB40"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500</w:t>
            </w:r>
          </w:p>
        </w:tc>
        <w:tc>
          <w:tcPr>
            <w:tcW w:w="7620" w:type="dxa"/>
          </w:tcPr>
          <w:p w14:paraId="59969AB1" w14:textId="22EAE577"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1.1.1.24</w:t>
            </w:r>
            <w:r w:rsidRPr="00E26EF6">
              <w:rPr>
                <w:rStyle w:val="InstructionsTabelleberschrift"/>
                <w:rFonts w:ascii="Times New Roman" w:hAnsi="Times New Roman"/>
                <w:sz w:val="24"/>
              </w:rPr>
              <w:tab/>
              <w:t>(-)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01B96D58" w14:textId="42815A9A"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ppkt (i);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43, 45, 47,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49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1, 2</w:t>
            </w:r>
            <w:r w:rsidR="00E26EF6" w:rsidRPr="00E26EF6">
              <w:rPr>
                <w:rStyle w:val="FormatvorlageInstructionsTabelleText"/>
                <w:rFonts w:ascii="Times New Roman" w:hAnsi="Times New Roman"/>
                <w:sz w:val="24"/>
              </w:rPr>
              <w:t xml:space="preserve"> i 3</w:t>
            </w:r>
            <w:r w:rsidRPr="00E26EF6">
              <w:rPr>
                <w:rStyle w:val="FormatvorlageInstructionsTabelleText"/>
                <w:rFonts w:ascii="Times New Roman" w:hAnsi="Times New Roman"/>
                <w:sz w:val="24"/>
              </w:rPr>
              <w:t xml:space="preserve">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79 CRR</w:t>
            </w:r>
          </w:p>
          <w:p w14:paraId="41A471CE" w14:textId="267E3D8E"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Część posiadanych przez instytucję udziałów kapitałowych</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podstawowym Tier I 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ypadkach, gdy instytucja dokonała znacznej inwestycji, którą to część należy odliczyć, stosując próg 10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określony</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p w14:paraId="5CAEC573" w14:textId="6C06EC66"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opcje alternatywne dotyczące odliczeń</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zastosowania konsolidacji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49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1, 2</w:t>
            </w:r>
            <w:r w:rsidR="00E26EF6" w:rsidRPr="00E26EF6">
              <w:rPr>
                <w:rStyle w:val="FormatvorlageInstructionsTabelleText"/>
                <w:rFonts w:ascii="Times New Roman" w:hAnsi="Times New Roman"/>
                <w:sz w:val="24"/>
              </w:rPr>
              <w:t xml:space="preserve"> i 3</w:t>
            </w:r>
            <w:r w:rsidRPr="00E26EF6">
              <w:rPr>
                <w:rStyle w:val="FormatvorlageInstructionsTabelleText"/>
                <w:rFonts w:ascii="Times New Roman" w:hAnsi="Times New Roman"/>
                <w:sz w:val="24"/>
              </w:rPr>
              <w:t xml:space="preserve"> CRR).</w:t>
            </w:r>
          </w:p>
        </w:tc>
      </w:tr>
      <w:tr w:rsidR="00915077" w:rsidRPr="00E26EF6" w14:paraId="29C8C1D4" w14:textId="77777777" w:rsidTr="00672D2A">
        <w:tc>
          <w:tcPr>
            <w:tcW w:w="1129" w:type="dxa"/>
          </w:tcPr>
          <w:p w14:paraId="38B0B555"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510</w:t>
            </w:r>
          </w:p>
        </w:tc>
        <w:tc>
          <w:tcPr>
            <w:tcW w:w="7620" w:type="dxa"/>
          </w:tcPr>
          <w:p w14:paraId="6E294BCD" w14:textId="5A400F9B"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1.1.1.25</w:t>
            </w:r>
            <w:r w:rsidRPr="00E26EF6">
              <w:rPr>
                <w:rStyle w:val="InstructionsTabelleberschrift"/>
                <w:rFonts w:ascii="Times New Roman" w:hAnsi="Times New Roman"/>
                <w:sz w:val="24"/>
              </w:rPr>
              <w:tab/>
              <w:t>(-) Kwota przekraczająca próg 17,65</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414DF414" w14:textId="296CB7B1"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48 ust. 2 CRR</w:t>
            </w:r>
          </w:p>
          <w:p w14:paraId="66997FCD" w14:textId="7CC6F272"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Część aktywów</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odroczonego podatku dochodowego opartych na przyszłej rentowności</w:t>
            </w:r>
            <w:r w:rsidR="00E26EF6" w:rsidRPr="00E26EF6">
              <w:rPr>
                <w:rStyle w:val="FormatvorlageInstructionsTabelleText"/>
                <w:rFonts w:ascii="Times New Roman" w:hAnsi="Times New Roman"/>
                <w:sz w:val="24"/>
              </w:rPr>
              <w:t xml:space="preserve"> i wyn</w:t>
            </w:r>
            <w:r w:rsidRPr="00E26EF6">
              <w:rPr>
                <w:rStyle w:val="FormatvorlageInstructionsTabelleText"/>
                <w:rFonts w:ascii="Times New Roman" w:hAnsi="Times New Roman"/>
                <w:sz w:val="24"/>
              </w:rPr>
              <w:t>ikających</w:t>
            </w:r>
            <w:r w:rsidR="00E26EF6" w:rsidRPr="00E26EF6">
              <w:rPr>
                <w:rStyle w:val="FormatvorlageInstructionsTabelleText"/>
                <w:rFonts w:ascii="Times New Roman" w:hAnsi="Times New Roman"/>
                <w:sz w:val="24"/>
              </w:rPr>
              <w:t xml:space="preserve"> z róż</w:t>
            </w:r>
            <w:r w:rsidRPr="00E26EF6">
              <w:rPr>
                <w:rStyle w:val="FormatvorlageInstructionsTabelleText"/>
                <w:rFonts w:ascii="Times New Roman" w:hAnsi="Times New Roman"/>
                <w:sz w:val="24"/>
              </w:rPr>
              <w:t>nic przejściowych oraz posiadane przez instytucję bezpośrednie, pośrednie</w:t>
            </w:r>
            <w:r w:rsidR="00E26EF6" w:rsidRPr="00E26EF6">
              <w:rPr>
                <w:rStyle w:val="FormatvorlageInstructionsTabelleText"/>
                <w:rFonts w:ascii="Times New Roman" w:hAnsi="Times New Roman"/>
                <w:sz w:val="24"/>
              </w:rPr>
              <w:t xml:space="preserve"> i syn</w:t>
            </w:r>
            <w:r w:rsidRPr="00E26EF6">
              <w:rPr>
                <w:rStyle w:val="FormatvorlageInstructionsTabelleText"/>
                <w:rFonts w:ascii="Times New Roman" w:hAnsi="Times New Roman"/>
                <w:sz w:val="24"/>
              </w:rPr>
              <w:t>tetyczne udziały kapitałowe</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 xml:space="preserve">itale podstawowym Tier I </w:t>
            </w:r>
            <w:r w:rsidRPr="00E26EF6">
              <w:rPr>
                <w:rStyle w:val="FormatvorlageInstructionsTabelleText"/>
                <w:rFonts w:ascii="Times New Roman" w:hAnsi="Times New Roman"/>
                <w:sz w:val="24"/>
              </w:rPr>
              <w:lastRenderedPageBreak/>
              <w:t>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ypadkach, gdy instytucja dokonała znacznej inwestycji, którą to część należy odliczyć, stosując próg 17,65</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określony</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CRR.</w:t>
            </w:r>
          </w:p>
        </w:tc>
      </w:tr>
      <w:tr w:rsidR="00915077" w:rsidRPr="00E26EF6" w14:paraId="38683572" w14:textId="77777777" w:rsidTr="00672D2A">
        <w:tc>
          <w:tcPr>
            <w:tcW w:w="1129" w:type="dxa"/>
          </w:tcPr>
          <w:p w14:paraId="15C09A24"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520</w:t>
            </w:r>
          </w:p>
        </w:tc>
        <w:tc>
          <w:tcPr>
            <w:tcW w:w="7620" w:type="dxa"/>
          </w:tcPr>
          <w:p w14:paraId="18E60C6E" w14:textId="4BFD64BE"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1.1.1.26</w:t>
            </w:r>
            <w:r w:rsidRPr="00E26EF6">
              <w:rPr>
                <w:rStyle w:val="InstructionsTabelleberschrift"/>
                <w:rFonts w:ascii="Times New Roman" w:hAnsi="Times New Roman"/>
                <w:sz w:val="24"/>
              </w:rPr>
              <w:tab/>
              <w:t>Inne 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4C779806" w14:textId="004A721F"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469–472 oraz 478</w:t>
            </w:r>
            <w:r w:rsidR="00E26EF6" w:rsidRPr="00E26EF6">
              <w:rPr>
                <w:rStyle w:val="FormatvorlageInstructionsTabelleText"/>
                <w:rFonts w:ascii="Times New Roman" w:hAnsi="Times New Roman"/>
                <w:sz w:val="24"/>
              </w:rPr>
              <w:t xml:space="preserve"> i 4</w:t>
            </w:r>
            <w:r w:rsidRPr="00E26EF6">
              <w:rPr>
                <w:rStyle w:val="FormatvorlageInstructionsTabelleText"/>
                <w:rFonts w:ascii="Times New Roman" w:hAnsi="Times New Roman"/>
                <w:sz w:val="24"/>
              </w:rPr>
              <w:t>81 CRR</w:t>
            </w:r>
          </w:p>
          <w:p w14:paraId="231003A2" w14:textId="454422F9"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Korekty odliczeń wynikające</w:t>
            </w:r>
            <w:r w:rsidR="00E26EF6" w:rsidRPr="00E26EF6">
              <w:rPr>
                <w:rStyle w:val="FormatvorlageInstructionsTabelleText"/>
                <w:rFonts w:ascii="Times New Roman" w:hAnsi="Times New Roman"/>
                <w:sz w:val="24"/>
              </w:rPr>
              <w:t xml:space="preserve"> z prz</w:t>
            </w:r>
            <w:r w:rsidRPr="00E26EF6">
              <w:rPr>
                <w:rStyle w:val="FormatvorlageInstructionsTabelleText"/>
                <w:rFonts w:ascii="Times New Roman" w:hAnsi="Times New Roman"/>
                <w:sz w:val="24"/>
              </w:rPr>
              <w:t>episów przejściowych. Kwota, którą należy zgłosić, jest uzyskiwana bezpośrednio z CA5.</w:t>
            </w:r>
          </w:p>
        </w:tc>
      </w:tr>
      <w:tr w:rsidR="00915077" w:rsidRPr="00E26EF6" w14:paraId="3B98C022" w14:textId="77777777" w:rsidTr="00672D2A">
        <w:tc>
          <w:tcPr>
            <w:tcW w:w="1129" w:type="dxa"/>
          </w:tcPr>
          <w:p w14:paraId="10D716DB" w14:textId="77777777" w:rsidR="00915077" w:rsidRPr="00E26EF6" w:rsidRDefault="007E39E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524</w:t>
            </w:r>
          </w:p>
        </w:tc>
        <w:tc>
          <w:tcPr>
            <w:tcW w:w="7620" w:type="dxa"/>
          </w:tcPr>
          <w:p w14:paraId="26948B21" w14:textId="713552CB" w:rsidR="00915077" w:rsidRPr="00E26EF6" w:rsidRDefault="006022C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1.1.1.27</w:t>
            </w:r>
            <w:r w:rsidRPr="00E26EF6">
              <w:rPr>
                <w:rStyle w:val="InstructionsTabelleberschrift"/>
                <w:rFonts w:ascii="Times New Roman" w:hAnsi="Times New Roman"/>
                <w:sz w:val="24"/>
              </w:rPr>
              <w:tab/>
              <w:t>(-) Dodatkowe odliczenia od kapitału podstawowego Tier I zgodnie</w:t>
            </w:r>
            <w:r w:rsidR="00E26EF6" w:rsidRPr="00E26EF6">
              <w:rPr>
                <w:rStyle w:val="InstructionsTabelleberschrift"/>
                <w:rFonts w:ascii="Times New Roman" w:hAnsi="Times New Roman"/>
                <w:sz w:val="24"/>
              </w:rPr>
              <w:t xml:space="preserve"> z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3 CRR</w:t>
            </w:r>
          </w:p>
          <w:p w14:paraId="2BAA33FA" w14:textId="77777777" w:rsidR="00915077" w:rsidRPr="00E26EF6" w:rsidRDefault="00A232F8">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3 CRR</w:t>
            </w:r>
          </w:p>
        </w:tc>
      </w:tr>
      <w:tr w:rsidR="00915077" w:rsidRPr="00E26EF6" w14:paraId="66F211BA" w14:textId="77777777" w:rsidTr="00672D2A">
        <w:tc>
          <w:tcPr>
            <w:tcW w:w="1129" w:type="dxa"/>
          </w:tcPr>
          <w:p w14:paraId="6E0FA8AC" w14:textId="77777777" w:rsidR="00915077" w:rsidRPr="00E26EF6" w:rsidRDefault="00A232F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529</w:t>
            </w:r>
          </w:p>
        </w:tc>
        <w:tc>
          <w:tcPr>
            <w:tcW w:w="7620" w:type="dxa"/>
          </w:tcPr>
          <w:p w14:paraId="69C6C3E5" w14:textId="77777777" w:rsidR="00915077" w:rsidRPr="00E26EF6" w:rsidRDefault="006022C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1.1.1.28</w:t>
            </w:r>
            <w:r w:rsidRPr="00E26EF6">
              <w:rPr>
                <w:rStyle w:val="InstructionsTabelleberschrift"/>
                <w:rFonts w:ascii="Times New Roman" w:hAnsi="Times New Roman"/>
                <w:sz w:val="24"/>
              </w:rPr>
              <w:tab/>
              <w:t>Elementy kapitału podstawowego Tier I lub odliczenia od kapitału podstawowego Tier I – inne</w:t>
            </w:r>
          </w:p>
          <w:p w14:paraId="09561A50" w14:textId="77DA90CC" w:rsidR="00915077" w:rsidRPr="00E26EF6" w:rsidRDefault="00666996">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Wiersz ten ma na celu zapewnienie elastyczności wyłącznie dla celów sprawozdawczości. Wprowadza się</w:t>
            </w:r>
            <w:r w:rsidR="00E26EF6" w:rsidRPr="00E26EF6">
              <w:rPr>
                <w:rStyle w:val="InstructionsTabelleberschrift"/>
                <w:rFonts w:ascii="Times New Roman" w:hAnsi="Times New Roman"/>
                <w:b w:val="0"/>
                <w:sz w:val="24"/>
                <w:u w:val="none"/>
              </w:rPr>
              <w:t xml:space="preserve"> w nim</w:t>
            </w:r>
            <w:r w:rsidRPr="00E26EF6">
              <w:rPr>
                <w:rStyle w:val="InstructionsTabelleberschrift"/>
                <w:rFonts w:ascii="Times New Roman" w:hAnsi="Times New Roman"/>
                <w:b w:val="0"/>
                <w:sz w:val="24"/>
                <w:u w:val="none"/>
              </w:rPr>
              <w:t xml:space="preserve"> dane</w:t>
            </w:r>
            <w:r w:rsidR="00E26EF6" w:rsidRPr="00E26EF6">
              <w:rPr>
                <w:rStyle w:val="InstructionsTabelleberschrift"/>
                <w:rFonts w:ascii="Times New Roman" w:hAnsi="Times New Roman"/>
                <w:b w:val="0"/>
                <w:sz w:val="24"/>
                <w:u w:val="none"/>
              </w:rPr>
              <w:t xml:space="preserve"> w tyc</w:t>
            </w:r>
            <w:r w:rsidRPr="00E26EF6">
              <w:rPr>
                <w:rStyle w:val="InstructionsTabelleberschrift"/>
                <w:rFonts w:ascii="Times New Roman" w:hAnsi="Times New Roman"/>
                <w:b w:val="0"/>
                <w:sz w:val="24"/>
                <w:u w:val="none"/>
              </w:rPr>
              <w:t>h rzadkich przypadkach, gdy nie ma ostatecznej decyzji</w:t>
            </w:r>
            <w:r w:rsidR="00E26EF6" w:rsidRPr="00E26EF6">
              <w:rPr>
                <w:rStyle w:val="InstructionsTabelleberschrift"/>
                <w:rFonts w:ascii="Times New Roman" w:hAnsi="Times New Roman"/>
                <w:b w:val="0"/>
                <w:sz w:val="24"/>
                <w:u w:val="none"/>
              </w:rPr>
              <w:t xml:space="preserve"> w spr</w:t>
            </w:r>
            <w:r w:rsidRPr="00E26EF6">
              <w:rPr>
                <w:rStyle w:val="InstructionsTabelleberschrift"/>
                <w:rFonts w:ascii="Times New Roman" w:hAnsi="Times New Roman"/>
                <w:b w:val="0"/>
                <w:sz w:val="24"/>
                <w:u w:val="none"/>
              </w:rPr>
              <w:t>awie zgłaszania poszczególnych pozycji kapitału/odliczeń we wzorze CA1</w:t>
            </w:r>
            <w:r w:rsidR="00E26EF6" w:rsidRPr="00E26EF6">
              <w:rPr>
                <w:rStyle w:val="InstructionsTabelleberschrift"/>
                <w:rFonts w:ascii="Times New Roman" w:hAnsi="Times New Roman"/>
                <w:b w:val="0"/>
                <w:sz w:val="24"/>
                <w:u w:val="none"/>
              </w:rPr>
              <w:t>. W kon</w:t>
            </w:r>
            <w:r w:rsidRPr="00E26EF6">
              <w:rPr>
                <w:rStyle w:val="InstructionsTabelleberschrift"/>
                <w:rFonts w:ascii="Times New Roman" w:hAnsi="Times New Roman"/>
                <w:b w:val="0"/>
                <w:sz w:val="24"/>
                <w:u w:val="none"/>
              </w:rPr>
              <w:t>sekwencji wiersz ten wypełnia się tylko wtedy, gdy elementu kapitału podstawowego Tier I lub odliczenia od elementu kapitału Tier I nie można przypisać do żadnego</w:t>
            </w:r>
            <w:r w:rsidR="00E26EF6" w:rsidRPr="00E26EF6">
              <w:rPr>
                <w:rStyle w:val="InstructionsTabelleberschrift"/>
                <w:rFonts w:ascii="Times New Roman" w:hAnsi="Times New Roman"/>
                <w:b w:val="0"/>
                <w:sz w:val="24"/>
                <w:u w:val="none"/>
              </w:rPr>
              <w:t xml:space="preserve"> z wie</w:t>
            </w:r>
            <w:r w:rsidRPr="00E26EF6">
              <w:rPr>
                <w:rStyle w:val="InstructionsTabelleberschrift"/>
                <w:rFonts w:ascii="Times New Roman" w:hAnsi="Times New Roman"/>
                <w:b w:val="0"/>
                <w:sz w:val="24"/>
                <w:u w:val="none"/>
              </w:rPr>
              <w:t>rszy od</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020 do</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524. </w:t>
            </w:r>
          </w:p>
          <w:p w14:paraId="473C14AD" w14:textId="57C61347" w:rsidR="00915077" w:rsidRPr="00E26EF6" w:rsidRDefault="00666996">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Wiersza tego nie używa się do uwzględniania pozycji kapitału/odliczeń, które nie są objęte zakresem stosowania CRR,</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obliczenia współczynników wypłacalności (np. przypisania pozycji kapitału/odliczeń, które określono według przepisów krajowych,</w:t>
            </w:r>
            <w:r w:rsidR="00E26EF6" w:rsidRPr="00E26EF6">
              <w:rPr>
                <w:rStyle w:val="InstructionsTabelleberschrift"/>
                <w:rFonts w:ascii="Times New Roman" w:hAnsi="Times New Roman"/>
                <w:b w:val="0"/>
                <w:sz w:val="24"/>
                <w:u w:val="none"/>
              </w:rPr>
              <w:t xml:space="preserve"> a któ</w:t>
            </w:r>
            <w:r w:rsidRPr="00E26EF6">
              <w:rPr>
                <w:rStyle w:val="InstructionsTabelleberschrift"/>
                <w:rFonts w:ascii="Times New Roman" w:hAnsi="Times New Roman"/>
                <w:b w:val="0"/>
                <w:sz w:val="24"/>
                <w:u w:val="none"/>
              </w:rPr>
              <w:t>re nie wchodzą</w:t>
            </w:r>
            <w:r w:rsidR="00E26EF6" w:rsidRPr="00E26EF6">
              <w:rPr>
                <w:rStyle w:val="InstructionsTabelleberschrift"/>
                <w:rFonts w:ascii="Times New Roman" w:hAnsi="Times New Roman"/>
                <w:b w:val="0"/>
                <w:sz w:val="24"/>
                <w:u w:val="none"/>
              </w:rPr>
              <w:t xml:space="preserve"> w zak</w:t>
            </w:r>
            <w:r w:rsidRPr="00E26EF6">
              <w:rPr>
                <w:rStyle w:val="InstructionsTabelleberschrift"/>
                <w:rFonts w:ascii="Times New Roman" w:hAnsi="Times New Roman"/>
                <w:b w:val="0"/>
                <w:sz w:val="24"/>
                <w:u w:val="none"/>
              </w:rPr>
              <w:t>res stosowania CRR).</w:t>
            </w:r>
          </w:p>
        </w:tc>
      </w:tr>
      <w:tr w:rsidR="00915077" w:rsidRPr="00E26EF6" w14:paraId="2B4DCCF1" w14:textId="77777777" w:rsidTr="00672D2A">
        <w:tc>
          <w:tcPr>
            <w:tcW w:w="1129" w:type="dxa"/>
          </w:tcPr>
          <w:p w14:paraId="6F9F0773"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530</w:t>
            </w:r>
          </w:p>
        </w:tc>
        <w:tc>
          <w:tcPr>
            <w:tcW w:w="7620" w:type="dxa"/>
          </w:tcPr>
          <w:p w14:paraId="42EDC2C9" w14:textId="77777777"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w:t>
            </w:r>
            <w:r w:rsidRPr="00E26EF6">
              <w:rPr>
                <w:rStyle w:val="InstructionsTabelleberschrift"/>
                <w:rFonts w:ascii="Times New Roman" w:hAnsi="Times New Roman"/>
                <w:sz w:val="24"/>
              </w:rPr>
              <w:tab/>
              <w:t>KAPITAŁ DODATKOWY TIER I</w:t>
            </w:r>
          </w:p>
          <w:p w14:paraId="3656642C" w14:textId="16A5156B"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61 CRR</w:t>
            </w:r>
          </w:p>
        </w:tc>
      </w:tr>
      <w:tr w:rsidR="00915077" w:rsidRPr="00E26EF6" w14:paraId="26FAA104" w14:textId="77777777" w:rsidTr="00672D2A">
        <w:tc>
          <w:tcPr>
            <w:tcW w:w="1129" w:type="dxa"/>
          </w:tcPr>
          <w:p w14:paraId="62BC1509"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540</w:t>
            </w:r>
          </w:p>
        </w:tc>
        <w:tc>
          <w:tcPr>
            <w:tcW w:w="7620" w:type="dxa"/>
          </w:tcPr>
          <w:p w14:paraId="647FF227" w14:textId="77777777"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1.1.2.1</w:t>
            </w:r>
            <w:r w:rsidRPr="00E26EF6">
              <w:rPr>
                <w:rStyle w:val="InstructionsTabelleberschrift"/>
                <w:rFonts w:ascii="Times New Roman" w:hAnsi="Times New Roman"/>
                <w:sz w:val="24"/>
              </w:rPr>
              <w:tab/>
              <w:t>Instrumenty kapitałowe kwalifikujące się jako kapitał dodatkowy Tier I</w:t>
            </w:r>
          </w:p>
          <w:p w14:paraId="1B79B3FD" w14:textId="690F3439" w:rsidR="00915077" w:rsidRPr="00E26EF6" w:rsidRDefault="00852CAD">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51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52, 53</w:t>
            </w:r>
            <w:r w:rsidR="00E26EF6" w:rsidRPr="00E26EF6">
              <w:rPr>
                <w:rStyle w:val="FormatvorlageInstructionsTabelleText"/>
                <w:rFonts w:ascii="Times New Roman" w:hAnsi="Times New Roman"/>
                <w:sz w:val="24"/>
              </w:rPr>
              <w:t xml:space="preserve"> i 5</w:t>
            </w:r>
            <w:r w:rsidRPr="00E26EF6">
              <w:rPr>
                <w:rStyle w:val="FormatvorlageInstructionsTabelleText"/>
                <w:rFonts w:ascii="Times New Roman" w:hAnsi="Times New Roman"/>
                <w:sz w:val="24"/>
              </w:rPr>
              <w:t>4,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57 CRR</w:t>
            </w:r>
          </w:p>
        </w:tc>
      </w:tr>
      <w:tr w:rsidR="00915077" w:rsidRPr="00E26EF6" w14:paraId="286F1605" w14:textId="77777777" w:rsidTr="00672D2A">
        <w:tc>
          <w:tcPr>
            <w:tcW w:w="1129" w:type="dxa"/>
          </w:tcPr>
          <w:p w14:paraId="77FFE174"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550</w:t>
            </w:r>
          </w:p>
        </w:tc>
        <w:tc>
          <w:tcPr>
            <w:tcW w:w="7620" w:type="dxa"/>
          </w:tcPr>
          <w:p w14:paraId="2E791887" w14:textId="77777777"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1.1.2.1.1</w:t>
            </w:r>
            <w:r w:rsidRPr="00E26EF6">
              <w:rPr>
                <w:rStyle w:val="InstructionsTabelleberschrift"/>
                <w:rFonts w:ascii="Times New Roman" w:hAnsi="Times New Roman"/>
                <w:sz w:val="24"/>
              </w:rPr>
              <w:tab/>
              <w:t>Opłacone instrumenty kapitałowe</w:t>
            </w:r>
          </w:p>
          <w:p w14:paraId="76AEB068" w14:textId="63DEB167" w:rsidR="00915077" w:rsidRPr="00E26EF6" w:rsidRDefault="00705025">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51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52, 53</w:t>
            </w:r>
            <w:r w:rsidR="00E26EF6" w:rsidRPr="00E26EF6">
              <w:rPr>
                <w:rStyle w:val="FormatvorlageInstructionsTabelleText"/>
                <w:rFonts w:ascii="Times New Roman" w:hAnsi="Times New Roman"/>
                <w:sz w:val="24"/>
              </w:rPr>
              <w:t xml:space="preserve"> i 5</w:t>
            </w:r>
            <w:r w:rsidRPr="00E26EF6">
              <w:rPr>
                <w:rStyle w:val="FormatvorlageInstructionsTabelleText"/>
                <w:rFonts w:ascii="Times New Roman" w:hAnsi="Times New Roman"/>
                <w:sz w:val="24"/>
              </w:rPr>
              <w:t>4 CRR</w:t>
            </w:r>
          </w:p>
          <w:p w14:paraId="26B27CEB" w14:textId="3F29ED9C"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nie obejmuje ażio emisyjnego związanego</w:t>
            </w:r>
            <w:r w:rsidR="00E26EF6" w:rsidRPr="00E26EF6">
              <w:rPr>
                <w:rStyle w:val="FormatvorlageInstructionsTabelleText"/>
                <w:rFonts w:ascii="Times New Roman" w:hAnsi="Times New Roman"/>
                <w:sz w:val="24"/>
              </w:rPr>
              <w:t xml:space="preserve"> z ins</w:t>
            </w:r>
            <w:r w:rsidRPr="00E26EF6">
              <w:rPr>
                <w:rStyle w:val="FormatvorlageInstructionsTabelleText"/>
                <w:rFonts w:ascii="Times New Roman" w:hAnsi="Times New Roman"/>
                <w:sz w:val="24"/>
              </w:rPr>
              <w:t>trumentami.</w:t>
            </w:r>
          </w:p>
        </w:tc>
      </w:tr>
      <w:tr w:rsidR="00915077" w:rsidRPr="00E26EF6" w14:paraId="73AEB3B0" w14:textId="77777777" w:rsidTr="00672D2A">
        <w:tc>
          <w:tcPr>
            <w:tcW w:w="1129" w:type="dxa"/>
          </w:tcPr>
          <w:p w14:paraId="48AC7EB4"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560</w:t>
            </w:r>
          </w:p>
        </w:tc>
        <w:tc>
          <w:tcPr>
            <w:tcW w:w="7620" w:type="dxa"/>
          </w:tcPr>
          <w:p w14:paraId="1C85A4C5" w14:textId="77777777"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1.1.2.1.2 (*)</w:t>
            </w:r>
            <w:r w:rsidRPr="00E26EF6">
              <w:rPr>
                <w:rStyle w:val="InstructionsTabelleberschrift"/>
                <w:rFonts w:ascii="Times New Roman" w:hAnsi="Times New Roman"/>
                <w:sz w:val="24"/>
              </w:rPr>
              <w:tab/>
              <w:t>Pozycja uzupełniająca: nieuznane instrumenty kapitałowe</w:t>
            </w:r>
          </w:p>
          <w:p w14:paraId="4E0EEA30" w14:textId="39FD9ED7"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52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e) i f) CRR</w:t>
            </w:r>
          </w:p>
          <w:p w14:paraId="2D3B1E5D" w14:textId="3909EE82"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Warunki określone</w:t>
            </w:r>
            <w:r w:rsidR="00E26EF6" w:rsidRPr="00E26EF6">
              <w:rPr>
                <w:rStyle w:val="FormatvorlageInstructionsTabelleText"/>
                <w:rFonts w:ascii="Times New Roman" w:hAnsi="Times New Roman"/>
                <w:sz w:val="24"/>
              </w:rPr>
              <w:t xml:space="preserve"> w tyc</w:t>
            </w:r>
            <w:r w:rsidRPr="00E26EF6">
              <w:rPr>
                <w:rStyle w:val="FormatvorlageInstructionsTabelleText"/>
                <w:rFonts w:ascii="Times New Roman" w:hAnsi="Times New Roman"/>
                <w:sz w:val="24"/>
              </w:rPr>
              <w:t>h literach odzwierciedlają różne sytuacje dotyczące kapitału, które są odwracalne,</w:t>
            </w:r>
            <w:r w:rsidR="00E26EF6" w:rsidRPr="00E26EF6">
              <w:rPr>
                <w:rStyle w:val="FormatvorlageInstructionsTabelleText"/>
                <w:rFonts w:ascii="Times New Roman" w:hAnsi="Times New Roman"/>
                <w:sz w:val="24"/>
              </w:rPr>
              <w:t xml:space="preserve"> a wię</w:t>
            </w:r>
            <w:r w:rsidRPr="00E26EF6">
              <w:rPr>
                <w:rStyle w:val="FormatvorlageInstructionsTabelleText"/>
                <w:rFonts w:ascii="Times New Roman" w:hAnsi="Times New Roman"/>
                <w:sz w:val="24"/>
              </w:rPr>
              <w:t>c kwota tu zgłoszona może zostać uznana</w:t>
            </w:r>
            <w:r w:rsidR="00E26EF6" w:rsidRPr="00E26EF6">
              <w:rPr>
                <w:rStyle w:val="FormatvorlageInstructionsTabelleText"/>
                <w:rFonts w:ascii="Times New Roman" w:hAnsi="Times New Roman"/>
                <w:sz w:val="24"/>
              </w:rPr>
              <w:t xml:space="preserve"> w kol</w:t>
            </w:r>
            <w:r w:rsidRPr="00E26EF6">
              <w:rPr>
                <w:rStyle w:val="FormatvorlageInstructionsTabelleText"/>
                <w:rFonts w:ascii="Times New Roman" w:hAnsi="Times New Roman"/>
                <w:sz w:val="24"/>
              </w:rPr>
              <w:t>ejnych okresach.</w:t>
            </w:r>
          </w:p>
          <w:p w14:paraId="500890FA" w14:textId="5A5277C8"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nie obejmuje ażio emisyjnego związanego</w:t>
            </w:r>
            <w:r w:rsidR="00E26EF6" w:rsidRPr="00E26EF6">
              <w:rPr>
                <w:rStyle w:val="FormatvorlageInstructionsTabelleText"/>
                <w:rFonts w:ascii="Times New Roman" w:hAnsi="Times New Roman"/>
                <w:sz w:val="24"/>
              </w:rPr>
              <w:t xml:space="preserve"> z ins</w:t>
            </w:r>
            <w:r w:rsidRPr="00E26EF6">
              <w:rPr>
                <w:rStyle w:val="FormatvorlageInstructionsTabelleText"/>
                <w:rFonts w:ascii="Times New Roman" w:hAnsi="Times New Roman"/>
                <w:sz w:val="24"/>
              </w:rPr>
              <w:t>trumentami.</w:t>
            </w:r>
          </w:p>
        </w:tc>
      </w:tr>
      <w:tr w:rsidR="00915077" w:rsidRPr="00E26EF6" w14:paraId="1CCDAFFC" w14:textId="77777777" w:rsidTr="00672D2A">
        <w:tc>
          <w:tcPr>
            <w:tcW w:w="1129" w:type="dxa"/>
          </w:tcPr>
          <w:p w14:paraId="10306439"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570</w:t>
            </w:r>
          </w:p>
        </w:tc>
        <w:tc>
          <w:tcPr>
            <w:tcW w:w="7620" w:type="dxa"/>
          </w:tcPr>
          <w:p w14:paraId="2B8186CC" w14:textId="77777777"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1.1.2.1.3</w:t>
            </w:r>
            <w:r w:rsidRPr="00E26EF6">
              <w:rPr>
                <w:rStyle w:val="InstructionsTabelleberschrift"/>
                <w:rFonts w:ascii="Times New Roman" w:hAnsi="Times New Roman"/>
                <w:sz w:val="24"/>
              </w:rPr>
              <w:tab/>
              <w:t>Ażio emisyjne</w:t>
            </w:r>
          </w:p>
          <w:p w14:paraId="231CFA68" w14:textId="4F201BA7" w:rsidR="00915077" w:rsidRPr="00E26EF6" w:rsidRDefault="00705025">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51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p w14:paraId="29BF2766" w14:textId="487CA369"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Ażio emisyjne ma takie samo znaczenie jak</w:t>
            </w:r>
            <w:r w:rsidR="00E26EF6" w:rsidRPr="00E26EF6">
              <w:rPr>
                <w:rStyle w:val="FormatvorlageInstructionsTabelleText"/>
                <w:rFonts w:ascii="Times New Roman" w:hAnsi="Times New Roman"/>
                <w:sz w:val="24"/>
              </w:rPr>
              <w:t xml:space="preserve"> w maj</w:t>
            </w:r>
            <w:r w:rsidRPr="00E26EF6">
              <w:rPr>
                <w:rStyle w:val="FormatvorlageInstructionsTabelleText"/>
                <w:rFonts w:ascii="Times New Roman" w:hAnsi="Times New Roman"/>
                <w:sz w:val="24"/>
              </w:rPr>
              <w:t>ących zastosowanie standardach rachunkowości.</w:t>
            </w:r>
          </w:p>
          <w:p w14:paraId="25572FB3" w14:textId="636F23C9"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w:t>
            </w:r>
            <w:r w:rsidR="00E26EF6" w:rsidRPr="00E26EF6">
              <w:rPr>
                <w:rStyle w:val="FormatvorlageInstructionsTabelleText"/>
                <w:rFonts w:ascii="Times New Roman" w:hAnsi="Times New Roman"/>
                <w:sz w:val="24"/>
              </w:rPr>
              <w:t xml:space="preserve"> w tej</w:t>
            </w:r>
            <w:r w:rsidRPr="00E26EF6">
              <w:rPr>
                <w:rStyle w:val="FormatvorlageInstructionsTabelleText"/>
                <w:rFonts w:ascii="Times New Roman" w:hAnsi="Times New Roman"/>
                <w:sz w:val="24"/>
              </w:rPr>
              <w:t xml:space="preserve"> pozycji, stanowi część związaną</w:t>
            </w:r>
            <w:r w:rsidR="00E26EF6" w:rsidRPr="00E26EF6">
              <w:rPr>
                <w:rStyle w:val="FormatvorlageInstructionsTabelleText"/>
                <w:rFonts w:ascii="Times New Roman" w:hAnsi="Times New Roman"/>
                <w:sz w:val="24"/>
              </w:rPr>
              <w:t xml:space="preserve"> z poz</w:t>
            </w:r>
            <w:r w:rsidRPr="00E26EF6">
              <w:rPr>
                <w:rStyle w:val="FormatvorlageInstructionsTabelleText"/>
                <w:rFonts w:ascii="Times New Roman" w:hAnsi="Times New Roman"/>
                <w:sz w:val="24"/>
              </w:rPr>
              <w:t>ycją „Opłacone instrumenty kapitałowe”.</w:t>
            </w:r>
          </w:p>
        </w:tc>
      </w:tr>
      <w:tr w:rsidR="00915077" w:rsidRPr="00E26EF6" w14:paraId="11E581D9" w14:textId="77777777" w:rsidTr="00672D2A">
        <w:tc>
          <w:tcPr>
            <w:tcW w:w="1129" w:type="dxa"/>
          </w:tcPr>
          <w:p w14:paraId="19E514BD"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580</w:t>
            </w:r>
          </w:p>
        </w:tc>
        <w:tc>
          <w:tcPr>
            <w:tcW w:w="7620" w:type="dxa"/>
          </w:tcPr>
          <w:p w14:paraId="0459675D" w14:textId="1A72D354"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1.1.2.1.4</w:t>
            </w:r>
            <w:r w:rsidRPr="00E26EF6">
              <w:rPr>
                <w:rStyle w:val="InstructionsTabelleberschrift"/>
                <w:rFonts w:ascii="Times New Roman" w:hAnsi="Times New Roman"/>
                <w:sz w:val="24"/>
              </w:rPr>
              <w:tab/>
              <w:t>(-) Instrumenty własne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74DEFFF2" w14:textId="7DBDCC74"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52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57 CRR</w:t>
            </w:r>
          </w:p>
          <w:p w14:paraId="2A0DEAB7" w14:textId="1E8BEDCB"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Instrumenty własne</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dodatkowym Tier I będące</w:t>
            </w:r>
            <w:r w:rsidR="00E26EF6" w:rsidRPr="00E26EF6">
              <w:rPr>
                <w:rStyle w:val="FormatvorlageInstructionsTabelleText"/>
                <w:rFonts w:ascii="Times New Roman" w:hAnsi="Times New Roman"/>
                <w:sz w:val="24"/>
              </w:rPr>
              <w:t xml:space="preserve"> w pos</w:t>
            </w:r>
            <w:r w:rsidRPr="00E26EF6">
              <w:rPr>
                <w:rStyle w:val="FormatvorlageInstructionsTabelleText"/>
                <w:rFonts w:ascii="Times New Roman" w:hAnsi="Times New Roman"/>
                <w:sz w:val="24"/>
              </w:rPr>
              <w:t>iadaniu instytucji lub grupy sprawozdającej na dzień sprawozdawczy</w:t>
            </w:r>
            <w:r w:rsidR="00E26EF6" w:rsidRPr="00E26EF6">
              <w:rPr>
                <w:rStyle w:val="FormatvorlageInstructionsTabelleText"/>
                <w:rFonts w:ascii="Times New Roman" w:hAnsi="Times New Roman"/>
                <w:sz w:val="24"/>
              </w:rPr>
              <w:t>. Z zas</w:t>
            </w:r>
            <w:r w:rsidRPr="00E26EF6">
              <w:rPr>
                <w:rStyle w:val="FormatvorlageInstructionsTabelleText"/>
                <w:rFonts w:ascii="Times New Roman" w:hAnsi="Times New Roman"/>
                <w:sz w:val="24"/>
              </w:rPr>
              <w:t>trzeżeniem wyjątków przewidzianych</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57 CRR.</w:t>
            </w:r>
          </w:p>
          <w:p w14:paraId="72F2356F" w14:textId="77777777"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lastRenderedPageBreak/>
              <w:t>W tym wierszu nie zgłasza się udziałów kapitałowych zaliczanych do „Nieuznanych instrumentów kapitałowych”.</w:t>
            </w:r>
          </w:p>
          <w:p w14:paraId="50F8E40D" w14:textId="7CA347DD"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Kwota, którą należy zgłosić, obejmuje ażio emisyjne związane</w:t>
            </w:r>
            <w:r w:rsidR="00E26EF6" w:rsidRPr="00E26EF6">
              <w:rPr>
                <w:rStyle w:val="FormatvorlageInstructionsTabelleText"/>
                <w:rFonts w:ascii="Times New Roman" w:hAnsi="Times New Roman"/>
                <w:sz w:val="24"/>
              </w:rPr>
              <w:t xml:space="preserve"> z wła</w:t>
            </w:r>
            <w:r w:rsidRPr="00E26EF6">
              <w:rPr>
                <w:rStyle w:val="FormatvorlageInstructionsTabelleText"/>
                <w:rFonts w:ascii="Times New Roman" w:hAnsi="Times New Roman"/>
                <w:sz w:val="24"/>
              </w:rPr>
              <w:t>snymi udziałami.</w:t>
            </w:r>
          </w:p>
          <w:p w14:paraId="7751A2F5" w14:textId="51AFAD70"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 xml:space="preserve">Pozycje 1.1.2.1.4–1.1.2.1.4.3 </w:t>
            </w:r>
            <w:proofErr w:type="gramStart"/>
            <w:r w:rsidRPr="00E26EF6">
              <w:rPr>
                <w:rStyle w:val="FormatvorlageInstructionsTabelleText"/>
                <w:rFonts w:ascii="Times New Roman" w:hAnsi="Times New Roman"/>
                <w:sz w:val="24"/>
              </w:rPr>
              <w:t>nie</w:t>
            </w:r>
            <w:proofErr w:type="gramEnd"/>
            <w:r w:rsidRPr="00E26EF6">
              <w:rPr>
                <w:rStyle w:val="FormatvorlageInstructionsTabelleText"/>
                <w:rFonts w:ascii="Times New Roman" w:hAnsi="Times New Roman"/>
                <w:sz w:val="24"/>
              </w:rPr>
              <w:t xml:space="preserve"> obejmują faktycznych ani warunkowych zobowiązań do zakupu instrumentów własnych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podstawowym Tier I. Faktyczne lub warunkowe zobowiązania do zakupu instrumentów własnych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dodatkowym Tier I zgłasza się oddzielnie</w:t>
            </w:r>
            <w:r w:rsidR="00E26EF6" w:rsidRPr="00E26EF6">
              <w:rPr>
                <w:rStyle w:val="FormatvorlageInstructionsTabelleText"/>
                <w:rFonts w:ascii="Times New Roman" w:hAnsi="Times New Roman"/>
                <w:sz w:val="24"/>
              </w:rPr>
              <w:t xml:space="preserve"> w poz</w:t>
            </w:r>
            <w:r w:rsidRPr="00E26EF6">
              <w:rPr>
                <w:rStyle w:val="FormatvorlageInstructionsTabelleText"/>
                <w:rFonts w:ascii="Times New Roman" w:hAnsi="Times New Roman"/>
                <w:sz w:val="24"/>
              </w:rPr>
              <w:t>ycji 1.1.2.1.5.</w:t>
            </w:r>
          </w:p>
        </w:tc>
      </w:tr>
      <w:tr w:rsidR="00915077" w:rsidRPr="00E26EF6" w14:paraId="3FED49EF" w14:textId="77777777" w:rsidTr="00672D2A">
        <w:tc>
          <w:tcPr>
            <w:tcW w:w="1129" w:type="dxa"/>
          </w:tcPr>
          <w:p w14:paraId="2CB32A97"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590</w:t>
            </w:r>
          </w:p>
        </w:tc>
        <w:tc>
          <w:tcPr>
            <w:tcW w:w="7620" w:type="dxa"/>
          </w:tcPr>
          <w:p w14:paraId="7075A4A4" w14:textId="24ECA67C" w:rsidR="00915077" w:rsidRPr="00E26EF6" w:rsidRDefault="006022CB">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1.1.2.1.4.1</w:t>
            </w:r>
            <w:r w:rsidRPr="00E26EF6">
              <w:rPr>
                <w:rStyle w:val="InstructionsTabelleberschrift"/>
                <w:rFonts w:ascii="Times New Roman" w:hAnsi="Times New Roman"/>
                <w:sz w:val="24"/>
              </w:rPr>
              <w:tab/>
              <w:t>(-) Bezpośrednie udziały kapitałowe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trumentach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6C3A13D9" w14:textId="6868E760"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144,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57 CRR</w:t>
            </w:r>
          </w:p>
          <w:p w14:paraId="0B1857CF" w14:textId="4985B809"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Instrumenty</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dodatkowym Tier I objęte pozycją 1.1.2.1.1</w:t>
            </w:r>
            <w:r w:rsidR="00E26EF6" w:rsidRPr="00E26EF6">
              <w:rPr>
                <w:rStyle w:val="FormatvorlageInstructionsTabelleText"/>
                <w:rFonts w:ascii="Times New Roman" w:hAnsi="Times New Roman"/>
                <w:sz w:val="24"/>
              </w:rPr>
              <w:t xml:space="preserve"> </w:t>
            </w:r>
            <w:proofErr w:type="gramStart"/>
            <w:r w:rsidR="00E26EF6" w:rsidRPr="00E26EF6">
              <w:rPr>
                <w:rStyle w:val="FormatvorlageInstructionsTabelleText"/>
                <w:rFonts w:ascii="Times New Roman" w:hAnsi="Times New Roman"/>
                <w:sz w:val="24"/>
              </w:rPr>
              <w:t>i</w:t>
            </w:r>
            <w:proofErr w:type="gramEnd"/>
            <w:r w:rsidR="00E26EF6" w:rsidRPr="00E26EF6">
              <w:rPr>
                <w:rStyle w:val="FormatvorlageInstructionsTabelleText"/>
                <w:rFonts w:ascii="Times New Roman" w:hAnsi="Times New Roman"/>
                <w:sz w:val="24"/>
              </w:rPr>
              <w:t> będ</w:t>
            </w:r>
            <w:r w:rsidRPr="00E26EF6">
              <w:rPr>
                <w:rStyle w:val="FormatvorlageInstructionsTabelleText"/>
                <w:rFonts w:ascii="Times New Roman" w:hAnsi="Times New Roman"/>
                <w:sz w:val="24"/>
              </w:rPr>
              <w:t>ące</w:t>
            </w:r>
            <w:r w:rsidR="00E26EF6" w:rsidRPr="00E26EF6">
              <w:rPr>
                <w:rStyle w:val="FormatvorlageInstructionsTabelleText"/>
                <w:rFonts w:ascii="Times New Roman" w:hAnsi="Times New Roman"/>
                <w:sz w:val="24"/>
              </w:rPr>
              <w:t xml:space="preserve"> w pos</w:t>
            </w:r>
            <w:r w:rsidRPr="00E26EF6">
              <w:rPr>
                <w:rStyle w:val="FormatvorlageInstructionsTabelleText"/>
                <w:rFonts w:ascii="Times New Roman" w:hAnsi="Times New Roman"/>
                <w:sz w:val="24"/>
              </w:rPr>
              <w:t xml:space="preserve">iadaniu instytucji należących do skonsolidowanej grupy. </w:t>
            </w:r>
          </w:p>
        </w:tc>
      </w:tr>
      <w:tr w:rsidR="00915077" w:rsidRPr="00E26EF6" w14:paraId="7432DBF7" w14:textId="77777777" w:rsidTr="00672D2A">
        <w:tc>
          <w:tcPr>
            <w:tcW w:w="1129" w:type="dxa"/>
          </w:tcPr>
          <w:p w14:paraId="0D3A3656"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620</w:t>
            </w:r>
          </w:p>
        </w:tc>
        <w:tc>
          <w:tcPr>
            <w:tcW w:w="7620" w:type="dxa"/>
          </w:tcPr>
          <w:p w14:paraId="0D4332EC" w14:textId="447B50E2" w:rsidR="00915077" w:rsidRPr="00E26EF6" w:rsidRDefault="006455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1.1.2.1.4.2</w:t>
            </w:r>
            <w:r w:rsidRPr="00E26EF6">
              <w:rPr>
                <w:rStyle w:val="InstructionsTabelleberschrift"/>
                <w:rFonts w:ascii="Times New Roman" w:hAnsi="Times New Roman"/>
                <w:sz w:val="24"/>
              </w:rPr>
              <w:tab/>
              <w:t>(-) Pośrednie udziały kapitałowe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trumentach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66054B9E" w14:textId="43432EAA" w:rsidR="00915077" w:rsidRPr="00E26EF6" w:rsidRDefault="00852CAD">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52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ppkt (ii),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57 CRR</w:t>
            </w:r>
          </w:p>
        </w:tc>
      </w:tr>
      <w:tr w:rsidR="00915077" w:rsidRPr="00E26EF6" w14:paraId="0BDEAA83" w14:textId="77777777" w:rsidTr="00672D2A">
        <w:tc>
          <w:tcPr>
            <w:tcW w:w="1129" w:type="dxa"/>
          </w:tcPr>
          <w:p w14:paraId="5E2D7E53"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621</w:t>
            </w:r>
          </w:p>
        </w:tc>
        <w:tc>
          <w:tcPr>
            <w:tcW w:w="7620" w:type="dxa"/>
          </w:tcPr>
          <w:p w14:paraId="12543010" w14:textId="386F4338" w:rsidR="00915077" w:rsidRPr="00E26EF6" w:rsidRDefault="006455B0">
            <w:pPr>
              <w:pStyle w:val="InstructionsText"/>
            </w:pPr>
            <w:r w:rsidRPr="00E26EF6">
              <w:rPr>
                <w:rStyle w:val="InstructionsTabelleberschrift"/>
                <w:rFonts w:ascii="Times New Roman" w:hAnsi="Times New Roman"/>
                <w:sz w:val="24"/>
              </w:rPr>
              <w:t>1.1.2.1.4.3</w:t>
            </w:r>
            <w:r w:rsidRPr="00E26EF6">
              <w:rPr>
                <w:rStyle w:val="InstructionsTabelleberschrift"/>
                <w:rFonts w:ascii="Times New Roman" w:hAnsi="Times New Roman"/>
                <w:sz w:val="24"/>
              </w:rPr>
              <w:tab/>
              <w:t>(-) Syntetyczne udziały kapitałowe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trumentach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42C49D98" w14:textId="0414C19E" w:rsidR="00915077" w:rsidRPr="00E26EF6" w:rsidRDefault="00110F40">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art.</w:t>
            </w:r>
            <w:r w:rsidR="00023409" w:rsidRPr="00E26EF6">
              <w:t> </w:t>
            </w:r>
            <w:r w:rsidRPr="00E26EF6">
              <w:t>52 ust.</w:t>
            </w:r>
            <w:r w:rsidR="00023409" w:rsidRPr="00E26EF6">
              <w:t> </w:t>
            </w:r>
            <w:r w:rsidRPr="00E26EF6">
              <w:t>1 lit.</w:t>
            </w:r>
            <w:r w:rsidR="00023409" w:rsidRPr="00E26EF6">
              <w:t> </w:t>
            </w:r>
            <w:r w:rsidRPr="00E26EF6">
              <w:t>b), art.</w:t>
            </w:r>
            <w:r w:rsidR="00023409" w:rsidRPr="00E26EF6">
              <w:t> </w:t>
            </w:r>
            <w:r w:rsidRPr="00E26EF6">
              <w:t>56 lit.</w:t>
            </w:r>
            <w:r w:rsidR="00023409" w:rsidRPr="00E26EF6">
              <w:t> </w:t>
            </w:r>
            <w:r w:rsidRPr="00E26EF6">
              <w:t>a) oraz art.</w:t>
            </w:r>
            <w:r w:rsidR="00023409" w:rsidRPr="00E26EF6">
              <w:t> </w:t>
            </w:r>
            <w:r w:rsidRPr="00E26EF6">
              <w:t>57 CRR</w:t>
            </w:r>
          </w:p>
        </w:tc>
      </w:tr>
      <w:tr w:rsidR="00915077" w:rsidRPr="00E26EF6" w14:paraId="6540645E" w14:textId="77777777" w:rsidTr="00672D2A">
        <w:tc>
          <w:tcPr>
            <w:tcW w:w="1129" w:type="dxa"/>
          </w:tcPr>
          <w:p w14:paraId="78401258" w14:textId="77777777" w:rsidR="00915077" w:rsidRPr="00E26EF6" w:rsidRDefault="007E39E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622</w:t>
            </w:r>
          </w:p>
        </w:tc>
        <w:tc>
          <w:tcPr>
            <w:tcW w:w="7620" w:type="dxa"/>
          </w:tcPr>
          <w:p w14:paraId="4D0CA0FF" w14:textId="3952AF9E" w:rsidR="00915077" w:rsidRPr="00E26EF6" w:rsidRDefault="006455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1.1.2.1.5</w:t>
            </w:r>
            <w:r w:rsidRPr="00E26EF6">
              <w:rPr>
                <w:rStyle w:val="InstructionsTabelleberschrift"/>
                <w:rFonts w:ascii="Times New Roman" w:hAnsi="Times New Roman"/>
                <w:sz w:val="24"/>
              </w:rPr>
              <w:tab/>
              <w:t>(-) Faktyczne lub warunkowe zobowiązania do zakupu instrumentów własnych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7889272E" w14:textId="6384CB03"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56 pkt 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57 CRR</w:t>
            </w:r>
          </w:p>
          <w:p w14:paraId="40B11A07" w14:textId="5CCB3074" w:rsidR="00915077" w:rsidRPr="00E26EF6" w:rsidRDefault="00666996">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b w:val="0"/>
                <w:sz w:val="24"/>
                <w:u w:val="none"/>
              </w:rPr>
              <w:t>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56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a) CRR </w:t>
            </w:r>
            <w:r w:rsidRPr="00E26EF6">
              <w:t>odlicza się udziały kapitałowe we „własnych instrumentach dodatkowych</w:t>
            </w:r>
            <w:r w:rsidR="00E26EF6" w:rsidRPr="00E26EF6">
              <w:t xml:space="preserve"> w Tie</w:t>
            </w:r>
            <w:r w:rsidRPr="00E26EF6">
              <w:t>r I, które instytucja mogłaby mieć obowiązek kupić na mocy istniejących zobowiązań umownych”.</w:t>
            </w:r>
          </w:p>
        </w:tc>
      </w:tr>
      <w:tr w:rsidR="00915077" w:rsidRPr="00E26EF6" w14:paraId="7DA1FAA6" w14:textId="77777777" w:rsidTr="00672D2A">
        <w:tc>
          <w:tcPr>
            <w:tcW w:w="1129" w:type="dxa"/>
          </w:tcPr>
          <w:p w14:paraId="72576494"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660</w:t>
            </w:r>
          </w:p>
        </w:tc>
        <w:tc>
          <w:tcPr>
            <w:tcW w:w="7620" w:type="dxa"/>
          </w:tcPr>
          <w:p w14:paraId="1DBA7A54" w14:textId="7426D85F" w:rsidR="00915077" w:rsidRPr="00E26EF6" w:rsidRDefault="006455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1.1.2.2</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instrumentów</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podlegających zasadzie praw nabytych</w:t>
            </w:r>
          </w:p>
          <w:p w14:paraId="15F3A609" w14:textId="5F40CE3B" w:rsidR="00915077" w:rsidRPr="00E26EF6" w:rsidRDefault="002C66A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483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w:t>
            </w:r>
            <w:r w:rsidR="00E26EF6" w:rsidRPr="00E26EF6">
              <w:rPr>
                <w:rStyle w:val="FormatvorlageInstructionsTabelleText"/>
                <w:rFonts w:ascii="Times New Roman" w:hAnsi="Times New Roman"/>
                <w:sz w:val="24"/>
              </w:rPr>
              <w:t xml:space="preserve"> i 5</w:t>
            </w:r>
            <w:r w:rsidRPr="00E26EF6">
              <w:rPr>
                <w:rStyle w:val="FormatvorlageInstructionsTabelleText"/>
                <w:rFonts w:ascii="Times New Roman" w:hAnsi="Times New Roman"/>
                <w:sz w:val="24"/>
              </w:rPr>
              <w:t>,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484–487,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489</w:t>
            </w:r>
            <w:r w:rsidR="00E26EF6" w:rsidRPr="00E26EF6">
              <w:rPr>
                <w:rStyle w:val="FormatvorlageInstructionsTabelleText"/>
                <w:rFonts w:ascii="Times New Roman" w:hAnsi="Times New Roman"/>
                <w:sz w:val="24"/>
              </w:rPr>
              <w:t xml:space="preserve"> i 4</w:t>
            </w:r>
            <w:r w:rsidRPr="00E26EF6">
              <w:rPr>
                <w:rStyle w:val="FormatvorlageInstructionsTabelleText"/>
                <w:rFonts w:ascii="Times New Roman" w:hAnsi="Times New Roman"/>
                <w:sz w:val="24"/>
              </w:rPr>
              <w:t>91 CRR</w:t>
            </w:r>
          </w:p>
          <w:p w14:paraId="3F355F9E" w14:textId="45B79DFF"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instrumentów kapitałowych podlegających</w:t>
            </w:r>
            <w:r w:rsidR="00E26EF6" w:rsidRPr="00E26EF6">
              <w:rPr>
                <w:rStyle w:val="FormatvorlageInstructionsTabelleText"/>
                <w:rFonts w:ascii="Times New Roman" w:hAnsi="Times New Roman"/>
                <w:sz w:val="24"/>
              </w:rPr>
              <w:t xml:space="preserve"> w okr</w:t>
            </w:r>
            <w:r w:rsidRPr="00E26EF6">
              <w:rPr>
                <w:rStyle w:val="FormatvorlageInstructionsTabelleText"/>
                <w:rFonts w:ascii="Times New Roman" w:hAnsi="Times New Roman"/>
                <w:sz w:val="24"/>
              </w:rPr>
              <w:t>esie przejściowym zasadzie praw nabytych jako kapitał dodatkowy Tier I. Kwota, którą należy zgłosić, jest uzyskiwana bezpośrednio z CA5.</w:t>
            </w:r>
          </w:p>
        </w:tc>
      </w:tr>
      <w:tr w:rsidR="00915077" w:rsidRPr="00E26EF6" w14:paraId="130E325B" w14:textId="77777777" w:rsidTr="00672D2A">
        <w:tc>
          <w:tcPr>
            <w:tcW w:w="1129" w:type="dxa"/>
          </w:tcPr>
          <w:p w14:paraId="4A19B2BB"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670</w:t>
            </w:r>
          </w:p>
        </w:tc>
        <w:tc>
          <w:tcPr>
            <w:tcW w:w="7620" w:type="dxa"/>
          </w:tcPr>
          <w:p w14:paraId="56EA96A9" w14:textId="57DC0EC2" w:rsidR="00915077" w:rsidRPr="00E26EF6" w:rsidRDefault="006455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1.1.2.3</w:t>
            </w:r>
            <w:r w:rsidRPr="00E26EF6">
              <w:rPr>
                <w:rStyle w:val="InstructionsTabelleberschrift"/>
                <w:rFonts w:ascii="Times New Roman" w:hAnsi="Times New Roman"/>
                <w:sz w:val="24"/>
              </w:rPr>
              <w:tab/>
              <w:t>Instrumenty emitowane przez jednostki zależne ujmowane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00A2AC5D" w14:textId="48156453"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83, 85</w:t>
            </w:r>
            <w:r w:rsidR="00E26EF6" w:rsidRPr="00E26EF6">
              <w:rPr>
                <w:rStyle w:val="FormatvorlageInstructionsTabelleText"/>
                <w:rFonts w:ascii="Times New Roman" w:hAnsi="Times New Roman"/>
                <w:sz w:val="24"/>
              </w:rPr>
              <w:t xml:space="preserve"> i 8</w:t>
            </w:r>
            <w:r w:rsidRPr="00E26EF6">
              <w:rPr>
                <w:rStyle w:val="FormatvorlageInstructionsTabelleText"/>
                <w:rFonts w:ascii="Times New Roman" w:hAnsi="Times New Roman"/>
                <w:sz w:val="24"/>
              </w:rPr>
              <w:t>6 CRR</w:t>
            </w:r>
          </w:p>
          <w:p w14:paraId="7BBB0C87" w14:textId="4F5FDB83"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Suma wszystkich kwot kwalifikującego się kapitału Tier I jednostek zależnych uwzględniona</w:t>
            </w:r>
            <w:r w:rsidR="00E26EF6" w:rsidRPr="00E26EF6">
              <w:rPr>
                <w:rStyle w:val="FormatvorlageInstructionsTabelleText"/>
                <w:rFonts w:ascii="Times New Roman" w:hAnsi="Times New Roman"/>
                <w:sz w:val="24"/>
              </w:rPr>
              <w:t xml:space="preserve"> w sko</w:t>
            </w:r>
            <w:r w:rsidRPr="00E26EF6">
              <w:rPr>
                <w:rStyle w:val="FormatvorlageInstructionsTabelleText"/>
                <w:rFonts w:ascii="Times New Roman" w:hAnsi="Times New Roman"/>
                <w:sz w:val="24"/>
              </w:rPr>
              <w:t>nsolidowanym kapitale dodatkowym Tier I.</w:t>
            </w:r>
          </w:p>
          <w:p w14:paraId="51DC7F58" w14:textId="3EFCCDC4" w:rsidR="00915077" w:rsidRPr="00E26EF6" w:rsidRDefault="00106FC5">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Uwzględniany jest kwalifikujący się kapitał dodatkowy Tier I emitowany przez jednostkę specjalnego przeznaczenia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83 CRR).</w:t>
            </w:r>
          </w:p>
        </w:tc>
      </w:tr>
      <w:tr w:rsidR="00915077" w:rsidRPr="00E26EF6" w14:paraId="5BA4CBB7" w14:textId="77777777" w:rsidTr="00672D2A">
        <w:tc>
          <w:tcPr>
            <w:tcW w:w="1129" w:type="dxa"/>
          </w:tcPr>
          <w:p w14:paraId="22AE894E"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680</w:t>
            </w:r>
          </w:p>
        </w:tc>
        <w:tc>
          <w:tcPr>
            <w:tcW w:w="7620" w:type="dxa"/>
          </w:tcPr>
          <w:p w14:paraId="1CD62A50" w14:textId="68050062" w:rsidR="00915077" w:rsidRPr="00E26EF6" w:rsidRDefault="006455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1.1.2.4</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dodatkowego ujęcia instrumentów emitowanych przez jednostki zależne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5F2202A5" w14:textId="24B17F53"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480 CRR</w:t>
            </w:r>
          </w:p>
          <w:p w14:paraId="36CC6E00" w14:textId="2FCECD6B"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Korekty kwalifikującego się kapitału Tier I uwzględnionego</w:t>
            </w:r>
            <w:r w:rsidR="00E26EF6" w:rsidRPr="00E26EF6">
              <w:rPr>
                <w:rStyle w:val="FormatvorlageInstructionsTabelleText"/>
                <w:rFonts w:ascii="Times New Roman" w:hAnsi="Times New Roman"/>
                <w:sz w:val="24"/>
              </w:rPr>
              <w:t xml:space="preserve"> w sko</w:t>
            </w:r>
            <w:r w:rsidRPr="00E26EF6">
              <w:rPr>
                <w:rStyle w:val="FormatvorlageInstructionsTabelleText"/>
                <w:rFonts w:ascii="Times New Roman" w:hAnsi="Times New Roman"/>
                <w:sz w:val="24"/>
              </w:rPr>
              <w:t>nsolidowanym kapitale dodatkowym Tier I wynikające</w:t>
            </w:r>
            <w:r w:rsidR="00E26EF6" w:rsidRPr="00E26EF6">
              <w:rPr>
                <w:rStyle w:val="FormatvorlageInstructionsTabelleText"/>
                <w:rFonts w:ascii="Times New Roman" w:hAnsi="Times New Roman"/>
                <w:sz w:val="24"/>
              </w:rPr>
              <w:t xml:space="preserve"> z prz</w:t>
            </w:r>
            <w:r w:rsidRPr="00E26EF6">
              <w:rPr>
                <w:rStyle w:val="FormatvorlageInstructionsTabelleText"/>
                <w:rFonts w:ascii="Times New Roman" w:hAnsi="Times New Roman"/>
                <w:sz w:val="24"/>
              </w:rPr>
              <w:t>episów przejściowych. Pozycja ta jest uzyskiwana bezpośrednio z CA5.</w:t>
            </w:r>
          </w:p>
        </w:tc>
      </w:tr>
      <w:tr w:rsidR="00915077" w:rsidRPr="00E26EF6" w14:paraId="6507BBBF" w14:textId="77777777" w:rsidTr="00672D2A">
        <w:tc>
          <w:tcPr>
            <w:tcW w:w="1129" w:type="dxa"/>
          </w:tcPr>
          <w:p w14:paraId="5C2823E4"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690</w:t>
            </w:r>
          </w:p>
        </w:tc>
        <w:tc>
          <w:tcPr>
            <w:tcW w:w="7620" w:type="dxa"/>
          </w:tcPr>
          <w:p w14:paraId="0AF5B7B3" w14:textId="5CE5ED43" w:rsidR="00915077" w:rsidRPr="00E26EF6" w:rsidRDefault="006455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1.1.2.5</w:t>
            </w:r>
            <w:r w:rsidRPr="00E26EF6">
              <w:rPr>
                <w:rStyle w:val="InstructionsTabelleberschrift"/>
                <w:rFonts w:ascii="Times New Roman" w:hAnsi="Times New Roman"/>
                <w:sz w:val="24"/>
              </w:rPr>
              <w:tab/>
              <w:t>(-) 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0F9507A7" w14:textId="75D3DA40"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122,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58 CRR</w:t>
            </w:r>
          </w:p>
          <w:p w14:paraId="635338EE" w14:textId="20C2F5BA"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lastRenderedPageBreak/>
              <w:t>Udziały kapitałowe</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dodatkowym Tier I 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 jeżeli istnieje krzyżowe powiązanie kapitałowe, uznane przez właściwy organ za mające na celu sztuczne zawyżanie funduszy własnych instytucji.</w:t>
            </w:r>
          </w:p>
          <w:p w14:paraId="0ABBE332" w14:textId="69E29391"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Kwotę, którą należy tu zgłosić, oblicza się na podstawie pozycji długich brutto</w:t>
            </w:r>
            <w:r w:rsidR="00E26EF6" w:rsidRPr="00E26EF6">
              <w:rPr>
                <w:rStyle w:val="FormatvorlageInstructionsTabelleText"/>
                <w:rFonts w:ascii="Times New Roman" w:hAnsi="Times New Roman"/>
                <w:sz w:val="24"/>
              </w:rPr>
              <w:t xml:space="preserve"> i obe</w:t>
            </w:r>
            <w:r w:rsidRPr="00E26EF6">
              <w:rPr>
                <w:rStyle w:val="FormatvorlageInstructionsTabelleText"/>
                <w:rFonts w:ascii="Times New Roman" w:hAnsi="Times New Roman"/>
                <w:sz w:val="24"/>
              </w:rPr>
              <w:t>jmuje ona dodatkowe pozycje ubezpieczeniowe funduszy własnych Tier I.</w:t>
            </w:r>
          </w:p>
        </w:tc>
      </w:tr>
      <w:tr w:rsidR="00915077" w:rsidRPr="00E26EF6" w14:paraId="66A029F9" w14:textId="77777777" w:rsidTr="00672D2A">
        <w:tc>
          <w:tcPr>
            <w:tcW w:w="1129" w:type="dxa"/>
          </w:tcPr>
          <w:p w14:paraId="74BA6C45"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700</w:t>
            </w:r>
          </w:p>
        </w:tc>
        <w:tc>
          <w:tcPr>
            <w:tcW w:w="7620" w:type="dxa"/>
          </w:tcPr>
          <w:p w14:paraId="2ED883C3" w14:textId="713E8E4E"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1.1.2.6</w:t>
            </w:r>
            <w:r w:rsidRPr="00E26EF6">
              <w:rPr>
                <w:rStyle w:val="InstructionsTabelleberschrift"/>
                <w:rFonts w:ascii="Times New Roman" w:hAnsi="Times New Roman"/>
                <w:sz w:val="24"/>
              </w:rPr>
              <w:tab/>
              <w:t>(-)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w:t>
            </w:r>
          </w:p>
          <w:p w14:paraId="43438A82" w14:textId="2B2F4AC6"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59, 60</w:t>
            </w:r>
            <w:r w:rsidR="00E26EF6" w:rsidRPr="00E26EF6">
              <w:rPr>
                <w:rStyle w:val="FormatvorlageInstructionsTabelleText"/>
                <w:rFonts w:ascii="Times New Roman" w:hAnsi="Times New Roman"/>
                <w:sz w:val="24"/>
              </w:rPr>
              <w:t xml:space="preserve"> i 7</w:t>
            </w:r>
            <w:r w:rsidRPr="00E26EF6">
              <w:rPr>
                <w:rStyle w:val="FormatvorlageInstructionsTabelleText"/>
                <w:rFonts w:ascii="Times New Roman" w:hAnsi="Times New Roman"/>
                <w:sz w:val="24"/>
              </w:rPr>
              <w:t>9 CRR</w:t>
            </w:r>
          </w:p>
          <w:p w14:paraId="11257FAF" w14:textId="30C81150"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Część posiadanych przez instytucję udziałów kapitałowych</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 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ypadkach, gdy instytucja nie dokonała znacznej inwestycji w te podmioty, którą należy odliczyć od kapitału dodatkowego Tier I.</w:t>
            </w:r>
          </w:p>
        </w:tc>
      </w:tr>
      <w:tr w:rsidR="00915077" w:rsidRPr="00E26EF6" w14:paraId="7B60CAAA" w14:textId="77777777" w:rsidTr="00672D2A">
        <w:tc>
          <w:tcPr>
            <w:tcW w:w="1129" w:type="dxa"/>
          </w:tcPr>
          <w:p w14:paraId="297727A6"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710</w:t>
            </w:r>
          </w:p>
        </w:tc>
        <w:tc>
          <w:tcPr>
            <w:tcW w:w="7620" w:type="dxa"/>
          </w:tcPr>
          <w:p w14:paraId="5B38DE40" w14:textId="153081C8"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1.1.2.7</w:t>
            </w:r>
            <w:r w:rsidRPr="00E26EF6">
              <w:rPr>
                <w:rStyle w:val="InstructionsTabelleberschrift"/>
                <w:rFonts w:ascii="Times New Roman" w:hAnsi="Times New Roman"/>
                <w:sz w:val="24"/>
              </w:rPr>
              <w:tab/>
              <w:t>(-)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w:t>
            </w:r>
          </w:p>
          <w:p w14:paraId="2FB31A03" w14:textId="07CCC9A4"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d),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59</w:t>
            </w:r>
            <w:r w:rsidR="00E26EF6" w:rsidRPr="00E26EF6">
              <w:rPr>
                <w:rStyle w:val="FormatvorlageInstructionsTabelleText"/>
                <w:rFonts w:ascii="Times New Roman" w:hAnsi="Times New Roman"/>
                <w:sz w:val="24"/>
              </w:rPr>
              <w:t xml:space="preserve"> i 7</w:t>
            </w:r>
            <w:r w:rsidRPr="00E26EF6">
              <w:rPr>
                <w:rStyle w:val="FormatvorlageInstructionsTabelleText"/>
                <w:rFonts w:ascii="Times New Roman" w:hAnsi="Times New Roman"/>
                <w:sz w:val="24"/>
              </w:rPr>
              <w:t>9 CRR</w:t>
            </w:r>
          </w:p>
          <w:p w14:paraId="04F9B9FD" w14:textId="5451D9DE" w:rsidR="00915077" w:rsidRPr="00E26EF6" w:rsidRDefault="009B511B">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Posiadane przez instytucję udziały kapitałowe</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dodatkowym Tier I 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 są całkowicie odliczane</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ypadkach, gdy instytucja dokonała znacznej inwestycji.</w:t>
            </w:r>
          </w:p>
        </w:tc>
      </w:tr>
      <w:tr w:rsidR="00915077" w:rsidRPr="00E26EF6" w14:paraId="34F0D37F" w14:textId="77777777" w:rsidTr="00672D2A">
        <w:tc>
          <w:tcPr>
            <w:tcW w:w="1129" w:type="dxa"/>
          </w:tcPr>
          <w:p w14:paraId="4B4BDEF5"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720</w:t>
            </w:r>
          </w:p>
        </w:tc>
        <w:tc>
          <w:tcPr>
            <w:tcW w:w="7620" w:type="dxa"/>
          </w:tcPr>
          <w:p w14:paraId="38B538F1" w14:textId="1406018B"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1.1.2.8</w:t>
            </w:r>
            <w:r w:rsidRPr="00E26EF6">
              <w:rPr>
                <w:rStyle w:val="InstructionsTabelleberschrift"/>
                <w:rFonts w:ascii="Times New Roman" w:hAnsi="Times New Roman"/>
                <w:sz w:val="24"/>
              </w:rPr>
              <w:tab/>
              <w:t>(-) Nadwyżka odliczenia od pozycji</w:t>
            </w:r>
            <w:r w:rsidR="00E26EF6" w:rsidRPr="00E26EF6">
              <w:rPr>
                <w:rStyle w:val="InstructionsTabelleberschrift"/>
                <w:rFonts w:ascii="Times New Roman" w:hAnsi="Times New Roman"/>
                <w:sz w:val="24"/>
              </w:rPr>
              <w:t xml:space="preserve"> w Tie</w:t>
            </w:r>
            <w:r w:rsidRPr="00E26EF6">
              <w:rPr>
                <w:rStyle w:val="InstructionsTabelleberschrift"/>
                <w:rFonts w:ascii="Times New Roman" w:hAnsi="Times New Roman"/>
                <w:sz w:val="24"/>
              </w:rPr>
              <w:t xml:space="preserve">r II ponad kapitał Tier II </w:t>
            </w:r>
          </w:p>
          <w:p w14:paraId="1B564A86" w14:textId="139A79DB"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56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e) CRR</w:t>
            </w:r>
          </w:p>
          <w:p w14:paraId="5875A968" w14:textId="0329377A"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jest uzyskiwana bezpośrednio</w:t>
            </w:r>
            <w:r w:rsidR="00E26EF6" w:rsidRPr="00E26EF6">
              <w:rPr>
                <w:rStyle w:val="FormatvorlageInstructionsTabelleText"/>
                <w:rFonts w:ascii="Times New Roman" w:hAnsi="Times New Roman"/>
                <w:sz w:val="24"/>
              </w:rPr>
              <w:t xml:space="preserve"> z poz</w:t>
            </w:r>
            <w:r w:rsidRPr="00E26EF6">
              <w:rPr>
                <w:rStyle w:val="FormatvorlageInstructionsTabelleText"/>
                <w:rFonts w:ascii="Times New Roman" w:hAnsi="Times New Roman"/>
                <w:sz w:val="24"/>
              </w:rPr>
              <w:t>ycji CA1 „Nadwyżka odliczenia od pozycji</w:t>
            </w:r>
            <w:r w:rsidR="00E26EF6" w:rsidRPr="00E26EF6">
              <w:rPr>
                <w:rStyle w:val="FormatvorlageInstructionsTabelleText"/>
                <w:rFonts w:ascii="Times New Roman" w:hAnsi="Times New Roman"/>
                <w:sz w:val="24"/>
              </w:rPr>
              <w:t xml:space="preserve"> w Tie</w:t>
            </w:r>
            <w:r w:rsidRPr="00E26EF6">
              <w:rPr>
                <w:rStyle w:val="FormatvorlageInstructionsTabelleText"/>
                <w:rFonts w:ascii="Times New Roman" w:hAnsi="Times New Roman"/>
                <w:sz w:val="24"/>
              </w:rPr>
              <w:t>r II ponad kapitał Tier II (odliczenie</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dodatkowym Tier I)”.</w:t>
            </w:r>
          </w:p>
        </w:tc>
      </w:tr>
      <w:tr w:rsidR="00915077" w:rsidRPr="00E26EF6" w14:paraId="618C847A" w14:textId="77777777" w:rsidTr="00672D2A">
        <w:tc>
          <w:tcPr>
            <w:tcW w:w="1129" w:type="dxa"/>
          </w:tcPr>
          <w:p w14:paraId="15EE8B60"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730</w:t>
            </w:r>
          </w:p>
        </w:tc>
        <w:tc>
          <w:tcPr>
            <w:tcW w:w="7620" w:type="dxa"/>
          </w:tcPr>
          <w:p w14:paraId="7B65AC5A" w14:textId="7240F0CC" w:rsidR="00915077" w:rsidRPr="00E26EF6" w:rsidRDefault="00A86EB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1.1.2.9</w:t>
            </w:r>
            <w:r w:rsidRPr="00E26EF6">
              <w:rPr>
                <w:rStyle w:val="InstructionsTabelleberschrift"/>
                <w:rFonts w:ascii="Times New Roman" w:hAnsi="Times New Roman"/>
                <w:sz w:val="24"/>
              </w:rPr>
              <w:tab/>
              <w:t>Inne 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0691E7AB" w14:textId="24CBAC5D"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474, 475, 478</w:t>
            </w:r>
            <w:r w:rsidR="00E26EF6" w:rsidRPr="00E26EF6">
              <w:rPr>
                <w:rStyle w:val="FormatvorlageInstructionsTabelleText"/>
                <w:rFonts w:ascii="Times New Roman" w:hAnsi="Times New Roman"/>
                <w:sz w:val="24"/>
              </w:rPr>
              <w:t xml:space="preserve"> i 4</w:t>
            </w:r>
            <w:r w:rsidRPr="00E26EF6">
              <w:rPr>
                <w:rStyle w:val="FormatvorlageInstructionsTabelleText"/>
                <w:rFonts w:ascii="Times New Roman" w:hAnsi="Times New Roman"/>
                <w:sz w:val="24"/>
              </w:rPr>
              <w:t>81 CRR</w:t>
            </w:r>
          </w:p>
          <w:p w14:paraId="26713F0C" w14:textId="3A1C07CE"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Korekty wynikające</w:t>
            </w:r>
            <w:r w:rsidR="00E26EF6" w:rsidRPr="00E26EF6">
              <w:rPr>
                <w:rStyle w:val="FormatvorlageInstructionsTabelleText"/>
                <w:rFonts w:ascii="Times New Roman" w:hAnsi="Times New Roman"/>
                <w:sz w:val="24"/>
              </w:rPr>
              <w:t xml:space="preserve"> z prz</w:t>
            </w:r>
            <w:r w:rsidRPr="00E26EF6">
              <w:rPr>
                <w:rStyle w:val="FormatvorlageInstructionsTabelleText"/>
                <w:rFonts w:ascii="Times New Roman" w:hAnsi="Times New Roman"/>
                <w:sz w:val="24"/>
              </w:rPr>
              <w:t>episów przejściowych. Kwota, którą należy zgłosić, jest uzyskiwana bezpośrednio z CA5.</w:t>
            </w:r>
          </w:p>
        </w:tc>
      </w:tr>
      <w:tr w:rsidR="00915077" w:rsidRPr="00E26EF6" w14:paraId="03699480" w14:textId="77777777" w:rsidTr="00672D2A">
        <w:tc>
          <w:tcPr>
            <w:tcW w:w="1129" w:type="dxa"/>
          </w:tcPr>
          <w:p w14:paraId="66C32358" w14:textId="77777777"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740</w:t>
            </w:r>
          </w:p>
        </w:tc>
        <w:tc>
          <w:tcPr>
            <w:tcW w:w="7620" w:type="dxa"/>
          </w:tcPr>
          <w:p w14:paraId="672FDDCE" w14:textId="47DD045C"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1.1.2.10</w:t>
            </w:r>
            <w:r w:rsidRPr="00E26EF6">
              <w:rPr>
                <w:rStyle w:val="InstructionsTabelleberschrift"/>
                <w:rFonts w:ascii="Times New Roman" w:hAnsi="Times New Roman"/>
                <w:sz w:val="24"/>
              </w:rPr>
              <w:tab/>
              <w:t>Nadwyżka odliczenia od pozycji dodatkowych</w:t>
            </w:r>
            <w:r w:rsidR="00E26EF6" w:rsidRPr="00E26EF6">
              <w:rPr>
                <w:rStyle w:val="InstructionsTabelleberschrift"/>
                <w:rFonts w:ascii="Times New Roman" w:hAnsi="Times New Roman"/>
                <w:sz w:val="24"/>
              </w:rPr>
              <w:t xml:space="preserve"> w Tie</w:t>
            </w:r>
            <w:r w:rsidRPr="00E26EF6">
              <w:rPr>
                <w:rStyle w:val="InstructionsTabelleberschrift"/>
                <w:rFonts w:ascii="Times New Roman" w:hAnsi="Times New Roman"/>
                <w:sz w:val="24"/>
              </w:rPr>
              <w:t>r I ponad kapitał dodatkowy Tier I (odliczenie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325D04D3" w14:textId="2BF37C6F"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j) CRR</w:t>
            </w:r>
          </w:p>
          <w:p w14:paraId="358ED617" w14:textId="47639A95" w:rsidR="00915077" w:rsidRPr="00E26EF6" w:rsidRDefault="00666996">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Dodatkowy kapitał Tier I nie może mieć wartości ujemnej, ale możliwa jest sytuacja,</w:t>
            </w:r>
            <w:r w:rsidR="00E26EF6" w:rsidRPr="00E26EF6">
              <w:rPr>
                <w:rStyle w:val="FormatvorlageInstructionsTabelleText"/>
                <w:rFonts w:ascii="Times New Roman" w:hAnsi="Times New Roman"/>
                <w:sz w:val="24"/>
              </w:rPr>
              <w:t xml:space="preserve"> w któ</w:t>
            </w:r>
            <w:r w:rsidRPr="00E26EF6">
              <w:rPr>
                <w:rStyle w:val="FormatvorlageInstructionsTabelleText"/>
                <w:rFonts w:ascii="Times New Roman" w:hAnsi="Times New Roman"/>
                <w:sz w:val="24"/>
              </w:rPr>
              <w:t>rej odliczenia od pozycji dodatkowych</w:t>
            </w:r>
            <w:r w:rsidR="00E26EF6" w:rsidRPr="00E26EF6">
              <w:rPr>
                <w:rStyle w:val="FormatvorlageInstructionsTabelleText"/>
                <w:rFonts w:ascii="Times New Roman" w:hAnsi="Times New Roman"/>
                <w:sz w:val="24"/>
              </w:rPr>
              <w:t xml:space="preserve"> w Tie</w:t>
            </w:r>
            <w:r w:rsidRPr="00E26EF6">
              <w:rPr>
                <w:rStyle w:val="FormatvorlageInstructionsTabelleText"/>
                <w:rFonts w:ascii="Times New Roman" w:hAnsi="Times New Roman"/>
                <w:sz w:val="24"/>
              </w:rPr>
              <w:t>r I mają większą wartość niż kapitał dodatkowy Tier I powiększony</w:t>
            </w:r>
            <w:r w:rsidR="00E26EF6" w:rsidRPr="00E26EF6">
              <w:rPr>
                <w:rStyle w:val="FormatvorlageInstructionsTabelleText"/>
                <w:rFonts w:ascii="Times New Roman" w:hAnsi="Times New Roman"/>
                <w:sz w:val="24"/>
              </w:rPr>
              <w:t xml:space="preserve"> o pow</w:t>
            </w:r>
            <w:r w:rsidRPr="00E26EF6">
              <w:rPr>
                <w:rStyle w:val="FormatvorlageInstructionsTabelleText"/>
                <w:rFonts w:ascii="Times New Roman" w:hAnsi="Times New Roman"/>
                <w:sz w:val="24"/>
              </w:rPr>
              <w:t>iązane ażio emisyjne</w:t>
            </w:r>
            <w:r w:rsidR="00E26EF6" w:rsidRPr="00E26EF6">
              <w:rPr>
                <w:rStyle w:val="FormatvorlageInstructionsTabelleText"/>
                <w:rFonts w:ascii="Times New Roman" w:hAnsi="Times New Roman"/>
                <w:sz w:val="24"/>
              </w:rPr>
              <w:t>. W tak</w:t>
            </w:r>
            <w:r w:rsidRPr="00E26EF6">
              <w:rPr>
                <w:rStyle w:val="FormatvorlageInstructionsTabelleText"/>
                <w:rFonts w:ascii="Times New Roman" w:hAnsi="Times New Roman"/>
                <w:sz w:val="24"/>
              </w:rPr>
              <w:t>i przypadku wartość kapitału dodatkowego Tier I musi być równa zeru,</w:t>
            </w:r>
            <w:r w:rsidR="00E26EF6" w:rsidRPr="00E26EF6">
              <w:rPr>
                <w:rStyle w:val="FormatvorlageInstructionsTabelleText"/>
                <w:rFonts w:ascii="Times New Roman" w:hAnsi="Times New Roman"/>
                <w:sz w:val="24"/>
              </w:rPr>
              <w:t xml:space="preserve"> a nad</w:t>
            </w:r>
            <w:r w:rsidRPr="00E26EF6">
              <w:rPr>
                <w:rStyle w:val="FormatvorlageInstructionsTabelleText"/>
                <w:rFonts w:ascii="Times New Roman" w:hAnsi="Times New Roman"/>
                <w:sz w:val="24"/>
              </w:rPr>
              <w:t>wyżkę odliczenia od pozycji dodatkowych</w:t>
            </w:r>
            <w:r w:rsidR="00E26EF6" w:rsidRPr="00E26EF6">
              <w:rPr>
                <w:rStyle w:val="FormatvorlageInstructionsTabelleText"/>
                <w:rFonts w:ascii="Times New Roman" w:hAnsi="Times New Roman"/>
                <w:sz w:val="24"/>
              </w:rPr>
              <w:t xml:space="preserve"> w Tie</w:t>
            </w:r>
            <w:r w:rsidRPr="00E26EF6">
              <w:rPr>
                <w:rStyle w:val="FormatvorlageInstructionsTabelleText"/>
                <w:rFonts w:ascii="Times New Roman" w:hAnsi="Times New Roman"/>
                <w:sz w:val="24"/>
              </w:rPr>
              <w:t>r I należy odjąć od kapitału podstawowego Tier I.</w:t>
            </w:r>
          </w:p>
          <w:p w14:paraId="43B7F61D" w14:textId="1EE1C97F" w:rsidR="00915077" w:rsidRPr="00E26EF6" w:rsidRDefault="00666996">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Wskutek tej pozycji suma pozycji od</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1.1.2.1 </w:t>
            </w:r>
            <w:proofErr w:type="gramStart"/>
            <w:r w:rsidRPr="00E26EF6">
              <w:rPr>
                <w:rStyle w:val="FormatvorlageInstructionsTabelleText"/>
                <w:rFonts w:ascii="Times New Roman" w:hAnsi="Times New Roman"/>
                <w:sz w:val="24"/>
              </w:rPr>
              <w:t>do</w:t>
            </w:r>
            <w:proofErr w:type="gramEnd"/>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1.1.2.12 </w:t>
            </w:r>
            <w:proofErr w:type="gramStart"/>
            <w:r w:rsidRPr="00E26EF6">
              <w:rPr>
                <w:rStyle w:val="FormatvorlageInstructionsTabelleText"/>
                <w:rFonts w:ascii="Times New Roman" w:hAnsi="Times New Roman"/>
                <w:sz w:val="24"/>
              </w:rPr>
              <w:t>nigdy</w:t>
            </w:r>
            <w:proofErr w:type="gramEnd"/>
            <w:r w:rsidRPr="00E26EF6">
              <w:rPr>
                <w:rStyle w:val="FormatvorlageInstructionsTabelleText"/>
                <w:rFonts w:ascii="Times New Roman" w:hAnsi="Times New Roman"/>
                <w:sz w:val="24"/>
              </w:rPr>
              <w:t xml:space="preserve"> nie jest mniejsza od zera. Jeżeli jednak</w:t>
            </w:r>
            <w:r w:rsidR="00E26EF6" w:rsidRPr="00E26EF6">
              <w:rPr>
                <w:rStyle w:val="FormatvorlageInstructionsTabelleText"/>
                <w:rFonts w:ascii="Times New Roman" w:hAnsi="Times New Roman"/>
                <w:sz w:val="24"/>
              </w:rPr>
              <w:t xml:space="preserve"> w poz</w:t>
            </w:r>
            <w:r w:rsidRPr="00E26EF6">
              <w:rPr>
                <w:rStyle w:val="FormatvorlageInstructionsTabelleText"/>
                <w:rFonts w:ascii="Times New Roman" w:hAnsi="Times New Roman"/>
                <w:sz w:val="24"/>
              </w:rPr>
              <w:t>ycji tej podana jest wartość dodatnia,</w:t>
            </w:r>
            <w:r w:rsidR="00E26EF6" w:rsidRPr="00E26EF6">
              <w:rPr>
                <w:rStyle w:val="FormatvorlageInstructionsTabelleText"/>
                <w:rFonts w:ascii="Times New Roman" w:hAnsi="Times New Roman"/>
                <w:sz w:val="24"/>
              </w:rPr>
              <w:t xml:space="preserve"> w poz</w:t>
            </w:r>
            <w:r w:rsidRPr="00E26EF6">
              <w:rPr>
                <w:rStyle w:val="FormatvorlageInstructionsTabelleText"/>
                <w:rFonts w:ascii="Times New Roman" w:hAnsi="Times New Roman"/>
                <w:sz w:val="24"/>
              </w:rPr>
              <w:t xml:space="preserve">ycji 1.1.1.16 </w:t>
            </w:r>
            <w:proofErr w:type="gramStart"/>
            <w:r w:rsidRPr="00E26EF6">
              <w:rPr>
                <w:rStyle w:val="FormatvorlageInstructionsTabelleText"/>
                <w:rFonts w:ascii="Times New Roman" w:hAnsi="Times New Roman"/>
                <w:sz w:val="24"/>
              </w:rPr>
              <w:t>widnieje</w:t>
            </w:r>
            <w:proofErr w:type="gramEnd"/>
            <w:r w:rsidRPr="00E26EF6">
              <w:rPr>
                <w:rStyle w:val="FormatvorlageInstructionsTabelleText"/>
                <w:rFonts w:ascii="Times New Roman" w:hAnsi="Times New Roman"/>
                <w:sz w:val="24"/>
              </w:rPr>
              <w:t xml:space="preserve"> odwrotność tej liczby.</w:t>
            </w:r>
          </w:p>
        </w:tc>
      </w:tr>
      <w:tr w:rsidR="00915077" w:rsidRPr="00E26EF6" w14:paraId="1B557DBD" w14:textId="77777777" w:rsidTr="00672D2A">
        <w:tc>
          <w:tcPr>
            <w:tcW w:w="1129" w:type="dxa"/>
          </w:tcPr>
          <w:p w14:paraId="04729D70" w14:textId="77777777"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744</w:t>
            </w:r>
          </w:p>
          <w:p w14:paraId="3C0E883C" w14:textId="77777777" w:rsidR="00915077" w:rsidRPr="00E26EF6" w:rsidRDefault="00915077">
            <w:pPr>
              <w:pStyle w:val="InstructionsText"/>
              <w:rPr>
                <w:rStyle w:val="FormatvorlageInstructionsTabelleText"/>
                <w:rFonts w:ascii="Times New Roman" w:hAnsi="Times New Roman"/>
                <w:sz w:val="24"/>
                <w:highlight w:val="lightGray"/>
              </w:rPr>
            </w:pPr>
          </w:p>
        </w:tc>
        <w:tc>
          <w:tcPr>
            <w:tcW w:w="7620" w:type="dxa"/>
          </w:tcPr>
          <w:p w14:paraId="148D48A1" w14:textId="3CFB9FE5" w:rsidR="00915077" w:rsidRPr="00E26EF6" w:rsidRDefault="00A86EB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1.1.2.11</w:t>
            </w:r>
            <w:r w:rsidRPr="00E26EF6">
              <w:rPr>
                <w:rStyle w:val="InstructionsTabelleberschrift"/>
                <w:rFonts w:ascii="Times New Roman" w:hAnsi="Times New Roman"/>
                <w:sz w:val="24"/>
              </w:rPr>
              <w:tab/>
              <w:t>(-) Dodatkowe odliczenia od kapitału dodatkowego Tier I zgodnie</w:t>
            </w:r>
            <w:r w:rsidR="00E26EF6" w:rsidRPr="00E26EF6">
              <w:rPr>
                <w:rStyle w:val="InstructionsTabelleberschrift"/>
                <w:rFonts w:ascii="Times New Roman" w:hAnsi="Times New Roman"/>
                <w:sz w:val="24"/>
              </w:rPr>
              <w:t xml:space="preserve"> z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3 CRR</w:t>
            </w:r>
          </w:p>
          <w:p w14:paraId="0B28125F" w14:textId="77777777" w:rsidR="00915077" w:rsidRPr="00E26EF6" w:rsidRDefault="00A86EB4">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3 CRR</w:t>
            </w:r>
          </w:p>
        </w:tc>
      </w:tr>
      <w:tr w:rsidR="00915077" w:rsidRPr="00E26EF6" w14:paraId="3C02C18D" w14:textId="77777777" w:rsidTr="00672D2A">
        <w:tc>
          <w:tcPr>
            <w:tcW w:w="1129" w:type="dxa"/>
          </w:tcPr>
          <w:p w14:paraId="39C56A1E" w14:textId="77777777" w:rsidR="00915077" w:rsidRPr="00E26EF6" w:rsidRDefault="008F5B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748</w:t>
            </w:r>
          </w:p>
        </w:tc>
        <w:tc>
          <w:tcPr>
            <w:tcW w:w="7620" w:type="dxa"/>
          </w:tcPr>
          <w:p w14:paraId="6584CC0D" w14:textId="77777777" w:rsidR="00915077" w:rsidRPr="00E26EF6" w:rsidRDefault="008F5BFE">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sz w:val="24"/>
              </w:rPr>
              <w:t>1.1.2.12</w:t>
            </w:r>
            <w:r w:rsidRPr="00E26EF6">
              <w:rPr>
                <w:rStyle w:val="InstructionsTabelleberschrift"/>
                <w:rFonts w:ascii="Times New Roman" w:hAnsi="Times New Roman"/>
                <w:sz w:val="24"/>
              </w:rPr>
              <w:tab/>
              <w:t>Elementy kapitału dodatkowego Tier I lub odliczenia od kapitału dodatkowego Tier I – inne</w:t>
            </w:r>
          </w:p>
          <w:p w14:paraId="3294EFAE" w14:textId="552904E4" w:rsidR="00915077" w:rsidRPr="00E26EF6" w:rsidRDefault="00A86EB4">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Wiersz ten ma na celu zapewnienie elastyczności wyłącznie dla celów sprawozdawczości. Wprowadza się</w:t>
            </w:r>
            <w:r w:rsidR="00E26EF6" w:rsidRPr="00E26EF6">
              <w:rPr>
                <w:rStyle w:val="InstructionsTabelleberschrift"/>
                <w:rFonts w:ascii="Times New Roman" w:hAnsi="Times New Roman"/>
                <w:b w:val="0"/>
                <w:sz w:val="24"/>
                <w:u w:val="none"/>
              </w:rPr>
              <w:t xml:space="preserve"> w nim</w:t>
            </w:r>
            <w:r w:rsidRPr="00E26EF6">
              <w:rPr>
                <w:rStyle w:val="InstructionsTabelleberschrift"/>
                <w:rFonts w:ascii="Times New Roman" w:hAnsi="Times New Roman"/>
                <w:b w:val="0"/>
                <w:sz w:val="24"/>
                <w:u w:val="none"/>
              </w:rPr>
              <w:t xml:space="preserve"> dane</w:t>
            </w:r>
            <w:r w:rsidR="00E26EF6" w:rsidRPr="00E26EF6">
              <w:rPr>
                <w:rStyle w:val="InstructionsTabelleberschrift"/>
                <w:rFonts w:ascii="Times New Roman" w:hAnsi="Times New Roman"/>
                <w:b w:val="0"/>
                <w:sz w:val="24"/>
                <w:u w:val="none"/>
              </w:rPr>
              <w:t xml:space="preserve"> w tyc</w:t>
            </w:r>
            <w:r w:rsidRPr="00E26EF6">
              <w:rPr>
                <w:rStyle w:val="InstructionsTabelleberschrift"/>
                <w:rFonts w:ascii="Times New Roman" w:hAnsi="Times New Roman"/>
                <w:b w:val="0"/>
                <w:sz w:val="24"/>
                <w:u w:val="none"/>
              </w:rPr>
              <w:t>h rzadkich przypadkach, gdy nie ma ostatecznej decyzji</w:t>
            </w:r>
            <w:r w:rsidR="00E26EF6" w:rsidRPr="00E26EF6">
              <w:rPr>
                <w:rStyle w:val="InstructionsTabelleberschrift"/>
                <w:rFonts w:ascii="Times New Roman" w:hAnsi="Times New Roman"/>
                <w:b w:val="0"/>
                <w:sz w:val="24"/>
                <w:u w:val="none"/>
              </w:rPr>
              <w:t xml:space="preserve"> w spr</w:t>
            </w:r>
            <w:r w:rsidRPr="00E26EF6">
              <w:rPr>
                <w:rStyle w:val="InstructionsTabelleberschrift"/>
                <w:rFonts w:ascii="Times New Roman" w:hAnsi="Times New Roman"/>
                <w:b w:val="0"/>
                <w:sz w:val="24"/>
                <w:u w:val="none"/>
              </w:rPr>
              <w:t>awie zgłaszania poszczególnych pozycji kapitału/odliczeń we wzorze CA1</w:t>
            </w:r>
            <w:r w:rsidR="00E26EF6" w:rsidRPr="00E26EF6">
              <w:rPr>
                <w:rStyle w:val="InstructionsTabelleberschrift"/>
                <w:rFonts w:ascii="Times New Roman" w:hAnsi="Times New Roman"/>
                <w:b w:val="0"/>
                <w:sz w:val="24"/>
                <w:u w:val="none"/>
              </w:rPr>
              <w:t>. W kon</w:t>
            </w:r>
            <w:r w:rsidRPr="00E26EF6">
              <w:rPr>
                <w:rStyle w:val="InstructionsTabelleberschrift"/>
                <w:rFonts w:ascii="Times New Roman" w:hAnsi="Times New Roman"/>
                <w:b w:val="0"/>
                <w:sz w:val="24"/>
                <w:u w:val="none"/>
              </w:rPr>
              <w:t>sekwencji wiersz ten wypełnia się tylko wtedy, gdy elementu kapitału dodatkowego Tier I lub odliczenia od elementu kapitału dodatkowego Tier I nie można przypisać do żadnego</w:t>
            </w:r>
            <w:r w:rsidR="00E26EF6" w:rsidRPr="00E26EF6">
              <w:rPr>
                <w:rStyle w:val="InstructionsTabelleberschrift"/>
                <w:rFonts w:ascii="Times New Roman" w:hAnsi="Times New Roman"/>
                <w:b w:val="0"/>
                <w:sz w:val="24"/>
                <w:u w:val="none"/>
              </w:rPr>
              <w:t xml:space="preserve"> z wie</w:t>
            </w:r>
            <w:r w:rsidRPr="00E26EF6">
              <w:rPr>
                <w:rStyle w:val="InstructionsTabelleberschrift"/>
                <w:rFonts w:ascii="Times New Roman" w:hAnsi="Times New Roman"/>
                <w:b w:val="0"/>
                <w:sz w:val="24"/>
                <w:u w:val="none"/>
              </w:rPr>
              <w:t>rszy od</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530 do</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744. </w:t>
            </w:r>
          </w:p>
          <w:p w14:paraId="16BBC1B4" w14:textId="467C211F" w:rsidR="00915077" w:rsidRPr="00E26EF6" w:rsidRDefault="00A86EB4">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lastRenderedPageBreak/>
              <w:t>Wiersza tego nie używa się do uwzględniania pozycji kapitału/odliczeń, które nie są objęte zakresem stosowania CRR,</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obliczenia współczynników wypłacalności (np. przypisania pozycji kapitału/odliczeń, które określono według przepisów krajowych,</w:t>
            </w:r>
            <w:r w:rsidR="00E26EF6" w:rsidRPr="00E26EF6">
              <w:rPr>
                <w:rStyle w:val="InstructionsTabelleberschrift"/>
                <w:rFonts w:ascii="Times New Roman" w:hAnsi="Times New Roman"/>
                <w:b w:val="0"/>
                <w:sz w:val="24"/>
                <w:u w:val="none"/>
              </w:rPr>
              <w:t xml:space="preserve"> a któ</w:t>
            </w:r>
            <w:r w:rsidRPr="00E26EF6">
              <w:rPr>
                <w:rStyle w:val="InstructionsTabelleberschrift"/>
                <w:rFonts w:ascii="Times New Roman" w:hAnsi="Times New Roman"/>
                <w:b w:val="0"/>
                <w:sz w:val="24"/>
                <w:u w:val="none"/>
              </w:rPr>
              <w:t>re nie wchodzą</w:t>
            </w:r>
            <w:r w:rsidR="00E26EF6" w:rsidRPr="00E26EF6">
              <w:rPr>
                <w:rStyle w:val="InstructionsTabelleberschrift"/>
                <w:rFonts w:ascii="Times New Roman" w:hAnsi="Times New Roman"/>
                <w:b w:val="0"/>
                <w:sz w:val="24"/>
                <w:u w:val="none"/>
              </w:rPr>
              <w:t xml:space="preserve"> w zak</w:t>
            </w:r>
            <w:r w:rsidRPr="00E26EF6">
              <w:rPr>
                <w:rStyle w:val="InstructionsTabelleberschrift"/>
                <w:rFonts w:ascii="Times New Roman" w:hAnsi="Times New Roman"/>
                <w:b w:val="0"/>
                <w:sz w:val="24"/>
                <w:u w:val="none"/>
              </w:rPr>
              <w:t>res stosowania CRR).</w:t>
            </w:r>
          </w:p>
        </w:tc>
      </w:tr>
      <w:tr w:rsidR="00915077" w:rsidRPr="00E26EF6" w14:paraId="58D60CFB" w14:textId="77777777" w:rsidTr="00672D2A">
        <w:tc>
          <w:tcPr>
            <w:tcW w:w="1129" w:type="dxa"/>
          </w:tcPr>
          <w:p w14:paraId="50C809AD"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750</w:t>
            </w:r>
          </w:p>
        </w:tc>
        <w:tc>
          <w:tcPr>
            <w:tcW w:w="7620" w:type="dxa"/>
          </w:tcPr>
          <w:p w14:paraId="25280851" w14:textId="77777777"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w:t>
            </w:r>
            <w:r w:rsidRPr="00E26EF6">
              <w:rPr>
                <w:rStyle w:val="InstructionsTabelleberschrift"/>
                <w:rFonts w:ascii="Times New Roman" w:hAnsi="Times New Roman"/>
                <w:sz w:val="24"/>
              </w:rPr>
              <w:tab/>
              <w:t>KAPITAŁ TIER II</w:t>
            </w:r>
          </w:p>
          <w:p w14:paraId="0BD3D66F" w14:textId="3CE0DB43"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71 CRR</w:t>
            </w:r>
          </w:p>
        </w:tc>
      </w:tr>
      <w:tr w:rsidR="00915077" w:rsidRPr="00E26EF6" w14:paraId="0605657D" w14:textId="77777777" w:rsidTr="00672D2A">
        <w:tc>
          <w:tcPr>
            <w:tcW w:w="1129" w:type="dxa"/>
          </w:tcPr>
          <w:p w14:paraId="26BCDCEA"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760</w:t>
            </w:r>
          </w:p>
        </w:tc>
        <w:tc>
          <w:tcPr>
            <w:tcW w:w="7620" w:type="dxa"/>
          </w:tcPr>
          <w:p w14:paraId="3673CDC8" w14:textId="4C1B5489"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w:t>
            </w:r>
            <w:r w:rsidRPr="00E26EF6">
              <w:rPr>
                <w:rStyle w:val="InstructionsTabelleberschrift"/>
                <w:rFonts w:ascii="Times New Roman" w:hAnsi="Times New Roman"/>
                <w:sz w:val="24"/>
              </w:rPr>
              <w:tab/>
              <w:t>Instrumenty kapitałowe</w:t>
            </w:r>
            <w:r w:rsidR="00E26EF6" w:rsidRPr="00E26EF6">
              <w:rPr>
                <w:rStyle w:val="InstructionsTabelleberschrift"/>
                <w:rFonts w:ascii="Times New Roman" w:hAnsi="Times New Roman"/>
                <w:sz w:val="24"/>
              </w:rPr>
              <w:t xml:space="preserve"> i poż</w:t>
            </w:r>
            <w:r w:rsidRPr="00E26EF6">
              <w:rPr>
                <w:rStyle w:val="InstructionsTabelleberschrift"/>
                <w:rFonts w:ascii="Times New Roman" w:hAnsi="Times New Roman"/>
                <w:sz w:val="24"/>
              </w:rPr>
              <w:t>yczki podporządkowane kwalifikujące się jako kapitał Tier II</w:t>
            </w:r>
          </w:p>
          <w:p w14:paraId="13AA4428" w14:textId="3E5ACC3C" w:rsidR="00915077" w:rsidRPr="00E26EF6" w:rsidRDefault="00852CAD">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62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63–65,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67 CRR</w:t>
            </w:r>
          </w:p>
        </w:tc>
      </w:tr>
      <w:tr w:rsidR="00915077" w:rsidRPr="00E26EF6" w14:paraId="43D50883" w14:textId="77777777" w:rsidTr="00672D2A">
        <w:tc>
          <w:tcPr>
            <w:tcW w:w="1129" w:type="dxa"/>
          </w:tcPr>
          <w:p w14:paraId="18130D4E"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770</w:t>
            </w:r>
          </w:p>
        </w:tc>
        <w:tc>
          <w:tcPr>
            <w:tcW w:w="7620" w:type="dxa"/>
          </w:tcPr>
          <w:p w14:paraId="2DF23936" w14:textId="66A25BF2"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1.2.1.1</w:t>
            </w:r>
            <w:r w:rsidRPr="00E26EF6">
              <w:rPr>
                <w:rStyle w:val="InstructionsTabelleberschrift"/>
                <w:rFonts w:ascii="Times New Roman" w:hAnsi="Times New Roman"/>
                <w:sz w:val="24"/>
              </w:rPr>
              <w:tab/>
              <w:t>Opłacone instrumenty kapitałowe</w:t>
            </w:r>
            <w:r w:rsidR="00E26EF6" w:rsidRPr="00E26EF6">
              <w:t xml:space="preserve"> </w:t>
            </w:r>
            <w:r w:rsidR="00E26EF6" w:rsidRPr="00E26EF6">
              <w:rPr>
                <w:rStyle w:val="InstructionsTabelleberschrift"/>
                <w:rFonts w:ascii="Times New Roman" w:hAnsi="Times New Roman"/>
                <w:sz w:val="24"/>
              </w:rPr>
              <w:t>i</w:t>
            </w:r>
            <w:r w:rsidR="00E26EF6" w:rsidRPr="00E26EF6">
              <w:t> </w:t>
            </w:r>
            <w:r w:rsidR="00E26EF6" w:rsidRPr="00E26EF6">
              <w:rPr>
                <w:rStyle w:val="InstructionsTabelleberschrift"/>
                <w:rFonts w:ascii="Times New Roman" w:hAnsi="Times New Roman"/>
                <w:sz w:val="24"/>
              </w:rPr>
              <w:t>poż</w:t>
            </w:r>
            <w:r w:rsidRPr="00E26EF6">
              <w:rPr>
                <w:rStyle w:val="InstructionsTabelleberschrift"/>
                <w:rFonts w:ascii="Times New Roman" w:hAnsi="Times New Roman"/>
                <w:sz w:val="24"/>
              </w:rPr>
              <w:t>yczki podporządkowane</w:t>
            </w:r>
          </w:p>
          <w:p w14:paraId="40899838" w14:textId="02126A70"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62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63</w:t>
            </w:r>
            <w:r w:rsidR="00E26EF6" w:rsidRPr="00E26EF6">
              <w:rPr>
                <w:rStyle w:val="FormatvorlageInstructionsTabelleText"/>
                <w:rFonts w:ascii="Times New Roman" w:hAnsi="Times New Roman"/>
                <w:sz w:val="24"/>
              </w:rPr>
              <w:t xml:space="preserve"> i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65 CRR</w:t>
            </w:r>
          </w:p>
          <w:p w14:paraId="79A180BF" w14:textId="55F75476"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nie obejmuje ażio emisyjnego związanego</w:t>
            </w:r>
            <w:r w:rsidR="00E26EF6" w:rsidRPr="00E26EF6">
              <w:rPr>
                <w:rStyle w:val="FormatvorlageInstructionsTabelleText"/>
                <w:rFonts w:ascii="Times New Roman" w:hAnsi="Times New Roman"/>
                <w:sz w:val="24"/>
              </w:rPr>
              <w:t xml:space="preserve"> z ins</w:t>
            </w:r>
            <w:r w:rsidRPr="00E26EF6">
              <w:rPr>
                <w:rStyle w:val="FormatvorlageInstructionsTabelleText"/>
                <w:rFonts w:ascii="Times New Roman" w:hAnsi="Times New Roman"/>
                <w:sz w:val="24"/>
              </w:rPr>
              <w:t>trumentami.</w:t>
            </w:r>
          </w:p>
        </w:tc>
      </w:tr>
      <w:tr w:rsidR="00915077" w:rsidRPr="00E26EF6" w14:paraId="662FE153" w14:textId="77777777" w:rsidTr="00672D2A">
        <w:tc>
          <w:tcPr>
            <w:tcW w:w="1129" w:type="dxa"/>
          </w:tcPr>
          <w:p w14:paraId="5EB45D6F"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780</w:t>
            </w:r>
          </w:p>
        </w:tc>
        <w:tc>
          <w:tcPr>
            <w:tcW w:w="7620" w:type="dxa"/>
          </w:tcPr>
          <w:p w14:paraId="48714EFB" w14:textId="292C8CC1"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1.2.1.2 (*)</w:t>
            </w:r>
            <w:r w:rsidRPr="00E26EF6">
              <w:rPr>
                <w:rStyle w:val="InstructionsTabelleberschrift"/>
                <w:rFonts w:ascii="Times New Roman" w:hAnsi="Times New Roman"/>
                <w:sz w:val="24"/>
              </w:rPr>
              <w:tab/>
              <w:t>Pozycja uzupełniająca: nieuznane instrumenty kapitałowe</w:t>
            </w:r>
            <w:r w:rsidR="00E26EF6" w:rsidRPr="00E26EF6">
              <w:t xml:space="preserve"> </w:t>
            </w:r>
            <w:r w:rsidR="00E26EF6" w:rsidRPr="00E26EF6">
              <w:rPr>
                <w:rStyle w:val="InstructionsTabelleberschrift"/>
                <w:rFonts w:ascii="Times New Roman" w:hAnsi="Times New Roman"/>
                <w:sz w:val="24"/>
              </w:rPr>
              <w:t>i</w:t>
            </w:r>
            <w:r w:rsidR="00E26EF6" w:rsidRPr="00E26EF6">
              <w:t> </w:t>
            </w:r>
            <w:r w:rsidR="00E26EF6" w:rsidRPr="00E26EF6">
              <w:rPr>
                <w:rStyle w:val="InstructionsTabelleberschrift"/>
                <w:rFonts w:ascii="Times New Roman" w:hAnsi="Times New Roman"/>
                <w:sz w:val="24"/>
              </w:rPr>
              <w:t>poż</w:t>
            </w:r>
            <w:r w:rsidRPr="00E26EF6">
              <w:rPr>
                <w:rStyle w:val="InstructionsTabelleberschrift"/>
                <w:rFonts w:ascii="Times New Roman" w:hAnsi="Times New Roman"/>
                <w:sz w:val="24"/>
              </w:rPr>
              <w:t>yczki podporządkowane</w:t>
            </w:r>
          </w:p>
          <w:p w14:paraId="3DEFBCFD" w14:textId="37EED18C"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63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e) i f)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64 CRR</w:t>
            </w:r>
          </w:p>
          <w:p w14:paraId="31320C87" w14:textId="4010ED43"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Warunki określone</w:t>
            </w:r>
            <w:r w:rsidR="00E26EF6" w:rsidRPr="00E26EF6">
              <w:rPr>
                <w:rStyle w:val="FormatvorlageInstructionsTabelleText"/>
                <w:rFonts w:ascii="Times New Roman" w:hAnsi="Times New Roman"/>
                <w:sz w:val="24"/>
              </w:rPr>
              <w:t xml:space="preserve"> w tyc</w:t>
            </w:r>
            <w:r w:rsidRPr="00E26EF6">
              <w:rPr>
                <w:rStyle w:val="FormatvorlageInstructionsTabelleText"/>
                <w:rFonts w:ascii="Times New Roman" w:hAnsi="Times New Roman"/>
                <w:sz w:val="24"/>
              </w:rPr>
              <w:t>h literach odzwierciedlają różne sytuacje dotyczące kapitału, które są odwracalne,</w:t>
            </w:r>
            <w:r w:rsidR="00E26EF6" w:rsidRPr="00E26EF6">
              <w:rPr>
                <w:rStyle w:val="FormatvorlageInstructionsTabelleText"/>
                <w:rFonts w:ascii="Times New Roman" w:hAnsi="Times New Roman"/>
                <w:sz w:val="24"/>
              </w:rPr>
              <w:t xml:space="preserve"> a wię</w:t>
            </w:r>
            <w:r w:rsidRPr="00E26EF6">
              <w:rPr>
                <w:rStyle w:val="FormatvorlageInstructionsTabelleText"/>
                <w:rFonts w:ascii="Times New Roman" w:hAnsi="Times New Roman"/>
                <w:sz w:val="24"/>
              </w:rPr>
              <w:t>c kwota tu zgłoszona może zostać uznana</w:t>
            </w:r>
            <w:r w:rsidR="00E26EF6" w:rsidRPr="00E26EF6">
              <w:rPr>
                <w:rStyle w:val="FormatvorlageInstructionsTabelleText"/>
                <w:rFonts w:ascii="Times New Roman" w:hAnsi="Times New Roman"/>
                <w:sz w:val="24"/>
              </w:rPr>
              <w:t xml:space="preserve"> w kol</w:t>
            </w:r>
            <w:r w:rsidRPr="00E26EF6">
              <w:rPr>
                <w:rStyle w:val="FormatvorlageInstructionsTabelleText"/>
                <w:rFonts w:ascii="Times New Roman" w:hAnsi="Times New Roman"/>
                <w:sz w:val="24"/>
              </w:rPr>
              <w:t>ejnych okresach.</w:t>
            </w:r>
          </w:p>
          <w:p w14:paraId="68176FFB" w14:textId="3E68DF4F"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nie obejmuje ażio emisyjnego związanego</w:t>
            </w:r>
            <w:r w:rsidR="00E26EF6" w:rsidRPr="00E26EF6">
              <w:rPr>
                <w:rStyle w:val="FormatvorlageInstructionsTabelleText"/>
                <w:rFonts w:ascii="Times New Roman" w:hAnsi="Times New Roman"/>
                <w:sz w:val="24"/>
              </w:rPr>
              <w:t xml:space="preserve"> z ins</w:t>
            </w:r>
            <w:r w:rsidRPr="00E26EF6">
              <w:rPr>
                <w:rStyle w:val="FormatvorlageInstructionsTabelleText"/>
                <w:rFonts w:ascii="Times New Roman" w:hAnsi="Times New Roman"/>
                <w:sz w:val="24"/>
              </w:rPr>
              <w:t>trumentami.</w:t>
            </w:r>
          </w:p>
        </w:tc>
      </w:tr>
      <w:tr w:rsidR="00915077" w:rsidRPr="00E26EF6" w14:paraId="3DFBD29C" w14:textId="77777777" w:rsidTr="00672D2A">
        <w:tc>
          <w:tcPr>
            <w:tcW w:w="1129" w:type="dxa"/>
          </w:tcPr>
          <w:p w14:paraId="55E411A1"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790</w:t>
            </w:r>
          </w:p>
        </w:tc>
        <w:tc>
          <w:tcPr>
            <w:tcW w:w="7620" w:type="dxa"/>
          </w:tcPr>
          <w:p w14:paraId="29853D95" w14:textId="77777777"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1.2.1.3</w:t>
            </w:r>
            <w:r w:rsidRPr="00E26EF6">
              <w:rPr>
                <w:rStyle w:val="InstructionsTabelleberschrift"/>
                <w:rFonts w:ascii="Times New Roman" w:hAnsi="Times New Roman"/>
                <w:sz w:val="24"/>
              </w:rPr>
              <w:tab/>
              <w:t>Ażio emisyjne</w:t>
            </w:r>
          </w:p>
          <w:p w14:paraId="77984CC6" w14:textId="77A7B6BF"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62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65 CRR</w:t>
            </w:r>
          </w:p>
          <w:p w14:paraId="28C64B5B" w14:textId="31BBAA6A"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Ażio emisyjne ma takie samo znaczenie jak</w:t>
            </w:r>
            <w:r w:rsidR="00E26EF6" w:rsidRPr="00E26EF6">
              <w:rPr>
                <w:rStyle w:val="FormatvorlageInstructionsTabelleText"/>
                <w:rFonts w:ascii="Times New Roman" w:hAnsi="Times New Roman"/>
                <w:sz w:val="24"/>
              </w:rPr>
              <w:t xml:space="preserve"> w maj</w:t>
            </w:r>
            <w:r w:rsidRPr="00E26EF6">
              <w:rPr>
                <w:rStyle w:val="FormatvorlageInstructionsTabelleText"/>
                <w:rFonts w:ascii="Times New Roman" w:hAnsi="Times New Roman"/>
                <w:sz w:val="24"/>
              </w:rPr>
              <w:t xml:space="preserve">ących zastosowanie standardach rachunkowości. </w:t>
            </w:r>
          </w:p>
          <w:p w14:paraId="5A45AC9C" w14:textId="5DCE2AFA"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w:t>
            </w:r>
            <w:r w:rsidR="00E26EF6" w:rsidRPr="00E26EF6">
              <w:rPr>
                <w:rStyle w:val="FormatvorlageInstructionsTabelleText"/>
                <w:rFonts w:ascii="Times New Roman" w:hAnsi="Times New Roman"/>
                <w:sz w:val="24"/>
              </w:rPr>
              <w:t xml:space="preserve"> w tej</w:t>
            </w:r>
            <w:r w:rsidRPr="00E26EF6">
              <w:rPr>
                <w:rStyle w:val="FormatvorlageInstructionsTabelleText"/>
                <w:rFonts w:ascii="Times New Roman" w:hAnsi="Times New Roman"/>
                <w:sz w:val="24"/>
              </w:rPr>
              <w:t xml:space="preserve"> pozycji, stanowi część związaną</w:t>
            </w:r>
            <w:r w:rsidR="00E26EF6" w:rsidRPr="00E26EF6">
              <w:rPr>
                <w:rStyle w:val="FormatvorlageInstructionsTabelleText"/>
                <w:rFonts w:ascii="Times New Roman" w:hAnsi="Times New Roman"/>
                <w:sz w:val="24"/>
              </w:rPr>
              <w:t xml:space="preserve"> z poz</w:t>
            </w:r>
            <w:r w:rsidRPr="00E26EF6">
              <w:rPr>
                <w:rStyle w:val="FormatvorlageInstructionsTabelleText"/>
                <w:rFonts w:ascii="Times New Roman" w:hAnsi="Times New Roman"/>
                <w:sz w:val="24"/>
              </w:rPr>
              <w:t>ycją „Opłacone instrumenty kapitałowe”.</w:t>
            </w:r>
          </w:p>
        </w:tc>
      </w:tr>
      <w:tr w:rsidR="00915077" w:rsidRPr="00E26EF6" w14:paraId="45694613" w14:textId="77777777" w:rsidTr="00672D2A">
        <w:tc>
          <w:tcPr>
            <w:tcW w:w="1129" w:type="dxa"/>
          </w:tcPr>
          <w:p w14:paraId="00CB80C5"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800</w:t>
            </w:r>
          </w:p>
        </w:tc>
        <w:tc>
          <w:tcPr>
            <w:tcW w:w="7620" w:type="dxa"/>
          </w:tcPr>
          <w:p w14:paraId="1A17ADBB" w14:textId="3DB105F7"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1.2.1.4</w:t>
            </w:r>
            <w:r w:rsidRPr="00E26EF6">
              <w:rPr>
                <w:rStyle w:val="InstructionsTabelleberschrift"/>
                <w:rFonts w:ascii="Times New Roman" w:hAnsi="Times New Roman"/>
                <w:sz w:val="24"/>
              </w:rPr>
              <w:tab/>
              <w:t>(-) Instrumenty własne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1970A033" w14:textId="4D79CBC7"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63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ppkt (i),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67 CRR</w:t>
            </w:r>
          </w:p>
          <w:p w14:paraId="10BE8B86" w14:textId="15099B9F"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Instrumenty własne</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Tier II będące</w:t>
            </w:r>
            <w:r w:rsidR="00E26EF6" w:rsidRPr="00E26EF6">
              <w:rPr>
                <w:rStyle w:val="FormatvorlageInstructionsTabelleText"/>
                <w:rFonts w:ascii="Times New Roman" w:hAnsi="Times New Roman"/>
                <w:sz w:val="24"/>
              </w:rPr>
              <w:t xml:space="preserve"> w pos</w:t>
            </w:r>
            <w:r w:rsidRPr="00E26EF6">
              <w:rPr>
                <w:rStyle w:val="FormatvorlageInstructionsTabelleText"/>
                <w:rFonts w:ascii="Times New Roman" w:hAnsi="Times New Roman"/>
                <w:sz w:val="24"/>
              </w:rPr>
              <w:t>iadaniu instytucji lub grupy sprawozdającej na dzień sprawozdawczy</w:t>
            </w:r>
            <w:r w:rsidR="00E26EF6" w:rsidRPr="00E26EF6">
              <w:rPr>
                <w:rStyle w:val="FormatvorlageInstructionsTabelleText"/>
                <w:rFonts w:ascii="Times New Roman" w:hAnsi="Times New Roman"/>
                <w:sz w:val="24"/>
              </w:rPr>
              <w:t>. Z zas</w:t>
            </w:r>
            <w:r w:rsidRPr="00E26EF6">
              <w:rPr>
                <w:rStyle w:val="FormatvorlageInstructionsTabelleText"/>
                <w:rFonts w:ascii="Times New Roman" w:hAnsi="Times New Roman"/>
                <w:sz w:val="24"/>
              </w:rPr>
              <w:t>trzeżeniem wyjątków przewidzianych</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67 CRR.</w:t>
            </w:r>
          </w:p>
          <w:p w14:paraId="78FB5E58" w14:textId="77777777"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W tym wierszu nie zgłasza się udziałów kapitałowych zaliczanych do „Nieuznanych instrumentów kapitałowych”.</w:t>
            </w:r>
          </w:p>
          <w:p w14:paraId="5E5F432D" w14:textId="5CFF514D"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Kwota, którą należy zgłosić, obejmuje ażio emisyjne związane</w:t>
            </w:r>
            <w:r w:rsidR="00E26EF6" w:rsidRPr="00E26EF6">
              <w:rPr>
                <w:rStyle w:val="FormatvorlageInstructionsTabelleText"/>
                <w:rFonts w:ascii="Times New Roman" w:hAnsi="Times New Roman"/>
                <w:sz w:val="24"/>
              </w:rPr>
              <w:t xml:space="preserve"> z wła</w:t>
            </w:r>
            <w:r w:rsidRPr="00E26EF6">
              <w:rPr>
                <w:rStyle w:val="FormatvorlageInstructionsTabelleText"/>
                <w:rFonts w:ascii="Times New Roman" w:hAnsi="Times New Roman"/>
                <w:sz w:val="24"/>
              </w:rPr>
              <w:t>snymi udziałami.</w:t>
            </w:r>
          </w:p>
          <w:p w14:paraId="07A0F87B" w14:textId="2D37BD15"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 xml:space="preserve">Pozycje 1.2.1.4–1.2.1.4.3 </w:t>
            </w:r>
            <w:proofErr w:type="gramStart"/>
            <w:r w:rsidRPr="00E26EF6">
              <w:rPr>
                <w:rStyle w:val="FormatvorlageInstructionsTabelleText"/>
                <w:rFonts w:ascii="Times New Roman" w:hAnsi="Times New Roman"/>
                <w:sz w:val="24"/>
              </w:rPr>
              <w:t>nie</w:t>
            </w:r>
            <w:proofErr w:type="gramEnd"/>
            <w:r w:rsidRPr="00E26EF6">
              <w:rPr>
                <w:rStyle w:val="FormatvorlageInstructionsTabelleText"/>
                <w:rFonts w:ascii="Times New Roman" w:hAnsi="Times New Roman"/>
                <w:sz w:val="24"/>
              </w:rPr>
              <w:t xml:space="preserve"> obejmują faktycznych ani warunkowych zobowiązań do zakupu instrumentów własnych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Tier II. Faktyczne lub warunkowe zobowiązania do zakupu instrumentów własnych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Tier II zgłasza się oddzielnie</w:t>
            </w:r>
            <w:r w:rsidR="00E26EF6" w:rsidRPr="00E26EF6">
              <w:rPr>
                <w:rStyle w:val="FormatvorlageInstructionsTabelleText"/>
                <w:rFonts w:ascii="Times New Roman" w:hAnsi="Times New Roman"/>
                <w:sz w:val="24"/>
              </w:rPr>
              <w:t xml:space="preserve"> w poz</w:t>
            </w:r>
            <w:r w:rsidRPr="00E26EF6">
              <w:rPr>
                <w:rStyle w:val="FormatvorlageInstructionsTabelleText"/>
                <w:rFonts w:ascii="Times New Roman" w:hAnsi="Times New Roman"/>
                <w:sz w:val="24"/>
              </w:rPr>
              <w:t>ycji 1.2.1.5.</w:t>
            </w:r>
          </w:p>
        </w:tc>
      </w:tr>
      <w:tr w:rsidR="00915077" w:rsidRPr="00E26EF6" w14:paraId="4EDE7716" w14:textId="77777777" w:rsidTr="00672D2A">
        <w:tc>
          <w:tcPr>
            <w:tcW w:w="1129" w:type="dxa"/>
          </w:tcPr>
          <w:p w14:paraId="72B21400"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810</w:t>
            </w:r>
          </w:p>
        </w:tc>
        <w:tc>
          <w:tcPr>
            <w:tcW w:w="7620" w:type="dxa"/>
          </w:tcPr>
          <w:p w14:paraId="34B640AF" w14:textId="6E22B7BD"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1.2.1.4.1</w:t>
            </w:r>
            <w:r w:rsidRPr="00E26EF6">
              <w:rPr>
                <w:rStyle w:val="InstructionsTabelleberschrift"/>
                <w:rFonts w:ascii="Times New Roman" w:hAnsi="Times New Roman"/>
                <w:sz w:val="24"/>
              </w:rPr>
              <w:tab/>
              <w:t>(-) Bezpośrednie udziały kapitałowe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trumentach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4EDC36A4" w14:textId="2EE22408"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63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67 CRR</w:t>
            </w:r>
          </w:p>
          <w:p w14:paraId="71290CD7" w14:textId="3AC093B2"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Instrumenty</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Tier II objęte pozycją 1.2.1.1</w:t>
            </w:r>
            <w:r w:rsidR="00E26EF6" w:rsidRPr="00E26EF6">
              <w:rPr>
                <w:rStyle w:val="FormatvorlageInstructionsTabelleText"/>
                <w:rFonts w:ascii="Times New Roman" w:hAnsi="Times New Roman"/>
                <w:sz w:val="24"/>
              </w:rPr>
              <w:t xml:space="preserve"> </w:t>
            </w:r>
            <w:proofErr w:type="gramStart"/>
            <w:r w:rsidR="00E26EF6" w:rsidRPr="00E26EF6">
              <w:rPr>
                <w:rStyle w:val="FormatvorlageInstructionsTabelleText"/>
                <w:rFonts w:ascii="Times New Roman" w:hAnsi="Times New Roman"/>
                <w:sz w:val="24"/>
              </w:rPr>
              <w:t>i</w:t>
            </w:r>
            <w:proofErr w:type="gramEnd"/>
            <w:r w:rsidR="00E26EF6" w:rsidRPr="00E26EF6">
              <w:rPr>
                <w:rStyle w:val="FormatvorlageInstructionsTabelleText"/>
                <w:rFonts w:ascii="Times New Roman" w:hAnsi="Times New Roman"/>
                <w:sz w:val="24"/>
              </w:rPr>
              <w:t> będ</w:t>
            </w:r>
            <w:r w:rsidRPr="00E26EF6">
              <w:rPr>
                <w:rStyle w:val="FormatvorlageInstructionsTabelleText"/>
                <w:rFonts w:ascii="Times New Roman" w:hAnsi="Times New Roman"/>
                <w:sz w:val="24"/>
              </w:rPr>
              <w:t>ące</w:t>
            </w:r>
            <w:r w:rsidR="00E26EF6" w:rsidRPr="00E26EF6">
              <w:rPr>
                <w:rStyle w:val="FormatvorlageInstructionsTabelleText"/>
                <w:rFonts w:ascii="Times New Roman" w:hAnsi="Times New Roman"/>
                <w:sz w:val="24"/>
              </w:rPr>
              <w:t xml:space="preserve"> w pos</w:t>
            </w:r>
            <w:r w:rsidRPr="00E26EF6">
              <w:rPr>
                <w:rStyle w:val="FormatvorlageInstructionsTabelleText"/>
                <w:rFonts w:ascii="Times New Roman" w:hAnsi="Times New Roman"/>
                <w:sz w:val="24"/>
              </w:rPr>
              <w:t xml:space="preserve">iadaniu instytucji należących do skonsolidowanej grupy. </w:t>
            </w:r>
          </w:p>
        </w:tc>
      </w:tr>
      <w:tr w:rsidR="00915077" w:rsidRPr="00E26EF6" w14:paraId="155B627E" w14:textId="77777777" w:rsidTr="00672D2A">
        <w:tc>
          <w:tcPr>
            <w:tcW w:w="1129" w:type="dxa"/>
          </w:tcPr>
          <w:p w14:paraId="478B5EE2"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840</w:t>
            </w:r>
          </w:p>
        </w:tc>
        <w:tc>
          <w:tcPr>
            <w:tcW w:w="7620" w:type="dxa"/>
          </w:tcPr>
          <w:p w14:paraId="48C3E06A" w14:textId="2F5E330F"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1.2.1.4.2</w:t>
            </w:r>
            <w:r w:rsidRPr="00E26EF6">
              <w:rPr>
                <w:rStyle w:val="InstructionsTabelleberschrift"/>
                <w:rFonts w:ascii="Times New Roman" w:hAnsi="Times New Roman"/>
                <w:sz w:val="24"/>
              </w:rPr>
              <w:tab/>
              <w:t>(-) Pośrednie udziały kapitałowe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trumentach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1D8513F5" w14:textId="762DB402" w:rsidR="00915077" w:rsidRPr="00E26EF6" w:rsidRDefault="00FF281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114,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67 CRR</w:t>
            </w:r>
          </w:p>
        </w:tc>
      </w:tr>
      <w:tr w:rsidR="00915077" w:rsidRPr="00E26EF6" w14:paraId="232949F4" w14:textId="77777777" w:rsidTr="00672D2A">
        <w:tc>
          <w:tcPr>
            <w:tcW w:w="1129" w:type="dxa"/>
          </w:tcPr>
          <w:p w14:paraId="6DDE2FFF"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841</w:t>
            </w:r>
          </w:p>
        </w:tc>
        <w:tc>
          <w:tcPr>
            <w:tcW w:w="7620" w:type="dxa"/>
          </w:tcPr>
          <w:p w14:paraId="7FE43AA0" w14:textId="0043BDE0"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1.2.1.4.3</w:t>
            </w:r>
            <w:r w:rsidRPr="00E26EF6">
              <w:rPr>
                <w:rStyle w:val="InstructionsTabelleberschrift"/>
                <w:rFonts w:ascii="Times New Roman" w:hAnsi="Times New Roman"/>
                <w:sz w:val="24"/>
              </w:rPr>
              <w:tab/>
              <w:t>(-) Syntetyczne udziały kapitałowe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trumentach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71AA0907" w14:textId="1D9153D9" w:rsidR="00915077" w:rsidRPr="00E26EF6" w:rsidRDefault="00FF2818">
            <w:pPr>
              <w:pStyle w:val="InstructionsText"/>
              <w:rPr>
                <w:rStyle w:val="InstructionsTabelleberschrift"/>
                <w:rFonts w:ascii="Times New Roman" w:hAnsi="Times New Roman"/>
                <w:b w:val="0"/>
                <w:sz w:val="24"/>
                <w:highlight w:val="lightGray"/>
                <w:u w:val="none"/>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126,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67 CRR</w:t>
            </w:r>
          </w:p>
        </w:tc>
      </w:tr>
      <w:tr w:rsidR="00915077" w:rsidRPr="00E26EF6" w14:paraId="5FEB632C" w14:textId="77777777" w:rsidTr="00672D2A">
        <w:tc>
          <w:tcPr>
            <w:tcW w:w="1129" w:type="dxa"/>
          </w:tcPr>
          <w:p w14:paraId="0206EB96" w14:textId="77777777"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842</w:t>
            </w:r>
          </w:p>
          <w:p w14:paraId="5E889A14" w14:textId="77777777" w:rsidR="00915077" w:rsidRPr="00E26EF6" w:rsidRDefault="00915077">
            <w:pPr>
              <w:pStyle w:val="InstructionsText"/>
              <w:rPr>
                <w:rStyle w:val="FormatvorlageInstructionsTabelleText"/>
                <w:rFonts w:ascii="Times New Roman" w:hAnsi="Times New Roman"/>
                <w:sz w:val="24"/>
                <w:highlight w:val="lightGray"/>
              </w:rPr>
            </w:pPr>
          </w:p>
        </w:tc>
        <w:tc>
          <w:tcPr>
            <w:tcW w:w="7620" w:type="dxa"/>
          </w:tcPr>
          <w:p w14:paraId="398BE123" w14:textId="726809FB" w:rsidR="00915077" w:rsidRPr="00E26EF6" w:rsidRDefault="00A86EB4">
            <w:pPr>
              <w:pStyle w:val="InstructionsText"/>
              <w:rPr>
                <w:rStyle w:val="InstructionsTabelleberschrift"/>
                <w:rFonts w:ascii="Times New Roman" w:hAnsi="Times New Roman"/>
                <w:b w:val="0"/>
                <w:sz w:val="24"/>
              </w:rPr>
            </w:pPr>
            <w:r w:rsidRPr="00E26EF6">
              <w:rPr>
                <w:rStyle w:val="InstructionsTabelleberschrift"/>
                <w:rFonts w:ascii="Times New Roman" w:hAnsi="Times New Roman"/>
                <w:sz w:val="24"/>
              </w:rPr>
              <w:lastRenderedPageBreak/>
              <w:t>1.2.1.5</w:t>
            </w:r>
            <w:r w:rsidRPr="00E26EF6">
              <w:rPr>
                <w:rStyle w:val="InstructionsTabelleberschrift"/>
                <w:rFonts w:ascii="Times New Roman" w:hAnsi="Times New Roman"/>
                <w:sz w:val="24"/>
              </w:rPr>
              <w:tab/>
              <w:t>(-) Faktyczne lub warunkowe zobowiązania do zakupu instrumentów własnych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4648CD76" w14:textId="027F72C4"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lastRenderedPageBreak/>
              <w:t>Art. 66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67 CRR</w:t>
            </w:r>
          </w:p>
          <w:p w14:paraId="71FF0839" w14:textId="6335E1E8" w:rsidR="00915077" w:rsidRPr="00E26EF6" w:rsidRDefault="00A86EB4">
            <w:pPr>
              <w:pStyle w:val="InstructionsText"/>
              <w:rPr>
                <w:rStyle w:val="InstructionsTabelleberschrift"/>
                <w:rFonts w:ascii="Times New Roman" w:hAnsi="Times New Roman"/>
                <w:b w:val="0"/>
                <w:bCs w:val="0"/>
                <w:sz w:val="24"/>
                <w:highlight w:val="lightGray"/>
                <w:u w:val="none"/>
              </w:rPr>
            </w:pPr>
            <w:r w:rsidRPr="00E26EF6">
              <w:rPr>
                <w:rStyle w:val="InstructionsTabelleberschrift"/>
                <w:rFonts w:ascii="Times New Roman" w:hAnsi="Times New Roman"/>
                <w:b w:val="0"/>
                <w:sz w:val="24"/>
                <w:u w:val="none"/>
              </w:rPr>
              <w:t>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66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a) CRR </w:t>
            </w:r>
            <w:r w:rsidRPr="00E26EF6">
              <w:t>odlicza się udziały kapitałowe w „instrumentach własnych</w:t>
            </w:r>
            <w:r w:rsidR="00E26EF6" w:rsidRPr="00E26EF6">
              <w:t xml:space="preserve"> w Tie</w:t>
            </w:r>
            <w:r w:rsidRPr="00E26EF6">
              <w:t>r II, które instytucja mogłaby mieć obowiązek kupić na mocy istniejących zobowiązań umownych”.</w:t>
            </w:r>
          </w:p>
        </w:tc>
      </w:tr>
      <w:tr w:rsidR="00915077" w:rsidRPr="00E26EF6" w14:paraId="78D467BA" w14:textId="77777777" w:rsidTr="00672D2A">
        <w:tc>
          <w:tcPr>
            <w:tcW w:w="1129" w:type="dxa"/>
          </w:tcPr>
          <w:p w14:paraId="6448818C"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880</w:t>
            </w:r>
          </w:p>
        </w:tc>
        <w:tc>
          <w:tcPr>
            <w:tcW w:w="7620" w:type="dxa"/>
          </w:tcPr>
          <w:p w14:paraId="4C9ECDA5" w14:textId="297FAEA9"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1.2.2</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instrumentów</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oraz pożyczek podporządkowanych podlegających zasadzie praw nabytych</w:t>
            </w:r>
          </w:p>
          <w:p w14:paraId="03442177" w14:textId="7F10086B" w:rsidR="00915077" w:rsidRPr="00E26EF6" w:rsidRDefault="002C66A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483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w:t>
            </w:r>
            <w:r w:rsidR="00E26EF6" w:rsidRPr="00E26EF6">
              <w:rPr>
                <w:rStyle w:val="FormatvorlageInstructionsTabelleText"/>
                <w:rFonts w:ascii="Times New Roman" w:hAnsi="Times New Roman"/>
                <w:sz w:val="24"/>
              </w:rPr>
              <w:t xml:space="preserve"> i 7</w:t>
            </w:r>
            <w:r w:rsidRPr="00E26EF6">
              <w:rPr>
                <w:rStyle w:val="FormatvorlageInstructionsTabelleText"/>
                <w:rFonts w:ascii="Times New Roman" w:hAnsi="Times New Roman"/>
                <w:sz w:val="24"/>
              </w:rPr>
              <w:t xml:space="preserve">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484,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486,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488, </w:t>
            </w:r>
            <w:r w:rsidR="00023409" w:rsidRPr="00E26EF6">
              <w:rPr>
                <w:rStyle w:val="FormatvorlageInstructionsTabelleText"/>
                <w:rFonts w:ascii="Times New Roman" w:hAnsi="Times New Roman"/>
                <w:sz w:val="24"/>
              </w:rPr>
              <w:t>art. 490</w:t>
            </w:r>
            <w:r w:rsidR="00E26EF6" w:rsidRPr="00E26EF6">
              <w:rPr>
                <w:rStyle w:val="FormatvorlageInstructionsTabelleText"/>
                <w:rFonts w:ascii="Times New Roman" w:hAnsi="Times New Roman"/>
                <w:sz w:val="24"/>
              </w:rPr>
              <w:t xml:space="preserve"> i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491 CRR</w:t>
            </w:r>
          </w:p>
          <w:p w14:paraId="67C482A2" w14:textId="090C066D"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instrumentów kapitałowych podlegających</w:t>
            </w:r>
            <w:r w:rsidR="00E26EF6" w:rsidRPr="00E26EF6">
              <w:rPr>
                <w:rStyle w:val="FormatvorlageInstructionsTabelleText"/>
                <w:rFonts w:ascii="Times New Roman" w:hAnsi="Times New Roman"/>
                <w:sz w:val="24"/>
              </w:rPr>
              <w:t xml:space="preserve"> w okr</w:t>
            </w:r>
            <w:r w:rsidRPr="00E26EF6">
              <w:rPr>
                <w:rStyle w:val="FormatvorlageInstructionsTabelleText"/>
                <w:rFonts w:ascii="Times New Roman" w:hAnsi="Times New Roman"/>
                <w:sz w:val="24"/>
              </w:rPr>
              <w:t>esie przejściowym zasadzie praw nabytych jako kapitał Tier II. Kwota, którą należy zgłosić, jest uzyskiwana bezpośrednio z CA5.</w:t>
            </w:r>
          </w:p>
        </w:tc>
      </w:tr>
      <w:tr w:rsidR="00915077" w:rsidRPr="00E26EF6" w14:paraId="2D92620E" w14:textId="77777777" w:rsidTr="00672D2A">
        <w:tc>
          <w:tcPr>
            <w:tcW w:w="1129" w:type="dxa"/>
          </w:tcPr>
          <w:p w14:paraId="079C4A7A"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890</w:t>
            </w:r>
          </w:p>
        </w:tc>
        <w:tc>
          <w:tcPr>
            <w:tcW w:w="7620" w:type="dxa"/>
          </w:tcPr>
          <w:p w14:paraId="11E1E032" w14:textId="152DF989"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1.2.3</w:t>
            </w:r>
            <w:r w:rsidRPr="00E26EF6">
              <w:rPr>
                <w:rStyle w:val="InstructionsTabelleberschrift"/>
                <w:rFonts w:ascii="Times New Roman" w:hAnsi="Times New Roman"/>
                <w:sz w:val="24"/>
              </w:rPr>
              <w:tab/>
              <w:t>Instrumenty emitowane przez jednostki zależne uznane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2162A8A5" w14:textId="33D9401D"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83, 87</w:t>
            </w:r>
            <w:r w:rsidR="00E26EF6" w:rsidRPr="00E26EF6">
              <w:rPr>
                <w:rStyle w:val="FormatvorlageInstructionsTabelleText"/>
                <w:rFonts w:ascii="Times New Roman" w:hAnsi="Times New Roman"/>
                <w:sz w:val="24"/>
              </w:rPr>
              <w:t xml:space="preserve"> i 8</w:t>
            </w:r>
            <w:r w:rsidRPr="00E26EF6">
              <w:rPr>
                <w:rStyle w:val="FormatvorlageInstructionsTabelleText"/>
                <w:rFonts w:ascii="Times New Roman" w:hAnsi="Times New Roman"/>
                <w:sz w:val="24"/>
              </w:rPr>
              <w:t>8 CRR</w:t>
            </w:r>
          </w:p>
          <w:p w14:paraId="60EC8A8C" w14:textId="7071662D"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Suma wszystkich kwot uznanych funduszy własnych jednostek zależnych uwzględniona</w:t>
            </w:r>
            <w:r w:rsidR="00E26EF6" w:rsidRPr="00E26EF6">
              <w:rPr>
                <w:rStyle w:val="FormatvorlageInstructionsTabelleText"/>
                <w:rFonts w:ascii="Times New Roman" w:hAnsi="Times New Roman"/>
                <w:sz w:val="24"/>
              </w:rPr>
              <w:t xml:space="preserve"> w sko</w:t>
            </w:r>
            <w:r w:rsidRPr="00E26EF6">
              <w:rPr>
                <w:rStyle w:val="FormatvorlageInstructionsTabelleText"/>
                <w:rFonts w:ascii="Times New Roman" w:hAnsi="Times New Roman"/>
                <w:sz w:val="24"/>
              </w:rPr>
              <w:t>nsolidowanym kapitale Tier II.</w:t>
            </w:r>
          </w:p>
          <w:p w14:paraId="6D8BF712" w14:textId="289AFDDE" w:rsidR="00915077" w:rsidRPr="00E26EF6" w:rsidRDefault="00543DBD">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Uwzględniany jest kwalifikujący się kapitał Tier II emitowany przez jednostkę specjalnego przeznaczenia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83 CRR).</w:t>
            </w:r>
          </w:p>
        </w:tc>
      </w:tr>
      <w:tr w:rsidR="00915077" w:rsidRPr="00E26EF6" w14:paraId="53F727DE" w14:textId="77777777" w:rsidTr="00672D2A">
        <w:tc>
          <w:tcPr>
            <w:tcW w:w="1129" w:type="dxa"/>
          </w:tcPr>
          <w:p w14:paraId="63C877F1"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900</w:t>
            </w:r>
          </w:p>
        </w:tc>
        <w:tc>
          <w:tcPr>
            <w:tcW w:w="7620" w:type="dxa"/>
          </w:tcPr>
          <w:p w14:paraId="1CAE55FC" w14:textId="489736D2"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1.2.4</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dodatkowego uznania instrumentów emitowanych przez jednostki zależne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67255A91" w14:textId="466EB3B0"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480 CRR</w:t>
            </w:r>
          </w:p>
          <w:p w14:paraId="1F106B75" w14:textId="147B4FDF"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Korekty kwalifikujących się funduszy własnych uwzględnionych</w:t>
            </w:r>
            <w:r w:rsidR="00E26EF6" w:rsidRPr="00E26EF6">
              <w:rPr>
                <w:rStyle w:val="FormatvorlageInstructionsTabelleText"/>
                <w:rFonts w:ascii="Times New Roman" w:hAnsi="Times New Roman"/>
                <w:sz w:val="24"/>
              </w:rPr>
              <w:t xml:space="preserve"> w sko</w:t>
            </w:r>
            <w:r w:rsidRPr="00E26EF6">
              <w:rPr>
                <w:rStyle w:val="FormatvorlageInstructionsTabelleText"/>
                <w:rFonts w:ascii="Times New Roman" w:hAnsi="Times New Roman"/>
                <w:sz w:val="24"/>
              </w:rPr>
              <w:t>nsolidowanym kapitale Tier II wynikające</w:t>
            </w:r>
            <w:r w:rsidR="00E26EF6" w:rsidRPr="00E26EF6">
              <w:rPr>
                <w:rStyle w:val="FormatvorlageInstructionsTabelleText"/>
                <w:rFonts w:ascii="Times New Roman" w:hAnsi="Times New Roman"/>
                <w:sz w:val="24"/>
              </w:rPr>
              <w:t xml:space="preserve"> z prz</w:t>
            </w:r>
            <w:r w:rsidRPr="00E26EF6">
              <w:rPr>
                <w:rStyle w:val="FormatvorlageInstructionsTabelleText"/>
                <w:rFonts w:ascii="Times New Roman" w:hAnsi="Times New Roman"/>
                <w:sz w:val="24"/>
              </w:rPr>
              <w:t>episów przejściowych. Pozycja ta jest uzyskiwana bezpośrednio z CA5.</w:t>
            </w:r>
          </w:p>
        </w:tc>
      </w:tr>
      <w:tr w:rsidR="00915077" w:rsidRPr="00E26EF6" w14:paraId="473F3749" w14:textId="77777777" w:rsidTr="00672D2A">
        <w:tc>
          <w:tcPr>
            <w:tcW w:w="1129" w:type="dxa"/>
          </w:tcPr>
          <w:p w14:paraId="4BC14A9C"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910</w:t>
            </w:r>
          </w:p>
        </w:tc>
        <w:tc>
          <w:tcPr>
            <w:tcW w:w="7620" w:type="dxa"/>
          </w:tcPr>
          <w:p w14:paraId="51583024" w14:textId="77777777"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1.2.5</w:t>
            </w:r>
            <w:r w:rsidRPr="00E26EF6">
              <w:rPr>
                <w:rStyle w:val="InstructionsTabelleberschrift"/>
                <w:rFonts w:ascii="Times New Roman" w:hAnsi="Times New Roman"/>
                <w:sz w:val="24"/>
              </w:rPr>
              <w:tab/>
              <w:t>Nadwyżka rezerw ponad oczekiwane uznane straty według metody IRB</w:t>
            </w:r>
          </w:p>
          <w:p w14:paraId="3F3BBD61" w14:textId="63B464C1"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62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d) CRR</w:t>
            </w:r>
          </w:p>
          <w:p w14:paraId="71DD0615" w14:textId="4DAAB57F"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 przypadku instytucji obliczających kwoty ekspozycji ważonych ryzykiem według metody IRB pozycja ta zawiera kwoty dodatnie wynikające</w:t>
            </w:r>
            <w:r w:rsidR="00E26EF6" w:rsidRPr="00E26EF6">
              <w:rPr>
                <w:rStyle w:val="FormatvorlageInstructionsTabelleText"/>
                <w:rFonts w:ascii="Times New Roman" w:hAnsi="Times New Roman"/>
                <w:sz w:val="24"/>
              </w:rPr>
              <w:t xml:space="preserve"> z por</w:t>
            </w:r>
            <w:r w:rsidRPr="00E26EF6">
              <w:rPr>
                <w:rStyle w:val="FormatvorlageInstructionsTabelleText"/>
                <w:rFonts w:ascii="Times New Roman" w:hAnsi="Times New Roman"/>
                <w:sz w:val="24"/>
              </w:rPr>
              <w:t>ównania rezerw</w:t>
            </w:r>
            <w:r w:rsidR="00E26EF6" w:rsidRPr="00E26EF6">
              <w:rPr>
                <w:rStyle w:val="FormatvorlageInstructionsTabelleText"/>
                <w:rFonts w:ascii="Times New Roman" w:hAnsi="Times New Roman"/>
                <w:sz w:val="24"/>
              </w:rPr>
              <w:t xml:space="preserve"> i ocz</w:t>
            </w:r>
            <w:r w:rsidRPr="00E26EF6">
              <w:rPr>
                <w:rStyle w:val="FormatvorlageInstructionsTabelleText"/>
                <w:rFonts w:ascii="Times New Roman" w:hAnsi="Times New Roman"/>
                <w:sz w:val="24"/>
              </w:rPr>
              <w:t>ekiwanych strat, które to kwoty kwalifikują się jako kapitał Tier II.</w:t>
            </w:r>
          </w:p>
        </w:tc>
      </w:tr>
      <w:tr w:rsidR="00915077" w:rsidRPr="00E26EF6" w14:paraId="31631895" w14:textId="77777777" w:rsidTr="00672D2A">
        <w:tc>
          <w:tcPr>
            <w:tcW w:w="1129" w:type="dxa"/>
          </w:tcPr>
          <w:p w14:paraId="5F38B579"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920</w:t>
            </w:r>
          </w:p>
        </w:tc>
        <w:tc>
          <w:tcPr>
            <w:tcW w:w="7620" w:type="dxa"/>
          </w:tcPr>
          <w:p w14:paraId="1D96C783" w14:textId="1EC251BD"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1.2.6</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ogólnego ryzyka kredytowego według metody standardowej</w:t>
            </w:r>
          </w:p>
          <w:p w14:paraId="3C70BD4A" w14:textId="4209552C"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62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CRR</w:t>
            </w:r>
          </w:p>
          <w:p w14:paraId="4C1A8B69" w14:textId="5C8DB46E"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 przypadku instytucji obliczających kwoty ekspozycji ważonych ryzykiem według metody standardowej pozycja ta zawiera korekty</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ogólnego ryzyka kredytowego kwalifikujące się jako kapitał Tier II.</w:t>
            </w:r>
          </w:p>
        </w:tc>
      </w:tr>
      <w:tr w:rsidR="00915077" w:rsidRPr="00E26EF6" w14:paraId="4A5FBC24" w14:textId="77777777" w:rsidTr="00672D2A">
        <w:tc>
          <w:tcPr>
            <w:tcW w:w="1129" w:type="dxa"/>
          </w:tcPr>
          <w:p w14:paraId="41B2D303"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930</w:t>
            </w:r>
          </w:p>
        </w:tc>
        <w:tc>
          <w:tcPr>
            <w:tcW w:w="7620" w:type="dxa"/>
          </w:tcPr>
          <w:p w14:paraId="0455ED7D" w14:textId="6A6E0ED5"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1.2.7</w:t>
            </w:r>
            <w:r w:rsidRPr="00E26EF6">
              <w:rPr>
                <w:rStyle w:val="InstructionsTabelleberschrift"/>
                <w:rFonts w:ascii="Times New Roman" w:hAnsi="Times New Roman"/>
                <w:sz w:val="24"/>
              </w:rPr>
              <w:tab/>
              <w:t>(-) 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6F848E41" w14:textId="76F90B87"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122,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68 CRR</w:t>
            </w:r>
          </w:p>
          <w:p w14:paraId="4B523625" w14:textId="17555418"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Udziały kapitałowe</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Tier II 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 jeżeli istnieje krzyżowe powiązanie kapitałowe, uznane przez właściwy organ za mające na celu sztuczne zawyżanie funduszy własnych instytucji.</w:t>
            </w:r>
          </w:p>
          <w:p w14:paraId="2BF3FDE3" w14:textId="1363CB68"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Kwotę, którą należy tu zgłosić, oblicza się na podstawie pozycji długich brutto</w:t>
            </w:r>
            <w:r w:rsidR="00E26EF6" w:rsidRPr="00E26EF6">
              <w:rPr>
                <w:rStyle w:val="FormatvorlageInstructionsTabelleText"/>
                <w:rFonts w:ascii="Times New Roman" w:hAnsi="Times New Roman"/>
                <w:sz w:val="24"/>
              </w:rPr>
              <w:t xml:space="preserve"> i obe</w:t>
            </w:r>
            <w:r w:rsidRPr="00E26EF6">
              <w:rPr>
                <w:rStyle w:val="FormatvorlageInstructionsTabelleText"/>
                <w:rFonts w:ascii="Times New Roman" w:hAnsi="Times New Roman"/>
                <w:sz w:val="24"/>
              </w:rPr>
              <w:t>jmuje ona pozycje ubezpieczeniowe funduszy własnych Tier II</w:t>
            </w:r>
            <w:r w:rsidR="00E26EF6" w:rsidRPr="00E26EF6">
              <w:rPr>
                <w:rStyle w:val="FormatvorlageInstructionsTabelleText"/>
                <w:rFonts w:ascii="Times New Roman" w:hAnsi="Times New Roman"/>
                <w:sz w:val="24"/>
              </w:rPr>
              <w:t xml:space="preserve"> i Tie</w:t>
            </w:r>
            <w:r w:rsidRPr="00E26EF6">
              <w:rPr>
                <w:rStyle w:val="FormatvorlageInstructionsTabelleText"/>
                <w:rFonts w:ascii="Times New Roman" w:hAnsi="Times New Roman"/>
                <w:sz w:val="24"/>
              </w:rPr>
              <w:t>r III.</w:t>
            </w:r>
          </w:p>
        </w:tc>
      </w:tr>
      <w:tr w:rsidR="00915077" w:rsidRPr="00E26EF6" w14:paraId="2FE6AF07" w14:textId="77777777" w:rsidTr="00672D2A">
        <w:tc>
          <w:tcPr>
            <w:tcW w:w="1129" w:type="dxa"/>
          </w:tcPr>
          <w:p w14:paraId="55C18047"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940</w:t>
            </w:r>
          </w:p>
        </w:tc>
        <w:tc>
          <w:tcPr>
            <w:tcW w:w="7620" w:type="dxa"/>
          </w:tcPr>
          <w:p w14:paraId="7B62FD67" w14:textId="6B894815"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1.2.8</w:t>
            </w:r>
            <w:r w:rsidRPr="00E26EF6">
              <w:rPr>
                <w:rStyle w:val="InstructionsTabelleberschrift"/>
                <w:rFonts w:ascii="Times New Roman" w:hAnsi="Times New Roman"/>
                <w:sz w:val="24"/>
              </w:rPr>
              <w:tab/>
              <w:t>(-)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w:t>
            </w:r>
          </w:p>
          <w:p w14:paraId="1FA061EA" w14:textId="192EA393"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68–70</w:t>
            </w:r>
            <w:r w:rsidR="00E26EF6" w:rsidRPr="00E26EF6">
              <w:rPr>
                <w:rStyle w:val="FormatvorlageInstructionsTabelleText"/>
                <w:rFonts w:ascii="Times New Roman" w:hAnsi="Times New Roman"/>
                <w:sz w:val="24"/>
              </w:rPr>
              <w:t xml:space="preserve"> i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79 CRR</w:t>
            </w:r>
          </w:p>
          <w:p w14:paraId="66D90D78" w14:textId="4FA83D58"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Część posiadanych przez instytucję udziałów kapitałowych</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 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ypadkach, gdy instytucja nie dokonała znacznej inwestycji w te podmioty, którą należy odliczyć od kapitału Tier II.</w:t>
            </w:r>
          </w:p>
        </w:tc>
      </w:tr>
      <w:tr w:rsidR="00915077" w:rsidRPr="00E26EF6" w14:paraId="0A9FE5F1" w14:textId="77777777" w:rsidTr="00672D2A">
        <w:tc>
          <w:tcPr>
            <w:tcW w:w="1129" w:type="dxa"/>
          </w:tcPr>
          <w:p w14:paraId="3FD571BD"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950</w:t>
            </w:r>
          </w:p>
        </w:tc>
        <w:tc>
          <w:tcPr>
            <w:tcW w:w="7620" w:type="dxa"/>
          </w:tcPr>
          <w:p w14:paraId="7A794376" w14:textId="11337EFB"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1.2.9</w:t>
            </w:r>
            <w:r w:rsidRPr="00E26EF6">
              <w:rPr>
                <w:rStyle w:val="InstructionsTabelleberschrift"/>
                <w:rFonts w:ascii="Times New Roman" w:hAnsi="Times New Roman"/>
                <w:sz w:val="24"/>
              </w:rPr>
              <w:tab/>
              <w:t>(-)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w:t>
            </w:r>
          </w:p>
          <w:p w14:paraId="191E03F9" w14:textId="126419C9" w:rsidR="00915077" w:rsidRPr="00E26EF6" w:rsidRDefault="00FF281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d),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68,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69</w:t>
            </w:r>
            <w:r w:rsidR="00E26EF6" w:rsidRPr="00E26EF6">
              <w:rPr>
                <w:rStyle w:val="FormatvorlageInstructionsTabelleText"/>
                <w:rFonts w:ascii="Times New Roman" w:hAnsi="Times New Roman"/>
                <w:sz w:val="24"/>
              </w:rPr>
              <w:t xml:space="preserve"> i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79 CRR</w:t>
            </w:r>
          </w:p>
          <w:p w14:paraId="2F8B35E9" w14:textId="4729A165" w:rsidR="00915077" w:rsidRPr="00E26EF6" w:rsidRDefault="009B511B">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Posiadane przez instytucję udziały kapitałowe</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trumentach</w:t>
            </w:r>
            <w:r w:rsidR="00E26EF6" w:rsidRPr="00E26EF6">
              <w:rPr>
                <w:rStyle w:val="FormatvorlageInstructionsTabelleText"/>
                <w:rFonts w:ascii="Times New Roman" w:hAnsi="Times New Roman"/>
                <w:sz w:val="24"/>
              </w:rPr>
              <w:t xml:space="preserve"> w kap</w:t>
            </w:r>
            <w:r w:rsidRPr="00E26EF6">
              <w:rPr>
                <w:rStyle w:val="FormatvorlageInstructionsTabelleText"/>
                <w:rFonts w:ascii="Times New Roman" w:hAnsi="Times New Roman"/>
                <w:sz w:val="24"/>
              </w:rPr>
              <w:t>itale Tier II podmiotów sektora finansowego (zgodnie</w:t>
            </w:r>
            <w:r w:rsidR="00E26EF6" w:rsidRPr="00E26EF6">
              <w:rPr>
                <w:rStyle w:val="FormatvorlageInstructionsTabelleText"/>
                <w:rFonts w:ascii="Times New Roman" w:hAnsi="Times New Roman"/>
                <w:sz w:val="24"/>
              </w:rPr>
              <w:t xml:space="preserve"> z def</w:t>
            </w:r>
            <w:r w:rsidRPr="00E26EF6">
              <w:rPr>
                <w:rStyle w:val="FormatvorlageInstructionsTabelleText"/>
                <w:rFonts w:ascii="Times New Roman" w:hAnsi="Times New Roman"/>
                <w:sz w:val="24"/>
              </w:rPr>
              <w:t>inicją</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pkt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27 CRR) są całkowicie odliczane</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ypadkach, gdy instytucja dokonała znacznej inwestycji.</w:t>
            </w:r>
          </w:p>
        </w:tc>
      </w:tr>
      <w:tr w:rsidR="00915077" w:rsidRPr="00E26EF6" w14:paraId="5DA6F122" w14:textId="77777777" w:rsidTr="00672D2A">
        <w:tc>
          <w:tcPr>
            <w:tcW w:w="1129" w:type="dxa"/>
          </w:tcPr>
          <w:p w14:paraId="33450E2A"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960</w:t>
            </w:r>
          </w:p>
        </w:tc>
        <w:tc>
          <w:tcPr>
            <w:tcW w:w="7620" w:type="dxa"/>
          </w:tcPr>
          <w:p w14:paraId="7B3D4343" w14:textId="7179747F"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1.2.10</w:t>
            </w:r>
            <w:r w:rsidRPr="00E26EF6">
              <w:rPr>
                <w:rStyle w:val="InstructionsTabelleberschrift"/>
                <w:rFonts w:ascii="Times New Roman" w:hAnsi="Times New Roman"/>
                <w:sz w:val="24"/>
              </w:rPr>
              <w:tab/>
              <w:t>Inne 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784A51A7" w14:textId="29BB15E9"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476, 477, 478</w:t>
            </w:r>
            <w:r w:rsidR="00E26EF6" w:rsidRPr="00E26EF6">
              <w:rPr>
                <w:rStyle w:val="FormatvorlageInstructionsTabelleText"/>
                <w:rFonts w:ascii="Times New Roman" w:hAnsi="Times New Roman"/>
                <w:sz w:val="24"/>
              </w:rPr>
              <w:t xml:space="preserve"> i 4</w:t>
            </w:r>
            <w:r w:rsidRPr="00E26EF6">
              <w:rPr>
                <w:rStyle w:val="FormatvorlageInstructionsTabelleText"/>
                <w:rFonts w:ascii="Times New Roman" w:hAnsi="Times New Roman"/>
                <w:sz w:val="24"/>
              </w:rPr>
              <w:t>81 CRR</w:t>
            </w:r>
          </w:p>
          <w:p w14:paraId="562B7EA9" w14:textId="136C4B91"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Korekty wynikające</w:t>
            </w:r>
            <w:r w:rsidR="00E26EF6" w:rsidRPr="00E26EF6">
              <w:rPr>
                <w:rStyle w:val="FormatvorlageInstructionsTabelleText"/>
                <w:rFonts w:ascii="Times New Roman" w:hAnsi="Times New Roman"/>
                <w:sz w:val="24"/>
              </w:rPr>
              <w:t xml:space="preserve"> z prz</w:t>
            </w:r>
            <w:r w:rsidRPr="00E26EF6">
              <w:rPr>
                <w:rStyle w:val="FormatvorlageInstructionsTabelleText"/>
                <w:rFonts w:ascii="Times New Roman" w:hAnsi="Times New Roman"/>
                <w:sz w:val="24"/>
              </w:rPr>
              <w:t>episów przejściowych. Kwota, którą należy zgłosić, jest uzyskiwana bezpośrednio z CA5.</w:t>
            </w:r>
          </w:p>
        </w:tc>
      </w:tr>
      <w:tr w:rsidR="00915077" w:rsidRPr="00E26EF6" w14:paraId="2EA884C8" w14:textId="77777777" w:rsidTr="00672D2A">
        <w:tc>
          <w:tcPr>
            <w:tcW w:w="1129" w:type="dxa"/>
          </w:tcPr>
          <w:p w14:paraId="687D9A16" w14:textId="77777777"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970</w:t>
            </w:r>
          </w:p>
        </w:tc>
        <w:tc>
          <w:tcPr>
            <w:tcW w:w="7620" w:type="dxa"/>
          </w:tcPr>
          <w:p w14:paraId="358D3E0C" w14:textId="49C685F7" w:rsidR="00915077" w:rsidRPr="00E26EF6" w:rsidRDefault="00A86EB4">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1.2.11</w:t>
            </w:r>
            <w:r w:rsidRPr="00E26EF6">
              <w:rPr>
                <w:rStyle w:val="InstructionsTabelleberschrift"/>
                <w:rFonts w:ascii="Times New Roman" w:hAnsi="Times New Roman"/>
                <w:sz w:val="24"/>
              </w:rPr>
              <w:tab/>
              <w:t>Nadwyżka odliczenia od pozycji</w:t>
            </w:r>
            <w:r w:rsidR="00E26EF6" w:rsidRPr="00E26EF6">
              <w:rPr>
                <w:rStyle w:val="InstructionsTabelleberschrift"/>
                <w:rFonts w:ascii="Times New Roman" w:hAnsi="Times New Roman"/>
                <w:sz w:val="24"/>
              </w:rPr>
              <w:t xml:space="preserve"> w Tie</w:t>
            </w:r>
            <w:r w:rsidRPr="00E26EF6">
              <w:rPr>
                <w:rStyle w:val="InstructionsTabelleberschrift"/>
                <w:rFonts w:ascii="Times New Roman" w:hAnsi="Times New Roman"/>
                <w:sz w:val="24"/>
              </w:rPr>
              <w:t>r II ponad kapitał Tier II (odliczenie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06921619" w14:textId="168ABB64" w:rsidR="00915077" w:rsidRPr="00E26EF6" w:rsidRDefault="00852CAD">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56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e) CRR</w:t>
            </w:r>
          </w:p>
          <w:p w14:paraId="2D66785A" w14:textId="4F0D4AFA" w:rsidR="00915077" w:rsidRPr="00E26EF6" w:rsidRDefault="00A86EB4">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Kapitał Tier II nie może mieć wartości ujemnej, ale możliwa jest sytuacja,</w:t>
            </w:r>
            <w:r w:rsidR="00E26EF6" w:rsidRPr="00E26EF6">
              <w:rPr>
                <w:rStyle w:val="FormatvorlageInstructionsTabelleText"/>
                <w:rFonts w:ascii="Times New Roman" w:hAnsi="Times New Roman"/>
                <w:sz w:val="24"/>
              </w:rPr>
              <w:t xml:space="preserve"> w któ</w:t>
            </w:r>
            <w:r w:rsidRPr="00E26EF6">
              <w:rPr>
                <w:rStyle w:val="FormatvorlageInstructionsTabelleText"/>
                <w:rFonts w:ascii="Times New Roman" w:hAnsi="Times New Roman"/>
                <w:sz w:val="24"/>
              </w:rPr>
              <w:t>rej odliczenia od pozycji</w:t>
            </w:r>
            <w:r w:rsidR="00E26EF6" w:rsidRPr="00E26EF6">
              <w:rPr>
                <w:rStyle w:val="FormatvorlageInstructionsTabelleText"/>
                <w:rFonts w:ascii="Times New Roman" w:hAnsi="Times New Roman"/>
                <w:sz w:val="24"/>
              </w:rPr>
              <w:t xml:space="preserve"> w Tie</w:t>
            </w:r>
            <w:r w:rsidRPr="00E26EF6">
              <w:rPr>
                <w:rStyle w:val="FormatvorlageInstructionsTabelleText"/>
                <w:rFonts w:ascii="Times New Roman" w:hAnsi="Times New Roman"/>
                <w:sz w:val="24"/>
              </w:rPr>
              <w:t>r II mają większą wartość niż kapitał Tier II powiększony</w:t>
            </w:r>
            <w:r w:rsidR="00E26EF6" w:rsidRPr="00E26EF6">
              <w:rPr>
                <w:rStyle w:val="FormatvorlageInstructionsTabelleText"/>
                <w:rFonts w:ascii="Times New Roman" w:hAnsi="Times New Roman"/>
                <w:sz w:val="24"/>
              </w:rPr>
              <w:t xml:space="preserve"> o pow</w:t>
            </w:r>
            <w:r w:rsidRPr="00E26EF6">
              <w:rPr>
                <w:rStyle w:val="FormatvorlageInstructionsTabelleText"/>
                <w:rFonts w:ascii="Times New Roman" w:hAnsi="Times New Roman"/>
                <w:sz w:val="24"/>
              </w:rPr>
              <w:t>iązane ażio emisyjne</w:t>
            </w:r>
            <w:r w:rsidR="00E26EF6" w:rsidRPr="00E26EF6">
              <w:rPr>
                <w:rStyle w:val="FormatvorlageInstructionsTabelleText"/>
                <w:rFonts w:ascii="Times New Roman" w:hAnsi="Times New Roman"/>
                <w:sz w:val="24"/>
              </w:rPr>
              <w:t>. W tak</w:t>
            </w:r>
            <w:r w:rsidRPr="00E26EF6">
              <w:rPr>
                <w:rStyle w:val="FormatvorlageInstructionsTabelleText"/>
                <w:rFonts w:ascii="Times New Roman" w:hAnsi="Times New Roman"/>
                <w:sz w:val="24"/>
              </w:rPr>
              <w:t>im przypadku wartość kapitału Tier II musi być równa zeru,</w:t>
            </w:r>
            <w:r w:rsidR="00E26EF6" w:rsidRPr="00E26EF6">
              <w:rPr>
                <w:rStyle w:val="FormatvorlageInstructionsTabelleText"/>
                <w:rFonts w:ascii="Times New Roman" w:hAnsi="Times New Roman"/>
                <w:sz w:val="24"/>
              </w:rPr>
              <w:t xml:space="preserve"> a nad</w:t>
            </w:r>
            <w:r w:rsidRPr="00E26EF6">
              <w:rPr>
                <w:rStyle w:val="FormatvorlageInstructionsTabelleText"/>
                <w:rFonts w:ascii="Times New Roman" w:hAnsi="Times New Roman"/>
                <w:sz w:val="24"/>
              </w:rPr>
              <w:t>wyżkę odliczenia od pozycji</w:t>
            </w:r>
            <w:r w:rsidR="00E26EF6" w:rsidRPr="00E26EF6">
              <w:rPr>
                <w:rStyle w:val="FormatvorlageInstructionsTabelleText"/>
                <w:rFonts w:ascii="Times New Roman" w:hAnsi="Times New Roman"/>
                <w:sz w:val="24"/>
              </w:rPr>
              <w:t xml:space="preserve"> w Tie</w:t>
            </w:r>
            <w:r w:rsidRPr="00E26EF6">
              <w:rPr>
                <w:rStyle w:val="FormatvorlageInstructionsTabelleText"/>
                <w:rFonts w:ascii="Times New Roman" w:hAnsi="Times New Roman"/>
                <w:sz w:val="24"/>
              </w:rPr>
              <w:t>r II należy odjąć od kapitału dodatkowego Tier I.</w:t>
            </w:r>
          </w:p>
          <w:p w14:paraId="4F23E22C" w14:textId="1484A4A1" w:rsidR="00915077" w:rsidRPr="00E26EF6" w:rsidRDefault="00A86EB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Wskutek tej pozycji suma pozycji od</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1.2.1 </w:t>
            </w:r>
            <w:proofErr w:type="gramStart"/>
            <w:r w:rsidRPr="00E26EF6">
              <w:rPr>
                <w:rStyle w:val="FormatvorlageInstructionsTabelleText"/>
                <w:rFonts w:ascii="Times New Roman" w:hAnsi="Times New Roman"/>
                <w:sz w:val="24"/>
              </w:rPr>
              <w:t>do</w:t>
            </w:r>
            <w:proofErr w:type="gramEnd"/>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1.2.13 </w:t>
            </w:r>
            <w:proofErr w:type="gramStart"/>
            <w:r w:rsidRPr="00E26EF6">
              <w:rPr>
                <w:rStyle w:val="FormatvorlageInstructionsTabelleText"/>
                <w:rFonts w:ascii="Times New Roman" w:hAnsi="Times New Roman"/>
                <w:sz w:val="24"/>
              </w:rPr>
              <w:t>nigdy</w:t>
            </w:r>
            <w:proofErr w:type="gramEnd"/>
            <w:r w:rsidRPr="00E26EF6">
              <w:rPr>
                <w:rStyle w:val="FormatvorlageInstructionsTabelleText"/>
                <w:rFonts w:ascii="Times New Roman" w:hAnsi="Times New Roman"/>
                <w:sz w:val="24"/>
              </w:rPr>
              <w:t xml:space="preserve"> nie jest mniejsza od zera. Jeżeli jednak</w:t>
            </w:r>
            <w:r w:rsidR="00E26EF6" w:rsidRPr="00E26EF6">
              <w:rPr>
                <w:rStyle w:val="FormatvorlageInstructionsTabelleText"/>
                <w:rFonts w:ascii="Times New Roman" w:hAnsi="Times New Roman"/>
                <w:sz w:val="24"/>
              </w:rPr>
              <w:t xml:space="preserve"> w poz</w:t>
            </w:r>
            <w:r w:rsidRPr="00E26EF6">
              <w:rPr>
                <w:rStyle w:val="FormatvorlageInstructionsTabelleText"/>
                <w:rFonts w:ascii="Times New Roman" w:hAnsi="Times New Roman"/>
                <w:sz w:val="24"/>
              </w:rPr>
              <w:t>ycji tej podana jest wartość dodatnia,</w:t>
            </w:r>
            <w:r w:rsidR="00E26EF6" w:rsidRPr="00E26EF6">
              <w:rPr>
                <w:rStyle w:val="FormatvorlageInstructionsTabelleText"/>
                <w:rFonts w:ascii="Times New Roman" w:hAnsi="Times New Roman"/>
                <w:sz w:val="24"/>
              </w:rPr>
              <w:t xml:space="preserve"> w poz</w:t>
            </w:r>
            <w:r w:rsidRPr="00E26EF6">
              <w:rPr>
                <w:rStyle w:val="FormatvorlageInstructionsTabelleText"/>
                <w:rFonts w:ascii="Times New Roman" w:hAnsi="Times New Roman"/>
                <w:sz w:val="24"/>
              </w:rPr>
              <w:t xml:space="preserve">ycji 1.1.2.8 </w:t>
            </w:r>
            <w:proofErr w:type="gramStart"/>
            <w:r w:rsidRPr="00E26EF6">
              <w:rPr>
                <w:rStyle w:val="FormatvorlageInstructionsTabelleText"/>
                <w:rFonts w:ascii="Times New Roman" w:hAnsi="Times New Roman"/>
                <w:sz w:val="24"/>
              </w:rPr>
              <w:t>widnieje</w:t>
            </w:r>
            <w:proofErr w:type="gramEnd"/>
            <w:r w:rsidRPr="00E26EF6">
              <w:rPr>
                <w:rStyle w:val="FormatvorlageInstructionsTabelleText"/>
                <w:rFonts w:ascii="Times New Roman" w:hAnsi="Times New Roman"/>
                <w:sz w:val="24"/>
              </w:rPr>
              <w:t xml:space="preserve"> odwrotność tej liczby.</w:t>
            </w:r>
          </w:p>
        </w:tc>
      </w:tr>
      <w:tr w:rsidR="00915077" w:rsidRPr="00E26EF6" w14:paraId="45014646" w14:textId="77777777" w:rsidTr="00672D2A">
        <w:tc>
          <w:tcPr>
            <w:tcW w:w="1129" w:type="dxa"/>
          </w:tcPr>
          <w:p w14:paraId="11FABB7C" w14:textId="77777777" w:rsidR="00915077" w:rsidRPr="00E26EF6" w:rsidDel="00BD687C" w:rsidRDefault="00BD687C">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974</w:t>
            </w:r>
          </w:p>
        </w:tc>
        <w:tc>
          <w:tcPr>
            <w:tcW w:w="7620" w:type="dxa"/>
          </w:tcPr>
          <w:p w14:paraId="5AF73AD1" w14:textId="085D5E50" w:rsidR="00915077" w:rsidRPr="00E26EF6" w:rsidRDefault="00BD687C">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1.2.12</w:t>
            </w:r>
            <w:r w:rsidRPr="00E26EF6">
              <w:rPr>
                <w:rStyle w:val="InstructionsTabelleberschrift"/>
                <w:rFonts w:ascii="Times New Roman" w:hAnsi="Times New Roman"/>
                <w:sz w:val="24"/>
              </w:rPr>
              <w:tab/>
              <w:t>(-) Dodatkowe odliczenia od kapitału Tier II zgodnie</w:t>
            </w:r>
            <w:r w:rsidR="00E26EF6" w:rsidRPr="00E26EF6">
              <w:rPr>
                <w:rStyle w:val="InstructionsTabelleberschrift"/>
                <w:rFonts w:ascii="Times New Roman" w:hAnsi="Times New Roman"/>
                <w:sz w:val="24"/>
              </w:rPr>
              <w:t xml:space="preserve"> z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3 CRR</w:t>
            </w:r>
          </w:p>
          <w:p w14:paraId="59985BA9" w14:textId="77777777" w:rsidR="00915077" w:rsidRPr="00E26EF6" w:rsidRDefault="00BD687C">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3 CRR</w:t>
            </w:r>
          </w:p>
        </w:tc>
      </w:tr>
      <w:tr w:rsidR="00915077" w:rsidRPr="00E26EF6" w14:paraId="3A0BCE04" w14:textId="77777777" w:rsidTr="00672D2A">
        <w:tc>
          <w:tcPr>
            <w:tcW w:w="1129" w:type="dxa"/>
          </w:tcPr>
          <w:p w14:paraId="5CF1CA23" w14:textId="77777777" w:rsidR="00915077" w:rsidRPr="00E26EF6" w:rsidRDefault="00BD687C">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978</w:t>
            </w:r>
          </w:p>
        </w:tc>
        <w:tc>
          <w:tcPr>
            <w:tcW w:w="7620" w:type="dxa"/>
          </w:tcPr>
          <w:p w14:paraId="42E49155" w14:textId="77777777" w:rsidR="00915077" w:rsidRPr="00E26EF6" w:rsidRDefault="00A86EB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1.2.13</w:t>
            </w:r>
            <w:r w:rsidRPr="00E26EF6">
              <w:rPr>
                <w:rStyle w:val="InstructionsTabelleberschrift"/>
                <w:rFonts w:ascii="Times New Roman" w:hAnsi="Times New Roman"/>
                <w:sz w:val="24"/>
              </w:rPr>
              <w:tab/>
              <w:t xml:space="preserve">Elementy kapitału Tier II lub odliczenia od kapitału Tier II – inne </w:t>
            </w:r>
          </w:p>
          <w:p w14:paraId="55A843F1" w14:textId="653C8E98" w:rsidR="00915077" w:rsidRPr="00E26EF6" w:rsidRDefault="00A86EB4">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Wiersz ten zapewnia elastyczność wyłącznie dla celów sprawozdawczości. Wprowadza się</w:t>
            </w:r>
            <w:r w:rsidR="00E26EF6" w:rsidRPr="00E26EF6">
              <w:rPr>
                <w:rStyle w:val="InstructionsTabelleberschrift"/>
                <w:rFonts w:ascii="Times New Roman" w:hAnsi="Times New Roman"/>
                <w:b w:val="0"/>
                <w:sz w:val="24"/>
                <w:u w:val="none"/>
              </w:rPr>
              <w:t xml:space="preserve"> w nim</w:t>
            </w:r>
            <w:r w:rsidRPr="00E26EF6">
              <w:rPr>
                <w:rStyle w:val="InstructionsTabelleberschrift"/>
                <w:rFonts w:ascii="Times New Roman" w:hAnsi="Times New Roman"/>
                <w:b w:val="0"/>
                <w:sz w:val="24"/>
                <w:u w:val="none"/>
              </w:rPr>
              <w:t xml:space="preserve"> dane</w:t>
            </w:r>
            <w:r w:rsidR="00E26EF6" w:rsidRPr="00E26EF6">
              <w:rPr>
                <w:rStyle w:val="InstructionsTabelleberschrift"/>
                <w:rFonts w:ascii="Times New Roman" w:hAnsi="Times New Roman"/>
                <w:b w:val="0"/>
                <w:sz w:val="24"/>
                <w:u w:val="none"/>
              </w:rPr>
              <w:t xml:space="preserve"> w tyc</w:t>
            </w:r>
            <w:r w:rsidRPr="00E26EF6">
              <w:rPr>
                <w:rStyle w:val="InstructionsTabelleberschrift"/>
                <w:rFonts w:ascii="Times New Roman" w:hAnsi="Times New Roman"/>
                <w:b w:val="0"/>
                <w:sz w:val="24"/>
                <w:u w:val="none"/>
              </w:rPr>
              <w:t>h rzadkich przypadkach, gdy nie ma ostatecznej decyzji</w:t>
            </w:r>
            <w:r w:rsidR="00E26EF6" w:rsidRPr="00E26EF6">
              <w:rPr>
                <w:rStyle w:val="InstructionsTabelleberschrift"/>
                <w:rFonts w:ascii="Times New Roman" w:hAnsi="Times New Roman"/>
                <w:b w:val="0"/>
                <w:sz w:val="24"/>
                <w:u w:val="none"/>
              </w:rPr>
              <w:t xml:space="preserve"> w spr</w:t>
            </w:r>
            <w:r w:rsidRPr="00E26EF6">
              <w:rPr>
                <w:rStyle w:val="InstructionsTabelleberschrift"/>
                <w:rFonts w:ascii="Times New Roman" w:hAnsi="Times New Roman"/>
                <w:b w:val="0"/>
                <w:sz w:val="24"/>
                <w:u w:val="none"/>
              </w:rPr>
              <w:t>awie zgłaszania poszczególnych pozycji kapitału/odliczeń we wzorze CA1</w:t>
            </w:r>
            <w:r w:rsidR="00E26EF6" w:rsidRPr="00E26EF6">
              <w:rPr>
                <w:rStyle w:val="InstructionsTabelleberschrift"/>
                <w:rFonts w:ascii="Times New Roman" w:hAnsi="Times New Roman"/>
                <w:b w:val="0"/>
                <w:sz w:val="24"/>
                <w:u w:val="none"/>
              </w:rPr>
              <w:t>. W kon</w:t>
            </w:r>
            <w:r w:rsidRPr="00E26EF6">
              <w:rPr>
                <w:rStyle w:val="InstructionsTabelleberschrift"/>
                <w:rFonts w:ascii="Times New Roman" w:hAnsi="Times New Roman"/>
                <w:b w:val="0"/>
                <w:sz w:val="24"/>
                <w:u w:val="none"/>
              </w:rPr>
              <w:t>sekwencji wiersz ten wypełnia się tylko wtedy, gdy elementu kapitału podstawowego Tier II lub odliczenia od elementu kapitału Tier II nie można przypisać do żadnego</w:t>
            </w:r>
            <w:r w:rsidR="00E26EF6" w:rsidRPr="00E26EF6">
              <w:rPr>
                <w:rStyle w:val="InstructionsTabelleberschrift"/>
                <w:rFonts w:ascii="Times New Roman" w:hAnsi="Times New Roman"/>
                <w:b w:val="0"/>
                <w:sz w:val="24"/>
                <w:u w:val="none"/>
              </w:rPr>
              <w:t xml:space="preserve"> z wie</w:t>
            </w:r>
            <w:r w:rsidRPr="00E26EF6">
              <w:rPr>
                <w:rStyle w:val="InstructionsTabelleberschrift"/>
                <w:rFonts w:ascii="Times New Roman" w:hAnsi="Times New Roman"/>
                <w:b w:val="0"/>
                <w:sz w:val="24"/>
                <w:u w:val="none"/>
              </w:rPr>
              <w:t>rszy od</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750 do</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974. </w:t>
            </w:r>
          </w:p>
          <w:p w14:paraId="33435B21" w14:textId="3F049FFE" w:rsidR="00915077" w:rsidRPr="00E26EF6" w:rsidRDefault="00A86EB4">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Wiersza tego nie używa się do uwzględniania pozycji kapitału/odliczeń, które nie są objęte zakresem stosowania CRR,</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obliczenia współczynników wypłacalności (np. przypisania pozycji kapitału/odliczeń, które określono według przepisów krajowych,</w:t>
            </w:r>
            <w:r w:rsidR="00E26EF6" w:rsidRPr="00E26EF6">
              <w:rPr>
                <w:rStyle w:val="InstructionsTabelleberschrift"/>
                <w:rFonts w:ascii="Times New Roman" w:hAnsi="Times New Roman"/>
                <w:b w:val="0"/>
                <w:sz w:val="24"/>
                <w:u w:val="none"/>
              </w:rPr>
              <w:t xml:space="preserve"> a któ</w:t>
            </w:r>
            <w:r w:rsidRPr="00E26EF6">
              <w:rPr>
                <w:rStyle w:val="InstructionsTabelleberschrift"/>
                <w:rFonts w:ascii="Times New Roman" w:hAnsi="Times New Roman"/>
                <w:b w:val="0"/>
                <w:sz w:val="24"/>
                <w:u w:val="none"/>
              </w:rPr>
              <w:t>re nie wchodzą</w:t>
            </w:r>
            <w:r w:rsidR="00E26EF6" w:rsidRPr="00E26EF6">
              <w:rPr>
                <w:rStyle w:val="InstructionsTabelleberschrift"/>
                <w:rFonts w:ascii="Times New Roman" w:hAnsi="Times New Roman"/>
                <w:b w:val="0"/>
                <w:sz w:val="24"/>
                <w:u w:val="none"/>
              </w:rPr>
              <w:t xml:space="preserve"> w zak</w:t>
            </w:r>
            <w:r w:rsidRPr="00E26EF6">
              <w:rPr>
                <w:rStyle w:val="InstructionsTabelleberschrift"/>
                <w:rFonts w:ascii="Times New Roman" w:hAnsi="Times New Roman"/>
                <w:b w:val="0"/>
                <w:sz w:val="24"/>
                <w:u w:val="none"/>
              </w:rPr>
              <w:t>res stosowania CRR).</w:t>
            </w:r>
          </w:p>
        </w:tc>
      </w:tr>
    </w:tbl>
    <w:p w14:paraId="71EB3ECD" w14:textId="77777777" w:rsidR="00915077" w:rsidRPr="00E26EF6" w:rsidRDefault="00915077">
      <w:pPr>
        <w:pStyle w:val="InstructionsText"/>
      </w:pPr>
    </w:p>
    <w:p w14:paraId="68D52605"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1" w:name="_Toc31014309"/>
      <w:r w:rsidRPr="00E26EF6">
        <w:rPr>
          <w:rFonts w:ascii="Times New Roman" w:hAnsi="Times New Roman"/>
          <w:sz w:val="24"/>
          <w:u w:val="none"/>
        </w:rPr>
        <w:t>1.3.</w:t>
      </w:r>
      <w:r w:rsidRPr="00E26EF6">
        <w:rPr>
          <w:rFonts w:ascii="Times New Roman" w:hAnsi="Times New Roman"/>
          <w:sz w:val="24"/>
          <w:u w:val="none"/>
        </w:rPr>
        <w:tab/>
      </w:r>
      <w:r w:rsidRPr="00E26EF6">
        <w:rPr>
          <w:rFonts w:ascii="Times New Roman" w:hAnsi="Times New Roman"/>
          <w:sz w:val="24"/>
        </w:rPr>
        <w:t>C 02.00 – WYMOGI W ZAKRESIE FUNDUSZY WŁASNYCH (CA2)</w:t>
      </w:r>
      <w:bookmarkEnd w:id="11"/>
      <w:r w:rsidRPr="00E26EF6">
        <w:rPr>
          <w:rFonts w:ascii="Times New Roman" w:hAnsi="Times New Roman"/>
          <w:sz w:val="24"/>
        </w:rPr>
        <w:t xml:space="preserve"> </w:t>
      </w:r>
    </w:p>
    <w:p w14:paraId="54208F37"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2" w:name="_Toc31014310"/>
      <w:r w:rsidRPr="00E26EF6">
        <w:rPr>
          <w:rFonts w:ascii="Times New Roman" w:hAnsi="Times New Roman"/>
          <w:sz w:val="24"/>
          <w:u w:val="none"/>
        </w:rPr>
        <w:t>1.3.1.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2"/>
    </w:p>
    <w:p w14:paraId="0023256C" w14:textId="77777777" w:rsidR="00915077" w:rsidRPr="00E26EF6" w:rsidRDefault="00915077">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915077" w:rsidRPr="00E26EF6" w14:paraId="0D39C813" w14:textId="77777777" w:rsidTr="00672D2A">
        <w:tc>
          <w:tcPr>
            <w:tcW w:w="1591" w:type="dxa"/>
            <w:shd w:val="clear" w:color="auto" w:fill="D9D9D9"/>
          </w:tcPr>
          <w:p w14:paraId="5F5F5E0C" w14:textId="77777777" w:rsidR="00915077" w:rsidRPr="00E26EF6" w:rsidRDefault="002648B0">
            <w:pPr>
              <w:pStyle w:val="InstructionsText"/>
            </w:pPr>
            <w:r w:rsidRPr="00E26EF6">
              <w:t>Wiersz</w:t>
            </w:r>
          </w:p>
        </w:tc>
        <w:tc>
          <w:tcPr>
            <w:tcW w:w="7274" w:type="dxa"/>
            <w:shd w:val="clear" w:color="auto" w:fill="D9D9D9"/>
          </w:tcPr>
          <w:p w14:paraId="68A7ECF1" w14:textId="5A061FD3" w:rsidR="00915077" w:rsidRPr="00E26EF6" w:rsidRDefault="002648B0">
            <w:pPr>
              <w:pStyle w:val="InstructionsText"/>
              <w:rPr>
                <w:highlight w:val="lightGray"/>
              </w:rPr>
            </w:pPr>
            <w:r w:rsidRPr="00E26EF6">
              <w:t>Odniesienia prawne</w:t>
            </w:r>
            <w:r w:rsidR="00E26EF6" w:rsidRPr="00E26EF6">
              <w:t xml:space="preserve"> i ins</w:t>
            </w:r>
            <w:r w:rsidRPr="00E26EF6">
              <w:t>trukcje</w:t>
            </w:r>
          </w:p>
        </w:tc>
      </w:tr>
      <w:tr w:rsidR="00915077" w:rsidRPr="00E26EF6" w14:paraId="4788110E" w14:textId="77777777" w:rsidTr="00672D2A">
        <w:tc>
          <w:tcPr>
            <w:tcW w:w="1591" w:type="dxa"/>
          </w:tcPr>
          <w:p w14:paraId="7CBD314D" w14:textId="77777777" w:rsidR="00915077" w:rsidRPr="00E26EF6" w:rsidRDefault="002648B0">
            <w:pPr>
              <w:pStyle w:val="InstructionsText"/>
              <w:rPr>
                <w:highlight w:val="lightGray"/>
              </w:rPr>
            </w:pPr>
            <w:r w:rsidRPr="00E26EF6">
              <w:t>010</w:t>
            </w:r>
          </w:p>
        </w:tc>
        <w:tc>
          <w:tcPr>
            <w:tcW w:w="7274" w:type="dxa"/>
          </w:tcPr>
          <w:p w14:paraId="01196437" w14:textId="77777777" w:rsidR="00915077" w:rsidRPr="00E26EF6" w:rsidRDefault="00C66473">
            <w:pPr>
              <w:pStyle w:val="InstructionsText"/>
            </w:pPr>
            <w:r w:rsidRPr="00E26EF6">
              <w:rPr>
                <w:rStyle w:val="InstructionsTabelleberschrift"/>
                <w:rFonts w:ascii="Times New Roman" w:hAnsi="Times New Roman"/>
                <w:sz w:val="24"/>
              </w:rPr>
              <w:t>1.</w:t>
            </w:r>
            <w:r w:rsidRPr="00E26EF6">
              <w:rPr>
                <w:rStyle w:val="InstructionsTabelleberschrift"/>
                <w:rFonts w:ascii="Times New Roman" w:hAnsi="Times New Roman"/>
                <w:sz w:val="24"/>
              </w:rPr>
              <w:tab/>
              <w:t>ŁĄCZNA KWOTA EKSPOZYCJI NA RYZYKO</w:t>
            </w:r>
          </w:p>
          <w:p w14:paraId="46265497" w14:textId="1A858052" w:rsidR="00915077" w:rsidRPr="00E26EF6" w:rsidRDefault="002648B0">
            <w:pPr>
              <w:pStyle w:val="InstructionsText"/>
              <w:rPr>
                <w:highlight w:val="lightGray"/>
              </w:rPr>
            </w:pPr>
            <w:r w:rsidRPr="00E26EF6">
              <w:t>Art. 92 ust.</w:t>
            </w:r>
            <w:r w:rsidR="00023409" w:rsidRPr="00E26EF6">
              <w:t> </w:t>
            </w:r>
            <w:r w:rsidRPr="00E26EF6">
              <w:t>3</w:t>
            </w:r>
            <w:r w:rsidR="00E26EF6" w:rsidRPr="00E26EF6">
              <w:t xml:space="preserve"> i art</w:t>
            </w:r>
            <w:r w:rsidRPr="00E26EF6">
              <w:t>.</w:t>
            </w:r>
            <w:r w:rsidR="00023409" w:rsidRPr="00E26EF6">
              <w:t> </w:t>
            </w:r>
            <w:r w:rsidRPr="00E26EF6">
              <w:t>95, art.</w:t>
            </w:r>
            <w:r w:rsidR="00023409" w:rsidRPr="00E26EF6">
              <w:t> </w:t>
            </w:r>
            <w:r w:rsidRPr="00E26EF6">
              <w:t>96</w:t>
            </w:r>
            <w:r w:rsidR="00E26EF6" w:rsidRPr="00E26EF6">
              <w:t xml:space="preserve"> i art</w:t>
            </w:r>
            <w:r w:rsidRPr="00E26EF6">
              <w:t>.</w:t>
            </w:r>
            <w:r w:rsidR="00023409" w:rsidRPr="00E26EF6">
              <w:t> </w:t>
            </w:r>
            <w:r w:rsidRPr="00E26EF6">
              <w:t>98 CRR</w:t>
            </w:r>
          </w:p>
        </w:tc>
      </w:tr>
      <w:tr w:rsidR="00915077" w:rsidRPr="00E26EF6" w14:paraId="6D9EE898" w14:textId="77777777" w:rsidTr="00672D2A">
        <w:tc>
          <w:tcPr>
            <w:tcW w:w="1591" w:type="dxa"/>
          </w:tcPr>
          <w:p w14:paraId="4A03101D" w14:textId="77777777" w:rsidR="00915077" w:rsidRPr="00E26EF6" w:rsidRDefault="002648B0">
            <w:pPr>
              <w:pStyle w:val="InstructionsText"/>
              <w:rPr>
                <w:highlight w:val="lightGray"/>
              </w:rPr>
            </w:pPr>
            <w:r w:rsidRPr="00E26EF6">
              <w:t>020</w:t>
            </w:r>
          </w:p>
        </w:tc>
        <w:tc>
          <w:tcPr>
            <w:tcW w:w="7274" w:type="dxa"/>
          </w:tcPr>
          <w:p w14:paraId="728E140E" w14:textId="01F50AA8" w:rsidR="00915077" w:rsidRPr="00E26EF6" w:rsidRDefault="002648B0">
            <w:pPr>
              <w:pStyle w:val="InstructionsText"/>
            </w:pPr>
            <w:r w:rsidRPr="00E26EF6">
              <w:rPr>
                <w:rStyle w:val="InstructionsTabelleberschrift"/>
                <w:rFonts w:ascii="Times New Roman" w:hAnsi="Times New Roman"/>
                <w:sz w:val="24"/>
              </w:rPr>
              <w:t>1*</w:t>
            </w:r>
            <w:r w:rsidRPr="00E26EF6">
              <w:rPr>
                <w:rStyle w:val="InstructionsTabelleberschrift"/>
                <w:rFonts w:ascii="Times New Roman" w:hAnsi="Times New Roman"/>
                <w:sz w:val="24"/>
              </w:rPr>
              <w:tab/>
              <w:t>W tym: firmy inwestycyjne,</w:t>
            </w:r>
            <w:r w:rsidR="00E26EF6" w:rsidRPr="00E26EF6">
              <w:rPr>
                <w:rStyle w:val="InstructionsTabelleberschrift"/>
                <w:rFonts w:ascii="Times New Roman" w:hAnsi="Times New Roman"/>
                <w:sz w:val="24"/>
              </w:rPr>
              <w:t xml:space="preserve"> o któ</w:t>
            </w:r>
            <w:r w:rsidRPr="00E26EF6">
              <w:rPr>
                <w:rStyle w:val="InstructionsTabelleberschrift"/>
                <w:rFonts w:ascii="Times New Roman" w:hAnsi="Times New Roman"/>
                <w:sz w:val="24"/>
              </w:rPr>
              <w:t>rych mowa</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95 ust.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2 oraz</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98 CRR</w:t>
            </w:r>
          </w:p>
          <w:p w14:paraId="4FA45006" w14:textId="587BBDA1" w:rsidR="00915077" w:rsidRPr="00E26EF6" w:rsidRDefault="002648B0">
            <w:pPr>
              <w:pStyle w:val="InstructionsText"/>
              <w:rPr>
                <w:highlight w:val="lightGray"/>
              </w:rPr>
            </w:pPr>
            <w:r w:rsidRPr="00E26EF6">
              <w:t>W przypadku firm inwestycyjnych,</w:t>
            </w:r>
            <w:r w:rsidR="00E26EF6" w:rsidRPr="00E26EF6">
              <w:t xml:space="preserve"> o któ</w:t>
            </w:r>
            <w:r w:rsidRPr="00E26EF6">
              <w:t>rych mowa</w:t>
            </w:r>
            <w:r w:rsidR="00E26EF6" w:rsidRPr="00E26EF6">
              <w:t xml:space="preserve"> w art</w:t>
            </w:r>
            <w:r w:rsidRPr="00E26EF6">
              <w:t>.</w:t>
            </w:r>
            <w:r w:rsidR="00023409" w:rsidRPr="00E26EF6">
              <w:t> </w:t>
            </w:r>
            <w:r w:rsidRPr="00E26EF6">
              <w:t xml:space="preserve">95 </w:t>
            </w:r>
            <w:r w:rsidRPr="00E26EF6">
              <w:rPr>
                <w:rStyle w:val="FormatvorlageInstructionsTabelleText"/>
                <w:rFonts w:ascii="Times New Roman" w:hAnsi="Times New Roman"/>
                <w:sz w:val="24"/>
              </w:rPr>
              <w:t>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w:t>
            </w:r>
            <w:r w:rsidRPr="00E26EF6">
              <w:t xml:space="preserve"> oraz</w:t>
            </w:r>
            <w:r w:rsidR="00E26EF6" w:rsidRPr="00E26EF6">
              <w:t xml:space="preserve"> w art</w:t>
            </w:r>
            <w:r w:rsidRPr="00E26EF6">
              <w:t>.</w:t>
            </w:r>
            <w:r w:rsidR="00023409" w:rsidRPr="00E26EF6">
              <w:t> </w:t>
            </w:r>
            <w:r w:rsidRPr="00E26EF6">
              <w:t>98 CRR</w:t>
            </w:r>
          </w:p>
        </w:tc>
      </w:tr>
      <w:tr w:rsidR="00915077" w:rsidRPr="00E26EF6" w14:paraId="5A6EEA97" w14:textId="77777777" w:rsidTr="00672D2A">
        <w:tc>
          <w:tcPr>
            <w:tcW w:w="1591" w:type="dxa"/>
          </w:tcPr>
          <w:p w14:paraId="044DF713" w14:textId="77777777" w:rsidR="00915077" w:rsidRPr="00E26EF6" w:rsidRDefault="002648B0">
            <w:pPr>
              <w:pStyle w:val="InstructionsText"/>
              <w:rPr>
                <w:highlight w:val="lightGray"/>
              </w:rPr>
            </w:pPr>
            <w:r w:rsidRPr="00E26EF6">
              <w:lastRenderedPageBreak/>
              <w:t>030</w:t>
            </w:r>
          </w:p>
        </w:tc>
        <w:tc>
          <w:tcPr>
            <w:tcW w:w="7274" w:type="dxa"/>
          </w:tcPr>
          <w:p w14:paraId="3E0C3E16" w14:textId="18DB29C1" w:rsidR="00915077" w:rsidRPr="00E26EF6" w:rsidRDefault="002648B0">
            <w:pPr>
              <w:pStyle w:val="InstructionsText"/>
            </w:pPr>
            <w:r w:rsidRPr="00E26EF6">
              <w:rPr>
                <w:rStyle w:val="InstructionsTabelleberschrift"/>
                <w:rFonts w:ascii="Times New Roman" w:hAnsi="Times New Roman"/>
                <w:sz w:val="24"/>
              </w:rPr>
              <w:t>1**</w:t>
            </w:r>
            <w:r w:rsidRPr="00E26EF6">
              <w:rPr>
                <w:rStyle w:val="InstructionsTabelleberschrift"/>
                <w:rFonts w:ascii="Times New Roman" w:hAnsi="Times New Roman"/>
                <w:sz w:val="24"/>
              </w:rPr>
              <w:tab/>
              <w:t>W tym: firmy inwestycyjne,</w:t>
            </w:r>
            <w:r w:rsidR="00E26EF6" w:rsidRPr="00E26EF6">
              <w:rPr>
                <w:rStyle w:val="InstructionsTabelleberschrift"/>
                <w:rFonts w:ascii="Times New Roman" w:hAnsi="Times New Roman"/>
                <w:sz w:val="24"/>
              </w:rPr>
              <w:t xml:space="preserve"> o któ</w:t>
            </w:r>
            <w:r w:rsidRPr="00E26EF6">
              <w:rPr>
                <w:rStyle w:val="InstructionsTabelleberschrift"/>
                <w:rFonts w:ascii="Times New Roman" w:hAnsi="Times New Roman"/>
                <w:sz w:val="24"/>
              </w:rPr>
              <w:t>rych mowa</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96 ust.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2 oraz</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97 CRR</w:t>
            </w:r>
          </w:p>
          <w:p w14:paraId="76B6B5F2" w14:textId="08363340" w:rsidR="00915077" w:rsidRPr="00E26EF6" w:rsidRDefault="002648B0">
            <w:pPr>
              <w:pStyle w:val="InstructionsText"/>
              <w:rPr>
                <w:highlight w:val="lightGray"/>
              </w:rPr>
            </w:pPr>
            <w:r w:rsidRPr="00E26EF6">
              <w:t>W przypadku firm inwestycyjnych,</w:t>
            </w:r>
            <w:r w:rsidR="00E26EF6" w:rsidRPr="00E26EF6">
              <w:t xml:space="preserve"> o któ</w:t>
            </w:r>
            <w:r w:rsidRPr="00E26EF6">
              <w:t>rych mowa</w:t>
            </w:r>
            <w:r w:rsidR="00E26EF6" w:rsidRPr="00E26EF6">
              <w:t xml:space="preserve"> w art</w:t>
            </w:r>
            <w:r w:rsidRPr="00E26EF6">
              <w:t>.</w:t>
            </w:r>
            <w:r w:rsidR="00023409" w:rsidRPr="00E26EF6">
              <w:t> </w:t>
            </w:r>
            <w:r w:rsidRPr="00E26EF6">
              <w:t xml:space="preserve">96 </w:t>
            </w:r>
            <w:r w:rsidRPr="00E26EF6">
              <w:rPr>
                <w:rStyle w:val="FormatvorlageInstructionsTabelleText"/>
                <w:rFonts w:ascii="Times New Roman" w:hAnsi="Times New Roman"/>
                <w:sz w:val="24"/>
              </w:rPr>
              <w:t>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w:t>
            </w:r>
            <w:r w:rsidRPr="00E26EF6">
              <w:t xml:space="preserve"> oraz</w:t>
            </w:r>
            <w:r w:rsidR="00E26EF6" w:rsidRPr="00E26EF6">
              <w:t xml:space="preserve"> w art</w:t>
            </w:r>
            <w:r w:rsidRPr="00E26EF6">
              <w:t>.</w:t>
            </w:r>
            <w:r w:rsidR="00023409" w:rsidRPr="00E26EF6">
              <w:t> </w:t>
            </w:r>
            <w:r w:rsidRPr="00E26EF6">
              <w:t>97 CRR</w:t>
            </w:r>
          </w:p>
        </w:tc>
      </w:tr>
      <w:tr w:rsidR="00915077" w:rsidRPr="00E26EF6" w14:paraId="7BA90DC4" w14:textId="77777777" w:rsidTr="00672D2A">
        <w:tc>
          <w:tcPr>
            <w:tcW w:w="1591" w:type="dxa"/>
          </w:tcPr>
          <w:p w14:paraId="6C2A8F6D"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040</w:t>
            </w:r>
          </w:p>
        </w:tc>
        <w:tc>
          <w:tcPr>
            <w:tcW w:w="7274" w:type="dxa"/>
          </w:tcPr>
          <w:p w14:paraId="37CD2A01" w14:textId="77777777"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w:t>
            </w:r>
            <w:r w:rsidRPr="00E26EF6">
              <w:rPr>
                <w:rStyle w:val="InstructionsTabelleberschrift"/>
                <w:rFonts w:ascii="Times New Roman" w:hAnsi="Times New Roman"/>
                <w:sz w:val="24"/>
              </w:rPr>
              <w:tab/>
              <w:t>KWOTY EKSPOZYCJI WAŻONYCH RYZYKIEM Z TYTUŁU RYZYKA KREDYTOWEGO, RYZYKA KREDYTOWEGO KONTRAHENTA, RYZYKA ROZMYCIA ORAZ DOSTAW Z PÓŹNIEJSZYM TERMINEM ROZLICZENIA</w:t>
            </w:r>
          </w:p>
          <w:p w14:paraId="54D1474C" w14:textId="6B6E981B" w:rsidR="00915077" w:rsidRPr="00E26EF6" w:rsidRDefault="002C66A4">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92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i f) CRR</w:t>
            </w:r>
          </w:p>
        </w:tc>
      </w:tr>
      <w:tr w:rsidR="00915077" w:rsidRPr="00E26EF6" w14:paraId="6C7C9EAC" w14:textId="77777777" w:rsidTr="00672D2A">
        <w:tc>
          <w:tcPr>
            <w:tcW w:w="1591" w:type="dxa"/>
          </w:tcPr>
          <w:p w14:paraId="1F820C45"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050</w:t>
            </w:r>
          </w:p>
        </w:tc>
        <w:tc>
          <w:tcPr>
            <w:tcW w:w="7274" w:type="dxa"/>
          </w:tcPr>
          <w:p w14:paraId="5B1D747A" w14:textId="4C8B71B4"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w:t>
            </w:r>
            <w:r w:rsidRPr="00E26EF6">
              <w:rPr>
                <w:rStyle w:val="InstructionsTabelleberschrift"/>
                <w:rFonts w:ascii="Times New Roman" w:hAnsi="Times New Roman"/>
                <w:sz w:val="24"/>
              </w:rPr>
              <w:tab/>
              <w:t>Metoda standardowa (SA)</w:t>
            </w:r>
          </w:p>
          <w:p w14:paraId="140A5C1E"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InstructionsTabelleberschrift"/>
                <w:rFonts w:ascii="Times New Roman" w:hAnsi="Times New Roman"/>
                <w:b w:val="0"/>
                <w:sz w:val="24"/>
                <w:u w:val="none"/>
              </w:rPr>
              <w:t>Wzory CR SA i SEC SA na poziomie ekspozycji całkowitych</w:t>
            </w:r>
          </w:p>
        </w:tc>
      </w:tr>
      <w:tr w:rsidR="00915077" w:rsidRPr="00E26EF6" w14:paraId="48DA6C54" w14:textId="77777777" w:rsidTr="00672D2A">
        <w:tc>
          <w:tcPr>
            <w:tcW w:w="1591" w:type="dxa"/>
          </w:tcPr>
          <w:p w14:paraId="03E01A09"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051</w:t>
            </w:r>
          </w:p>
        </w:tc>
        <w:tc>
          <w:tcPr>
            <w:tcW w:w="7274" w:type="dxa"/>
          </w:tcPr>
          <w:p w14:paraId="47536DF6" w14:textId="0825E841"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w:t>
            </w:r>
            <w:r w:rsidRPr="00E26EF6">
              <w:rPr>
                <w:rStyle w:val="InstructionsTabelleberschrift"/>
                <w:rFonts w:ascii="Times New Roman" w:hAnsi="Times New Roman"/>
                <w:sz w:val="24"/>
              </w:rPr>
              <w:tab/>
              <w:t>W tym: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dodatkowych, surowszych wymogów ostrożnościowych na podstawie art.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124 CRR</w:t>
            </w:r>
          </w:p>
          <w:p w14:paraId="66AE5407" w14:textId="3D991900" w:rsidR="00915077" w:rsidRPr="00E26EF6" w:rsidRDefault="004852B9">
            <w:pPr>
              <w:pStyle w:val="InstructionsText"/>
              <w:rPr>
                <w:rStyle w:val="InstructionsTabelleberschrift"/>
                <w:rFonts w:ascii="Times New Roman" w:hAnsi="Times New Roman"/>
                <w:sz w:val="24"/>
                <w:highlight w:val="lightGray"/>
              </w:rPr>
            </w:pPr>
            <w:r w:rsidRPr="00E26EF6">
              <w:t>Instytucje zgłaszają dodatkowe kwoty ekspozycji na ryzyko niezbędne do osiągnięcia zgodności</w:t>
            </w:r>
            <w:r w:rsidR="00E26EF6" w:rsidRPr="00E26EF6">
              <w:t xml:space="preserve"> z sur</w:t>
            </w:r>
            <w:r w:rsidRPr="00E26EF6">
              <w:t>owszymi wymogami ostrożnościowymi podanymi do wiadomości instytucji po przeprowadzeniu konsultacji z EUNB, zgodnie</w:t>
            </w:r>
            <w:r w:rsidR="00E26EF6" w:rsidRPr="00E26EF6">
              <w:t xml:space="preserve"> z art</w:t>
            </w:r>
            <w:r w:rsidRPr="00E26EF6">
              <w:t>.</w:t>
            </w:r>
            <w:r w:rsidR="00023409" w:rsidRPr="00E26EF6">
              <w:t> </w:t>
            </w:r>
            <w:r w:rsidRPr="00E26EF6">
              <w:t>124 ust.</w:t>
            </w:r>
            <w:r w:rsidR="00023409" w:rsidRPr="00E26EF6">
              <w:t> </w:t>
            </w:r>
            <w:r w:rsidRPr="00E26EF6">
              <w:t>2</w:t>
            </w:r>
            <w:r w:rsidR="00E26EF6" w:rsidRPr="00E26EF6">
              <w:t xml:space="preserve"> i 5</w:t>
            </w:r>
            <w:r w:rsidRPr="00E26EF6">
              <w:t xml:space="preserve"> CRR.</w:t>
            </w:r>
          </w:p>
        </w:tc>
      </w:tr>
      <w:tr w:rsidR="00915077" w:rsidRPr="00E26EF6" w14:paraId="550B562B" w14:textId="77777777" w:rsidTr="00672D2A">
        <w:tc>
          <w:tcPr>
            <w:tcW w:w="1591" w:type="dxa"/>
          </w:tcPr>
          <w:p w14:paraId="7E7ABFE8"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060</w:t>
            </w:r>
          </w:p>
        </w:tc>
        <w:tc>
          <w:tcPr>
            <w:tcW w:w="7274" w:type="dxa"/>
          </w:tcPr>
          <w:p w14:paraId="46212EFA" w14:textId="189B8912" w:rsidR="00915077" w:rsidRPr="00E26EF6" w:rsidRDefault="00C44421">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w:t>
            </w:r>
            <w:r w:rsidRPr="00E26EF6">
              <w:rPr>
                <w:rStyle w:val="InstructionsTabelleberschrift"/>
                <w:rFonts w:ascii="Times New Roman" w:hAnsi="Times New Roman"/>
                <w:sz w:val="24"/>
              </w:rPr>
              <w:tab/>
              <w:t>Kategorie ekspozycji według metody standardowej</w:t>
            </w:r>
            <w:r w:rsidR="00E26EF6" w:rsidRPr="00E26EF6">
              <w:rPr>
                <w:rStyle w:val="InstructionsTabelleberschrift"/>
                <w:rFonts w:ascii="Times New Roman" w:hAnsi="Times New Roman"/>
                <w:sz w:val="24"/>
              </w:rPr>
              <w:t xml:space="preserve"> z wył</w:t>
            </w:r>
            <w:r w:rsidRPr="00E26EF6">
              <w:rPr>
                <w:rStyle w:val="InstructionsTabelleberschrift"/>
                <w:rFonts w:ascii="Times New Roman" w:hAnsi="Times New Roman"/>
                <w:sz w:val="24"/>
              </w:rPr>
              <w:t>ączeniem pozycji sekurytyzacyjnych</w:t>
            </w:r>
          </w:p>
          <w:p w14:paraId="021404DD" w14:textId="5C54E3A2"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Wzór CR SA na poziomie ekspozycji całkowitych.</w:t>
            </w:r>
            <w:r w:rsidR="00023409" w:rsidRPr="00E26EF6">
              <w:rPr>
                <w:rStyle w:val="FormatvorlageInstructionsTabelleText"/>
                <w:rFonts w:ascii="Times New Roman" w:hAnsi="Times New Roman"/>
                <w:sz w:val="24"/>
              </w:rPr>
              <w:t xml:space="preserve"> </w:t>
            </w:r>
            <w:r w:rsidRPr="00E26EF6">
              <w:rPr>
                <w:rStyle w:val="FormatvorlageInstructionsTabelleText"/>
                <w:rFonts w:ascii="Times New Roman" w:hAnsi="Times New Roman"/>
                <w:sz w:val="24"/>
              </w:rPr>
              <w:t xml:space="preserve">Kategoriami ekspozycji według metody standardowej są kategorie </w:t>
            </w:r>
            <w:r w:rsidRPr="00E26EF6">
              <w:rPr>
                <w:rStyle w:val="InstructionsTabelleberschrift"/>
                <w:rFonts w:ascii="Times New Roman" w:hAnsi="Times New Roman"/>
                <w:b w:val="0"/>
                <w:sz w:val="24"/>
                <w:u w:val="none"/>
              </w:rPr>
              <w:t>wymienione</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112 CRR</w:t>
            </w:r>
            <w:r w:rsidR="00E26EF6" w:rsidRPr="00E26EF6">
              <w:rPr>
                <w:rStyle w:val="FormatvorlageInstructionsTabelleText"/>
                <w:rFonts w:ascii="Times New Roman" w:hAnsi="Times New Roman"/>
                <w:sz w:val="24"/>
              </w:rPr>
              <w:t xml:space="preserve"> z wył</w:t>
            </w:r>
            <w:r w:rsidRPr="00E26EF6">
              <w:rPr>
                <w:rStyle w:val="FormatvorlageInstructionsTabelleText"/>
                <w:rFonts w:ascii="Times New Roman" w:hAnsi="Times New Roman"/>
                <w:sz w:val="24"/>
              </w:rPr>
              <w:t>ączeniem pozycji sekurytyzacyjnych.</w:t>
            </w:r>
          </w:p>
        </w:tc>
      </w:tr>
      <w:tr w:rsidR="00915077" w:rsidRPr="00E26EF6" w14:paraId="6382F224" w14:textId="77777777" w:rsidTr="00672D2A">
        <w:tc>
          <w:tcPr>
            <w:tcW w:w="1591" w:type="dxa"/>
          </w:tcPr>
          <w:p w14:paraId="2EF59F31"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070</w:t>
            </w:r>
          </w:p>
        </w:tc>
        <w:tc>
          <w:tcPr>
            <w:tcW w:w="7274" w:type="dxa"/>
          </w:tcPr>
          <w:p w14:paraId="1FE8F70A" w14:textId="77777777"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1.1.1.1.01</w:t>
            </w:r>
            <w:r w:rsidRPr="00E26EF6">
              <w:rPr>
                <w:rStyle w:val="InstructionsTabelleberschrift"/>
                <w:rFonts w:ascii="Times New Roman" w:hAnsi="Times New Roman"/>
                <w:sz w:val="24"/>
              </w:rPr>
              <w:tab/>
              <w:t>Ekspozycje wobec rządów centralnych lub banków centralnych</w:t>
            </w:r>
          </w:p>
          <w:p w14:paraId="475A051D" w14:textId="77777777" w:rsidR="00915077" w:rsidRPr="00E26EF6" w:rsidRDefault="00D212FE">
            <w:pPr>
              <w:pStyle w:val="InstructionsText"/>
              <w:rPr>
                <w:rStyle w:val="FormatvorlageInstructionsTabelleText"/>
                <w:rFonts w:ascii="Times New Roman" w:hAnsi="Times New Roman"/>
                <w:bCs w:val="0"/>
                <w:sz w:val="24"/>
                <w:highlight w:val="lightGray"/>
              </w:rPr>
            </w:pPr>
            <w:r w:rsidRPr="00E26EF6">
              <w:rPr>
                <w:rStyle w:val="FormatvorlageInstructionsTabelleText"/>
                <w:rFonts w:ascii="Times New Roman" w:hAnsi="Times New Roman"/>
                <w:sz w:val="24"/>
              </w:rPr>
              <w:t>Zob. wzór CR SA</w:t>
            </w:r>
          </w:p>
        </w:tc>
      </w:tr>
      <w:tr w:rsidR="00915077" w:rsidRPr="00E26EF6" w14:paraId="3C243135" w14:textId="77777777" w:rsidTr="00672D2A">
        <w:tc>
          <w:tcPr>
            <w:tcW w:w="1591" w:type="dxa"/>
          </w:tcPr>
          <w:p w14:paraId="3190294B"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080</w:t>
            </w:r>
          </w:p>
        </w:tc>
        <w:tc>
          <w:tcPr>
            <w:tcW w:w="7274" w:type="dxa"/>
          </w:tcPr>
          <w:p w14:paraId="028CF066" w14:textId="77777777"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1.1.1.1.02</w:t>
            </w:r>
            <w:r w:rsidRPr="00E26EF6">
              <w:rPr>
                <w:rStyle w:val="InstructionsTabelleberschrift"/>
                <w:rFonts w:ascii="Times New Roman" w:hAnsi="Times New Roman"/>
                <w:sz w:val="24"/>
              </w:rPr>
              <w:tab/>
              <w:t>Ekspozycje wobec samorządów regionalnych lub władz lokalnych</w:t>
            </w:r>
          </w:p>
          <w:p w14:paraId="73EF3DD6"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6BB69C8C" w14:textId="77777777" w:rsidTr="00672D2A">
        <w:tc>
          <w:tcPr>
            <w:tcW w:w="1591" w:type="dxa"/>
          </w:tcPr>
          <w:p w14:paraId="53808F66"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090</w:t>
            </w:r>
          </w:p>
        </w:tc>
        <w:tc>
          <w:tcPr>
            <w:tcW w:w="7274" w:type="dxa"/>
          </w:tcPr>
          <w:p w14:paraId="060A3165" w14:textId="77777777" w:rsidR="00915077" w:rsidRPr="00E26EF6" w:rsidRDefault="002648B0">
            <w:pPr>
              <w:pStyle w:val="InstructionsText"/>
              <w:rPr>
                <w:rStyle w:val="FormatvorlageInstructionsTabelleText"/>
                <w:rFonts w:ascii="Times New Roman" w:hAnsi="Times New Roman"/>
                <w:b/>
                <w:bCs w:val="0"/>
                <w:sz w:val="24"/>
                <w:u w:val="single"/>
              </w:rPr>
            </w:pPr>
            <w:r w:rsidRPr="00E26EF6">
              <w:rPr>
                <w:rStyle w:val="InstructionsTabelleberschrift"/>
                <w:rFonts w:ascii="Times New Roman" w:hAnsi="Times New Roman"/>
                <w:sz w:val="24"/>
              </w:rPr>
              <w:t>1.1.1.1.03</w:t>
            </w:r>
            <w:r w:rsidRPr="00E26EF6">
              <w:rPr>
                <w:rStyle w:val="InstructionsTabelleberschrift"/>
                <w:rFonts w:ascii="Times New Roman" w:hAnsi="Times New Roman"/>
                <w:sz w:val="24"/>
              </w:rPr>
              <w:tab/>
              <w:t>Ekspozycje wobec podmiotów sektora publicznego</w:t>
            </w:r>
          </w:p>
          <w:p w14:paraId="5015B466"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31981E30" w14:textId="77777777" w:rsidTr="00672D2A">
        <w:tc>
          <w:tcPr>
            <w:tcW w:w="1591" w:type="dxa"/>
          </w:tcPr>
          <w:p w14:paraId="57A08B7D"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100</w:t>
            </w:r>
          </w:p>
        </w:tc>
        <w:tc>
          <w:tcPr>
            <w:tcW w:w="7274" w:type="dxa"/>
          </w:tcPr>
          <w:p w14:paraId="45141227" w14:textId="77777777"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1.1.1.1.04</w:t>
            </w:r>
            <w:r w:rsidRPr="00E26EF6">
              <w:rPr>
                <w:rStyle w:val="InstructionsTabelleberschrift"/>
                <w:rFonts w:ascii="Times New Roman" w:hAnsi="Times New Roman"/>
                <w:sz w:val="24"/>
              </w:rPr>
              <w:tab/>
              <w:t>Ekspozycje wobec wielostronnych banków rozwoju</w:t>
            </w:r>
          </w:p>
          <w:p w14:paraId="2E09308B"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 xml:space="preserve">Zob. wzór CR SA </w:t>
            </w:r>
          </w:p>
        </w:tc>
      </w:tr>
      <w:tr w:rsidR="00915077" w:rsidRPr="00E26EF6" w14:paraId="4A37FE2C" w14:textId="77777777" w:rsidTr="00672D2A">
        <w:tc>
          <w:tcPr>
            <w:tcW w:w="1591" w:type="dxa"/>
          </w:tcPr>
          <w:p w14:paraId="33CADB2C"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110</w:t>
            </w:r>
          </w:p>
        </w:tc>
        <w:tc>
          <w:tcPr>
            <w:tcW w:w="7274" w:type="dxa"/>
          </w:tcPr>
          <w:p w14:paraId="0847089F" w14:textId="77777777"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1.1.1.1.05</w:t>
            </w:r>
            <w:r w:rsidRPr="00E26EF6">
              <w:rPr>
                <w:rStyle w:val="InstructionsTabelleberschrift"/>
                <w:rFonts w:ascii="Times New Roman" w:hAnsi="Times New Roman"/>
                <w:sz w:val="24"/>
              </w:rPr>
              <w:tab/>
              <w:t>Ekspozycje wobec organizacji międzynarodowych</w:t>
            </w:r>
          </w:p>
          <w:p w14:paraId="282262E0" w14:textId="77777777" w:rsidR="00915077" w:rsidRPr="00E26EF6" w:rsidRDefault="00783881">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3D7A9D11" w14:textId="77777777" w:rsidTr="00672D2A">
        <w:tc>
          <w:tcPr>
            <w:tcW w:w="1591" w:type="dxa"/>
          </w:tcPr>
          <w:p w14:paraId="611EACCF"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120</w:t>
            </w:r>
          </w:p>
        </w:tc>
        <w:tc>
          <w:tcPr>
            <w:tcW w:w="7274" w:type="dxa"/>
          </w:tcPr>
          <w:p w14:paraId="70D85E55" w14:textId="77777777" w:rsidR="00915077" w:rsidRPr="00E26EF6" w:rsidRDefault="00783881">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1.1.1.1.06</w:t>
            </w:r>
            <w:r w:rsidRPr="00E26EF6">
              <w:rPr>
                <w:rStyle w:val="InstructionsTabelleberschrift"/>
                <w:rFonts w:ascii="Times New Roman" w:hAnsi="Times New Roman"/>
                <w:sz w:val="24"/>
              </w:rPr>
              <w:tab/>
              <w:t>Ekspozycje wobec instytucji</w:t>
            </w:r>
          </w:p>
          <w:p w14:paraId="37A7DA9D" w14:textId="77777777" w:rsidR="00915077" w:rsidRPr="00E26EF6" w:rsidRDefault="00783881">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73F0C1C1" w14:textId="77777777" w:rsidTr="00672D2A">
        <w:tc>
          <w:tcPr>
            <w:tcW w:w="1591" w:type="dxa"/>
          </w:tcPr>
          <w:p w14:paraId="23E85B76"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130</w:t>
            </w:r>
          </w:p>
        </w:tc>
        <w:tc>
          <w:tcPr>
            <w:tcW w:w="7274" w:type="dxa"/>
          </w:tcPr>
          <w:p w14:paraId="24097FE2" w14:textId="77777777" w:rsidR="00915077" w:rsidRPr="00E26EF6" w:rsidRDefault="002648B0">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1.1.1.1.07</w:t>
            </w:r>
            <w:r w:rsidRPr="00E26EF6">
              <w:rPr>
                <w:rStyle w:val="InstructionsTabelleberschrift"/>
                <w:rFonts w:ascii="Times New Roman" w:hAnsi="Times New Roman"/>
                <w:sz w:val="24"/>
              </w:rPr>
              <w:tab/>
              <w:t>Ekspozycje wobec przedsiębiorstw</w:t>
            </w:r>
          </w:p>
          <w:p w14:paraId="1B7BB58E"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01D7EB89" w14:textId="77777777" w:rsidTr="00672D2A">
        <w:tc>
          <w:tcPr>
            <w:tcW w:w="1591" w:type="dxa"/>
          </w:tcPr>
          <w:p w14:paraId="7645F9A7"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140</w:t>
            </w:r>
          </w:p>
        </w:tc>
        <w:tc>
          <w:tcPr>
            <w:tcW w:w="7274" w:type="dxa"/>
          </w:tcPr>
          <w:p w14:paraId="75877546" w14:textId="77777777" w:rsidR="00915077" w:rsidRPr="00E26EF6" w:rsidRDefault="002648B0">
            <w:pPr>
              <w:pStyle w:val="InstructionsText"/>
              <w:rPr>
                <w:rStyle w:val="FormatvorlageInstructionsTabelleText"/>
                <w:rFonts w:ascii="Times New Roman" w:hAnsi="Times New Roman"/>
                <w:b/>
                <w:bCs w:val="0"/>
                <w:sz w:val="24"/>
                <w:u w:val="single"/>
              </w:rPr>
            </w:pPr>
            <w:r w:rsidRPr="00E26EF6">
              <w:rPr>
                <w:rStyle w:val="InstructionsTabelleberschrift"/>
                <w:rFonts w:ascii="Times New Roman" w:hAnsi="Times New Roman"/>
                <w:sz w:val="24"/>
              </w:rPr>
              <w:t>1.1.1.1.08</w:t>
            </w:r>
            <w:r w:rsidRPr="00E26EF6">
              <w:rPr>
                <w:rStyle w:val="InstructionsTabelleberschrift"/>
                <w:rFonts w:ascii="Times New Roman" w:hAnsi="Times New Roman"/>
                <w:sz w:val="24"/>
              </w:rPr>
              <w:tab/>
              <w:t>Ekspozycje detaliczne</w:t>
            </w:r>
          </w:p>
          <w:p w14:paraId="68AAF723"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4CE5D601" w14:textId="77777777" w:rsidTr="00672D2A">
        <w:tc>
          <w:tcPr>
            <w:tcW w:w="1591" w:type="dxa"/>
          </w:tcPr>
          <w:p w14:paraId="537396DF"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150</w:t>
            </w:r>
          </w:p>
        </w:tc>
        <w:tc>
          <w:tcPr>
            <w:tcW w:w="7274" w:type="dxa"/>
          </w:tcPr>
          <w:p w14:paraId="146FDA62" w14:textId="77777777" w:rsidR="00915077" w:rsidRPr="00E26EF6" w:rsidRDefault="002648B0">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1.1.1.1.09</w:t>
            </w:r>
            <w:r w:rsidRPr="00E26EF6">
              <w:rPr>
                <w:rStyle w:val="InstructionsTabelleberschrift"/>
                <w:rFonts w:ascii="Times New Roman" w:hAnsi="Times New Roman"/>
                <w:sz w:val="24"/>
              </w:rPr>
              <w:tab/>
              <w:t>Ekspozycje zabezpieczone hipotekami na nieruchomościach</w:t>
            </w:r>
          </w:p>
          <w:p w14:paraId="2219A544"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36661C50" w14:textId="77777777" w:rsidTr="00672D2A">
        <w:tc>
          <w:tcPr>
            <w:tcW w:w="1591" w:type="dxa"/>
          </w:tcPr>
          <w:p w14:paraId="284FB5F6"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160</w:t>
            </w:r>
          </w:p>
        </w:tc>
        <w:tc>
          <w:tcPr>
            <w:tcW w:w="7274" w:type="dxa"/>
          </w:tcPr>
          <w:p w14:paraId="150470CB" w14:textId="77777777" w:rsidR="00915077" w:rsidRPr="00E26EF6" w:rsidRDefault="002648B0">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1.1.1.1.10</w:t>
            </w:r>
            <w:r w:rsidRPr="00E26EF6">
              <w:rPr>
                <w:rStyle w:val="InstructionsTabelleberschrift"/>
                <w:rFonts w:ascii="Times New Roman" w:hAnsi="Times New Roman"/>
                <w:sz w:val="24"/>
              </w:rPr>
              <w:tab/>
              <w:t>Ekspozycje, których dotyczy niewykonanie zobowiązania</w:t>
            </w:r>
          </w:p>
          <w:p w14:paraId="6667C7BA"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71708621" w14:textId="77777777" w:rsidTr="00672D2A">
        <w:tc>
          <w:tcPr>
            <w:tcW w:w="1591" w:type="dxa"/>
          </w:tcPr>
          <w:p w14:paraId="0658F891"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170</w:t>
            </w:r>
          </w:p>
        </w:tc>
        <w:tc>
          <w:tcPr>
            <w:tcW w:w="7274" w:type="dxa"/>
          </w:tcPr>
          <w:p w14:paraId="1E447B70" w14:textId="77777777"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1.1.1.1.11</w:t>
            </w:r>
            <w:r w:rsidRPr="00E26EF6">
              <w:rPr>
                <w:rStyle w:val="InstructionsTabelleberschrift"/>
                <w:rFonts w:ascii="Times New Roman" w:hAnsi="Times New Roman"/>
                <w:sz w:val="24"/>
              </w:rPr>
              <w:tab/>
              <w:t>Pozycje związane ze szczególnie wysokim ryzykiem</w:t>
            </w:r>
          </w:p>
          <w:p w14:paraId="44404A55"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4175E5DC" w14:textId="77777777" w:rsidTr="00672D2A">
        <w:tc>
          <w:tcPr>
            <w:tcW w:w="1591" w:type="dxa"/>
          </w:tcPr>
          <w:p w14:paraId="04D6855F"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180</w:t>
            </w:r>
          </w:p>
        </w:tc>
        <w:tc>
          <w:tcPr>
            <w:tcW w:w="7274" w:type="dxa"/>
          </w:tcPr>
          <w:p w14:paraId="34C737D9" w14:textId="77777777" w:rsidR="00915077" w:rsidRPr="00E26EF6" w:rsidRDefault="002648B0">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1.1.1.1.12</w:t>
            </w:r>
            <w:r w:rsidRPr="00E26EF6">
              <w:rPr>
                <w:rStyle w:val="InstructionsTabelleberschrift"/>
                <w:rFonts w:ascii="Times New Roman" w:hAnsi="Times New Roman"/>
                <w:sz w:val="24"/>
              </w:rPr>
              <w:tab/>
              <w:t>Obligacje zabezpieczone</w:t>
            </w:r>
          </w:p>
          <w:p w14:paraId="59B64B5C"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6FA35E1B" w14:textId="77777777" w:rsidTr="00672D2A">
        <w:tc>
          <w:tcPr>
            <w:tcW w:w="1591" w:type="dxa"/>
          </w:tcPr>
          <w:p w14:paraId="62FFEFCD"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190</w:t>
            </w:r>
          </w:p>
        </w:tc>
        <w:tc>
          <w:tcPr>
            <w:tcW w:w="7274" w:type="dxa"/>
          </w:tcPr>
          <w:p w14:paraId="0F9F853C" w14:textId="2DCACCA5" w:rsidR="00915077" w:rsidRPr="00E26EF6" w:rsidRDefault="002648B0">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1.1.1.1.13</w:t>
            </w:r>
            <w:r w:rsidRPr="00E26EF6">
              <w:rPr>
                <w:rStyle w:val="InstructionsTabelleberschrift"/>
                <w:rFonts w:ascii="Times New Roman" w:hAnsi="Times New Roman"/>
                <w:sz w:val="24"/>
              </w:rPr>
              <w:tab/>
              <w:t>Ekspozycje</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należności od instytucji</w:t>
            </w:r>
            <w:r w:rsidR="00E26EF6" w:rsidRPr="00E26EF6">
              <w:rPr>
                <w:rStyle w:val="InstructionsTabelleberschrift"/>
                <w:rFonts w:ascii="Times New Roman" w:hAnsi="Times New Roman"/>
                <w:sz w:val="24"/>
              </w:rPr>
              <w:t xml:space="preserve"> i prz</w:t>
            </w:r>
            <w:r w:rsidRPr="00E26EF6">
              <w:rPr>
                <w:rStyle w:val="InstructionsTabelleberschrift"/>
                <w:rFonts w:ascii="Times New Roman" w:hAnsi="Times New Roman"/>
                <w:sz w:val="24"/>
              </w:rPr>
              <w:t>edsiębiorstw posiadających krótkoterminową ocenę kredytową</w:t>
            </w:r>
          </w:p>
          <w:p w14:paraId="75C708A3"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3C4A15DC" w14:textId="77777777" w:rsidTr="00672D2A">
        <w:tc>
          <w:tcPr>
            <w:tcW w:w="1591" w:type="dxa"/>
          </w:tcPr>
          <w:p w14:paraId="695E2C9D" w14:textId="77777777" w:rsidR="00915077" w:rsidRPr="00E26EF6" w:rsidRDefault="002648B0">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200</w:t>
            </w:r>
          </w:p>
          <w:p w14:paraId="5CE27826" w14:textId="77777777" w:rsidR="00915077" w:rsidRPr="00E26EF6" w:rsidRDefault="00915077">
            <w:pPr>
              <w:pStyle w:val="InstructionsText"/>
              <w:rPr>
                <w:rStyle w:val="FormatvorlageInstructionsTabelleText"/>
                <w:rFonts w:ascii="Times New Roman" w:hAnsi="Times New Roman"/>
                <w:bCs w:val="0"/>
                <w:sz w:val="24"/>
                <w:highlight w:val="lightGray"/>
              </w:rPr>
            </w:pPr>
          </w:p>
        </w:tc>
        <w:tc>
          <w:tcPr>
            <w:tcW w:w="7274" w:type="dxa"/>
          </w:tcPr>
          <w:p w14:paraId="77281FF8" w14:textId="77777777" w:rsidR="00915077" w:rsidRPr="00E26EF6" w:rsidRDefault="002648B0">
            <w:pPr>
              <w:pStyle w:val="InstructionsText"/>
              <w:rPr>
                <w:rStyle w:val="FormatvorlageInstructionsTabelleText"/>
                <w:rFonts w:ascii="Times New Roman" w:hAnsi="Times New Roman"/>
                <w:bCs w:val="0"/>
                <w:sz w:val="24"/>
              </w:rPr>
            </w:pPr>
            <w:r w:rsidRPr="00E26EF6">
              <w:rPr>
                <w:rStyle w:val="InstructionsTabelleberschrift"/>
                <w:rFonts w:ascii="Times New Roman" w:hAnsi="Times New Roman"/>
                <w:sz w:val="24"/>
              </w:rPr>
              <w:t>1.1.1.1.14</w:t>
            </w:r>
            <w:r w:rsidRPr="00E26EF6">
              <w:rPr>
                <w:rStyle w:val="InstructionsTabelleberschrift"/>
                <w:rFonts w:ascii="Times New Roman" w:hAnsi="Times New Roman"/>
                <w:sz w:val="24"/>
              </w:rPr>
              <w:tab/>
              <w:t>Przedsiębiorstwa zbiorowego inwestowania</w:t>
            </w:r>
          </w:p>
          <w:p w14:paraId="595F68F3" w14:textId="77777777" w:rsidR="00915077" w:rsidRPr="00E26EF6" w:rsidRDefault="00D212FE">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6415AEB2" w14:textId="77777777" w:rsidTr="00672D2A">
        <w:tc>
          <w:tcPr>
            <w:tcW w:w="1591" w:type="dxa"/>
          </w:tcPr>
          <w:p w14:paraId="01355BC3"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210</w:t>
            </w:r>
          </w:p>
        </w:tc>
        <w:tc>
          <w:tcPr>
            <w:tcW w:w="7274" w:type="dxa"/>
          </w:tcPr>
          <w:p w14:paraId="770DFC36" w14:textId="77777777" w:rsidR="00915077" w:rsidRPr="00E26EF6" w:rsidRDefault="002648B0">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1.1.1.1.15</w:t>
            </w:r>
            <w:r w:rsidRPr="00E26EF6">
              <w:rPr>
                <w:rStyle w:val="InstructionsTabelleberschrift"/>
                <w:rFonts w:ascii="Times New Roman" w:hAnsi="Times New Roman"/>
                <w:sz w:val="24"/>
              </w:rPr>
              <w:tab/>
              <w:t>Ekspozycje kapitałowe</w:t>
            </w:r>
          </w:p>
          <w:p w14:paraId="6E91A28B" w14:textId="77777777" w:rsidR="00915077" w:rsidRPr="00E26EF6" w:rsidRDefault="00D212FE">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SA</w:t>
            </w:r>
          </w:p>
        </w:tc>
      </w:tr>
      <w:tr w:rsidR="00915077" w:rsidRPr="00E26EF6" w14:paraId="0A7E440A" w14:textId="77777777" w:rsidTr="00672D2A">
        <w:tc>
          <w:tcPr>
            <w:tcW w:w="1591" w:type="dxa"/>
          </w:tcPr>
          <w:p w14:paraId="2EDBDAC7"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211</w:t>
            </w:r>
          </w:p>
        </w:tc>
        <w:tc>
          <w:tcPr>
            <w:tcW w:w="7274" w:type="dxa"/>
          </w:tcPr>
          <w:p w14:paraId="4364BE4A" w14:textId="77777777" w:rsidR="00915077" w:rsidRPr="00E26EF6" w:rsidRDefault="002648B0">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1.1.1.1.16</w:t>
            </w:r>
            <w:r w:rsidRPr="00E26EF6">
              <w:rPr>
                <w:rStyle w:val="InstructionsTabelleberschrift"/>
                <w:rFonts w:ascii="Times New Roman" w:hAnsi="Times New Roman"/>
                <w:sz w:val="24"/>
              </w:rPr>
              <w:tab/>
              <w:t>Inne pozycje</w:t>
            </w:r>
          </w:p>
          <w:p w14:paraId="0AE4E6FE" w14:textId="77777777" w:rsidR="00915077" w:rsidRPr="00E26EF6" w:rsidRDefault="00D212FE">
            <w:pPr>
              <w:pStyle w:val="InstructionsText"/>
              <w:rPr>
                <w:rStyle w:val="InstructionsTabelleberschrift"/>
                <w:rFonts w:ascii="Times New Roman" w:hAnsi="Times New Roman"/>
                <w:bCs w:val="0"/>
                <w:sz w:val="24"/>
                <w:highlight w:val="lightGray"/>
              </w:rPr>
            </w:pPr>
            <w:r w:rsidRPr="00E26EF6">
              <w:rPr>
                <w:rStyle w:val="FormatvorlageInstructionsTabelleText"/>
                <w:rFonts w:ascii="Times New Roman" w:hAnsi="Times New Roman"/>
                <w:sz w:val="24"/>
              </w:rPr>
              <w:t>Zob. wzór CR SA</w:t>
            </w:r>
          </w:p>
        </w:tc>
      </w:tr>
      <w:tr w:rsidR="00915077" w:rsidRPr="00E26EF6" w14:paraId="40357F3F" w14:textId="77777777" w:rsidTr="00672D2A">
        <w:tc>
          <w:tcPr>
            <w:tcW w:w="1591" w:type="dxa"/>
          </w:tcPr>
          <w:p w14:paraId="2904FC17"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240</w:t>
            </w:r>
          </w:p>
        </w:tc>
        <w:tc>
          <w:tcPr>
            <w:tcW w:w="7274" w:type="dxa"/>
          </w:tcPr>
          <w:p w14:paraId="3F47CAA2" w14:textId="77777777" w:rsidR="00915077" w:rsidRPr="00E26EF6" w:rsidRDefault="002648B0">
            <w:pPr>
              <w:pStyle w:val="InstructionsText"/>
              <w:rPr>
                <w:rStyle w:val="FormatvorlageInstructionsTabelleText"/>
                <w:rFonts w:ascii="Times New Roman" w:hAnsi="Times New Roman"/>
                <w:sz w:val="24"/>
                <w:highlight w:val="lightGray"/>
              </w:rPr>
            </w:pPr>
            <w:r w:rsidRPr="00E26EF6">
              <w:rPr>
                <w:rStyle w:val="InstructionsTabelleberschrift"/>
                <w:rFonts w:ascii="Times New Roman" w:hAnsi="Times New Roman"/>
                <w:sz w:val="24"/>
              </w:rPr>
              <w:t>1.1.2</w:t>
            </w:r>
            <w:r w:rsidRPr="00E26EF6">
              <w:rPr>
                <w:rStyle w:val="InstructionsTabelleberschrift"/>
                <w:rFonts w:ascii="Times New Roman" w:hAnsi="Times New Roman"/>
                <w:sz w:val="24"/>
              </w:rPr>
              <w:tab/>
              <w:t xml:space="preserve">Metoda wewnętrznych ratingów (IRB) </w:t>
            </w:r>
          </w:p>
        </w:tc>
      </w:tr>
      <w:tr w:rsidR="00915077" w:rsidRPr="00E26EF6" w14:paraId="2952853B" w14:textId="77777777" w:rsidTr="00672D2A">
        <w:tc>
          <w:tcPr>
            <w:tcW w:w="1591" w:type="dxa"/>
          </w:tcPr>
          <w:p w14:paraId="5F5F57EC"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241</w:t>
            </w:r>
          </w:p>
        </w:tc>
        <w:tc>
          <w:tcPr>
            <w:tcW w:w="7274" w:type="dxa"/>
          </w:tcPr>
          <w:p w14:paraId="67BCCFE0" w14:textId="1C0A06AE"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1.1.2*</w:t>
            </w:r>
            <w:r w:rsidRPr="00E26EF6">
              <w:rPr>
                <w:rStyle w:val="InstructionsTabelleberschrift"/>
                <w:rFonts w:ascii="Times New Roman" w:hAnsi="Times New Roman"/>
                <w:sz w:val="24"/>
              </w:rPr>
              <w:tab/>
              <w:t>W tym: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dodatkowych, surowszych wymogów ostrożnościowych na podstawie art.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164 CRR</w:t>
            </w:r>
          </w:p>
          <w:p w14:paraId="517FA7BB" w14:textId="61CCD016" w:rsidR="00915077" w:rsidRPr="00E26EF6" w:rsidRDefault="004852B9">
            <w:pPr>
              <w:pStyle w:val="InstructionsText"/>
              <w:rPr>
                <w:rStyle w:val="InstructionsTabelleberschrift"/>
                <w:rFonts w:ascii="Times New Roman" w:hAnsi="Times New Roman"/>
                <w:sz w:val="24"/>
                <w:highlight w:val="lightGray"/>
              </w:rPr>
            </w:pPr>
            <w:r w:rsidRPr="00E26EF6">
              <w:t>Instytucje zgłaszają dodatkowe kwoty ekspozycji na ryzyko niezbędne do osiągnięcia zgodności</w:t>
            </w:r>
            <w:r w:rsidR="00E26EF6" w:rsidRPr="00E26EF6">
              <w:t xml:space="preserve"> z sur</w:t>
            </w:r>
            <w:r w:rsidRPr="00E26EF6">
              <w:t>owszymi wymogami ostrożnościowymi podanymi do wiadomości instytucji po powiadomieniu EUNB, zgodnie</w:t>
            </w:r>
            <w:r w:rsidR="00E26EF6" w:rsidRPr="00E26EF6">
              <w:t xml:space="preserve"> z art</w:t>
            </w:r>
            <w:r w:rsidRPr="00E26EF6">
              <w:t>.</w:t>
            </w:r>
            <w:r w:rsidR="00023409" w:rsidRPr="00E26EF6">
              <w:t> </w:t>
            </w:r>
            <w:r w:rsidRPr="00E26EF6">
              <w:t>164 ust.</w:t>
            </w:r>
            <w:r w:rsidR="00023409" w:rsidRPr="00E26EF6">
              <w:t> </w:t>
            </w:r>
            <w:r w:rsidRPr="00E26EF6">
              <w:t>5</w:t>
            </w:r>
            <w:r w:rsidR="00E26EF6" w:rsidRPr="00E26EF6">
              <w:t xml:space="preserve"> i 7</w:t>
            </w:r>
            <w:r w:rsidRPr="00E26EF6">
              <w:t xml:space="preserve"> CRR.</w:t>
            </w:r>
          </w:p>
        </w:tc>
      </w:tr>
      <w:tr w:rsidR="00915077" w:rsidRPr="00E26EF6" w14:paraId="73CF030A" w14:textId="77777777" w:rsidTr="00672D2A">
        <w:tc>
          <w:tcPr>
            <w:tcW w:w="1591" w:type="dxa"/>
          </w:tcPr>
          <w:p w14:paraId="5DCDE92C"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242</w:t>
            </w:r>
          </w:p>
        </w:tc>
        <w:tc>
          <w:tcPr>
            <w:tcW w:w="7274" w:type="dxa"/>
          </w:tcPr>
          <w:p w14:paraId="3F77146D" w14:textId="52071286"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1.1.2**</w:t>
            </w:r>
            <w:r w:rsidRPr="00E26EF6">
              <w:rPr>
                <w:rStyle w:val="InstructionsTabelleberschrift"/>
                <w:rFonts w:ascii="Times New Roman" w:hAnsi="Times New Roman"/>
                <w:sz w:val="24"/>
              </w:rPr>
              <w:tab/>
              <w:t>W tym: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dodatkowych, surowszych wymogów ostrożnościowych na podstawie art.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124 CRR</w:t>
            </w:r>
          </w:p>
          <w:p w14:paraId="56577276" w14:textId="41893986" w:rsidR="00915077" w:rsidRPr="00E26EF6" w:rsidRDefault="004852B9">
            <w:pPr>
              <w:pStyle w:val="InstructionsText"/>
              <w:rPr>
                <w:rStyle w:val="InstructionsTabelleberschrift"/>
                <w:rFonts w:ascii="Times New Roman" w:hAnsi="Times New Roman"/>
                <w:sz w:val="24"/>
                <w:highlight w:val="lightGray"/>
              </w:rPr>
            </w:pPr>
            <w:r w:rsidRPr="00E26EF6">
              <w:t>Instytucje zgłaszają dodatkowe kwoty ekspozycji na ryzyko niezbędne do osiągnięcia zgodności</w:t>
            </w:r>
            <w:r w:rsidR="00E26EF6" w:rsidRPr="00E26EF6">
              <w:t xml:space="preserve"> z sur</w:t>
            </w:r>
            <w:r w:rsidRPr="00E26EF6">
              <w:t>owszymi wymogami ostrożnościowymi określonymi przez właściwe organy po przeprowadzeniu konsultacji z EUNB, zgodnie</w:t>
            </w:r>
            <w:r w:rsidR="00E26EF6" w:rsidRPr="00E26EF6">
              <w:t xml:space="preserve"> z art</w:t>
            </w:r>
            <w:r w:rsidRPr="00E26EF6">
              <w:t>.</w:t>
            </w:r>
            <w:r w:rsidR="00023409" w:rsidRPr="00E26EF6">
              <w:t> </w:t>
            </w:r>
            <w:r w:rsidRPr="00E26EF6">
              <w:t>124 ust.</w:t>
            </w:r>
            <w:r w:rsidR="00023409" w:rsidRPr="00E26EF6">
              <w:t> </w:t>
            </w:r>
            <w:r w:rsidRPr="00E26EF6">
              <w:t>2</w:t>
            </w:r>
            <w:r w:rsidR="00E26EF6" w:rsidRPr="00E26EF6">
              <w:t xml:space="preserve"> i 5</w:t>
            </w:r>
            <w:r w:rsidRPr="00E26EF6">
              <w:t xml:space="preserve"> CRR, oraz powiązanymi</w:t>
            </w:r>
            <w:r w:rsidR="00E26EF6" w:rsidRPr="00E26EF6">
              <w:t xml:space="preserve"> z lim</w:t>
            </w:r>
            <w:r w:rsidRPr="00E26EF6">
              <w:t>itami dotyczącymi uznanej wartości rynkowej zabezpieczenia, jak określono</w:t>
            </w:r>
            <w:r w:rsidR="00E26EF6" w:rsidRPr="00E26EF6">
              <w:t xml:space="preserve"> w art</w:t>
            </w:r>
            <w:r w:rsidRPr="00E26EF6">
              <w:t>.</w:t>
            </w:r>
            <w:r w:rsidR="00023409" w:rsidRPr="00E26EF6">
              <w:t> </w:t>
            </w:r>
            <w:r w:rsidRPr="00E26EF6">
              <w:t>125 ust.</w:t>
            </w:r>
            <w:r w:rsidR="00023409" w:rsidRPr="00E26EF6">
              <w:t> </w:t>
            </w:r>
            <w:r w:rsidRPr="00E26EF6">
              <w:t>2 lit.</w:t>
            </w:r>
            <w:r w:rsidR="00023409" w:rsidRPr="00E26EF6">
              <w:t> </w:t>
            </w:r>
            <w:r w:rsidRPr="00E26EF6">
              <w:t>d) oraz art.</w:t>
            </w:r>
            <w:r w:rsidR="00023409" w:rsidRPr="00E26EF6">
              <w:t> </w:t>
            </w:r>
            <w:r w:rsidRPr="00E26EF6">
              <w:t>126 ust.</w:t>
            </w:r>
            <w:r w:rsidR="00023409" w:rsidRPr="00E26EF6">
              <w:t> </w:t>
            </w:r>
            <w:r w:rsidRPr="00E26EF6">
              <w:t>2 lit.</w:t>
            </w:r>
            <w:r w:rsidR="00023409" w:rsidRPr="00E26EF6">
              <w:t> </w:t>
            </w:r>
            <w:r w:rsidRPr="00E26EF6">
              <w:t>d) CRR.</w:t>
            </w:r>
          </w:p>
        </w:tc>
      </w:tr>
      <w:tr w:rsidR="00915077" w:rsidRPr="00E26EF6" w14:paraId="3E06ADE9" w14:textId="77777777" w:rsidTr="00672D2A">
        <w:tc>
          <w:tcPr>
            <w:tcW w:w="1591" w:type="dxa"/>
          </w:tcPr>
          <w:p w14:paraId="67B47F3B"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250</w:t>
            </w:r>
          </w:p>
        </w:tc>
        <w:tc>
          <w:tcPr>
            <w:tcW w:w="7274" w:type="dxa"/>
          </w:tcPr>
          <w:p w14:paraId="1281EA28" w14:textId="2F6695FE"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1.1.2.1</w:t>
            </w:r>
            <w:r w:rsidRPr="00E26EF6">
              <w:rPr>
                <w:rStyle w:val="InstructionsTabelleberschrift"/>
                <w:rFonts w:ascii="Times New Roman" w:hAnsi="Times New Roman"/>
                <w:sz w:val="24"/>
              </w:rPr>
              <w:tab/>
              <w:t>Metody IRB</w:t>
            </w:r>
            <w:r w:rsidR="00E26EF6" w:rsidRPr="00E26EF6">
              <w:rPr>
                <w:rStyle w:val="InstructionsTabelleberschrift"/>
                <w:rFonts w:ascii="Times New Roman" w:hAnsi="Times New Roman"/>
                <w:sz w:val="24"/>
              </w:rPr>
              <w:t xml:space="preserve"> w prz</w:t>
            </w:r>
            <w:r w:rsidRPr="00E26EF6">
              <w:rPr>
                <w:rStyle w:val="InstructionsTabelleberschrift"/>
                <w:rFonts w:ascii="Times New Roman" w:hAnsi="Times New Roman"/>
                <w:sz w:val="24"/>
              </w:rPr>
              <w:t>ypadku gdy nie są stosowane własne oszacowania LGD ani współczynniki konwersji</w:t>
            </w:r>
          </w:p>
          <w:p w14:paraId="1D00AD57" w14:textId="6B8F8D45"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Wzór CR IRB na poziomie ekspozycji całkowitych (jeżeli nie są stosowane własne oszacowania LGD ani współczynniki konwersji)</w:t>
            </w:r>
          </w:p>
        </w:tc>
      </w:tr>
      <w:tr w:rsidR="00915077" w:rsidRPr="00E26EF6" w14:paraId="6B02D02E" w14:textId="77777777" w:rsidTr="00672D2A">
        <w:tc>
          <w:tcPr>
            <w:tcW w:w="1591" w:type="dxa"/>
          </w:tcPr>
          <w:p w14:paraId="214A8C2D"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260</w:t>
            </w:r>
          </w:p>
        </w:tc>
        <w:tc>
          <w:tcPr>
            <w:tcW w:w="7274" w:type="dxa"/>
          </w:tcPr>
          <w:p w14:paraId="43F06D98" w14:textId="14392328"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1.1.2.1.01</w:t>
            </w:r>
            <w:r w:rsidRPr="00E26EF6">
              <w:rPr>
                <w:rStyle w:val="InstructionsTabelleberschrift"/>
                <w:rFonts w:ascii="Times New Roman" w:hAnsi="Times New Roman"/>
                <w:sz w:val="24"/>
              </w:rPr>
              <w:tab/>
              <w:t>Ekspozycje wobec rządów centralnych</w:t>
            </w:r>
            <w:r w:rsidR="00E26EF6" w:rsidRPr="00E26EF6">
              <w:rPr>
                <w:rStyle w:val="InstructionsTabelleberschrift"/>
                <w:rFonts w:ascii="Times New Roman" w:hAnsi="Times New Roman"/>
                <w:sz w:val="24"/>
              </w:rPr>
              <w:t xml:space="preserve"> i ban</w:t>
            </w:r>
            <w:r w:rsidRPr="00E26EF6">
              <w:rPr>
                <w:rStyle w:val="InstructionsTabelleberschrift"/>
                <w:rFonts w:ascii="Times New Roman" w:hAnsi="Times New Roman"/>
                <w:sz w:val="24"/>
              </w:rPr>
              <w:t>ków centralnych</w:t>
            </w:r>
          </w:p>
          <w:p w14:paraId="79A9327D"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6C160D6F" w14:textId="77777777" w:rsidTr="00672D2A">
        <w:tc>
          <w:tcPr>
            <w:tcW w:w="1591" w:type="dxa"/>
          </w:tcPr>
          <w:p w14:paraId="65F96EC4"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270</w:t>
            </w:r>
          </w:p>
        </w:tc>
        <w:tc>
          <w:tcPr>
            <w:tcW w:w="7274" w:type="dxa"/>
          </w:tcPr>
          <w:p w14:paraId="2D1B515C"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1.1.2.1.02</w:t>
            </w:r>
            <w:r w:rsidRPr="00E26EF6">
              <w:rPr>
                <w:rStyle w:val="InstructionsTabelleberschrift"/>
                <w:rFonts w:ascii="Times New Roman" w:hAnsi="Times New Roman"/>
                <w:sz w:val="24"/>
              </w:rPr>
              <w:tab/>
              <w:t>Ekspozycje wobec instytucji</w:t>
            </w:r>
          </w:p>
          <w:p w14:paraId="0C0D0F71"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6E172AD7" w14:textId="77777777" w:rsidTr="00672D2A">
        <w:tc>
          <w:tcPr>
            <w:tcW w:w="1591" w:type="dxa"/>
          </w:tcPr>
          <w:p w14:paraId="250E3BAF"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280</w:t>
            </w:r>
          </w:p>
        </w:tc>
        <w:tc>
          <w:tcPr>
            <w:tcW w:w="7274" w:type="dxa"/>
          </w:tcPr>
          <w:p w14:paraId="2E1472D4"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1.1.2.1.03</w:t>
            </w:r>
            <w:r w:rsidRPr="00E26EF6">
              <w:rPr>
                <w:rStyle w:val="InstructionsTabelleberschrift"/>
                <w:rFonts w:ascii="Times New Roman" w:hAnsi="Times New Roman"/>
                <w:sz w:val="24"/>
              </w:rPr>
              <w:tab/>
              <w:t>Ekspozycje wobec przedsiębiorstw – MŚP</w:t>
            </w:r>
          </w:p>
          <w:p w14:paraId="61860914"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0DFFC479" w14:textId="77777777" w:rsidTr="00672D2A">
        <w:tc>
          <w:tcPr>
            <w:tcW w:w="1591" w:type="dxa"/>
          </w:tcPr>
          <w:p w14:paraId="09D36D80"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290</w:t>
            </w:r>
          </w:p>
        </w:tc>
        <w:tc>
          <w:tcPr>
            <w:tcW w:w="7274" w:type="dxa"/>
          </w:tcPr>
          <w:p w14:paraId="0F1C707D"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1.1.2.1.04</w:t>
            </w:r>
            <w:r w:rsidRPr="00E26EF6">
              <w:rPr>
                <w:rStyle w:val="InstructionsTabelleberschrift"/>
                <w:rFonts w:ascii="Times New Roman" w:hAnsi="Times New Roman"/>
                <w:sz w:val="24"/>
              </w:rPr>
              <w:tab/>
              <w:t>Ekspozycje wobec przedsiębiorstw – kredytowanie specjalistyczne</w:t>
            </w:r>
          </w:p>
          <w:p w14:paraId="51142C99"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 xml:space="preserve">Zob. wzór CR IRB </w:t>
            </w:r>
          </w:p>
        </w:tc>
      </w:tr>
      <w:tr w:rsidR="00915077" w:rsidRPr="00E26EF6" w14:paraId="160F150A" w14:textId="77777777" w:rsidTr="00672D2A">
        <w:tc>
          <w:tcPr>
            <w:tcW w:w="1591" w:type="dxa"/>
          </w:tcPr>
          <w:p w14:paraId="28211619"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300</w:t>
            </w:r>
          </w:p>
        </w:tc>
        <w:tc>
          <w:tcPr>
            <w:tcW w:w="7274" w:type="dxa"/>
          </w:tcPr>
          <w:p w14:paraId="18598325"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1.1.2.1.05</w:t>
            </w:r>
            <w:r w:rsidRPr="00E26EF6">
              <w:rPr>
                <w:rStyle w:val="InstructionsTabelleberschrift"/>
                <w:rFonts w:ascii="Times New Roman" w:hAnsi="Times New Roman"/>
                <w:sz w:val="24"/>
              </w:rPr>
              <w:tab/>
              <w:t>Ekspozycje wobec przedsiębiorstw – inne</w:t>
            </w:r>
          </w:p>
          <w:p w14:paraId="3D08CF8C"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62685C84" w14:textId="77777777" w:rsidTr="00672D2A">
        <w:tc>
          <w:tcPr>
            <w:tcW w:w="1591" w:type="dxa"/>
          </w:tcPr>
          <w:p w14:paraId="5BA6D8AE"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310</w:t>
            </w:r>
          </w:p>
        </w:tc>
        <w:tc>
          <w:tcPr>
            <w:tcW w:w="7274" w:type="dxa"/>
          </w:tcPr>
          <w:p w14:paraId="2AD35FF5" w14:textId="3D808671"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w:t>
            </w:r>
            <w:r w:rsidRPr="00E26EF6">
              <w:rPr>
                <w:rStyle w:val="InstructionsTabelleberschrift"/>
                <w:rFonts w:ascii="Times New Roman" w:hAnsi="Times New Roman"/>
                <w:sz w:val="24"/>
              </w:rPr>
              <w:tab/>
              <w:t>Metody IRB</w:t>
            </w:r>
            <w:r w:rsidR="00E26EF6" w:rsidRPr="00E26EF6">
              <w:rPr>
                <w:rStyle w:val="InstructionsTabelleberschrift"/>
                <w:rFonts w:ascii="Times New Roman" w:hAnsi="Times New Roman"/>
                <w:sz w:val="24"/>
              </w:rPr>
              <w:t xml:space="preserve"> w prz</w:t>
            </w:r>
            <w:r w:rsidRPr="00E26EF6">
              <w:rPr>
                <w:rStyle w:val="InstructionsTabelleberschrift"/>
                <w:rFonts w:ascii="Times New Roman" w:hAnsi="Times New Roman"/>
                <w:sz w:val="24"/>
              </w:rPr>
              <w:t>ypadku gdy stosowane są własne oszacowania LGD lub współczynniki konwersji</w:t>
            </w:r>
          </w:p>
          <w:p w14:paraId="0A14FE31"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Wzór CR IRB na poziomie ekspozycji całkowitych (jeżeli stosowane są własne oszacowania LGD lub współczynniki konwersji)</w:t>
            </w:r>
          </w:p>
        </w:tc>
      </w:tr>
      <w:tr w:rsidR="00915077" w:rsidRPr="00E26EF6" w14:paraId="46D06C03" w14:textId="77777777" w:rsidTr="00672D2A">
        <w:tc>
          <w:tcPr>
            <w:tcW w:w="1591" w:type="dxa"/>
          </w:tcPr>
          <w:p w14:paraId="58B20F11"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320</w:t>
            </w:r>
          </w:p>
        </w:tc>
        <w:tc>
          <w:tcPr>
            <w:tcW w:w="7274" w:type="dxa"/>
          </w:tcPr>
          <w:p w14:paraId="41F8D438" w14:textId="2F9E476C"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1.1.2.2.01</w:t>
            </w:r>
            <w:r w:rsidRPr="00E26EF6">
              <w:rPr>
                <w:rStyle w:val="InstructionsTabelleberschrift"/>
                <w:rFonts w:ascii="Times New Roman" w:hAnsi="Times New Roman"/>
                <w:sz w:val="24"/>
              </w:rPr>
              <w:tab/>
              <w:t>Ekspozycje wobec rządów centralnych</w:t>
            </w:r>
            <w:r w:rsidR="00E26EF6" w:rsidRPr="00E26EF6">
              <w:rPr>
                <w:rStyle w:val="InstructionsTabelleberschrift"/>
                <w:rFonts w:ascii="Times New Roman" w:hAnsi="Times New Roman"/>
                <w:sz w:val="24"/>
              </w:rPr>
              <w:t xml:space="preserve"> i ban</w:t>
            </w:r>
            <w:r w:rsidRPr="00E26EF6">
              <w:rPr>
                <w:rStyle w:val="InstructionsTabelleberschrift"/>
                <w:rFonts w:ascii="Times New Roman" w:hAnsi="Times New Roman"/>
                <w:sz w:val="24"/>
              </w:rPr>
              <w:t>ków centralnych</w:t>
            </w:r>
          </w:p>
          <w:p w14:paraId="01F24868"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35C86C43" w14:textId="77777777" w:rsidTr="00672D2A">
        <w:tc>
          <w:tcPr>
            <w:tcW w:w="1591" w:type="dxa"/>
          </w:tcPr>
          <w:p w14:paraId="44CC8BB4"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330</w:t>
            </w:r>
          </w:p>
        </w:tc>
        <w:tc>
          <w:tcPr>
            <w:tcW w:w="7274" w:type="dxa"/>
          </w:tcPr>
          <w:p w14:paraId="76185659"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1.1.2.2.02</w:t>
            </w:r>
            <w:r w:rsidRPr="00E26EF6">
              <w:rPr>
                <w:rStyle w:val="InstructionsTabelleberschrift"/>
                <w:rFonts w:ascii="Times New Roman" w:hAnsi="Times New Roman"/>
                <w:sz w:val="24"/>
              </w:rPr>
              <w:tab/>
              <w:t>Ekspozycje wobec instytucji</w:t>
            </w:r>
          </w:p>
          <w:p w14:paraId="1EB58BFF"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 xml:space="preserve">Zob. wzór CR IRB </w:t>
            </w:r>
          </w:p>
        </w:tc>
      </w:tr>
      <w:tr w:rsidR="00915077" w:rsidRPr="00E26EF6" w14:paraId="2BC01FDF" w14:textId="77777777" w:rsidTr="00672D2A">
        <w:tc>
          <w:tcPr>
            <w:tcW w:w="1591" w:type="dxa"/>
          </w:tcPr>
          <w:p w14:paraId="64EE09C6"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340</w:t>
            </w:r>
          </w:p>
        </w:tc>
        <w:tc>
          <w:tcPr>
            <w:tcW w:w="7274" w:type="dxa"/>
          </w:tcPr>
          <w:p w14:paraId="1AF9DD0E"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1.1.2.2.03</w:t>
            </w:r>
            <w:r w:rsidRPr="00E26EF6">
              <w:rPr>
                <w:rStyle w:val="InstructionsTabelleberschrift"/>
                <w:rFonts w:ascii="Times New Roman" w:hAnsi="Times New Roman"/>
                <w:sz w:val="24"/>
              </w:rPr>
              <w:tab/>
              <w:t>Ekspozycje wobec przedsiębiorstw – MŚP</w:t>
            </w:r>
          </w:p>
          <w:p w14:paraId="7EA219AE"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6A645B5F" w14:textId="77777777" w:rsidTr="00672D2A">
        <w:tc>
          <w:tcPr>
            <w:tcW w:w="1591" w:type="dxa"/>
          </w:tcPr>
          <w:p w14:paraId="04938B00"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350</w:t>
            </w:r>
          </w:p>
        </w:tc>
        <w:tc>
          <w:tcPr>
            <w:tcW w:w="7274" w:type="dxa"/>
          </w:tcPr>
          <w:p w14:paraId="2B484270"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1.1.2.2.04</w:t>
            </w:r>
            <w:r w:rsidRPr="00E26EF6">
              <w:rPr>
                <w:rStyle w:val="InstructionsTabelleberschrift"/>
                <w:rFonts w:ascii="Times New Roman" w:hAnsi="Times New Roman"/>
                <w:sz w:val="24"/>
              </w:rPr>
              <w:tab/>
              <w:t>Ekspozycje wobec przedsiębiorstw – kredytowanie specjalistyczne</w:t>
            </w:r>
          </w:p>
          <w:p w14:paraId="0E298873"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6888F70F" w14:textId="77777777" w:rsidTr="00672D2A">
        <w:tc>
          <w:tcPr>
            <w:tcW w:w="1591" w:type="dxa"/>
          </w:tcPr>
          <w:p w14:paraId="2712432D"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360</w:t>
            </w:r>
          </w:p>
        </w:tc>
        <w:tc>
          <w:tcPr>
            <w:tcW w:w="7274" w:type="dxa"/>
          </w:tcPr>
          <w:p w14:paraId="02A7CBE6"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1.1.2.2.05</w:t>
            </w:r>
            <w:r w:rsidRPr="00E26EF6">
              <w:rPr>
                <w:rStyle w:val="InstructionsTabelleberschrift"/>
                <w:rFonts w:ascii="Times New Roman" w:hAnsi="Times New Roman"/>
                <w:sz w:val="24"/>
              </w:rPr>
              <w:tab/>
              <w:t>Ekspozycje wobec przedsiębiorstw – inne</w:t>
            </w:r>
          </w:p>
          <w:p w14:paraId="7A45F305"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692359A2" w14:textId="77777777" w:rsidTr="00672D2A">
        <w:tc>
          <w:tcPr>
            <w:tcW w:w="1591" w:type="dxa"/>
          </w:tcPr>
          <w:p w14:paraId="697AEF1C"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370</w:t>
            </w:r>
          </w:p>
        </w:tc>
        <w:tc>
          <w:tcPr>
            <w:tcW w:w="7274" w:type="dxa"/>
          </w:tcPr>
          <w:p w14:paraId="2C33FE42"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1.1.2.2.06</w:t>
            </w:r>
            <w:r w:rsidRPr="00E26EF6">
              <w:rPr>
                <w:rStyle w:val="InstructionsTabelleberschrift"/>
                <w:rFonts w:ascii="Times New Roman" w:hAnsi="Times New Roman"/>
                <w:sz w:val="24"/>
              </w:rPr>
              <w:tab/>
              <w:t>Ekspozycje detaliczne – wobec MŚP zabezpieczone nieruchomością</w:t>
            </w:r>
          </w:p>
          <w:p w14:paraId="61ADF1D5"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5F723FF2" w14:textId="77777777" w:rsidTr="00672D2A">
        <w:tc>
          <w:tcPr>
            <w:tcW w:w="1591" w:type="dxa"/>
          </w:tcPr>
          <w:p w14:paraId="0C329337"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380</w:t>
            </w:r>
          </w:p>
        </w:tc>
        <w:tc>
          <w:tcPr>
            <w:tcW w:w="7274" w:type="dxa"/>
          </w:tcPr>
          <w:p w14:paraId="0B466606"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1.1.2.2.07</w:t>
            </w:r>
            <w:r w:rsidRPr="00E26EF6">
              <w:rPr>
                <w:rStyle w:val="InstructionsTabelleberschrift"/>
                <w:rFonts w:ascii="Times New Roman" w:hAnsi="Times New Roman"/>
                <w:sz w:val="24"/>
              </w:rPr>
              <w:tab/>
              <w:t>Ekspozycje detaliczne – wobec przedsiębiorstw niebędących MŚP zabezpieczone nieruchomością</w:t>
            </w:r>
          </w:p>
          <w:p w14:paraId="26C49AC5"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240597A1" w14:textId="77777777" w:rsidTr="00672D2A">
        <w:tc>
          <w:tcPr>
            <w:tcW w:w="1591" w:type="dxa"/>
          </w:tcPr>
          <w:p w14:paraId="3D0C1296"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390</w:t>
            </w:r>
          </w:p>
        </w:tc>
        <w:tc>
          <w:tcPr>
            <w:tcW w:w="7274" w:type="dxa"/>
          </w:tcPr>
          <w:p w14:paraId="1331DF02"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1.1.2.2.08</w:t>
            </w:r>
            <w:r w:rsidRPr="00E26EF6">
              <w:rPr>
                <w:rStyle w:val="InstructionsTabelleberschrift"/>
                <w:rFonts w:ascii="Times New Roman" w:hAnsi="Times New Roman"/>
                <w:sz w:val="24"/>
              </w:rPr>
              <w:tab/>
              <w:t>Kwalifikowane odnawialne ekspozycje detaliczne</w:t>
            </w:r>
          </w:p>
          <w:p w14:paraId="7B451362"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28D33058" w14:textId="77777777" w:rsidTr="00672D2A">
        <w:tc>
          <w:tcPr>
            <w:tcW w:w="1591" w:type="dxa"/>
          </w:tcPr>
          <w:p w14:paraId="0596CD3D"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400</w:t>
            </w:r>
          </w:p>
        </w:tc>
        <w:tc>
          <w:tcPr>
            <w:tcW w:w="7274" w:type="dxa"/>
          </w:tcPr>
          <w:p w14:paraId="054C5729"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1.1.2.2.09</w:t>
            </w:r>
            <w:r w:rsidRPr="00E26EF6">
              <w:rPr>
                <w:rStyle w:val="InstructionsTabelleberschrift"/>
                <w:rFonts w:ascii="Times New Roman" w:hAnsi="Times New Roman"/>
                <w:sz w:val="24"/>
              </w:rPr>
              <w:tab/>
              <w:t>Ekspozycje detaliczne – inne ekspozycje wobec MŚP</w:t>
            </w:r>
          </w:p>
          <w:p w14:paraId="5CB863A2"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4E87A59A" w14:textId="77777777" w:rsidTr="00672D2A">
        <w:tc>
          <w:tcPr>
            <w:tcW w:w="1591" w:type="dxa"/>
          </w:tcPr>
          <w:p w14:paraId="48F2686D"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410</w:t>
            </w:r>
          </w:p>
        </w:tc>
        <w:tc>
          <w:tcPr>
            <w:tcW w:w="7274" w:type="dxa"/>
          </w:tcPr>
          <w:p w14:paraId="169CE9E1"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1.1.2.2.10</w:t>
            </w:r>
            <w:r w:rsidRPr="00E26EF6">
              <w:rPr>
                <w:rStyle w:val="InstructionsTabelleberschrift"/>
                <w:rFonts w:ascii="Times New Roman" w:hAnsi="Times New Roman"/>
                <w:sz w:val="24"/>
              </w:rPr>
              <w:tab/>
              <w:t>Ekspozycje detaliczne – inne ekspozycje wobec przedsiębiorstw niebędących MŚP</w:t>
            </w:r>
          </w:p>
          <w:p w14:paraId="1CC50CC5"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IRB</w:t>
            </w:r>
          </w:p>
        </w:tc>
      </w:tr>
      <w:tr w:rsidR="00915077" w:rsidRPr="00E26EF6" w14:paraId="31B6563A" w14:textId="77777777" w:rsidTr="00672D2A">
        <w:tc>
          <w:tcPr>
            <w:tcW w:w="1591" w:type="dxa"/>
          </w:tcPr>
          <w:p w14:paraId="44E8DC16"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420</w:t>
            </w:r>
          </w:p>
        </w:tc>
        <w:tc>
          <w:tcPr>
            <w:tcW w:w="7274" w:type="dxa"/>
          </w:tcPr>
          <w:p w14:paraId="34501B59"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1.1.2.3</w:t>
            </w:r>
            <w:r w:rsidRPr="00E26EF6">
              <w:rPr>
                <w:rStyle w:val="InstructionsTabelleberschrift"/>
                <w:rFonts w:ascii="Times New Roman" w:hAnsi="Times New Roman"/>
                <w:sz w:val="24"/>
              </w:rPr>
              <w:tab/>
              <w:t>Ekspozycje kapitałowe według metody IRB</w:t>
            </w:r>
          </w:p>
          <w:p w14:paraId="0035F9A1"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EQU IRB</w:t>
            </w:r>
          </w:p>
        </w:tc>
      </w:tr>
      <w:tr w:rsidR="00915077" w:rsidRPr="00E26EF6" w14:paraId="19E594BF" w14:textId="77777777" w:rsidTr="00672D2A">
        <w:tc>
          <w:tcPr>
            <w:tcW w:w="1591" w:type="dxa"/>
          </w:tcPr>
          <w:p w14:paraId="3B16C684"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450</w:t>
            </w:r>
          </w:p>
        </w:tc>
        <w:tc>
          <w:tcPr>
            <w:tcW w:w="7274" w:type="dxa"/>
          </w:tcPr>
          <w:p w14:paraId="73CA76D7"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1.1.2.5</w:t>
            </w:r>
            <w:r w:rsidRPr="00E26EF6">
              <w:rPr>
                <w:rStyle w:val="InstructionsTabelleberschrift"/>
                <w:rFonts w:ascii="Times New Roman" w:hAnsi="Times New Roman"/>
                <w:sz w:val="24"/>
              </w:rPr>
              <w:tab/>
              <w:t>Inne aktywa niegenerujące zobowiązania kredytowego</w:t>
            </w:r>
          </w:p>
          <w:p w14:paraId="393DFB7C" w14:textId="6147D9F8"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Kwota, którą należy zgłosić, jest kwotą ekspozycji ważonych ryzykiem obliczoną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156 CRR. </w:t>
            </w:r>
          </w:p>
        </w:tc>
      </w:tr>
      <w:tr w:rsidR="00915077" w:rsidRPr="00E26EF6" w14:paraId="7489E700" w14:textId="77777777" w:rsidTr="00672D2A">
        <w:tc>
          <w:tcPr>
            <w:tcW w:w="1591" w:type="dxa"/>
          </w:tcPr>
          <w:p w14:paraId="17882EEB"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460</w:t>
            </w:r>
          </w:p>
        </w:tc>
        <w:tc>
          <w:tcPr>
            <w:tcW w:w="7274" w:type="dxa"/>
          </w:tcPr>
          <w:p w14:paraId="5E7CA471" w14:textId="5E4836C8"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1.1.3</w:t>
            </w:r>
            <w:r w:rsidRPr="00E26EF6">
              <w:rPr>
                <w:rStyle w:val="InstructionsTabelleberschrift"/>
                <w:rFonts w:ascii="Times New Roman" w:hAnsi="Times New Roman"/>
                <w:sz w:val="24"/>
              </w:rPr>
              <w:tab/>
              <w:t>Kwota ekspozycji na ryzyko</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wkładu do funduszu kontrahenta centralnego na wypadek niewykonania zobowiązania</w:t>
            </w:r>
          </w:p>
          <w:p w14:paraId="6EBD704B" w14:textId="78D68F6A"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307, 308</w:t>
            </w:r>
            <w:r w:rsidR="00E26EF6" w:rsidRPr="00E26EF6">
              <w:rPr>
                <w:rStyle w:val="FormatvorlageInstructionsTabelleText"/>
                <w:rFonts w:ascii="Times New Roman" w:hAnsi="Times New Roman"/>
                <w:sz w:val="24"/>
              </w:rPr>
              <w:t xml:space="preserve"> i 3</w:t>
            </w:r>
            <w:r w:rsidRPr="00E26EF6">
              <w:rPr>
                <w:rStyle w:val="FormatvorlageInstructionsTabelleText"/>
                <w:rFonts w:ascii="Times New Roman" w:hAnsi="Times New Roman"/>
                <w:sz w:val="24"/>
              </w:rPr>
              <w:t>09 CRR</w:t>
            </w:r>
          </w:p>
        </w:tc>
      </w:tr>
      <w:tr w:rsidR="00915077" w:rsidRPr="00E26EF6" w14:paraId="2AE2CEF2" w14:textId="77777777" w:rsidTr="00672D2A">
        <w:tc>
          <w:tcPr>
            <w:tcW w:w="1591" w:type="dxa"/>
          </w:tcPr>
          <w:p w14:paraId="696FF1A5"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470</w:t>
            </w:r>
          </w:p>
        </w:tc>
        <w:tc>
          <w:tcPr>
            <w:tcW w:w="7274" w:type="dxa"/>
          </w:tcPr>
          <w:p w14:paraId="06963085" w14:textId="69288C17" w:rsidR="00915077" w:rsidRPr="00E26EF6" w:rsidRDefault="00802958" w:rsidP="00023409">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1.1.4</w:t>
            </w:r>
            <w:r w:rsidR="00023409" w:rsidRPr="00E26EF6">
              <w:rPr>
                <w:rStyle w:val="InstructionsTabelleberschrift"/>
                <w:rFonts w:ascii="Times New Roman" w:hAnsi="Times New Roman"/>
                <w:sz w:val="24"/>
              </w:rPr>
              <w:tab/>
            </w:r>
            <w:r w:rsidRPr="00E26EF6">
              <w:rPr>
                <w:rStyle w:val="InstructionsTabelleberschrift"/>
                <w:rFonts w:ascii="Times New Roman" w:hAnsi="Times New Roman"/>
                <w:sz w:val="24"/>
              </w:rPr>
              <w:t>Pozycje sekurytyzacyjne</w:t>
            </w:r>
          </w:p>
          <w:p w14:paraId="4AD00F2B" w14:textId="77777777" w:rsidR="00915077" w:rsidRPr="00E26EF6" w:rsidRDefault="00802958">
            <w:pPr>
              <w:pStyle w:val="InstructionsText"/>
              <w:rPr>
                <w:rStyle w:val="InstructionsTabelleberschrift"/>
                <w:rFonts w:ascii="Times New Roman" w:hAnsi="Times New Roman"/>
                <w:sz w:val="24"/>
                <w:highlight w:val="lightGray"/>
              </w:rPr>
            </w:pPr>
            <w:r w:rsidRPr="00E26EF6">
              <w:rPr>
                <w:rStyle w:val="FormatvorlageInstructionsTabelleText"/>
                <w:rFonts w:ascii="Times New Roman" w:hAnsi="Times New Roman"/>
                <w:sz w:val="24"/>
              </w:rPr>
              <w:t>Zob. wzór CR SEC</w:t>
            </w:r>
          </w:p>
        </w:tc>
      </w:tr>
      <w:tr w:rsidR="00915077" w:rsidRPr="00E26EF6" w14:paraId="2A0C5C37" w14:textId="77777777" w:rsidTr="00672D2A">
        <w:tc>
          <w:tcPr>
            <w:tcW w:w="1591" w:type="dxa"/>
          </w:tcPr>
          <w:p w14:paraId="5A29EA16"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490</w:t>
            </w:r>
          </w:p>
        </w:tc>
        <w:tc>
          <w:tcPr>
            <w:tcW w:w="7274" w:type="dxa"/>
          </w:tcPr>
          <w:p w14:paraId="15063579" w14:textId="77777777" w:rsidR="00915077" w:rsidRPr="00E26EF6" w:rsidRDefault="00802958">
            <w:pPr>
              <w:pStyle w:val="InstructionsText"/>
              <w:rPr>
                <w:rStyle w:val="InstructionsTabelleberschrift"/>
                <w:rFonts w:ascii="Times New Roman" w:hAnsi="Times New Roman"/>
                <w:strike/>
                <w:sz w:val="24"/>
              </w:rPr>
            </w:pPr>
            <w:r w:rsidRPr="00E26EF6">
              <w:rPr>
                <w:rStyle w:val="InstructionsTabelleberschrift"/>
                <w:rFonts w:ascii="Times New Roman" w:hAnsi="Times New Roman"/>
                <w:sz w:val="24"/>
              </w:rPr>
              <w:t>1.2</w:t>
            </w:r>
            <w:r w:rsidRPr="00E26EF6">
              <w:rPr>
                <w:rStyle w:val="InstructionsTabelleberschrift"/>
                <w:rFonts w:ascii="Times New Roman" w:hAnsi="Times New Roman"/>
                <w:sz w:val="24"/>
              </w:rPr>
              <w:tab/>
              <w:t>ŁĄCZNA KWOTA EKSPOZYCJI NA RYZYKO ROZLICZENIA/DOSTAWY</w:t>
            </w:r>
          </w:p>
          <w:p w14:paraId="2A3E1084" w14:textId="3AA3865C" w:rsidR="00915077" w:rsidRPr="00E26EF6" w:rsidRDefault="006A6822">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Art. 92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ppkt (ii)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tc>
      </w:tr>
      <w:tr w:rsidR="00915077" w:rsidRPr="00E26EF6" w14:paraId="28339829" w14:textId="77777777" w:rsidTr="00672D2A">
        <w:tc>
          <w:tcPr>
            <w:tcW w:w="1591" w:type="dxa"/>
          </w:tcPr>
          <w:p w14:paraId="373A6FAA"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500</w:t>
            </w:r>
          </w:p>
        </w:tc>
        <w:tc>
          <w:tcPr>
            <w:tcW w:w="7274" w:type="dxa"/>
          </w:tcPr>
          <w:p w14:paraId="57DAA3C0" w14:textId="277BCE2B"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1.2.1</w:t>
            </w:r>
            <w:r w:rsidRPr="00E26EF6">
              <w:rPr>
                <w:rStyle w:val="InstructionsTabelleberschrift"/>
                <w:rFonts w:ascii="Times New Roman" w:hAnsi="Times New Roman"/>
                <w:sz w:val="24"/>
              </w:rPr>
              <w:tab/>
              <w:t>Ryzyko rozliczenia/dostawy</w:t>
            </w:r>
            <w:r w:rsidR="00E26EF6" w:rsidRPr="00E26EF6">
              <w:rPr>
                <w:rStyle w:val="InstructionsTabelleberschrift"/>
                <w:rFonts w:ascii="Times New Roman" w:hAnsi="Times New Roman"/>
                <w:sz w:val="24"/>
              </w:rPr>
              <w:t xml:space="preserve"> w por</w:t>
            </w:r>
            <w:r w:rsidRPr="00E26EF6">
              <w:rPr>
                <w:rStyle w:val="InstructionsTabelleberschrift"/>
                <w:rFonts w:ascii="Times New Roman" w:hAnsi="Times New Roman"/>
                <w:sz w:val="24"/>
              </w:rPr>
              <w:t>tfelu bankowym</w:t>
            </w:r>
          </w:p>
          <w:p w14:paraId="79C8D22A"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SETT</w:t>
            </w:r>
          </w:p>
        </w:tc>
      </w:tr>
      <w:tr w:rsidR="00915077" w:rsidRPr="00E26EF6" w14:paraId="1F3E6786" w14:textId="77777777" w:rsidTr="00672D2A">
        <w:tc>
          <w:tcPr>
            <w:tcW w:w="1591" w:type="dxa"/>
          </w:tcPr>
          <w:p w14:paraId="5E611CF5"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510</w:t>
            </w:r>
          </w:p>
        </w:tc>
        <w:tc>
          <w:tcPr>
            <w:tcW w:w="7274" w:type="dxa"/>
          </w:tcPr>
          <w:p w14:paraId="4EA0C875" w14:textId="27A9951A"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1.2.2</w:t>
            </w:r>
            <w:r w:rsidRPr="00E26EF6">
              <w:rPr>
                <w:rStyle w:val="InstructionsTabelleberschrift"/>
                <w:rFonts w:ascii="Times New Roman" w:hAnsi="Times New Roman"/>
                <w:sz w:val="24"/>
              </w:rPr>
              <w:tab/>
              <w:t>Ryzyko rozliczenia/dostawy</w:t>
            </w:r>
            <w:r w:rsidR="00E26EF6" w:rsidRPr="00E26EF6">
              <w:rPr>
                <w:rStyle w:val="InstructionsTabelleberschrift"/>
                <w:rFonts w:ascii="Times New Roman" w:hAnsi="Times New Roman"/>
                <w:sz w:val="24"/>
              </w:rPr>
              <w:t xml:space="preserve"> w por</w:t>
            </w:r>
            <w:r w:rsidRPr="00E26EF6">
              <w:rPr>
                <w:rStyle w:val="InstructionsTabelleberschrift"/>
                <w:rFonts w:ascii="Times New Roman" w:hAnsi="Times New Roman"/>
                <w:sz w:val="24"/>
              </w:rPr>
              <w:t>tfelu handlowym</w:t>
            </w:r>
          </w:p>
          <w:p w14:paraId="09370819"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CR SETT</w:t>
            </w:r>
          </w:p>
        </w:tc>
      </w:tr>
      <w:tr w:rsidR="00915077" w:rsidRPr="00E26EF6" w14:paraId="34BD5148" w14:textId="77777777" w:rsidTr="00672D2A">
        <w:tc>
          <w:tcPr>
            <w:tcW w:w="1591" w:type="dxa"/>
          </w:tcPr>
          <w:p w14:paraId="38163B40"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520</w:t>
            </w:r>
          </w:p>
        </w:tc>
        <w:tc>
          <w:tcPr>
            <w:tcW w:w="7274" w:type="dxa"/>
          </w:tcPr>
          <w:p w14:paraId="47EBC93C"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1.3</w:t>
            </w:r>
            <w:r w:rsidRPr="00E26EF6">
              <w:rPr>
                <w:rStyle w:val="InstructionsTabelleberschrift"/>
                <w:rFonts w:ascii="Times New Roman" w:hAnsi="Times New Roman"/>
                <w:sz w:val="24"/>
              </w:rPr>
              <w:tab/>
              <w:t xml:space="preserve">ŁĄCZNA KWOTA EKSPOZYCJI NA RYZYKO Z TYTUŁU RYZYKA POZYCJI, RYZYKA WALUTOWEGO I RYZYKA CEN TOWARÓW </w:t>
            </w:r>
          </w:p>
          <w:p w14:paraId="3B93EB79" w14:textId="1E7C0332" w:rsidR="00915077" w:rsidRPr="00E26EF6" w:rsidRDefault="006A6822">
            <w:pPr>
              <w:pStyle w:val="InstructionsText"/>
              <w:rPr>
                <w:rStyle w:val="FormatvorlageInstructionsTabelleText"/>
                <w:rFonts w:ascii="Times New Roman" w:hAnsi="Times New Roman"/>
                <w:bCs w:val="0"/>
                <w:sz w:val="24"/>
                <w:highlight w:val="lightGray"/>
              </w:rPr>
            </w:pPr>
            <w:r w:rsidRPr="00E26EF6">
              <w:rPr>
                <w:rStyle w:val="FormatvorlageInstructionsTabelleText"/>
                <w:rFonts w:ascii="Times New Roman" w:hAnsi="Times New Roman"/>
                <w:sz w:val="24"/>
              </w:rPr>
              <w:t>Art. 92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ppkt (i) oraz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ppkt (i) i (iii)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tc>
      </w:tr>
      <w:tr w:rsidR="00915077" w:rsidRPr="00E26EF6" w14:paraId="101797D6" w14:textId="77777777" w:rsidTr="00672D2A">
        <w:tc>
          <w:tcPr>
            <w:tcW w:w="1591" w:type="dxa"/>
          </w:tcPr>
          <w:p w14:paraId="5DE40634"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530</w:t>
            </w:r>
          </w:p>
        </w:tc>
        <w:tc>
          <w:tcPr>
            <w:tcW w:w="7274" w:type="dxa"/>
          </w:tcPr>
          <w:p w14:paraId="0FCEEAEF" w14:textId="2234D911" w:rsidR="00915077" w:rsidRPr="00E26EF6" w:rsidRDefault="00802958">
            <w:pPr>
              <w:pStyle w:val="InstructionsText"/>
              <w:rPr>
                <w:rStyle w:val="FormatvorlageInstructionsTabelleText"/>
                <w:rFonts w:ascii="Times New Roman" w:hAnsi="Times New Roman"/>
                <w:b/>
                <w:sz w:val="24"/>
                <w:highlight w:val="lightGray"/>
                <w:u w:val="single"/>
              </w:rPr>
            </w:pPr>
            <w:r w:rsidRPr="00E26EF6">
              <w:rPr>
                <w:rStyle w:val="InstructionsTabelleberschrift"/>
                <w:rFonts w:ascii="Times New Roman" w:hAnsi="Times New Roman"/>
                <w:sz w:val="24"/>
              </w:rPr>
              <w:t>1.3.1</w:t>
            </w:r>
            <w:r w:rsidRPr="00E26EF6">
              <w:rPr>
                <w:rStyle w:val="InstructionsTabelleberschrift"/>
                <w:rFonts w:ascii="Times New Roman" w:hAnsi="Times New Roman"/>
                <w:sz w:val="24"/>
              </w:rPr>
              <w:tab/>
              <w:t>Kwota ekspozycji na ryzyko</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ryzyka pozycji, ryzyka walutowego</w:t>
            </w:r>
            <w:r w:rsidR="00E26EF6" w:rsidRPr="00E26EF6">
              <w:rPr>
                <w:rStyle w:val="InstructionsTabelleberschrift"/>
                <w:rFonts w:ascii="Times New Roman" w:hAnsi="Times New Roman"/>
                <w:sz w:val="24"/>
              </w:rPr>
              <w:t xml:space="preserve"> i ryz</w:t>
            </w:r>
            <w:r w:rsidRPr="00E26EF6">
              <w:rPr>
                <w:rStyle w:val="InstructionsTabelleberschrift"/>
                <w:rFonts w:ascii="Times New Roman" w:hAnsi="Times New Roman"/>
                <w:sz w:val="24"/>
              </w:rPr>
              <w:t>yka cen towarów według metod standardowych (SA)</w:t>
            </w:r>
          </w:p>
        </w:tc>
      </w:tr>
      <w:tr w:rsidR="00915077" w:rsidRPr="00E26EF6" w14:paraId="71B9AAC6" w14:textId="77777777" w:rsidTr="00672D2A">
        <w:tc>
          <w:tcPr>
            <w:tcW w:w="1591" w:type="dxa"/>
          </w:tcPr>
          <w:p w14:paraId="7428AB61"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540</w:t>
            </w:r>
          </w:p>
        </w:tc>
        <w:tc>
          <w:tcPr>
            <w:tcW w:w="7274" w:type="dxa"/>
          </w:tcPr>
          <w:p w14:paraId="5743A2BF"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1.3.1.1</w:t>
            </w:r>
            <w:r w:rsidRPr="00E26EF6">
              <w:rPr>
                <w:rStyle w:val="InstructionsTabelleberschrift"/>
                <w:rFonts w:ascii="Times New Roman" w:hAnsi="Times New Roman"/>
                <w:sz w:val="24"/>
              </w:rPr>
              <w:tab/>
              <w:t>Rynkowe instrumenty dłużne</w:t>
            </w:r>
          </w:p>
          <w:p w14:paraId="58C752A0" w14:textId="77777777" w:rsidR="00915077" w:rsidRPr="00E26EF6" w:rsidRDefault="00802958">
            <w:pPr>
              <w:pStyle w:val="InstructionsText"/>
              <w:rPr>
                <w:rStyle w:val="FormatvorlageInstructionsTabelleText"/>
                <w:rFonts w:ascii="Times New Roman" w:hAnsi="Times New Roman"/>
                <w:bCs w:val="0"/>
                <w:sz w:val="24"/>
                <w:highlight w:val="lightGray"/>
              </w:rPr>
            </w:pPr>
            <w:r w:rsidRPr="00E26EF6">
              <w:rPr>
                <w:rStyle w:val="InstructionsTabelleberschrift"/>
                <w:rFonts w:ascii="Times New Roman" w:hAnsi="Times New Roman"/>
                <w:b w:val="0"/>
                <w:sz w:val="24"/>
                <w:u w:val="none"/>
              </w:rPr>
              <w:t>Wzór MKR SA TDI przy poziomie całkowitych wartości walut.</w:t>
            </w:r>
          </w:p>
        </w:tc>
      </w:tr>
      <w:tr w:rsidR="00915077" w:rsidRPr="00E26EF6" w14:paraId="6585CC35" w14:textId="77777777" w:rsidTr="00672D2A">
        <w:tc>
          <w:tcPr>
            <w:tcW w:w="1591" w:type="dxa"/>
          </w:tcPr>
          <w:p w14:paraId="7AD96849"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550</w:t>
            </w:r>
          </w:p>
        </w:tc>
        <w:tc>
          <w:tcPr>
            <w:tcW w:w="7274" w:type="dxa"/>
          </w:tcPr>
          <w:p w14:paraId="0182AA31"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1.3.1.2</w:t>
            </w:r>
            <w:r w:rsidRPr="00E26EF6">
              <w:rPr>
                <w:rStyle w:val="InstructionsTabelleberschrift"/>
                <w:rFonts w:ascii="Times New Roman" w:hAnsi="Times New Roman"/>
                <w:sz w:val="24"/>
              </w:rPr>
              <w:tab/>
              <w:t>Ekspozycje kapitałowe</w:t>
            </w:r>
          </w:p>
          <w:p w14:paraId="0CC7BC0C"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 xml:space="preserve">Wzór MKR SA EQU na poziomie całkowitych wartości rynków krajowych. </w:t>
            </w:r>
          </w:p>
        </w:tc>
      </w:tr>
      <w:tr w:rsidR="00915077" w:rsidRPr="00E26EF6" w14:paraId="1143A9BE" w14:textId="77777777" w:rsidTr="00672D2A">
        <w:tc>
          <w:tcPr>
            <w:tcW w:w="1591" w:type="dxa"/>
          </w:tcPr>
          <w:p w14:paraId="58F80D45"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555</w:t>
            </w:r>
          </w:p>
        </w:tc>
        <w:tc>
          <w:tcPr>
            <w:tcW w:w="7274" w:type="dxa"/>
          </w:tcPr>
          <w:p w14:paraId="3F21E389" w14:textId="5057A645"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1.3.1.3</w:t>
            </w:r>
            <w:r w:rsidRPr="00E26EF6">
              <w:rPr>
                <w:rStyle w:val="InstructionsTabelleberschrift"/>
                <w:rFonts w:ascii="Times New Roman" w:hAnsi="Times New Roman"/>
                <w:sz w:val="24"/>
              </w:rPr>
              <w:tab/>
              <w:t>Szczególna metoda stosowana</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ryzyka pozycji</w:t>
            </w:r>
            <w:r w:rsidR="00E26EF6" w:rsidRPr="00E26EF6">
              <w:rPr>
                <w:rStyle w:val="InstructionsTabelleberschrift"/>
                <w:rFonts w:ascii="Times New Roman" w:hAnsi="Times New Roman"/>
                <w:sz w:val="24"/>
              </w:rPr>
              <w:t xml:space="preserve"> w prz</w:t>
            </w:r>
            <w:r w:rsidRPr="00E26EF6">
              <w:rPr>
                <w:rStyle w:val="InstructionsTabelleberschrift"/>
                <w:rFonts w:ascii="Times New Roman" w:hAnsi="Times New Roman"/>
                <w:sz w:val="24"/>
              </w:rPr>
              <w:t>edsiębiorstwach zbiorowego inwestowania</w:t>
            </w:r>
          </w:p>
          <w:p w14:paraId="1222E5F3" w14:textId="7269BAAC" w:rsidR="00915077" w:rsidRPr="00E26EF6" w:rsidRDefault="00802958">
            <w:pPr>
              <w:rPr>
                <w:rStyle w:val="FormatvorlageInstructionsTabelleText"/>
                <w:rFonts w:ascii="Times New Roman" w:hAnsi="Times New Roman"/>
                <w:sz w:val="24"/>
              </w:rPr>
            </w:pPr>
            <w:r w:rsidRPr="00E26EF6">
              <w:rPr>
                <w:rStyle w:val="FormatvorlageInstructionsTabelleText"/>
                <w:rFonts w:ascii="Times New Roman" w:hAnsi="Times New Roman"/>
                <w:sz w:val="24"/>
              </w:rPr>
              <w:t>Art. 348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350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364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5FDC5352" w14:textId="091B60BD" w:rsidR="00915077" w:rsidRPr="00E26EF6" w:rsidRDefault="00802958">
            <w:pPr>
              <w:rPr>
                <w:rStyle w:val="FormatvorlageInstructionsTabelleText"/>
                <w:rFonts w:ascii="Times New Roman" w:hAnsi="Times New Roman"/>
                <w:sz w:val="24"/>
              </w:rPr>
            </w:pPr>
            <w:r w:rsidRPr="00E26EF6">
              <w:rPr>
                <w:rStyle w:val="FormatvorlageInstructionsTabelleText"/>
                <w:rFonts w:ascii="Times New Roman" w:hAnsi="Times New Roman"/>
                <w:sz w:val="24"/>
              </w:rPr>
              <w:t>Łączna kwota ekspozycji na ryzyko</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pozycji</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edsiębiorstwach zbiorowego inwestowania, jeżeli wymogi kapitałowe oblicza się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CRR niezwłocznie lub</w:t>
            </w:r>
            <w:r w:rsidR="00E26EF6" w:rsidRPr="00E26EF6">
              <w:rPr>
                <w:rStyle w:val="FormatvorlageInstructionsTabelleText"/>
                <w:rFonts w:ascii="Times New Roman" w:hAnsi="Times New Roman"/>
                <w:sz w:val="24"/>
              </w:rPr>
              <w:t xml:space="preserve"> w wyn</w:t>
            </w:r>
            <w:r w:rsidRPr="00E26EF6">
              <w:rPr>
                <w:rStyle w:val="FormatvorlageInstructionsTabelleText"/>
                <w:rFonts w:ascii="Times New Roman" w:hAnsi="Times New Roman"/>
                <w:sz w:val="24"/>
              </w:rPr>
              <w:t>iku zastosowania pułapu określonego</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350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c) CRR. Zgodnie z CRR przedmiotowe pozycje nie są bezpośrednio przypisywane do ryzyka stopy procentowej ani ryzyka związanego</w:t>
            </w:r>
            <w:r w:rsidR="00E26EF6" w:rsidRPr="00E26EF6">
              <w:rPr>
                <w:rStyle w:val="FormatvorlageInstructionsTabelleText"/>
                <w:rFonts w:ascii="Times New Roman" w:hAnsi="Times New Roman"/>
                <w:sz w:val="24"/>
              </w:rPr>
              <w:t xml:space="preserve"> z inw</w:t>
            </w:r>
            <w:r w:rsidRPr="00E26EF6">
              <w:rPr>
                <w:rStyle w:val="FormatvorlageInstructionsTabelleText"/>
                <w:rFonts w:ascii="Times New Roman" w:hAnsi="Times New Roman"/>
                <w:sz w:val="24"/>
              </w:rPr>
              <w:t>estowaniem</w:t>
            </w:r>
            <w:r w:rsidR="00E26EF6" w:rsidRPr="00E26EF6">
              <w:rPr>
                <w:rStyle w:val="FormatvorlageInstructionsTabelleText"/>
                <w:rFonts w:ascii="Times New Roman" w:hAnsi="Times New Roman"/>
                <w:sz w:val="24"/>
              </w:rPr>
              <w:t xml:space="preserve"> w akc</w:t>
            </w:r>
            <w:r w:rsidRPr="00E26EF6">
              <w:rPr>
                <w:rStyle w:val="FormatvorlageInstructionsTabelleText"/>
                <w:rFonts w:ascii="Times New Roman" w:hAnsi="Times New Roman"/>
                <w:sz w:val="24"/>
              </w:rPr>
              <w:t>je.</w:t>
            </w:r>
          </w:p>
          <w:p w14:paraId="22756BE6" w14:textId="184E4C31" w:rsidR="00915077" w:rsidRPr="00E26EF6" w:rsidRDefault="00FF2818">
            <w:pPr>
              <w:rPr>
                <w:rStyle w:val="FormatvorlageInstructionsTabelleText"/>
                <w:rFonts w:ascii="Times New Roman" w:hAnsi="Times New Roman"/>
                <w:sz w:val="24"/>
              </w:rPr>
            </w:pPr>
            <w:r w:rsidRPr="00E26EF6">
              <w:rPr>
                <w:rStyle w:val="FormatvorlageInstructionsTabelleText"/>
                <w:rFonts w:ascii="Times New Roman" w:hAnsi="Times New Roman"/>
                <w:sz w:val="24"/>
              </w:rPr>
              <w:t>W przypadku stosowania metody szczególnej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zdanie pierwsze CRR zgłaszana kwota odpowiada kwocie stanowiącej 32</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 pozycji netto danej ekspozycji przedsiębiorstwa zbiorowego inwestowania, pomnożonej przez 12,5. </w:t>
            </w:r>
          </w:p>
          <w:p w14:paraId="0DB91ABE" w14:textId="6E22A1DC" w:rsidR="00915077" w:rsidRPr="00E26EF6" w:rsidRDefault="00FF2818">
            <w:pPr>
              <w:rPr>
                <w:rStyle w:val="InstructionsTabelleberschrift"/>
                <w:rFonts w:ascii="Times New Roman" w:hAnsi="Times New Roman"/>
                <w:sz w:val="24"/>
                <w:highlight w:val="lightGray"/>
              </w:rPr>
            </w:pPr>
            <w:r w:rsidRPr="00E26EF6">
              <w:rPr>
                <w:rStyle w:val="FormatvorlageInstructionsTabelleText"/>
                <w:rFonts w:ascii="Times New Roman" w:hAnsi="Times New Roman"/>
                <w:sz w:val="24"/>
              </w:rPr>
              <w:t>W przypadku stosowania metody szczególnej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zdanie drugie CRR zgłaszana kwota odpowiada niższej</w:t>
            </w:r>
            <w:r w:rsidR="00E26EF6" w:rsidRPr="00E26EF6">
              <w:rPr>
                <w:rStyle w:val="FormatvorlageInstructionsTabelleText"/>
                <w:rFonts w:ascii="Times New Roman" w:hAnsi="Times New Roman"/>
                <w:sz w:val="24"/>
              </w:rPr>
              <w:t xml:space="preserve"> z nas</w:t>
            </w:r>
            <w:r w:rsidRPr="00E26EF6">
              <w:rPr>
                <w:rStyle w:val="FormatvorlageInstructionsTabelleText"/>
                <w:rFonts w:ascii="Times New Roman" w:hAnsi="Times New Roman"/>
                <w:sz w:val="24"/>
              </w:rPr>
              <w:t>tępujących wartości: 32</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pozycji netto odpowiedniej ekspozycji przedsiębiorstwa zbiorowego inwestowania lub różnicy między 40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tej pozycji netto</w:t>
            </w:r>
            <w:r w:rsidR="00E26EF6" w:rsidRPr="00E26EF6">
              <w:rPr>
                <w:rStyle w:val="FormatvorlageInstructionsTabelleText"/>
                <w:rFonts w:ascii="Times New Roman" w:hAnsi="Times New Roman"/>
                <w:sz w:val="24"/>
              </w:rPr>
              <w:t xml:space="preserve"> a wym</w:t>
            </w:r>
            <w:r w:rsidRPr="00E26EF6">
              <w:rPr>
                <w:rStyle w:val="FormatvorlageInstructionsTabelleText"/>
                <w:rFonts w:ascii="Times New Roman" w:hAnsi="Times New Roman"/>
                <w:sz w:val="24"/>
              </w:rPr>
              <w:t>ogami</w:t>
            </w:r>
            <w:r w:rsidR="00E26EF6" w:rsidRPr="00E26EF6">
              <w:rPr>
                <w:rStyle w:val="FormatvorlageInstructionsTabelleText"/>
                <w:rFonts w:ascii="Times New Roman" w:hAnsi="Times New Roman"/>
                <w:sz w:val="24"/>
              </w:rPr>
              <w:t xml:space="preserve"> w zak</w:t>
            </w:r>
            <w:r w:rsidRPr="00E26EF6">
              <w:rPr>
                <w:rStyle w:val="FormatvorlageInstructionsTabelleText"/>
                <w:rFonts w:ascii="Times New Roman" w:hAnsi="Times New Roman"/>
                <w:sz w:val="24"/>
              </w:rPr>
              <w:t>resie funduszy własnych wynikającymi</w:t>
            </w:r>
            <w:r w:rsidR="00E26EF6" w:rsidRPr="00E26EF6">
              <w:rPr>
                <w:rStyle w:val="FormatvorlageInstructionsTabelleText"/>
                <w:rFonts w:ascii="Times New Roman" w:hAnsi="Times New Roman"/>
                <w:sz w:val="24"/>
              </w:rPr>
              <w:t xml:space="preserve"> z ryz</w:t>
            </w:r>
            <w:r w:rsidRPr="00E26EF6">
              <w:rPr>
                <w:rStyle w:val="FormatvorlageInstructionsTabelleText"/>
                <w:rFonts w:ascii="Times New Roman" w:hAnsi="Times New Roman"/>
                <w:sz w:val="24"/>
              </w:rPr>
              <w:t>yka walutowego powiązanego z tą ekspozycją przedsiębiorstwa zbiorowego inwestowania, każdorazowo pomnożonej przez 12,5.</w:t>
            </w:r>
          </w:p>
        </w:tc>
      </w:tr>
      <w:tr w:rsidR="00915077" w:rsidRPr="00E26EF6" w14:paraId="5F8F466B" w14:textId="77777777" w:rsidTr="00672D2A">
        <w:tc>
          <w:tcPr>
            <w:tcW w:w="1591" w:type="dxa"/>
          </w:tcPr>
          <w:p w14:paraId="6BD392C5"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556</w:t>
            </w:r>
          </w:p>
        </w:tc>
        <w:tc>
          <w:tcPr>
            <w:tcW w:w="7274" w:type="dxa"/>
          </w:tcPr>
          <w:p w14:paraId="2EB28AFA" w14:textId="0DE83530"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1.3.1.3.*</w:t>
            </w:r>
            <w:r w:rsidRPr="00E26EF6">
              <w:rPr>
                <w:rStyle w:val="InstructionsTabelleberschrift"/>
                <w:rFonts w:ascii="Times New Roman" w:hAnsi="Times New Roman"/>
                <w:sz w:val="24"/>
              </w:rPr>
              <w:tab/>
              <w:t>Pozycja uzupełniająca: Przedsiębiorstwa zbiorowego inwestowania, które zainwestowały wyłącznie</w:t>
            </w:r>
            <w:r w:rsidR="00E26EF6" w:rsidRPr="00E26EF6">
              <w:rPr>
                <w:rStyle w:val="InstructionsTabelleberschrift"/>
                <w:rFonts w:ascii="Times New Roman" w:hAnsi="Times New Roman"/>
                <w:sz w:val="24"/>
              </w:rPr>
              <w:t xml:space="preserve"> w ryn</w:t>
            </w:r>
            <w:r w:rsidRPr="00E26EF6">
              <w:rPr>
                <w:rStyle w:val="InstructionsTabelleberschrift"/>
                <w:rFonts w:ascii="Times New Roman" w:hAnsi="Times New Roman"/>
                <w:sz w:val="24"/>
              </w:rPr>
              <w:t>kowe instrumenty dłużne</w:t>
            </w:r>
          </w:p>
          <w:p w14:paraId="128A5298" w14:textId="1BD0758F" w:rsidR="00915077" w:rsidRPr="00E26EF6" w:rsidRDefault="00802958">
            <w:pPr>
              <w:rPr>
                <w:rStyle w:val="InstructionsTabelleberschrift"/>
                <w:rFonts w:ascii="Times New Roman" w:hAnsi="Times New Roman"/>
                <w:sz w:val="24"/>
                <w:highlight w:val="lightGray"/>
              </w:rPr>
            </w:pPr>
            <w:r w:rsidRPr="00E26EF6">
              <w:rPr>
                <w:rStyle w:val="FormatvorlageInstructionsTabelleText"/>
                <w:rFonts w:ascii="Times New Roman" w:hAnsi="Times New Roman"/>
                <w:sz w:val="24"/>
              </w:rPr>
              <w:t>Łączna kwota ekspozycji na ryzyko</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pozycji</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edsiębiorstwach zbiorowego inwestowania, jeżeli przedsiębiorstwo zbiorowego inwestowania zainwestowało wyłącznie</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trumenty narażone na ryzyko stopy procentowej.</w:t>
            </w:r>
          </w:p>
        </w:tc>
      </w:tr>
      <w:tr w:rsidR="00915077" w:rsidRPr="00E26EF6" w14:paraId="00A25B82" w14:textId="77777777" w:rsidTr="00672D2A">
        <w:tc>
          <w:tcPr>
            <w:tcW w:w="1591" w:type="dxa"/>
          </w:tcPr>
          <w:p w14:paraId="168D4F5D"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557</w:t>
            </w:r>
          </w:p>
        </w:tc>
        <w:tc>
          <w:tcPr>
            <w:tcW w:w="7274" w:type="dxa"/>
          </w:tcPr>
          <w:p w14:paraId="462A6A1E" w14:textId="1FD344BA"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1.3.1.3.**</w:t>
            </w:r>
            <w:r w:rsidRPr="00E26EF6">
              <w:rPr>
                <w:rStyle w:val="InstructionsTabelleberschrift"/>
                <w:rFonts w:ascii="Times New Roman" w:hAnsi="Times New Roman"/>
                <w:sz w:val="24"/>
              </w:rPr>
              <w:tab/>
              <w:t>Przedsiębiorstwa zbiorowego inwestowania, które zainwestowały wyłącznie</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trumenty udziałowe lub</w:t>
            </w:r>
            <w:r w:rsidR="00E26EF6" w:rsidRPr="00E26EF6">
              <w:rPr>
                <w:rStyle w:val="InstructionsTabelleberschrift"/>
                <w:rFonts w:ascii="Times New Roman" w:hAnsi="Times New Roman"/>
                <w:sz w:val="24"/>
              </w:rPr>
              <w:t xml:space="preserve"> w ins</w:t>
            </w:r>
            <w:r w:rsidRPr="00E26EF6">
              <w:rPr>
                <w:rStyle w:val="InstructionsTabelleberschrift"/>
                <w:rFonts w:ascii="Times New Roman" w:hAnsi="Times New Roman"/>
                <w:sz w:val="24"/>
              </w:rPr>
              <w:t>trumenty mieszane</w:t>
            </w:r>
          </w:p>
          <w:p w14:paraId="6435D7BD" w14:textId="2DFAEA00" w:rsidR="00915077" w:rsidRPr="00E26EF6" w:rsidRDefault="00802958">
            <w:pPr>
              <w:rPr>
                <w:rStyle w:val="InstructionsTabelleberschrift"/>
                <w:rFonts w:ascii="Times New Roman" w:hAnsi="Times New Roman"/>
                <w:sz w:val="24"/>
                <w:highlight w:val="lightGray"/>
              </w:rPr>
            </w:pPr>
            <w:r w:rsidRPr="00E26EF6">
              <w:rPr>
                <w:rStyle w:val="FormatvorlageInstructionsTabelleText"/>
                <w:rFonts w:ascii="Times New Roman" w:hAnsi="Times New Roman"/>
                <w:sz w:val="24"/>
              </w:rPr>
              <w:t>Łączna kwota ekspozycji na ryzyko</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pozycji</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edsiębiorstwach zbiorowego inwestowania, jeżeli przedsiębiorstwo zbiorowego inwestowania zainwestowało wyłącznie</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trumenty narażone na ryzyko związane</w:t>
            </w:r>
            <w:r w:rsidR="00E26EF6" w:rsidRPr="00E26EF6">
              <w:rPr>
                <w:rStyle w:val="FormatvorlageInstructionsTabelleText"/>
                <w:rFonts w:ascii="Times New Roman" w:hAnsi="Times New Roman"/>
                <w:sz w:val="24"/>
              </w:rPr>
              <w:t xml:space="preserve"> z inw</w:t>
            </w:r>
            <w:r w:rsidRPr="00E26EF6">
              <w:rPr>
                <w:rStyle w:val="FormatvorlageInstructionsTabelleText"/>
                <w:rFonts w:ascii="Times New Roman" w:hAnsi="Times New Roman"/>
                <w:sz w:val="24"/>
              </w:rPr>
              <w:t>estowaniem</w:t>
            </w:r>
            <w:r w:rsidR="00E26EF6" w:rsidRPr="00E26EF6">
              <w:rPr>
                <w:rStyle w:val="FormatvorlageInstructionsTabelleText"/>
                <w:rFonts w:ascii="Times New Roman" w:hAnsi="Times New Roman"/>
                <w:sz w:val="24"/>
              </w:rPr>
              <w:t xml:space="preserve"> w akc</w:t>
            </w:r>
            <w:r w:rsidRPr="00E26EF6">
              <w:rPr>
                <w:rStyle w:val="FormatvorlageInstructionsTabelleText"/>
                <w:rFonts w:ascii="Times New Roman" w:hAnsi="Times New Roman"/>
                <w:sz w:val="24"/>
              </w:rPr>
              <w:t>je albo</w:t>
            </w:r>
            <w:r w:rsidR="00E26EF6" w:rsidRPr="00E26EF6">
              <w:rPr>
                <w:rStyle w:val="FormatvorlageInstructionsTabelleText"/>
                <w:rFonts w:ascii="Times New Roman" w:hAnsi="Times New Roman"/>
                <w:sz w:val="24"/>
              </w:rPr>
              <w:t xml:space="preserve"> w ins</w:t>
            </w:r>
            <w:r w:rsidRPr="00E26EF6">
              <w:rPr>
                <w:rStyle w:val="FormatvorlageInstructionsTabelleText"/>
                <w:rFonts w:ascii="Times New Roman" w:hAnsi="Times New Roman"/>
                <w:sz w:val="24"/>
              </w:rPr>
              <w:t>trumenty mieszane lub też jeżeli części składowe przedsiębiorstwa zbiorowego inwestowania są nieznane.</w:t>
            </w:r>
          </w:p>
        </w:tc>
      </w:tr>
      <w:tr w:rsidR="00915077" w:rsidRPr="00E26EF6" w14:paraId="0B1079E2" w14:textId="77777777" w:rsidTr="00672D2A">
        <w:tc>
          <w:tcPr>
            <w:tcW w:w="1591" w:type="dxa"/>
          </w:tcPr>
          <w:p w14:paraId="6F9D48A4"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560</w:t>
            </w:r>
          </w:p>
        </w:tc>
        <w:tc>
          <w:tcPr>
            <w:tcW w:w="7274" w:type="dxa"/>
          </w:tcPr>
          <w:p w14:paraId="7FF8A12E"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1.3.1.4</w:t>
            </w:r>
            <w:r w:rsidRPr="00E26EF6">
              <w:rPr>
                <w:rStyle w:val="InstructionsTabelleberschrift"/>
                <w:rFonts w:ascii="Times New Roman" w:hAnsi="Times New Roman"/>
                <w:sz w:val="24"/>
              </w:rPr>
              <w:tab/>
              <w:t>Ryzyko walutowe</w:t>
            </w:r>
          </w:p>
          <w:p w14:paraId="004C52C8"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MKR SA FX</w:t>
            </w:r>
          </w:p>
        </w:tc>
      </w:tr>
      <w:tr w:rsidR="00915077" w:rsidRPr="00E26EF6" w14:paraId="3FFD78A9" w14:textId="77777777" w:rsidTr="00672D2A">
        <w:tc>
          <w:tcPr>
            <w:tcW w:w="1591" w:type="dxa"/>
          </w:tcPr>
          <w:p w14:paraId="12208190"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570</w:t>
            </w:r>
          </w:p>
        </w:tc>
        <w:tc>
          <w:tcPr>
            <w:tcW w:w="7274" w:type="dxa"/>
          </w:tcPr>
          <w:p w14:paraId="0417247C"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1.3.1.5</w:t>
            </w:r>
            <w:r w:rsidRPr="00E26EF6">
              <w:rPr>
                <w:rStyle w:val="InstructionsTabelleberschrift"/>
                <w:rFonts w:ascii="Times New Roman" w:hAnsi="Times New Roman"/>
                <w:sz w:val="24"/>
              </w:rPr>
              <w:tab/>
              <w:t>Ryzyko cen towarów</w:t>
            </w:r>
          </w:p>
          <w:p w14:paraId="06DF4F9A"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MKR SA COM</w:t>
            </w:r>
          </w:p>
        </w:tc>
      </w:tr>
      <w:tr w:rsidR="00915077" w:rsidRPr="00E26EF6" w14:paraId="196BE463" w14:textId="77777777" w:rsidTr="00672D2A">
        <w:tc>
          <w:tcPr>
            <w:tcW w:w="1591" w:type="dxa"/>
          </w:tcPr>
          <w:p w14:paraId="7A0AC5F1" w14:textId="77777777" w:rsidR="00915077" w:rsidRPr="00E26EF6" w:rsidRDefault="00802958">
            <w:pPr>
              <w:pStyle w:val="InstructionsText"/>
              <w:rPr>
                <w:rStyle w:val="FormatvorlageInstructionsTabelleText"/>
                <w:rFonts w:ascii="Times New Roman" w:hAnsi="Times New Roman"/>
                <w:bCs w:val="0"/>
                <w:sz w:val="24"/>
                <w:highlight w:val="lightGray"/>
              </w:rPr>
            </w:pPr>
            <w:r w:rsidRPr="00E26EF6">
              <w:rPr>
                <w:rStyle w:val="FormatvorlageInstructionsTabelleText"/>
                <w:rFonts w:ascii="Times New Roman" w:hAnsi="Times New Roman"/>
                <w:sz w:val="24"/>
              </w:rPr>
              <w:t>580</w:t>
            </w:r>
          </w:p>
        </w:tc>
        <w:tc>
          <w:tcPr>
            <w:tcW w:w="7274" w:type="dxa"/>
          </w:tcPr>
          <w:p w14:paraId="0A58AF48" w14:textId="7CF86944"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1.3.2</w:t>
            </w:r>
            <w:r w:rsidRPr="00E26EF6">
              <w:rPr>
                <w:rStyle w:val="InstructionsTabelleberschrift"/>
                <w:rFonts w:ascii="Times New Roman" w:hAnsi="Times New Roman"/>
                <w:sz w:val="24"/>
              </w:rPr>
              <w:tab/>
              <w:t>Kwota ekspozycji na ryzyko</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ryzyka pozycji, ryzyka walutowego</w:t>
            </w:r>
            <w:r w:rsidR="00E26EF6" w:rsidRPr="00E26EF6">
              <w:rPr>
                <w:rStyle w:val="InstructionsTabelleberschrift"/>
                <w:rFonts w:ascii="Times New Roman" w:hAnsi="Times New Roman"/>
                <w:sz w:val="24"/>
              </w:rPr>
              <w:t xml:space="preserve"> i ryz</w:t>
            </w:r>
            <w:r w:rsidRPr="00E26EF6">
              <w:rPr>
                <w:rStyle w:val="InstructionsTabelleberschrift"/>
                <w:rFonts w:ascii="Times New Roman" w:hAnsi="Times New Roman"/>
                <w:sz w:val="24"/>
              </w:rPr>
              <w:t>yka cen towarów według modeli wewnętrznych</w:t>
            </w:r>
          </w:p>
          <w:p w14:paraId="07491309"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MKR IM</w:t>
            </w:r>
          </w:p>
        </w:tc>
      </w:tr>
      <w:tr w:rsidR="00915077" w:rsidRPr="00E26EF6" w14:paraId="5E3B4D02" w14:textId="77777777" w:rsidTr="00672D2A">
        <w:tc>
          <w:tcPr>
            <w:tcW w:w="1591" w:type="dxa"/>
          </w:tcPr>
          <w:p w14:paraId="5B257292"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590</w:t>
            </w:r>
          </w:p>
        </w:tc>
        <w:tc>
          <w:tcPr>
            <w:tcW w:w="7274" w:type="dxa"/>
          </w:tcPr>
          <w:p w14:paraId="46A92541"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1.4</w:t>
            </w:r>
            <w:r w:rsidRPr="00E26EF6">
              <w:rPr>
                <w:rStyle w:val="InstructionsTabelleberschrift"/>
                <w:rFonts w:ascii="Times New Roman" w:hAnsi="Times New Roman"/>
                <w:sz w:val="24"/>
              </w:rPr>
              <w:tab/>
              <w:t>ŁĄCZNA KWOTA EKSPOZYCJI NA RYZYKO Z TYTUŁU RYZYKA OPERACYJNEGO</w:t>
            </w:r>
          </w:p>
          <w:p w14:paraId="6206FCC3" w14:textId="6FF40730" w:rsidR="00915077" w:rsidRPr="00E26EF6" w:rsidRDefault="006A6822">
            <w:pPr>
              <w:pStyle w:val="InstructionsText"/>
              <w:rPr>
                <w:rStyle w:val="FormatvorlageInstructionsTabelleText"/>
                <w:rFonts w:ascii="Times New Roman" w:hAnsi="Times New Roman"/>
                <w:bCs w:val="0"/>
                <w:sz w:val="24"/>
              </w:rPr>
            </w:pPr>
            <w:r w:rsidRPr="00E26EF6">
              <w:rPr>
                <w:rStyle w:val="FormatvorlageInstructionsTabelleText"/>
                <w:rFonts w:ascii="Times New Roman" w:hAnsi="Times New Roman"/>
                <w:sz w:val="24"/>
              </w:rPr>
              <w:t>Art. 92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e)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w:t>
            </w:r>
          </w:p>
          <w:p w14:paraId="411BAFFD" w14:textId="4D456BB0"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W przypadku firm inwestycyjnych,</w:t>
            </w:r>
            <w:r w:rsidR="00E26EF6" w:rsidRPr="00E26EF6">
              <w:rPr>
                <w:rStyle w:val="FormatvorlageInstructionsTabelleText"/>
                <w:rFonts w:ascii="Times New Roman" w:hAnsi="Times New Roman"/>
                <w:sz w:val="24"/>
              </w:rPr>
              <w:t xml:space="preserve"> o któ</w:t>
            </w:r>
            <w:r w:rsidRPr="00E26EF6">
              <w:rPr>
                <w:rStyle w:val="FormatvorlageInstructionsTabelleText"/>
                <w:rFonts w:ascii="Times New Roman" w:hAnsi="Times New Roman"/>
                <w:sz w:val="24"/>
              </w:rPr>
              <w:t>rych mowa</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oraz</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98 CRR, wartość tego elementu wynosi zero.</w:t>
            </w:r>
          </w:p>
        </w:tc>
      </w:tr>
      <w:tr w:rsidR="00915077" w:rsidRPr="00E26EF6" w14:paraId="4900037A" w14:textId="77777777" w:rsidTr="00672D2A">
        <w:tc>
          <w:tcPr>
            <w:tcW w:w="1591" w:type="dxa"/>
          </w:tcPr>
          <w:p w14:paraId="2406263C" w14:textId="77777777" w:rsidR="00915077" w:rsidRPr="00E26EF6" w:rsidRDefault="00802958">
            <w:pPr>
              <w:pStyle w:val="InstructionsText"/>
              <w:rPr>
                <w:rStyle w:val="FormatvorlageInstructionsTabelleText"/>
                <w:rFonts w:ascii="Times New Roman" w:hAnsi="Times New Roman"/>
                <w:bCs w:val="0"/>
                <w:sz w:val="24"/>
                <w:highlight w:val="lightGray"/>
              </w:rPr>
            </w:pPr>
            <w:r w:rsidRPr="00E26EF6">
              <w:rPr>
                <w:rStyle w:val="FormatvorlageInstructionsTabelleText"/>
                <w:rFonts w:ascii="Times New Roman" w:hAnsi="Times New Roman"/>
                <w:sz w:val="24"/>
              </w:rPr>
              <w:t>600</w:t>
            </w:r>
          </w:p>
        </w:tc>
        <w:tc>
          <w:tcPr>
            <w:tcW w:w="7274" w:type="dxa"/>
          </w:tcPr>
          <w:p w14:paraId="1AF5A3D7" w14:textId="77777777" w:rsidR="00915077" w:rsidRPr="00E26EF6" w:rsidRDefault="00802958">
            <w:pPr>
              <w:pStyle w:val="InstructionsText"/>
              <w:rPr>
                <w:rStyle w:val="FormatvorlageInstructionsTabelleText"/>
                <w:rFonts w:ascii="Times New Roman" w:hAnsi="Times New Roman"/>
                <w:bCs w:val="0"/>
                <w:sz w:val="24"/>
              </w:rPr>
            </w:pPr>
            <w:r w:rsidRPr="00E26EF6">
              <w:rPr>
                <w:rStyle w:val="InstructionsTabelleberschrift"/>
                <w:rFonts w:ascii="Times New Roman" w:hAnsi="Times New Roman"/>
                <w:sz w:val="24"/>
              </w:rPr>
              <w:t>1.4.1</w:t>
            </w:r>
            <w:r w:rsidRPr="00E26EF6">
              <w:rPr>
                <w:rStyle w:val="InstructionsTabelleberschrift"/>
                <w:rFonts w:ascii="Times New Roman" w:hAnsi="Times New Roman"/>
                <w:sz w:val="24"/>
              </w:rPr>
              <w:tab/>
              <w:t>Ryzyko operacyjne według metody wskaźnika bazowego</w:t>
            </w:r>
          </w:p>
          <w:p w14:paraId="5C9B32FD"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OPR</w:t>
            </w:r>
          </w:p>
        </w:tc>
      </w:tr>
      <w:tr w:rsidR="00915077" w:rsidRPr="00E26EF6" w14:paraId="4C21A175" w14:textId="77777777" w:rsidTr="00672D2A">
        <w:tc>
          <w:tcPr>
            <w:tcW w:w="1591" w:type="dxa"/>
          </w:tcPr>
          <w:p w14:paraId="20924AEB"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610</w:t>
            </w:r>
          </w:p>
        </w:tc>
        <w:tc>
          <w:tcPr>
            <w:tcW w:w="7274" w:type="dxa"/>
          </w:tcPr>
          <w:p w14:paraId="2750ECEB"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1.4.2</w:t>
            </w:r>
            <w:r w:rsidRPr="00E26EF6">
              <w:rPr>
                <w:rStyle w:val="InstructionsTabelleberschrift"/>
                <w:rFonts w:ascii="Times New Roman" w:hAnsi="Times New Roman"/>
                <w:sz w:val="24"/>
              </w:rPr>
              <w:tab/>
              <w:t>Ryzyko operacyjne według metody standardowej/alternatywnej metody standardowej</w:t>
            </w:r>
          </w:p>
          <w:p w14:paraId="669DBB26"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OPR</w:t>
            </w:r>
          </w:p>
        </w:tc>
      </w:tr>
      <w:tr w:rsidR="00915077" w:rsidRPr="00E26EF6" w14:paraId="48959B8B" w14:textId="77777777" w:rsidTr="00672D2A">
        <w:tc>
          <w:tcPr>
            <w:tcW w:w="1591" w:type="dxa"/>
          </w:tcPr>
          <w:p w14:paraId="413BDA9F"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620</w:t>
            </w:r>
          </w:p>
        </w:tc>
        <w:tc>
          <w:tcPr>
            <w:tcW w:w="7274" w:type="dxa"/>
          </w:tcPr>
          <w:p w14:paraId="303EECCA" w14:textId="619E39A4"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1.4.3</w:t>
            </w:r>
            <w:r w:rsidRPr="00E26EF6">
              <w:rPr>
                <w:rStyle w:val="InstructionsTabelleberschrift"/>
                <w:rFonts w:ascii="Times New Roman" w:hAnsi="Times New Roman"/>
                <w:sz w:val="24"/>
              </w:rPr>
              <w:tab/>
              <w:t>Metody zaawansowanego pomiaru</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ryzyka operacyjnego</w:t>
            </w:r>
          </w:p>
          <w:p w14:paraId="790ED1DA"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OPR</w:t>
            </w:r>
          </w:p>
        </w:tc>
      </w:tr>
      <w:tr w:rsidR="00915077" w:rsidRPr="00E26EF6" w14:paraId="0B82BF31" w14:textId="77777777" w:rsidTr="00672D2A">
        <w:tc>
          <w:tcPr>
            <w:tcW w:w="1591" w:type="dxa"/>
          </w:tcPr>
          <w:p w14:paraId="2E7D0D5F"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630</w:t>
            </w:r>
          </w:p>
        </w:tc>
        <w:tc>
          <w:tcPr>
            <w:tcW w:w="7274" w:type="dxa"/>
          </w:tcPr>
          <w:p w14:paraId="0E76C23E"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1.5</w:t>
            </w:r>
            <w:r w:rsidRPr="00E26EF6">
              <w:rPr>
                <w:rStyle w:val="InstructionsTabelleberschrift"/>
                <w:rFonts w:ascii="Times New Roman" w:hAnsi="Times New Roman"/>
                <w:sz w:val="24"/>
              </w:rPr>
              <w:tab/>
              <w:t>DODATKOWA KWOTA EKSPOZYCJI NA RYZYKO Z TYTUŁU STAŁYCH KOSZTÓW POŚREDNICH</w:t>
            </w:r>
          </w:p>
          <w:p w14:paraId="7D0677FF" w14:textId="4CC2D43C" w:rsidR="00915077" w:rsidRPr="00E26EF6" w:rsidRDefault="00802958">
            <w:pPr>
              <w:rPr>
                <w:rStyle w:val="FormatvorlageInstructionsTabelleText"/>
                <w:rFonts w:ascii="Times New Roman" w:hAnsi="Times New Roman"/>
                <w:sz w:val="24"/>
              </w:rPr>
            </w:pPr>
            <w:r w:rsidRPr="00E26EF6">
              <w:rPr>
                <w:rStyle w:val="FormatvorlageInstructionsTabelleText"/>
                <w:rFonts w:ascii="Times New Roman" w:hAnsi="Times New Roman"/>
                <w:sz w:val="24"/>
              </w:rPr>
              <w:t>Art. 95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w:t>
            </w:r>
            <w:r w:rsidR="00E26EF6" w:rsidRPr="00E26EF6">
              <w:rPr>
                <w:rStyle w:val="FormatvorlageInstructionsTabelleText"/>
                <w:rFonts w:ascii="Times New Roman" w:hAnsi="Times New Roman"/>
                <w:sz w:val="24"/>
              </w:rPr>
              <w:t xml:space="preserve"> i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97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w:t>
            </w:r>
          </w:p>
          <w:p w14:paraId="7C3669AB" w14:textId="0329DECD" w:rsidR="00915077" w:rsidRPr="00E26EF6" w:rsidRDefault="00802958">
            <w:pPr>
              <w:rPr>
                <w:rStyle w:val="FormatvorlageInstructionsTabelleText"/>
                <w:rFonts w:ascii="Times New Roman" w:hAnsi="Times New Roman"/>
                <w:sz w:val="24"/>
              </w:rPr>
            </w:pPr>
            <w:r w:rsidRPr="00E26EF6">
              <w:rPr>
                <w:rStyle w:val="FormatvorlageInstructionsTabelleText"/>
                <w:rFonts w:ascii="Times New Roman" w:hAnsi="Times New Roman"/>
                <w:sz w:val="24"/>
              </w:rPr>
              <w:t>Jedynie</w:t>
            </w:r>
            <w:r w:rsidR="00E26EF6" w:rsidRPr="00E26EF6">
              <w:rPr>
                <w:rStyle w:val="FormatvorlageInstructionsTabelleText"/>
                <w:rFonts w:ascii="Times New Roman" w:hAnsi="Times New Roman"/>
                <w:sz w:val="24"/>
              </w:rPr>
              <w:t xml:space="preserve"> w prz</w:t>
            </w:r>
            <w:r w:rsidRPr="00E26EF6">
              <w:rPr>
                <w:rStyle w:val="FormatvorlageInstructionsTabelleText"/>
                <w:rFonts w:ascii="Times New Roman" w:hAnsi="Times New Roman"/>
                <w:sz w:val="24"/>
              </w:rPr>
              <w:t>ypadku firm inwestycyjnych,</w:t>
            </w:r>
            <w:r w:rsidR="00E26EF6" w:rsidRPr="00E26EF6">
              <w:rPr>
                <w:rStyle w:val="FormatvorlageInstructionsTabelleText"/>
                <w:rFonts w:ascii="Times New Roman" w:hAnsi="Times New Roman"/>
                <w:sz w:val="24"/>
              </w:rPr>
              <w:t xml:space="preserve"> o któ</w:t>
            </w:r>
            <w:r w:rsidRPr="00E26EF6">
              <w:rPr>
                <w:rStyle w:val="FormatvorlageInstructionsTabelleText"/>
                <w:rFonts w:ascii="Times New Roman" w:hAnsi="Times New Roman"/>
                <w:sz w:val="24"/>
              </w:rPr>
              <w:t>rych mowa</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96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oraz</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98 CRR Zob. także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97 CRR. </w:t>
            </w:r>
          </w:p>
          <w:p w14:paraId="4E80C506" w14:textId="19A43379" w:rsidR="00915077" w:rsidRPr="00E26EF6" w:rsidRDefault="00802958">
            <w:pPr>
              <w:rPr>
                <w:rStyle w:val="FormatvorlageInstructionsTabelleText"/>
                <w:rFonts w:ascii="Times New Roman" w:hAnsi="Times New Roman"/>
                <w:sz w:val="24"/>
              </w:rPr>
            </w:pPr>
            <w:r w:rsidRPr="00E26EF6">
              <w:rPr>
                <w:rStyle w:val="FormatvorlageInstructionsTabelleText"/>
                <w:rFonts w:ascii="Times New Roman" w:hAnsi="Times New Roman"/>
                <w:sz w:val="24"/>
              </w:rPr>
              <w:t>Firmy inwestycyjne,</w:t>
            </w:r>
            <w:r w:rsidR="00E26EF6" w:rsidRPr="00E26EF6">
              <w:rPr>
                <w:rStyle w:val="FormatvorlageInstructionsTabelleText"/>
                <w:rFonts w:ascii="Times New Roman" w:hAnsi="Times New Roman"/>
                <w:sz w:val="24"/>
              </w:rPr>
              <w:t xml:space="preserve"> o któ</w:t>
            </w:r>
            <w:r w:rsidRPr="00E26EF6">
              <w:rPr>
                <w:rStyle w:val="FormatvorlageInstructionsTabelleText"/>
                <w:rFonts w:ascii="Times New Roman" w:hAnsi="Times New Roman"/>
                <w:sz w:val="24"/>
              </w:rPr>
              <w:t>rych mowa</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96 CRR, zgłaszają kwotę,</w:t>
            </w:r>
            <w:r w:rsidR="00E26EF6" w:rsidRPr="00E26EF6">
              <w:rPr>
                <w:rStyle w:val="FormatvorlageInstructionsTabelleText"/>
                <w:rFonts w:ascii="Times New Roman" w:hAnsi="Times New Roman"/>
                <w:sz w:val="24"/>
              </w:rPr>
              <w:t xml:space="preserve"> o któ</w:t>
            </w:r>
            <w:r w:rsidRPr="00E26EF6">
              <w:rPr>
                <w:rStyle w:val="FormatvorlageInstructionsTabelleText"/>
                <w:rFonts w:ascii="Times New Roman" w:hAnsi="Times New Roman"/>
                <w:sz w:val="24"/>
              </w:rPr>
              <w:t>rej mowa</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97, pomnożoną przez liczbę 12,5.</w:t>
            </w:r>
          </w:p>
          <w:p w14:paraId="3D13536B" w14:textId="36D756CB" w:rsidR="00915077" w:rsidRPr="00E26EF6" w:rsidRDefault="00802958">
            <w:pPr>
              <w:rPr>
                <w:rStyle w:val="FormatvorlageInstructionsTabelleText"/>
                <w:rFonts w:ascii="Times New Roman" w:hAnsi="Times New Roman"/>
                <w:sz w:val="24"/>
              </w:rPr>
            </w:pPr>
            <w:r w:rsidRPr="00E26EF6">
              <w:rPr>
                <w:rStyle w:val="FormatvorlageInstructionsTabelleText"/>
                <w:rFonts w:ascii="Times New Roman" w:hAnsi="Times New Roman"/>
                <w:sz w:val="24"/>
              </w:rPr>
              <w:t>Firmy inwestycyjne,</w:t>
            </w:r>
            <w:r w:rsidR="00E26EF6" w:rsidRPr="00E26EF6">
              <w:rPr>
                <w:rStyle w:val="FormatvorlageInstructionsTabelleText"/>
                <w:rFonts w:ascii="Times New Roman" w:hAnsi="Times New Roman"/>
                <w:sz w:val="24"/>
              </w:rPr>
              <w:t xml:space="preserve"> o któ</w:t>
            </w:r>
            <w:r w:rsidRPr="00E26EF6">
              <w:rPr>
                <w:rStyle w:val="FormatvorlageInstructionsTabelleText"/>
                <w:rFonts w:ascii="Times New Roman" w:hAnsi="Times New Roman"/>
                <w:sz w:val="24"/>
              </w:rPr>
              <w:t>rych mowa</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95 CRR, zgłaszają</w:t>
            </w:r>
            <w:r w:rsidR="00E26EF6" w:rsidRPr="00E26EF6">
              <w:rPr>
                <w:rStyle w:val="FormatvorlageInstructionsTabelleText"/>
                <w:rFonts w:ascii="Times New Roman" w:hAnsi="Times New Roman"/>
                <w:sz w:val="24"/>
              </w:rPr>
              <w:t xml:space="preserve"> w nas</w:t>
            </w:r>
            <w:r w:rsidRPr="00E26EF6">
              <w:rPr>
                <w:rStyle w:val="FormatvorlageInstructionsTabelleText"/>
                <w:rFonts w:ascii="Times New Roman" w:hAnsi="Times New Roman"/>
                <w:sz w:val="24"/>
              </w:rPr>
              <w:t>tępujący sposób:</w:t>
            </w:r>
          </w:p>
          <w:p w14:paraId="2973FA5A" w14:textId="772425E6" w:rsidR="00915077" w:rsidRPr="00E26EF6" w:rsidRDefault="00802958">
            <w:pPr>
              <w:pStyle w:val="InstructionsText"/>
              <w:rPr>
                <w:rStyle w:val="FormatvorlageInstructionsTabelleText"/>
                <w:rFonts w:ascii="Times New Roman" w:hAnsi="Times New Roman"/>
                <w:sz w:val="24"/>
              </w:rPr>
            </w:pPr>
            <w:r w:rsidRPr="00E26EF6">
              <w:rPr>
                <w:rStyle w:val="FormatvorlageInstructionsTabelleText"/>
                <w:rFonts w:ascii="Arial" w:hAnsi="Arial"/>
                <w:sz w:val="24"/>
              </w:rPr>
              <w:t>-</w:t>
            </w:r>
            <w:r w:rsidRPr="00E26EF6">
              <w:rPr>
                <w:rStyle w:val="FormatvorlageInstructionsTabelleText"/>
                <w:rFonts w:ascii="Arial" w:hAnsi="Arial"/>
                <w:sz w:val="24"/>
              </w:rPr>
              <w:tab/>
            </w:r>
            <w:r w:rsidRPr="00E26EF6">
              <w:rPr>
                <w:rStyle w:val="FormatvorlageInstructionsTabelleText"/>
                <w:rFonts w:ascii="Times New Roman" w:hAnsi="Times New Roman"/>
                <w:sz w:val="24"/>
              </w:rPr>
              <w:t xml:space="preserve">jeżeli </w:t>
            </w:r>
            <w:r w:rsidRPr="00E26EF6">
              <w:t>kwota</w:t>
            </w:r>
            <w:r w:rsidRPr="00E26EF6">
              <w:rPr>
                <w:rStyle w:val="FormatvorlageInstructionsTabelleText"/>
                <w:rFonts w:ascii="Times New Roman" w:hAnsi="Times New Roman"/>
                <w:sz w:val="24"/>
              </w:rPr>
              <w:t>,</w:t>
            </w:r>
            <w:r w:rsidR="00E26EF6" w:rsidRPr="00E26EF6">
              <w:rPr>
                <w:rStyle w:val="FormatvorlageInstructionsTabelleText"/>
                <w:rFonts w:ascii="Times New Roman" w:hAnsi="Times New Roman"/>
                <w:sz w:val="24"/>
              </w:rPr>
              <w:t xml:space="preserve"> o któ</w:t>
            </w:r>
            <w:r w:rsidRPr="00E26EF6">
              <w:rPr>
                <w:rStyle w:val="FormatvorlageInstructionsTabelleText"/>
                <w:rFonts w:ascii="Times New Roman" w:hAnsi="Times New Roman"/>
                <w:sz w:val="24"/>
              </w:rPr>
              <w:t>rej mowa</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a) CRR, jest większa niż kwota,</w:t>
            </w:r>
            <w:r w:rsidR="00E26EF6" w:rsidRPr="00E26EF6">
              <w:rPr>
                <w:rStyle w:val="FormatvorlageInstructionsTabelleText"/>
                <w:rFonts w:ascii="Times New Roman" w:hAnsi="Times New Roman"/>
                <w:sz w:val="24"/>
              </w:rPr>
              <w:t xml:space="preserve"> o któ</w:t>
            </w:r>
            <w:r w:rsidRPr="00E26EF6">
              <w:rPr>
                <w:rStyle w:val="FormatvorlageInstructionsTabelleText"/>
                <w:rFonts w:ascii="Times New Roman" w:hAnsi="Times New Roman"/>
                <w:sz w:val="24"/>
              </w:rPr>
              <w:t>rej mowa</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 zgłaszają kwotę równą zero;</w:t>
            </w:r>
          </w:p>
          <w:p w14:paraId="6158174D" w14:textId="06B273FE"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Arial" w:hAnsi="Arial"/>
                <w:sz w:val="24"/>
              </w:rPr>
              <w:t>-</w:t>
            </w:r>
            <w:r w:rsidRPr="00E26EF6">
              <w:rPr>
                <w:rStyle w:val="FormatvorlageInstructionsTabelleText"/>
                <w:rFonts w:ascii="Arial" w:hAnsi="Arial"/>
                <w:sz w:val="24"/>
              </w:rPr>
              <w:tab/>
            </w:r>
            <w:r w:rsidRPr="00E26EF6">
              <w:rPr>
                <w:rStyle w:val="FormatvorlageInstructionsTabelleText"/>
                <w:rFonts w:ascii="Times New Roman" w:hAnsi="Times New Roman"/>
                <w:sz w:val="24"/>
              </w:rPr>
              <w:t xml:space="preserve">jeżeli </w:t>
            </w:r>
            <w:r w:rsidRPr="00E26EF6">
              <w:t>kwota</w:t>
            </w:r>
            <w:r w:rsidRPr="00E26EF6">
              <w:rPr>
                <w:rStyle w:val="FormatvorlageInstructionsTabelleText"/>
                <w:rFonts w:ascii="Times New Roman" w:hAnsi="Times New Roman"/>
                <w:sz w:val="24"/>
              </w:rPr>
              <w:t>,</w:t>
            </w:r>
            <w:r w:rsidR="00E26EF6" w:rsidRPr="00E26EF6">
              <w:rPr>
                <w:rStyle w:val="FormatvorlageInstructionsTabelleText"/>
                <w:rFonts w:ascii="Times New Roman" w:hAnsi="Times New Roman"/>
                <w:sz w:val="24"/>
              </w:rPr>
              <w:t xml:space="preserve"> o któ</w:t>
            </w:r>
            <w:r w:rsidRPr="00E26EF6">
              <w:rPr>
                <w:rStyle w:val="FormatvorlageInstructionsTabelleText"/>
                <w:rFonts w:ascii="Times New Roman" w:hAnsi="Times New Roman"/>
                <w:sz w:val="24"/>
              </w:rPr>
              <w:t>rej mowa</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CRR, jest większa niż kwota,</w:t>
            </w:r>
            <w:r w:rsidR="00E26EF6" w:rsidRPr="00E26EF6">
              <w:rPr>
                <w:rStyle w:val="FormatvorlageInstructionsTabelleText"/>
                <w:rFonts w:ascii="Times New Roman" w:hAnsi="Times New Roman"/>
                <w:sz w:val="24"/>
              </w:rPr>
              <w:t xml:space="preserve"> o któ</w:t>
            </w:r>
            <w:r w:rsidRPr="00E26EF6">
              <w:rPr>
                <w:rStyle w:val="FormatvorlageInstructionsTabelleText"/>
                <w:rFonts w:ascii="Times New Roman" w:hAnsi="Times New Roman"/>
                <w:sz w:val="24"/>
              </w:rPr>
              <w:t>rej mowa</w:t>
            </w:r>
            <w:r w:rsidR="00E26EF6" w:rsidRPr="00E26EF6">
              <w:rPr>
                <w:rStyle w:val="FormatvorlageInstructionsTabelleText"/>
                <w:rFonts w:ascii="Times New Roman" w:hAnsi="Times New Roman"/>
                <w:sz w:val="24"/>
              </w:rPr>
              <w:t xml:space="preserve"> w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95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a) CRR, zgłaszają kwotę będącą wynikiem odjęcia tej drugiej kwoty od pierwszej. </w:t>
            </w:r>
          </w:p>
        </w:tc>
      </w:tr>
      <w:tr w:rsidR="00915077" w:rsidRPr="00E26EF6" w14:paraId="74E989F8" w14:textId="77777777" w:rsidTr="00672D2A">
        <w:tc>
          <w:tcPr>
            <w:tcW w:w="1591" w:type="dxa"/>
          </w:tcPr>
          <w:p w14:paraId="31ED6297"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640</w:t>
            </w:r>
          </w:p>
        </w:tc>
        <w:tc>
          <w:tcPr>
            <w:tcW w:w="7274" w:type="dxa"/>
          </w:tcPr>
          <w:p w14:paraId="7AEBFFA3"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1.6</w:t>
            </w:r>
            <w:r w:rsidRPr="00E26EF6">
              <w:rPr>
                <w:rStyle w:val="InstructionsTabelleberschrift"/>
                <w:rFonts w:ascii="Times New Roman" w:hAnsi="Times New Roman"/>
                <w:sz w:val="24"/>
              </w:rPr>
              <w:tab/>
              <w:t>ŁĄCZNA KWOTA EKSPOZYCJI NA RYZYKO Z TYTUŁU KOREKTY WYCENY KREDYTOWEJ</w:t>
            </w:r>
          </w:p>
          <w:p w14:paraId="4ABB06AD" w14:textId="2924C8B4" w:rsidR="00915077" w:rsidRPr="00E26EF6" w:rsidRDefault="006A6822">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92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3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d) CRR</w:t>
            </w:r>
          </w:p>
          <w:p w14:paraId="03FBFB6F" w14:textId="02BD4349" w:rsidR="00915077" w:rsidRPr="00E26EF6" w:rsidRDefault="00802958">
            <w:pPr>
              <w:pStyle w:val="InstructionsText"/>
              <w:rPr>
                <w:rStyle w:val="FormatvorlageInstructionsTabelleText"/>
                <w:rFonts w:ascii="Times New Roman" w:hAnsi="Times New Roman"/>
                <w:bCs w:val="0"/>
                <w:sz w:val="24"/>
                <w:highlight w:val="lightGray"/>
              </w:rPr>
            </w:pPr>
            <w:r w:rsidRPr="00E26EF6">
              <w:rPr>
                <w:rStyle w:val="InstructionsTabelleberschrift"/>
                <w:rFonts w:ascii="Times New Roman" w:hAnsi="Times New Roman"/>
                <w:b w:val="0"/>
                <w:sz w:val="24"/>
                <w:u w:val="none"/>
              </w:rPr>
              <w:t>Zob. wzór CVA.</w:t>
            </w:r>
            <w:r w:rsidRPr="00E26EF6">
              <w:rPr>
                <w:rStyle w:val="FormatvorlageInstructionsTabelleText"/>
                <w:rFonts w:ascii="Times New Roman" w:hAnsi="Times New Roman"/>
                <w:sz w:val="24"/>
              </w:rPr>
              <w:t xml:space="preserve"> </w:t>
            </w:r>
          </w:p>
        </w:tc>
      </w:tr>
      <w:tr w:rsidR="00915077" w:rsidRPr="00E26EF6" w14:paraId="6E44CB89" w14:textId="77777777" w:rsidTr="00672D2A">
        <w:tc>
          <w:tcPr>
            <w:tcW w:w="1591" w:type="dxa"/>
          </w:tcPr>
          <w:p w14:paraId="3E5ED539"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650</w:t>
            </w:r>
          </w:p>
        </w:tc>
        <w:tc>
          <w:tcPr>
            <w:tcW w:w="7274" w:type="dxa"/>
          </w:tcPr>
          <w:p w14:paraId="5726B55C" w14:textId="77777777" w:rsidR="00915077" w:rsidRPr="00E26EF6" w:rsidRDefault="00802958">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1.6.1</w:t>
            </w:r>
            <w:r w:rsidRPr="00E26EF6">
              <w:rPr>
                <w:rStyle w:val="InstructionsTabelleberschrift"/>
                <w:rFonts w:ascii="Times New Roman" w:hAnsi="Times New Roman"/>
                <w:sz w:val="24"/>
              </w:rPr>
              <w:tab/>
              <w:t>Metoda zaawansowana</w:t>
            </w:r>
          </w:p>
          <w:p w14:paraId="03087978" w14:textId="011C0FAF" w:rsidR="00915077" w:rsidRPr="00E26EF6" w:rsidRDefault="00802958">
            <w:pPr>
              <w:rPr>
                <w:rStyle w:val="FormatvorlageInstructionsTabelleText"/>
                <w:rFonts w:ascii="Times New Roman" w:hAnsi="Times New Roman"/>
                <w:sz w:val="24"/>
              </w:rPr>
            </w:pPr>
            <w:r w:rsidRPr="00E26EF6">
              <w:rPr>
                <w:rStyle w:val="FormatvorlageInstructionsTabelleText"/>
                <w:rFonts w:ascii="Times New Roman" w:hAnsi="Times New Roman"/>
                <w:sz w:val="24"/>
              </w:rPr>
              <w:t>Wymogi</w:t>
            </w:r>
            <w:r w:rsidR="00E26EF6" w:rsidRPr="00E26EF6">
              <w:rPr>
                <w:rStyle w:val="FormatvorlageInstructionsTabelleText"/>
                <w:rFonts w:ascii="Times New Roman" w:hAnsi="Times New Roman"/>
                <w:sz w:val="24"/>
              </w:rPr>
              <w:t xml:space="preserve"> w zak</w:t>
            </w:r>
            <w:r w:rsidRPr="00E26EF6">
              <w:rPr>
                <w:rStyle w:val="FormatvorlageInstructionsTabelleText"/>
                <w:rFonts w:ascii="Times New Roman" w:hAnsi="Times New Roman"/>
                <w:sz w:val="24"/>
              </w:rPr>
              <w:t>resie funduszy własnych</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ryzyka związanego</w:t>
            </w:r>
            <w:r w:rsidR="00E26EF6" w:rsidRPr="00E26EF6">
              <w:rPr>
                <w:rStyle w:val="FormatvorlageInstructionsTabelleText"/>
                <w:rFonts w:ascii="Times New Roman" w:hAnsi="Times New Roman"/>
                <w:sz w:val="24"/>
              </w:rPr>
              <w:t xml:space="preserve"> z kor</w:t>
            </w:r>
            <w:r w:rsidRPr="00E26EF6">
              <w:rPr>
                <w:rStyle w:val="FormatvorlageInstructionsTabelleText"/>
                <w:rFonts w:ascii="Times New Roman" w:hAnsi="Times New Roman"/>
                <w:sz w:val="24"/>
              </w:rPr>
              <w:t>ektą wyceny kredytowej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383 CRR.</w:t>
            </w:r>
          </w:p>
          <w:p w14:paraId="7728AB69" w14:textId="7F4084C5"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CVA.</w:t>
            </w:r>
          </w:p>
        </w:tc>
      </w:tr>
      <w:tr w:rsidR="00915077" w:rsidRPr="00E26EF6" w14:paraId="0434AAFF" w14:textId="77777777" w:rsidTr="00672D2A">
        <w:tc>
          <w:tcPr>
            <w:tcW w:w="1591" w:type="dxa"/>
          </w:tcPr>
          <w:p w14:paraId="6041495E"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660</w:t>
            </w:r>
          </w:p>
        </w:tc>
        <w:tc>
          <w:tcPr>
            <w:tcW w:w="7274" w:type="dxa"/>
          </w:tcPr>
          <w:p w14:paraId="43A88C11" w14:textId="77777777" w:rsidR="00915077" w:rsidRPr="00E26EF6" w:rsidRDefault="00802958">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1.6.2</w:t>
            </w:r>
            <w:r w:rsidRPr="00E26EF6">
              <w:rPr>
                <w:rStyle w:val="InstructionsTabelleberschrift"/>
                <w:rFonts w:ascii="Times New Roman" w:hAnsi="Times New Roman"/>
                <w:sz w:val="24"/>
              </w:rPr>
              <w:tab/>
              <w:t>Metoda standardowa</w:t>
            </w:r>
          </w:p>
          <w:p w14:paraId="341237C0" w14:textId="2785474C" w:rsidR="00915077" w:rsidRPr="00E26EF6" w:rsidRDefault="00802958">
            <w:pPr>
              <w:rPr>
                <w:rStyle w:val="FormatvorlageInstructionsTabelleText"/>
                <w:rFonts w:ascii="Times New Roman" w:hAnsi="Times New Roman"/>
                <w:sz w:val="24"/>
              </w:rPr>
            </w:pPr>
            <w:r w:rsidRPr="00E26EF6">
              <w:rPr>
                <w:rStyle w:val="FormatvorlageInstructionsTabelleText"/>
                <w:rFonts w:ascii="Times New Roman" w:hAnsi="Times New Roman"/>
                <w:sz w:val="24"/>
              </w:rPr>
              <w:t>Wymogi</w:t>
            </w:r>
            <w:r w:rsidR="00E26EF6" w:rsidRPr="00E26EF6">
              <w:rPr>
                <w:rStyle w:val="FormatvorlageInstructionsTabelleText"/>
                <w:rFonts w:ascii="Times New Roman" w:hAnsi="Times New Roman"/>
                <w:sz w:val="24"/>
              </w:rPr>
              <w:t xml:space="preserve"> w zak</w:t>
            </w:r>
            <w:r w:rsidRPr="00E26EF6">
              <w:rPr>
                <w:rStyle w:val="FormatvorlageInstructionsTabelleText"/>
                <w:rFonts w:ascii="Times New Roman" w:hAnsi="Times New Roman"/>
                <w:sz w:val="24"/>
              </w:rPr>
              <w:t>resie funduszy własnych</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ryzyka związanego</w:t>
            </w:r>
            <w:r w:rsidR="00E26EF6" w:rsidRPr="00E26EF6">
              <w:rPr>
                <w:rStyle w:val="FormatvorlageInstructionsTabelleText"/>
                <w:rFonts w:ascii="Times New Roman" w:hAnsi="Times New Roman"/>
                <w:sz w:val="24"/>
              </w:rPr>
              <w:t xml:space="preserve"> z kor</w:t>
            </w:r>
            <w:r w:rsidRPr="00E26EF6">
              <w:rPr>
                <w:rStyle w:val="FormatvorlageInstructionsTabelleText"/>
                <w:rFonts w:ascii="Times New Roman" w:hAnsi="Times New Roman"/>
                <w:sz w:val="24"/>
              </w:rPr>
              <w:t>ektą wyceny kredytowej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384 CRR. </w:t>
            </w:r>
          </w:p>
          <w:p w14:paraId="39F196D8" w14:textId="77777777" w:rsidR="00915077" w:rsidRPr="00E26EF6" w:rsidRDefault="00802958">
            <w:pPr>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Zob. wzór CVA.</w:t>
            </w:r>
          </w:p>
        </w:tc>
      </w:tr>
      <w:tr w:rsidR="00915077" w:rsidRPr="00E26EF6" w14:paraId="18F81D0E" w14:textId="77777777" w:rsidTr="00672D2A">
        <w:tc>
          <w:tcPr>
            <w:tcW w:w="1591" w:type="dxa"/>
          </w:tcPr>
          <w:p w14:paraId="7390B9E5"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670</w:t>
            </w:r>
          </w:p>
        </w:tc>
        <w:tc>
          <w:tcPr>
            <w:tcW w:w="7274" w:type="dxa"/>
          </w:tcPr>
          <w:p w14:paraId="12388E6A" w14:textId="77777777" w:rsidR="00915077" w:rsidRPr="00E26EF6" w:rsidRDefault="00802958">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1.6.3.</w:t>
            </w:r>
            <w:r w:rsidRPr="00E26EF6">
              <w:rPr>
                <w:rStyle w:val="InstructionsTabelleberschrift"/>
                <w:rFonts w:ascii="Times New Roman" w:hAnsi="Times New Roman"/>
                <w:sz w:val="24"/>
              </w:rPr>
              <w:tab/>
              <w:t>Na podstawie metody wyceny pierwotnej ekspozycji</w:t>
            </w:r>
          </w:p>
          <w:p w14:paraId="1EBC34AD" w14:textId="6F937FC8" w:rsidR="00915077" w:rsidRPr="00E26EF6" w:rsidRDefault="0080295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Wymogi</w:t>
            </w:r>
            <w:r w:rsidR="00E26EF6" w:rsidRPr="00E26EF6">
              <w:rPr>
                <w:rStyle w:val="FormatvorlageInstructionsTabelleText"/>
                <w:rFonts w:ascii="Times New Roman" w:hAnsi="Times New Roman"/>
                <w:sz w:val="24"/>
              </w:rPr>
              <w:t xml:space="preserve"> w zak</w:t>
            </w:r>
            <w:r w:rsidRPr="00E26EF6">
              <w:rPr>
                <w:rStyle w:val="FormatvorlageInstructionsTabelleText"/>
                <w:rFonts w:ascii="Times New Roman" w:hAnsi="Times New Roman"/>
                <w:sz w:val="24"/>
              </w:rPr>
              <w:t>resie funduszy własnych</w:t>
            </w:r>
            <w:r w:rsidR="00E26EF6" w:rsidRPr="00E26EF6">
              <w:rPr>
                <w:rStyle w:val="FormatvorlageInstructionsTabelleText"/>
                <w:rFonts w:ascii="Times New Roman" w:hAnsi="Times New Roman"/>
                <w:sz w:val="24"/>
              </w:rPr>
              <w:t xml:space="preserve"> z tyt</w:t>
            </w:r>
            <w:r w:rsidRPr="00E26EF6">
              <w:rPr>
                <w:rStyle w:val="FormatvorlageInstructionsTabelleText"/>
                <w:rFonts w:ascii="Times New Roman" w:hAnsi="Times New Roman"/>
                <w:sz w:val="24"/>
              </w:rPr>
              <w:t>ułu ryzyka związanego</w:t>
            </w:r>
            <w:r w:rsidR="00E26EF6" w:rsidRPr="00E26EF6">
              <w:rPr>
                <w:rStyle w:val="FormatvorlageInstructionsTabelleText"/>
                <w:rFonts w:ascii="Times New Roman" w:hAnsi="Times New Roman"/>
                <w:sz w:val="24"/>
              </w:rPr>
              <w:t xml:space="preserve"> z kor</w:t>
            </w:r>
            <w:r w:rsidRPr="00E26EF6">
              <w:rPr>
                <w:rStyle w:val="FormatvorlageInstructionsTabelleText"/>
                <w:rFonts w:ascii="Times New Roman" w:hAnsi="Times New Roman"/>
                <w:sz w:val="24"/>
              </w:rPr>
              <w:t>ektą wyceny kredytowej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385 CRR. </w:t>
            </w:r>
          </w:p>
          <w:p w14:paraId="353DA538" w14:textId="77777777" w:rsidR="00915077" w:rsidRPr="00E26EF6" w:rsidRDefault="00802958">
            <w:pPr>
              <w:pStyle w:val="InstructionsText"/>
              <w:rPr>
                <w:rStyle w:val="InstructionsTabelleberschrift"/>
                <w:rFonts w:ascii="Times New Roman" w:hAnsi="Times New Roman"/>
                <w:b w:val="0"/>
                <w:bCs w:val="0"/>
                <w:sz w:val="24"/>
                <w:highlight w:val="lightGray"/>
                <w:u w:val="none"/>
              </w:rPr>
            </w:pPr>
            <w:r w:rsidRPr="00E26EF6">
              <w:rPr>
                <w:rStyle w:val="FormatvorlageInstructionsTabelleText"/>
                <w:rFonts w:ascii="Times New Roman" w:hAnsi="Times New Roman"/>
                <w:sz w:val="24"/>
              </w:rPr>
              <w:t>Zob. wzór CVA.</w:t>
            </w:r>
          </w:p>
        </w:tc>
      </w:tr>
      <w:tr w:rsidR="00915077" w:rsidRPr="00E26EF6" w14:paraId="7F433145" w14:textId="77777777" w:rsidTr="00672D2A">
        <w:tc>
          <w:tcPr>
            <w:tcW w:w="1591" w:type="dxa"/>
          </w:tcPr>
          <w:p w14:paraId="017F4F0C" w14:textId="77777777" w:rsidR="00915077" w:rsidRPr="00E26EF6" w:rsidRDefault="00802958">
            <w:pPr>
              <w:pStyle w:val="InstructionsText"/>
              <w:rPr>
                <w:rStyle w:val="FormatvorlageInstructionsTabelleText"/>
                <w:rFonts w:ascii="Times New Roman" w:hAnsi="Times New Roman"/>
                <w:bCs w:val="0"/>
                <w:sz w:val="24"/>
                <w:highlight w:val="lightGray"/>
              </w:rPr>
            </w:pPr>
            <w:r w:rsidRPr="00E26EF6">
              <w:rPr>
                <w:rStyle w:val="FormatvorlageInstructionsTabelleText"/>
                <w:rFonts w:ascii="Times New Roman" w:hAnsi="Times New Roman"/>
                <w:sz w:val="24"/>
              </w:rPr>
              <w:t>680</w:t>
            </w:r>
          </w:p>
        </w:tc>
        <w:tc>
          <w:tcPr>
            <w:tcW w:w="7274" w:type="dxa"/>
          </w:tcPr>
          <w:p w14:paraId="0C08323D" w14:textId="77777777" w:rsidR="00915077" w:rsidRPr="00E26EF6" w:rsidRDefault="00802958">
            <w:pPr>
              <w:pStyle w:val="InstructionsText"/>
              <w:rPr>
                <w:rStyle w:val="FormatvorlageInstructionsTabelleText"/>
                <w:rFonts w:ascii="Times New Roman" w:hAnsi="Times New Roman"/>
                <w:b/>
                <w:bCs w:val="0"/>
                <w:sz w:val="24"/>
                <w:u w:val="single"/>
              </w:rPr>
            </w:pPr>
            <w:r w:rsidRPr="00E26EF6">
              <w:rPr>
                <w:rStyle w:val="InstructionsTabelleberschrift"/>
                <w:rFonts w:ascii="Times New Roman" w:hAnsi="Times New Roman"/>
                <w:sz w:val="24"/>
              </w:rPr>
              <w:t>1.7</w:t>
            </w:r>
            <w:r w:rsidRPr="00E26EF6">
              <w:rPr>
                <w:rStyle w:val="InstructionsTabelleberschrift"/>
                <w:rFonts w:ascii="Times New Roman" w:hAnsi="Times New Roman"/>
                <w:sz w:val="24"/>
              </w:rPr>
              <w:tab/>
              <w:t>ŁĄCZNA KWOTA EKSPOZYCJI NA RYZYKO Z TYTUŁU DUŻYCH EKSPOZYCJI W PORTFELU HANDLOWYM</w:t>
            </w:r>
          </w:p>
          <w:p w14:paraId="317C0E73" w14:textId="3025BAB4" w:rsidR="00915077" w:rsidRPr="00E26EF6" w:rsidRDefault="006A6822">
            <w:pPr>
              <w:pStyle w:val="InstructionsText"/>
              <w:rPr>
                <w:rStyle w:val="FormatvorlageInstructionsTabelleText"/>
                <w:rFonts w:ascii="Times New Roman" w:hAnsi="Times New Roman"/>
                <w:bCs w:val="0"/>
                <w:sz w:val="24"/>
                <w:highlight w:val="lightGray"/>
              </w:rPr>
            </w:pPr>
            <w:r w:rsidRPr="00E26EF6">
              <w:rPr>
                <w:rStyle w:val="FormatvorlageInstructionsTabelleText"/>
                <w:rFonts w:ascii="Times New Roman" w:hAnsi="Times New Roman"/>
                <w:sz w:val="24"/>
              </w:rPr>
              <w:t>Art. 92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b) ppkt (ii) oraz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395–401 CRR</w:t>
            </w:r>
          </w:p>
        </w:tc>
      </w:tr>
      <w:tr w:rsidR="00915077" w:rsidRPr="00E26EF6" w14:paraId="5CF4A89A" w14:textId="77777777" w:rsidTr="00672D2A">
        <w:tc>
          <w:tcPr>
            <w:tcW w:w="1591" w:type="dxa"/>
          </w:tcPr>
          <w:p w14:paraId="4FC6244E"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lastRenderedPageBreak/>
              <w:t>690</w:t>
            </w:r>
          </w:p>
        </w:tc>
        <w:tc>
          <w:tcPr>
            <w:tcW w:w="7274" w:type="dxa"/>
          </w:tcPr>
          <w:p w14:paraId="7F6BACB5" w14:textId="77777777"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1.8</w:t>
            </w:r>
            <w:r w:rsidRPr="00E26EF6">
              <w:rPr>
                <w:rStyle w:val="InstructionsTabelleberschrift"/>
                <w:rFonts w:ascii="Times New Roman" w:hAnsi="Times New Roman"/>
                <w:sz w:val="24"/>
              </w:rPr>
              <w:tab/>
              <w:t>KWOTY INNYCH EKSPOZYCJI NA RYZYKO</w:t>
            </w:r>
          </w:p>
          <w:p w14:paraId="60CD9CEE" w14:textId="278DB6CF" w:rsidR="00915077" w:rsidRPr="00E26EF6" w:rsidRDefault="00802958">
            <w:pPr>
              <w:pStyle w:val="InstructionsText"/>
              <w:rPr>
                <w:rStyle w:val="InstructionsTabelleberschrift"/>
                <w:rFonts w:ascii="Times New Roman" w:hAnsi="Times New Roman"/>
                <w:b w:val="0"/>
                <w:bCs w:val="0"/>
                <w:sz w:val="24"/>
                <w:u w:val="none"/>
              </w:rPr>
            </w:pPr>
            <w:r w:rsidRPr="00E26EF6">
              <w:rPr>
                <w:rStyle w:val="InstructionsTabelleberschrift"/>
                <w:rFonts w:ascii="Times New Roman" w:hAnsi="Times New Roman"/>
                <w:b w:val="0"/>
                <w:sz w:val="24"/>
                <w:u w:val="none"/>
              </w:rPr>
              <w:t>Art. 3, 458</w:t>
            </w:r>
            <w:r w:rsidR="00E26EF6" w:rsidRPr="00E26EF6">
              <w:rPr>
                <w:rStyle w:val="InstructionsTabelleberschrift"/>
                <w:rFonts w:ascii="Times New Roman" w:hAnsi="Times New Roman"/>
                <w:b w:val="0"/>
                <w:sz w:val="24"/>
                <w:u w:val="none"/>
              </w:rPr>
              <w:t xml:space="preserve"> i 4</w:t>
            </w:r>
            <w:r w:rsidRPr="00E26EF6">
              <w:rPr>
                <w:rStyle w:val="InstructionsTabelleberschrift"/>
                <w:rFonts w:ascii="Times New Roman" w:hAnsi="Times New Roman"/>
                <w:b w:val="0"/>
                <w:sz w:val="24"/>
                <w:u w:val="none"/>
              </w:rPr>
              <w:t>59 CRR oraz kwoty ekspozycji na ryzyko, których nie można przypisać do jednej</w:t>
            </w:r>
            <w:r w:rsidR="00E26EF6" w:rsidRPr="00E26EF6">
              <w:rPr>
                <w:rStyle w:val="InstructionsTabelleberschrift"/>
                <w:rFonts w:ascii="Times New Roman" w:hAnsi="Times New Roman"/>
                <w:b w:val="0"/>
                <w:sz w:val="24"/>
                <w:u w:val="none"/>
              </w:rPr>
              <w:t xml:space="preserve"> z poz</w:t>
            </w:r>
            <w:r w:rsidRPr="00E26EF6">
              <w:rPr>
                <w:rStyle w:val="InstructionsTabelleberschrift"/>
                <w:rFonts w:ascii="Times New Roman" w:hAnsi="Times New Roman"/>
                <w:b w:val="0"/>
                <w:sz w:val="24"/>
                <w:u w:val="none"/>
              </w:rPr>
              <w:t>ycji od</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1.1 </w:t>
            </w:r>
            <w:proofErr w:type="gramStart"/>
            <w:r w:rsidRPr="00E26EF6">
              <w:rPr>
                <w:rStyle w:val="InstructionsTabelleberschrift"/>
                <w:rFonts w:ascii="Times New Roman" w:hAnsi="Times New Roman"/>
                <w:b w:val="0"/>
                <w:sz w:val="24"/>
                <w:u w:val="none"/>
              </w:rPr>
              <w:t>do</w:t>
            </w:r>
            <w:proofErr w:type="gramEnd"/>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1.7. </w:t>
            </w:r>
          </w:p>
          <w:p w14:paraId="4B0A35FF" w14:textId="77777777" w:rsidR="00915077" w:rsidRPr="00E26EF6" w:rsidRDefault="00802958">
            <w:pPr>
              <w:pStyle w:val="InstructionsText"/>
              <w:rPr>
                <w:rStyle w:val="InstructionsTabelleberschrift"/>
                <w:rFonts w:ascii="Times New Roman" w:hAnsi="Times New Roman"/>
                <w:b w:val="0"/>
                <w:bCs w:val="0"/>
                <w:sz w:val="24"/>
                <w:u w:val="none"/>
              </w:rPr>
            </w:pPr>
            <w:r w:rsidRPr="00E26EF6">
              <w:rPr>
                <w:rStyle w:val="InstructionsTabelleberschrift"/>
                <w:rFonts w:ascii="Times New Roman" w:hAnsi="Times New Roman"/>
                <w:b w:val="0"/>
                <w:sz w:val="24"/>
                <w:u w:val="none"/>
              </w:rPr>
              <w:t>Instytucje zgłaszają kwoty niezbędne do osiągnięcia zgodności z:</w:t>
            </w:r>
          </w:p>
          <w:p w14:paraId="61C641D0" w14:textId="1E7869AC" w:rsidR="00915077" w:rsidRPr="00E26EF6" w:rsidRDefault="00802958">
            <w:pPr>
              <w:pStyle w:val="InstructionsText"/>
              <w:rPr>
                <w:rStyle w:val="InstructionsTabelleberschrift"/>
                <w:rFonts w:ascii="Times New Roman" w:hAnsi="Times New Roman"/>
                <w:b w:val="0"/>
                <w:bCs w:val="0"/>
                <w:sz w:val="24"/>
                <w:u w:val="none"/>
              </w:rPr>
            </w:pPr>
            <w:r w:rsidRPr="00E26EF6">
              <w:rPr>
                <w:rStyle w:val="InstructionsTabelleberschrift"/>
                <w:rFonts w:ascii="Times New Roman" w:hAnsi="Times New Roman"/>
                <w:b w:val="0"/>
                <w:sz w:val="24"/>
                <w:u w:val="none"/>
              </w:rPr>
              <w:t>Surowszymi wymogami ostrożnościowymi nałożonymi przez Komisję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458</w:t>
            </w:r>
            <w:r w:rsidR="00E26EF6" w:rsidRPr="00E26EF6">
              <w:rPr>
                <w:rStyle w:val="InstructionsTabelleberschrift"/>
                <w:rFonts w:ascii="Times New Roman" w:hAnsi="Times New Roman"/>
                <w:b w:val="0"/>
                <w:sz w:val="24"/>
                <w:u w:val="none"/>
              </w:rPr>
              <w:t xml:space="preserve"> i 4</w:t>
            </w:r>
            <w:r w:rsidRPr="00E26EF6">
              <w:rPr>
                <w:rStyle w:val="InstructionsTabelleberschrift"/>
                <w:rFonts w:ascii="Times New Roman" w:hAnsi="Times New Roman"/>
                <w:b w:val="0"/>
                <w:sz w:val="24"/>
                <w:u w:val="none"/>
              </w:rPr>
              <w:t xml:space="preserve">59 CRR. </w:t>
            </w:r>
          </w:p>
          <w:p w14:paraId="0DD7C206" w14:textId="7E7F0668" w:rsidR="00915077" w:rsidRPr="00E26EF6" w:rsidRDefault="00802958">
            <w:pPr>
              <w:pStyle w:val="InstructionsText"/>
              <w:rPr>
                <w:rStyle w:val="InstructionsTabelleberschrift"/>
                <w:rFonts w:ascii="Times New Roman" w:hAnsi="Times New Roman"/>
                <w:b w:val="0"/>
                <w:bCs w:val="0"/>
                <w:sz w:val="24"/>
                <w:u w:val="none"/>
              </w:rPr>
            </w:pPr>
            <w:r w:rsidRPr="00E26EF6">
              <w:rPr>
                <w:rStyle w:val="InstructionsTabelleberschrift"/>
                <w:rFonts w:ascii="Times New Roman" w:hAnsi="Times New Roman"/>
                <w:b w:val="0"/>
                <w:sz w:val="24"/>
                <w:u w:val="none"/>
              </w:rPr>
              <w:t>Dodatkowymi kwotami ekspozycji na ryzyko</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3 CRR.</w:t>
            </w:r>
          </w:p>
          <w:p w14:paraId="293B2484" w14:textId="77777777" w:rsidR="00915077" w:rsidRPr="00E26EF6" w:rsidRDefault="00802958">
            <w:pPr>
              <w:pStyle w:val="InstructionsText"/>
              <w:rPr>
                <w:rStyle w:val="InstructionsTabelleberschrift"/>
                <w:rFonts w:ascii="Times New Roman" w:hAnsi="Times New Roman"/>
                <w:bCs w:val="0"/>
                <w:sz w:val="24"/>
                <w:highlight w:val="lightGray"/>
                <w:u w:val="none"/>
              </w:rPr>
            </w:pPr>
            <w:r w:rsidRPr="00E26EF6">
              <w:rPr>
                <w:rStyle w:val="InstructionsTabelleberschrift"/>
                <w:rFonts w:ascii="Times New Roman" w:hAnsi="Times New Roman"/>
                <w:b w:val="0"/>
                <w:sz w:val="24"/>
                <w:u w:val="none"/>
              </w:rPr>
              <w:t xml:space="preserve">Pozycja ta nie ma związku ze wzorem zawierającym szczegółowe informacje. </w:t>
            </w:r>
          </w:p>
        </w:tc>
      </w:tr>
      <w:tr w:rsidR="00915077" w:rsidRPr="00E26EF6" w14:paraId="118D557D" w14:textId="77777777" w:rsidTr="00672D2A">
        <w:tc>
          <w:tcPr>
            <w:tcW w:w="1591" w:type="dxa"/>
          </w:tcPr>
          <w:p w14:paraId="30F5152E"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710</w:t>
            </w:r>
          </w:p>
        </w:tc>
        <w:tc>
          <w:tcPr>
            <w:tcW w:w="7274" w:type="dxa"/>
          </w:tcPr>
          <w:p w14:paraId="453A5B81" w14:textId="2494CCCA"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1.8.2</w:t>
            </w:r>
            <w:r w:rsidRPr="00E26EF6">
              <w:rPr>
                <w:rStyle w:val="InstructionsTabelleberschrift"/>
                <w:rFonts w:ascii="Times New Roman" w:hAnsi="Times New Roman"/>
                <w:sz w:val="24"/>
              </w:rPr>
              <w:tab/>
              <w:t>W tym: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dodatkowych, surowszych wymogów ostrożnościowych na podstawie art.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458 CRR</w:t>
            </w:r>
          </w:p>
          <w:p w14:paraId="6AD53CE0" w14:textId="06898263" w:rsidR="00915077" w:rsidRPr="00E26EF6" w:rsidRDefault="00802958">
            <w:pPr>
              <w:pStyle w:val="InstructionsText"/>
              <w:rPr>
                <w:rStyle w:val="InstructionsTabelleberschrift"/>
                <w:rFonts w:ascii="Times New Roman" w:hAnsi="Times New Roman"/>
                <w:b w:val="0"/>
                <w:sz w:val="24"/>
                <w:highlight w:val="lightGray"/>
                <w:u w:val="none"/>
              </w:rPr>
            </w:pPr>
            <w:r w:rsidRPr="00E26EF6">
              <w:rPr>
                <w:rStyle w:val="FormatvorlageInstructionsTabelleText"/>
                <w:rFonts w:ascii="Times New Roman" w:hAnsi="Times New Roman"/>
                <w:sz w:val="24"/>
              </w:rPr>
              <w:t>Art. 458 CRR</w:t>
            </w:r>
          </w:p>
        </w:tc>
      </w:tr>
      <w:tr w:rsidR="00915077" w:rsidRPr="00E26EF6" w14:paraId="695B749E" w14:textId="77777777" w:rsidTr="00672D2A">
        <w:tc>
          <w:tcPr>
            <w:tcW w:w="1591" w:type="dxa"/>
          </w:tcPr>
          <w:p w14:paraId="7615567A"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720</w:t>
            </w:r>
          </w:p>
        </w:tc>
        <w:tc>
          <w:tcPr>
            <w:tcW w:w="7274" w:type="dxa"/>
          </w:tcPr>
          <w:p w14:paraId="2BA37DC2" w14:textId="75915D21" w:rsidR="00915077" w:rsidRPr="00E26EF6" w:rsidRDefault="00802958">
            <w:pPr>
              <w:pStyle w:val="InstructionsText"/>
            </w:pPr>
            <w:r w:rsidRPr="00E26EF6">
              <w:rPr>
                <w:rStyle w:val="InstructionsTabelleberschrift"/>
                <w:rFonts w:ascii="Times New Roman" w:hAnsi="Times New Roman"/>
                <w:sz w:val="24"/>
              </w:rPr>
              <w:t>1.8.2*</w:t>
            </w:r>
            <w:r w:rsidRPr="00E26EF6">
              <w:rPr>
                <w:rStyle w:val="InstructionsTabelleberschrift"/>
                <w:rFonts w:ascii="Times New Roman" w:hAnsi="Times New Roman"/>
                <w:sz w:val="24"/>
              </w:rPr>
              <w:tab/>
              <w:t>W tym: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wymogów dotyczących dużych ekspozycji</w:t>
            </w:r>
          </w:p>
          <w:p w14:paraId="3A1C43A2" w14:textId="645BCF34" w:rsidR="00915077" w:rsidRPr="00E26EF6" w:rsidRDefault="00802958">
            <w:pPr>
              <w:pStyle w:val="InstructionsText"/>
              <w:rPr>
                <w:rStyle w:val="InstructionsTabelleberschrift"/>
                <w:rFonts w:ascii="Times New Roman" w:hAnsi="Times New Roman"/>
                <w:sz w:val="24"/>
                <w:highlight w:val="lightGray"/>
              </w:rPr>
            </w:pPr>
            <w:r w:rsidRPr="00E26EF6">
              <w:t>Art. 458 CRR</w:t>
            </w:r>
          </w:p>
        </w:tc>
      </w:tr>
      <w:tr w:rsidR="00915077" w:rsidRPr="00E26EF6" w14:paraId="4806BF13" w14:textId="77777777" w:rsidTr="00672D2A">
        <w:tc>
          <w:tcPr>
            <w:tcW w:w="1591" w:type="dxa"/>
          </w:tcPr>
          <w:p w14:paraId="7495B846"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730</w:t>
            </w:r>
          </w:p>
        </w:tc>
        <w:tc>
          <w:tcPr>
            <w:tcW w:w="7274" w:type="dxa"/>
          </w:tcPr>
          <w:p w14:paraId="2ECB3E55" w14:textId="49754D62" w:rsidR="00915077" w:rsidRPr="00E26EF6" w:rsidRDefault="00802958">
            <w:pPr>
              <w:pStyle w:val="InstructionsText"/>
            </w:pPr>
            <w:r w:rsidRPr="00E26EF6">
              <w:rPr>
                <w:rStyle w:val="InstructionsTabelleberschrift"/>
                <w:rFonts w:ascii="Times New Roman" w:hAnsi="Times New Roman"/>
                <w:sz w:val="24"/>
              </w:rPr>
              <w:t>1.8.2**</w:t>
            </w:r>
            <w:r w:rsidRPr="00E26EF6">
              <w:rPr>
                <w:rStyle w:val="InstructionsTabelleberschrift"/>
                <w:rFonts w:ascii="Times New Roman" w:hAnsi="Times New Roman"/>
                <w:sz w:val="24"/>
              </w:rPr>
              <w:tab/>
              <w:t>W tym: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zmodyfikowanych wag ryzyka</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baniek spekulacyjnych dotyczących sektora nieruchomości mieszkalnych</w:t>
            </w:r>
            <w:r w:rsidR="00E26EF6" w:rsidRPr="00E26EF6">
              <w:rPr>
                <w:rStyle w:val="InstructionsTabelleberschrift"/>
                <w:rFonts w:ascii="Times New Roman" w:hAnsi="Times New Roman"/>
                <w:sz w:val="24"/>
              </w:rPr>
              <w:t xml:space="preserve"> i kom</w:t>
            </w:r>
            <w:r w:rsidRPr="00E26EF6">
              <w:rPr>
                <w:rStyle w:val="InstructionsTabelleberschrift"/>
                <w:rFonts w:ascii="Times New Roman" w:hAnsi="Times New Roman"/>
                <w:sz w:val="24"/>
              </w:rPr>
              <w:t>ercyjnych</w:t>
            </w:r>
          </w:p>
          <w:p w14:paraId="462301BE" w14:textId="3128E36B" w:rsidR="00915077" w:rsidRPr="00E26EF6" w:rsidRDefault="00802958">
            <w:pPr>
              <w:pStyle w:val="InstructionsText"/>
              <w:rPr>
                <w:rStyle w:val="InstructionsTabelleberschrift"/>
                <w:rFonts w:ascii="Times New Roman" w:hAnsi="Times New Roman"/>
                <w:sz w:val="24"/>
                <w:highlight w:val="lightGray"/>
              </w:rPr>
            </w:pPr>
            <w:r w:rsidRPr="00E26EF6">
              <w:t>Art. 458 CRR</w:t>
            </w:r>
          </w:p>
        </w:tc>
      </w:tr>
      <w:tr w:rsidR="00915077" w:rsidRPr="00E26EF6" w14:paraId="02369509" w14:textId="77777777" w:rsidTr="00672D2A">
        <w:tc>
          <w:tcPr>
            <w:tcW w:w="1591" w:type="dxa"/>
          </w:tcPr>
          <w:p w14:paraId="45DD08B4"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740</w:t>
            </w:r>
          </w:p>
        </w:tc>
        <w:tc>
          <w:tcPr>
            <w:tcW w:w="7274" w:type="dxa"/>
          </w:tcPr>
          <w:p w14:paraId="4BA3C233" w14:textId="4CFFE232" w:rsidR="00915077" w:rsidRPr="00E26EF6" w:rsidRDefault="00802958">
            <w:pPr>
              <w:pStyle w:val="InstructionsText"/>
            </w:pPr>
            <w:r w:rsidRPr="00E26EF6">
              <w:rPr>
                <w:rStyle w:val="InstructionsTabelleberschrift"/>
                <w:rFonts w:ascii="Times New Roman" w:hAnsi="Times New Roman"/>
                <w:sz w:val="24"/>
              </w:rPr>
              <w:t>1.8.2***</w:t>
            </w:r>
            <w:r w:rsidRPr="00E26EF6">
              <w:rPr>
                <w:rStyle w:val="InstructionsTabelleberschrift"/>
                <w:rFonts w:ascii="Times New Roman" w:hAnsi="Times New Roman"/>
                <w:sz w:val="24"/>
              </w:rPr>
              <w:tab/>
              <w:t>W tym: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ekspozycji wewnątrz sektora finansowego</w:t>
            </w:r>
          </w:p>
          <w:p w14:paraId="645DEC14" w14:textId="08A95E6F" w:rsidR="00915077" w:rsidRPr="00E26EF6" w:rsidRDefault="00802958">
            <w:pPr>
              <w:pStyle w:val="InstructionsText"/>
              <w:rPr>
                <w:rStyle w:val="InstructionsTabelleberschrift"/>
                <w:rFonts w:ascii="Times New Roman" w:hAnsi="Times New Roman"/>
                <w:sz w:val="24"/>
                <w:highlight w:val="lightGray"/>
              </w:rPr>
            </w:pPr>
            <w:r w:rsidRPr="00E26EF6">
              <w:t>Art. 458 CRR</w:t>
            </w:r>
          </w:p>
        </w:tc>
      </w:tr>
      <w:tr w:rsidR="00915077" w:rsidRPr="00E26EF6" w14:paraId="1A9359AA" w14:textId="77777777" w:rsidTr="00672D2A">
        <w:tc>
          <w:tcPr>
            <w:tcW w:w="1591" w:type="dxa"/>
          </w:tcPr>
          <w:p w14:paraId="03001E9D"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750</w:t>
            </w:r>
          </w:p>
        </w:tc>
        <w:tc>
          <w:tcPr>
            <w:tcW w:w="7274" w:type="dxa"/>
          </w:tcPr>
          <w:p w14:paraId="36A32430" w14:textId="7E12D5E9"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1.8.3</w:t>
            </w:r>
            <w:r w:rsidRPr="00E26EF6">
              <w:rPr>
                <w:rStyle w:val="InstructionsTabelleberschrift"/>
                <w:rFonts w:ascii="Times New Roman" w:hAnsi="Times New Roman"/>
                <w:sz w:val="24"/>
              </w:rPr>
              <w:tab/>
              <w:t>W tym: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dodatkowych, surowszych wymogów ostrożnościowych na podstawie art.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459 CRR</w:t>
            </w:r>
          </w:p>
          <w:p w14:paraId="2BB003ED" w14:textId="649884A4" w:rsidR="00915077" w:rsidRPr="00E26EF6" w:rsidRDefault="00802958">
            <w:pPr>
              <w:pStyle w:val="InstructionsText"/>
              <w:rPr>
                <w:rStyle w:val="InstructionsTabelleberschrift"/>
                <w:rFonts w:ascii="Times New Roman" w:hAnsi="Times New Roman"/>
                <w:sz w:val="24"/>
                <w:highlight w:val="lightGray"/>
              </w:rPr>
            </w:pPr>
            <w:r w:rsidRPr="00E26EF6">
              <w:rPr>
                <w:rStyle w:val="FormatvorlageInstructionsTabelleText"/>
                <w:rFonts w:ascii="Times New Roman" w:hAnsi="Times New Roman"/>
                <w:sz w:val="24"/>
              </w:rPr>
              <w:t>Art. 459 CRR</w:t>
            </w:r>
          </w:p>
        </w:tc>
      </w:tr>
      <w:tr w:rsidR="00915077" w:rsidRPr="00E26EF6" w14:paraId="3B785553" w14:textId="77777777" w:rsidTr="00672D2A">
        <w:tc>
          <w:tcPr>
            <w:tcW w:w="1591" w:type="dxa"/>
            <w:shd w:val="clear" w:color="auto" w:fill="auto"/>
          </w:tcPr>
          <w:p w14:paraId="21E39BF0" w14:textId="77777777" w:rsidR="00915077" w:rsidRPr="00E26EF6" w:rsidRDefault="00802958">
            <w:pPr>
              <w:pStyle w:val="InstructionsText"/>
              <w:rPr>
                <w:rStyle w:val="FormatvorlageInstructionsTabelleText"/>
                <w:rFonts w:ascii="Times New Roman" w:hAnsi="Times New Roman"/>
                <w:sz w:val="24"/>
                <w:highlight w:val="lightGray"/>
              </w:rPr>
            </w:pPr>
            <w:r w:rsidRPr="00E26EF6">
              <w:rPr>
                <w:rStyle w:val="FormatvorlageInstructionsTabelleText"/>
                <w:rFonts w:ascii="Times New Roman" w:hAnsi="Times New Roman"/>
                <w:sz w:val="24"/>
              </w:rPr>
              <w:t>760</w:t>
            </w:r>
          </w:p>
        </w:tc>
        <w:tc>
          <w:tcPr>
            <w:tcW w:w="7274" w:type="dxa"/>
          </w:tcPr>
          <w:p w14:paraId="33E1FD1C" w14:textId="6005E34A" w:rsidR="00915077" w:rsidRPr="00E26EF6" w:rsidRDefault="0080295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1.8.4</w:t>
            </w:r>
            <w:r w:rsidRPr="00E26EF6">
              <w:rPr>
                <w:rStyle w:val="InstructionsTabelleberschrift"/>
                <w:rFonts w:ascii="Times New Roman" w:hAnsi="Times New Roman"/>
                <w:sz w:val="24"/>
              </w:rPr>
              <w:tab/>
              <w:t>W tym: dodatkowa kwota ekspozycji na ryzyko wynikająca</w:t>
            </w:r>
            <w:r w:rsidR="00E26EF6" w:rsidRPr="00E26EF6">
              <w:rPr>
                <w:rStyle w:val="InstructionsTabelleberschrift"/>
                <w:rFonts w:ascii="Times New Roman" w:hAnsi="Times New Roman"/>
                <w:sz w:val="24"/>
              </w:rPr>
              <w:t xml:space="preserve"> z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3 CRR</w:t>
            </w:r>
          </w:p>
          <w:p w14:paraId="7FB7FA7A" w14:textId="77777777" w:rsidR="00915077" w:rsidRPr="00E26EF6" w:rsidRDefault="00802958">
            <w:pPr>
              <w:pStyle w:val="InstructionsText"/>
              <w:rPr>
                <w:rStyle w:val="FormatvorlageInstructionsTabelleText"/>
                <w:rFonts w:ascii="Times New Roman" w:hAnsi="Times New Roman"/>
                <w:sz w:val="24"/>
              </w:rPr>
            </w:pPr>
            <w:r w:rsidRPr="00E26EF6">
              <w:rPr>
                <w:rStyle w:val="FormatvorlageInstructionsTabelleText"/>
                <w:rFonts w:ascii="Times New Roman" w:hAnsi="Times New Roman"/>
                <w:sz w:val="24"/>
              </w:rPr>
              <w:t>Art. 3 CRR</w:t>
            </w:r>
          </w:p>
          <w:p w14:paraId="50111C52" w14:textId="029AC5E7" w:rsidR="00915077" w:rsidRPr="00E26EF6" w:rsidRDefault="00802958">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Zgłasza się dodatkową kwotę ekspozycji na ryzyko. Obejmuje ona wyłącznie dodatkowe kwoty (np. jeżeli ekspozycja</w:t>
            </w:r>
            <w:r w:rsidR="00E26EF6" w:rsidRPr="00E26EF6">
              <w:rPr>
                <w:rStyle w:val="InstructionsTabelleberschrift"/>
                <w:rFonts w:ascii="Times New Roman" w:hAnsi="Times New Roman"/>
                <w:b w:val="0"/>
                <w:sz w:val="24"/>
                <w:u w:val="none"/>
              </w:rPr>
              <w:t xml:space="preserve"> o war</w:t>
            </w:r>
            <w:r w:rsidRPr="00E26EF6">
              <w:rPr>
                <w:rStyle w:val="InstructionsTabelleberschrift"/>
                <w:rFonts w:ascii="Times New Roman" w:hAnsi="Times New Roman"/>
                <w:b w:val="0"/>
                <w:sz w:val="24"/>
                <w:u w:val="none"/>
              </w:rPr>
              <w:t>tości 100 ma wagę ryzyka równą 20</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w:t>
            </w:r>
            <w:r w:rsidR="00E26EF6" w:rsidRPr="00E26EF6">
              <w:rPr>
                <w:rStyle w:val="InstructionsTabelleberschrift"/>
                <w:rFonts w:ascii="Times New Roman" w:hAnsi="Times New Roman"/>
                <w:b w:val="0"/>
                <w:sz w:val="24"/>
                <w:u w:val="none"/>
              </w:rPr>
              <w:t xml:space="preserve"> a ins</w:t>
            </w:r>
            <w:r w:rsidRPr="00E26EF6">
              <w:rPr>
                <w:rStyle w:val="InstructionsTabelleberschrift"/>
                <w:rFonts w:ascii="Times New Roman" w:hAnsi="Times New Roman"/>
                <w:b w:val="0"/>
                <w:sz w:val="24"/>
                <w:u w:val="none"/>
              </w:rPr>
              <w:t>tytucje stosują</w:t>
            </w:r>
            <w:r w:rsidR="00E26EF6" w:rsidRPr="00E26EF6">
              <w:rPr>
                <w:rStyle w:val="InstructionsTabelleberschrift"/>
                <w:rFonts w:ascii="Times New Roman" w:hAnsi="Times New Roman"/>
                <w:b w:val="0"/>
                <w:sz w:val="24"/>
                <w:u w:val="none"/>
              </w:rPr>
              <w:t xml:space="preserve"> w opa</w:t>
            </w:r>
            <w:r w:rsidRPr="00E26EF6">
              <w:rPr>
                <w:rStyle w:val="InstructionsTabelleberschrift"/>
                <w:rFonts w:ascii="Times New Roman" w:hAnsi="Times New Roman"/>
                <w:b w:val="0"/>
                <w:sz w:val="24"/>
                <w:u w:val="none"/>
              </w:rPr>
              <w:t>rciu</w:t>
            </w:r>
            <w:r w:rsidR="00E26EF6" w:rsidRPr="00E26EF6">
              <w:rPr>
                <w:rStyle w:val="InstructionsTabelleberschrift"/>
                <w:rFonts w:ascii="Times New Roman" w:hAnsi="Times New Roman"/>
                <w:b w:val="0"/>
                <w:sz w:val="24"/>
                <w:u w:val="none"/>
              </w:rPr>
              <w:t xml:space="preserve"> o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3 CRR wagę ryzyka równą 50</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 kwota, którą należy zgłosić, wynosi 30). </w:t>
            </w:r>
          </w:p>
        </w:tc>
      </w:tr>
    </w:tbl>
    <w:p w14:paraId="126E1B56" w14:textId="77777777" w:rsidR="00915077" w:rsidRPr="00E26EF6" w:rsidRDefault="00936DD1">
      <w:pPr>
        <w:pStyle w:val="Instructionsberschrift2"/>
        <w:numPr>
          <w:ilvl w:val="0"/>
          <w:numId w:val="0"/>
        </w:numPr>
        <w:ind w:left="357" w:hanging="357"/>
        <w:rPr>
          <w:rFonts w:ascii="Times New Roman" w:hAnsi="Times New Roman" w:cs="Times New Roman"/>
          <w:sz w:val="24"/>
          <w:u w:val="none"/>
        </w:rPr>
      </w:pPr>
      <w:bookmarkStart w:id="13" w:name="_Toc31014311"/>
      <w:r w:rsidRPr="00E26EF6">
        <w:rPr>
          <w:rFonts w:ascii="Times New Roman" w:hAnsi="Times New Roman"/>
          <w:sz w:val="24"/>
          <w:u w:val="none"/>
        </w:rPr>
        <w:t>1.4</w:t>
      </w:r>
      <w:r w:rsidRPr="00E26EF6">
        <w:rPr>
          <w:rFonts w:ascii="Times New Roman" w:hAnsi="Times New Roman"/>
          <w:sz w:val="24"/>
          <w:u w:val="none"/>
        </w:rPr>
        <w:tab/>
        <w:t>C 03.00 – WSPÓŁCZYNNIKI KAPITAŁOWE ORAZ POZIOMY KAPITAŁU (CA3)</w:t>
      </w:r>
      <w:bookmarkEnd w:id="13"/>
      <w:r w:rsidRPr="00E26EF6">
        <w:rPr>
          <w:rFonts w:ascii="Times New Roman" w:hAnsi="Times New Roman"/>
          <w:sz w:val="24"/>
          <w:u w:val="none"/>
        </w:rPr>
        <w:t xml:space="preserve"> </w:t>
      </w:r>
    </w:p>
    <w:p w14:paraId="251B5EFA"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4" w:name="_Toc31014312"/>
      <w:r w:rsidRPr="00E26EF6">
        <w:rPr>
          <w:rFonts w:ascii="Times New Roman" w:hAnsi="Times New Roman"/>
          <w:sz w:val="24"/>
          <w:u w:val="none"/>
        </w:rPr>
        <w:t>1.4.1.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915077" w:rsidRPr="00E26EF6" w14:paraId="69F7082E" w14:textId="77777777" w:rsidTr="00672D2A">
        <w:tc>
          <w:tcPr>
            <w:tcW w:w="8783" w:type="dxa"/>
            <w:gridSpan w:val="2"/>
            <w:shd w:val="clear" w:color="auto" w:fill="D9D9D9"/>
          </w:tcPr>
          <w:p w14:paraId="26176128" w14:textId="77777777" w:rsidR="00915077" w:rsidRPr="00E26EF6" w:rsidRDefault="002648B0">
            <w:pPr>
              <w:pStyle w:val="InstructionsText"/>
              <w:rPr>
                <w:highlight w:val="lightGray"/>
              </w:rPr>
            </w:pPr>
            <w:r w:rsidRPr="00E26EF6">
              <w:t>Wiersze</w:t>
            </w:r>
          </w:p>
        </w:tc>
      </w:tr>
      <w:tr w:rsidR="00915077" w:rsidRPr="00E26EF6" w14:paraId="4A10826C" w14:textId="77777777" w:rsidTr="00672D2A">
        <w:tc>
          <w:tcPr>
            <w:tcW w:w="703" w:type="dxa"/>
          </w:tcPr>
          <w:p w14:paraId="4501C5F2" w14:textId="77777777" w:rsidR="00915077" w:rsidRPr="00E26EF6" w:rsidRDefault="002648B0">
            <w:pPr>
              <w:pStyle w:val="InstructionsText"/>
              <w:rPr>
                <w:highlight w:val="lightGray"/>
              </w:rPr>
            </w:pPr>
            <w:r w:rsidRPr="00E26EF6">
              <w:t>010</w:t>
            </w:r>
          </w:p>
        </w:tc>
        <w:tc>
          <w:tcPr>
            <w:tcW w:w="8080" w:type="dxa"/>
          </w:tcPr>
          <w:p w14:paraId="7013AAB4" w14:textId="77777777" w:rsidR="00915077" w:rsidRPr="00E26EF6" w:rsidRDefault="002648B0">
            <w:pPr>
              <w:pStyle w:val="InstructionsText"/>
            </w:pPr>
            <w:r w:rsidRPr="00E26EF6">
              <w:rPr>
                <w:rStyle w:val="InstructionsTabelleberschrift"/>
                <w:rFonts w:ascii="Times New Roman" w:hAnsi="Times New Roman"/>
                <w:sz w:val="24"/>
              </w:rPr>
              <w:t>1</w:t>
            </w:r>
            <w:r w:rsidRPr="00E26EF6">
              <w:rPr>
                <w:rStyle w:val="InstructionsTabelleberschrift"/>
                <w:rFonts w:ascii="Times New Roman" w:hAnsi="Times New Roman"/>
                <w:sz w:val="24"/>
              </w:rPr>
              <w:tab/>
              <w:t>Współczynnik kapitału podstawowego Tier I</w:t>
            </w:r>
          </w:p>
          <w:p w14:paraId="3D88BAC5" w14:textId="17041ABC" w:rsidR="00915077" w:rsidRPr="00E26EF6" w:rsidRDefault="00705025">
            <w:pPr>
              <w:pStyle w:val="InstructionsText"/>
            </w:pPr>
            <w:r w:rsidRPr="00E26EF6">
              <w:t>Art. 92 ust.</w:t>
            </w:r>
            <w:r w:rsidR="00023409" w:rsidRPr="00E26EF6">
              <w:t> </w:t>
            </w:r>
            <w:r w:rsidRPr="00E26EF6">
              <w:t>2 lit.</w:t>
            </w:r>
            <w:r w:rsidR="00023409" w:rsidRPr="00E26EF6">
              <w:t> </w:t>
            </w:r>
            <w:r w:rsidRPr="00E26EF6">
              <w:t>a) CRR</w:t>
            </w:r>
          </w:p>
          <w:p w14:paraId="4171E950" w14:textId="77777777" w:rsidR="00915077" w:rsidRPr="00E26EF6" w:rsidRDefault="002648B0">
            <w:pPr>
              <w:pStyle w:val="InstructionsText"/>
              <w:rPr>
                <w:highlight w:val="lightGray"/>
              </w:rPr>
            </w:pPr>
            <w:r w:rsidRPr="00E26EF6">
              <w:t>Współczynnik kapitału podstawowego Tier I stanowi kapitał podstawowy Tier I instytucji wyrażony jako odsetek łącznej kwoty ekspozycji na ryzyko.</w:t>
            </w:r>
          </w:p>
        </w:tc>
      </w:tr>
      <w:tr w:rsidR="00915077" w:rsidRPr="00E26EF6" w14:paraId="12AC9865" w14:textId="77777777" w:rsidTr="00672D2A">
        <w:tc>
          <w:tcPr>
            <w:tcW w:w="703" w:type="dxa"/>
          </w:tcPr>
          <w:p w14:paraId="76683356" w14:textId="77777777" w:rsidR="00915077" w:rsidRPr="00E26EF6" w:rsidRDefault="002648B0">
            <w:pPr>
              <w:pStyle w:val="InstructionsText"/>
              <w:rPr>
                <w:highlight w:val="lightGray"/>
              </w:rPr>
            </w:pPr>
            <w:r w:rsidRPr="00E26EF6">
              <w:t>020</w:t>
            </w:r>
          </w:p>
        </w:tc>
        <w:tc>
          <w:tcPr>
            <w:tcW w:w="8080" w:type="dxa"/>
          </w:tcPr>
          <w:p w14:paraId="16865CBC" w14:textId="77777777"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2</w:t>
            </w:r>
            <w:r w:rsidRPr="00E26EF6">
              <w:rPr>
                <w:rStyle w:val="InstructionsTabelleberschrift"/>
                <w:rFonts w:ascii="Times New Roman" w:hAnsi="Times New Roman"/>
                <w:sz w:val="24"/>
              </w:rPr>
              <w:tab/>
              <w:t>Nadwyżka</w:t>
            </w:r>
            <w:proofErr w:type="gramStart"/>
            <w:r w:rsidRPr="00E26EF6">
              <w:rPr>
                <w:rStyle w:val="InstructionsTabelleberschrift"/>
                <w:rFonts w:ascii="Times New Roman" w:hAnsi="Times New Roman"/>
                <w:sz w:val="24"/>
              </w:rPr>
              <w:t>(+)/niedobór</w:t>
            </w:r>
            <w:proofErr w:type="gramEnd"/>
            <w:r w:rsidRPr="00E26EF6">
              <w:rPr>
                <w:rStyle w:val="InstructionsTabelleberschrift"/>
                <w:rFonts w:ascii="Times New Roman" w:hAnsi="Times New Roman"/>
                <w:sz w:val="24"/>
              </w:rPr>
              <w:t>(-) kapitału podstawowego Tier I</w:t>
            </w:r>
          </w:p>
          <w:p w14:paraId="3BA060C1" w14:textId="29E80359" w:rsidR="00915077" w:rsidRPr="00E26EF6" w:rsidRDefault="002648B0">
            <w:pPr>
              <w:pStyle w:val="InstructionsText"/>
              <w:rPr>
                <w:highlight w:val="lightGray"/>
              </w:rPr>
            </w:pPr>
            <w:r w:rsidRPr="00E26EF6">
              <w:t>Pozycja ta przedstawia –</w:t>
            </w:r>
            <w:r w:rsidR="00E26EF6" w:rsidRPr="00E26EF6">
              <w:t xml:space="preserve"> w war</w:t>
            </w:r>
            <w:r w:rsidRPr="00E26EF6">
              <w:t>tościach bezwzględnych – kwotę nadwyżki lub niedoboru kapitału podstawowego Tier I</w:t>
            </w:r>
            <w:r w:rsidR="00E26EF6" w:rsidRPr="00E26EF6">
              <w:t xml:space="preserve"> w sto</w:t>
            </w:r>
            <w:r w:rsidRPr="00E26EF6">
              <w:t>sunku do wymogu określonego</w:t>
            </w:r>
            <w:r w:rsidR="00E26EF6" w:rsidRPr="00E26EF6">
              <w:t xml:space="preserve"> w art</w:t>
            </w:r>
            <w:r w:rsidRPr="00E26EF6">
              <w:t>.</w:t>
            </w:r>
            <w:r w:rsidR="00023409" w:rsidRPr="00E26EF6">
              <w:t> </w:t>
            </w:r>
            <w:r w:rsidRPr="00E26EF6">
              <w:t>92 ust.</w:t>
            </w:r>
            <w:r w:rsidR="00023409" w:rsidRPr="00E26EF6">
              <w:t> </w:t>
            </w:r>
            <w:r w:rsidRPr="00E26EF6">
              <w:t>1 lit.</w:t>
            </w:r>
            <w:r w:rsidR="00023409" w:rsidRPr="00E26EF6">
              <w:t> </w:t>
            </w:r>
            <w:r w:rsidRPr="00E26EF6">
              <w:t>a) CRR (4,5</w:t>
            </w:r>
            <w:r w:rsidR="00023409" w:rsidRPr="00E26EF6">
              <w:t> </w:t>
            </w:r>
            <w:r w:rsidRPr="00E26EF6">
              <w:t>%), tj. bez uwzględnienia buforów kapitałowych</w:t>
            </w:r>
            <w:r w:rsidR="00E26EF6" w:rsidRPr="00E26EF6">
              <w:t xml:space="preserve"> i prz</w:t>
            </w:r>
            <w:r w:rsidRPr="00E26EF6">
              <w:t>episów przejściowych dotyczących współczynnika.</w:t>
            </w:r>
          </w:p>
        </w:tc>
      </w:tr>
      <w:tr w:rsidR="00915077" w:rsidRPr="00E26EF6" w14:paraId="040DF235" w14:textId="77777777" w:rsidTr="00672D2A">
        <w:tc>
          <w:tcPr>
            <w:tcW w:w="703" w:type="dxa"/>
          </w:tcPr>
          <w:p w14:paraId="025F0AB9" w14:textId="77777777" w:rsidR="00915077" w:rsidRPr="00E26EF6" w:rsidRDefault="002648B0">
            <w:pPr>
              <w:pStyle w:val="InstructionsText"/>
              <w:rPr>
                <w:highlight w:val="lightGray"/>
              </w:rPr>
            </w:pPr>
            <w:r w:rsidRPr="00E26EF6">
              <w:t>030</w:t>
            </w:r>
          </w:p>
        </w:tc>
        <w:tc>
          <w:tcPr>
            <w:tcW w:w="8080" w:type="dxa"/>
          </w:tcPr>
          <w:p w14:paraId="132B1F3F" w14:textId="77777777" w:rsidR="00915077" w:rsidRPr="00E26EF6" w:rsidRDefault="002648B0">
            <w:pPr>
              <w:pStyle w:val="InstructionsText"/>
            </w:pPr>
            <w:r w:rsidRPr="00E26EF6">
              <w:rPr>
                <w:rStyle w:val="InstructionsTabelleberschrift"/>
                <w:rFonts w:ascii="Times New Roman" w:hAnsi="Times New Roman"/>
                <w:sz w:val="24"/>
              </w:rPr>
              <w:t>3</w:t>
            </w:r>
            <w:r w:rsidRPr="00E26EF6">
              <w:rPr>
                <w:rStyle w:val="InstructionsTabelleberschrift"/>
                <w:rFonts w:ascii="Times New Roman" w:hAnsi="Times New Roman"/>
                <w:sz w:val="24"/>
              </w:rPr>
              <w:tab/>
              <w:t>Współczynnik kapitału Tier I</w:t>
            </w:r>
          </w:p>
          <w:p w14:paraId="785A64AA" w14:textId="63504A88" w:rsidR="00915077" w:rsidRPr="00E26EF6" w:rsidRDefault="00705025">
            <w:pPr>
              <w:pStyle w:val="InstructionsText"/>
            </w:pPr>
            <w:r w:rsidRPr="00E26EF6">
              <w:lastRenderedPageBreak/>
              <w:t>Art. 92 ust.</w:t>
            </w:r>
            <w:r w:rsidR="00023409" w:rsidRPr="00E26EF6">
              <w:t> </w:t>
            </w:r>
            <w:r w:rsidRPr="00E26EF6">
              <w:t>2 lit.</w:t>
            </w:r>
            <w:r w:rsidR="00023409" w:rsidRPr="00E26EF6">
              <w:t> </w:t>
            </w:r>
            <w:r w:rsidRPr="00E26EF6">
              <w:t>b) CRR</w:t>
            </w:r>
          </w:p>
          <w:p w14:paraId="3ED4C81E" w14:textId="77777777" w:rsidR="00915077" w:rsidRPr="00E26EF6" w:rsidRDefault="002648B0">
            <w:pPr>
              <w:pStyle w:val="InstructionsText"/>
              <w:rPr>
                <w:highlight w:val="lightGray"/>
              </w:rPr>
            </w:pPr>
            <w:r w:rsidRPr="00E26EF6">
              <w:t>Współczynnik kapitału Tier I stanowi kapitał Tier I instytucji wyrażony jako odsetek łącznej kwoty ekspozycji na ryzyko.</w:t>
            </w:r>
          </w:p>
        </w:tc>
      </w:tr>
      <w:tr w:rsidR="00915077" w:rsidRPr="00E26EF6" w14:paraId="3A4BBE6A" w14:textId="77777777" w:rsidTr="00672D2A">
        <w:tc>
          <w:tcPr>
            <w:tcW w:w="703" w:type="dxa"/>
          </w:tcPr>
          <w:p w14:paraId="26117D6C" w14:textId="77777777" w:rsidR="00915077" w:rsidRPr="00E26EF6" w:rsidRDefault="002648B0">
            <w:pPr>
              <w:pStyle w:val="InstructionsText"/>
              <w:rPr>
                <w:highlight w:val="lightGray"/>
              </w:rPr>
            </w:pPr>
            <w:r w:rsidRPr="00E26EF6">
              <w:lastRenderedPageBreak/>
              <w:t>040</w:t>
            </w:r>
          </w:p>
        </w:tc>
        <w:tc>
          <w:tcPr>
            <w:tcW w:w="8080" w:type="dxa"/>
          </w:tcPr>
          <w:p w14:paraId="08056B7C" w14:textId="77777777" w:rsidR="00915077" w:rsidRPr="00E26EF6" w:rsidRDefault="002648B0">
            <w:pPr>
              <w:pStyle w:val="InstructionsText"/>
            </w:pPr>
            <w:r w:rsidRPr="00E26EF6">
              <w:rPr>
                <w:rStyle w:val="InstructionsTabelleberschrift"/>
                <w:rFonts w:ascii="Times New Roman" w:hAnsi="Times New Roman"/>
                <w:sz w:val="24"/>
              </w:rPr>
              <w:t>4</w:t>
            </w:r>
            <w:r w:rsidRPr="00E26EF6">
              <w:rPr>
                <w:rStyle w:val="InstructionsTabelleberschrift"/>
                <w:rFonts w:ascii="Times New Roman" w:hAnsi="Times New Roman"/>
                <w:sz w:val="24"/>
              </w:rPr>
              <w:tab/>
              <w:t>Nadwyżka</w:t>
            </w:r>
            <w:proofErr w:type="gramStart"/>
            <w:r w:rsidRPr="00E26EF6">
              <w:rPr>
                <w:rStyle w:val="InstructionsTabelleberschrift"/>
                <w:rFonts w:ascii="Times New Roman" w:hAnsi="Times New Roman"/>
                <w:sz w:val="24"/>
              </w:rPr>
              <w:t>(+)/niedobór</w:t>
            </w:r>
            <w:proofErr w:type="gramEnd"/>
            <w:r w:rsidRPr="00E26EF6">
              <w:rPr>
                <w:rStyle w:val="InstructionsTabelleberschrift"/>
                <w:rFonts w:ascii="Times New Roman" w:hAnsi="Times New Roman"/>
                <w:sz w:val="24"/>
              </w:rPr>
              <w:t>(-) kapitału Tier I</w:t>
            </w:r>
          </w:p>
          <w:p w14:paraId="52F91FF4" w14:textId="2480A479" w:rsidR="00915077" w:rsidRPr="00E26EF6" w:rsidRDefault="002648B0">
            <w:pPr>
              <w:pStyle w:val="InstructionsText"/>
              <w:rPr>
                <w:highlight w:val="lightGray"/>
              </w:rPr>
            </w:pPr>
            <w:r w:rsidRPr="00E26EF6">
              <w:t>Pozycja ta przedstawia –</w:t>
            </w:r>
            <w:r w:rsidR="00E26EF6" w:rsidRPr="00E26EF6">
              <w:t xml:space="preserve"> w war</w:t>
            </w:r>
            <w:r w:rsidRPr="00E26EF6">
              <w:t>tościach bezwzględnych – kwotę nadwyżki lub niedoboru kapitału Tier I</w:t>
            </w:r>
            <w:r w:rsidR="00E26EF6" w:rsidRPr="00E26EF6">
              <w:t xml:space="preserve"> w sto</w:t>
            </w:r>
            <w:r w:rsidRPr="00E26EF6">
              <w:t>sunku do wymogu określonego</w:t>
            </w:r>
            <w:r w:rsidR="00E26EF6" w:rsidRPr="00E26EF6">
              <w:t xml:space="preserve"> w art</w:t>
            </w:r>
            <w:r w:rsidRPr="00E26EF6">
              <w:t>.</w:t>
            </w:r>
            <w:r w:rsidR="00023409" w:rsidRPr="00E26EF6">
              <w:t> </w:t>
            </w:r>
            <w:r w:rsidRPr="00E26EF6">
              <w:t>92 ust.</w:t>
            </w:r>
            <w:r w:rsidR="00023409" w:rsidRPr="00E26EF6">
              <w:t> </w:t>
            </w:r>
            <w:r w:rsidRPr="00E26EF6">
              <w:t>1 lit.</w:t>
            </w:r>
            <w:r w:rsidR="00023409" w:rsidRPr="00E26EF6">
              <w:t> </w:t>
            </w:r>
            <w:r w:rsidRPr="00E26EF6">
              <w:t>b) CRR (6</w:t>
            </w:r>
            <w:r w:rsidR="00023409" w:rsidRPr="00E26EF6">
              <w:t> </w:t>
            </w:r>
            <w:r w:rsidRPr="00E26EF6">
              <w:t>%), tj. bez uwzględnienia buforów kapitałowych</w:t>
            </w:r>
            <w:r w:rsidR="00E26EF6" w:rsidRPr="00E26EF6">
              <w:t xml:space="preserve"> i prz</w:t>
            </w:r>
            <w:r w:rsidRPr="00E26EF6">
              <w:t>episów przejściowych dotyczących współczynnika.</w:t>
            </w:r>
          </w:p>
        </w:tc>
      </w:tr>
      <w:tr w:rsidR="00915077" w:rsidRPr="00E26EF6" w14:paraId="77B2F4BA" w14:textId="77777777" w:rsidTr="00672D2A">
        <w:tc>
          <w:tcPr>
            <w:tcW w:w="703" w:type="dxa"/>
          </w:tcPr>
          <w:p w14:paraId="06D4BC22" w14:textId="77777777" w:rsidR="00915077" w:rsidRPr="00E26EF6" w:rsidRDefault="002648B0">
            <w:pPr>
              <w:pStyle w:val="InstructionsText"/>
              <w:rPr>
                <w:highlight w:val="lightGray"/>
              </w:rPr>
            </w:pPr>
            <w:r w:rsidRPr="00E26EF6">
              <w:t>050</w:t>
            </w:r>
          </w:p>
        </w:tc>
        <w:tc>
          <w:tcPr>
            <w:tcW w:w="8080" w:type="dxa"/>
          </w:tcPr>
          <w:p w14:paraId="2A420CBD" w14:textId="77777777" w:rsidR="00915077" w:rsidRPr="00E26EF6" w:rsidRDefault="002648B0">
            <w:pPr>
              <w:pStyle w:val="InstructionsText"/>
            </w:pPr>
            <w:r w:rsidRPr="00E26EF6">
              <w:rPr>
                <w:rStyle w:val="InstructionsTabelleberschrift"/>
                <w:rFonts w:ascii="Times New Roman" w:hAnsi="Times New Roman"/>
                <w:sz w:val="24"/>
              </w:rPr>
              <w:t>5</w:t>
            </w:r>
            <w:r w:rsidRPr="00E26EF6">
              <w:rPr>
                <w:rStyle w:val="InstructionsTabelleberschrift"/>
                <w:rFonts w:ascii="Times New Roman" w:hAnsi="Times New Roman"/>
                <w:sz w:val="24"/>
              </w:rPr>
              <w:tab/>
              <w:t>Łączny współczynnik kapitałowy</w:t>
            </w:r>
          </w:p>
          <w:p w14:paraId="42EF84D4" w14:textId="5349553A" w:rsidR="00915077" w:rsidRPr="00E26EF6" w:rsidRDefault="00705025">
            <w:pPr>
              <w:pStyle w:val="InstructionsText"/>
            </w:pPr>
            <w:r w:rsidRPr="00E26EF6">
              <w:t>Art. 92 ust.</w:t>
            </w:r>
            <w:r w:rsidR="00023409" w:rsidRPr="00E26EF6">
              <w:t> </w:t>
            </w:r>
            <w:r w:rsidRPr="00E26EF6">
              <w:t>2 lit.</w:t>
            </w:r>
            <w:r w:rsidR="00023409" w:rsidRPr="00E26EF6">
              <w:t> </w:t>
            </w:r>
            <w:r w:rsidRPr="00E26EF6">
              <w:t>c) CRR</w:t>
            </w:r>
          </w:p>
          <w:p w14:paraId="79C78E81" w14:textId="77777777" w:rsidR="00915077" w:rsidRPr="00E26EF6" w:rsidRDefault="002648B0">
            <w:pPr>
              <w:pStyle w:val="InstructionsText"/>
              <w:rPr>
                <w:highlight w:val="lightGray"/>
              </w:rPr>
            </w:pPr>
            <w:r w:rsidRPr="00E26EF6">
              <w:t>Łączny współczynnik kapitałowy stanowi fundusze własne danej instytucji wyrażone jako odsetek łącznej kwoty ekspozycji na ryzyko.</w:t>
            </w:r>
          </w:p>
        </w:tc>
      </w:tr>
      <w:tr w:rsidR="00915077" w:rsidRPr="00E26EF6" w14:paraId="1DECFF12" w14:textId="77777777" w:rsidTr="00672D2A">
        <w:tc>
          <w:tcPr>
            <w:tcW w:w="703" w:type="dxa"/>
          </w:tcPr>
          <w:p w14:paraId="27638C2B" w14:textId="77777777" w:rsidR="00915077" w:rsidRPr="00E26EF6" w:rsidRDefault="002648B0">
            <w:pPr>
              <w:pStyle w:val="InstructionsText"/>
              <w:rPr>
                <w:highlight w:val="lightGray"/>
              </w:rPr>
            </w:pPr>
            <w:r w:rsidRPr="00E26EF6">
              <w:t>060</w:t>
            </w:r>
          </w:p>
        </w:tc>
        <w:tc>
          <w:tcPr>
            <w:tcW w:w="8080" w:type="dxa"/>
          </w:tcPr>
          <w:p w14:paraId="31050631" w14:textId="77777777" w:rsidR="00915077" w:rsidRPr="00E26EF6" w:rsidRDefault="002648B0">
            <w:pPr>
              <w:pStyle w:val="InstructionsText"/>
            </w:pPr>
            <w:r w:rsidRPr="00E26EF6">
              <w:rPr>
                <w:rStyle w:val="InstructionsTabelleberschrift"/>
                <w:rFonts w:ascii="Times New Roman" w:hAnsi="Times New Roman"/>
                <w:sz w:val="24"/>
              </w:rPr>
              <w:t>6</w:t>
            </w:r>
            <w:r w:rsidRPr="00E26EF6">
              <w:rPr>
                <w:rStyle w:val="InstructionsTabelleberschrift"/>
                <w:rFonts w:ascii="Times New Roman" w:hAnsi="Times New Roman"/>
                <w:sz w:val="24"/>
              </w:rPr>
              <w:tab/>
              <w:t>Nadwyżka</w:t>
            </w:r>
            <w:proofErr w:type="gramStart"/>
            <w:r w:rsidRPr="00E26EF6">
              <w:rPr>
                <w:rStyle w:val="InstructionsTabelleberschrift"/>
                <w:rFonts w:ascii="Times New Roman" w:hAnsi="Times New Roman"/>
                <w:sz w:val="24"/>
              </w:rPr>
              <w:t>(+)/niedobór</w:t>
            </w:r>
            <w:proofErr w:type="gramEnd"/>
            <w:r w:rsidRPr="00E26EF6">
              <w:rPr>
                <w:rStyle w:val="InstructionsTabelleberschrift"/>
                <w:rFonts w:ascii="Times New Roman" w:hAnsi="Times New Roman"/>
                <w:sz w:val="24"/>
              </w:rPr>
              <w:t>(-) łącznego kapitału</w:t>
            </w:r>
          </w:p>
          <w:p w14:paraId="28CB64F6" w14:textId="2A9F4E6F" w:rsidR="00915077" w:rsidRPr="00E26EF6" w:rsidRDefault="002648B0">
            <w:pPr>
              <w:pStyle w:val="InstructionsText"/>
              <w:rPr>
                <w:highlight w:val="lightGray"/>
              </w:rPr>
            </w:pPr>
            <w:r w:rsidRPr="00E26EF6">
              <w:t>Pozycja ta przedstawia –</w:t>
            </w:r>
            <w:r w:rsidR="00E26EF6" w:rsidRPr="00E26EF6">
              <w:t xml:space="preserve"> w war</w:t>
            </w:r>
            <w:r w:rsidRPr="00E26EF6">
              <w:t>tościach bezwzględnych – kwotę nadwyżki lub niedoboru funduszy własnych</w:t>
            </w:r>
            <w:r w:rsidR="00E26EF6" w:rsidRPr="00E26EF6">
              <w:t xml:space="preserve"> w sto</w:t>
            </w:r>
            <w:r w:rsidRPr="00E26EF6">
              <w:t>sunku do wymogu określonego</w:t>
            </w:r>
            <w:r w:rsidR="00E26EF6" w:rsidRPr="00E26EF6">
              <w:t xml:space="preserve"> w art</w:t>
            </w:r>
            <w:r w:rsidRPr="00E26EF6">
              <w:t>.</w:t>
            </w:r>
            <w:r w:rsidR="00023409" w:rsidRPr="00E26EF6">
              <w:t> </w:t>
            </w:r>
            <w:r w:rsidRPr="00E26EF6">
              <w:t>92 ust.</w:t>
            </w:r>
            <w:r w:rsidR="00023409" w:rsidRPr="00E26EF6">
              <w:t> </w:t>
            </w:r>
            <w:r w:rsidRPr="00E26EF6">
              <w:t>1 lit.</w:t>
            </w:r>
            <w:r w:rsidR="00023409" w:rsidRPr="00E26EF6">
              <w:t> </w:t>
            </w:r>
            <w:r w:rsidRPr="00E26EF6">
              <w:t>c) CRR (8</w:t>
            </w:r>
            <w:r w:rsidR="00023409" w:rsidRPr="00E26EF6">
              <w:t> </w:t>
            </w:r>
            <w:r w:rsidRPr="00E26EF6">
              <w:t>%), tj. bez uwzględnienia buforów kapitałowych</w:t>
            </w:r>
            <w:r w:rsidR="00E26EF6" w:rsidRPr="00E26EF6">
              <w:t xml:space="preserve"> i prz</w:t>
            </w:r>
            <w:r w:rsidRPr="00E26EF6">
              <w:t>episów przejściowych dotyczących współczynnika.</w:t>
            </w:r>
          </w:p>
        </w:tc>
      </w:tr>
      <w:tr w:rsidR="00915077" w:rsidRPr="00E26EF6" w14:paraId="1940665B" w14:textId="77777777" w:rsidTr="00672D2A">
        <w:tc>
          <w:tcPr>
            <w:tcW w:w="703" w:type="dxa"/>
          </w:tcPr>
          <w:p w14:paraId="73347832" w14:textId="4458A67A" w:rsidR="00915077" w:rsidRPr="00E26EF6" w:rsidRDefault="009C083D">
            <w:pPr>
              <w:pStyle w:val="InstructionsText"/>
              <w:rPr>
                <w:highlight w:val="lightGray"/>
              </w:rPr>
            </w:pPr>
            <w:r w:rsidRPr="00E26EF6">
              <w:t>130</w:t>
            </w:r>
          </w:p>
        </w:tc>
        <w:tc>
          <w:tcPr>
            <w:tcW w:w="8080" w:type="dxa"/>
          </w:tcPr>
          <w:p w14:paraId="3EF41ACA" w14:textId="77777777" w:rsidR="00915077" w:rsidRPr="00E26EF6" w:rsidRDefault="009C083D">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13</w:t>
            </w:r>
            <w:r w:rsidRPr="00E26EF6">
              <w:rPr>
                <w:rStyle w:val="InstructionsTabelleberschrift"/>
                <w:rFonts w:ascii="Times New Roman" w:hAnsi="Times New Roman"/>
                <w:sz w:val="24"/>
              </w:rPr>
              <w:tab/>
              <w:t>Współczynnik całkowitego wymogu kapitałowego SREP (TSCR)</w:t>
            </w:r>
          </w:p>
          <w:p w14:paraId="35B47E57" w14:textId="77777777" w:rsidR="00915077" w:rsidRPr="00E26EF6" w:rsidRDefault="009C083D">
            <w:pPr>
              <w:pStyle w:val="InstructionsText"/>
            </w:pPr>
            <w:r w:rsidRPr="00E26EF6">
              <w:t>Suma następujących ppkt (i) oraz (ii):</w:t>
            </w:r>
          </w:p>
          <w:p w14:paraId="685FA9F8" w14:textId="5ABDDE01" w:rsidR="00915077" w:rsidRPr="00E26EF6" w:rsidRDefault="009C083D">
            <w:pPr>
              <w:pStyle w:val="InstructionsText"/>
              <w:numPr>
                <w:ilvl w:val="0"/>
                <w:numId w:val="20"/>
              </w:numPr>
            </w:pPr>
            <w:proofErr w:type="gramStart"/>
            <w:r w:rsidRPr="00E26EF6">
              <w:t>łącznego</w:t>
            </w:r>
            <w:proofErr w:type="gramEnd"/>
            <w:r w:rsidRPr="00E26EF6">
              <w:t xml:space="preserve"> współczynnika kapitałowego (8</w:t>
            </w:r>
            <w:r w:rsidR="00023409" w:rsidRPr="00E26EF6">
              <w:t> </w:t>
            </w:r>
            <w:r w:rsidRPr="00E26EF6">
              <w:t>%), jak określono</w:t>
            </w:r>
            <w:r w:rsidR="00E26EF6" w:rsidRPr="00E26EF6">
              <w:t xml:space="preserve"> w art</w:t>
            </w:r>
            <w:r w:rsidRPr="00E26EF6">
              <w:t>.</w:t>
            </w:r>
            <w:r w:rsidR="00023409" w:rsidRPr="00E26EF6">
              <w:t> </w:t>
            </w:r>
            <w:r w:rsidRPr="00E26EF6">
              <w:t>92 ust.</w:t>
            </w:r>
            <w:r w:rsidR="00023409" w:rsidRPr="00E26EF6">
              <w:t> </w:t>
            </w:r>
            <w:r w:rsidRPr="00E26EF6">
              <w:t>1 lit.</w:t>
            </w:r>
            <w:r w:rsidR="00023409" w:rsidRPr="00E26EF6">
              <w:t> </w:t>
            </w:r>
            <w:r w:rsidRPr="00E26EF6">
              <w:t xml:space="preserve">c) CRR; </w:t>
            </w:r>
          </w:p>
          <w:p w14:paraId="39086B2E" w14:textId="62C715AE" w:rsidR="00915077" w:rsidRPr="00E26EF6" w:rsidRDefault="009C083D">
            <w:pPr>
              <w:pStyle w:val="InstructionsText"/>
              <w:numPr>
                <w:ilvl w:val="0"/>
                <w:numId w:val="20"/>
              </w:numPr>
            </w:pPr>
            <w:proofErr w:type="gramStart"/>
            <w:r w:rsidRPr="00E26EF6">
              <w:t>współczynnika</w:t>
            </w:r>
            <w:proofErr w:type="gramEnd"/>
            <w:r w:rsidRPr="00E26EF6">
              <w:t xml:space="preserve"> dodatkowych wymogów</w:t>
            </w:r>
            <w:r w:rsidR="00E26EF6" w:rsidRPr="00E26EF6">
              <w:t xml:space="preserve"> w zak</w:t>
            </w:r>
            <w:r w:rsidRPr="00E26EF6">
              <w:t>resie funduszy własnych (wymogi filaru 2 – P2R) ustalonego zgodnie</w:t>
            </w:r>
            <w:r w:rsidR="00E26EF6" w:rsidRPr="00E26EF6">
              <w:t xml:space="preserve"> z kry</w:t>
            </w:r>
            <w:r w:rsidRPr="00E26EF6">
              <w:t>teriami określonymi w „Wytycznych EUNB</w:t>
            </w:r>
            <w:r w:rsidR="00E26EF6" w:rsidRPr="00E26EF6">
              <w:t xml:space="preserve"> w spr</w:t>
            </w:r>
            <w:r w:rsidRPr="00E26EF6">
              <w:t>awie wspólnych procedur</w:t>
            </w:r>
            <w:r w:rsidR="00E26EF6" w:rsidRPr="00E26EF6">
              <w:t xml:space="preserve"> i met</w:t>
            </w:r>
            <w:r w:rsidRPr="00E26EF6">
              <w:t>od dotyczących procesu przeglądu</w:t>
            </w:r>
            <w:r w:rsidR="00E26EF6" w:rsidRPr="00E26EF6">
              <w:t xml:space="preserve"> i oce</w:t>
            </w:r>
            <w:r w:rsidRPr="00E26EF6">
              <w:t>ny nadzorczej</w:t>
            </w:r>
            <w:r w:rsidR="00E26EF6" w:rsidRPr="00E26EF6">
              <w:t xml:space="preserve"> i nad</w:t>
            </w:r>
            <w:r w:rsidRPr="00E26EF6">
              <w:t>zorczych testów warunków skrajnych” (</w:t>
            </w:r>
            <w:r w:rsidRPr="00E26EF6">
              <w:rPr>
                <w:i/>
              </w:rPr>
              <w:t xml:space="preserve">EBA Guidelines on common procedures and methodologies for the supervisory review and evaluation process and supervisory stress testing </w:t>
            </w:r>
            <w:r w:rsidRPr="00E26EF6">
              <w:t>(EBA SREP GL)).</w:t>
            </w:r>
          </w:p>
          <w:p w14:paraId="1304A69F" w14:textId="0CCD7AD7" w:rsidR="00915077" w:rsidRPr="00E26EF6" w:rsidRDefault="009C083D">
            <w:pPr>
              <w:pStyle w:val="InstructionsText"/>
            </w:pPr>
            <w:r w:rsidRPr="00E26EF6">
              <w:t>Pozycja ta musi odzwierciedlać współczynnik całkowitego wymogu kapitałowego SREP (TSCR) podany do wiadomości instytucji przez właściwy organ. TSCR zdefiniowano</w:t>
            </w:r>
            <w:r w:rsidR="00E26EF6" w:rsidRPr="00E26EF6">
              <w:t xml:space="preserve"> w sek</w:t>
            </w:r>
            <w:r w:rsidRPr="00E26EF6">
              <w:t>cji 1.2 EBA SREP GL.</w:t>
            </w:r>
          </w:p>
          <w:p w14:paraId="3478CC3F" w14:textId="38F68742" w:rsidR="00915077" w:rsidRPr="00E26EF6" w:rsidRDefault="00FF2818">
            <w:pPr>
              <w:pStyle w:val="InstructionsText"/>
              <w:rPr>
                <w:rStyle w:val="InstructionsTabelleberschrift"/>
                <w:rFonts w:ascii="Times New Roman" w:hAnsi="Times New Roman"/>
                <w:b w:val="0"/>
                <w:bCs w:val="0"/>
                <w:sz w:val="24"/>
                <w:highlight w:val="lightGray"/>
                <w:u w:val="none"/>
              </w:rPr>
            </w:pPr>
            <w:r w:rsidRPr="00E26EF6">
              <w:t>Jeżeli właściwy organ nie podał żadnych dodatkowych wymogów</w:t>
            </w:r>
            <w:r w:rsidR="00E26EF6" w:rsidRPr="00E26EF6">
              <w:t xml:space="preserve"> w zak</w:t>
            </w:r>
            <w:r w:rsidRPr="00E26EF6">
              <w:t xml:space="preserve">resie funduszy własnych, zgłasza się wyłącznie ppkt (i). </w:t>
            </w:r>
          </w:p>
        </w:tc>
      </w:tr>
      <w:tr w:rsidR="00915077" w:rsidRPr="00E26EF6" w14:paraId="6FAA72D1" w14:textId="77777777" w:rsidTr="00672D2A">
        <w:tc>
          <w:tcPr>
            <w:tcW w:w="703" w:type="dxa"/>
          </w:tcPr>
          <w:p w14:paraId="54A27575" w14:textId="59F6A485" w:rsidR="00915077" w:rsidRPr="00E26EF6" w:rsidRDefault="009C083D">
            <w:pPr>
              <w:pStyle w:val="InstructionsText"/>
              <w:rPr>
                <w:highlight w:val="lightGray"/>
              </w:rPr>
            </w:pPr>
            <w:r w:rsidRPr="00E26EF6">
              <w:t>140</w:t>
            </w:r>
          </w:p>
        </w:tc>
        <w:tc>
          <w:tcPr>
            <w:tcW w:w="8080" w:type="dxa"/>
          </w:tcPr>
          <w:p w14:paraId="7780FC37" w14:textId="26FFAEB9" w:rsidR="00915077" w:rsidRPr="00E26EF6" w:rsidRDefault="009C083D">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w:t>
            </w:r>
            <w:r w:rsidRPr="00E26EF6">
              <w:rPr>
                <w:rStyle w:val="InstructionsTabelleberschrift"/>
                <w:rFonts w:ascii="Times New Roman" w:hAnsi="Times New Roman"/>
                <w:sz w:val="24"/>
              </w:rPr>
              <w:tab/>
              <w:t>TSCR: składający się</w:t>
            </w:r>
            <w:r w:rsidR="00E26EF6" w:rsidRPr="00E26EF6">
              <w:rPr>
                <w:rStyle w:val="InstructionsTabelleberschrift"/>
                <w:rFonts w:ascii="Times New Roman" w:hAnsi="Times New Roman"/>
                <w:sz w:val="24"/>
              </w:rPr>
              <w:t xml:space="preserve"> z kap</w:t>
            </w:r>
            <w:r w:rsidRPr="00E26EF6">
              <w:rPr>
                <w:rStyle w:val="InstructionsTabelleberschrift"/>
                <w:rFonts w:ascii="Times New Roman" w:hAnsi="Times New Roman"/>
                <w:sz w:val="24"/>
              </w:rPr>
              <w:t xml:space="preserve">itału podstawowego Tier I </w:t>
            </w:r>
          </w:p>
          <w:p w14:paraId="2A58CDB5" w14:textId="77777777" w:rsidR="00915077" w:rsidRPr="00E26EF6" w:rsidRDefault="009C083D">
            <w:pPr>
              <w:pStyle w:val="InstructionsText"/>
            </w:pPr>
            <w:r w:rsidRPr="00E26EF6">
              <w:t>Suma następujących ppkt (i) oraz (ii):</w:t>
            </w:r>
          </w:p>
          <w:p w14:paraId="2BD858D2" w14:textId="4C1F4263" w:rsidR="00915077" w:rsidRPr="00E26EF6" w:rsidRDefault="009C083D">
            <w:pPr>
              <w:pStyle w:val="InstructionsText"/>
              <w:numPr>
                <w:ilvl w:val="0"/>
                <w:numId w:val="21"/>
              </w:numPr>
            </w:pPr>
            <w:proofErr w:type="gramStart"/>
            <w:r w:rsidRPr="00E26EF6">
              <w:t>współczynnika</w:t>
            </w:r>
            <w:proofErr w:type="gramEnd"/>
            <w:r w:rsidRPr="00E26EF6">
              <w:t xml:space="preserve"> kapitału podstawowego Tier I (4,5</w:t>
            </w:r>
            <w:r w:rsidR="00023409" w:rsidRPr="00E26EF6">
              <w:t> </w:t>
            </w:r>
            <w:r w:rsidRPr="00E26EF6">
              <w:t>%), jak określono</w:t>
            </w:r>
            <w:r w:rsidR="00E26EF6" w:rsidRPr="00E26EF6">
              <w:t xml:space="preserve"> w art</w:t>
            </w:r>
            <w:r w:rsidRPr="00E26EF6">
              <w:t>.</w:t>
            </w:r>
            <w:r w:rsidR="00023409" w:rsidRPr="00E26EF6">
              <w:t> </w:t>
            </w:r>
            <w:r w:rsidRPr="00E26EF6">
              <w:t>92 ust.</w:t>
            </w:r>
            <w:r w:rsidR="00023409" w:rsidRPr="00E26EF6">
              <w:t> </w:t>
            </w:r>
            <w:r w:rsidRPr="00E26EF6">
              <w:t>1 lit.</w:t>
            </w:r>
            <w:r w:rsidR="00023409" w:rsidRPr="00E26EF6">
              <w:t> </w:t>
            </w:r>
            <w:r w:rsidRPr="00E26EF6">
              <w:t>a) CRR;</w:t>
            </w:r>
          </w:p>
          <w:p w14:paraId="25D42F61" w14:textId="7B64CF49" w:rsidR="00915077" w:rsidRPr="00E26EF6" w:rsidRDefault="009C083D">
            <w:pPr>
              <w:pStyle w:val="InstructionsText"/>
              <w:numPr>
                <w:ilvl w:val="0"/>
                <w:numId w:val="21"/>
              </w:numPr>
              <w:rPr>
                <w:b/>
                <w:bCs/>
                <w:u w:val="single"/>
              </w:rPr>
            </w:pPr>
            <w:proofErr w:type="gramStart"/>
            <w:r w:rsidRPr="00E26EF6">
              <w:t>części</w:t>
            </w:r>
            <w:proofErr w:type="gramEnd"/>
            <w:r w:rsidRPr="00E26EF6">
              <w:t xml:space="preserve"> współczynnika P2R,</w:t>
            </w:r>
            <w:r w:rsidR="00E26EF6" w:rsidRPr="00E26EF6">
              <w:t xml:space="preserve"> o któ</w:t>
            </w:r>
            <w:r w:rsidRPr="00E26EF6">
              <w:t>rym mowa</w:t>
            </w:r>
            <w:r w:rsidR="00E26EF6" w:rsidRPr="00E26EF6">
              <w:t xml:space="preserve"> w wie</w:t>
            </w:r>
            <w:r w:rsidRPr="00E26EF6">
              <w:t>rszu 130 ppkt (ii), która – zgodnie</w:t>
            </w:r>
            <w:r w:rsidR="00E26EF6" w:rsidRPr="00E26EF6">
              <w:t xml:space="preserve"> z wym</w:t>
            </w:r>
            <w:r w:rsidRPr="00E26EF6">
              <w:t>ogiem nałożonym przez właściwy organ – ma być utrzymywana</w:t>
            </w:r>
            <w:r w:rsidR="00E26EF6" w:rsidRPr="00E26EF6">
              <w:t xml:space="preserve"> w pos</w:t>
            </w:r>
            <w:r w:rsidRPr="00E26EF6">
              <w:t>taci kapitału podstawowego Tier I.</w:t>
            </w:r>
          </w:p>
          <w:p w14:paraId="582A73D4" w14:textId="06FA9B89" w:rsidR="00915077" w:rsidRPr="00E26EF6" w:rsidRDefault="00FF2818">
            <w:pPr>
              <w:pStyle w:val="InstructionsText"/>
              <w:rPr>
                <w:rStyle w:val="InstructionsTabelleberschrift"/>
                <w:rFonts w:ascii="Times New Roman" w:hAnsi="Times New Roman"/>
                <w:sz w:val="24"/>
                <w:highlight w:val="lightGray"/>
              </w:rPr>
            </w:pPr>
            <w:r w:rsidRPr="00E26EF6">
              <w:lastRenderedPageBreak/>
              <w:t>Jeżeli właściwy organ nie podał żadnych dodatkowych wymogów</w:t>
            </w:r>
            <w:r w:rsidR="00E26EF6" w:rsidRPr="00E26EF6">
              <w:t xml:space="preserve"> w zak</w:t>
            </w:r>
            <w:r w:rsidRPr="00E26EF6">
              <w:t>resie funduszy własnych dotyczących posiadania funduszy</w:t>
            </w:r>
            <w:r w:rsidR="00E26EF6" w:rsidRPr="00E26EF6">
              <w:t xml:space="preserve"> w for</w:t>
            </w:r>
            <w:r w:rsidRPr="00E26EF6">
              <w:t>mie kapitału podstawowego Tier I, zgłasza się wyłącznie ppkt (i).</w:t>
            </w:r>
            <w:r w:rsidRPr="00E26EF6">
              <w:rPr>
                <w:rStyle w:val="InstructionsTabelleberschrift"/>
                <w:rFonts w:ascii="Times New Roman" w:hAnsi="Times New Roman"/>
                <w:b w:val="0"/>
                <w:sz w:val="24"/>
              </w:rPr>
              <w:t xml:space="preserve"> </w:t>
            </w:r>
          </w:p>
        </w:tc>
      </w:tr>
      <w:tr w:rsidR="00915077" w:rsidRPr="00E26EF6" w14:paraId="04D15322" w14:textId="77777777" w:rsidTr="00672D2A">
        <w:tc>
          <w:tcPr>
            <w:tcW w:w="703" w:type="dxa"/>
          </w:tcPr>
          <w:p w14:paraId="1ACBC3FC" w14:textId="566BDEE6" w:rsidR="00915077" w:rsidRPr="00E26EF6" w:rsidRDefault="009C083D">
            <w:pPr>
              <w:pStyle w:val="InstructionsText"/>
              <w:rPr>
                <w:highlight w:val="lightGray"/>
              </w:rPr>
            </w:pPr>
            <w:r w:rsidRPr="00E26EF6">
              <w:lastRenderedPageBreak/>
              <w:t>150</w:t>
            </w:r>
          </w:p>
        </w:tc>
        <w:tc>
          <w:tcPr>
            <w:tcW w:w="8080" w:type="dxa"/>
          </w:tcPr>
          <w:p w14:paraId="162A63E8" w14:textId="7C84FD7F" w:rsidR="00915077" w:rsidRPr="00E26EF6" w:rsidRDefault="009C083D">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w:t>
            </w:r>
            <w:r w:rsidRPr="00E26EF6">
              <w:rPr>
                <w:rStyle w:val="InstructionsTabelleberschrift"/>
                <w:rFonts w:ascii="Times New Roman" w:hAnsi="Times New Roman"/>
                <w:sz w:val="24"/>
              </w:rPr>
              <w:tab/>
              <w:t>TSCR: składający się</w:t>
            </w:r>
            <w:r w:rsidR="00E26EF6" w:rsidRPr="00E26EF6">
              <w:rPr>
                <w:rStyle w:val="InstructionsTabelleberschrift"/>
                <w:rFonts w:ascii="Times New Roman" w:hAnsi="Times New Roman"/>
                <w:sz w:val="24"/>
              </w:rPr>
              <w:t xml:space="preserve"> z kap</w:t>
            </w:r>
            <w:r w:rsidRPr="00E26EF6">
              <w:rPr>
                <w:rStyle w:val="InstructionsTabelleberschrift"/>
                <w:rFonts w:ascii="Times New Roman" w:hAnsi="Times New Roman"/>
                <w:sz w:val="24"/>
              </w:rPr>
              <w:t>itału Tier I</w:t>
            </w:r>
          </w:p>
          <w:p w14:paraId="73476816" w14:textId="77777777" w:rsidR="00915077" w:rsidRPr="00E26EF6" w:rsidRDefault="009C083D">
            <w:pPr>
              <w:pStyle w:val="InstructionsText"/>
            </w:pPr>
            <w:r w:rsidRPr="00E26EF6">
              <w:t>Suma następujących ppkt (i) oraz (ii):</w:t>
            </w:r>
          </w:p>
          <w:p w14:paraId="157105A9" w14:textId="39FE4A37" w:rsidR="00915077" w:rsidRPr="00E26EF6" w:rsidRDefault="009C083D">
            <w:pPr>
              <w:pStyle w:val="InstructionsText"/>
              <w:numPr>
                <w:ilvl w:val="0"/>
                <w:numId w:val="22"/>
              </w:numPr>
            </w:pPr>
            <w:proofErr w:type="gramStart"/>
            <w:r w:rsidRPr="00E26EF6">
              <w:t>współczynnika</w:t>
            </w:r>
            <w:proofErr w:type="gramEnd"/>
            <w:r w:rsidRPr="00E26EF6">
              <w:t xml:space="preserve"> kapitału Tier I (6</w:t>
            </w:r>
            <w:r w:rsidR="00023409" w:rsidRPr="00E26EF6">
              <w:t> </w:t>
            </w:r>
            <w:r w:rsidRPr="00E26EF6">
              <w:t>%), jak określono</w:t>
            </w:r>
            <w:r w:rsidR="00E26EF6" w:rsidRPr="00E26EF6">
              <w:t xml:space="preserve"> w art</w:t>
            </w:r>
            <w:r w:rsidRPr="00E26EF6">
              <w:t>.</w:t>
            </w:r>
            <w:r w:rsidR="00023409" w:rsidRPr="00E26EF6">
              <w:t> </w:t>
            </w:r>
            <w:r w:rsidRPr="00E26EF6">
              <w:t>92 ust.</w:t>
            </w:r>
            <w:r w:rsidR="00023409" w:rsidRPr="00E26EF6">
              <w:t> </w:t>
            </w:r>
            <w:r w:rsidRPr="00E26EF6">
              <w:t>1 lit.</w:t>
            </w:r>
            <w:r w:rsidR="00023409" w:rsidRPr="00E26EF6">
              <w:t> </w:t>
            </w:r>
            <w:r w:rsidRPr="00E26EF6">
              <w:t>b) CRR;</w:t>
            </w:r>
          </w:p>
          <w:p w14:paraId="2BF2ED00" w14:textId="6A7529AF" w:rsidR="00915077" w:rsidRPr="00E26EF6" w:rsidRDefault="009C083D">
            <w:pPr>
              <w:pStyle w:val="InstructionsText"/>
              <w:numPr>
                <w:ilvl w:val="0"/>
                <w:numId w:val="22"/>
              </w:numPr>
              <w:rPr>
                <w:bCs/>
                <w:u w:val="single"/>
              </w:rPr>
            </w:pPr>
            <w:proofErr w:type="gramStart"/>
            <w:r w:rsidRPr="00E26EF6">
              <w:t>części</w:t>
            </w:r>
            <w:proofErr w:type="gramEnd"/>
            <w:r w:rsidRPr="00E26EF6">
              <w:t xml:space="preserve"> współczynnika P2R,</w:t>
            </w:r>
            <w:r w:rsidR="00E26EF6" w:rsidRPr="00E26EF6">
              <w:t xml:space="preserve"> o któ</w:t>
            </w:r>
            <w:r w:rsidRPr="00E26EF6">
              <w:t>rym mowa</w:t>
            </w:r>
            <w:r w:rsidR="00E26EF6" w:rsidRPr="00E26EF6">
              <w:t xml:space="preserve"> w wie</w:t>
            </w:r>
            <w:r w:rsidRPr="00E26EF6">
              <w:t>rszu 130 ppkt (ii), która – zgodnie</w:t>
            </w:r>
            <w:r w:rsidR="00E26EF6" w:rsidRPr="00E26EF6">
              <w:t xml:space="preserve"> z wym</w:t>
            </w:r>
            <w:r w:rsidRPr="00E26EF6">
              <w:t>ogiem nałożonym przez właściwy organ – ma być utrzymywana</w:t>
            </w:r>
            <w:r w:rsidR="00E26EF6" w:rsidRPr="00E26EF6">
              <w:t xml:space="preserve"> w pos</w:t>
            </w:r>
            <w:r w:rsidRPr="00E26EF6">
              <w:t>taci kapitału Tier I.</w:t>
            </w:r>
          </w:p>
          <w:p w14:paraId="217AF337" w14:textId="31E0B6DC" w:rsidR="00915077" w:rsidRPr="00E26EF6" w:rsidRDefault="00FF2818">
            <w:pPr>
              <w:pStyle w:val="InstructionsText"/>
              <w:rPr>
                <w:rStyle w:val="InstructionsTabelleberschrift"/>
                <w:rFonts w:ascii="Times New Roman" w:hAnsi="Times New Roman"/>
                <w:b w:val="0"/>
                <w:sz w:val="24"/>
                <w:highlight w:val="lightGray"/>
              </w:rPr>
            </w:pPr>
            <w:r w:rsidRPr="00E26EF6">
              <w:t>Jeżeli właściwy organ nie podał żadnych dodatkowych wymogów</w:t>
            </w:r>
            <w:r w:rsidR="00E26EF6" w:rsidRPr="00E26EF6">
              <w:t xml:space="preserve"> w zak</w:t>
            </w:r>
            <w:r w:rsidRPr="00E26EF6">
              <w:t>resie funduszy własnych dotyczących posiadania funduszy</w:t>
            </w:r>
            <w:r w:rsidR="00E26EF6" w:rsidRPr="00E26EF6">
              <w:t xml:space="preserve"> w for</w:t>
            </w:r>
            <w:r w:rsidRPr="00E26EF6">
              <w:t>mie kapitału Tier I, zgłasza się wyłącznie ppkt (i).</w:t>
            </w:r>
          </w:p>
        </w:tc>
      </w:tr>
      <w:tr w:rsidR="00915077" w:rsidRPr="00E26EF6" w14:paraId="7284D0F0" w14:textId="77777777" w:rsidTr="00672D2A">
        <w:tc>
          <w:tcPr>
            <w:tcW w:w="703" w:type="dxa"/>
          </w:tcPr>
          <w:p w14:paraId="6D6F0422" w14:textId="77777777" w:rsidR="00915077" w:rsidRPr="00E26EF6" w:rsidRDefault="009C083D">
            <w:pPr>
              <w:pStyle w:val="InstructionsText"/>
              <w:rPr>
                <w:highlight w:val="lightGray"/>
              </w:rPr>
            </w:pPr>
            <w:r w:rsidRPr="00E26EF6">
              <w:t>160</w:t>
            </w:r>
          </w:p>
        </w:tc>
        <w:tc>
          <w:tcPr>
            <w:tcW w:w="8080" w:type="dxa"/>
          </w:tcPr>
          <w:p w14:paraId="56FE82D0" w14:textId="77777777" w:rsidR="00915077" w:rsidRPr="00E26EF6" w:rsidRDefault="009C083D">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14</w:t>
            </w:r>
            <w:r w:rsidRPr="00E26EF6">
              <w:rPr>
                <w:rStyle w:val="InstructionsTabelleberschrift"/>
                <w:rFonts w:ascii="Times New Roman" w:hAnsi="Times New Roman"/>
                <w:sz w:val="24"/>
              </w:rPr>
              <w:tab/>
              <w:t>Współczynnik łącznego wymogu kapitałowego (OCR)</w:t>
            </w:r>
          </w:p>
          <w:p w14:paraId="7CED4624" w14:textId="77777777" w:rsidR="00915077" w:rsidRPr="00E26EF6" w:rsidRDefault="009C083D">
            <w:pPr>
              <w:pStyle w:val="InstructionsText"/>
            </w:pPr>
            <w:r w:rsidRPr="00E26EF6">
              <w:t>Suma następujących ppkt (i) oraz (ii):</w:t>
            </w:r>
          </w:p>
          <w:p w14:paraId="35A8D874" w14:textId="3339C54D" w:rsidR="00915077" w:rsidRPr="00E26EF6" w:rsidRDefault="009C083D">
            <w:pPr>
              <w:pStyle w:val="InstructionsText"/>
              <w:numPr>
                <w:ilvl w:val="0"/>
                <w:numId w:val="23"/>
              </w:numPr>
            </w:pPr>
            <w:proofErr w:type="gramStart"/>
            <w:r w:rsidRPr="00E26EF6">
              <w:t>współczynnika</w:t>
            </w:r>
            <w:proofErr w:type="gramEnd"/>
            <w:r w:rsidRPr="00E26EF6">
              <w:t xml:space="preserve"> TSCR,</w:t>
            </w:r>
            <w:r w:rsidR="00E26EF6" w:rsidRPr="00E26EF6">
              <w:t xml:space="preserve"> o któ</w:t>
            </w:r>
            <w:r w:rsidRPr="00E26EF6">
              <w:t>rym mowa</w:t>
            </w:r>
            <w:r w:rsidR="00E26EF6" w:rsidRPr="00E26EF6">
              <w:t xml:space="preserve"> w wie</w:t>
            </w:r>
            <w:r w:rsidRPr="00E26EF6">
              <w:t>rszu 130;</w:t>
            </w:r>
          </w:p>
          <w:p w14:paraId="298499E8" w14:textId="78DDFBE2" w:rsidR="00915077" w:rsidRPr="00E26EF6" w:rsidRDefault="009C083D">
            <w:pPr>
              <w:pStyle w:val="InstructionsText"/>
              <w:numPr>
                <w:ilvl w:val="0"/>
                <w:numId w:val="23"/>
              </w:numPr>
            </w:pPr>
            <w:proofErr w:type="gramStart"/>
            <w:r w:rsidRPr="00E26EF6">
              <w:t>współczynnika</w:t>
            </w:r>
            <w:proofErr w:type="gramEnd"/>
            <w:r w:rsidRPr="00E26EF6">
              <w:t xml:space="preserve"> wymogu połączonego bufora,</w:t>
            </w:r>
            <w:r w:rsidR="00E26EF6" w:rsidRPr="00E26EF6">
              <w:t xml:space="preserve"> o któ</w:t>
            </w:r>
            <w:r w:rsidRPr="00E26EF6">
              <w:t>rym mowa</w:t>
            </w:r>
            <w:r w:rsidR="00E26EF6" w:rsidRPr="00E26EF6">
              <w:t xml:space="preserve"> w art</w:t>
            </w:r>
            <w:r w:rsidRPr="00E26EF6">
              <w:t>.</w:t>
            </w:r>
            <w:r w:rsidR="00023409" w:rsidRPr="00E26EF6">
              <w:t> </w:t>
            </w:r>
            <w:r w:rsidRPr="00E26EF6">
              <w:t>128 pkt</w:t>
            </w:r>
            <w:r w:rsidR="00023409" w:rsidRPr="00E26EF6">
              <w:t> </w:t>
            </w:r>
            <w:r w:rsidRPr="00E26EF6">
              <w:t>6 CRD –</w:t>
            </w:r>
            <w:r w:rsidR="00E26EF6" w:rsidRPr="00E26EF6">
              <w:t xml:space="preserve"> w zak</w:t>
            </w:r>
            <w:r w:rsidRPr="00E26EF6">
              <w:t>resie,</w:t>
            </w:r>
            <w:r w:rsidR="00E26EF6" w:rsidRPr="00E26EF6">
              <w:t xml:space="preserve"> w jak</w:t>
            </w:r>
            <w:r w:rsidRPr="00E26EF6">
              <w:t>im ma on zastosowanie zgodnie</w:t>
            </w:r>
            <w:r w:rsidR="00E26EF6" w:rsidRPr="00E26EF6">
              <w:t xml:space="preserve"> z prz</w:t>
            </w:r>
            <w:r w:rsidRPr="00E26EF6">
              <w:t>episami prawa.</w:t>
            </w:r>
          </w:p>
          <w:p w14:paraId="5F1122DC" w14:textId="06134E6B" w:rsidR="00915077" w:rsidRPr="00E26EF6" w:rsidRDefault="009C083D">
            <w:pPr>
              <w:pStyle w:val="InstructionsText"/>
            </w:pPr>
            <w:r w:rsidRPr="00E26EF6">
              <w:t>Pozycja ta musi odzwierciedlać współczynnik łącznego wymogu kapitałowego (OCR), jak określono</w:t>
            </w:r>
            <w:r w:rsidR="00E26EF6" w:rsidRPr="00E26EF6">
              <w:t xml:space="preserve"> w sek</w:t>
            </w:r>
            <w:r w:rsidRPr="00E26EF6">
              <w:t>cji 1.2 EBA SREP GL.</w:t>
            </w:r>
          </w:p>
          <w:p w14:paraId="2F733A00" w14:textId="6A91A9D7" w:rsidR="00915077" w:rsidRPr="00E26EF6" w:rsidRDefault="00FF2818">
            <w:pPr>
              <w:pStyle w:val="InstructionsText"/>
              <w:rPr>
                <w:rStyle w:val="InstructionsTabelleberschrift"/>
                <w:rFonts w:ascii="Times New Roman" w:hAnsi="Times New Roman"/>
                <w:sz w:val="24"/>
                <w:highlight w:val="lightGray"/>
              </w:rPr>
            </w:pPr>
            <w:r w:rsidRPr="00E26EF6">
              <w:t>Jeżeli nie ma zastosowanie żaden wymóg</w:t>
            </w:r>
            <w:r w:rsidR="00E26EF6" w:rsidRPr="00E26EF6">
              <w:t xml:space="preserve"> w zak</w:t>
            </w:r>
            <w:r w:rsidRPr="00E26EF6">
              <w:t>resie bufora, zgłasza się tylko ppkt (i).</w:t>
            </w:r>
          </w:p>
        </w:tc>
      </w:tr>
      <w:tr w:rsidR="00915077" w:rsidRPr="00E26EF6" w14:paraId="2A2A79ED" w14:textId="77777777" w:rsidTr="00672D2A">
        <w:tc>
          <w:tcPr>
            <w:tcW w:w="703" w:type="dxa"/>
          </w:tcPr>
          <w:p w14:paraId="6C507734" w14:textId="77777777" w:rsidR="00915077" w:rsidRPr="00E26EF6" w:rsidRDefault="009C083D">
            <w:pPr>
              <w:pStyle w:val="InstructionsText"/>
              <w:rPr>
                <w:highlight w:val="lightGray"/>
              </w:rPr>
            </w:pPr>
            <w:r w:rsidRPr="00E26EF6">
              <w:t>170</w:t>
            </w:r>
          </w:p>
        </w:tc>
        <w:tc>
          <w:tcPr>
            <w:tcW w:w="8080" w:type="dxa"/>
          </w:tcPr>
          <w:p w14:paraId="65F9F502" w14:textId="228A3BD6" w:rsidR="00915077" w:rsidRPr="00E26EF6" w:rsidRDefault="009C083D">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14*</w:t>
            </w:r>
            <w:r w:rsidRPr="00E26EF6">
              <w:rPr>
                <w:rStyle w:val="InstructionsTabelleberschrift"/>
                <w:rFonts w:ascii="Times New Roman" w:hAnsi="Times New Roman"/>
                <w:sz w:val="24"/>
              </w:rPr>
              <w:tab/>
              <w:t>OCR: składający się</w:t>
            </w:r>
            <w:r w:rsidR="00E26EF6" w:rsidRPr="00E26EF6">
              <w:rPr>
                <w:rStyle w:val="InstructionsTabelleberschrift"/>
                <w:rFonts w:ascii="Times New Roman" w:hAnsi="Times New Roman"/>
                <w:sz w:val="24"/>
              </w:rPr>
              <w:t xml:space="preserve"> z kap</w:t>
            </w:r>
            <w:r w:rsidRPr="00E26EF6">
              <w:rPr>
                <w:rStyle w:val="InstructionsTabelleberschrift"/>
                <w:rFonts w:ascii="Times New Roman" w:hAnsi="Times New Roman"/>
                <w:sz w:val="24"/>
              </w:rPr>
              <w:t xml:space="preserve">itału podstawowego Tier I </w:t>
            </w:r>
          </w:p>
          <w:p w14:paraId="413935F4" w14:textId="77777777" w:rsidR="00915077" w:rsidRPr="00E26EF6" w:rsidRDefault="009C083D">
            <w:pPr>
              <w:pStyle w:val="InstructionsText"/>
            </w:pPr>
            <w:r w:rsidRPr="00E26EF6">
              <w:t>Suma następujących ppkt (i) oraz (ii):</w:t>
            </w:r>
          </w:p>
          <w:p w14:paraId="4AD79E84" w14:textId="042F3295" w:rsidR="00915077" w:rsidRPr="00E26EF6" w:rsidRDefault="009C083D">
            <w:pPr>
              <w:pStyle w:val="InstructionsText"/>
              <w:numPr>
                <w:ilvl w:val="0"/>
                <w:numId w:val="24"/>
              </w:numPr>
            </w:pPr>
            <w:proofErr w:type="gramStart"/>
            <w:r w:rsidRPr="00E26EF6">
              <w:t>współczynnika</w:t>
            </w:r>
            <w:proofErr w:type="gramEnd"/>
            <w:r w:rsidRPr="00E26EF6">
              <w:t xml:space="preserve"> TSCR składającego się</w:t>
            </w:r>
            <w:r w:rsidR="00E26EF6" w:rsidRPr="00E26EF6">
              <w:t xml:space="preserve"> z kap</w:t>
            </w:r>
            <w:r w:rsidRPr="00E26EF6">
              <w:t>itału podstawowego Tier I,</w:t>
            </w:r>
            <w:r w:rsidR="00E26EF6" w:rsidRPr="00E26EF6">
              <w:t xml:space="preserve"> o któ</w:t>
            </w:r>
            <w:r w:rsidRPr="00E26EF6">
              <w:t>rym mowa</w:t>
            </w:r>
            <w:r w:rsidR="00E26EF6" w:rsidRPr="00E26EF6">
              <w:t xml:space="preserve"> w wie</w:t>
            </w:r>
            <w:r w:rsidRPr="00E26EF6">
              <w:t>rszu 140;</w:t>
            </w:r>
          </w:p>
          <w:p w14:paraId="4CE915BA" w14:textId="21D71466" w:rsidR="00915077" w:rsidRPr="00E26EF6" w:rsidRDefault="009C083D">
            <w:pPr>
              <w:pStyle w:val="InstructionsText"/>
              <w:numPr>
                <w:ilvl w:val="0"/>
                <w:numId w:val="24"/>
              </w:numPr>
              <w:rPr>
                <w:bCs/>
                <w:u w:val="single"/>
              </w:rPr>
            </w:pPr>
            <w:proofErr w:type="gramStart"/>
            <w:r w:rsidRPr="00E26EF6">
              <w:t>współczynnika</w:t>
            </w:r>
            <w:proofErr w:type="gramEnd"/>
            <w:r w:rsidRPr="00E26EF6">
              <w:t xml:space="preserve"> wymogu połączonego bufora,</w:t>
            </w:r>
            <w:r w:rsidR="00E26EF6" w:rsidRPr="00E26EF6">
              <w:t xml:space="preserve"> o któ</w:t>
            </w:r>
            <w:r w:rsidRPr="00E26EF6">
              <w:t>rym mowa</w:t>
            </w:r>
            <w:r w:rsidR="00E26EF6" w:rsidRPr="00E26EF6">
              <w:t xml:space="preserve"> w art</w:t>
            </w:r>
            <w:r w:rsidRPr="00E26EF6">
              <w:t>.</w:t>
            </w:r>
            <w:r w:rsidR="00023409" w:rsidRPr="00E26EF6">
              <w:t> </w:t>
            </w:r>
            <w:r w:rsidRPr="00E26EF6">
              <w:t>128 pkt</w:t>
            </w:r>
            <w:r w:rsidR="00023409" w:rsidRPr="00E26EF6">
              <w:t> </w:t>
            </w:r>
            <w:r w:rsidRPr="00E26EF6">
              <w:t>6 CRD –</w:t>
            </w:r>
            <w:r w:rsidR="00E26EF6" w:rsidRPr="00E26EF6">
              <w:t xml:space="preserve"> w zak</w:t>
            </w:r>
            <w:r w:rsidRPr="00E26EF6">
              <w:t>resie,</w:t>
            </w:r>
            <w:r w:rsidR="00E26EF6" w:rsidRPr="00E26EF6">
              <w:t xml:space="preserve"> w jak</w:t>
            </w:r>
            <w:r w:rsidRPr="00E26EF6">
              <w:t>im ma on zastosowanie zgodnie</w:t>
            </w:r>
            <w:r w:rsidR="00E26EF6" w:rsidRPr="00E26EF6">
              <w:t xml:space="preserve"> z prz</w:t>
            </w:r>
            <w:r w:rsidRPr="00E26EF6">
              <w:t>episami prawa.</w:t>
            </w:r>
          </w:p>
          <w:p w14:paraId="24F3705E" w14:textId="7A3FFAD7" w:rsidR="00915077" w:rsidRPr="00E26EF6" w:rsidRDefault="00FF2818">
            <w:pPr>
              <w:pStyle w:val="InstructionsText"/>
              <w:rPr>
                <w:rStyle w:val="InstructionsTabelleberschrift"/>
                <w:rFonts w:ascii="Times New Roman" w:hAnsi="Times New Roman"/>
                <w:b w:val="0"/>
                <w:sz w:val="24"/>
                <w:highlight w:val="lightGray"/>
              </w:rPr>
            </w:pPr>
            <w:r w:rsidRPr="00E26EF6">
              <w:t>Jeżeli nie ma zastosowanie żaden wymóg</w:t>
            </w:r>
            <w:r w:rsidR="00E26EF6" w:rsidRPr="00E26EF6">
              <w:t xml:space="preserve"> w zak</w:t>
            </w:r>
            <w:r w:rsidRPr="00E26EF6">
              <w:t>resie bufora, zgłasza się tylko ppkt (i).</w:t>
            </w:r>
          </w:p>
        </w:tc>
      </w:tr>
      <w:tr w:rsidR="00915077" w:rsidRPr="00E26EF6" w14:paraId="07333B3A" w14:textId="77777777" w:rsidTr="00672D2A">
        <w:tc>
          <w:tcPr>
            <w:tcW w:w="703" w:type="dxa"/>
          </w:tcPr>
          <w:p w14:paraId="3A944048" w14:textId="77777777" w:rsidR="00915077" w:rsidRPr="00E26EF6" w:rsidRDefault="009C083D">
            <w:pPr>
              <w:pStyle w:val="InstructionsText"/>
              <w:rPr>
                <w:highlight w:val="lightGray"/>
              </w:rPr>
            </w:pPr>
            <w:r w:rsidRPr="00E26EF6">
              <w:t>180</w:t>
            </w:r>
          </w:p>
        </w:tc>
        <w:tc>
          <w:tcPr>
            <w:tcW w:w="8080" w:type="dxa"/>
          </w:tcPr>
          <w:p w14:paraId="6472D30F" w14:textId="11EDC181" w:rsidR="00915077" w:rsidRPr="00E26EF6" w:rsidRDefault="009C083D">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14**</w:t>
            </w:r>
            <w:r w:rsidRPr="00E26EF6">
              <w:rPr>
                <w:rStyle w:val="InstructionsTabelleberschrift"/>
                <w:rFonts w:ascii="Times New Roman" w:hAnsi="Times New Roman"/>
                <w:sz w:val="24"/>
              </w:rPr>
              <w:tab/>
              <w:t>OCR: składający się</w:t>
            </w:r>
            <w:r w:rsidR="00E26EF6" w:rsidRPr="00E26EF6">
              <w:rPr>
                <w:rStyle w:val="InstructionsTabelleberschrift"/>
                <w:rFonts w:ascii="Times New Roman" w:hAnsi="Times New Roman"/>
                <w:sz w:val="24"/>
              </w:rPr>
              <w:t xml:space="preserve"> z kap</w:t>
            </w:r>
            <w:r w:rsidRPr="00E26EF6">
              <w:rPr>
                <w:rStyle w:val="InstructionsTabelleberschrift"/>
                <w:rFonts w:ascii="Times New Roman" w:hAnsi="Times New Roman"/>
                <w:sz w:val="24"/>
              </w:rPr>
              <w:t>itału Tier I</w:t>
            </w:r>
          </w:p>
          <w:p w14:paraId="2417DC8A" w14:textId="77777777" w:rsidR="00915077" w:rsidRPr="00E26EF6" w:rsidRDefault="009C083D">
            <w:pPr>
              <w:pStyle w:val="InstructionsText"/>
            </w:pPr>
            <w:r w:rsidRPr="00E26EF6">
              <w:t>Suma następujących ppkt (i) oraz (ii):</w:t>
            </w:r>
          </w:p>
          <w:p w14:paraId="427457CD" w14:textId="196F111C" w:rsidR="00915077" w:rsidRPr="00E26EF6" w:rsidRDefault="009C083D">
            <w:pPr>
              <w:pStyle w:val="InstructionsText"/>
              <w:numPr>
                <w:ilvl w:val="0"/>
                <w:numId w:val="25"/>
              </w:numPr>
            </w:pPr>
            <w:proofErr w:type="gramStart"/>
            <w:r w:rsidRPr="00E26EF6">
              <w:t>współczynnika</w:t>
            </w:r>
            <w:proofErr w:type="gramEnd"/>
            <w:r w:rsidRPr="00E26EF6">
              <w:t xml:space="preserve"> TSCR składającego się</w:t>
            </w:r>
            <w:r w:rsidR="00E26EF6" w:rsidRPr="00E26EF6">
              <w:t xml:space="preserve"> z kap</w:t>
            </w:r>
            <w:r w:rsidRPr="00E26EF6">
              <w:t>itału Tier I,</w:t>
            </w:r>
            <w:r w:rsidR="00E26EF6" w:rsidRPr="00E26EF6">
              <w:t xml:space="preserve"> o któ</w:t>
            </w:r>
            <w:r w:rsidRPr="00E26EF6">
              <w:t>rym mowa</w:t>
            </w:r>
            <w:r w:rsidR="00E26EF6" w:rsidRPr="00E26EF6">
              <w:t xml:space="preserve"> w wie</w:t>
            </w:r>
            <w:r w:rsidRPr="00E26EF6">
              <w:t>rszu 150;</w:t>
            </w:r>
          </w:p>
          <w:p w14:paraId="045919C2" w14:textId="15BCC615" w:rsidR="00915077" w:rsidRPr="00E26EF6" w:rsidRDefault="009C083D">
            <w:pPr>
              <w:pStyle w:val="InstructionsText"/>
              <w:numPr>
                <w:ilvl w:val="0"/>
                <w:numId w:val="25"/>
              </w:numPr>
              <w:rPr>
                <w:bCs/>
                <w:u w:val="single"/>
              </w:rPr>
            </w:pPr>
            <w:proofErr w:type="gramStart"/>
            <w:r w:rsidRPr="00E26EF6">
              <w:t>współczynnika</w:t>
            </w:r>
            <w:proofErr w:type="gramEnd"/>
            <w:r w:rsidRPr="00E26EF6">
              <w:t xml:space="preserve"> wymogu połączonego bufora,</w:t>
            </w:r>
            <w:r w:rsidR="00E26EF6" w:rsidRPr="00E26EF6">
              <w:t xml:space="preserve"> o któ</w:t>
            </w:r>
            <w:r w:rsidRPr="00E26EF6">
              <w:t>rym mowa</w:t>
            </w:r>
            <w:r w:rsidR="00E26EF6" w:rsidRPr="00E26EF6">
              <w:t xml:space="preserve"> w art</w:t>
            </w:r>
            <w:r w:rsidRPr="00E26EF6">
              <w:t>.</w:t>
            </w:r>
            <w:r w:rsidR="00023409" w:rsidRPr="00E26EF6">
              <w:t> </w:t>
            </w:r>
            <w:r w:rsidRPr="00E26EF6">
              <w:t>128 pkt</w:t>
            </w:r>
            <w:r w:rsidR="00023409" w:rsidRPr="00E26EF6">
              <w:t> </w:t>
            </w:r>
            <w:r w:rsidRPr="00E26EF6">
              <w:t>6 CRD –</w:t>
            </w:r>
            <w:r w:rsidR="00E26EF6" w:rsidRPr="00E26EF6">
              <w:t xml:space="preserve"> w zak</w:t>
            </w:r>
            <w:r w:rsidRPr="00E26EF6">
              <w:t>resie,</w:t>
            </w:r>
            <w:r w:rsidR="00E26EF6" w:rsidRPr="00E26EF6">
              <w:t xml:space="preserve"> w jak</w:t>
            </w:r>
            <w:r w:rsidRPr="00E26EF6">
              <w:t>im ma on zastosowanie zgodnie</w:t>
            </w:r>
            <w:r w:rsidR="00E26EF6" w:rsidRPr="00E26EF6">
              <w:t xml:space="preserve"> z prz</w:t>
            </w:r>
            <w:r w:rsidRPr="00E26EF6">
              <w:t>episami prawa.</w:t>
            </w:r>
          </w:p>
          <w:p w14:paraId="693DE97C" w14:textId="26464070" w:rsidR="00915077" w:rsidRPr="00E26EF6" w:rsidRDefault="00FF2818">
            <w:pPr>
              <w:pStyle w:val="InstructionsText"/>
              <w:rPr>
                <w:rStyle w:val="InstructionsTabelleberschrift"/>
                <w:rFonts w:ascii="Times New Roman" w:hAnsi="Times New Roman"/>
                <w:b w:val="0"/>
                <w:sz w:val="24"/>
                <w:highlight w:val="lightGray"/>
              </w:rPr>
            </w:pPr>
            <w:r w:rsidRPr="00E26EF6">
              <w:t>Jeżeli nie ma zastosowanie żaden wymóg</w:t>
            </w:r>
            <w:r w:rsidR="00E26EF6" w:rsidRPr="00E26EF6">
              <w:t xml:space="preserve"> w zak</w:t>
            </w:r>
            <w:r w:rsidRPr="00E26EF6">
              <w:t>resie bufora, zgłasza się tylko ppkt (i).</w:t>
            </w:r>
          </w:p>
        </w:tc>
      </w:tr>
      <w:tr w:rsidR="00915077" w:rsidRPr="00E26EF6" w14:paraId="6FE97CA7" w14:textId="77777777" w:rsidTr="00672D2A">
        <w:tc>
          <w:tcPr>
            <w:tcW w:w="703" w:type="dxa"/>
          </w:tcPr>
          <w:p w14:paraId="5373D93D" w14:textId="77777777" w:rsidR="00915077" w:rsidRPr="00E26EF6" w:rsidRDefault="009C083D">
            <w:pPr>
              <w:pStyle w:val="InstructionsText"/>
              <w:rPr>
                <w:highlight w:val="lightGray"/>
              </w:rPr>
            </w:pPr>
            <w:r w:rsidRPr="00E26EF6">
              <w:lastRenderedPageBreak/>
              <w:t>190</w:t>
            </w:r>
          </w:p>
        </w:tc>
        <w:tc>
          <w:tcPr>
            <w:tcW w:w="8080" w:type="dxa"/>
          </w:tcPr>
          <w:p w14:paraId="1E61E9B4" w14:textId="54175D66" w:rsidR="00915077" w:rsidRPr="00E26EF6" w:rsidRDefault="009C083D">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15</w:t>
            </w:r>
            <w:r w:rsidRPr="00E26EF6">
              <w:rPr>
                <w:rStyle w:val="InstructionsTabelleberschrift"/>
                <w:rFonts w:ascii="Times New Roman" w:hAnsi="Times New Roman"/>
                <w:sz w:val="24"/>
              </w:rPr>
              <w:tab/>
              <w:t>Współczynnik łącznego wymogu kapitałowego (OCR)</w:t>
            </w:r>
            <w:r w:rsidR="00E26EF6" w:rsidRPr="00E26EF6">
              <w:rPr>
                <w:rStyle w:val="InstructionsTabelleberschrift"/>
                <w:rFonts w:ascii="Times New Roman" w:hAnsi="Times New Roman"/>
                <w:sz w:val="24"/>
              </w:rPr>
              <w:t xml:space="preserve"> i wyt</w:t>
            </w:r>
            <w:r w:rsidRPr="00E26EF6">
              <w:rPr>
                <w:rStyle w:val="InstructionsTabelleberschrift"/>
                <w:rFonts w:ascii="Times New Roman" w:hAnsi="Times New Roman"/>
                <w:sz w:val="24"/>
              </w:rPr>
              <w:t>yczne filaru 2 (P2G)</w:t>
            </w:r>
          </w:p>
          <w:p w14:paraId="2D4F717D" w14:textId="77777777" w:rsidR="00915077" w:rsidRPr="00E26EF6" w:rsidRDefault="009C083D">
            <w:pPr>
              <w:pStyle w:val="InstructionsText"/>
            </w:pPr>
            <w:r w:rsidRPr="00E26EF6">
              <w:t>Suma następujących ppkt (i) oraz (ii):</w:t>
            </w:r>
          </w:p>
          <w:p w14:paraId="5BC18CBE" w14:textId="5F7AFD9C" w:rsidR="00915077" w:rsidRPr="00E26EF6" w:rsidRDefault="009C083D">
            <w:pPr>
              <w:pStyle w:val="InstructionsText"/>
              <w:numPr>
                <w:ilvl w:val="0"/>
                <w:numId w:val="26"/>
              </w:numPr>
            </w:pPr>
            <w:proofErr w:type="gramStart"/>
            <w:r w:rsidRPr="00E26EF6">
              <w:t>współczynnika</w:t>
            </w:r>
            <w:proofErr w:type="gramEnd"/>
            <w:r w:rsidRPr="00E26EF6">
              <w:t xml:space="preserve"> OCR,</w:t>
            </w:r>
            <w:r w:rsidR="00E26EF6" w:rsidRPr="00E26EF6">
              <w:t xml:space="preserve"> o któ</w:t>
            </w:r>
            <w:r w:rsidRPr="00E26EF6">
              <w:t>rym mowa</w:t>
            </w:r>
            <w:r w:rsidR="00E26EF6" w:rsidRPr="00E26EF6">
              <w:t xml:space="preserve"> w wie</w:t>
            </w:r>
            <w:r w:rsidRPr="00E26EF6">
              <w:t>rszu 160;</w:t>
            </w:r>
          </w:p>
          <w:p w14:paraId="2B41480A" w14:textId="77777777" w:rsidR="00915077" w:rsidRPr="00E26EF6" w:rsidRDefault="009C083D">
            <w:pPr>
              <w:pStyle w:val="InstructionsText"/>
              <w:numPr>
                <w:ilvl w:val="0"/>
                <w:numId w:val="26"/>
              </w:numPr>
              <w:rPr>
                <w:bCs/>
                <w:u w:val="single"/>
              </w:rPr>
            </w:pPr>
            <w:proofErr w:type="gramStart"/>
            <w:r w:rsidRPr="00E26EF6">
              <w:t>w</w:t>
            </w:r>
            <w:proofErr w:type="gramEnd"/>
            <w:r w:rsidRPr="00E26EF6">
              <w:t xml:space="preserve"> stosownych przypadkach wytycznych filaru 2 (P2G), jak określono w EBA SREP GL. P2G uwzględnia się tylko wtedy, gdy został podany do wiadomości instytucji przez właściwy organ.</w:t>
            </w:r>
          </w:p>
          <w:p w14:paraId="02757A82" w14:textId="6EF33647" w:rsidR="00915077" w:rsidRPr="00E26EF6" w:rsidRDefault="00FF2818" w:rsidP="00023409">
            <w:pPr>
              <w:pStyle w:val="InstructionsText"/>
              <w:rPr>
                <w:rStyle w:val="InstructionsTabelleberschrift"/>
                <w:rFonts w:ascii="Times New Roman" w:hAnsi="Times New Roman"/>
                <w:b w:val="0"/>
                <w:sz w:val="24"/>
                <w:highlight w:val="lightGray"/>
              </w:rPr>
            </w:pPr>
            <w:r w:rsidRPr="00E26EF6">
              <w:t>Jeżeli właściwy organ nie podał P2G, zgłasza się wyłącznie ppkt (i).</w:t>
            </w:r>
            <w:r w:rsidRPr="00E26EF6">
              <w:rPr>
                <w:rStyle w:val="InstructionsTabelleberschrift"/>
                <w:rFonts w:ascii="Times New Roman" w:hAnsi="Times New Roman"/>
                <w:b w:val="0"/>
                <w:sz w:val="24"/>
              </w:rPr>
              <w:t xml:space="preserve"> </w:t>
            </w:r>
          </w:p>
        </w:tc>
      </w:tr>
      <w:tr w:rsidR="00915077" w:rsidRPr="00E26EF6" w14:paraId="112A24E1" w14:textId="77777777" w:rsidTr="00672D2A">
        <w:tc>
          <w:tcPr>
            <w:tcW w:w="703" w:type="dxa"/>
          </w:tcPr>
          <w:p w14:paraId="6B60120C" w14:textId="77777777" w:rsidR="00915077" w:rsidRPr="00E26EF6" w:rsidRDefault="009C083D">
            <w:pPr>
              <w:pStyle w:val="InstructionsText"/>
              <w:rPr>
                <w:highlight w:val="lightGray"/>
              </w:rPr>
            </w:pPr>
            <w:r w:rsidRPr="00E26EF6">
              <w:t>200</w:t>
            </w:r>
          </w:p>
        </w:tc>
        <w:tc>
          <w:tcPr>
            <w:tcW w:w="8080" w:type="dxa"/>
          </w:tcPr>
          <w:p w14:paraId="5FA13F2F" w14:textId="05E71F81" w:rsidR="00915077" w:rsidRPr="00E26EF6" w:rsidRDefault="009C083D">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15*</w:t>
            </w:r>
            <w:r w:rsidRPr="00E26EF6">
              <w:rPr>
                <w:rStyle w:val="InstructionsTabelleberschrift"/>
                <w:rFonts w:ascii="Times New Roman" w:hAnsi="Times New Roman"/>
                <w:sz w:val="24"/>
              </w:rPr>
              <w:tab/>
              <w:t>OCR i P2G: składające się</w:t>
            </w:r>
            <w:r w:rsidR="00E26EF6" w:rsidRPr="00E26EF6">
              <w:rPr>
                <w:rStyle w:val="InstructionsTabelleberschrift"/>
                <w:rFonts w:ascii="Times New Roman" w:hAnsi="Times New Roman"/>
                <w:sz w:val="24"/>
              </w:rPr>
              <w:t xml:space="preserve"> z kap</w:t>
            </w:r>
            <w:r w:rsidRPr="00E26EF6">
              <w:rPr>
                <w:rStyle w:val="InstructionsTabelleberschrift"/>
                <w:rFonts w:ascii="Times New Roman" w:hAnsi="Times New Roman"/>
                <w:sz w:val="24"/>
              </w:rPr>
              <w:t xml:space="preserve">itału podstawowego Tier I </w:t>
            </w:r>
          </w:p>
          <w:p w14:paraId="4801CC69" w14:textId="77777777" w:rsidR="00915077" w:rsidRPr="00E26EF6" w:rsidRDefault="009C083D">
            <w:pPr>
              <w:pStyle w:val="InstructionsText"/>
            </w:pPr>
            <w:r w:rsidRPr="00E26EF6">
              <w:t>Suma następujących ppkt (i) oraz (ii):</w:t>
            </w:r>
          </w:p>
          <w:p w14:paraId="080BA5ED" w14:textId="51207541" w:rsidR="00915077" w:rsidRPr="00E26EF6" w:rsidRDefault="009C083D">
            <w:pPr>
              <w:pStyle w:val="InstructionsText"/>
              <w:numPr>
                <w:ilvl w:val="0"/>
                <w:numId w:val="27"/>
              </w:numPr>
            </w:pPr>
            <w:proofErr w:type="gramStart"/>
            <w:r w:rsidRPr="00E26EF6">
              <w:t>współczynnika</w:t>
            </w:r>
            <w:proofErr w:type="gramEnd"/>
            <w:r w:rsidRPr="00E26EF6">
              <w:t xml:space="preserve"> OCR składającego się</w:t>
            </w:r>
            <w:r w:rsidR="00E26EF6" w:rsidRPr="00E26EF6">
              <w:t xml:space="preserve"> z kap</w:t>
            </w:r>
            <w:r w:rsidRPr="00E26EF6">
              <w:t>itału podstawowego Tier I,</w:t>
            </w:r>
            <w:r w:rsidR="00E26EF6" w:rsidRPr="00E26EF6">
              <w:t xml:space="preserve"> o któ</w:t>
            </w:r>
            <w:r w:rsidRPr="00E26EF6">
              <w:t>rym mowa</w:t>
            </w:r>
            <w:r w:rsidR="00E26EF6" w:rsidRPr="00E26EF6">
              <w:t xml:space="preserve"> w wie</w:t>
            </w:r>
            <w:r w:rsidRPr="00E26EF6">
              <w:t>rszu 170;</w:t>
            </w:r>
          </w:p>
          <w:p w14:paraId="41E9170A" w14:textId="0E09BB1B" w:rsidR="00915077" w:rsidRPr="00E26EF6" w:rsidRDefault="009C083D">
            <w:pPr>
              <w:pStyle w:val="InstructionsText"/>
              <w:numPr>
                <w:ilvl w:val="0"/>
                <w:numId w:val="27"/>
              </w:numPr>
              <w:rPr>
                <w:bCs/>
                <w:u w:val="single"/>
              </w:rPr>
            </w:pPr>
            <w:proofErr w:type="gramStart"/>
            <w:r w:rsidRPr="00E26EF6">
              <w:t>w</w:t>
            </w:r>
            <w:proofErr w:type="gramEnd"/>
            <w:r w:rsidRPr="00E26EF6">
              <w:t xml:space="preserve"> stosownych przypadkach, części P2G,</w:t>
            </w:r>
            <w:r w:rsidR="00E26EF6" w:rsidRPr="00E26EF6">
              <w:t xml:space="preserve"> o któ</w:t>
            </w:r>
            <w:r w:rsidRPr="00E26EF6">
              <w:t>rym mowa</w:t>
            </w:r>
            <w:r w:rsidR="00E26EF6" w:rsidRPr="00E26EF6">
              <w:t xml:space="preserve"> w wie</w:t>
            </w:r>
            <w:r w:rsidRPr="00E26EF6">
              <w:t>rszu 190 ppkt (ii), która – zgodnie</w:t>
            </w:r>
            <w:r w:rsidR="00E26EF6" w:rsidRPr="00E26EF6">
              <w:t xml:space="preserve"> z wym</w:t>
            </w:r>
            <w:r w:rsidRPr="00E26EF6">
              <w:t>ogiem nałożonym przez właściwy organ – ma być utrzymywana</w:t>
            </w:r>
            <w:r w:rsidR="00E26EF6" w:rsidRPr="00E26EF6">
              <w:t xml:space="preserve"> w pos</w:t>
            </w:r>
            <w:r w:rsidRPr="00E26EF6">
              <w:t>taci kapitału podstawowego Tier I. P2G uwzględnia się tylko wtedy, gdy został podany do wiadomości instytucji przez właściwy organ.</w:t>
            </w:r>
          </w:p>
          <w:p w14:paraId="2625BF57" w14:textId="0E023328" w:rsidR="00915077" w:rsidRPr="00E26EF6" w:rsidRDefault="00FF2818">
            <w:pPr>
              <w:pStyle w:val="InstructionsText"/>
              <w:rPr>
                <w:rStyle w:val="InstructionsTabelleberschrift"/>
                <w:rFonts w:ascii="Times New Roman" w:hAnsi="Times New Roman"/>
                <w:b w:val="0"/>
                <w:sz w:val="24"/>
                <w:highlight w:val="lightGray"/>
              </w:rPr>
            </w:pPr>
            <w:r w:rsidRPr="00E26EF6">
              <w:t>Jeżeli właściwy organ nie podał P2G, zgłasza się wyłącznie ppkt (i).</w:t>
            </w:r>
          </w:p>
        </w:tc>
      </w:tr>
      <w:tr w:rsidR="00915077" w:rsidRPr="00E26EF6" w14:paraId="6DB68548" w14:textId="77777777" w:rsidTr="00672D2A">
        <w:tc>
          <w:tcPr>
            <w:tcW w:w="703" w:type="dxa"/>
          </w:tcPr>
          <w:p w14:paraId="18D58F07" w14:textId="77777777" w:rsidR="00915077" w:rsidRPr="00E26EF6" w:rsidRDefault="009C083D">
            <w:pPr>
              <w:pStyle w:val="InstructionsText"/>
              <w:rPr>
                <w:highlight w:val="lightGray"/>
              </w:rPr>
            </w:pPr>
            <w:r w:rsidRPr="00E26EF6">
              <w:t>210</w:t>
            </w:r>
          </w:p>
        </w:tc>
        <w:tc>
          <w:tcPr>
            <w:tcW w:w="8080" w:type="dxa"/>
          </w:tcPr>
          <w:p w14:paraId="53DCB75D" w14:textId="1CD7391F" w:rsidR="00915077" w:rsidRPr="00E26EF6" w:rsidRDefault="009C083D">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15**</w:t>
            </w:r>
            <w:r w:rsidRPr="00E26EF6">
              <w:rPr>
                <w:rStyle w:val="InstructionsTabelleberschrift"/>
                <w:rFonts w:ascii="Times New Roman" w:hAnsi="Times New Roman"/>
                <w:sz w:val="24"/>
              </w:rPr>
              <w:tab/>
              <w:t>OCR i P2G: składające się</w:t>
            </w:r>
            <w:r w:rsidR="00E26EF6" w:rsidRPr="00E26EF6">
              <w:rPr>
                <w:rStyle w:val="InstructionsTabelleberschrift"/>
                <w:rFonts w:ascii="Times New Roman" w:hAnsi="Times New Roman"/>
                <w:sz w:val="24"/>
              </w:rPr>
              <w:t xml:space="preserve"> z kap</w:t>
            </w:r>
            <w:r w:rsidRPr="00E26EF6">
              <w:rPr>
                <w:rStyle w:val="InstructionsTabelleberschrift"/>
                <w:rFonts w:ascii="Times New Roman" w:hAnsi="Times New Roman"/>
                <w:sz w:val="24"/>
              </w:rPr>
              <w:t xml:space="preserve">itału Tier I </w:t>
            </w:r>
          </w:p>
          <w:p w14:paraId="557350FD" w14:textId="77777777" w:rsidR="00915077" w:rsidRPr="00E26EF6" w:rsidRDefault="009C083D">
            <w:pPr>
              <w:pStyle w:val="InstructionsText"/>
            </w:pPr>
            <w:r w:rsidRPr="00E26EF6">
              <w:t>Suma następujących ppkt (i) oraz (ii):</w:t>
            </w:r>
          </w:p>
          <w:p w14:paraId="43F6CA75" w14:textId="1DF576EB" w:rsidR="00915077" w:rsidRPr="00E26EF6" w:rsidRDefault="009C083D">
            <w:pPr>
              <w:pStyle w:val="InstructionsText"/>
              <w:numPr>
                <w:ilvl w:val="0"/>
                <w:numId w:val="28"/>
              </w:numPr>
            </w:pPr>
            <w:proofErr w:type="gramStart"/>
            <w:r w:rsidRPr="00E26EF6">
              <w:t>współczynnika</w:t>
            </w:r>
            <w:proofErr w:type="gramEnd"/>
            <w:r w:rsidRPr="00E26EF6">
              <w:t xml:space="preserve"> OCR składającego się</w:t>
            </w:r>
            <w:r w:rsidR="00E26EF6" w:rsidRPr="00E26EF6">
              <w:t xml:space="preserve"> z kap</w:t>
            </w:r>
            <w:r w:rsidRPr="00E26EF6">
              <w:t>itału Tier I,</w:t>
            </w:r>
            <w:r w:rsidR="00E26EF6" w:rsidRPr="00E26EF6">
              <w:t xml:space="preserve"> o któ</w:t>
            </w:r>
            <w:r w:rsidRPr="00E26EF6">
              <w:t>rym mowa</w:t>
            </w:r>
            <w:r w:rsidR="00E26EF6" w:rsidRPr="00E26EF6">
              <w:t xml:space="preserve"> w wie</w:t>
            </w:r>
            <w:r w:rsidRPr="00E26EF6">
              <w:t>rszu 180;</w:t>
            </w:r>
          </w:p>
          <w:p w14:paraId="6DC1CE75" w14:textId="59E56D07" w:rsidR="00915077" w:rsidRPr="00E26EF6" w:rsidRDefault="009C083D">
            <w:pPr>
              <w:pStyle w:val="InstructionsText"/>
              <w:numPr>
                <w:ilvl w:val="0"/>
                <w:numId w:val="28"/>
              </w:numPr>
            </w:pPr>
            <w:proofErr w:type="gramStart"/>
            <w:r w:rsidRPr="00E26EF6">
              <w:t>w</w:t>
            </w:r>
            <w:proofErr w:type="gramEnd"/>
            <w:r w:rsidRPr="00E26EF6">
              <w:t xml:space="preserve"> stosownych przypadkach, części P2G,</w:t>
            </w:r>
            <w:r w:rsidR="00E26EF6" w:rsidRPr="00E26EF6">
              <w:t xml:space="preserve"> o któ</w:t>
            </w:r>
            <w:r w:rsidRPr="00E26EF6">
              <w:t>rym mowa</w:t>
            </w:r>
            <w:r w:rsidR="00E26EF6" w:rsidRPr="00E26EF6">
              <w:t xml:space="preserve"> w wie</w:t>
            </w:r>
            <w:r w:rsidRPr="00E26EF6">
              <w:t>rszu 190 ppkt (ii), która – zgodnie</w:t>
            </w:r>
            <w:r w:rsidR="00E26EF6" w:rsidRPr="00E26EF6">
              <w:t xml:space="preserve"> z wym</w:t>
            </w:r>
            <w:r w:rsidRPr="00E26EF6">
              <w:t>ogiem nałożonym przez właściwy organ – ma być utrzymywana</w:t>
            </w:r>
            <w:r w:rsidR="00E26EF6" w:rsidRPr="00E26EF6">
              <w:t xml:space="preserve"> w pos</w:t>
            </w:r>
            <w:r w:rsidRPr="00E26EF6">
              <w:t>taci kapitału Tier I. P2G uwzględnia się tylko wtedy, gdy został podany do wiadomości instytucji przez właściwy organ.</w:t>
            </w:r>
          </w:p>
          <w:p w14:paraId="3F1A442F" w14:textId="4F4DB231" w:rsidR="00915077" w:rsidRPr="00E26EF6" w:rsidRDefault="00FF2818">
            <w:pPr>
              <w:pStyle w:val="InstructionsText"/>
              <w:rPr>
                <w:rStyle w:val="InstructionsTabelleberschrift"/>
                <w:rFonts w:ascii="Times New Roman" w:hAnsi="Times New Roman"/>
                <w:b w:val="0"/>
                <w:bCs w:val="0"/>
                <w:sz w:val="24"/>
                <w:u w:val="none"/>
              </w:rPr>
            </w:pPr>
            <w:r w:rsidRPr="00E26EF6">
              <w:t>Jeżeli właściwy organ nie podał P2G, zgłasza się wyłącznie ppkt (i).</w:t>
            </w:r>
            <w:r w:rsidRPr="00E26EF6">
              <w:rPr>
                <w:rStyle w:val="InstructionsTabelleberschrift"/>
                <w:rFonts w:ascii="Times New Roman" w:hAnsi="Times New Roman"/>
                <w:b w:val="0"/>
                <w:sz w:val="24"/>
              </w:rPr>
              <w:t xml:space="preserve"> </w:t>
            </w:r>
          </w:p>
        </w:tc>
      </w:tr>
    </w:tbl>
    <w:p w14:paraId="0E23FC91" w14:textId="77777777" w:rsidR="00915077" w:rsidRPr="00E26EF6" w:rsidRDefault="00915077">
      <w:pPr>
        <w:pStyle w:val="InstructionsText"/>
      </w:pPr>
    </w:p>
    <w:p w14:paraId="159CFF40"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5" w:name="_Toc31014313"/>
      <w:r w:rsidRPr="00E26EF6">
        <w:rPr>
          <w:rFonts w:ascii="Times New Roman" w:hAnsi="Times New Roman"/>
          <w:sz w:val="24"/>
          <w:u w:val="none"/>
        </w:rPr>
        <w:t>1.5.</w:t>
      </w:r>
      <w:r w:rsidRPr="00E26EF6">
        <w:rPr>
          <w:rFonts w:ascii="Times New Roman" w:hAnsi="Times New Roman"/>
          <w:sz w:val="24"/>
          <w:u w:val="none"/>
        </w:rPr>
        <w:tab/>
      </w:r>
      <w:r w:rsidRPr="00E26EF6">
        <w:rPr>
          <w:rFonts w:ascii="Times New Roman" w:hAnsi="Times New Roman"/>
          <w:sz w:val="24"/>
        </w:rPr>
        <w:t>C 04.00 – POZYCJE UZUPEŁNIAJĄCE (CA4)</w:t>
      </w:r>
      <w:bookmarkEnd w:id="15"/>
      <w:r w:rsidRPr="00E26EF6">
        <w:rPr>
          <w:rFonts w:ascii="Times New Roman" w:hAnsi="Times New Roman"/>
          <w:sz w:val="24"/>
        </w:rPr>
        <w:t xml:space="preserve"> </w:t>
      </w:r>
    </w:p>
    <w:p w14:paraId="42F8F30C"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6" w:name="_Toc31014314"/>
      <w:r w:rsidRPr="00E26EF6">
        <w:rPr>
          <w:rFonts w:ascii="Times New Roman" w:hAnsi="Times New Roman"/>
          <w:sz w:val="24"/>
          <w:u w:val="none"/>
        </w:rPr>
        <w:t>1.5.1.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6"/>
    </w:p>
    <w:p w14:paraId="6390E10F" w14:textId="77777777" w:rsidR="00915077" w:rsidRPr="00E26EF6" w:rsidRDefault="0091507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915077" w:rsidRPr="00E26EF6" w14:paraId="313B6EA1" w14:textId="77777777" w:rsidTr="00672D2A">
        <w:tc>
          <w:tcPr>
            <w:tcW w:w="8749" w:type="dxa"/>
            <w:gridSpan w:val="2"/>
            <w:shd w:val="clear" w:color="auto" w:fill="D9D9D9"/>
          </w:tcPr>
          <w:p w14:paraId="4816E426" w14:textId="77777777" w:rsidR="00915077" w:rsidRPr="00E26EF6" w:rsidRDefault="002648B0">
            <w:pPr>
              <w:pStyle w:val="InstructionsText"/>
              <w:rPr>
                <w:highlight w:val="lightGray"/>
              </w:rPr>
            </w:pPr>
            <w:r w:rsidRPr="00E26EF6">
              <w:t>Wiersze</w:t>
            </w:r>
          </w:p>
        </w:tc>
      </w:tr>
      <w:tr w:rsidR="00915077" w:rsidRPr="00E26EF6" w14:paraId="22110935" w14:textId="77777777" w:rsidTr="00672D2A">
        <w:tc>
          <w:tcPr>
            <w:tcW w:w="1506" w:type="dxa"/>
          </w:tcPr>
          <w:p w14:paraId="500FF4BF" w14:textId="77777777" w:rsidR="00915077" w:rsidRPr="00E26EF6" w:rsidRDefault="002648B0">
            <w:pPr>
              <w:pStyle w:val="InstructionsText"/>
              <w:rPr>
                <w:highlight w:val="lightGray"/>
              </w:rPr>
            </w:pPr>
            <w:r w:rsidRPr="00E26EF6">
              <w:t>010</w:t>
            </w:r>
          </w:p>
        </w:tc>
        <w:tc>
          <w:tcPr>
            <w:tcW w:w="7243" w:type="dxa"/>
          </w:tcPr>
          <w:p w14:paraId="0F2D308F" w14:textId="4C54DD7F" w:rsidR="00915077" w:rsidRPr="00E26EF6" w:rsidRDefault="00C66473">
            <w:pPr>
              <w:pStyle w:val="InstructionsText"/>
            </w:pPr>
            <w:r w:rsidRPr="00E26EF6">
              <w:rPr>
                <w:rStyle w:val="InstructionsTabelleberschrift"/>
                <w:rFonts w:ascii="Times New Roman" w:hAnsi="Times New Roman"/>
                <w:sz w:val="24"/>
              </w:rPr>
              <w:t>1.</w:t>
            </w:r>
            <w:r w:rsidRPr="00E26EF6">
              <w:rPr>
                <w:rStyle w:val="InstructionsTabelleberschrift"/>
                <w:rFonts w:ascii="Times New Roman" w:hAnsi="Times New Roman"/>
                <w:sz w:val="24"/>
              </w:rPr>
              <w:tab/>
              <w:t>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razem</w:t>
            </w:r>
          </w:p>
          <w:p w14:paraId="53ACAA60" w14:textId="4FD1A361" w:rsidR="00915077" w:rsidRPr="00E26EF6" w:rsidRDefault="002648B0">
            <w:pPr>
              <w:pStyle w:val="InstructionsText"/>
              <w:rPr>
                <w:highlight w:val="lightGray"/>
              </w:rPr>
            </w:pPr>
            <w:r w:rsidRPr="00E26EF6">
              <w:t>Kwota, którą należy zgłosić</w:t>
            </w:r>
            <w:r w:rsidR="00E26EF6" w:rsidRPr="00E26EF6">
              <w:t xml:space="preserve"> w tej</w:t>
            </w:r>
            <w:r w:rsidRPr="00E26EF6">
              <w:t xml:space="preserve"> pozycji, jest równa kwocie zgłoszonej</w:t>
            </w:r>
            <w:r w:rsidR="00E26EF6" w:rsidRPr="00E26EF6">
              <w:t xml:space="preserve"> w naj</w:t>
            </w:r>
            <w:r w:rsidRPr="00E26EF6">
              <w:t>nowszym zweryfikowanym/zbadanym bilansie księgowym.</w:t>
            </w:r>
          </w:p>
        </w:tc>
      </w:tr>
      <w:tr w:rsidR="00915077" w:rsidRPr="00E26EF6" w14:paraId="14E6DBA6" w14:textId="77777777" w:rsidTr="00672D2A">
        <w:tc>
          <w:tcPr>
            <w:tcW w:w="1506" w:type="dxa"/>
          </w:tcPr>
          <w:p w14:paraId="029AF20D" w14:textId="77777777" w:rsidR="00915077" w:rsidRPr="00E26EF6" w:rsidRDefault="002648B0">
            <w:pPr>
              <w:pStyle w:val="InstructionsText"/>
              <w:rPr>
                <w:highlight w:val="lightGray"/>
              </w:rPr>
            </w:pPr>
            <w:r w:rsidRPr="00E26EF6">
              <w:t>020</w:t>
            </w:r>
          </w:p>
        </w:tc>
        <w:tc>
          <w:tcPr>
            <w:tcW w:w="7243" w:type="dxa"/>
          </w:tcPr>
          <w:p w14:paraId="0D448E41" w14:textId="5906C3F0" w:rsidR="00915077" w:rsidRPr="00E26EF6" w:rsidRDefault="002648B0">
            <w:pPr>
              <w:pStyle w:val="InstructionsText"/>
            </w:pPr>
            <w:r w:rsidRPr="00E26EF6">
              <w:rPr>
                <w:rStyle w:val="InstructionsTabelleberschrift"/>
                <w:rFonts w:ascii="Times New Roman" w:hAnsi="Times New Roman"/>
                <w:sz w:val="24"/>
              </w:rPr>
              <w:t>1.1</w:t>
            </w:r>
            <w:r w:rsidRPr="00E26EF6">
              <w:rPr>
                <w:rStyle w:val="InstructionsTabelleberschrift"/>
                <w:rFonts w:ascii="Times New Roman" w:hAnsi="Times New Roman"/>
                <w:sz w:val="24"/>
              </w:rPr>
              <w:tab/>
              <w:t>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nieoparte na przyszłej rentowności</w:t>
            </w:r>
          </w:p>
          <w:p w14:paraId="1A120991" w14:textId="2E724B6B" w:rsidR="00915077" w:rsidRPr="00E26EF6" w:rsidRDefault="002648B0">
            <w:pPr>
              <w:pStyle w:val="InstructionsText"/>
            </w:pPr>
            <w:r w:rsidRPr="00E26EF6">
              <w:t>Art. 39 ust. 2 CRR</w:t>
            </w:r>
          </w:p>
          <w:p w14:paraId="4105C1C1" w14:textId="106EABC7" w:rsidR="00915077" w:rsidRPr="00E26EF6" w:rsidRDefault="002648B0">
            <w:pPr>
              <w:pStyle w:val="InstructionsText"/>
              <w:rPr>
                <w:highlight w:val="lightGray"/>
              </w:rPr>
            </w:pPr>
            <w:r w:rsidRPr="00E26EF6">
              <w:lastRenderedPageBreak/>
              <w:t>Aktywa</w:t>
            </w:r>
            <w:r w:rsidR="00E26EF6" w:rsidRPr="00E26EF6">
              <w:t xml:space="preserve"> z tyt</w:t>
            </w:r>
            <w:r w:rsidRPr="00E26EF6">
              <w:t>ułu odroczonego podatku dochodowego, które nie opierają się na przyszłej rentowności,</w:t>
            </w:r>
            <w:r w:rsidR="00E26EF6" w:rsidRPr="00E26EF6">
              <w:t xml:space="preserve"> a tym</w:t>
            </w:r>
            <w:r w:rsidRPr="00E26EF6">
              <w:t xml:space="preserve"> samym podlegają zastosowaniu wagi ryzyka.</w:t>
            </w:r>
          </w:p>
        </w:tc>
      </w:tr>
      <w:tr w:rsidR="00915077" w:rsidRPr="00E26EF6" w14:paraId="53A2C3B9" w14:textId="77777777" w:rsidTr="00672D2A">
        <w:tc>
          <w:tcPr>
            <w:tcW w:w="1506" w:type="dxa"/>
          </w:tcPr>
          <w:p w14:paraId="778538E2" w14:textId="77777777" w:rsidR="00915077" w:rsidRPr="00E26EF6" w:rsidRDefault="002648B0">
            <w:pPr>
              <w:pStyle w:val="InstructionsText"/>
              <w:rPr>
                <w:highlight w:val="lightGray"/>
              </w:rPr>
            </w:pPr>
            <w:r w:rsidRPr="00E26EF6">
              <w:lastRenderedPageBreak/>
              <w:t>030</w:t>
            </w:r>
          </w:p>
        </w:tc>
        <w:tc>
          <w:tcPr>
            <w:tcW w:w="7243" w:type="dxa"/>
          </w:tcPr>
          <w:p w14:paraId="4CE41E2D" w14:textId="2723115B" w:rsidR="00915077" w:rsidRPr="00E26EF6" w:rsidRDefault="002648B0">
            <w:pPr>
              <w:pStyle w:val="InstructionsText"/>
            </w:pPr>
            <w:r w:rsidRPr="00E26EF6">
              <w:rPr>
                <w:rStyle w:val="InstructionsTabelleberschrift"/>
                <w:rFonts w:ascii="Times New Roman" w:hAnsi="Times New Roman"/>
                <w:sz w:val="24"/>
              </w:rPr>
              <w:t>1.2</w:t>
            </w:r>
            <w:r w:rsidRPr="00E26EF6">
              <w:rPr>
                <w:rStyle w:val="InstructionsTabelleberschrift"/>
                <w:rFonts w:ascii="Times New Roman" w:hAnsi="Times New Roman"/>
                <w:sz w:val="24"/>
              </w:rPr>
              <w:tab/>
              <w:t>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oparte na przyszłej rentowności</w:t>
            </w:r>
            <w:r w:rsidR="00E26EF6" w:rsidRPr="00E26EF6">
              <w:rPr>
                <w:rStyle w:val="InstructionsTabelleberschrift"/>
                <w:rFonts w:ascii="Times New Roman" w:hAnsi="Times New Roman"/>
                <w:sz w:val="24"/>
              </w:rPr>
              <w:t xml:space="preserve"> i nie</w:t>
            </w:r>
            <w:r w:rsidRPr="00E26EF6">
              <w:rPr>
                <w:rStyle w:val="InstructionsTabelleberschrift"/>
                <w:rFonts w:ascii="Times New Roman" w:hAnsi="Times New Roman"/>
                <w:sz w:val="24"/>
              </w:rPr>
              <w:t>wynikające</w:t>
            </w:r>
            <w:r w:rsidR="00E26EF6" w:rsidRPr="00E26EF6">
              <w:rPr>
                <w:rStyle w:val="InstructionsTabelleberschrift"/>
                <w:rFonts w:ascii="Times New Roman" w:hAnsi="Times New Roman"/>
                <w:sz w:val="24"/>
              </w:rPr>
              <w:t xml:space="preserve"> z róż</w:t>
            </w:r>
            <w:r w:rsidRPr="00E26EF6">
              <w:rPr>
                <w:rStyle w:val="InstructionsTabelleberschrift"/>
                <w:rFonts w:ascii="Times New Roman" w:hAnsi="Times New Roman"/>
                <w:sz w:val="24"/>
              </w:rPr>
              <w:t>nic przejściowych</w:t>
            </w:r>
          </w:p>
          <w:p w14:paraId="666689B9" w14:textId="66718453" w:rsidR="00915077" w:rsidRPr="00E26EF6" w:rsidRDefault="0014657C">
            <w:pPr>
              <w:pStyle w:val="InstructionsText"/>
            </w:pPr>
            <w:r w:rsidRPr="00E26EF6">
              <w:t>Art. 36 ust.</w:t>
            </w:r>
            <w:r w:rsidR="00023409" w:rsidRPr="00E26EF6">
              <w:t> </w:t>
            </w:r>
            <w:r w:rsidRPr="00E26EF6">
              <w:t>1 lit.</w:t>
            </w:r>
            <w:r w:rsidR="00023409" w:rsidRPr="00E26EF6">
              <w:t> </w:t>
            </w:r>
            <w:r w:rsidRPr="00E26EF6">
              <w:t>c) oraz art.</w:t>
            </w:r>
            <w:r w:rsidR="00023409" w:rsidRPr="00E26EF6">
              <w:t> </w:t>
            </w:r>
            <w:r w:rsidRPr="00E26EF6">
              <w:t>38 CRR</w:t>
            </w:r>
          </w:p>
          <w:p w14:paraId="06BE7532" w14:textId="2C2920F8" w:rsidR="00915077" w:rsidRPr="00E26EF6" w:rsidRDefault="002648B0">
            <w:pPr>
              <w:pStyle w:val="InstructionsText"/>
              <w:rPr>
                <w:highlight w:val="lightGray"/>
              </w:rPr>
            </w:pPr>
            <w:r w:rsidRPr="00E26EF6">
              <w:t>Aktywa</w:t>
            </w:r>
            <w:r w:rsidR="00E26EF6" w:rsidRPr="00E26EF6">
              <w:t xml:space="preserve"> z tyt</w:t>
            </w:r>
            <w:r w:rsidRPr="00E26EF6">
              <w:t>ułu odroczonego podatku dochodowego, które są oparte na przyszłej rentowności, ale nie wynikają</w:t>
            </w:r>
            <w:r w:rsidR="00E26EF6" w:rsidRPr="00E26EF6">
              <w:t xml:space="preserve"> z róż</w:t>
            </w:r>
            <w:r w:rsidRPr="00E26EF6">
              <w:t>nic przejściowych,</w:t>
            </w:r>
            <w:r w:rsidR="00E26EF6" w:rsidRPr="00E26EF6">
              <w:t xml:space="preserve"> i tym</w:t>
            </w:r>
            <w:r w:rsidRPr="00E26EF6">
              <w:t xml:space="preserve"> samym nie są objęte żadnymi progami (tj. są</w:t>
            </w:r>
            <w:r w:rsidR="00E26EF6" w:rsidRPr="00E26EF6">
              <w:t xml:space="preserve"> w cał</w:t>
            </w:r>
            <w:r w:rsidRPr="00E26EF6">
              <w:t>ości odliczane od kapitału podstawowego Tier I).</w:t>
            </w:r>
          </w:p>
        </w:tc>
      </w:tr>
      <w:tr w:rsidR="00915077" w:rsidRPr="00E26EF6" w14:paraId="50B75D93" w14:textId="77777777" w:rsidTr="00672D2A">
        <w:tc>
          <w:tcPr>
            <w:tcW w:w="1506" w:type="dxa"/>
          </w:tcPr>
          <w:p w14:paraId="263B71C4" w14:textId="77777777" w:rsidR="00915077" w:rsidRPr="00E26EF6" w:rsidRDefault="002648B0">
            <w:pPr>
              <w:pStyle w:val="InstructionsText"/>
              <w:rPr>
                <w:highlight w:val="lightGray"/>
              </w:rPr>
            </w:pPr>
            <w:r w:rsidRPr="00E26EF6">
              <w:t>040</w:t>
            </w:r>
          </w:p>
        </w:tc>
        <w:tc>
          <w:tcPr>
            <w:tcW w:w="7243" w:type="dxa"/>
          </w:tcPr>
          <w:p w14:paraId="518832B6" w14:textId="6F6EB837" w:rsidR="00915077" w:rsidRPr="00E26EF6" w:rsidRDefault="002648B0">
            <w:pPr>
              <w:pStyle w:val="InstructionsText"/>
            </w:pPr>
            <w:r w:rsidRPr="00E26EF6">
              <w:rPr>
                <w:rStyle w:val="InstructionsTabelleberschrift"/>
                <w:rFonts w:ascii="Times New Roman" w:hAnsi="Times New Roman"/>
                <w:sz w:val="24"/>
              </w:rPr>
              <w:t>1.3</w:t>
            </w:r>
            <w:r w:rsidRPr="00E26EF6">
              <w:rPr>
                <w:rStyle w:val="InstructionsTabelleberschrift"/>
                <w:rFonts w:ascii="Times New Roman" w:hAnsi="Times New Roman"/>
                <w:sz w:val="24"/>
              </w:rPr>
              <w:tab/>
              <w:t>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oparte na przyszłej rentowności</w:t>
            </w:r>
            <w:r w:rsidR="00E26EF6" w:rsidRPr="00E26EF6">
              <w:rPr>
                <w:rStyle w:val="InstructionsTabelleberschrift"/>
                <w:rFonts w:ascii="Times New Roman" w:hAnsi="Times New Roman"/>
                <w:sz w:val="24"/>
              </w:rPr>
              <w:t xml:space="preserve"> i wyn</w:t>
            </w:r>
            <w:r w:rsidRPr="00E26EF6">
              <w:rPr>
                <w:rStyle w:val="InstructionsTabelleberschrift"/>
                <w:rFonts w:ascii="Times New Roman" w:hAnsi="Times New Roman"/>
                <w:sz w:val="24"/>
              </w:rPr>
              <w:t>ikające</w:t>
            </w:r>
            <w:r w:rsidR="00E26EF6" w:rsidRPr="00E26EF6">
              <w:rPr>
                <w:rStyle w:val="InstructionsTabelleberschrift"/>
                <w:rFonts w:ascii="Times New Roman" w:hAnsi="Times New Roman"/>
                <w:sz w:val="24"/>
              </w:rPr>
              <w:t xml:space="preserve"> z róż</w:t>
            </w:r>
            <w:r w:rsidRPr="00E26EF6">
              <w:rPr>
                <w:rStyle w:val="InstructionsTabelleberschrift"/>
                <w:rFonts w:ascii="Times New Roman" w:hAnsi="Times New Roman"/>
                <w:sz w:val="24"/>
              </w:rPr>
              <w:t>nic przejściowych</w:t>
            </w:r>
          </w:p>
          <w:p w14:paraId="710E4708" w14:textId="63E1D395" w:rsidR="00915077" w:rsidRPr="00E26EF6" w:rsidRDefault="0014657C">
            <w:pPr>
              <w:pStyle w:val="InstructionsText"/>
            </w:pPr>
            <w:r w:rsidRPr="00E26EF6">
              <w:t>Art. 36 ust.</w:t>
            </w:r>
            <w:r w:rsidR="00023409" w:rsidRPr="00E26EF6">
              <w:t> </w:t>
            </w:r>
            <w:r w:rsidRPr="00E26EF6">
              <w:t>1 lit.</w:t>
            </w:r>
            <w:r w:rsidR="00023409" w:rsidRPr="00E26EF6">
              <w:t> </w:t>
            </w:r>
            <w:r w:rsidRPr="00E26EF6">
              <w:t>c); Art. 38 oraz art.</w:t>
            </w:r>
            <w:r w:rsidR="00023409" w:rsidRPr="00E26EF6">
              <w:t> </w:t>
            </w:r>
            <w:r w:rsidRPr="00E26EF6">
              <w:t>48 ust.</w:t>
            </w:r>
            <w:r w:rsidR="00023409" w:rsidRPr="00E26EF6">
              <w:t> </w:t>
            </w:r>
            <w:r w:rsidRPr="00E26EF6">
              <w:t>1 lit.</w:t>
            </w:r>
            <w:r w:rsidR="00023409" w:rsidRPr="00E26EF6">
              <w:t> </w:t>
            </w:r>
            <w:r w:rsidRPr="00E26EF6">
              <w:t>a) CRR</w:t>
            </w:r>
          </w:p>
          <w:p w14:paraId="4BC7F2B8" w14:textId="5ECCEC78" w:rsidR="00915077" w:rsidRPr="00E26EF6" w:rsidRDefault="002648B0">
            <w:pPr>
              <w:pStyle w:val="InstructionsText"/>
              <w:rPr>
                <w:highlight w:val="lightGray"/>
              </w:rPr>
            </w:pPr>
            <w:r w:rsidRPr="00E26EF6">
              <w:t>Aktywa</w:t>
            </w:r>
            <w:r w:rsidR="00E26EF6" w:rsidRPr="00E26EF6">
              <w:t xml:space="preserve"> z tyt</w:t>
            </w:r>
            <w:r w:rsidRPr="00E26EF6">
              <w:t>ułu odroczonego podatku dochodowego, które są oparte na przyszłej rentowności</w:t>
            </w:r>
            <w:r w:rsidR="00E26EF6" w:rsidRPr="00E26EF6">
              <w:t xml:space="preserve"> i wyn</w:t>
            </w:r>
            <w:r w:rsidRPr="00E26EF6">
              <w:t>ikają</w:t>
            </w:r>
            <w:r w:rsidR="00E26EF6" w:rsidRPr="00E26EF6">
              <w:t xml:space="preserve"> z róż</w:t>
            </w:r>
            <w:r w:rsidRPr="00E26EF6">
              <w:t>nic przejściowych,</w:t>
            </w:r>
            <w:r w:rsidR="00E26EF6" w:rsidRPr="00E26EF6">
              <w:t xml:space="preserve"> a tym</w:t>
            </w:r>
            <w:r w:rsidRPr="00E26EF6">
              <w:t xml:space="preserve"> samym ich odliczenie od kapitału podstawowego Tier I jest objęte progami wynoszącymi 10</w:t>
            </w:r>
            <w:r w:rsidR="00023409" w:rsidRPr="00E26EF6">
              <w:t> </w:t>
            </w:r>
            <w:r w:rsidRPr="00E26EF6">
              <w:t>%</w:t>
            </w:r>
            <w:r w:rsidR="00E26EF6" w:rsidRPr="00E26EF6">
              <w:t xml:space="preserve"> i 1</w:t>
            </w:r>
            <w:r w:rsidRPr="00E26EF6">
              <w:t>7,65</w:t>
            </w:r>
            <w:r w:rsidR="00023409" w:rsidRPr="00E26EF6">
              <w:t> </w:t>
            </w:r>
            <w:r w:rsidRPr="00E26EF6">
              <w:t>% określonymi</w:t>
            </w:r>
            <w:r w:rsidR="00E26EF6" w:rsidRPr="00E26EF6">
              <w:t xml:space="preserve"> w art</w:t>
            </w:r>
            <w:r w:rsidRPr="00E26EF6">
              <w:t>.</w:t>
            </w:r>
            <w:r w:rsidR="00023409" w:rsidRPr="00E26EF6">
              <w:t> </w:t>
            </w:r>
            <w:r w:rsidRPr="00E26EF6">
              <w:t>48 CRR.</w:t>
            </w:r>
          </w:p>
        </w:tc>
      </w:tr>
      <w:tr w:rsidR="00915077" w:rsidRPr="00E26EF6" w14:paraId="410FE284" w14:textId="77777777" w:rsidTr="00672D2A">
        <w:tc>
          <w:tcPr>
            <w:tcW w:w="1506" w:type="dxa"/>
          </w:tcPr>
          <w:p w14:paraId="258DBD5A" w14:textId="77777777" w:rsidR="00915077" w:rsidRPr="00E26EF6" w:rsidRDefault="002648B0">
            <w:pPr>
              <w:pStyle w:val="InstructionsText"/>
              <w:rPr>
                <w:highlight w:val="lightGray"/>
              </w:rPr>
            </w:pPr>
            <w:r w:rsidRPr="00E26EF6">
              <w:t>050</w:t>
            </w:r>
          </w:p>
        </w:tc>
        <w:tc>
          <w:tcPr>
            <w:tcW w:w="7243" w:type="dxa"/>
          </w:tcPr>
          <w:p w14:paraId="49A5DD38" w14:textId="14E9EB92" w:rsidR="00915077" w:rsidRPr="00E26EF6" w:rsidRDefault="002648B0">
            <w:pPr>
              <w:pStyle w:val="InstructionsText"/>
            </w:pPr>
            <w:r w:rsidRPr="00E26EF6">
              <w:rPr>
                <w:rStyle w:val="InstructionsTabelleberschrift"/>
                <w:rFonts w:ascii="Times New Roman" w:hAnsi="Times New Roman"/>
                <w:sz w:val="24"/>
              </w:rPr>
              <w:t>2 Rezerwy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razem</w:t>
            </w:r>
          </w:p>
          <w:p w14:paraId="7B2477AB" w14:textId="0525C245" w:rsidR="00915077" w:rsidRPr="00E26EF6" w:rsidRDefault="002648B0">
            <w:pPr>
              <w:pStyle w:val="InstructionsText"/>
              <w:rPr>
                <w:highlight w:val="lightGray"/>
              </w:rPr>
            </w:pPr>
            <w:r w:rsidRPr="00E26EF6">
              <w:t>Kwota, którą należy zgłosić</w:t>
            </w:r>
            <w:r w:rsidR="00E26EF6" w:rsidRPr="00E26EF6">
              <w:t xml:space="preserve"> w tej</w:t>
            </w:r>
            <w:r w:rsidRPr="00E26EF6">
              <w:t xml:space="preserve"> pozycji, jest równa kwocie zgłoszonej</w:t>
            </w:r>
            <w:r w:rsidR="00E26EF6" w:rsidRPr="00E26EF6">
              <w:t xml:space="preserve"> w ost</w:t>
            </w:r>
            <w:r w:rsidRPr="00E26EF6">
              <w:t>atnim zweryfikowanym/zbadanym bilansie księgowym.</w:t>
            </w:r>
          </w:p>
        </w:tc>
      </w:tr>
      <w:tr w:rsidR="00915077" w:rsidRPr="00E26EF6" w14:paraId="107EE33C" w14:textId="77777777" w:rsidTr="00672D2A">
        <w:tc>
          <w:tcPr>
            <w:tcW w:w="1506" w:type="dxa"/>
          </w:tcPr>
          <w:p w14:paraId="1971C47D" w14:textId="77777777" w:rsidR="00915077" w:rsidRPr="00E26EF6" w:rsidRDefault="002648B0">
            <w:pPr>
              <w:pStyle w:val="InstructionsText"/>
              <w:rPr>
                <w:highlight w:val="lightGray"/>
              </w:rPr>
            </w:pPr>
            <w:r w:rsidRPr="00E26EF6">
              <w:t>060</w:t>
            </w:r>
          </w:p>
        </w:tc>
        <w:tc>
          <w:tcPr>
            <w:tcW w:w="7243" w:type="dxa"/>
          </w:tcPr>
          <w:p w14:paraId="3C8B9D6B" w14:textId="086FE017" w:rsidR="00915077" w:rsidRPr="00E26EF6" w:rsidRDefault="002648B0">
            <w:pPr>
              <w:pStyle w:val="InstructionsText"/>
            </w:pPr>
            <w:r w:rsidRPr="00E26EF6">
              <w:rPr>
                <w:rStyle w:val="InstructionsTabelleberschrift"/>
                <w:rFonts w:ascii="Times New Roman" w:hAnsi="Times New Roman"/>
                <w:sz w:val="24"/>
              </w:rPr>
              <w:t>2.1</w:t>
            </w:r>
            <w:r w:rsidRPr="00E26EF6">
              <w:rPr>
                <w:rStyle w:val="InstructionsTabelleberschrift"/>
                <w:rFonts w:ascii="Times New Roman" w:hAnsi="Times New Roman"/>
                <w:sz w:val="24"/>
              </w:rPr>
              <w:tab/>
              <w:t>Rezerwy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niepodlegające odliczeniu od aktywów</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opartych na przyszłej rentowności</w:t>
            </w:r>
          </w:p>
          <w:p w14:paraId="5322D994" w14:textId="42CDCFEB" w:rsidR="00915077" w:rsidRPr="00E26EF6" w:rsidRDefault="00167619">
            <w:pPr>
              <w:pStyle w:val="InstructionsText"/>
            </w:pPr>
            <w:r w:rsidRPr="00E26EF6">
              <w:t>Art. 38 ust.</w:t>
            </w:r>
            <w:r w:rsidR="00023409" w:rsidRPr="00E26EF6">
              <w:t> </w:t>
            </w:r>
            <w:r w:rsidRPr="00E26EF6">
              <w:t>3</w:t>
            </w:r>
            <w:r w:rsidR="00E26EF6" w:rsidRPr="00E26EF6">
              <w:t xml:space="preserve"> i 4</w:t>
            </w:r>
            <w:r w:rsidRPr="00E26EF6">
              <w:t xml:space="preserve"> CRR</w:t>
            </w:r>
          </w:p>
          <w:p w14:paraId="7B01D615" w14:textId="5FAF2AFF" w:rsidR="00915077" w:rsidRPr="00E26EF6" w:rsidRDefault="002648B0">
            <w:pPr>
              <w:pStyle w:val="InstructionsText"/>
              <w:rPr>
                <w:highlight w:val="lightGray"/>
              </w:rPr>
            </w:pPr>
            <w:r w:rsidRPr="00E26EF6">
              <w:t>Rezerwy</w:t>
            </w:r>
            <w:r w:rsidR="00E26EF6" w:rsidRPr="00E26EF6">
              <w:t xml:space="preserve"> z tyt</w:t>
            </w:r>
            <w:r w:rsidRPr="00E26EF6">
              <w:t>ułu odroczonego podatku dochodowego,</w:t>
            </w:r>
            <w:r w:rsidR="00E26EF6" w:rsidRPr="00E26EF6">
              <w:t xml:space="preserve"> w prz</w:t>
            </w:r>
            <w:r w:rsidRPr="00E26EF6">
              <w:t>ypadku których warunki określone</w:t>
            </w:r>
            <w:r w:rsidR="00E26EF6" w:rsidRPr="00E26EF6">
              <w:t xml:space="preserve"> w art</w:t>
            </w:r>
            <w:r w:rsidRPr="00E26EF6">
              <w:t>.</w:t>
            </w:r>
            <w:r w:rsidR="00023409" w:rsidRPr="00E26EF6">
              <w:t> </w:t>
            </w:r>
            <w:r w:rsidRPr="00E26EF6">
              <w:t>38 ust.</w:t>
            </w:r>
            <w:r w:rsidR="00023409" w:rsidRPr="00E26EF6">
              <w:t> </w:t>
            </w:r>
            <w:r w:rsidRPr="00E26EF6">
              <w:t>3</w:t>
            </w:r>
            <w:r w:rsidR="00E26EF6" w:rsidRPr="00E26EF6">
              <w:t xml:space="preserve"> i 4</w:t>
            </w:r>
            <w:r w:rsidRPr="00E26EF6">
              <w:t xml:space="preserve"> CRR nie są spełnione. Pozycja ta obejmuje zatem rezerwy</w:t>
            </w:r>
            <w:r w:rsidR="00E26EF6" w:rsidRPr="00E26EF6">
              <w:t xml:space="preserve"> z tyt</w:t>
            </w:r>
            <w:r w:rsidRPr="00E26EF6">
              <w:t>ułu odroczonego podatku dochodowego, które pomniejszają kwotę wartości firmy, inne wartości niematerialne</w:t>
            </w:r>
            <w:r w:rsidR="00E26EF6" w:rsidRPr="00E26EF6">
              <w:t xml:space="preserve"> i pra</w:t>
            </w:r>
            <w:r w:rsidRPr="00E26EF6">
              <w:t>wne lub odliczane obowiązkowo aktywa funduszu emerytalnego ze zdefiniowanymi świadczeniami, zgłaszane odpowiednio</w:t>
            </w:r>
            <w:r w:rsidR="00E26EF6" w:rsidRPr="00E26EF6">
              <w:t xml:space="preserve"> w poz</w:t>
            </w:r>
            <w:r w:rsidRPr="00E26EF6">
              <w:t>ycjach CA1 1.1.1.10.3, 1.1.1.11.2 oraz 1.1.1.14.2.</w:t>
            </w:r>
          </w:p>
        </w:tc>
      </w:tr>
      <w:tr w:rsidR="00915077" w:rsidRPr="00E26EF6" w14:paraId="51025795" w14:textId="77777777" w:rsidTr="00672D2A">
        <w:tc>
          <w:tcPr>
            <w:tcW w:w="1506" w:type="dxa"/>
          </w:tcPr>
          <w:p w14:paraId="6EE03528" w14:textId="77777777" w:rsidR="00915077" w:rsidRPr="00E26EF6" w:rsidRDefault="002648B0">
            <w:pPr>
              <w:pStyle w:val="InstructionsText"/>
              <w:rPr>
                <w:highlight w:val="lightGray"/>
              </w:rPr>
            </w:pPr>
            <w:r w:rsidRPr="00E26EF6">
              <w:t>070</w:t>
            </w:r>
          </w:p>
        </w:tc>
        <w:tc>
          <w:tcPr>
            <w:tcW w:w="7243" w:type="dxa"/>
          </w:tcPr>
          <w:p w14:paraId="2A6440DC" w14:textId="1EC72B77" w:rsidR="00915077" w:rsidRPr="00E26EF6" w:rsidRDefault="002648B0">
            <w:pPr>
              <w:pStyle w:val="InstructionsText"/>
            </w:pPr>
            <w:r w:rsidRPr="00E26EF6">
              <w:rPr>
                <w:rStyle w:val="InstructionsTabelleberschrift"/>
                <w:rFonts w:ascii="Times New Roman" w:hAnsi="Times New Roman"/>
                <w:sz w:val="24"/>
              </w:rPr>
              <w:t>2.2</w:t>
            </w:r>
            <w:r w:rsidRPr="00E26EF6">
              <w:rPr>
                <w:rStyle w:val="InstructionsTabelleberschrift"/>
                <w:rFonts w:ascii="Times New Roman" w:hAnsi="Times New Roman"/>
                <w:sz w:val="24"/>
              </w:rPr>
              <w:tab/>
              <w:t>Rezerwy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podlegające odliczeniu od aktywów</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opartych na przyszłej rentowności</w:t>
            </w:r>
          </w:p>
          <w:p w14:paraId="6318FF2D" w14:textId="3FCE05C3" w:rsidR="00915077" w:rsidRPr="00E26EF6" w:rsidRDefault="002648B0">
            <w:pPr>
              <w:pStyle w:val="InstructionsText"/>
              <w:rPr>
                <w:highlight w:val="lightGray"/>
              </w:rPr>
            </w:pPr>
            <w:r w:rsidRPr="00E26EF6">
              <w:t>Art. 38 CRR</w:t>
            </w:r>
          </w:p>
        </w:tc>
      </w:tr>
      <w:tr w:rsidR="00915077" w:rsidRPr="00E26EF6" w14:paraId="19EBEDDB" w14:textId="77777777" w:rsidTr="00672D2A">
        <w:tc>
          <w:tcPr>
            <w:tcW w:w="1506" w:type="dxa"/>
          </w:tcPr>
          <w:p w14:paraId="61E6E118" w14:textId="77777777" w:rsidR="00915077" w:rsidRPr="00E26EF6" w:rsidRDefault="002648B0">
            <w:pPr>
              <w:pStyle w:val="InstructionsText"/>
              <w:rPr>
                <w:highlight w:val="lightGray"/>
              </w:rPr>
            </w:pPr>
            <w:r w:rsidRPr="00E26EF6">
              <w:t>080</w:t>
            </w:r>
          </w:p>
        </w:tc>
        <w:tc>
          <w:tcPr>
            <w:tcW w:w="7243" w:type="dxa"/>
          </w:tcPr>
          <w:p w14:paraId="71563A1F" w14:textId="4C61B167" w:rsidR="00915077" w:rsidRPr="00E26EF6" w:rsidRDefault="002648B0">
            <w:pPr>
              <w:pStyle w:val="InstructionsText"/>
            </w:pPr>
            <w:r w:rsidRPr="00E26EF6">
              <w:rPr>
                <w:rStyle w:val="InstructionsTabelleberschrift"/>
                <w:rFonts w:ascii="Times New Roman" w:hAnsi="Times New Roman"/>
                <w:sz w:val="24"/>
              </w:rPr>
              <w:t>2.2.1</w:t>
            </w:r>
            <w:r w:rsidRPr="00E26EF6">
              <w:rPr>
                <w:rStyle w:val="InstructionsTabelleberschrift"/>
                <w:rFonts w:ascii="Times New Roman" w:hAnsi="Times New Roman"/>
                <w:sz w:val="24"/>
              </w:rPr>
              <w:tab/>
              <w:t>Podlegające odliczeniu rezerwy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powiązane</w:t>
            </w:r>
            <w:r w:rsidR="00E26EF6" w:rsidRPr="00E26EF6">
              <w:rPr>
                <w:rStyle w:val="InstructionsTabelleberschrift"/>
                <w:rFonts w:ascii="Times New Roman" w:hAnsi="Times New Roman"/>
                <w:sz w:val="24"/>
              </w:rPr>
              <w:t xml:space="preserve"> z akt</w:t>
            </w:r>
            <w:r w:rsidRPr="00E26EF6">
              <w:rPr>
                <w:rStyle w:val="InstructionsTabelleberschrift"/>
                <w:rFonts w:ascii="Times New Roman" w:hAnsi="Times New Roman"/>
                <w:sz w:val="24"/>
              </w:rPr>
              <w:t>ywami</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opartymi na przyszłej rentowności</w:t>
            </w:r>
            <w:r w:rsidR="00E26EF6" w:rsidRPr="00E26EF6">
              <w:rPr>
                <w:rStyle w:val="InstructionsTabelleberschrift"/>
                <w:rFonts w:ascii="Times New Roman" w:hAnsi="Times New Roman"/>
                <w:sz w:val="24"/>
              </w:rPr>
              <w:t xml:space="preserve"> i nie</w:t>
            </w:r>
            <w:r w:rsidRPr="00E26EF6">
              <w:rPr>
                <w:rStyle w:val="InstructionsTabelleberschrift"/>
                <w:rFonts w:ascii="Times New Roman" w:hAnsi="Times New Roman"/>
                <w:sz w:val="24"/>
              </w:rPr>
              <w:t>wynikającymi</w:t>
            </w:r>
            <w:r w:rsidR="00E26EF6" w:rsidRPr="00E26EF6">
              <w:rPr>
                <w:rStyle w:val="InstructionsTabelleberschrift"/>
                <w:rFonts w:ascii="Times New Roman" w:hAnsi="Times New Roman"/>
                <w:sz w:val="24"/>
              </w:rPr>
              <w:t xml:space="preserve"> z róż</w:t>
            </w:r>
            <w:r w:rsidRPr="00E26EF6">
              <w:rPr>
                <w:rStyle w:val="InstructionsTabelleberschrift"/>
                <w:rFonts w:ascii="Times New Roman" w:hAnsi="Times New Roman"/>
                <w:sz w:val="24"/>
              </w:rPr>
              <w:t>nic przejściowych</w:t>
            </w:r>
          </w:p>
          <w:p w14:paraId="1400A064" w14:textId="684C1E4C" w:rsidR="00915077" w:rsidRPr="00E26EF6" w:rsidRDefault="00167619">
            <w:pPr>
              <w:pStyle w:val="InstructionsText"/>
            </w:pPr>
            <w:r w:rsidRPr="00E26EF6">
              <w:t>Art. 38 ust.</w:t>
            </w:r>
            <w:r w:rsidR="00023409" w:rsidRPr="00E26EF6">
              <w:t> </w:t>
            </w:r>
            <w:r w:rsidRPr="00E26EF6">
              <w:t>3, 4</w:t>
            </w:r>
            <w:r w:rsidR="00E26EF6" w:rsidRPr="00E26EF6">
              <w:t xml:space="preserve"> i 5</w:t>
            </w:r>
            <w:r w:rsidRPr="00E26EF6">
              <w:t xml:space="preserve"> CRR</w:t>
            </w:r>
          </w:p>
          <w:p w14:paraId="7715C9CE" w14:textId="5AD648B5" w:rsidR="00915077" w:rsidRPr="00E26EF6" w:rsidRDefault="002648B0">
            <w:pPr>
              <w:pStyle w:val="InstructionsText"/>
              <w:rPr>
                <w:highlight w:val="lightGray"/>
              </w:rPr>
            </w:pPr>
            <w:r w:rsidRPr="00E26EF6">
              <w:t>Rezerwy</w:t>
            </w:r>
            <w:r w:rsidR="00E26EF6" w:rsidRPr="00E26EF6">
              <w:t xml:space="preserve"> z tyt</w:t>
            </w:r>
            <w:r w:rsidRPr="00E26EF6">
              <w:t>ułu odroczonego podatku dochodowego mogące pomniejszać kwotę aktywów</w:t>
            </w:r>
            <w:r w:rsidR="00E26EF6" w:rsidRPr="00E26EF6">
              <w:t xml:space="preserve"> z tyt</w:t>
            </w:r>
            <w:r w:rsidRPr="00E26EF6">
              <w:t xml:space="preserve">ułu odroczonego podatku dochodowego, które to aktywa są oparte na przyszłej rentowności, </w:t>
            </w:r>
            <w:r w:rsidRPr="00E26EF6">
              <w:rPr>
                <w:rStyle w:val="FormatvorlageInstructionsTabelleText"/>
                <w:rFonts w:ascii="Times New Roman" w:hAnsi="Times New Roman"/>
                <w:sz w:val="24"/>
              </w:rPr>
              <w:t>zgodnie</w:t>
            </w:r>
            <w:r w:rsidR="00E26EF6" w:rsidRPr="00E26EF6">
              <w:rPr>
                <w:rStyle w:val="FormatvorlageInstructionsTabelleText"/>
                <w:rFonts w:ascii="Times New Roman" w:hAnsi="Times New Roman"/>
                <w:sz w:val="24"/>
              </w:rPr>
              <w:t xml:space="preserve"> z </w:t>
            </w:r>
            <w:r w:rsidR="00E26EF6" w:rsidRPr="00E26EF6">
              <w:t>art</w:t>
            </w:r>
            <w:r w:rsidRPr="00E26EF6">
              <w:t>.</w:t>
            </w:r>
            <w:r w:rsidR="00023409" w:rsidRPr="00E26EF6">
              <w:t> </w:t>
            </w:r>
            <w:r w:rsidRPr="00E26EF6">
              <w:t>38 ust.</w:t>
            </w:r>
            <w:r w:rsidR="00023409" w:rsidRPr="00E26EF6">
              <w:t> </w:t>
            </w:r>
            <w:r w:rsidRPr="00E26EF6">
              <w:t>3</w:t>
            </w:r>
            <w:r w:rsidR="00E26EF6" w:rsidRPr="00E26EF6">
              <w:t xml:space="preserve"> i 4</w:t>
            </w:r>
            <w:r w:rsidRPr="00E26EF6">
              <w:t xml:space="preserve"> CRR,</w:t>
            </w:r>
            <w:r w:rsidR="00E26EF6" w:rsidRPr="00E26EF6">
              <w:t xml:space="preserve"> i nie</w:t>
            </w:r>
            <w:r w:rsidRPr="00E26EF6">
              <w:t xml:space="preserve"> są zakwalifikowane do aktywów</w:t>
            </w:r>
            <w:r w:rsidR="00E26EF6" w:rsidRPr="00E26EF6">
              <w:t xml:space="preserve"> z tyt</w:t>
            </w:r>
            <w:r w:rsidRPr="00E26EF6">
              <w:t>ułu odroczonego podatku dochodowego opartych na przyszłej rentowności</w:t>
            </w:r>
            <w:r w:rsidR="00E26EF6" w:rsidRPr="00E26EF6">
              <w:t xml:space="preserve"> i wyn</w:t>
            </w:r>
            <w:r w:rsidRPr="00E26EF6">
              <w:t>ikających</w:t>
            </w:r>
            <w:r w:rsidR="00E26EF6" w:rsidRPr="00E26EF6">
              <w:t xml:space="preserve"> z róż</w:t>
            </w:r>
            <w:r w:rsidRPr="00E26EF6">
              <w:t>nic przejściowych, jak określono</w:t>
            </w:r>
            <w:r w:rsidR="00E26EF6" w:rsidRPr="00E26EF6">
              <w:t xml:space="preserve"> w art</w:t>
            </w:r>
            <w:r w:rsidRPr="00E26EF6">
              <w:t>.</w:t>
            </w:r>
            <w:r w:rsidR="00023409" w:rsidRPr="00E26EF6">
              <w:t> </w:t>
            </w:r>
            <w:r w:rsidRPr="00E26EF6">
              <w:t>38 ust.</w:t>
            </w:r>
            <w:r w:rsidR="00023409" w:rsidRPr="00E26EF6">
              <w:t> </w:t>
            </w:r>
            <w:r w:rsidRPr="00E26EF6">
              <w:t>5 CRR.</w:t>
            </w:r>
          </w:p>
        </w:tc>
      </w:tr>
      <w:tr w:rsidR="00915077" w:rsidRPr="00E26EF6" w14:paraId="3A9755BF" w14:textId="77777777" w:rsidTr="00672D2A">
        <w:tc>
          <w:tcPr>
            <w:tcW w:w="1506" w:type="dxa"/>
          </w:tcPr>
          <w:p w14:paraId="0B10B484" w14:textId="77777777" w:rsidR="00915077" w:rsidRPr="00E26EF6" w:rsidRDefault="002648B0">
            <w:pPr>
              <w:pStyle w:val="InstructionsText"/>
              <w:rPr>
                <w:highlight w:val="lightGray"/>
              </w:rPr>
            </w:pPr>
            <w:r w:rsidRPr="00E26EF6">
              <w:lastRenderedPageBreak/>
              <w:t>090</w:t>
            </w:r>
          </w:p>
        </w:tc>
        <w:tc>
          <w:tcPr>
            <w:tcW w:w="7243" w:type="dxa"/>
          </w:tcPr>
          <w:p w14:paraId="1AE9EA25" w14:textId="339D0469" w:rsidR="00915077" w:rsidRPr="00E26EF6" w:rsidRDefault="002648B0">
            <w:pPr>
              <w:pStyle w:val="InstructionsText"/>
            </w:pPr>
            <w:r w:rsidRPr="00E26EF6">
              <w:rPr>
                <w:rStyle w:val="InstructionsTabelleberschrift"/>
                <w:rFonts w:ascii="Times New Roman" w:hAnsi="Times New Roman"/>
                <w:sz w:val="24"/>
              </w:rPr>
              <w:t>2.2.2</w:t>
            </w:r>
            <w:r w:rsidRPr="00E26EF6">
              <w:rPr>
                <w:rStyle w:val="InstructionsTabelleberschrift"/>
                <w:rFonts w:ascii="Times New Roman" w:hAnsi="Times New Roman"/>
                <w:sz w:val="24"/>
              </w:rPr>
              <w:tab/>
              <w:t>Podlegające odliczeniu rezerwy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powiązane</w:t>
            </w:r>
            <w:r w:rsidR="00E26EF6" w:rsidRPr="00E26EF6">
              <w:rPr>
                <w:rStyle w:val="InstructionsTabelleberschrift"/>
                <w:rFonts w:ascii="Times New Roman" w:hAnsi="Times New Roman"/>
                <w:sz w:val="24"/>
              </w:rPr>
              <w:t xml:space="preserve"> z akt</w:t>
            </w:r>
            <w:r w:rsidRPr="00E26EF6">
              <w:rPr>
                <w:rStyle w:val="InstructionsTabelleberschrift"/>
                <w:rFonts w:ascii="Times New Roman" w:hAnsi="Times New Roman"/>
                <w:sz w:val="24"/>
              </w:rPr>
              <w:t>ywami</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opartymi na przyszłej rentowności</w:t>
            </w:r>
            <w:r w:rsidR="00E26EF6" w:rsidRPr="00E26EF6">
              <w:rPr>
                <w:rStyle w:val="InstructionsTabelleberschrift"/>
                <w:rFonts w:ascii="Times New Roman" w:hAnsi="Times New Roman"/>
                <w:sz w:val="24"/>
              </w:rPr>
              <w:t xml:space="preserve"> i wyn</w:t>
            </w:r>
            <w:r w:rsidRPr="00E26EF6">
              <w:rPr>
                <w:rStyle w:val="InstructionsTabelleberschrift"/>
                <w:rFonts w:ascii="Times New Roman" w:hAnsi="Times New Roman"/>
                <w:sz w:val="24"/>
              </w:rPr>
              <w:t>ikającymi</w:t>
            </w:r>
            <w:r w:rsidR="00E26EF6" w:rsidRPr="00E26EF6">
              <w:rPr>
                <w:rStyle w:val="InstructionsTabelleberschrift"/>
                <w:rFonts w:ascii="Times New Roman" w:hAnsi="Times New Roman"/>
                <w:sz w:val="24"/>
              </w:rPr>
              <w:t xml:space="preserve"> z róż</w:t>
            </w:r>
            <w:r w:rsidRPr="00E26EF6">
              <w:rPr>
                <w:rStyle w:val="InstructionsTabelleberschrift"/>
                <w:rFonts w:ascii="Times New Roman" w:hAnsi="Times New Roman"/>
                <w:sz w:val="24"/>
              </w:rPr>
              <w:t>nic przejściowych</w:t>
            </w:r>
          </w:p>
          <w:p w14:paraId="1AC85E24" w14:textId="19A9D9BE" w:rsidR="00915077" w:rsidRPr="00E26EF6" w:rsidRDefault="00167619">
            <w:pPr>
              <w:pStyle w:val="InstructionsText"/>
            </w:pPr>
            <w:r w:rsidRPr="00E26EF6">
              <w:t>Art. 38 ust.</w:t>
            </w:r>
            <w:r w:rsidR="00023409" w:rsidRPr="00E26EF6">
              <w:t> </w:t>
            </w:r>
            <w:r w:rsidRPr="00E26EF6">
              <w:t>3, 4</w:t>
            </w:r>
            <w:r w:rsidR="00E26EF6" w:rsidRPr="00E26EF6">
              <w:t xml:space="preserve"> i 5</w:t>
            </w:r>
            <w:r w:rsidRPr="00E26EF6">
              <w:t xml:space="preserve"> CRR</w:t>
            </w:r>
          </w:p>
          <w:p w14:paraId="13D0569C" w14:textId="22955DF8" w:rsidR="00915077" w:rsidRPr="00E26EF6" w:rsidRDefault="002648B0">
            <w:pPr>
              <w:pStyle w:val="InstructionsText"/>
              <w:rPr>
                <w:highlight w:val="lightGray"/>
              </w:rPr>
            </w:pPr>
            <w:r w:rsidRPr="00E26EF6">
              <w:t>Rezerwy</w:t>
            </w:r>
            <w:r w:rsidR="00E26EF6" w:rsidRPr="00E26EF6">
              <w:t xml:space="preserve"> z tyt</w:t>
            </w:r>
            <w:r w:rsidRPr="00E26EF6">
              <w:t>ułu odroczonego podatku dochodowego mogące pomniejszać kwotę aktywów</w:t>
            </w:r>
            <w:r w:rsidR="00E26EF6" w:rsidRPr="00E26EF6">
              <w:t xml:space="preserve"> z tyt</w:t>
            </w:r>
            <w:r w:rsidRPr="00E26EF6">
              <w:t xml:space="preserve">ułu odroczonego podatku dochodowego, które to aktywa są oparte na przyszłej rentowności, </w:t>
            </w:r>
            <w:r w:rsidRPr="00E26EF6">
              <w:rPr>
                <w:rStyle w:val="FormatvorlageInstructionsTabelleText"/>
                <w:rFonts w:ascii="Times New Roman" w:hAnsi="Times New Roman"/>
                <w:sz w:val="24"/>
              </w:rPr>
              <w:t>zgodnie</w:t>
            </w:r>
            <w:r w:rsidR="00E26EF6" w:rsidRPr="00E26EF6">
              <w:rPr>
                <w:rStyle w:val="FormatvorlageInstructionsTabelleText"/>
                <w:rFonts w:ascii="Times New Roman" w:hAnsi="Times New Roman"/>
                <w:sz w:val="24"/>
              </w:rPr>
              <w:t xml:space="preserve"> z </w:t>
            </w:r>
            <w:r w:rsidR="00E26EF6" w:rsidRPr="00E26EF6">
              <w:t>art</w:t>
            </w:r>
            <w:r w:rsidRPr="00E26EF6">
              <w:t>.</w:t>
            </w:r>
            <w:r w:rsidR="00023409" w:rsidRPr="00E26EF6">
              <w:t> </w:t>
            </w:r>
            <w:r w:rsidRPr="00E26EF6">
              <w:t>38 ust.</w:t>
            </w:r>
            <w:r w:rsidR="00023409" w:rsidRPr="00E26EF6">
              <w:t> </w:t>
            </w:r>
            <w:r w:rsidRPr="00E26EF6">
              <w:t>3</w:t>
            </w:r>
            <w:r w:rsidR="00E26EF6" w:rsidRPr="00E26EF6">
              <w:t xml:space="preserve"> i 4</w:t>
            </w:r>
            <w:r w:rsidRPr="00E26EF6">
              <w:t xml:space="preserve"> CRR, i są zakwalifikowane do aktywów</w:t>
            </w:r>
            <w:r w:rsidR="00E26EF6" w:rsidRPr="00E26EF6">
              <w:t xml:space="preserve"> z tyt</w:t>
            </w:r>
            <w:r w:rsidRPr="00E26EF6">
              <w:t>ułu odroczonego podatku dochodowego opartych na przyszłej rentowności</w:t>
            </w:r>
            <w:r w:rsidR="00E26EF6" w:rsidRPr="00E26EF6">
              <w:t xml:space="preserve"> i wyn</w:t>
            </w:r>
            <w:r w:rsidRPr="00E26EF6">
              <w:t>ikających</w:t>
            </w:r>
            <w:r w:rsidR="00E26EF6" w:rsidRPr="00E26EF6">
              <w:t xml:space="preserve"> z róż</w:t>
            </w:r>
            <w:r w:rsidRPr="00E26EF6">
              <w:t>nic przejściowych, jak określono</w:t>
            </w:r>
            <w:r w:rsidR="00E26EF6" w:rsidRPr="00E26EF6">
              <w:t xml:space="preserve"> w art</w:t>
            </w:r>
            <w:r w:rsidRPr="00E26EF6">
              <w:t>.</w:t>
            </w:r>
            <w:r w:rsidR="00023409" w:rsidRPr="00E26EF6">
              <w:t> </w:t>
            </w:r>
            <w:r w:rsidRPr="00E26EF6">
              <w:t>38 ust.</w:t>
            </w:r>
            <w:r w:rsidR="00023409" w:rsidRPr="00E26EF6">
              <w:t> </w:t>
            </w:r>
            <w:r w:rsidRPr="00E26EF6">
              <w:t>5 CRR.</w:t>
            </w:r>
          </w:p>
        </w:tc>
      </w:tr>
      <w:tr w:rsidR="00915077" w:rsidRPr="00E26EF6" w14:paraId="4AC775B1" w14:textId="77777777" w:rsidTr="00672D2A">
        <w:tc>
          <w:tcPr>
            <w:tcW w:w="1506" w:type="dxa"/>
          </w:tcPr>
          <w:p w14:paraId="5AC14744" w14:textId="77777777" w:rsidR="00915077" w:rsidRPr="00E26EF6" w:rsidRDefault="00550113">
            <w:pPr>
              <w:pStyle w:val="InstructionsText"/>
              <w:rPr>
                <w:highlight w:val="lightGray"/>
              </w:rPr>
            </w:pPr>
            <w:r w:rsidRPr="00E26EF6">
              <w:t>093</w:t>
            </w:r>
          </w:p>
        </w:tc>
        <w:tc>
          <w:tcPr>
            <w:tcW w:w="7243" w:type="dxa"/>
          </w:tcPr>
          <w:p w14:paraId="43D7F576" w14:textId="65CA2085" w:rsidR="00915077" w:rsidRPr="00E26EF6" w:rsidRDefault="00550113">
            <w:pPr>
              <w:pStyle w:val="InstructionsText"/>
            </w:pPr>
            <w:r w:rsidRPr="00E26EF6">
              <w:rPr>
                <w:rStyle w:val="InstructionsTabelleberschrift"/>
                <w:rFonts w:ascii="Times New Roman" w:hAnsi="Times New Roman"/>
                <w:sz w:val="24"/>
              </w:rPr>
              <w:t>2A</w:t>
            </w:r>
            <w:r w:rsidRPr="00E26EF6">
              <w:rPr>
                <w:rStyle w:val="InstructionsTabelleberschrift"/>
                <w:rFonts w:ascii="Times New Roman" w:hAnsi="Times New Roman"/>
                <w:sz w:val="24"/>
              </w:rPr>
              <w:tab/>
              <w:t>Nadpłaty podatku</w:t>
            </w:r>
            <w:r w:rsidR="00E26EF6" w:rsidRPr="00E26EF6">
              <w:rPr>
                <w:rStyle w:val="InstructionsTabelleberschrift"/>
                <w:rFonts w:ascii="Times New Roman" w:hAnsi="Times New Roman"/>
                <w:sz w:val="24"/>
              </w:rPr>
              <w:t xml:space="preserve"> i str</w:t>
            </w:r>
            <w:r w:rsidRPr="00E26EF6">
              <w:rPr>
                <w:rStyle w:val="InstructionsTabelleberschrift"/>
                <w:rFonts w:ascii="Times New Roman" w:hAnsi="Times New Roman"/>
                <w:sz w:val="24"/>
              </w:rPr>
              <w:t>aty podatkowe przeniesione na poprzednie lata</w:t>
            </w:r>
          </w:p>
          <w:p w14:paraId="4EF09013" w14:textId="31481A2B" w:rsidR="00915077" w:rsidRPr="00E26EF6" w:rsidRDefault="00201704">
            <w:pPr>
              <w:pStyle w:val="InstructionsText"/>
            </w:pPr>
            <w:r w:rsidRPr="00E26EF6">
              <w:t>Art. 39 ust. 1 CRR</w:t>
            </w:r>
          </w:p>
          <w:p w14:paraId="7DD40B6E" w14:textId="42474CEC" w:rsidR="00915077" w:rsidRPr="00E26EF6" w:rsidRDefault="00550113">
            <w:pPr>
              <w:pStyle w:val="InstructionsText"/>
              <w:rPr>
                <w:rStyle w:val="InstructionsTabelleberschrift"/>
                <w:rFonts w:ascii="Times New Roman" w:hAnsi="Times New Roman"/>
                <w:b w:val="0"/>
                <w:bCs w:val="0"/>
                <w:sz w:val="24"/>
                <w:highlight w:val="lightGray"/>
                <w:u w:val="none"/>
              </w:rPr>
            </w:pPr>
            <w:r w:rsidRPr="00E26EF6">
              <w:t>Kwota nadpłat podatku</w:t>
            </w:r>
            <w:r w:rsidR="00E26EF6" w:rsidRPr="00E26EF6">
              <w:t xml:space="preserve"> i str</w:t>
            </w:r>
            <w:r w:rsidRPr="00E26EF6">
              <w:t>at podatkowych przeniesionych na poprzednie lata, która nie jest odliczana od funduszy własnych zgodnie</w:t>
            </w:r>
            <w:r w:rsidR="00E26EF6" w:rsidRPr="00E26EF6">
              <w:t xml:space="preserve"> z art</w:t>
            </w:r>
            <w:r w:rsidRPr="00E26EF6">
              <w:t>.</w:t>
            </w:r>
            <w:r w:rsidR="00023409" w:rsidRPr="00E26EF6">
              <w:t> </w:t>
            </w:r>
            <w:r w:rsidRPr="00E26EF6">
              <w:t>39 ust.</w:t>
            </w:r>
            <w:r w:rsidR="00023409" w:rsidRPr="00E26EF6">
              <w:t> </w:t>
            </w:r>
            <w:r w:rsidRPr="00E26EF6">
              <w:t>1 CRR; zgłoszona kwota jest kwotą przed zastosowaniem wag ryzyka.</w:t>
            </w:r>
          </w:p>
        </w:tc>
      </w:tr>
      <w:tr w:rsidR="00915077" w:rsidRPr="00E26EF6" w14:paraId="5F206D74" w14:textId="77777777" w:rsidTr="00672D2A">
        <w:tc>
          <w:tcPr>
            <w:tcW w:w="1506" w:type="dxa"/>
          </w:tcPr>
          <w:p w14:paraId="60FAF585" w14:textId="77777777" w:rsidR="00915077" w:rsidRPr="00E26EF6" w:rsidRDefault="00DF65DF">
            <w:pPr>
              <w:pStyle w:val="InstructionsText"/>
              <w:rPr>
                <w:highlight w:val="lightGray"/>
              </w:rPr>
            </w:pPr>
            <w:r w:rsidRPr="00E26EF6">
              <w:t>096</w:t>
            </w:r>
          </w:p>
        </w:tc>
        <w:tc>
          <w:tcPr>
            <w:tcW w:w="7243" w:type="dxa"/>
          </w:tcPr>
          <w:p w14:paraId="16A9D094" w14:textId="5D5F24DE" w:rsidR="00915077" w:rsidRPr="00E26EF6" w:rsidRDefault="00550113">
            <w:pPr>
              <w:pStyle w:val="InstructionsText"/>
            </w:pPr>
            <w:r w:rsidRPr="00E26EF6">
              <w:rPr>
                <w:rStyle w:val="InstructionsTabelleberschrift"/>
                <w:rFonts w:ascii="Times New Roman" w:hAnsi="Times New Roman"/>
                <w:sz w:val="24"/>
              </w:rPr>
              <w:t>2B</w:t>
            </w:r>
            <w:r w:rsidRPr="00E26EF6">
              <w:rPr>
                <w:rStyle w:val="InstructionsTabelleberschrift"/>
                <w:rFonts w:ascii="Times New Roman" w:hAnsi="Times New Roman"/>
                <w:sz w:val="24"/>
              </w:rPr>
              <w:tab/>
              <w:t>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podlegające wadze ryzyka równej 250 %</w:t>
            </w:r>
          </w:p>
          <w:p w14:paraId="0BB36867" w14:textId="20F46AD6" w:rsidR="00915077" w:rsidRPr="00E26EF6" w:rsidRDefault="00201704">
            <w:pPr>
              <w:pStyle w:val="InstructionsText"/>
            </w:pPr>
            <w:r w:rsidRPr="00E26EF6">
              <w:t>Art. 48 ust. 4 CRR</w:t>
            </w:r>
          </w:p>
          <w:p w14:paraId="7CB8F874" w14:textId="0C225F93" w:rsidR="00915077" w:rsidRPr="00E26EF6" w:rsidRDefault="00DF65DF">
            <w:pPr>
              <w:pStyle w:val="InstructionsText"/>
              <w:rPr>
                <w:rStyle w:val="InstructionsTabelleberschrift"/>
                <w:rFonts w:ascii="Times New Roman" w:hAnsi="Times New Roman"/>
                <w:b w:val="0"/>
                <w:bCs w:val="0"/>
                <w:sz w:val="24"/>
                <w:highlight w:val="lightGray"/>
                <w:u w:val="none"/>
              </w:rPr>
            </w:pPr>
            <w:r w:rsidRPr="00E26EF6">
              <w:t>Kwota aktywów</w:t>
            </w:r>
            <w:r w:rsidR="00E26EF6" w:rsidRPr="00E26EF6">
              <w:t xml:space="preserve"> z tyt</w:t>
            </w:r>
            <w:r w:rsidRPr="00E26EF6">
              <w:t>ułu odroczonego podatku dochodowego opartych na przyszłej rentowności</w:t>
            </w:r>
            <w:r w:rsidR="00E26EF6" w:rsidRPr="00E26EF6">
              <w:t xml:space="preserve"> i wyn</w:t>
            </w:r>
            <w:r w:rsidRPr="00E26EF6">
              <w:t>ikających</w:t>
            </w:r>
            <w:r w:rsidR="00E26EF6" w:rsidRPr="00E26EF6">
              <w:t xml:space="preserve"> z róż</w:t>
            </w:r>
            <w:r w:rsidRPr="00E26EF6">
              <w:t>nic przejściowych, które nie są odliczane zgodnie</w:t>
            </w:r>
            <w:r w:rsidR="00E26EF6" w:rsidRPr="00E26EF6">
              <w:t xml:space="preserve"> z art</w:t>
            </w:r>
            <w:r w:rsidRPr="00E26EF6">
              <w:t>.</w:t>
            </w:r>
            <w:r w:rsidR="00023409" w:rsidRPr="00E26EF6">
              <w:t> </w:t>
            </w:r>
            <w:r w:rsidRPr="00E26EF6">
              <w:t>48 ust.</w:t>
            </w:r>
            <w:r w:rsidR="00023409" w:rsidRPr="00E26EF6">
              <w:t> </w:t>
            </w:r>
            <w:r w:rsidRPr="00E26EF6">
              <w:t>1 CRR, ale podlegają wadze ryzyka równej 250</w:t>
            </w:r>
            <w:r w:rsidR="00023409" w:rsidRPr="00E26EF6">
              <w:t> </w:t>
            </w:r>
            <w:r w:rsidRPr="00E26EF6">
              <w:t>% zgodnie</w:t>
            </w:r>
            <w:r w:rsidR="00E26EF6" w:rsidRPr="00E26EF6">
              <w:t xml:space="preserve"> z art</w:t>
            </w:r>
            <w:r w:rsidRPr="00E26EF6">
              <w:t>.</w:t>
            </w:r>
            <w:r w:rsidR="00023409" w:rsidRPr="00E26EF6">
              <w:t> </w:t>
            </w:r>
            <w:r w:rsidRPr="00E26EF6">
              <w:t>48 ust.</w:t>
            </w:r>
            <w:r w:rsidR="00023409" w:rsidRPr="00E26EF6">
              <w:t> </w:t>
            </w:r>
            <w:r w:rsidRPr="00E26EF6">
              <w:t>4 CRR,</w:t>
            </w:r>
            <w:r w:rsidR="00E26EF6" w:rsidRPr="00E26EF6">
              <w:t xml:space="preserve"> z uwz</w:t>
            </w:r>
            <w:r w:rsidRPr="00E26EF6">
              <w:t>ględnieniem wpływu art.</w:t>
            </w:r>
            <w:r w:rsidR="00023409" w:rsidRPr="00E26EF6">
              <w:t> </w:t>
            </w:r>
            <w:r w:rsidRPr="00E26EF6">
              <w:t>470 CRR. Zgłoszona kwota jest kwotą aktywów</w:t>
            </w:r>
            <w:r w:rsidR="00E26EF6" w:rsidRPr="00E26EF6">
              <w:t xml:space="preserve"> z tyt</w:t>
            </w:r>
            <w:r w:rsidRPr="00E26EF6">
              <w:t>ułu odroczonego podatku dochodowego przed zastosowaniem wagi ryzyka.</w:t>
            </w:r>
          </w:p>
        </w:tc>
      </w:tr>
      <w:tr w:rsidR="00915077" w:rsidRPr="00E26EF6" w14:paraId="068E8FB8" w14:textId="77777777" w:rsidTr="00672D2A">
        <w:tc>
          <w:tcPr>
            <w:tcW w:w="1506" w:type="dxa"/>
          </w:tcPr>
          <w:p w14:paraId="7A13E9F5" w14:textId="77777777" w:rsidR="00915077" w:rsidRPr="00E26EF6" w:rsidRDefault="00DF65DF">
            <w:pPr>
              <w:pStyle w:val="InstructionsText"/>
              <w:rPr>
                <w:highlight w:val="lightGray"/>
              </w:rPr>
            </w:pPr>
            <w:r w:rsidRPr="00E26EF6">
              <w:t>097</w:t>
            </w:r>
          </w:p>
        </w:tc>
        <w:tc>
          <w:tcPr>
            <w:tcW w:w="7243" w:type="dxa"/>
          </w:tcPr>
          <w:p w14:paraId="69034EA4" w14:textId="525F1736" w:rsidR="00915077" w:rsidRPr="00E26EF6" w:rsidRDefault="00550113">
            <w:pPr>
              <w:pStyle w:val="InstructionsText"/>
            </w:pPr>
            <w:r w:rsidRPr="00E26EF6">
              <w:rPr>
                <w:rStyle w:val="InstructionsTabelleberschrift"/>
                <w:rFonts w:ascii="Times New Roman" w:hAnsi="Times New Roman"/>
                <w:sz w:val="24"/>
              </w:rPr>
              <w:t>2C</w:t>
            </w:r>
            <w:r w:rsidRPr="00E26EF6">
              <w:rPr>
                <w:rStyle w:val="InstructionsTabelleberschrift"/>
                <w:rFonts w:ascii="Times New Roman" w:hAnsi="Times New Roman"/>
                <w:sz w:val="24"/>
              </w:rPr>
              <w:tab/>
              <w:t>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podlegające wadze ryzyka równej 0 %</w:t>
            </w:r>
          </w:p>
          <w:p w14:paraId="3EECE67C" w14:textId="7994E7B2" w:rsidR="00915077" w:rsidRPr="00E26EF6" w:rsidRDefault="0014657C">
            <w:pPr>
              <w:pStyle w:val="InstructionsText"/>
            </w:pPr>
            <w:r w:rsidRPr="00E26EF6">
              <w:t>Art. 469 ust.</w:t>
            </w:r>
            <w:r w:rsidR="00023409" w:rsidRPr="00E26EF6">
              <w:t> </w:t>
            </w:r>
            <w:r w:rsidRPr="00E26EF6">
              <w:t>1 lit.</w:t>
            </w:r>
            <w:r w:rsidR="00023409" w:rsidRPr="00E26EF6">
              <w:t> </w:t>
            </w:r>
            <w:r w:rsidRPr="00E26EF6">
              <w:t>d), art.</w:t>
            </w:r>
            <w:r w:rsidR="00023409" w:rsidRPr="00E26EF6">
              <w:t> </w:t>
            </w:r>
            <w:r w:rsidRPr="00E26EF6">
              <w:t>470, art.</w:t>
            </w:r>
            <w:r w:rsidR="00023409" w:rsidRPr="00E26EF6">
              <w:t> </w:t>
            </w:r>
            <w:r w:rsidRPr="00E26EF6">
              <w:t>472 ust.</w:t>
            </w:r>
            <w:r w:rsidR="00023409" w:rsidRPr="00E26EF6">
              <w:t> </w:t>
            </w:r>
            <w:r w:rsidRPr="00E26EF6">
              <w:t>5 oraz art.</w:t>
            </w:r>
            <w:r w:rsidR="00023409" w:rsidRPr="00E26EF6">
              <w:t> </w:t>
            </w:r>
            <w:r w:rsidRPr="00E26EF6">
              <w:t>478 CRR</w:t>
            </w:r>
          </w:p>
          <w:p w14:paraId="2152F505" w14:textId="0C3CCA40" w:rsidR="00915077" w:rsidRPr="00E26EF6" w:rsidRDefault="00DF65DF">
            <w:pPr>
              <w:pStyle w:val="InstructionsText"/>
              <w:rPr>
                <w:rStyle w:val="InstructionsTabelleberschrift"/>
                <w:rFonts w:ascii="Times New Roman" w:hAnsi="Times New Roman"/>
                <w:b w:val="0"/>
                <w:bCs w:val="0"/>
                <w:sz w:val="24"/>
                <w:highlight w:val="lightGray"/>
                <w:u w:val="none"/>
              </w:rPr>
            </w:pPr>
            <w:r w:rsidRPr="00E26EF6">
              <w:t>Kwota aktywów</w:t>
            </w:r>
            <w:r w:rsidR="00E26EF6" w:rsidRPr="00E26EF6">
              <w:t xml:space="preserve"> z tyt</w:t>
            </w:r>
            <w:r w:rsidRPr="00E26EF6">
              <w:t>ułu odroczonego podatku dochodowego opartych na przyszłej rentowności</w:t>
            </w:r>
            <w:r w:rsidR="00E26EF6" w:rsidRPr="00E26EF6">
              <w:t xml:space="preserve"> i wyn</w:t>
            </w:r>
            <w:r w:rsidRPr="00E26EF6">
              <w:t>ikających</w:t>
            </w:r>
            <w:r w:rsidR="00E26EF6" w:rsidRPr="00E26EF6">
              <w:t xml:space="preserve"> z róż</w:t>
            </w:r>
            <w:r w:rsidRPr="00E26EF6">
              <w:t>nic przejściowych, które nie są odliczane zgodnie</w:t>
            </w:r>
            <w:r w:rsidR="00E26EF6" w:rsidRPr="00E26EF6">
              <w:t xml:space="preserve"> z art</w:t>
            </w:r>
            <w:r w:rsidRPr="00E26EF6">
              <w:t>.</w:t>
            </w:r>
            <w:r w:rsidR="00023409" w:rsidRPr="00E26EF6">
              <w:t> </w:t>
            </w:r>
            <w:r w:rsidRPr="00E26EF6">
              <w:t>469 ust.</w:t>
            </w:r>
            <w:r w:rsidR="00023409" w:rsidRPr="00E26EF6">
              <w:t> </w:t>
            </w:r>
            <w:r w:rsidRPr="00E26EF6">
              <w:t>1 lit.</w:t>
            </w:r>
            <w:r w:rsidR="00023409" w:rsidRPr="00E26EF6">
              <w:t> </w:t>
            </w:r>
            <w:r w:rsidRPr="00E26EF6">
              <w:t>d)</w:t>
            </w:r>
            <w:r w:rsidR="00E26EF6" w:rsidRPr="00E26EF6">
              <w:t xml:space="preserve"> i art</w:t>
            </w:r>
            <w:r w:rsidRPr="00E26EF6">
              <w:t>.</w:t>
            </w:r>
            <w:r w:rsidR="00023409" w:rsidRPr="00E26EF6">
              <w:t> </w:t>
            </w:r>
            <w:r w:rsidRPr="00E26EF6">
              <w:t>470 CRR, ale podlegają wadze ryzyka równej 0</w:t>
            </w:r>
            <w:r w:rsidR="00023409" w:rsidRPr="00E26EF6">
              <w:t> </w:t>
            </w:r>
            <w:r w:rsidRPr="00E26EF6">
              <w:t>% zgodnie</w:t>
            </w:r>
            <w:r w:rsidR="00E26EF6" w:rsidRPr="00E26EF6">
              <w:t xml:space="preserve"> z art</w:t>
            </w:r>
            <w:r w:rsidRPr="00E26EF6">
              <w:t>.</w:t>
            </w:r>
            <w:r w:rsidR="00023409" w:rsidRPr="00E26EF6">
              <w:t> </w:t>
            </w:r>
            <w:r w:rsidRPr="00E26EF6">
              <w:t>472 ust.</w:t>
            </w:r>
            <w:r w:rsidR="00023409" w:rsidRPr="00E26EF6">
              <w:t> </w:t>
            </w:r>
            <w:r w:rsidRPr="00E26EF6">
              <w:t>5 CRR. Zgłoszona kwota jest kwotą aktywów</w:t>
            </w:r>
            <w:r w:rsidR="00E26EF6" w:rsidRPr="00E26EF6">
              <w:t xml:space="preserve"> z tyt</w:t>
            </w:r>
            <w:r w:rsidRPr="00E26EF6">
              <w:t>ułu odroczonego podatku dochodowego przed zastosowaniem wagi ryzyka.</w:t>
            </w:r>
          </w:p>
        </w:tc>
      </w:tr>
      <w:tr w:rsidR="00915077" w:rsidRPr="00E26EF6" w14:paraId="24D25A33" w14:textId="77777777" w:rsidTr="00672D2A">
        <w:tc>
          <w:tcPr>
            <w:tcW w:w="1506" w:type="dxa"/>
          </w:tcPr>
          <w:p w14:paraId="262C4396" w14:textId="77777777" w:rsidR="00915077" w:rsidRPr="00E26EF6" w:rsidRDefault="002648B0">
            <w:pPr>
              <w:pStyle w:val="InstructionsText"/>
              <w:rPr>
                <w:highlight w:val="lightGray"/>
              </w:rPr>
            </w:pPr>
            <w:r w:rsidRPr="00E26EF6">
              <w:t>100</w:t>
            </w:r>
          </w:p>
        </w:tc>
        <w:tc>
          <w:tcPr>
            <w:tcW w:w="7243" w:type="dxa"/>
          </w:tcPr>
          <w:p w14:paraId="0B299EBF" w14:textId="4841D965" w:rsidR="00915077" w:rsidRPr="00E26EF6" w:rsidRDefault="00C66473">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3.</w:t>
            </w:r>
            <w:r w:rsidRPr="00E26EF6">
              <w:rPr>
                <w:rStyle w:val="InstructionsTabelleberschrift"/>
                <w:rFonts w:ascii="Times New Roman" w:hAnsi="Times New Roman"/>
                <w:sz w:val="24"/>
              </w:rPr>
              <w:tab/>
              <w:t>Nadwyżka (+) lub niedobór (-) korekt ryzyka kredytowego, dodatkowych korekt wartości oraz innych redukcji funduszy własnych wobec oczekiwanych strat</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ekspozycji, których nie dotyczy niewykonanie zobowiązania, według metody IRB</w:t>
            </w:r>
          </w:p>
          <w:p w14:paraId="56BBC347" w14:textId="21840458" w:rsidR="00915077" w:rsidRPr="00E26EF6" w:rsidRDefault="0014657C">
            <w:pPr>
              <w:pStyle w:val="InstructionsText"/>
            </w:pPr>
            <w:r w:rsidRPr="00E26EF6">
              <w:t>Art. 36 ust.</w:t>
            </w:r>
            <w:r w:rsidR="00023409" w:rsidRPr="00E26EF6">
              <w:t> </w:t>
            </w:r>
            <w:r w:rsidRPr="00E26EF6">
              <w:t>1 lit.</w:t>
            </w:r>
            <w:r w:rsidR="00023409" w:rsidRPr="00E26EF6">
              <w:t> </w:t>
            </w:r>
            <w:r w:rsidRPr="00E26EF6">
              <w:t>d), art.</w:t>
            </w:r>
            <w:r w:rsidR="00023409" w:rsidRPr="00E26EF6">
              <w:t> </w:t>
            </w:r>
            <w:r w:rsidRPr="00E26EF6">
              <w:t>62 lit.</w:t>
            </w:r>
            <w:r w:rsidR="00023409" w:rsidRPr="00E26EF6">
              <w:t> </w:t>
            </w:r>
            <w:r w:rsidRPr="00E26EF6">
              <w:t>d), art.</w:t>
            </w:r>
            <w:r w:rsidR="00023409" w:rsidRPr="00E26EF6">
              <w:t> </w:t>
            </w:r>
            <w:r w:rsidRPr="00E26EF6">
              <w:t>158</w:t>
            </w:r>
            <w:r w:rsidR="00E26EF6" w:rsidRPr="00E26EF6">
              <w:t xml:space="preserve"> i art</w:t>
            </w:r>
            <w:r w:rsidRPr="00E26EF6">
              <w:t>.</w:t>
            </w:r>
            <w:r w:rsidR="00023409" w:rsidRPr="00E26EF6">
              <w:t> </w:t>
            </w:r>
            <w:r w:rsidRPr="00E26EF6">
              <w:t>159 CRR</w:t>
            </w:r>
          </w:p>
          <w:p w14:paraId="7C3F55FA" w14:textId="77777777" w:rsidR="00915077" w:rsidRPr="00E26EF6" w:rsidRDefault="002648B0">
            <w:pPr>
              <w:pStyle w:val="InstructionsText"/>
              <w:rPr>
                <w:highlight w:val="lightGray"/>
              </w:rPr>
            </w:pPr>
            <w:r w:rsidRPr="00E26EF6">
              <w:t>Pozycję tę zgłaszają wyłącznie instytucje stosujące metodę IRB.</w:t>
            </w:r>
          </w:p>
        </w:tc>
      </w:tr>
      <w:tr w:rsidR="00915077" w:rsidRPr="00E26EF6" w14:paraId="7A656ED8" w14:textId="77777777" w:rsidTr="00672D2A">
        <w:tc>
          <w:tcPr>
            <w:tcW w:w="1506" w:type="dxa"/>
          </w:tcPr>
          <w:p w14:paraId="34DB0C1A" w14:textId="77777777" w:rsidR="00915077" w:rsidRPr="00E26EF6" w:rsidRDefault="002648B0">
            <w:pPr>
              <w:pStyle w:val="InstructionsText"/>
              <w:rPr>
                <w:highlight w:val="lightGray"/>
              </w:rPr>
            </w:pPr>
            <w:r w:rsidRPr="00E26EF6">
              <w:t>110</w:t>
            </w:r>
          </w:p>
        </w:tc>
        <w:tc>
          <w:tcPr>
            <w:tcW w:w="7243" w:type="dxa"/>
          </w:tcPr>
          <w:p w14:paraId="526C166A" w14:textId="78EDF1C1" w:rsidR="00915077" w:rsidRPr="00E26EF6" w:rsidRDefault="002648B0">
            <w:pPr>
              <w:pStyle w:val="InstructionsText"/>
            </w:pPr>
            <w:r w:rsidRPr="00E26EF6">
              <w:rPr>
                <w:rStyle w:val="InstructionsTabelleberschrift"/>
                <w:rFonts w:ascii="Times New Roman" w:hAnsi="Times New Roman"/>
                <w:sz w:val="24"/>
              </w:rPr>
              <w:t>3.1</w:t>
            </w:r>
            <w:r w:rsidRPr="00E26EF6">
              <w:rPr>
                <w:rStyle w:val="InstructionsTabelleberschrift"/>
                <w:rFonts w:ascii="Times New Roman" w:hAnsi="Times New Roman"/>
                <w:sz w:val="24"/>
              </w:rPr>
              <w:tab/>
              <w:t>Całkowite korekty ryzyka kredytowego, dodatkowe korekty wartości oraz inne redukcje funduszy własnych kwalifikujące się do uwzględnienia</w:t>
            </w:r>
            <w:r w:rsidR="00E26EF6" w:rsidRPr="00E26EF6">
              <w:rPr>
                <w:rStyle w:val="InstructionsTabelleberschrift"/>
                <w:rFonts w:ascii="Times New Roman" w:hAnsi="Times New Roman"/>
                <w:sz w:val="24"/>
              </w:rPr>
              <w:t xml:space="preserve"> w obl</w:t>
            </w:r>
            <w:r w:rsidRPr="00E26EF6">
              <w:rPr>
                <w:rStyle w:val="InstructionsTabelleberschrift"/>
                <w:rFonts w:ascii="Times New Roman" w:hAnsi="Times New Roman"/>
                <w:sz w:val="24"/>
              </w:rPr>
              <w:t>iczeniach kwoty oczekiwanej straty</w:t>
            </w:r>
          </w:p>
          <w:p w14:paraId="17A4B99A" w14:textId="183D7CC6" w:rsidR="00915077" w:rsidRPr="00E26EF6" w:rsidRDefault="002648B0">
            <w:pPr>
              <w:pStyle w:val="InstructionsText"/>
            </w:pPr>
            <w:r w:rsidRPr="00E26EF6">
              <w:t>Art. 159 CRR</w:t>
            </w:r>
          </w:p>
          <w:p w14:paraId="2570FB4D" w14:textId="77777777" w:rsidR="00915077" w:rsidRPr="00E26EF6" w:rsidRDefault="002648B0">
            <w:pPr>
              <w:pStyle w:val="InstructionsText"/>
              <w:rPr>
                <w:highlight w:val="lightGray"/>
              </w:rPr>
            </w:pPr>
            <w:r w:rsidRPr="00E26EF6">
              <w:t>Pozycję tę zgłaszają wyłącznie instytucje stosujące metodę IRB.</w:t>
            </w:r>
          </w:p>
        </w:tc>
      </w:tr>
      <w:tr w:rsidR="00915077" w:rsidRPr="00E26EF6" w14:paraId="2570CCE2" w14:textId="77777777" w:rsidTr="00672D2A">
        <w:tc>
          <w:tcPr>
            <w:tcW w:w="1506" w:type="dxa"/>
          </w:tcPr>
          <w:p w14:paraId="205A4550" w14:textId="77777777" w:rsidR="00915077" w:rsidRPr="00E26EF6" w:rsidRDefault="002648B0">
            <w:pPr>
              <w:pStyle w:val="InstructionsText"/>
              <w:rPr>
                <w:highlight w:val="lightGray"/>
              </w:rPr>
            </w:pPr>
            <w:r w:rsidRPr="00E26EF6">
              <w:lastRenderedPageBreak/>
              <w:t>120</w:t>
            </w:r>
          </w:p>
        </w:tc>
        <w:tc>
          <w:tcPr>
            <w:tcW w:w="7243" w:type="dxa"/>
          </w:tcPr>
          <w:p w14:paraId="4221D6D1" w14:textId="72A34CD3" w:rsidR="00915077" w:rsidRPr="00E26EF6" w:rsidRDefault="002648B0">
            <w:pPr>
              <w:pStyle w:val="InstructionsText"/>
            </w:pPr>
            <w:r w:rsidRPr="00E26EF6">
              <w:rPr>
                <w:rStyle w:val="InstructionsTabelleberschrift"/>
                <w:rFonts w:ascii="Times New Roman" w:hAnsi="Times New Roman"/>
                <w:sz w:val="24"/>
              </w:rPr>
              <w:t>3.1.1</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ogólnego ryzyka kredytowego</w:t>
            </w:r>
          </w:p>
          <w:p w14:paraId="273AF814" w14:textId="09E871B4" w:rsidR="00915077" w:rsidRPr="00E26EF6" w:rsidRDefault="002648B0">
            <w:pPr>
              <w:pStyle w:val="InstructionsText"/>
            </w:pPr>
            <w:r w:rsidRPr="00E26EF6">
              <w:t>Art. 159 CRR</w:t>
            </w:r>
          </w:p>
          <w:p w14:paraId="1C4BDD2D" w14:textId="77777777" w:rsidR="00915077" w:rsidRPr="00E26EF6" w:rsidRDefault="002648B0">
            <w:pPr>
              <w:pStyle w:val="InstructionsText"/>
              <w:rPr>
                <w:highlight w:val="lightGray"/>
              </w:rPr>
            </w:pPr>
            <w:r w:rsidRPr="00E26EF6">
              <w:t>Pozycję tę zgłaszają wyłącznie instytucje stosujące metodę IRB.</w:t>
            </w:r>
          </w:p>
        </w:tc>
      </w:tr>
      <w:tr w:rsidR="00915077" w:rsidRPr="00E26EF6" w14:paraId="6327AE94" w14:textId="77777777" w:rsidTr="00672D2A">
        <w:tc>
          <w:tcPr>
            <w:tcW w:w="1506" w:type="dxa"/>
          </w:tcPr>
          <w:p w14:paraId="7370C327" w14:textId="77777777" w:rsidR="00915077" w:rsidRPr="00E26EF6" w:rsidRDefault="002648B0">
            <w:pPr>
              <w:pStyle w:val="InstructionsText"/>
              <w:rPr>
                <w:highlight w:val="lightGray"/>
              </w:rPr>
            </w:pPr>
            <w:r w:rsidRPr="00E26EF6">
              <w:t>130</w:t>
            </w:r>
          </w:p>
        </w:tc>
        <w:tc>
          <w:tcPr>
            <w:tcW w:w="7243" w:type="dxa"/>
          </w:tcPr>
          <w:p w14:paraId="47FBB331" w14:textId="6D6ECAA2" w:rsidR="00915077" w:rsidRPr="00E26EF6" w:rsidRDefault="002648B0">
            <w:pPr>
              <w:pStyle w:val="InstructionsText"/>
            </w:pPr>
            <w:r w:rsidRPr="00E26EF6">
              <w:rPr>
                <w:rStyle w:val="InstructionsTabelleberschrift"/>
                <w:rFonts w:ascii="Times New Roman" w:hAnsi="Times New Roman"/>
                <w:sz w:val="24"/>
              </w:rPr>
              <w:t>3.1.2</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szczególnego ryzyka kredytowego</w:t>
            </w:r>
          </w:p>
          <w:p w14:paraId="1E163ABD" w14:textId="355EBB97" w:rsidR="00915077" w:rsidRPr="00E26EF6" w:rsidRDefault="002648B0">
            <w:pPr>
              <w:pStyle w:val="InstructionsText"/>
            </w:pPr>
            <w:r w:rsidRPr="00E26EF6">
              <w:t>Art. 159 CRR</w:t>
            </w:r>
          </w:p>
          <w:p w14:paraId="55D839A1" w14:textId="77777777" w:rsidR="00915077" w:rsidRPr="00E26EF6" w:rsidRDefault="002648B0">
            <w:pPr>
              <w:pStyle w:val="InstructionsText"/>
              <w:rPr>
                <w:highlight w:val="lightGray"/>
              </w:rPr>
            </w:pPr>
            <w:r w:rsidRPr="00E26EF6">
              <w:t>Pozycję tę zgłaszają wyłącznie instytucje stosujące metodę IRB.</w:t>
            </w:r>
          </w:p>
        </w:tc>
      </w:tr>
      <w:tr w:rsidR="00915077" w:rsidRPr="00E26EF6" w14:paraId="50FBE5E7" w14:textId="77777777" w:rsidTr="00672D2A">
        <w:tc>
          <w:tcPr>
            <w:tcW w:w="1506" w:type="dxa"/>
          </w:tcPr>
          <w:p w14:paraId="215A16EC" w14:textId="0E4F6859" w:rsidR="00915077" w:rsidRPr="00E26EF6" w:rsidRDefault="002648B0">
            <w:pPr>
              <w:pStyle w:val="InstructionsText"/>
              <w:rPr>
                <w:highlight w:val="lightGray"/>
              </w:rPr>
            </w:pPr>
            <w:r w:rsidRPr="00E26EF6">
              <w:t>131</w:t>
            </w:r>
          </w:p>
        </w:tc>
        <w:tc>
          <w:tcPr>
            <w:tcW w:w="7243" w:type="dxa"/>
          </w:tcPr>
          <w:p w14:paraId="182E2637" w14:textId="0375D5A8"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3.1.3</w:t>
            </w:r>
            <w:r w:rsidRPr="00E26EF6">
              <w:rPr>
                <w:rStyle w:val="InstructionsTabelleberschrift"/>
                <w:rFonts w:ascii="Times New Roman" w:hAnsi="Times New Roman"/>
                <w:sz w:val="24"/>
              </w:rPr>
              <w:tab/>
              <w:t>Dodatkowe korekty wartości</w:t>
            </w:r>
            <w:r w:rsidR="00E26EF6" w:rsidRPr="00E26EF6">
              <w:rPr>
                <w:rStyle w:val="InstructionsTabelleberschrift"/>
                <w:rFonts w:ascii="Times New Roman" w:hAnsi="Times New Roman"/>
                <w:sz w:val="24"/>
              </w:rPr>
              <w:t xml:space="preserve"> i inn</w:t>
            </w:r>
            <w:r w:rsidRPr="00E26EF6">
              <w:rPr>
                <w:rStyle w:val="InstructionsTabelleberschrift"/>
                <w:rFonts w:ascii="Times New Roman" w:hAnsi="Times New Roman"/>
                <w:sz w:val="24"/>
              </w:rPr>
              <w:t>e redukcje funduszy własnych</w:t>
            </w:r>
          </w:p>
          <w:p w14:paraId="3D7CD496" w14:textId="16389B5E" w:rsidR="00915077" w:rsidRPr="00E26EF6" w:rsidRDefault="002648B0">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34, 110</w:t>
            </w:r>
            <w:r w:rsidR="00E26EF6" w:rsidRPr="00E26EF6">
              <w:rPr>
                <w:rStyle w:val="InstructionsTabelleberschrift"/>
                <w:rFonts w:ascii="Times New Roman" w:hAnsi="Times New Roman"/>
                <w:b w:val="0"/>
                <w:sz w:val="24"/>
                <w:u w:val="none"/>
              </w:rPr>
              <w:t xml:space="preserve"> i 1</w:t>
            </w:r>
            <w:r w:rsidRPr="00E26EF6">
              <w:rPr>
                <w:rStyle w:val="InstructionsTabelleberschrift"/>
                <w:rFonts w:ascii="Times New Roman" w:hAnsi="Times New Roman"/>
                <w:b w:val="0"/>
                <w:sz w:val="24"/>
                <w:u w:val="none"/>
              </w:rPr>
              <w:t>59 CRR</w:t>
            </w:r>
          </w:p>
          <w:p w14:paraId="78F458B4" w14:textId="77777777" w:rsidR="00915077" w:rsidRPr="00E26EF6" w:rsidRDefault="002648B0">
            <w:pPr>
              <w:pStyle w:val="InstructionsText"/>
              <w:rPr>
                <w:rStyle w:val="InstructionsTabelleberschrift"/>
                <w:rFonts w:ascii="Times New Roman" w:hAnsi="Times New Roman"/>
                <w:b w:val="0"/>
                <w:bCs w:val="0"/>
                <w:sz w:val="24"/>
                <w:highlight w:val="lightGray"/>
                <w:u w:val="none"/>
              </w:rPr>
            </w:pPr>
            <w:r w:rsidRPr="00E26EF6">
              <w:t>Pozycję tę zgłaszają wyłącznie instytucje stosujące metodę IRB.</w:t>
            </w:r>
          </w:p>
        </w:tc>
      </w:tr>
      <w:tr w:rsidR="00915077" w:rsidRPr="00E26EF6" w14:paraId="11A930A3" w14:textId="77777777" w:rsidTr="00672D2A">
        <w:tc>
          <w:tcPr>
            <w:tcW w:w="1506" w:type="dxa"/>
          </w:tcPr>
          <w:p w14:paraId="6AAFBA23" w14:textId="77777777" w:rsidR="00915077" w:rsidRPr="00E26EF6" w:rsidRDefault="002648B0">
            <w:pPr>
              <w:pStyle w:val="InstructionsText"/>
              <w:rPr>
                <w:highlight w:val="lightGray"/>
              </w:rPr>
            </w:pPr>
            <w:r w:rsidRPr="00E26EF6">
              <w:t>140</w:t>
            </w:r>
          </w:p>
        </w:tc>
        <w:tc>
          <w:tcPr>
            <w:tcW w:w="7243" w:type="dxa"/>
          </w:tcPr>
          <w:p w14:paraId="7284CE24" w14:textId="77777777" w:rsidR="00915077" w:rsidRPr="00E26EF6" w:rsidRDefault="002648B0">
            <w:pPr>
              <w:pStyle w:val="InstructionsText"/>
            </w:pPr>
            <w:r w:rsidRPr="00E26EF6">
              <w:rPr>
                <w:rStyle w:val="InstructionsTabelleberschrift"/>
                <w:rFonts w:ascii="Times New Roman" w:hAnsi="Times New Roman"/>
                <w:sz w:val="24"/>
              </w:rPr>
              <w:t>3.2</w:t>
            </w:r>
            <w:r w:rsidRPr="00E26EF6">
              <w:rPr>
                <w:rStyle w:val="InstructionsTabelleberschrift"/>
                <w:rFonts w:ascii="Times New Roman" w:hAnsi="Times New Roman"/>
                <w:sz w:val="24"/>
              </w:rPr>
              <w:tab/>
              <w:t xml:space="preserve">Oczekiwane uznane straty razem </w:t>
            </w:r>
          </w:p>
          <w:p w14:paraId="6BE53DD3" w14:textId="538BC67A" w:rsidR="00915077" w:rsidRPr="00E26EF6" w:rsidRDefault="00167619">
            <w:pPr>
              <w:pStyle w:val="InstructionsText"/>
            </w:pPr>
            <w:r w:rsidRPr="00E26EF6">
              <w:t>Art. 158 ust.</w:t>
            </w:r>
            <w:r w:rsidR="00023409" w:rsidRPr="00E26EF6">
              <w:t> </w:t>
            </w:r>
            <w:r w:rsidRPr="00E26EF6">
              <w:t>5, 6</w:t>
            </w:r>
            <w:r w:rsidR="00E26EF6" w:rsidRPr="00E26EF6">
              <w:t xml:space="preserve"> i 1</w:t>
            </w:r>
            <w:r w:rsidRPr="00E26EF6">
              <w:t>0 oraz art.</w:t>
            </w:r>
            <w:r w:rsidR="00023409" w:rsidRPr="00E26EF6">
              <w:t> </w:t>
            </w:r>
            <w:r w:rsidRPr="00E26EF6">
              <w:t>159 CRR</w:t>
            </w:r>
          </w:p>
          <w:p w14:paraId="5481C681" w14:textId="74D0B807" w:rsidR="00915077" w:rsidRPr="00E26EF6" w:rsidRDefault="00F11185">
            <w:pPr>
              <w:pStyle w:val="InstructionsText"/>
              <w:rPr>
                <w:highlight w:val="lightGray"/>
              </w:rPr>
            </w:pPr>
            <w:r w:rsidRPr="00E26EF6">
              <w:t>Pozycję tę zgłaszają wyłącznie instytucje stosujące metodę IRB. Zgłasza się wyłącznie oczekiwaną stratę związaną</w:t>
            </w:r>
            <w:r w:rsidR="00E26EF6" w:rsidRPr="00E26EF6">
              <w:t xml:space="preserve"> z eks</w:t>
            </w:r>
            <w:r w:rsidRPr="00E26EF6">
              <w:t>pozycjami, których nie dotyczy niewykonanie zobowiązania.</w:t>
            </w:r>
          </w:p>
        </w:tc>
      </w:tr>
      <w:tr w:rsidR="00915077" w:rsidRPr="00E26EF6" w14:paraId="09BCBEEA" w14:textId="77777777" w:rsidTr="00672D2A">
        <w:tc>
          <w:tcPr>
            <w:tcW w:w="1506" w:type="dxa"/>
          </w:tcPr>
          <w:p w14:paraId="22BB94AA" w14:textId="77777777" w:rsidR="00915077" w:rsidRPr="00E26EF6" w:rsidRDefault="00F11185">
            <w:pPr>
              <w:pStyle w:val="InstructionsText"/>
            </w:pPr>
            <w:r w:rsidRPr="00E26EF6">
              <w:t>145</w:t>
            </w:r>
          </w:p>
          <w:p w14:paraId="1143011F" w14:textId="77777777" w:rsidR="00915077" w:rsidRPr="00E26EF6" w:rsidRDefault="00915077">
            <w:pPr>
              <w:pStyle w:val="InstructionsText"/>
              <w:rPr>
                <w:highlight w:val="lightGray"/>
              </w:rPr>
            </w:pPr>
          </w:p>
        </w:tc>
        <w:tc>
          <w:tcPr>
            <w:tcW w:w="7243" w:type="dxa"/>
          </w:tcPr>
          <w:p w14:paraId="528EC10D" w14:textId="5AB14741" w:rsidR="00915077" w:rsidRPr="00E26EF6" w:rsidRDefault="00630711">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4 Nadwyżka (+) lub niedobór (-) korekt</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szczególnego ryzyka kredytowego wobec oczekiwanych strat</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ekspozycji, których dotyczy niewykonanie zobowiązania, według metody IRB</w:t>
            </w:r>
          </w:p>
          <w:p w14:paraId="4990F1CE" w14:textId="49B6B8B3" w:rsidR="00915077" w:rsidRPr="00E26EF6" w:rsidRDefault="0014657C">
            <w:pPr>
              <w:pStyle w:val="InstructionsText"/>
            </w:pPr>
            <w:r w:rsidRPr="00E26EF6">
              <w:t>Art. 36 ust.</w:t>
            </w:r>
            <w:r w:rsidR="00023409" w:rsidRPr="00E26EF6">
              <w:t> </w:t>
            </w:r>
            <w:r w:rsidRPr="00E26EF6">
              <w:t>1 lit.</w:t>
            </w:r>
            <w:r w:rsidR="00023409" w:rsidRPr="00E26EF6">
              <w:t> </w:t>
            </w:r>
            <w:r w:rsidRPr="00E26EF6">
              <w:t>d), art.</w:t>
            </w:r>
            <w:r w:rsidR="00023409" w:rsidRPr="00E26EF6">
              <w:t> </w:t>
            </w:r>
            <w:r w:rsidRPr="00E26EF6">
              <w:t>62 lit.</w:t>
            </w:r>
            <w:r w:rsidR="00023409" w:rsidRPr="00E26EF6">
              <w:t> </w:t>
            </w:r>
            <w:r w:rsidRPr="00E26EF6">
              <w:t>d), art.</w:t>
            </w:r>
            <w:r w:rsidR="00023409" w:rsidRPr="00E26EF6">
              <w:t> </w:t>
            </w:r>
            <w:r w:rsidRPr="00E26EF6">
              <w:t>158</w:t>
            </w:r>
            <w:r w:rsidR="00E26EF6" w:rsidRPr="00E26EF6">
              <w:t xml:space="preserve"> i art</w:t>
            </w:r>
            <w:r w:rsidRPr="00E26EF6">
              <w:t>.</w:t>
            </w:r>
            <w:r w:rsidR="00023409" w:rsidRPr="00E26EF6">
              <w:t> </w:t>
            </w:r>
            <w:r w:rsidRPr="00E26EF6">
              <w:t>159 CRR</w:t>
            </w:r>
          </w:p>
          <w:p w14:paraId="58993CC2" w14:textId="77777777" w:rsidR="00915077" w:rsidRPr="00E26EF6" w:rsidRDefault="00630711">
            <w:pPr>
              <w:pStyle w:val="InstructionsText"/>
              <w:rPr>
                <w:rStyle w:val="InstructionsTabelleberschrift"/>
                <w:rFonts w:ascii="Times New Roman" w:hAnsi="Times New Roman"/>
                <w:b w:val="0"/>
                <w:bCs w:val="0"/>
                <w:sz w:val="24"/>
                <w:highlight w:val="lightGray"/>
                <w:u w:val="none"/>
              </w:rPr>
            </w:pPr>
            <w:r w:rsidRPr="00E26EF6">
              <w:t>Pozycję tę zgłaszają wyłącznie instytucje stosujące metodę IRB.</w:t>
            </w:r>
          </w:p>
        </w:tc>
      </w:tr>
      <w:tr w:rsidR="00915077" w:rsidRPr="00E26EF6" w14:paraId="1239E5C0" w14:textId="77777777" w:rsidTr="00672D2A">
        <w:tc>
          <w:tcPr>
            <w:tcW w:w="1506" w:type="dxa"/>
          </w:tcPr>
          <w:p w14:paraId="28F4C1B8" w14:textId="77777777" w:rsidR="00915077" w:rsidRPr="00E26EF6" w:rsidRDefault="00F11185">
            <w:pPr>
              <w:pStyle w:val="InstructionsText"/>
            </w:pPr>
            <w:r w:rsidRPr="00E26EF6">
              <w:t>150</w:t>
            </w:r>
          </w:p>
          <w:p w14:paraId="50B877D9" w14:textId="77777777" w:rsidR="00915077" w:rsidRPr="00E26EF6" w:rsidRDefault="00915077">
            <w:pPr>
              <w:pStyle w:val="InstructionsText"/>
              <w:rPr>
                <w:highlight w:val="lightGray"/>
              </w:rPr>
            </w:pPr>
          </w:p>
        </w:tc>
        <w:tc>
          <w:tcPr>
            <w:tcW w:w="7243" w:type="dxa"/>
          </w:tcPr>
          <w:p w14:paraId="4FDAAF06" w14:textId="350F2BA3" w:rsidR="00915077" w:rsidRPr="00E26EF6" w:rsidRDefault="00630711">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4.1</w:t>
            </w:r>
            <w:r w:rsidRPr="00E26EF6">
              <w:rPr>
                <w:rStyle w:val="InstructionsTabelleberschrift"/>
                <w:rFonts w:ascii="Times New Roman" w:hAnsi="Times New Roman"/>
                <w:sz w:val="24"/>
              </w:rPr>
              <w:tab/>
              <w:t>Korekty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szczególnego ryzyka kredytowego oraz pozycje ujmowane</w:t>
            </w:r>
            <w:r w:rsidR="00E26EF6" w:rsidRPr="00E26EF6">
              <w:rPr>
                <w:rStyle w:val="InstructionsTabelleberschrift"/>
                <w:rFonts w:ascii="Times New Roman" w:hAnsi="Times New Roman"/>
                <w:sz w:val="24"/>
              </w:rPr>
              <w:t xml:space="preserve"> w pod</w:t>
            </w:r>
            <w:r w:rsidRPr="00E26EF6">
              <w:rPr>
                <w:rStyle w:val="InstructionsTabelleberschrift"/>
                <w:rFonts w:ascii="Times New Roman" w:hAnsi="Times New Roman"/>
                <w:sz w:val="24"/>
              </w:rPr>
              <w:t>obny sposób</w:t>
            </w:r>
          </w:p>
          <w:p w14:paraId="1379684D" w14:textId="3E584008" w:rsidR="00915077" w:rsidRPr="00E26EF6" w:rsidRDefault="00630711">
            <w:pPr>
              <w:pStyle w:val="InstructionsText"/>
            </w:pPr>
            <w:r w:rsidRPr="00E26EF6">
              <w:t>Art. 159 CRR</w:t>
            </w:r>
          </w:p>
          <w:p w14:paraId="33A313C3" w14:textId="77777777" w:rsidR="00915077" w:rsidRPr="00E26EF6" w:rsidRDefault="00630711">
            <w:pPr>
              <w:pStyle w:val="InstructionsText"/>
              <w:rPr>
                <w:rStyle w:val="InstructionsTabelleberschrift"/>
                <w:rFonts w:ascii="Times New Roman" w:hAnsi="Times New Roman"/>
                <w:b w:val="0"/>
                <w:bCs w:val="0"/>
                <w:sz w:val="24"/>
                <w:highlight w:val="lightGray"/>
                <w:u w:val="none"/>
              </w:rPr>
            </w:pPr>
            <w:r w:rsidRPr="00E26EF6">
              <w:t>Pozycję tę zgłaszają wyłącznie instytucje stosujące metodę IRB.</w:t>
            </w:r>
          </w:p>
        </w:tc>
      </w:tr>
      <w:tr w:rsidR="00915077" w:rsidRPr="00E26EF6" w14:paraId="0A302C9F" w14:textId="77777777" w:rsidTr="00672D2A">
        <w:tc>
          <w:tcPr>
            <w:tcW w:w="1506" w:type="dxa"/>
          </w:tcPr>
          <w:p w14:paraId="522FBC48" w14:textId="77777777" w:rsidR="00915077" w:rsidRPr="00E26EF6" w:rsidRDefault="00F11185">
            <w:pPr>
              <w:pStyle w:val="InstructionsText"/>
            </w:pPr>
            <w:r w:rsidRPr="00E26EF6">
              <w:t>155</w:t>
            </w:r>
          </w:p>
          <w:p w14:paraId="0C570594" w14:textId="77777777" w:rsidR="00915077" w:rsidRPr="00E26EF6" w:rsidRDefault="00915077">
            <w:pPr>
              <w:pStyle w:val="InstructionsText"/>
              <w:rPr>
                <w:highlight w:val="lightGray"/>
              </w:rPr>
            </w:pPr>
          </w:p>
        </w:tc>
        <w:tc>
          <w:tcPr>
            <w:tcW w:w="7243" w:type="dxa"/>
          </w:tcPr>
          <w:p w14:paraId="017DB611" w14:textId="77777777" w:rsidR="00915077" w:rsidRPr="00E26EF6" w:rsidRDefault="00630711">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4.2</w:t>
            </w:r>
            <w:r w:rsidRPr="00E26EF6">
              <w:rPr>
                <w:rStyle w:val="InstructionsTabelleberschrift"/>
                <w:rFonts w:ascii="Times New Roman" w:hAnsi="Times New Roman"/>
                <w:sz w:val="24"/>
              </w:rPr>
              <w:tab/>
              <w:t>Oczekiwane uznane straty razem</w:t>
            </w:r>
          </w:p>
          <w:p w14:paraId="4EBE5F99" w14:textId="75184CF2" w:rsidR="00915077" w:rsidRPr="00E26EF6" w:rsidRDefault="00167619">
            <w:pPr>
              <w:pStyle w:val="InstructionsText"/>
              <w:rPr>
                <w:rStyle w:val="InstructionsTabelleberschrift"/>
                <w:rFonts w:ascii="Times New Roman" w:hAnsi="Times New Roman"/>
                <w:sz w:val="24"/>
              </w:rPr>
            </w:pPr>
            <w:r w:rsidRPr="00E26EF6">
              <w:t>Art. 158 ust.</w:t>
            </w:r>
            <w:r w:rsidR="00023409" w:rsidRPr="00E26EF6">
              <w:t> </w:t>
            </w:r>
            <w:r w:rsidRPr="00E26EF6">
              <w:t>5, 6</w:t>
            </w:r>
            <w:r w:rsidR="00E26EF6" w:rsidRPr="00E26EF6">
              <w:t xml:space="preserve"> i 1</w:t>
            </w:r>
            <w:r w:rsidRPr="00E26EF6">
              <w:t>0 oraz art.</w:t>
            </w:r>
            <w:r w:rsidR="00023409" w:rsidRPr="00E26EF6">
              <w:t> </w:t>
            </w:r>
            <w:r w:rsidRPr="00E26EF6">
              <w:t>159 CRR</w:t>
            </w:r>
          </w:p>
          <w:p w14:paraId="78665DFA" w14:textId="5E91D6C1" w:rsidR="00915077" w:rsidRPr="00E26EF6" w:rsidRDefault="00F11185">
            <w:pPr>
              <w:pStyle w:val="InstructionsText"/>
              <w:rPr>
                <w:rStyle w:val="InstructionsTabelleberschrift"/>
                <w:rFonts w:ascii="Times New Roman" w:hAnsi="Times New Roman"/>
                <w:b w:val="0"/>
                <w:bCs w:val="0"/>
                <w:sz w:val="24"/>
                <w:highlight w:val="lightGray"/>
                <w:u w:val="none"/>
              </w:rPr>
            </w:pPr>
            <w:r w:rsidRPr="00E26EF6">
              <w:t>Pozycję tę zgłaszają wyłącznie instytucje stosujące metodę IRB. Zgłasza się wyłącznie oczekiwaną stratę związaną</w:t>
            </w:r>
            <w:r w:rsidR="00E26EF6" w:rsidRPr="00E26EF6">
              <w:t xml:space="preserve"> z eks</w:t>
            </w:r>
            <w:r w:rsidRPr="00E26EF6">
              <w:t>pozycjami, których dotyczy niewykonanie zobowiązania.</w:t>
            </w:r>
          </w:p>
        </w:tc>
      </w:tr>
      <w:tr w:rsidR="00915077" w:rsidRPr="00E26EF6" w14:paraId="6A4C20F9" w14:textId="77777777" w:rsidTr="00672D2A">
        <w:tc>
          <w:tcPr>
            <w:tcW w:w="1506" w:type="dxa"/>
          </w:tcPr>
          <w:p w14:paraId="752C7958" w14:textId="77777777" w:rsidR="00915077" w:rsidRPr="00E26EF6" w:rsidRDefault="002648B0">
            <w:pPr>
              <w:pStyle w:val="InstructionsText"/>
              <w:rPr>
                <w:highlight w:val="lightGray"/>
              </w:rPr>
            </w:pPr>
            <w:r w:rsidRPr="00E26EF6">
              <w:t>160</w:t>
            </w:r>
          </w:p>
        </w:tc>
        <w:tc>
          <w:tcPr>
            <w:tcW w:w="7243" w:type="dxa"/>
          </w:tcPr>
          <w:p w14:paraId="46381DE7" w14:textId="77777777" w:rsidR="00915077" w:rsidRPr="00E26EF6" w:rsidRDefault="002648B0">
            <w:pPr>
              <w:pStyle w:val="InstructionsText"/>
            </w:pPr>
            <w:r w:rsidRPr="00E26EF6">
              <w:rPr>
                <w:rStyle w:val="InstructionsTabelleberschrift"/>
                <w:rFonts w:ascii="Times New Roman" w:hAnsi="Times New Roman"/>
                <w:sz w:val="24"/>
              </w:rPr>
              <w:t>5</w:t>
            </w:r>
            <w:r w:rsidRPr="00E26EF6">
              <w:rPr>
                <w:rStyle w:val="InstructionsTabelleberschrift"/>
                <w:rFonts w:ascii="Times New Roman" w:hAnsi="Times New Roman"/>
                <w:sz w:val="24"/>
              </w:rPr>
              <w:tab/>
              <w:t>Kwoty ekspozycji ważonych ryzykiem na potrzeby obliczenia pułapu nadwyżki rezerwy kwalifikującej się jako kapitał Tier II</w:t>
            </w:r>
          </w:p>
          <w:p w14:paraId="71E00759" w14:textId="0BDBC18E" w:rsidR="00915077" w:rsidRPr="00E26EF6" w:rsidRDefault="0014657C">
            <w:pPr>
              <w:pStyle w:val="InstructionsText"/>
            </w:pPr>
            <w:r w:rsidRPr="00E26EF6">
              <w:t>Art. 62 lit.</w:t>
            </w:r>
            <w:r w:rsidR="00023409" w:rsidRPr="00E26EF6">
              <w:t> </w:t>
            </w:r>
            <w:r w:rsidRPr="00E26EF6">
              <w:t>d) CRR</w:t>
            </w:r>
          </w:p>
          <w:p w14:paraId="3A86D8C5" w14:textId="5936FD90" w:rsidR="00915077" w:rsidRPr="00E26EF6" w:rsidRDefault="002648B0">
            <w:pPr>
              <w:pStyle w:val="InstructionsText"/>
            </w:pPr>
            <w:r w:rsidRPr="00E26EF6">
              <w:t>W przypadku instytucji stosujących metodę IRB górny pułap nadwyżki rezerwy (w stosunku do oczekiwanych strat) kwalifikującej się do włączenia do kapitału Tier II wynosi 0,6</w:t>
            </w:r>
            <w:r w:rsidR="00023409" w:rsidRPr="00E26EF6">
              <w:t> </w:t>
            </w:r>
            <w:r w:rsidRPr="00E26EF6">
              <w:t>% kwot ekspozycji ważonych ryzykiem obliczonych zgodnie</w:t>
            </w:r>
            <w:r w:rsidR="00E26EF6" w:rsidRPr="00E26EF6">
              <w:t xml:space="preserve"> z met</w:t>
            </w:r>
            <w:r w:rsidRPr="00E26EF6">
              <w:t xml:space="preserve">odą IRB, </w:t>
            </w:r>
            <w:r w:rsidRPr="00E26EF6">
              <w:rPr>
                <w:rStyle w:val="FormatvorlageInstructionsTabelleText"/>
                <w:rFonts w:ascii="Times New Roman" w:hAnsi="Times New Roman"/>
                <w:sz w:val="24"/>
              </w:rPr>
              <w:t>zgodnie</w:t>
            </w:r>
            <w:r w:rsidR="00E26EF6" w:rsidRPr="00E26EF6">
              <w:rPr>
                <w:rStyle w:val="FormatvorlageInstructionsTabelleText"/>
                <w:rFonts w:ascii="Times New Roman" w:hAnsi="Times New Roman"/>
                <w:sz w:val="24"/>
              </w:rPr>
              <w:t xml:space="preserve"> z </w:t>
            </w:r>
            <w:r w:rsidR="00E26EF6" w:rsidRPr="00E26EF6">
              <w:t>art</w:t>
            </w:r>
            <w:r w:rsidRPr="00E26EF6">
              <w:t>.</w:t>
            </w:r>
            <w:r w:rsidR="00023409" w:rsidRPr="00E26EF6">
              <w:t> </w:t>
            </w:r>
            <w:r w:rsidRPr="00E26EF6">
              <w:t>62 lit.</w:t>
            </w:r>
            <w:r w:rsidR="00023409" w:rsidRPr="00E26EF6">
              <w:t> </w:t>
            </w:r>
            <w:r w:rsidRPr="00E26EF6">
              <w:t>d) CRR.</w:t>
            </w:r>
          </w:p>
          <w:p w14:paraId="6236C5B8" w14:textId="1BCA019F" w:rsidR="00915077" w:rsidRPr="00E26EF6" w:rsidRDefault="002648B0">
            <w:pPr>
              <w:pStyle w:val="InstructionsText"/>
              <w:rPr>
                <w:highlight w:val="lightGray"/>
              </w:rPr>
            </w:pPr>
            <w:r w:rsidRPr="00E26EF6">
              <w:t>Kwota, którą należy zgłosić</w:t>
            </w:r>
            <w:r w:rsidR="00E26EF6" w:rsidRPr="00E26EF6">
              <w:t xml:space="preserve"> w tej</w:t>
            </w:r>
            <w:r w:rsidRPr="00E26EF6">
              <w:t xml:space="preserve"> pozycji, jest kwotą ekspozycji ważonych ryzykiem (tj. nie jest mnożona przez 0,6</w:t>
            </w:r>
            <w:r w:rsidR="00023409" w:rsidRPr="00E26EF6">
              <w:t> </w:t>
            </w:r>
            <w:r w:rsidRPr="00E26EF6">
              <w:t>%), która stanowi podstawę dla obliczenia pułapu.</w:t>
            </w:r>
          </w:p>
        </w:tc>
      </w:tr>
      <w:tr w:rsidR="00915077" w:rsidRPr="00E26EF6" w14:paraId="6CBBF0F9" w14:textId="77777777" w:rsidTr="00672D2A">
        <w:tc>
          <w:tcPr>
            <w:tcW w:w="1506" w:type="dxa"/>
          </w:tcPr>
          <w:p w14:paraId="0599D756" w14:textId="77777777" w:rsidR="00915077" w:rsidRPr="00E26EF6" w:rsidRDefault="002648B0">
            <w:pPr>
              <w:pStyle w:val="InstructionsText"/>
              <w:rPr>
                <w:highlight w:val="lightGray"/>
              </w:rPr>
            </w:pPr>
            <w:r w:rsidRPr="00E26EF6">
              <w:t>170</w:t>
            </w:r>
          </w:p>
        </w:tc>
        <w:tc>
          <w:tcPr>
            <w:tcW w:w="7243" w:type="dxa"/>
          </w:tcPr>
          <w:p w14:paraId="79E6C0C6" w14:textId="77777777" w:rsidR="00915077" w:rsidRPr="00E26EF6" w:rsidRDefault="002648B0">
            <w:pPr>
              <w:pStyle w:val="InstructionsText"/>
            </w:pPr>
            <w:r w:rsidRPr="00E26EF6">
              <w:rPr>
                <w:rStyle w:val="InstructionsTabelleberschrift"/>
                <w:rFonts w:ascii="Times New Roman" w:hAnsi="Times New Roman"/>
                <w:sz w:val="24"/>
              </w:rPr>
              <w:t>6</w:t>
            </w:r>
            <w:r w:rsidRPr="00E26EF6">
              <w:rPr>
                <w:rStyle w:val="InstructionsTabelleberschrift"/>
                <w:rFonts w:ascii="Times New Roman" w:hAnsi="Times New Roman"/>
                <w:sz w:val="24"/>
              </w:rPr>
              <w:tab/>
              <w:t>Rezerwy brutto kwalifikujące się do włączenia do kapitału Tier II razem</w:t>
            </w:r>
          </w:p>
          <w:p w14:paraId="247E7786" w14:textId="01B951D4" w:rsidR="00915077" w:rsidRPr="00E26EF6" w:rsidRDefault="0014657C">
            <w:pPr>
              <w:pStyle w:val="InstructionsText"/>
            </w:pPr>
            <w:r w:rsidRPr="00E26EF6">
              <w:t>Art. 62 lit.</w:t>
            </w:r>
            <w:r w:rsidR="00023409" w:rsidRPr="00E26EF6">
              <w:t> </w:t>
            </w:r>
            <w:r w:rsidRPr="00E26EF6">
              <w:t>c) CRR</w:t>
            </w:r>
          </w:p>
          <w:p w14:paraId="22BC1271" w14:textId="13A9E786" w:rsidR="00915077" w:rsidRPr="00E26EF6" w:rsidRDefault="002648B0">
            <w:pPr>
              <w:pStyle w:val="InstructionsText"/>
            </w:pPr>
            <w:r w:rsidRPr="00E26EF6">
              <w:lastRenderedPageBreak/>
              <w:t>Pozycja ta obejmuje korekty</w:t>
            </w:r>
            <w:r w:rsidR="00E26EF6" w:rsidRPr="00E26EF6">
              <w:t xml:space="preserve"> z tyt</w:t>
            </w:r>
            <w:r w:rsidRPr="00E26EF6">
              <w:t>ułu ogólnego ryzyka kredytowego, które kwalifikują się do włączenia do kapitału Tier II, przed uwzględnieniem pułapu.</w:t>
            </w:r>
          </w:p>
          <w:p w14:paraId="241C4CD3" w14:textId="77777777" w:rsidR="00915077" w:rsidRPr="00E26EF6" w:rsidRDefault="002648B0">
            <w:pPr>
              <w:pStyle w:val="InstructionsText"/>
              <w:rPr>
                <w:highlight w:val="lightGray"/>
              </w:rPr>
            </w:pPr>
            <w:r w:rsidRPr="00E26EF6">
              <w:t>Kwota, którą należy zgłosić, jest kwotą przed skutkami podatkowymi.</w:t>
            </w:r>
          </w:p>
        </w:tc>
      </w:tr>
      <w:tr w:rsidR="00915077" w:rsidRPr="00E26EF6" w14:paraId="631A1D97" w14:textId="77777777" w:rsidTr="00672D2A">
        <w:tc>
          <w:tcPr>
            <w:tcW w:w="1506" w:type="dxa"/>
          </w:tcPr>
          <w:p w14:paraId="011874C0" w14:textId="77777777" w:rsidR="00915077" w:rsidRPr="00E26EF6" w:rsidRDefault="002648B0">
            <w:pPr>
              <w:pStyle w:val="InstructionsText"/>
              <w:rPr>
                <w:highlight w:val="lightGray"/>
              </w:rPr>
            </w:pPr>
            <w:r w:rsidRPr="00E26EF6">
              <w:lastRenderedPageBreak/>
              <w:t>180</w:t>
            </w:r>
          </w:p>
        </w:tc>
        <w:tc>
          <w:tcPr>
            <w:tcW w:w="7243" w:type="dxa"/>
          </w:tcPr>
          <w:p w14:paraId="224399A2" w14:textId="77777777" w:rsidR="00915077" w:rsidRPr="00E26EF6" w:rsidRDefault="002648B0">
            <w:pPr>
              <w:pStyle w:val="InstructionsText"/>
            </w:pPr>
            <w:r w:rsidRPr="00E26EF6">
              <w:rPr>
                <w:rStyle w:val="InstructionsTabelleberschrift"/>
                <w:rFonts w:ascii="Times New Roman" w:hAnsi="Times New Roman"/>
                <w:sz w:val="24"/>
              </w:rPr>
              <w:t>7</w:t>
            </w:r>
            <w:r w:rsidRPr="00E26EF6">
              <w:rPr>
                <w:rStyle w:val="InstructionsTabelleberschrift"/>
                <w:rFonts w:ascii="Times New Roman" w:hAnsi="Times New Roman"/>
                <w:sz w:val="24"/>
              </w:rPr>
              <w:tab/>
              <w:t>Kwoty ekspozycji ważonych ryzykiem na potrzeby obliczenia pułapu rezerwy kwalifikującej się jako kapitał Tier II</w:t>
            </w:r>
          </w:p>
          <w:p w14:paraId="166991F4" w14:textId="2B90850A" w:rsidR="00915077" w:rsidRPr="00E26EF6" w:rsidRDefault="0014657C">
            <w:pPr>
              <w:pStyle w:val="InstructionsText"/>
            </w:pPr>
            <w:r w:rsidRPr="00E26EF6">
              <w:t>Art. 62 lit.</w:t>
            </w:r>
            <w:r w:rsidR="00023409" w:rsidRPr="00E26EF6">
              <w:t> </w:t>
            </w:r>
            <w:r w:rsidRPr="00E26EF6">
              <w:t>c) CRR</w:t>
            </w:r>
          </w:p>
          <w:p w14:paraId="6B110229" w14:textId="7C25927C" w:rsidR="00915077" w:rsidRPr="00E26EF6" w:rsidRDefault="002648B0">
            <w:pPr>
              <w:pStyle w:val="InstructionsText"/>
            </w:pPr>
            <w:r w:rsidRPr="00E26EF6">
              <w:t>Zgodnie</w:t>
            </w:r>
            <w:r w:rsidR="00E26EF6" w:rsidRPr="00E26EF6">
              <w:t xml:space="preserve"> z art</w:t>
            </w:r>
            <w:r w:rsidRPr="00E26EF6">
              <w:t>.</w:t>
            </w:r>
            <w:r w:rsidR="00023409" w:rsidRPr="00E26EF6">
              <w:t> </w:t>
            </w:r>
            <w:r w:rsidRPr="00E26EF6">
              <w:t>62 lit.</w:t>
            </w:r>
            <w:r w:rsidR="00023409" w:rsidRPr="00E26EF6">
              <w:t> </w:t>
            </w:r>
            <w:r w:rsidRPr="00E26EF6">
              <w:t>c) CRR korekty</w:t>
            </w:r>
            <w:r w:rsidR="00E26EF6" w:rsidRPr="00E26EF6">
              <w:t xml:space="preserve"> z tyt</w:t>
            </w:r>
            <w:r w:rsidRPr="00E26EF6">
              <w:t>ułu ryzyka kredytowego kwalifikujące się do włączenia do kapitału Tier II mogą wynosić maksymalnie 1,25</w:t>
            </w:r>
            <w:r w:rsidR="00023409" w:rsidRPr="00E26EF6">
              <w:t> </w:t>
            </w:r>
            <w:r w:rsidRPr="00E26EF6">
              <w:t>% kwot ekspozycji ważonych ryzykiem.</w:t>
            </w:r>
          </w:p>
          <w:p w14:paraId="068CD027" w14:textId="1D523B18" w:rsidR="00915077" w:rsidRPr="00E26EF6" w:rsidRDefault="002648B0">
            <w:pPr>
              <w:pStyle w:val="InstructionsText"/>
              <w:rPr>
                <w:highlight w:val="lightGray"/>
              </w:rPr>
            </w:pPr>
            <w:r w:rsidRPr="00E26EF6">
              <w:t>Kwota, którą należy zgłosić</w:t>
            </w:r>
            <w:r w:rsidR="00E26EF6" w:rsidRPr="00E26EF6">
              <w:t xml:space="preserve"> w tej</w:t>
            </w:r>
            <w:r w:rsidRPr="00E26EF6">
              <w:t xml:space="preserve"> pozycji, jest kwotą ekspozycji ważonych ryzykiem (tj. nie jest mnożona przez 1,25</w:t>
            </w:r>
            <w:r w:rsidR="00023409" w:rsidRPr="00E26EF6">
              <w:t> </w:t>
            </w:r>
            <w:r w:rsidRPr="00E26EF6">
              <w:t>%), która stanowi podstawę dla obliczenia pułapu.</w:t>
            </w:r>
          </w:p>
        </w:tc>
      </w:tr>
      <w:tr w:rsidR="00915077" w:rsidRPr="00E26EF6" w14:paraId="40A6CE16" w14:textId="77777777" w:rsidTr="00672D2A">
        <w:tc>
          <w:tcPr>
            <w:tcW w:w="1506" w:type="dxa"/>
          </w:tcPr>
          <w:p w14:paraId="7BEE173F" w14:textId="77777777" w:rsidR="00915077" w:rsidRPr="00E26EF6" w:rsidRDefault="002648B0">
            <w:pPr>
              <w:pStyle w:val="InstructionsText"/>
              <w:rPr>
                <w:highlight w:val="lightGray"/>
              </w:rPr>
            </w:pPr>
            <w:r w:rsidRPr="00E26EF6">
              <w:t>190</w:t>
            </w:r>
          </w:p>
        </w:tc>
        <w:tc>
          <w:tcPr>
            <w:tcW w:w="7243" w:type="dxa"/>
          </w:tcPr>
          <w:p w14:paraId="77FED394" w14:textId="2528ABD3" w:rsidR="00915077" w:rsidRPr="00E26EF6" w:rsidRDefault="002648B0">
            <w:pPr>
              <w:pStyle w:val="InstructionsText"/>
            </w:pPr>
            <w:r w:rsidRPr="00E26EF6">
              <w:rPr>
                <w:rStyle w:val="InstructionsTabelleberschrift"/>
                <w:rFonts w:ascii="Times New Roman" w:hAnsi="Times New Roman"/>
                <w:sz w:val="24"/>
              </w:rPr>
              <w:t>8</w:t>
            </w:r>
            <w:r w:rsidRPr="00E26EF6">
              <w:rPr>
                <w:rStyle w:val="InstructionsTabelleberschrift"/>
                <w:rFonts w:ascii="Times New Roman" w:hAnsi="Times New Roman"/>
                <w:sz w:val="24"/>
              </w:rPr>
              <w:tab/>
              <w:t>Próg niepodlegających odliczeniu udziałów kapitałowych</w:t>
            </w:r>
            <w:r w:rsidR="00E26EF6" w:rsidRPr="00E26EF6">
              <w:rPr>
                <w:rStyle w:val="InstructionsTabelleberschrift"/>
                <w:rFonts w:ascii="Times New Roman" w:hAnsi="Times New Roman"/>
                <w:sz w:val="24"/>
              </w:rPr>
              <w:t xml:space="preserve"> w pod</w:t>
            </w:r>
            <w:r w:rsidRPr="00E26EF6">
              <w:rPr>
                <w:rStyle w:val="InstructionsTabelleberschrift"/>
                <w:rFonts w:ascii="Times New Roman" w:hAnsi="Times New Roman"/>
                <w:sz w:val="24"/>
              </w:rPr>
              <w:t>miotach sektora finansowego, jeżeli instytucja nie dokonała znacznej inwestycji w te podmioty</w:t>
            </w:r>
          </w:p>
          <w:p w14:paraId="0607D32C" w14:textId="5D3A8B51" w:rsidR="00915077" w:rsidRPr="00E26EF6" w:rsidRDefault="0014657C">
            <w:pPr>
              <w:pStyle w:val="InstructionsText"/>
            </w:pPr>
            <w:r w:rsidRPr="00E26EF6">
              <w:t>Art. 46 ust.</w:t>
            </w:r>
            <w:r w:rsidR="00023409" w:rsidRPr="00E26EF6">
              <w:t> </w:t>
            </w:r>
            <w:r w:rsidRPr="00E26EF6">
              <w:t>1 lit.</w:t>
            </w:r>
            <w:r w:rsidR="00023409" w:rsidRPr="00E26EF6">
              <w:t> </w:t>
            </w:r>
            <w:r w:rsidRPr="00E26EF6">
              <w:t>a) CRR</w:t>
            </w:r>
          </w:p>
          <w:p w14:paraId="753D02F1" w14:textId="373CD97C" w:rsidR="00915077" w:rsidRPr="00E26EF6" w:rsidRDefault="002648B0">
            <w:pPr>
              <w:pStyle w:val="InstructionsText"/>
              <w:rPr>
                <w:highlight w:val="lightGray"/>
              </w:rPr>
            </w:pPr>
            <w:r w:rsidRPr="00E26EF6">
              <w:t>Pozycja ta zawiera próg, do którego nie odlicza się udziałów kapitałowych</w:t>
            </w:r>
            <w:r w:rsidR="00E26EF6" w:rsidRPr="00E26EF6">
              <w:t xml:space="preserve"> w pod</w:t>
            </w:r>
            <w:r w:rsidRPr="00E26EF6">
              <w:t>miotach sektora finansowego, jeżeli instytucja nie dokonała znacznej inwestycji w te podmioty. Kwotę otrzymuje się przez zsumowanie wszystkich pozycji, które stanowią podstawę progu,</w:t>
            </w:r>
            <w:r w:rsidR="00E26EF6" w:rsidRPr="00E26EF6">
              <w:t xml:space="preserve"> i pom</w:t>
            </w:r>
            <w:r w:rsidRPr="00E26EF6">
              <w:t>nożenie uzyskanej</w:t>
            </w:r>
            <w:r w:rsidR="00E26EF6" w:rsidRPr="00E26EF6">
              <w:t xml:space="preserve"> w ten</w:t>
            </w:r>
            <w:r w:rsidRPr="00E26EF6">
              <w:t xml:space="preserve"> sposób sumy przez 10</w:t>
            </w:r>
            <w:r w:rsidR="00023409" w:rsidRPr="00E26EF6">
              <w:t> </w:t>
            </w:r>
            <w:r w:rsidRPr="00E26EF6">
              <w:t>%.</w:t>
            </w:r>
          </w:p>
        </w:tc>
      </w:tr>
      <w:tr w:rsidR="00915077" w:rsidRPr="00E26EF6" w14:paraId="684E05DF" w14:textId="77777777" w:rsidTr="00672D2A">
        <w:tc>
          <w:tcPr>
            <w:tcW w:w="1506" w:type="dxa"/>
          </w:tcPr>
          <w:p w14:paraId="5A3D099E" w14:textId="77777777" w:rsidR="00915077" w:rsidRPr="00E26EF6" w:rsidRDefault="002648B0">
            <w:pPr>
              <w:pStyle w:val="InstructionsText"/>
              <w:rPr>
                <w:highlight w:val="lightGray"/>
              </w:rPr>
            </w:pPr>
            <w:r w:rsidRPr="00E26EF6">
              <w:t>200</w:t>
            </w:r>
          </w:p>
        </w:tc>
        <w:tc>
          <w:tcPr>
            <w:tcW w:w="7243" w:type="dxa"/>
          </w:tcPr>
          <w:p w14:paraId="72A6D441" w14:textId="5330F07C" w:rsidR="00915077" w:rsidRPr="00E26EF6" w:rsidRDefault="002648B0">
            <w:pPr>
              <w:pStyle w:val="InstructionsText"/>
            </w:pPr>
            <w:r w:rsidRPr="00E26EF6">
              <w:rPr>
                <w:rStyle w:val="InstructionsTabelleberschrift"/>
                <w:rFonts w:ascii="Times New Roman" w:hAnsi="Times New Roman"/>
                <w:sz w:val="24"/>
              </w:rPr>
              <w:t>9</w:t>
            </w:r>
            <w:r w:rsidRPr="00E26EF6">
              <w:rPr>
                <w:rStyle w:val="InstructionsTabelleberschrift"/>
                <w:rFonts w:ascii="Times New Roman" w:hAnsi="Times New Roman"/>
                <w:sz w:val="24"/>
              </w:rPr>
              <w:tab/>
              <w:t>Próg na poziomie 10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 instrumentów</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 xml:space="preserve">itale podstawowym Tier I </w:t>
            </w:r>
          </w:p>
          <w:p w14:paraId="0529A400" w14:textId="3CF55E10" w:rsidR="00915077" w:rsidRPr="00E26EF6" w:rsidRDefault="0014657C">
            <w:pPr>
              <w:pStyle w:val="InstructionsText"/>
            </w:pPr>
            <w:r w:rsidRPr="00E26EF6">
              <w:t>Art. 48 ust.</w:t>
            </w:r>
            <w:r w:rsidR="00023409" w:rsidRPr="00E26EF6">
              <w:t> </w:t>
            </w:r>
            <w:r w:rsidRPr="00E26EF6">
              <w:t>1 lit.</w:t>
            </w:r>
            <w:r w:rsidR="00023409" w:rsidRPr="00E26EF6">
              <w:t> </w:t>
            </w:r>
            <w:r w:rsidRPr="00E26EF6">
              <w:t>a) i b) CRR</w:t>
            </w:r>
          </w:p>
          <w:p w14:paraId="29853425" w14:textId="7D941A3F" w:rsidR="00915077" w:rsidRPr="00E26EF6" w:rsidRDefault="002648B0">
            <w:pPr>
              <w:pStyle w:val="InstructionsText"/>
            </w:pPr>
            <w:r w:rsidRPr="00E26EF6">
              <w:t>Pozycja ta zawiera wynoszący 10</w:t>
            </w:r>
            <w:r w:rsidR="00023409" w:rsidRPr="00E26EF6">
              <w:t> </w:t>
            </w:r>
            <w:r w:rsidRPr="00E26EF6">
              <w:t>% próg dla udziałów kapitałowych</w:t>
            </w:r>
            <w:r w:rsidR="00E26EF6" w:rsidRPr="00E26EF6">
              <w:t xml:space="preserve"> w pod</w:t>
            </w:r>
            <w:r w:rsidRPr="00E26EF6">
              <w:t>miotach sektora finansowego, jeżeli instytucja dokonała znacznej inwestycji,</w:t>
            </w:r>
            <w:r w:rsidR="00E26EF6" w:rsidRPr="00E26EF6">
              <w:t xml:space="preserve"> i dla</w:t>
            </w:r>
            <w:r w:rsidRPr="00E26EF6">
              <w:t xml:space="preserve"> aktywów</w:t>
            </w:r>
            <w:r w:rsidR="00E26EF6" w:rsidRPr="00E26EF6">
              <w:t xml:space="preserve"> z tyt</w:t>
            </w:r>
            <w:r w:rsidRPr="00E26EF6">
              <w:t>ułu odroczonego podatku dochodowego opartych na przyszłej rentowności</w:t>
            </w:r>
            <w:r w:rsidR="00E26EF6" w:rsidRPr="00E26EF6">
              <w:t xml:space="preserve"> i wyn</w:t>
            </w:r>
            <w:r w:rsidRPr="00E26EF6">
              <w:t>ikających</w:t>
            </w:r>
            <w:r w:rsidR="00E26EF6" w:rsidRPr="00E26EF6">
              <w:t xml:space="preserve"> z róż</w:t>
            </w:r>
            <w:r w:rsidRPr="00E26EF6">
              <w:t>nic przejściowych.</w:t>
            </w:r>
          </w:p>
          <w:p w14:paraId="762E465B" w14:textId="44B4635C" w:rsidR="00915077" w:rsidRPr="00E26EF6" w:rsidRDefault="003C7853">
            <w:pPr>
              <w:pStyle w:val="InstructionsText"/>
              <w:rPr>
                <w:highlight w:val="lightGray"/>
              </w:rPr>
            </w:pPr>
            <w:r w:rsidRPr="00E26EF6">
              <w:t>Kwotę otrzymuje się przez zsumowanie wszystkich pozycji, które stanowią podstawę progu,</w:t>
            </w:r>
            <w:r w:rsidR="00E26EF6" w:rsidRPr="00E26EF6">
              <w:t xml:space="preserve"> i pom</w:t>
            </w:r>
            <w:r w:rsidRPr="00E26EF6">
              <w:t>nożenie uzyskanej</w:t>
            </w:r>
            <w:r w:rsidR="00E26EF6" w:rsidRPr="00E26EF6">
              <w:t xml:space="preserve"> w ten</w:t>
            </w:r>
            <w:r w:rsidRPr="00E26EF6">
              <w:t xml:space="preserve"> sposób sumy przez 10</w:t>
            </w:r>
            <w:r w:rsidR="00023409" w:rsidRPr="00E26EF6">
              <w:t> </w:t>
            </w:r>
            <w:r w:rsidRPr="00E26EF6">
              <w:t>%.</w:t>
            </w:r>
          </w:p>
        </w:tc>
      </w:tr>
      <w:tr w:rsidR="00915077" w:rsidRPr="00E26EF6" w14:paraId="595C5337" w14:textId="77777777" w:rsidTr="00672D2A">
        <w:tc>
          <w:tcPr>
            <w:tcW w:w="1506" w:type="dxa"/>
          </w:tcPr>
          <w:p w14:paraId="14441CBF" w14:textId="77777777" w:rsidR="00915077" w:rsidRPr="00E26EF6" w:rsidRDefault="002648B0">
            <w:pPr>
              <w:pStyle w:val="InstructionsText"/>
              <w:rPr>
                <w:highlight w:val="lightGray"/>
              </w:rPr>
            </w:pPr>
            <w:r w:rsidRPr="00E26EF6">
              <w:t>210</w:t>
            </w:r>
          </w:p>
        </w:tc>
        <w:tc>
          <w:tcPr>
            <w:tcW w:w="7243" w:type="dxa"/>
          </w:tcPr>
          <w:p w14:paraId="140F91F9" w14:textId="05AC7024" w:rsidR="00915077" w:rsidRPr="00E26EF6" w:rsidRDefault="002648B0">
            <w:pPr>
              <w:pStyle w:val="InstructionsText"/>
            </w:pPr>
            <w:r w:rsidRPr="00E26EF6">
              <w:rPr>
                <w:rStyle w:val="InstructionsTabelleberschrift"/>
                <w:rFonts w:ascii="Times New Roman" w:hAnsi="Times New Roman"/>
                <w:sz w:val="24"/>
              </w:rPr>
              <w:t>10</w:t>
            </w:r>
            <w:r w:rsidRPr="00E26EF6">
              <w:rPr>
                <w:rStyle w:val="InstructionsTabelleberschrift"/>
                <w:rFonts w:ascii="Times New Roman" w:hAnsi="Times New Roman"/>
                <w:sz w:val="24"/>
              </w:rPr>
              <w:tab/>
              <w:t>Próg na poziomie 17,65 % instrumentów</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 xml:space="preserve">itale podstawowym Tier I </w:t>
            </w:r>
          </w:p>
          <w:p w14:paraId="345FB4FB" w14:textId="63011C28" w:rsidR="00915077" w:rsidRPr="00E26EF6" w:rsidRDefault="002648B0">
            <w:pPr>
              <w:pStyle w:val="InstructionsText"/>
            </w:pPr>
            <w:r w:rsidRPr="00E26EF6">
              <w:t>Art. 48 ust. 1 CRR</w:t>
            </w:r>
          </w:p>
          <w:p w14:paraId="56AECB83" w14:textId="26BFB258" w:rsidR="00915077" w:rsidRPr="00E26EF6" w:rsidRDefault="002648B0">
            <w:pPr>
              <w:pStyle w:val="InstructionsText"/>
            </w:pPr>
            <w:r w:rsidRPr="00E26EF6">
              <w:t>Pozycja ta zawiera wynoszący 17,65</w:t>
            </w:r>
            <w:r w:rsidR="00023409" w:rsidRPr="00E26EF6">
              <w:t> </w:t>
            </w:r>
            <w:r w:rsidRPr="00E26EF6">
              <w:t>% próg dla udziałów kapitałowych</w:t>
            </w:r>
            <w:r w:rsidR="00E26EF6" w:rsidRPr="00E26EF6">
              <w:t xml:space="preserve"> w pod</w:t>
            </w:r>
            <w:r w:rsidRPr="00E26EF6">
              <w:t>miotach sektora finansowego, jeżeli instytucja dokonała znacznej inwestycji,</w:t>
            </w:r>
            <w:r w:rsidR="00E26EF6" w:rsidRPr="00E26EF6">
              <w:t xml:space="preserve"> i dla</w:t>
            </w:r>
            <w:r w:rsidRPr="00E26EF6">
              <w:t xml:space="preserve"> aktywów</w:t>
            </w:r>
            <w:r w:rsidR="00E26EF6" w:rsidRPr="00E26EF6">
              <w:t xml:space="preserve"> z tyt</w:t>
            </w:r>
            <w:r w:rsidRPr="00E26EF6">
              <w:t>ułu odroczonego podatku dochodowego opartych na przyszłej rentowności</w:t>
            </w:r>
            <w:r w:rsidR="00E26EF6" w:rsidRPr="00E26EF6">
              <w:t xml:space="preserve"> i wyn</w:t>
            </w:r>
            <w:r w:rsidRPr="00E26EF6">
              <w:t>ikających</w:t>
            </w:r>
            <w:r w:rsidR="00E26EF6" w:rsidRPr="00E26EF6">
              <w:t xml:space="preserve"> z róż</w:t>
            </w:r>
            <w:r w:rsidRPr="00E26EF6">
              <w:t>nic przejściowych, który to próg stosuje się po zastosowaniu progu wynoszącego 10</w:t>
            </w:r>
            <w:r w:rsidR="00023409" w:rsidRPr="00E26EF6">
              <w:t> </w:t>
            </w:r>
            <w:r w:rsidRPr="00E26EF6">
              <w:t>%.</w:t>
            </w:r>
          </w:p>
          <w:p w14:paraId="0AC241A0" w14:textId="15F0F392" w:rsidR="00915077" w:rsidRPr="00E26EF6" w:rsidRDefault="002648B0">
            <w:pPr>
              <w:pStyle w:val="InstructionsText"/>
              <w:rPr>
                <w:highlight w:val="lightGray"/>
              </w:rPr>
            </w:pPr>
            <w:r w:rsidRPr="00E26EF6">
              <w:t>Próg należy obliczyć się</w:t>
            </w:r>
            <w:r w:rsidR="00E26EF6" w:rsidRPr="00E26EF6">
              <w:t xml:space="preserve"> w tak</w:t>
            </w:r>
            <w:r w:rsidRPr="00E26EF6">
              <w:t>i sposób, aby kwota tych dwóch uznanych pozycji nie przekroczyła 15</w:t>
            </w:r>
            <w:r w:rsidR="00023409" w:rsidRPr="00E26EF6">
              <w:t> </w:t>
            </w:r>
            <w:r w:rsidRPr="00E26EF6">
              <w:t>% ostatecznego kapitału podstawo</w:t>
            </w:r>
            <w:r w:rsidRPr="00E26EF6">
              <w:lastRenderedPageBreak/>
              <w:t>wego Tier I, tj. kapitału podstawowego Tier I obliczonego po wszystkich odliczeniach, nie uwzględniając korekty wynikającej</w:t>
            </w:r>
            <w:r w:rsidR="00E26EF6" w:rsidRPr="00E26EF6">
              <w:t xml:space="preserve"> z prz</w:t>
            </w:r>
            <w:r w:rsidRPr="00E26EF6">
              <w:t>episów przejściowych.</w:t>
            </w:r>
          </w:p>
        </w:tc>
      </w:tr>
      <w:tr w:rsidR="00915077" w:rsidRPr="00E26EF6" w14:paraId="4131EBDC" w14:textId="77777777" w:rsidTr="00672D2A">
        <w:tc>
          <w:tcPr>
            <w:tcW w:w="1506" w:type="dxa"/>
          </w:tcPr>
          <w:p w14:paraId="45F158BF" w14:textId="77777777" w:rsidR="00915077" w:rsidRPr="00E26EF6" w:rsidRDefault="00216D67">
            <w:pPr>
              <w:pStyle w:val="InstructionsText"/>
              <w:rPr>
                <w:highlight w:val="lightGray"/>
              </w:rPr>
            </w:pPr>
            <w:r w:rsidRPr="00E26EF6">
              <w:lastRenderedPageBreak/>
              <w:t>225</w:t>
            </w:r>
          </w:p>
        </w:tc>
        <w:tc>
          <w:tcPr>
            <w:tcW w:w="7243" w:type="dxa"/>
          </w:tcPr>
          <w:p w14:paraId="56E66337" w14:textId="77777777" w:rsidR="00915077" w:rsidRPr="00E26EF6" w:rsidRDefault="00216D67">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11.1</w:t>
            </w:r>
            <w:r w:rsidRPr="00E26EF6">
              <w:rPr>
                <w:rStyle w:val="InstructionsTabelleberschrift"/>
                <w:rFonts w:ascii="Times New Roman" w:hAnsi="Times New Roman"/>
                <w:sz w:val="24"/>
              </w:rPr>
              <w:tab/>
              <w:t>Uznany kapitał do celów związanych ze znacznymi pakietami akcji poza sektorem finansowym</w:t>
            </w:r>
          </w:p>
          <w:p w14:paraId="5F7907ED" w14:textId="700F3A95" w:rsidR="00915077" w:rsidRPr="00E26EF6" w:rsidRDefault="0014657C">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b w:val="0"/>
                <w:sz w:val="24"/>
                <w:u w:val="none"/>
              </w:rPr>
              <w:t>Art. 4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71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a) CRR</w:t>
            </w:r>
          </w:p>
        </w:tc>
      </w:tr>
      <w:tr w:rsidR="00915077" w:rsidRPr="00E26EF6" w14:paraId="074CDA08" w14:textId="77777777" w:rsidTr="00672D2A">
        <w:tc>
          <w:tcPr>
            <w:tcW w:w="1506" w:type="dxa"/>
          </w:tcPr>
          <w:p w14:paraId="33322BD1" w14:textId="77777777" w:rsidR="00915077" w:rsidRPr="00E26EF6" w:rsidRDefault="00216D67">
            <w:pPr>
              <w:pStyle w:val="InstructionsText"/>
              <w:rPr>
                <w:highlight w:val="lightGray"/>
              </w:rPr>
            </w:pPr>
            <w:r w:rsidRPr="00E26EF6">
              <w:t>226</w:t>
            </w:r>
          </w:p>
        </w:tc>
        <w:tc>
          <w:tcPr>
            <w:tcW w:w="7243" w:type="dxa"/>
          </w:tcPr>
          <w:p w14:paraId="26C7C30D" w14:textId="4ECCFF5F" w:rsidR="00915077" w:rsidRPr="00E26EF6" w:rsidRDefault="00216D67">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11.2</w:t>
            </w:r>
            <w:r w:rsidRPr="00E26EF6">
              <w:rPr>
                <w:rStyle w:val="InstructionsTabelleberschrift"/>
                <w:rFonts w:ascii="Times New Roman" w:hAnsi="Times New Roman"/>
                <w:sz w:val="24"/>
              </w:rPr>
              <w:tab/>
              <w:t>Uznany kapitał do celów związanych</w:t>
            </w:r>
            <w:r w:rsidR="00E26EF6" w:rsidRPr="00E26EF6">
              <w:rPr>
                <w:rStyle w:val="InstructionsTabelleberschrift"/>
                <w:rFonts w:ascii="Times New Roman" w:hAnsi="Times New Roman"/>
                <w:sz w:val="24"/>
              </w:rPr>
              <w:t xml:space="preserve"> z duż</w:t>
            </w:r>
            <w:r w:rsidRPr="00E26EF6">
              <w:rPr>
                <w:rStyle w:val="InstructionsTabelleberschrift"/>
                <w:rFonts w:ascii="Times New Roman" w:hAnsi="Times New Roman"/>
                <w:sz w:val="24"/>
              </w:rPr>
              <w:t>ymi ekspozycjami</w:t>
            </w:r>
          </w:p>
          <w:p w14:paraId="58928032" w14:textId="3BCE2FF9" w:rsidR="00915077" w:rsidRPr="00E26EF6" w:rsidRDefault="0014657C">
            <w:pPr>
              <w:pStyle w:val="InstructionsText"/>
              <w:rPr>
                <w:rStyle w:val="InstructionsTabelleberschrift"/>
                <w:rFonts w:ascii="Times New Roman" w:hAnsi="Times New Roman"/>
                <w:b w:val="0"/>
                <w:bCs w:val="0"/>
                <w:sz w:val="24"/>
                <w:highlight w:val="lightGray"/>
                <w:u w:val="none"/>
              </w:rPr>
            </w:pPr>
            <w:r w:rsidRPr="00E26EF6">
              <w:rPr>
                <w:rStyle w:val="InstructionsTabelleberschrift"/>
                <w:rFonts w:ascii="Times New Roman" w:hAnsi="Times New Roman"/>
                <w:b w:val="0"/>
                <w:sz w:val="24"/>
                <w:u w:val="none"/>
              </w:rPr>
              <w:t>Art. 4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w:t>
            </w:r>
            <w:r w:rsidRPr="00E26EF6">
              <w:t xml:space="preserve"> pkt</w:t>
            </w:r>
            <w:r w:rsidR="00023409" w:rsidRPr="00E26EF6">
              <w:t> </w:t>
            </w:r>
            <w:r w:rsidRPr="00E26EF6">
              <w:t>71 lit.</w:t>
            </w:r>
            <w:r w:rsidR="00023409" w:rsidRPr="00E26EF6">
              <w:t> </w:t>
            </w:r>
            <w:r w:rsidRPr="00E26EF6">
              <w:t>b) CRR</w:t>
            </w:r>
          </w:p>
        </w:tc>
      </w:tr>
      <w:tr w:rsidR="00915077" w:rsidRPr="00E26EF6" w14:paraId="4C8FC57A" w14:textId="77777777" w:rsidTr="00672D2A">
        <w:tc>
          <w:tcPr>
            <w:tcW w:w="1506" w:type="dxa"/>
          </w:tcPr>
          <w:p w14:paraId="2A550C8C" w14:textId="77777777" w:rsidR="00915077" w:rsidRPr="00E26EF6" w:rsidRDefault="002648B0">
            <w:pPr>
              <w:pStyle w:val="InstructionsText"/>
              <w:rPr>
                <w:highlight w:val="lightGray"/>
              </w:rPr>
            </w:pPr>
            <w:r w:rsidRPr="00E26EF6">
              <w:t>230</w:t>
            </w:r>
          </w:p>
        </w:tc>
        <w:tc>
          <w:tcPr>
            <w:tcW w:w="7243" w:type="dxa"/>
          </w:tcPr>
          <w:p w14:paraId="1BCF0DB6" w14:textId="7B98A11E" w:rsidR="00915077" w:rsidRPr="00E26EF6" w:rsidRDefault="002648B0">
            <w:pPr>
              <w:pStyle w:val="InstructionsText"/>
            </w:pPr>
            <w:r w:rsidRPr="00E26EF6">
              <w:rPr>
                <w:rStyle w:val="InstructionsTabelleberschrift"/>
                <w:rFonts w:ascii="Times New Roman" w:hAnsi="Times New Roman"/>
                <w:sz w:val="24"/>
              </w:rPr>
              <w:t>12</w:t>
            </w:r>
            <w:r w:rsidRPr="00E26EF6">
              <w:rPr>
                <w:rStyle w:val="InstructionsTabelleberschrift"/>
                <w:rFonts w:ascii="Times New Roman" w:hAnsi="Times New Roman"/>
                <w:sz w:val="24"/>
              </w:rPr>
              <w:tab/>
              <w:t>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 po odliczeniu pozycji krótkich</w:t>
            </w:r>
          </w:p>
          <w:p w14:paraId="714DB117" w14:textId="4E1E2757" w:rsidR="00915077" w:rsidRPr="00E26EF6" w:rsidRDefault="002648B0">
            <w:pPr>
              <w:pStyle w:val="InstructionsText"/>
              <w:rPr>
                <w:highlight w:val="lightGray"/>
              </w:rPr>
            </w:pPr>
            <w:r w:rsidRPr="00E26EF6">
              <w:t>Art. 44, 45, 46</w:t>
            </w:r>
            <w:r w:rsidR="00E26EF6" w:rsidRPr="00E26EF6">
              <w:t xml:space="preserve"> i 4</w:t>
            </w:r>
            <w:r w:rsidRPr="00E26EF6">
              <w:t>9 CRR</w:t>
            </w:r>
          </w:p>
        </w:tc>
      </w:tr>
      <w:tr w:rsidR="00915077" w:rsidRPr="00E26EF6" w14:paraId="2B5D5200" w14:textId="77777777" w:rsidTr="00672D2A">
        <w:tc>
          <w:tcPr>
            <w:tcW w:w="1506" w:type="dxa"/>
          </w:tcPr>
          <w:p w14:paraId="4297B88E" w14:textId="77777777" w:rsidR="00915077" w:rsidRPr="00E26EF6" w:rsidRDefault="002648B0">
            <w:pPr>
              <w:pStyle w:val="InstructionsText"/>
              <w:rPr>
                <w:highlight w:val="lightGray"/>
              </w:rPr>
            </w:pPr>
            <w:r w:rsidRPr="00E26EF6">
              <w:t>240</w:t>
            </w:r>
          </w:p>
        </w:tc>
        <w:tc>
          <w:tcPr>
            <w:tcW w:w="7243" w:type="dxa"/>
          </w:tcPr>
          <w:p w14:paraId="518FF441" w14:textId="3E5B0B5E" w:rsidR="00915077" w:rsidRPr="00E26EF6" w:rsidRDefault="002648B0">
            <w:pPr>
              <w:pStyle w:val="InstructionsText"/>
            </w:pPr>
            <w:r w:rsidRPr="00E26EF6">
              <w:rPr>
                <w:rStyle w:val="InstructionsTabelleberschrift"/>
                <w:rFonts w:ascii="Times New Roman" w:hAnsi="Times New Roman"/>
                <w:sz w:val="24"/>
              </w:rPr>
              <w:t>12.1</w:t>
            </w:r>
            <w:r w:rsidRPr="00E26EF6">
              <w:rPr>
                <w:rStyle w:val="InstructionsTabelleberschrift"/>
                <w:rFonts w:ascii="Times New Roman" w:hAnsi="Times New Roman"/>
                <w:sz w:val="24"/>
              </w:rPr>
              <w:tab/>
              <w:t>Bezpośrednie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w:t>
            </w:r>
          </w:p>
          <w:p w14:paraId="1A9A4532" w14:textId="74D38C2C" w:rsidR="00915077" w:rsidRPr="00E26EF6" w:rsidRDefault="002648B0">
            <w:pPr>
              <w:pStyle w:val="InstructionsText"/>
              <w:rPr>
                <w:highlight w:val="lightGray"/>
              </w:rPr>
            </w:pPr>
            <w:r w:rsidRPr="00E26EF6">
              <w:t>Art. 44, 45, 46</w:t>
            </w:r>
            <w:r w:rsidR="00E26EF6" w:rsidRPr="00E26EF6">
              <w:t xml:space="preserve"> i 4</w:t>
            </w:r>
            <w:r w:rsidRPr="00E26EF6">
              <w:t>9 CRR</w:t>
            </w:r>
          </w:p>
        </w:tc>
      </w:tr>
      <w:tr w:rsidR="00915077" w:rsidRPr="00E26EF6" w14:paraId="73F4E9A3" w14:textId="77777777" w:rsidTr="00672D2A">
        <w:tc>
          <w:tcPr>
            <w:tcW w:w="1506" w:type="dxa"/>
          </w:tcPr>
          <w:p w14:paraId="361FA4BD" w14:textId="77777777" w:rsidR="00915077" w:rsidRPr="00E26EF6" w:rsidRDefault="002648B0">
            <w:pPr>
              <w:pStyle w:val="InstructionsText"/>
              <w:rPr>
                <w:highlight w:val="lightGray"/>
              </w:rPr>
            </w:pPr>
            <w:r w:rsidRPr="00E26EF6">
              <w:t>250</w:t>
            </w:r>
          </w:p>
        </w:tc>
        <w:tc>
          <w:tcPr>
            <w:tcW w:w="7243" w:type="dxa"/>
          </w:tcPr>
          <w:p w14:paraId="76FFBF39" w14:textId="3B5AEFE8" w:rsidR="00915077" w:rsidRPr="00E26EF6" w:rsidRDefault="002648B0">
            <w:pPr>
              <w:pStyle w:val="InstructionsText"/>
            </w:pPr>
            <w:r w:rsidRPr="00E26EF6">
              <w:rPr>
                <w:rStyle w:val="InstructionsTabelleberschrift"/>
                <w:rFonts w:ascii="Times New Roman" w:hAnsi="Times New Roman"/>
                <w:sz w:val="24"/>
              </w:rPr>
              <w:t>12.1.1</w:t>
            </w:r>
            <w:r w:rsidRPr="00E26EF6">
              <w:rPr>
                <w:rStyle w:val="InstructionsTabelleberschrift"/>
                <w:rFonts w:ascii="Times New Roman" w:hAnsi="Times New Roman"/>
                <w:sz w:val="24"/>
              </w:rPr>
              <w:tab/>
              <w:t>Bezpośrednie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w:t>
            </w:r>
          </w:p>
          <w:p w14:paraId="4C57E25F" w14:textId="45AF21AE" w:rsidR="00915077" w:rsidRPr="00E26EF6" w:rsidRDefault="002648B0">
            <w:pPr>
              <w:pStyle w:val="InstructionsText"/>
            </w:pPr>
            <w:r w:rsidRPr="00E26EF6">
              <w:t>Art. 44, 46</w:t>
            </w:r>
            <w:r w:rsidR="00E26EF6" w:rsidRPr="00E26EF6">
              <w:t xml:space="preserve"> i 4</w:t>
            </w:r>
            <w:r w:rsidRPr="00E26EF6">
              <w:t>9 CRR</w:t>
            </w:r>
          </w:p>
          <w:p w14:paraId="6294294E" w14:textId="72B421C3" w:rsidR="00915077" w:rsidRPr="00E26EF6" w:rsidRDefault="002648B0">
            <w:pPr>
              <w:pStyle w:val="InstructionsText"/>
            </w:pPr>
            <w:r w:rsidRPr="00E26EF6">
              <w:t>Bezpośrednie udziały kapitałowe</w:t>
            </w:r>
            <w:r w:rsidR="00E26EF6" w:rsidRPr="00E26EF6">
              <w:t xml:space="preserve"> w kap</w:t>
            </w:r>
            <w:r w:rsidRPr="00E26EF6">
              <w:t>itale podstawowym Tier I podmiotów sektora finansowego, jeżeli instytucja nie dokonała znacznej inwestycji w te podmioty,</w:t>
            </w:r>
            <w:r w:rsidR="00E26EF6" w:rsidRPr="00E26EF6">
              <w:t xml:space="preserve"> z wył</w:t>
            </w:r>
            <w:r w:rsidRPr="00E26EF6">
              <w:t>ączeniem:</w:t>
            </w:r>
          </w:p>
          <w:p w14:paraId="69018A86" w14:textId="7B1E68E7" w:rsidR="00915077" w:rsidRPr="00E26EF6" w:rsidRDefault="002648B0">
            <w:pPr>
              <w:pStyle w:val="InstructionsText"/>
            </w:pPr>
            <w:r w:rsidRPr="00E26EF6">
              <w:t>a</w:t>
            </w:r>
            <w:proofErr w:type="gramStart"/>
            <w:r w:rsidRPr="00E26EF6">
              <w:t>)</w:t>
            </w:r>
            <w:r w:rsidRPr="00E26EF6">
              <w:tab/>
              <w:t>pozycji</w:t>
            </w:r>
            <w:proofErr w:type="gramEnd"/>
            <w:r w:rsidR="00E26EF6" w:rsidRPr="00E26EF6">
              <w:t xml:space="preserve"> z tyt</w:t>
            </w:r>
            <w:r w:rsidRPr="00E26EF6">
              <w:t xml:space="preserve">ułu gwarantowania emisji utrzymywanych nie dłużej niż przez 5 dni roboczych; </w:t>
            </w:r>
          </w:p>
          <w:p w14:paraId="7B2C13D0" w14:textId="4732EA23" w:rsidR="00915077" w:rsidRPr="00E26EF6" w:rsidRDefault="002648B0">
            <w:pPr>
              <w:pStyle w:val="InstructionsText"/>
            </w:pPr>
            <w:r w:rsidRPr="00E26EF6">
              <w:t>b</w:t>
            </w:r>
            <w:proofErr w:type="gramStart"/>
            <w:r w:rsidRPr="00E26EF6">
              <w:t>)</w:t>
            </w:r>
            <w:r w:rsidRPr="00E26EF6">
              <w:tab/>
              <w:t>kwot</w:t>
            </w:r>
            <w:proofErr w:type="gramEnd"/>
            <w:r w:rsidRPr="00E26EF6">
              <w:t xml:space="preserve"> związanych</w:t>
            </w:r>
            <w:r w:rsidR="00E26EF6" w:rsidRPr="00E26EF6">
              <w:t xml:space="preserve"> z inw</w:t>
            </w:r>
            <w:r w:rsidRPr="00E26EF6">
              <w:t>estycjami,</w:t>
            </w:r>
            <w:r w:rsidR="00E26EF6" w:rsidRPr="00E26EF6">
              <w:t xml:space="preserve"> w odn</w:t>
            </w:r>
            <w:r w:rsidRPr="00E26EF6">
              <w:t>iesieniu do których zastosowano którekolwiek</w:t>
            </w:r>
            <w:r w:rsidR="00E26EF6" w:rsidRPr="00E26EF6">
              <w:t xml:space="preserve"> z roz</w:t>
            </w:r>
            <w:r w:rsidRPr="00E26EF6">
              <w:t>wiązań alternatywnych określonych</w:t>
            </w:r>
            <w:r w:rsidR="00E26EF6" w:rsidRPr="00E26EF6">
              <w:t xml:space="preserve"> w art</w:t>
            </w:r>
            <w:r w:rsidRPr="00E26EF6">
              <w:t>.</w:t>
            </w:r>
            <w:r w:rsidR="00023409" w:rsidRPr="00E26EF6">
              <w:t> </w:t>
            </w:r>
            <w:r w:rsidRPr="00E26EF6">
              <w:t xml:space="preserve">49; oraz </w:t>
            </w:r>
          </w:p>
          <w:p w14:paraId="65010A4C" w14:textId="7E31E3EB" w:rsidR="00915077" w:rsidRPr="00E26EF6" w:rsidRDefault="002648B0">
            <w:pPr>
              <w:pStyle w:val="InstructionsText"/>
              <w:rPr>
                <w:highlight w:val="lightGray"/>
              </w:rPr>
            </w:pPr>
            <w:r w:rsidRPr="00E26EF6">
              <w:t>c</w:t>
            </w:r>
            <w:proofErr w:type="gramStart"/>
            <w:r w:rsidRPr="00E26EF6">
              <w:t>)</w:t>
            </w:r>
            <w:r w:rsidRPr="00E26EF6">
              <w:tab/>
              <w:t>udziałów</w:t>
            </w:r>
            <w:proofErr w:type="gramEnd"/>
            <w:r w:rsidRPr="00E26EF6">
              <w:t xml:space="preserve"> kapitałowych, które traktuje się jako krzyżowe powiązania kapitałowe zgodnie</w:t>
            </w:r>
            <w:r w:rsidR="00E26EF6" w:rsidRPr="00E26EF6">
              <w:t xml:space="preserve"> z art</w:t>
            </w:r>
            <w:r w:rsidRPr="00E26EF6">
              <w:t>.</w:t>
            </w:r>
            <w:r w:rsidR="00023409" w:rsidRPr="00E26EF6">
              <w:t> </w:t>
            </w:r>
            <w:r w:rsidRPr="00E26EF6">
              <w:t>36 ust.</w:t>
            </w:r>
            <w:r w:rsidR="00023409" w:rsidRPr="00E26EF6">
              <w:t> </w:t>
            </w:r>
            <w:r w:rsidRPr="00E26EF6">
              <w:t>1 lit.</w:t>
            </w:r>
            <w:r w:rsidR="00023409" w:rsidRPr="00E26EF6">
              <w:t> </w:t>
            </w:r>
            <w:r w:rsidRPr="00E26EF6">
              <w:t>g) CRR.</w:t>
            </w:r>
          </w:p>
        </w:tc>
      </w:tr>
      <w:tr w:rsidR="00915077" w:rsidRPr="00E26EF6" w14:paraId="1B3D7227" w14:textId="77777777" w:rsidTr="00672D2A">
        <w:tc>
          <w:tcPr>
            <w:tcW w:w="1506" w:type="dxa"/>
          </w:tcPr>
          <w:p w14:paraId="15B3FEDD" w14:textId="77777777" w:rsidR="00915077" w:rsidRPr="00E26EF6" w:rsidRDefault="002648B0">
            <w:pPr>
              <w:pStyle w:val="InstructionsText"/>
              <w:rPr>
                <w:highlight w:val="lightGray"/>
              </w:rPr>
            </w:pPr>
            <w:r w:rsidRPr="00E26EF6">
              <w:t>260</w:t>
            </w:r>
          </w:p>
        </w:tc>
        <w:tc>
          <w:tcPr>
            <w:tcW w:w="7243" w:type="dxa"/>
          </w:tcPr>
          <w:p w14:paraId="35452673" w14:textId="0AF307A0" w:rsidR="00915077" w:rsidRPr="00E26EF6" w:rsidRDefault="002648B0">
            <w:pPr>
              <w:pStyle w:val="InstructionsText"/>
            </w:pPr>
            <w:r w:rsidRPr="00E26EF6">
              <w:rPr>
                <w:rStyle w:val="InstructionsTabelleberschrift"/>
                <w:rFonts w:ascii="Times New Roman" w:hAnsi="Times New Roman"/>
                <w:sz w:val="24"/>
              </w:rPr>
              <w:t>12.1.2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bezpośrednich udziałów kapitałowych brutto ujętych powyżej</w:t>
            </w:r>
          </w:p>
          <w:p w14:paraId="38E0CC2A" w14:textId="13775458" w:rsidR="00915077" w:rsidRPr="00E26EF6" w:rsidRDefault="002648B0">
            <w:pPr>
              <w:pStyle w:val="InstructionsText"/>
            </w:pPr>
            <w:r w:rsidRPr="00E26EF6">
              <w:t>Art. 45 CRR</w:t>
            </w:r>
          </w:p>
          <w:p w14:paraId="23053E8D" w14:textId="63EB5F93" w:rsidR="00915077" w:rsidRPr="00E26EF6" w:rsidRDefault="002648B0">
            <w:pPr>
              <w:pStyle w:val="InstructionsText"/>
              <w:rPr>
                <w:highlight w:val="lightGray"/>
              </w:rPr>
            </w:pPr>
            <w:r w:rsidRPr="00E26EF6">
              <w:t>Art. 45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1F70B255" w14:textId="77777777" w:rsidTr="00672D2A">
        <w:tc>
          <w:tcPr>
            <w:tcW w:w="1506" w:type="dxa"/>
          </w:tcPr>
          <w:p w14:paraId="1F510E39" w14:textId="77777777" w:rsidR="00915077" w:rsidRPr="00E26EF6" w:rsidRDefault="002648B0">
            <w:pPr>
              <w:pStyle w:val="InstructionsText"/>
              <w:rPr>
                <w:highlight w:val="lightGray"/>
              </w:rPr>
            </w:pPr>
            <w:r w:rsidRPr="00E26EF6">
              <w:t>270</w:t>
            </w:r>
          </w:p>
        </w:tc>
        <w:tc>
          <w:tcPr>
            <w:tcW w:w="7243" w:type="dxa"/>
          </w:tcPr>
          <w:p w14:paraId="039B6233" w14:textId="02FB0B15" w:rsidR="00915077" w:rsidRPr="00E26EF6" w:rsidRDefault="002648B0">
            <w:pPr>
              <w:pStyle w:val="InstructionsText"/>
            </w:pPr>
            <w:r w:rsidRPr="00E26EF6">
              <w:rPr>
                <w:rStyle w:val="InstructionsTabelleberschrift"/>
                <w:rFonts w:ascii="Times New Roman" w:hAnsi="Times New Roman"/>
                <w:sz w:val="24"/>
              </w:rPr>
              <w:t>12.2</w:t>
            </w:r>
            <w:r w:rsidRPr="00E26EF6">
              <w:rPr>
                <w:rStyle w:val="InstructionsTabelleberschrift"/>
                <w:rFonts w:ascii="Times New Roman" w:hAnsi="Times New Roman"/>
                <w:sz w:val="24"/>
              </w:rPr>
              <w:tab/>
              <w:t>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w:t>
            </w:r>
          </w:p>
          <w:p w14:paraId="7B12E88F" w14:textId="42A15927" w:rsidR="00915077" w:rsidRPr="00E26EF6" w:rsidRDefault="00214FDA">
            <w:pPr>
              <w:pStyle w:val="InstructionsText"/>
              <w:rPr>
                <w:highlight w:val="lightGray"/>
              </w:rPr>
            </w:pPr>
            <w:r w:rsidRPr="00E26EF6">
              <w:t>Art. 4 ust.</w:t>
            </w:r>
            <w:r w:rsidR="00023409" w:rsidRPr="00E26EF6">
              <w:t> </w:t>
            </w:r>
            <w:r w:rsidRPr="00E26EF6">
              <w:t>1 pkt</w:t>
            </w:r>
            <w:r w:rsidR="00023409" w:rsidRPr="00E26EF6">
              <w:t> </w:t>
            </w:r>
            <w:r w:rsidRPr="00E26EF6">
              <w:t>114 oraz art.</w:t>
            </w:r>
            <w:r w:rsidR="00023409" w:rsidRPr="00E26EF6">
              <w:t> </w:t>
            </w:r>
            <w:r w:rsidRPr="00E26EF6">
              <w:t>44</w:t>
            </w:r>
            <w:r w:rsidR="00E26EF6" w:rsidRPr="00E26EF6">
              <w:t xml:space="preserve"> i art</w:t>
            </w:r>
            <w:r w:rsidRPr="00E26EF6">
              <w:t>.</w:t>
            </w:r>
            <w:r w:rsidR="00023409" w:rsidRPr="00E26EF6">
              <w:t> </w:t>
            </w:r>
            <w:r w:rsidRPr="00E26EF6">
              <w:t>45 CRR</w:t>
            </w:r>
          </w:p>
        </w:tc>
      </w:tr>
      <w:tr w:rsidR="00915077" w:rsidRPr="00E26EF6" w14:paraId="713BA411" w14:textId="77777777" w:rsidTr="00672D2A">
        <w:tc>
          <w:tcPr>
            <w:tcW w:w="1506" w:type="dxa"/>
          </w:tcPr>
          <w:p w14:paraId="41762E70" w14:textId="77777777" w:rsidR="00915077" w:rsidRPr="00E26EF6" w:rsidRDefault="002648B0">
            <w:pPr>
              <w:pStyle w:val="InstructionsText"/>
              <w:rPr>
                <w:highlight w:val="lightGray"/>
              </w:rPr>
            </w:pPr>
            <w:r w:rsidRPr="00E26EF6">
              <w:t>280</w:t>
            </w:r>
          </w:p>
        </w:tc>
        <w:tc>
          <w:tcPr>
            <w:tcW w:w="7243" w:type="dxa"/>
          </w:tcPr>
          <w:p w14:paraId="6DE04412" w14:textId="52D086EB" w:rsidR="00915077" w:rsidRPr="00E26EF6" w:rsidRDefault="002648B0">
            <w:pPr>
              <w:pStyle w:val="InstructionsText"/>
            </w:pPr>
            <w:r w:rsidRPr="00E26EF6">
              <w:rPr>
                <w:rStyle w:val="InstructionsTabelleberschrift"/>
                <w:rFonts w:ascii="Times New Roman" w:hAnsi="Times New Roman"/>
                <w:sz w:val="24"/>
              </w:rPr>
              <w:t>12.2.1</w:t>
            </w:r>
            <w:r w:rsidRPr="00E26EF6">
              <w:rPr>
                <w:rStyle w:val="InstructionsTabelleberschrift"/>
                <w:rFonts w:ascii="Times New Roman" w:hAnsi="Times New Roman"/>
                <w:sz w:val="24"/>
              </w:rPr>
              <w:tab/>
              <w:t>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w:t>
            </w:r>
          </w:p>
          <w:p w14:paraId="4FA04805" w14:textId="28DA89D0" w:rsidR="00915077" w:rsidRPr="00E26EF6" w:rsidRDefault="00214FDA">
            <w:pPr>
              <w:pStyle w:val="InstructionsText"/>
            </w:pPr>
            <w:r w:rsidRPr="00E26EF6">
              <w:lastRenderedPageBreak/>
              <w:t>Art. 4 ust.</w:t>
            </w:r>
            <w:r w:rsidR="00023409" w:rsidRPr="00E26EF6">
              <w:t> </w:t>
            </w:r>
            <w:r w:rsidRPr="00E26EF6">
              <w:t>1 pkt</w:t>
            </w:r>
            <w:r w:rsidR="00023409" w:rsidRPr="00E26EF6">
              <w:t> </w:t>
            </w:r>
            <w:r w:rsidRPr="00E26EF6">
              <w:t>114 oraz art.</w:t>
            </w:r>
            <w:r w:rsidR="00023409" w:rsidRPr="00E26EF6">
              <w:t> </w:t>
            </w:r>
            <w:r w:rsidRPr="00E26EF6">
              <w:t>44</w:t>
            </w:r>
            <w:r w:rsidR="00E26EF6" w:rsidRPr="00E26EF6">
              <w:t xml:space="preserve"> i art</w:t>
            </w:r>
            <w:r w:rsidRPr="00E26EF6">
              <w:t>.</w:t>
            </w:r>
            <w:r w:rsidR="00023409" w:rsidRPr="00E26EF6">
              <w:t> </w:t>
            </w:r>
            <w:r w:rsidRPr="00E26EF6">
              <w:t>45 CRR</w:t>
            </w:r>
          </w:p>
          <w:p w14:paraId="52F7CDCB" w14:textId="279F3C8C" w:rsidR="00915077" w:rsidRPr="00E26EF6" w:rsidRDefault="002648B0">
            <w:pPr>
              <w:pStyle w:val="InstructionsText"/>
            </w:pPr>
            <w:r w:rsidRPr="00E26EF6">
              <w:t>Kwotą, którą należy zgłosić, są pośrednie udziały kapitałowe</w:t>
            </w:r>
            <w:r w:rsidR="00E26EF6" w:rsidRPr="00E26EF6">
              <w:t xml:space="preserve"> w por</w:t>
            </w:r>
            <w:r w:rsidRPr="00E26EF6">
              <w:t>tfelu handlowym instrumentów kapitałowych podmiotów sektora finansowego, które to udziały przyjmują postać indeksowych papierów wartościowych. Uzyskuje się ją poprzez obliczenie ekspozycji bazowej</w:t>
            </w:r>
            <w:r w:rsidR="00E26EF6" w:rsidRPr="00E26EF6">
              <w:t xml:space="preserve"> z tyt</w:t>
            </w:r>
            <w:r w:rsidRPr="00E26EF6">
              <w:t>ułu instrumentów kapitałowych podmiotów sektora finansowego objętych tymi indeksami.</w:t>
            </w:r>
          </w:p>
          <w:p w14:paraId="079EC6C2" w14:textId="32C3E696" w:rsidR="00915077" w:rsidRPr="00E26EF6" w:rsidRDefault="002648B0">
            <w:pPr>
              <w:pStyle w:val="InstructionsText"/>
              <w:rPr>
                <w:highlight w:val="lightGray"/>
              </w:rPr>
            </w:pPr>
            <w:r w:rsidRPr="00E26EF6">
              <w:t>Udziały kapitałowe, które traktuje się jako krzyżowe powiązania kapitałowe zgodnie</w:t>
            </w:r>
            <w:r w:rsidR="00E26EF6" w:rsidRPr="00E26EF6">
              <w:t xml:space="preserve"> z art</w:t>
            </w:r>
            <w:r w:rsidRPr="00E26EF6">
              <w:t>.</w:t>
            </w:r>
            <w:r w:rsidR="00023409" w:rsidRPr="00E26EF6">
              <w:t> </w:t>
            </w:r>
            <w:r w:rsidRPr="00E26EF6">
              <w:t>36 ust.</w:t>
            </w:r>
            <w:r w:rsidR="00023409" w:rsidRPr="00E26EF6">
              <w:t> </w:t>
            </w:r>
            <w:r w:rsidRPr="00E26EF6">
              <w:t>1 lit.</w:t>
            </w:r>
            <w:r w:rsidR="00023409" w:rsidRPr="00E26EF6">
              <w:t> </w:t>
            </w:r>
            <w:r w:rsidRPr="00E26EF6">
              <w:t>g) CRR, nie są uwzględniane.</w:t>
            </w:r>
          </w:p>
        </w:tc>
      </w:tr>
      <w:tr w:rsidR="00915077" w:rsidRPr="00E26EF6" w14:paraId="5F89F622" w14:textId="77777777" w:rsidTr="00672D2A">
        <w:trPr>
          <w:trHeight w:val="850"/>
        </w:trPr>
        <w:tc>
          <w:tcPr>
            <w:tcW w:w="1506" w:type="dxa"/>
          </w:tcPr>
          <w:p w14:paraId="181204BB" w14:textId="77777777" w:rsidR="00915077" w:rsidRPr="00E26EF6" w:rsidRDefault="002648B0">
            <w:pPr>
              <w:pStyle w:val="InstructionsText"/>
              <w:rPr>
                <w:highlight w:val="lightGray"/>
              </w:rPr>
            </w:pPr>
            <w:r w:rsidRPr="00E26EF6">
              <w:lastRenderedPageBreak/>
              <w:t>290</w:t>
            </w:r>
          </w:p>
        </w:tc>
        <w:tc>
          <w:tcPr>
            <w:tcW w:w="7243" w:type="dxa"/>
          </w:tcPr>
          <w:p w14:paraId="064C4AC9" w14:textId="5B929078" w:rsidR="00915077" w:rsidRPr="00E26EF6" w:rsidRDefault="002648B0">
            <w:pPr>
              <w:pStyle w:val="InstructionsText"/>
            </w:pPr>
            <w:r w:rsidRPr="00E26EF6">
              <w:rPr>
                <w:rStyle w:val="InstructionsTabelleberschrift"/>
                <w:rFonts w:ascii="Times New Roman" w:hAnsi="Times New Roman"/>
                <w:sz w:val="24"/>
              </w:rPr>
              <w:t>12.2.2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pośrednich udziałów kapitałowych brutto ujętych powyżej</w:t>
            </w:r>
          </w:p>
          <w:p w14:paraId="37DDB41F" w14:textId="2331E0E8"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45 CRR</w:t>
            </w:r>
          </w:p>
          <w:p w14:paraId="4F53DE74" w14:textId="1FE50DC0" w:rsidR="00915077" w:rsidRPr="00E26EF6" w:rsidRDefault="0014657C">
            <w:pPr>
              <w:pStyle w:val="InstructionsText"/>
              <w:rPr>
                <w:highlight w:val="lightGray"/>
              </w:rPr>
            </w:pPr>
            <w:r w:rsidRPr="00E26EF6">
              <w:t>Art. 45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55B417E0" w14:textId="77777777" w:rsidTr="00672D2A">
        <w:tc>
          <w:tcPr>
            <w:tcW w:w="1506" w:type="dxa"/>
          </w:tcPr>
          <w:p w14:paraId="4AB46911" w14:textId="77777777" w:rsidR="00915077" w:rsidRPr="00E26EF6" w:rsidRDefault="002648B0">
            <w:pPr>
              <w:pStyle w:val="InstructionsText"/>
              <w:rPr>
                <w:highlight w:val="lightGray"/>
              </w:rPr>
            </w:pPr>
            <w:r w:rsidRPr="00E26EF6">
              <w:t>291</w:t>
            </w:r>
          </w:p>
        </w:tc>
        <w:tc>
          <w:tcPr>
            <w:tcW w:w="7243" w:type="dxa"/>
            <w:vAlign w:val="center"/>
          </w:tcPr>
          <w:p w14:paraId="062F8E8A" w14:textId="4E3F9D1A" w:rsidR="00915077" w:rsidRPr="00E26EF6" w:rsidRDefault="002648B0">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sz w:val="24"/>
              </w:rPr>
              <w:t>12.3.1</w:t>
            </w:r>
            <w:r w:rsidRPr="00E26EF6">
              <w:rPr>
                <w:rStyle w:val="InstructionsTabelleberschrift"/>
                <w:rFonts w:ascii="Times New Roman" w:hAnsi="Times New Roman"/>
                <w:sz w:val="24"/>
              </w:rPr>
              <w:tab/>
              <w:t>Syntetyczne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w:t>
            </w:r>
          </w:p>
          <w:p w14:paraId="697C040B" w14:textId="07AD0AEA" w:rsidR="00915077" w:rsidRPr="00E26EF6" w:rsidRDefault="00214FDA">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4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126 oraz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44</w:t>
            </w:r>
            <w:r w:rsidR="00E26EF6" w:rsidRPr="00E26EF6">
              <w:rPr>
                <w:rStyle w:val="InstructionsTabelleberschrift"/>
                <w:rFonts w:ascii="Times New Roman" w:hAnsi="Times New Roman"/>
                <w:b w:val="0"/>
                <w:sz w:val="24"/>
                <w:u w:val="none"/>
              </w:rPr>
              <w:t xml:space="preserve"> i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45 CRR</w:t>
            </w:r>
          </w:p>
        </w:tc>
      </w:tr>
      <w:tr w:rsidR="00915077" w:rsidRPr="00E26EF6" w14:paraId="6953E2A3" w14:textId="77777777" w:rsidTr="00672D2A">
        <w:tc>
          <w:tcPr>
            <w:tcW w:w="1506" w:type="dxa"/>
          </w:tcPr>
          <w:p w14:paraId="7904CC35" w14:textId="77777777" w:rsidR="00915077" w:rsidRPr="00E26EF6" w:rsidRDefault="002648B0">
            <w:pPr>
              <w:pStyle w:val="InstructionsText"/>
              <w:rPr>
                <w:highlight w:val="lightGray"/>
              </w:rPr>
            </w:pPr>
            <w:r w:rsidRPr="00E26EF6">
              <w:t>292</w:t>
            </w:r>
          </w:p>
        </w:tc>
        <w:tc>
          <w:tcPr>
            <w:tcW w:w="7243" w:type="dxa"/>
            <w:vAlign w:val="center"/>
          </w:tcPr>
          <w:p w14:paraId="481AF34E" w14:textId="5C178943" w:rsidR="00915077" w:rsidRPr="00E26EF6" w:rsidRDefault="002648B0">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sz w:val="24"/>
              </w:rPr>
              <w:t>12.3.2</w:t>
            </w:r>
            <w:r w:rsidRPr="00E26EF6">
              <w:rPr>
                <w:rStyle w:val="InstructionsTabelleberschrift"/>
                <w:rFonts w:ascii="Times New Roman" w:hAnsi="Times New Roman"/>
                <w:sz w:val="24"/>
              </w:rPr>
              <w:tab/>
              <w:t>Syntetyczne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w:t>
            </w:r>
          </w:p>
          <w:p w14:paraId="4CF4E076" w14:textId="4697055B" w:rsidR="00915077" w:rsidRPr="00E26EF6" w:rsidRDefault="00214FDA">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4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126 oraz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44</w:t>
            </w:r>
            <w:r w:rsidR="00E26EF6" w:rsidRPr="00E26EF6">
              <w:rPr>
                <w:rStyle w:val="InstructionsTabelleberschrift"/>
                <w:rFonts w:ascii="Times New Roman" w:hAnsi="Times New Roman"/>
                <w:b w:val="0"/>
                <w:sz w:val="24"/>
                <w:u w:val="none"/>
              </w:rPr>
              <w:t xml:space="preserve"> i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45 CRR</w:t>
            </w:r>
          </w:p>
        </w:tc>
      </w:tr>
      <w:tr w:rsidR="00915077" w:rsidRPr="00E26EF6" w14:paraId="30B1F894" w14:textId="77777777" w:rsidTr="00672D2A">
        <w:tc>
          <w:tcPr>
            <w:tcW w:w="1506" w:type="dxa"/>
          </w:tcPr>
          <w:p w14:paraId="522A63E6" w14:textId="77777777" w:rsidR="00915077" w:rsidRPr="00E26EF6" w:rsidRDefault="002648B0">
            <w:pPr>
              <w:pStyle w:val="InstructionsText"/>
              <w:rPr>
                <w:highlight w:val="lightGray"/>
              </w:rPr>
            </w:pPr>
            <w:r w:rsidRPr="00E26EF6">
              <w:t>293</w:t>
            </w:r>
          </w:p>
        </w:tc>
        <w:tc>
          <w:tcPr>
            <w:tcW w:w="7243" w:type="dxa"/>
            <w:vAlign w:val="center"/>
          </w:tcPr>
          <w:p w14:paraId="3F4762D8" w14:textId="76BA8398"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12.3.3</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syntetycznych udziałów kapitałowych brutto ujętych powyżej</w:t>
            </w:r>
          </w:p>
          <w:p w14:paraId="30A7CEB6" w14:textId="5F318387" w:rsidR="00915077" w:rsidRPr="00E26EF6" w:rsidRDefault="00214FDA">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4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126 oraz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45 CRR</w:t>
            </w:r>
          </w:p>
        </w:tc>
      </w:tr>
      <w:tr w:rsidR="00915077" w:rsidRPr="00E26EF6" w14:paraId="14B120A3" w14:textId="77777777" w:rsidTr="00672D2A">
        <w:tc>
          <w:tcPr>
            <w:tcW w:w="1506" w:type="dxa"/>
          </w:tcPr>
          <w:p w14:paraId="369A2526" w14:textId="77777777" w:rsidR="00915077" w:rsidRPr="00E26EF6" w:rsidRDefault="002648B0">
            <w:pPr>
              <w:pStyle w:val="InstructionsText"/>
              <w:rPr>
                <w:highlight w:val="lightGray"/>
              </w:rPr>
            </w:pPr>
            <w:r w:rsidRPr="00E26EF6">
              <w:t>300</w:t>
            </w:r>
          </w:p>
        </w:tc>
        <w:tc>
          <w:tcPr>
            <w:tcW w:w="7243" w:type="dxa"/>
          </w:tcPr>
          <w:p w14:paraId="52900569" w14:textId="29FC615C"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w:t>
            </w:r>
            <w:r w:rsidRPr="00E26EF6">
              <w:rPr>
                <w:rStyle w:val="InstructionsTabelleberschrift"/>
                <w:rFonts w:ascii="Times New Roman" w:hAnsi="Times New Roman"/>
                <w:sz w:val="24"/>
              </w:rPr>
              <w:tab/>
              <w:t>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 po odliczeniu pozycji krótkich</w:t>
            </w:r>
          </w:p>
          <w:p w14:paraId="7A2C687B" w14:textId="0DD59D9B" w:rsidR="00915077" w:rsidRPr="00E26EF6" w:rsidRDefault="002648B0">
            <w:pPr>
              <w:pStyle w:val="InstructionsText"/>
              <w:rPr>
                <w:highlight w:val="lightGray"/>
              </w:rPr>
            </w:pPr>
            <w:r w:rsidRPr="00E26EF6">
              <w:t>Art. 58, 59</w:t>
            </w:r>
            <w:r w:rsidR="00E26EF6" w:rsidRPr="00E26EF6">
              <w:t xml:space="preserve"> i 6</w:t>
            </w:r>
            <w:r w:rsidRPr="00E26EF6">
              <w:t>0 CRR</w:t>
            </w:r>
          </w:p>
        </w:tc>
      </w:tr>
      <w:tr w:rsidR="00915077" w:rsidRPr="00E26EF6" w14:paraId="3DF636D6" w14:textId="77777777" w:rsidTr="00672D2A">
        <w:tc>
          <w:tcPr>
            <w:tcW w:w="1506" w:type="dxa"/>
          </w:tcPr>
          <w:p w14:paraId="6A3DBAB2" w14:textId="77777777" w:rsidR="00915077" w:rsidRPr="00E26EF6" w:rsidRDefault="002648B0">
            <w:pPr>
              <w:pStyle w:val="InstructionsText"/>
              <w:rPr>
                <w:highlight w:val="lightGray"/>
              </w:rPr>
            </w:pPr>
            <w:r w:rsidRPr="00E26EF6">
              <w:t>310</w:t>
            </w:r>
          </w:p>
        </w:tc>
        <w:tc>
          <w:tcPr>
            <w:tcW w:w="7243" w:type="dxa"/>
          </w:tcPr>
          <w:p w14:paraId="5D302251" w14:textId="0C600221" w:rsidR="00915077" w:rsidRPr="00E26EF6" w:rsidRDefault="002648B0">
            <w:pPr>
              <w:pStyle w:val="InstructionsText"/>
            </w:pPr>
            <w:r w:rsidRPr="00E26EF6">
              <w:rPr>
                <w:rStyle w:val="InstructionsTabelleberschrift"/>
                <w:rFonts w:ascii="Times New Roman" w:hAnsi="Times New Roman"/>
                <w:sz w:val="24"/>
              </w:rPr>
              <w:t>13.1</w:t>
            </w:r>
            <w:r w:rsidRPr="00E26EF6">
              <w:rPr>
                <w:rStyle w:val="InstructionsTabelleberschrift"/>
                <w:rFonts w:ascii="Times New Roman" w:hAnsi="Times New Roman"/>
                <w:sz w:val="24"/>
              </w:rPr>
              <w:tab/>
              <w:t>Bezpośrednie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w:t>
            </w:r>
          </w:p>
          <w:p w14:paraId="1AA16D99" w14:textId="60FBFF76" w:rsidR="00915077" w:rsidRPr="00E26EF6" w:rsidRDefault="002648B0">
            <w:pPr>
              <w:pStyle w:val="InstructionsText"/>
              <w:rPr>
                <w:highlight w:val="lightGray"/>
              </w:rPr>
            </w:pPr>
            <w:r w:rsidRPr="00E26EF6">
              <w:t>Art. 58, art.</w:t>
            </w:r>
            <w:r w:rsidR="00023409" w:rsidRPr="00E26EF6">
              <w:t> </w:t>
            </w:r>
            <w:r w:rsidRPr="00E26EF6">
              <w:t>59</w:t>
            </w:r>
            <w:r w:rsidR="00E26EF6" w:rsidRPr="00E26EF6">
              <w:t xml:space="preserve"> i art</w:t>
            </w:r>
            <w:r w:rsidRPr="00E26EF6">
              <w:t>.</w:t>
            </w:r>
            <w:r w:rsidR="00023409" w:rsidRPr="00E26EF6">
              <w:t> </w:t>
            </w:r>
            <w:r w:rsidRPr="00E26EF6">
              <w:t>60 ust.</w:t>
            </w:r>
            <w:r w:rsidR="00023409" w:rsidRPr="00E26EF6">
              <w:t> </w:t>
            </w:r>
            <w:r w:rsidRPr="00E26EF6">
              <w:t>2 CRR</w:t>
            </w:r>
          </w:p>
        </w:tc>
      </w:tr>
      <w:tr w:rsidR="00915077" w:rsidRPr="00E26EF6" w14:paraId="3DEB85F1" w14:textId="77777777" w:rsidTr="00672D2A">
        <w:tc>
          <w:tcPr>
            <w:tcW w:w="1506" w:type="dxa"/>
          </w:tcPr>
          <w:p w14:paraId="29A288AF" w14:textId="77777777" w:rsidR="00915077" w:rsidRPr="00E26EF6" w:rsidRDefault="002648B0">
            <w:pPr>
              <w:pStyle w:val="InstructionsText"/>
              <w:rPr>
                <w:highlight w:val="lightGray"/>
              </w:rPr>
            </w:pPr>
            <w:r w:rsidRPr="00E26EF6">
              <w:t>320</w:t>
            </w:r>
          </w:p>
        </w:tc>
        <w:tc>
          <w:tcPr>
            <w:tcW w:w="7243" w:type="dxa"/>
          </w:tcPr>
          <w:p w14:paraId="5B626C5A" w14:textId="0BBDD5D8" w:rsidR="00915077" w:rsidRPr="00E26EF6" w:rsidRDefault="002648B0">
            <w:pPr>
              <w:pStyle w:val="InstructionsText"/>
            </w:pPr>
            <w:r w:rsidRPr="00E26EF6">
              <w:rPr>
                <w:rStyle w:val="InstructionsTabelleberschrift"/>
                <w:rFonts w:ascii="Times New Roman" w:hAnsi="Times New Roman"/>
                <w:sz w:val="24"/>
              </w:rPr>
              <w:t>13.1.1</w:t>
            </w:r>
            <w:r w:rsidRPr="00E26EF6">
              <w:rPr>
                <w:rStyle w:val="InstructionsTabelleberschrift"/>
                <w:rFonts w:ascii="Times New Roman" w:hAnsi="Times New Roman"/>
                <w:sz w:val="24"/>
              </w:rPr>
              <w:tab/>
              <w:t>Bezpośrednie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w:t>
            </w:r>
          </w:p>
          <w:p w14:paraId="69E39D2C" w14:textId="3D9F80EF" w:rsidR="00915077" w:rsidRPr="00E26EF6" w:rsidRDefault="002648B0">
            <w:pPr>
              <w:pStyle w:val="InstructionsText"/>
            </w:pPr>
            <w:r w:rsidRPr="00E26EF6">
              <w:t>Art. 58</w:t>
            </w:r>
            <w:r w:rsidR="00E26EF6" w:rsidRPr="00E26EF6">
              <w:t xml:space="preserve"> i art</w:t>
            </w:r>
            <w:r w:rsidRPr="00E26EF6">
              <w:t>.</w:t>
            </w:r>
            <w:r w:rsidR="00023409" w:rsidRPr="00E26EF6">
              <w:t> </w:t>
            </w:r>
            <w:r w:rsidRPr="00E26EF6">
              <w:t>60 ust.</w:t>
            </w:r>
            <w:r w:rsidR="00023409" w:rsidRPr="00E26EF6">
              <w:t> </w:t>
            </w:r>
            <w:r w:rsidRPr="00E26EF6">
              <w:t>2 CRR</w:t>
            </w:r>
          </w:p>
          <w:p w14:paraId="5C119113" w14:textId="71CE2E54" w:rsidR="00915077" w:rsidRPr="00E26EF6" w:rsidRDefault="002648B0">
            <w:pPr>
              <w:pStyle w:val="InstructionsText"/>
            </w:pPr>
            <w:r w:rsidRPr="00E26EF6">
              <w:t>Bezpośrednie udziały kapitałowe</w:t>
            </w:r>
            <w:r w:rsidR="00E26EF6" w:rsidRPr="00E26EF6">
              <w:t xml:space="preserve"> w kap</w:t>
            </w:r>
            <w:r w:rsidRPr="00E26EF6">
              <w:t>itale dodatkowym Tier I podmiotów sektora finansowego, jeżeli instytucja nie dokonała znacznej inwestycji w te podmioty,</w:t>
            </w:r>
            <w:r w:rsidR="00E26EF6" w:rsidRPr="00E26EF6">
              <w:t xml:space="preserve"> z wył</w:t>
            </w:r>
            <w:r w:rsidRPr="00E26EF6">
              <w:t>ączeniem:</w:t>
            </w:r>
          </w:p>
          <w:p w14:paraId="28F77BEB" w14:textId="2A3CC4AF" w:rsidR="00915077" w:rsidRPr="00E26EF6" w:rsidRDefault="002648B0">
            <w:pPr>
              <w:pStyle w:val="InstructionsText"/>
            </w:pPr>
            <w:r w:rsidRPr="00E26EF6">
              <w:t>a</w:t>
            </w:r>
            <w:proofErr w:type="gramStart"/>
            <w:r w:rsidRPr="00E26EF6">
              <w:t>)</w:t>
            </w:r>
            <w:r w:rsidRPr="00E26EF6">
              <w:tab/>
              <w:t>pozycji</w:t>
            </w:r>
            <w:proofErr w:type="gramEnd"/>
            <w:r w:rsidR="00E26EF6" w:rsidRPr="00E26EF6">
              <w:t xml:space="preserve"> z tyt</w:t>
            </w:r>
            <w:r w:rsidRPr="00E26EF6">
              <w:t xml:space="preserve">ułu gwarantowania emisji utrzymywanych nie dłużej niż przez 5 dni roboczych; oraz </w:t>
            </w:r>
          </w:p>
          <w:p w14:paraId="39599D12" w14:textId="2852BE51" w:rsidR="00915077" w:rsidRPr="00E26EF6" w:rsidRDefault="002648B0">
            <w:pPr>
              <w:pStyle w:val="InstructionsText"/>
              <w:rPr>
                <w:highlight w:val="lightGray"/>
              </w:rPr>
            </w:pPr>
            <w:r w:rsidRPr="00E26EF6">
              <w:lastRenderedPageBreak/>
              <w:t>b</w:t>
            </w:r>
            <w:proofErr w:type="gramStart"/>
            <w:r w:rsidRPr="00E26EF6">
              <w:t>)</w:t>
            </w:r>
            <w:r w:rsidRPr="00E26EF6">
              <w:tab/>
              <w:t>udziałów</w:t>
            </w:r>
            <w:proofErr w:type="gramEnd"/>
            <w:r w:rsidRPr="00E26EF6">
              <w:t xml:space="preserve"> kapitałowych, które traktuje się jako krzyżowe powiązania kapitałowe zgodnie</w:t>
            </w:r>
            <w:r w:rsidR="00E26EF6" w:rsidRPr="00E26EF6">
              <w:t xml:space="preserve"> z art</w:t>
            </w:r>
            <w:r w:rsidRPr="00E26EF6">
              <w:t>.</w:t>
            </w:r>
            <w:r w:rsidR="00023409" w:rsidRPr="00E26EF6">
              <w:t> </w:t>
            </w:r>
            <w:r w:rsidRPr="00E26EF6">
              <w:t>56 lit.</w:t>
            </w:r>
            <w:r w:rsidR="00023409" w:rsidRPr="00E26EF6">
              <w:t> </w:t>
            </w:r>
            <w:r w:rsidRPr="00E26EF6">
              <w:t>b) CRR.</w:t>
            </w:r>
          </w:p>
        </w:tc>
      </w:tr>
      <w:tr w:rsidR="00915077" w:rsidRPr="00E26EF6" w14:paraId="18D264D3" w14:textId="77777777" w:rsidTr="00672D2A">
        <w:tc>
          <w:tcPr>
            <w:tcW w:w="1506" w:type="dxa"/>
          </w:tcPr>
          <w:p w14:paraId="0F7E568E" w14:textId="77777777" w:rsidR="00915077" w:rsidRPr="00E26EF6" w:rsidRDefault="002648B0">
            <w:pPr>
              <w:pStyle w:val="InstructionsText"/>
              <w:rPr>
                <w:highlight w:val="lightGray"/>
              </w:rPr>
            </w:pPr>
            <w:r w:rsidRPr="00E26EF6">
              <w:lastRenderedPageBreak/>
              <w:t>330</w:t>
            </w:r>
          </w:p>
        </w:tc>
        <w:tc>
          <w:tcPr>
            <w:tcW w:w="7243" w:type="dxa"/>
          </w:tcPr>
          <w:p w14:paraId="7CCB3D8E" w14:textId="0E0534F7" w:rsidR="00915077" w:rsidRPr="00E26EF6" w:rsidRDefault="002648B0">
            <w:pPr>
              <w:pStyle w:val="InstructionsText"/>
            </w:pPr>
            <w:r w:rsidRPr="00E26EF6">
              <w:rPr>
                <w:rStyle w:val="InstructionsTabelleberschrift"/>
                <w:rFonts w:ascii="Times New Roman" w:hAnsi="Times New Roman"/>
                <w:sz w:val="24"/>
              </w:rPr>
              <w:t>13.1.2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bezpośrednich udziałów kapitałowych brutto ujętych powyżej</w:t>
            </w:r>
          </w:p>
          <w:p w14:paraId="1C0564BA" w14:textId="466365E5" w:rsidR="00915077" w:rsidRPr="00E26EF6" w:rsidRDefault="002648B0">
            <w:pPr>
              <w:pStyle w:val="InstructionsText"/>
            </w:pPr>
            <w:r w:rsidRPr="00E26EF6">
              <w:t>Art. 59 CRR</w:t>
            </w:r>
          </w:p>
          <w:p w14:paraId="15F5FC07" w14:textId="35C9A0C0" w:rsidR="00915077" w:rsidRPr="00E26EF6" w:rsidRDefault="0014657C">
            <w:pPr>
              <w:pStyle w:val="InstructionsText"/>
              <w:rPr>
                <w:highlight w:val="lightGray"/>
              </w:rPr>
            </w:pPr>
            <w:r w:rsidRPr="00E26EF6">
              <w:t>Art. 59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0DB0D8FF" w14:textId="77777777" w:rsidTr="00672D2A">
        <w:tc>
          <w:tcPr>
            <w:tcW w:w="1506" w:type="dxa"/>
          </w:tcPr>
          <w:p w14:paraId="5A72A2AE" w14:textId="77777777" w:rsidR="00915077" w:rsidRPr="00E26EF6" w:rsidRDefault="002648B0">
            <w:pPr>
              <w:pStyle w:val="InstructionsText"/>
              <w:rPr>
                <w:highlight w:val="lightGray"/>
              </w:rPr>
            </w:pPr>
            <w:r w:rsidRPr="00E26EF6">
              <w:t>340</w:t>
            </w:r>
          </w:p>
        </w:tc>
        <w:tc>
          <w:tcPr>
            <w:tcW w:w="7243" w:type="dxa"/>
          </w:tcPr>
          <w:p w14:paraId="7AD7D79B" w14:textId="53D09AF6" w:rsidR="00915077" w:rsidRPr="00E26EF6" w:rsidRDefault="002648B0">
            <w:pPr>
              <w:pStyle w:val="InstructionsText"/>
            </w:pPr>
            <w:r w:rsidRPr="00E26EF6">
              <w:rPr>
                <w:rStyle w:val="InstructionsTabelleberschrift"/>
                <w:rFonts w:ascii="Times New Roman" w:hAnsi="Times New Roman"/>
                <w:sz w:val="24"/>
              </w:rPr>
              <w:t>13.2</w:t>
            </w:r>
            <w:r w:rsidRPr="00E26EF6">
              <w:rPr>
                <w:rStyle w:val="InstructionsTabelleberschrift"/>
                <w:rFonts w:ascii="Times New Roman" w:hAnsi="Times New Roman"/>
                <w:sz w:val="24"/>
              </w:rPr>
              <w:tab/>
              <w:t>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w:t>
            </w:r>
          </w:p>
          <w:p w14:paraId="457752D0" w14:textId="50034115" w:rsidR="00915077" w:rsidRPr="00E26EF6" w:rsidRDefault="00214FDA">
            <w:pPr>
              <w:pStyle w:val="InstructionsText"/>
              <w:rPr>
                <w:highlight w:val="lightGray"/>
              </w:rPr>
            </w:pPr>
            <w:r w:rsidRPr="00E26EF6">
              <w:t>Art. 4 ust.</w:t>
            </w:r>
            <w:r w:rsidR="00023409" w:rsidRPr="00E26EF6">
              <w:t> </w:t>
            </w:r>
            <w:r w:rsidRPr="00E26EF6">
              <w:t>1 pkt</w:t>
            </w:r>
            <w:r w:rsidR="00023409" w:rsidRPr="00E26EF6">
              <w:t> </w:t>
            </w:r>
            <w:r w:rsidRPr="00E26EF6">
              <w:t>114 oraz art.</w:t>
            </w:r>
            <w:r w:rsidR="00023409" w:rsidRPr="00E26EF6">
              <w:t> </w:t>
            </w:r>
            <w:r w:rsidRPr="00E26EF6">
              <w:t>58</w:t>
            </w:r>
            <w:r w:rsidR="00E26EF6" w:rsidRPr="00E26EF6">
              <w:t xml:space="preserve"> i art</w:t>
            </w:r>
            <w:r w:rsidRPr="00E26EF6">
              <w:t>.</w:t>
            </w:r>
            <w:r w:rsidR="00023409" w:rsidRPr="00E26EF6">
              <w:t> </w:t>
            </w:r>
            <w:r w:rsidRPr="00E26EF6">
              <w:t>59 CRR</w:t>
            </w:r>
          </w:p>
        </w:tc>
      </w:tr>
      <w:tr w:rsidR="00915077" w:rsidRPr="00E26EF6" w14:paraId="0CF08560" w14:textId="77777777" w:rsidTr="00672D2A">
        <w:tc>
          <w:tcPr>
            <w:tcW w:w="1506" w:type="dxa"/>
          </w:tcPr>
          <w:p w14:paraId="54816389" w14:textId="77777777" w:rsidR="00915077" w:rsidRPr="00E26EF6" w:rsidRDefault="002648B0">
            <w:pPr>
              <w:pStyle w:val="InstructionsText"/>
              <w:rPr>
                <w:highlight w:val="lightGray"/>
              </w:rPr>
            </w:pPr>
            <w:r w:rsidRPr="00E26EF6">
              <w:t>350</w:t>
            </w:r>
          </w:p>
        </w:tc>
        <w:tc>
          <w:tcPr>
            <w:tcW w:w="7243" w:type="dxa"/>
          </w:tcPr>
          <w:p w14:paraId="02D461C1" w14:textId="4062C121" w:rsidR="00915077" w:rsidRPr="00E26EF6" w:rsidRDefault="002648B0">
            <w:pPr>
              <w:pStyle w:val="InstructionsText"/>
            </w:pPr>
            <w:r w:rsidRPr="00E26EF6">
              <w:rPr>
                <w:rStyle w:val="InstructionsTabelleberschrift"/>
                <w:rFonts w:ascii="Times New Roman" w:hAnsi="Times New Roman"/>
                <w:sz w:val="24"/>
              </w:rPr>
              <w:t>13.2.1</w:t>
            </w:r>
            <w:r w:rsidRPr="00E26EF6">
              <w:rPr>
                <w:rStyle w:val="InstructionsTabelleberschrift"/>
                <w:rFonts w:ascii="Times New Roman" w:hAnsi="Times New Roman"/>
                <w:sz w:val="24"/>
              </w:rPr>
              <w:tab/>
              <w:t>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w:t>
            </w:r>
          </w:p>
          <w:p w14:paraId="28B6DA91" w14:textId="1745AB76"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58</w:t>
            </w:r>
            <w:r w:rsidR="00E26EF6" w:rsidRPr="00E26EF6">
              <w:t xml:space="preserve"> i art</w:t>
            </w:r>
            <w:r w:rsidRPr="00E26EF6">
              <w:t>.</w:t>
            </w:r>
            <w:r w:rsidR="00023409" w:rsidRPr="00E26EF6">
              <w:t> </w:t>
            </w:r>
            <w:r w:rsidRPr="00E26EF6">
              <w:t>59 CRR</w:t>
            </w:r>
          </w:p>
          <w:p w14:paraId="09EBC206" w14:textId="2D8AD0CB" w:rsidR="00915077" w:rsidRPr="00E26EF6" w:rsidRDefault="002648B0">
            <w:pPr>
              <w:pStyle w:val="InstructionsText"/>
            </w:pPr>
            <w:r w:rsidRPr="00E26EF6">
              <w:t>Kwotą, którą należy zgłosić, są pośrednie udziały kapitałowe</w:t>
            </w:r>
            <w:r w:rsidR="00E26EF6" w:rsidRPr="00E26EF6">
              <w:t xml:space="preserve"> w por</w:t>
            </w:r>
            <w:r w:rsidRPr="00E26EF6">
              <w:t>tfelu handlowym instrumentów kapitałowych podmiotów sektora finansowego, które to udziały przyjmują postać indeksowych papierów wartościowych. Uzyskuje się ją poprzez obliczenie ekspozycji bazowej</w:t>
            </w:r>
            <w:r w:rsidR="00E26EF6" w:rsidRPr="00E26EF6">
              <w:t xml:space="preserve"> z tyt</w:t>
            </w:r>
            <w:r w:rsidRPr="00E26EF6">
              <w:t>ułu instrumentów kapitałowych podmiotów sektora finansowego objętych tymi indeksami.</w:t>
            </w:r>
          </w:p>
          <w:p w14:paraId="347F2663" w14:textId="3C664E10" w:rsidR="00915077" w:rsidRPr="00E26EF6" w:rsidRDefault="002648B0">
            <w:pPr>
              <w:pStyle w:val="InstructionsText"/>
              <w:rPr>
                <w:highlight w:val="lightGray"/>
              </w:rPr>
            </w:pPr>
            <w:r w:rsidRPr="00E26EF6">
              <w:t>Udziały kapitałowe, które traktuje się jako krzyżowe powiązania kapitałowe zgodnie</w:t>
            </w:r>
            <w:r w:rsidR="00E26EF6" w:rsidRPr="00E26EF6">
              <w:t xml:space="preserve"> z art</w:t>
            </w:r>
            <w:r w:rsidRPr="00E26EF6">
              <w:t>.</w:t>
            </w:r>
            <w:r w:rsidR="00023409" w:rsidRPr="00E26EF6">
              <w:t> </w:t>
            </w:r>
            <w:r w:rsidRPr="00E26EF6">
              <w:t>56 lit.</w:t>
            </w:r>
            <w:r w:rsidR="00023409" w:rsidRPr="00E26EF6">
              <w:t> </w:t>
            </w:r>
            <w:r w:rsidRPr="00E26EF6">
              <w:t>b) CRR, nie są uwzględniane.</w:t>
            </w:r>
          </w:p>
        </w:tc>
      </w:tr>
      <w:tr w:rsidR="00915077" w:rsidRPr="00E26EF6" w14:paraId="58329290" w14:textId="77777777" w:rsidTr="00672D2A">
        <w:tc>
          <w:tcPr>
            <w:tcW w:w="1506" w:type="dxa"/>
          </w:tcPr>
          <w:p w14:paraId="02396C73" w14:textId="77777777" w:rsidR="00915077" w:rsidRPr="00E26EF6" w:rsidRDefault="002648B0">
            <w:pPr>
              <w:pStyle w:val="InstructionsText"/>
              <w:rPr>
                <w:highlight w:val="lightGray"/>
              </w:rPr>
            </w:pPr>
            <w:r w:rsidRPr="00E26EF6">
              <w:t>360</w:t>
            </w:r>
          </w:p>
        </w:tc>
        <w:tc>
          <w:tcPr>
            <w:tcW w:w="7243" w:type="dxa"/>
          </w:tcPr>
          <w:p w14:paraId="70023092" w14:textId="78B5591D" w:rsidR="00915077" w:rsidRPr="00E26EF6" w:rsidRDefault="002648B0">
            <w:pPr>
              <w:pStyle w:val="InstructionsText"/>
            </w:pPr>
            <w:r w:rsidRPr="00E26EF6">
              <w:rPr>
                <w:rStyle w:val="InstructionsTabelleberschrift"/>
                <w:rFonts w:ascii="Times New Roman" w:hAnsi="Times New Roman"/>
                <w:sz w:val="24"/>
              </w:rPr>
              <w:t>13.2.2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pośrednich udziałów kapitałowych brutto ujętych powyżej</w:t>
            </w:r>
          </w:p>
          <w:p w14:paraId="1F0E451C" w14:textId="7CE338C7"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59 CRR</w:t>
            </w:r>
          </w:p>
          <w:p w14:paraId="017DF527" w14:textId="6CCF8DEA" w:rsidR="00915077" w:rsidRPr="00E26EF6" w:rsidRDefault="0014657C">
            <w:pPr>
              <w:pStyle w:val="InstructionsText"/>
              <w:rPr>
                <w:highlight w:val="lightGray"/>
              </w:rPr>
            </w:pPr>
            <w:r w:rsidRPr="00E26EF6">
              <w:t>Art. 59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4B0743D4" w14:textId="77777777" w:rsidTr="00672D2A">
        <w:tc>
          <w:tcPr>
            <w:tcW w:w="1506" w:type="dxa"/>
          </w:tcPr>
          <w:p w14:paraId="272D7D66" w14:textId="77777777" w:rsidR="00915077" w:rsidRPr="00E26EF6" w:rsidRDefault="002648B0">
            <w:pPr>
              <w:pStyle w:val="InstructionsText"/>
              <w:rPr>
                <w:highlight w:val="lightGray"/>
              </w:rPr>
            </w:pPr>
            <w:r w:rsidRPr="00E26EF6">
              <w:t>361</w:t>
            </w:r>
          </w:p>
        </w:tc>
        <w:tc>
          <w:tcPr>
            <w:tcW w:w="7243" w:type="dxa"/>
            <w:vAlign w:val="center"/>
          </w:tcPr>
          <w:p w14:paraId="17308441" w14:textId="31A46765" w:rsidR="00915077" w:rsidRPr="00E26EF6" w:rsidRDefault="002648B0">
            <w:pPr>
              <w:pStyle w:val="InstructionsText"/>
            </w:pPr>
            <w:r w:rsidRPr="00E26EF6">
              <w:rPr>
                <w:rStyle w:val="InstructionsTabelleberschrift"/>
                <w:rFonts w:ascii="Times New Roman" w:hAnsi="Times New Roman"/>
                <w:sz w:val="24"/>
              </w:rPr>
              <w:t>13.3</w:t>
            </w:r>
            <w:r w:rsidRPr="00E26EF6">
              <w:rPr>
                <w:rStyle w:val="InstructionsTabelleberschrift"/>
                <w:rFonts w:ascii="Times New Roman" w:hAnsi="Times New Roman"/>
                <w:sz w:val="24"/>
              </w:rPr>
              <w:tab/>
              <w:t>Syntetyczne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w:t>
            </w:r>
          </w:p>
          <w:p w14:paraId="3B4E6F0E" w14:textId="4137F737"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58</w:t>
            </w:r>
            <w:r w:rsidR="00E26EF6" w:rsidRPr="00E26EF6">
              <w:t xml:space="preserve"> i art</w:t>
            </w:r>
            <w:r w:rsidRPr="00E26EF6">
              <w:t>.</w:t>
            </w:r>
            <w:r w:rsidR="00023409" w:rsidRPr="00E26EF6">
              <w:t> </w:t>
            </w:r>
            <w:r w:rsidRPr="00E26EF6">
              <w:t>59 CRR</w:t>
            </w:r>
          </w:p>
        </w:tc>
      </w:tr>
      <w:tr w:rsidR="00915077" w:rsidRPr="00E26EF6" w14:paraId="00F211BB" w14:textId="77777777" w:rsidTr="00672D2A">
        <w:tc>
          <w:tcPr>
            <w:tcW w:w="1506" w:type="dxa"/>
          </w:tcPr>
          <w:p w14:paraId="70C1EA63" w14:textId="77777777" w:rsidR="00915077" w:rsidRPr="00E26EF6" w:rsidRDefault="002648B0">
            <w:pPr>
              <w:pStyle w:val="InstructionsText"/>
              <w:rPr>
                <w:highlight w:val="lightGray"/>
              </w:rPr>
            </w:pPr>
            <w:r w:rsidRPr="00E26EF6">
              <w:t>362</w:t>
            </w:r>
          </w:p>
        </w:tc>
        <w:tc>
          <w:tcPr>
            <w:tcW w:w="7243" w:type="dxa"/>
            <w:vAlign w:val="center"/>
          </w:tcPr>
          <w:p w14:paraId="5A49D804" w14:textId="66AEC521" w:rsidR="00915077" w:rsidRPr="00E26EF6" w:rsidRDefault="002648B0">
            <w:pPr>
              <w:pStyle w:val="InstructionsText"/>
            </w:pPr>
            <w:r w:rsidRPr="00E26EF6">
              <w:rPr>
                <w:rStyle w:val="InstructionsTabelleberschrift"/>
                <w:rFonts w:ascii="Times New Roman" w:hAnsi="Times New Roman"/>
                <w:sz w:val="24"/>
              </w:rPr>
              <w:t>13.3.1</w:t>
            </w:r>
            <w:r w:rsidRPr="00E26EF6">
              <w:rPr>
                <w:rStyle w:val="InstructionsTabelleberschrift"/>
                <w:rFonts w:ascii="Times New Roman" w:hAnsi="Times New Roman"/>
                <w:sz w:val="24"/>
              </w:rPr>
              <w:tab/>
              <w:t>Syntetyczne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w:t>
            </w:r>
          </w:p>
          <w:p w14:paraId="5DF0FBA0" w14:textId="61BB4B80"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58</w:t>
            </w:r>
            <w:r w:rsidR="00E26EF6" w:rsidRPr="00E26EF6">
              <w:t xml:space="preserve"> i art</w:t>
            </w:r>
            <w:r w:rsidRPr="00E26EF6">
              <w:t>.</w:t>
            </w:r>
            <w:r w:rsidR="00023409" w:rsidRPr="00E26EF6">
              <w:t> </w:t>
            </w:r>
            <w:r w:rsidRPr="00E26EF6">
              <w:t>59 CRR</w:t>
            </w:r>
          </w:p>
        </w:tc>
      </w:tr>
      <w:tr w:rsidR="00915077" w:rsidRPr="00E26EF6" w14:paraId="62F7A341" w14:textId="77777777" w:rsidTr="00672D2A">
        <w:tc>
          <w:tcPr>
            <w:tcW w:w="1506" w:type="dxa"/>
          </w:tcPr>
          <w:p w14:paraId="619ED5EC" w14:textId="77777777" w:rsidR="00915077" w:rsidRPr="00E26EF6" w:rsidRDefault="002648B0">
            <w:pPr>
              <w:pStyle w:val="InstructionsText"/>
              <w:rPr>
                <w:highlight w:val="lightGray"/>
              </w:rPr>
            </w:pPr>
            <w:r w:rsidRPr="00E26EF6">
              <w:t>363</w:t>
            </w:r>
          </w:p>
        </w:tc>
        <w:tc>
          <w:tcPr>
            <w:tcW w:w="7243" w:type="dxa"/>
            <w:vAlign w:val="center"/>
          </w:tcPr>
          <w:p w14:paraId="2581B845" w14:textId="75CBCFAD" w:rsidR="00915077" w:rsidRPr="00E26EF6" w:rsidRDefault="002648B0">
            <w:pPr>
              <w:pStyle w:val="InstructionsText"/>
            </w:pPr>
            <w:r w:rsidRPr="00E26EF6">
              <w:rPr>
                <w:rStyle w:val="InstructionsTabelleberschrift"/>
                <w:rFonts w:ascii="Times New Roman" w:hAnsi="Times New Roman"/>
                <w:sz w:val="24"/>
              </w:rPr>
              <w:t>13.3.2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syntetycznych udziałów kapitałowych brutto ujętych powyżej</w:t>
            </w:r>
          </w:p>
          <w:p w14:paraId="7C8705D4" w14:textId="265BE53A"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59 CRR</w:t>
            </w:r>
          </w:p>
        </w:tc>
      </w:tr>
      <w:tr w:rsidR="00915077" w:rsidRPr="00E26EF6" w14:paraId="31852CE7" w14:textId="77777777" w:rsidTr="00672D2A">
        <w:tc>
          <w:tcPr>
            <w:tcW w:w="1506" w:type="dxa"/>
          </w:tcPr>
          <w:p w14:paraId="513EDD96" w14:textId="77777777" w:rsidR="00915077" w:rsidRPr="00E26EF6" w:rsidRDefault="002648B0">
            <w:pPr>
              <w:pStyle w:val="InstructionsText"/>
              <w:rPr>
                <w:highlight w:val="lightGray"/>
              </w:rPr>
            </w:pPr>
            <w:r w:rsidRPr="00E26EF6">
              <w:lastRenderedPageBreak/>
              <w:t>370</w:t>
            </w:r>
          </w:p>
        </w:tc>
        <w:tc>
          <w:tcPr>
            <w:tcW w:w="7243" w:type="dxa"/>
          </w:tcPr>
          <w:p w14:paraId="73C7AFB0" w14:textId="792E8DAB" w:rsidR="00915077" w:rsidRPr="00E26EF6" w:rsidRDefault="00C66473">
            <w:pPr>
              <w:pStyle w:val="InstructionsText"/>
            </w:pPr>
            <w:r w:rsidRPr="00E26EF6">
              <w:rPr>
                <w:rStyle w:val="InstructionsTabelleberschrift"/>
                <w:rFonts w:ascii="Times New Roman" w:hAnsi="Times New Roman"/>
                <w:sz w:val="24"/>
              </w:rPr>
              <w:t>14.</w:t>
            </w:r>
            <w:r w:rsidRPr="00E26EF6">
              <w:rPr>
                <w:rStyle w:val="InstructionsTabelleberschrift"/>
                <w:rFonts w:ascii="Times New Roman" w:hAnsi="Times New Roman"/>
                <w:sz w:val="24"/>
              </w:rPr>
              <w:tab/>
              <w:t>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 po odliczeniu pozycji krótkich</w:t>
            </w:r>
          </w:p>
          <w:p w14:paraId="4EABD7DE" w14:textId="2E124D92" w:rsidR="00915077" w:rsidRPr="00E26EF6" w:rsidRDefault="002648B0">
            <w:pPr>
              <w:pStyle w:val="InstructionsText"/>
              <w:rPr>
                <w:highlight w:val="lightGray"/>
              </w:rPr>
            </w:pPr>
            <w:r w:rsidRPr="00E26EF6">
              <w:t>Art. 68, 69</w:t>
            </w:r>
            <w:r w:rsidR="00E26EF6" w:rsidRPr="00E26EF6">
              <w:t xml:space="preserve"> i 7</w:t>
            </w:r>
            <w:r w:rsidRPr="00E26EF6">
              <w:t>0 CRR</w:t>
            </w:r>
          </w:p>
        </w:tc>
      </w:tr>
      <w:tr w:rsidR="00915077" w:rsidRPr="00E26EF6" w14:paraId="74CC32C1" w14:textId="77777777" w:rsidTr="00672D2A">
        <w:tc>
          <w:tcPr>
            <w:tcW w:w="1506" w:type="dxa"/>
          </w:tcPr>
          <w:p w14:paraId="5D1857CF" w14:textId="77777777" w:rsidR="00915077" w:rsidRPr="00E26EF6" w:rsidRDefault="002648B0">
            <w:pPr>
              <w:pStyle w:val="InstructionsText"/>
              <w:rPr>
                <w:highlight w:val="lightGray"/>
              </w:rPr>
            </w:pPr>
            <w:r w:rsidRPr="00E26EF6">
              <w:t>380</w:t>
            </w:r>
          </w:p>
        </w:tc>
        <w:tc>
          <w:tcPr>
            <w:tcW w:w="7243" w:type="dxa"/>
          </w:tcPr>
          <w:p w14:paraId="09ED7B64" w14:textId="20649037" w:rsidR="00915077" w:rsidRPr="00E26EF6" w:rsidRDefault="002648B0">
            <w:pPr>
              <w:pStyle w:val="InstructionsText"/>
            </w:pPr>
            <w:r w:rsidRPr="00E26EF6">
              <w:rPr>
                <w:rStyle w:val="InstructionsTabelleberschrift"/>
                <w:rFonts w:ascii="Times New Roman" w:hAnsi="Times New Roman"/>
                <w:sz w:val="24"/>
              </w:rPr>
              <w:t>14.1</w:t>
            </w:r>
            <w:r w:rsidRPr="00E26EF6">
              <w:rPr>
                <w:rStyle w:val="InstructionsTabelleberschrift"/>
                <w:rFonts w:ascii="Times New Roman" w:hAnsi="Times New Roman"/>
                <w:sz w:val="24"/>
              </w:rPr>
              <w:tab/>
              <w:t>Bezpośrednie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w:t>
            </w:r>
          </w:p>
          <w:p w14:paraId="76A360F9" w14:textId="2FA06BD9" w:rsidR="00915077" w:rsidRPr="00E26EF6" w:rsidRDefault="002648B0">
            <w:pPr>
              <w:pStyle w:val="InstructionsText"/>
              <w:rPr>
                <w:highlight w:val="lightGray"/>
              </w:rPr>
            </w:pPr>
            <w:r w:rsidRPr="00E26EF6">
              <w:t>Art. 68</w:t>
            </w:r>
            <w:r w:rsidR="00E26EF6" w:rsidRPr="00E26EF6">
              <w:t xml:space="preserve"> i art</w:t>
            </w:r>
            <w:r w:rsidRPr="00E26EF6">
              <w:t>.</w:t>
            </w:r>
            <w:r w:rsidR="00023409" w:rsidRPr="00E26EF6">
              <w:t> </w:t>
            </w:r>
            <w:r w:rsidRPr="00E26EF6">
              <w:t>69 oraz art.</w:t>
            </w:r>
            <w:r w:rsidR="00023409" w:rsidRPr="00E26EF6">
              <w:t> </w:t>
            </w:r>
            <w:r w:rsidRPr="00E26EF6">
              <w:t>70 ust.</w:t>
            </w:r>
            <w:r w:rsidR="00023409" w:rsidRPr="00E26EF6">
              <w:t> </w:t>
            </w:r>
            <w:r w:rsidRPr="00E26EF6">
              <w:t>2 CRR</w:t>
            </w:r>
          </w:p>
        </w:tc>
      </w:tr>
      <w:tr w:rsidR="00915077" w:rsidRPr="00E26EF6" w14:paraId="45454979" w14:textId="77777777" w:rsidTr="00672D2A">
        <w:tc>
          <w:tcPr>
            <w:tcW w:w="1506" w:type="dxa"/>
          </w:tcPr>
          <w:p w14:paraId="58C41185" w14:textId="77777777" w:rsidR="00915077" w:rsidRPr="00E26EF6" w:rsidRDefault="002648B0">
            <w:pPr>
              <w:pStyle w:val="InstructionsText"/>
              <w:rPr>
                <w:highlight w:val="lightGray"/>
              </w:rPr>
            </w:pPr>
            <w:r w:rsidRPr="00E26EF6">
              <w:t>390</w:t>
            </w:r>
          </w:p>
        </w:tc>
        <w:tc>
          <w:tcPr>
            <w:tcW w:w="7243" w:type="dxa"/>
          </w:tcPr>
          <w:p w14:paraId="74E0FB72" w14:textId="6DD554B1" w:rsidR="00915077" w:rsidRPr="00E26EF6" w:rsidRDefault="002648B0">
            <w:pPr>
              <w:pStyle w:val="InstructionsText"/>
            </w:pPr>
            <w:r w:rsidRPr="00E26EF6">
              <w:rPr>
                <w:rStyle w:val="InstructionsTabelleberschrift"/>
                <w:rFonts w:ascii="Times New Roman" w:hAnsi="Times New Roman"/>
                <w:sz w:val="24"/>
              </w:rPr>
              <w:t>14.1.1</w:t>
            </w:r>
            <w:r w:rsidRPr="00E26EF6">
              <w:rPr>
                <w:rStyle w:val="InstructionsTabelleberschrift"/>
                <w:rFonts w:ascii="Times New Roman" w:hAnsi="Times New Roman"/>
                <w:sz w:val="24"/>
              </w:rPr>
              <w:tab/>
              <w:t>Bezpośrednie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w:t>
            </w:r>
          </w:p>
          <w:p w14:paraId="761B4656" w14:textId="088A9652" w:rsidR="00915077" w:rsidRPr="00E26EF6" w:rsidRDefault="002648B0">
            <w:pPr>
              <w:pStyle w:val="InstructionsText"/>
            </w:pPr>
            <w:r w:rsidRPr="00E26EF6">
              <w:t>Art. 68</w:t>
            </w:r>
            <w:r w:rsidR="00E26EF6" w:rsidRPr="00E26EF6">
              <w:t xml:space="preserve"> i art</w:t>
            </w:r>
            <w:r w:rsidRPr="00E26EF6">
              <w:t>.</w:t>
            </w:r>
            <w:r w:rsidR="00023409" w:rsidRPr="00E26EF6">
              <w:t> </w:t>
            </w:r>
            <w:r w:rsidRPr="00E26EF6">
              <w:t>70 ust.</w:t>
            </w:r>
            <w:r w:rsidR="00023409" w:rsidRPr="00E26EF6">
              <w:t> </w:t>
            </w:r>
            <w:r w:rsidRPr="00E26EF6">
              <w:t>2 CRR</w:t>
            </w:r>
          </w:p>
          <w:p w14:paraId="0F665040" w14:textId="03351FE7" w:rsidR="00915077" w:rsidRPr="00E26EF6" w:rsidRDefault="002648B0">
            <w:pPr>
              <w:pStyle w:val="InstructionsText"/>
            </w:pPr>
            <w:r w:rsidRPr="00E26EF6">
              <w:t>Bezpośrednie udziały kapitałowe</w:t>
            </w:r>
            <w:r w:rsidR="00E26EF6" w:rsidRPr="00E26EF6">
              <w:t xml:space="preserve"> w kap</w:t>
            </w:r>
            <w:r w:rsidRPr="00E26EF6">
              <w:t>itale Tier II podmiotów sektora finansowego, jeżeli instytucja nie dokonała znacznej inwestycji w te podmioty,</w:t>
            </w:r>
            <w:r w:rsidR="00E26EF6" w:rsidRPr="00E26EF6">
              <w:t xml:space="preserve"> z wył</w:t>
            </w:r>
            <w:r w:rsidRPr="00E26EF6">
              <w:t>ączeniem:</w:t>
            </w:r>
          </w:p>
          <w:p w14:paraId="6321563A" w14:textId="1D353069" w:rsidR="00915077" w:rsidRPr="00E26EF6" w:rsidRDefault="002648B0">
            <w:pPr>
              <w:pStyle w:val="InstructionsText"/>
            </w:pPr>
            <w:r w:rsidRPr="00E26EF6">
              <w:t>a</w:t>
            </w:r>
            <w:proofErr w:type="gramStart"/>
            <w:r w:rsidRPr="00E26EF6">
              <w:t>)</w:t>
            </w:r>
            <w:r w:rsidRPr="00E26EF6">
              <w:tab/>
              <w:t>pozycji</w:t>
            </w:r>
            <w:proofErr w:type="gramEnd"/>
            <w:r w:rsidR="00E26EF6" w:rsidRPr="00E26EF6">
              <w:t xml:space="preserve"> z tyt</w:t>
            </w:r>
            <w:r w:rsidRPr="00E26EF6">
              <w:t xml:space="preserve">ułu gwarantowania emisji utrzymywanych nie dłużej niż przez 5 dni roboczych; oraz </w:t>
            </w:r>
          </w:p>
          <w:p w14:paraId="10F5EB01" w14:textId="5A6598C7" w:rsidR="00915077" w:rsidRPr="00E26EF6" w:rsidRDefault="002648B0">
            <w:pPr>
              <w:pStyle w:val="InstructionsText"/>
              <w:rPr>
                <w:highlight w:val="lightGray"/>
              </w:rPr>
            </w:pPr>
            <w:r w:rsidRPr="00E26EF6">
              <w:t>b</w:t>
            </w:r>
            <w:proofErr w:type="gramStart"/>
            <w:r w:rsidRPr="00E26EF6">
              <w:t>)</w:t>
            </w:r>
            <w:r w:rsidRPr="00E26EF6">
              <w:tab/>
              <w:t>udziałów</w:t>
            </w:r>
            <w:proofErr w:type="gramEnd"/>
            <w:r w:rsidRPr="00E26EF6">
              <w:t xml:space="preserve"> kapitałowych, które traktuje się jako krzyżowe powiązania kapitałowe zgodnie</w:t>
            </w:r>
            <w:r w:rsidR="00E26EF6" w:rsidRPr="00E26EF6">
              <w:t xml:space="preserve"> z art</w:t>
            </w:r>
            <w:r w:rsidRPr="00E26EF6">
              <w:t>.</w:t>
            </w:r>
            <w:r w:rsidR="00023409" w:rsidRPr="00E26EF6">
              <w:t> </w:t>
            </w:r>
            <w:r w:rsidRPr="00E26EF6">
              <w:t>66 lit.</w:t>
            </w:r>
            <w:r w:rsidR="00023409" w:rsidRPr="00E26EF6">
              <w:t> </w:t>
            </w:r>
            <w:r w:rsidRPr="00E26EF6">
              <w:t>b) CRR.</w:t>
            </w:r>
          </w:p>
        </w:tc>
      </w:tr>
      <w:tr w:rsidR="00915077" w:rsidRPr="00E26EF6" w14:paraId="55FF7D47" w14:textId="77777777" w:rsidTr="00672D2A">
        <w:tc>
          <w:tcPr>
            <w:tcW w:w="1506" w:type="dxa"/>
          </w:tcPr>
          <w:p w14:paraId="0E208512" w14:textId="77777777" w:rsidR="00915077" w:rsidRPr="00E26EF6" w:rsidRDefault="002648B0">
            <w:pPr>
              <w:pStyle w:val="InstructionsText"/>
              <w:rPr>
                <w:highlight w:val="lightGray"/>
              </w:rPr>
            </w:pPr>
            <w:r w:rsidRPr="00E26EF6">
              <w:t>400</w:t>
            </w:r>
          </w:p>
        </w:tc>
        <w:tc>
          <w:tcPr>
            <w:tcW w:w="7243" w:type="dxa"/>
          </w:tcPr>
          <w:p w14:paraId="109DBC6A" w14:textId="3580FFFD" w:rsidR="00915077" w:rsidRPr="00E26EF6" w:rsidRDefault="002648B0">
            <w:pPr>
              <w:pStyle w:val="InstructionsText"/>
            </w:pPr>
            <w:r w:rsidRPr="00E26EF6">
              <w:rPr>
                <w:rStyle w:val="InstructionsTabelleberschrift"/>
                <w:rFonts w:ascii="Times New Roman" w:hAnsi="Times New Roman"/>
                <w:sz w:val="24"/>
              </w:rPr>
              <w:t>14.1.2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bezpośrednich udziałów kapitałowych brutto ujętych powyżej</w:t>
            </w:r>
          </w:p>
          <w:p w14:paraId="0E51DCD1" w14:textId="7D1680D0" w:rsidR="00915077" w:rsidRPr="00E26EF6" w:rsidRDefault="002648B0">
            <w:pPr>
              <w:pStyle w:val="InstructionsText"/>
            </w:pPr>
            <w:r w:rsidRPr="00E26EF6">
              <w:t>Art. 69 CRR</w:t>
            </w:r>
          </w:p>
          <w:p w14:paraId="7590FB24" w14:textId="4373FAF0" w:rsidR="00915077" w:rsidRPr="00E26EF6" w:rsidRDefault="0014657C">
            <w:pPr>
              <w:pStyle w:val="InstructionsText"/>
              <w:rPr>
                <w:highlight w:val="lightGray"/>
              </w:rPr>
            </w:pPr>
            <w:r w:rsidRPr="00E26EF6">
              <w:t>Art. 69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24C30F33" w14:textId="77777777" w:rsidTr="00672D2A">
        <w:tc>
          <w:tcPr>
            <w:tcW w:w="1506" w:type="dxa"/>
          </w:tcPr>
          <w:p w14:paraId="4575E788" w14:textId="77777777" w:rsidR="00915077" w:rsidRPr="00E26EF6" w:rsidRDefault="002648B0">
            <w:pPr>
              <w:pStyle w:val="InstructionsText"/>
              <w:rPr>
                <w:highlight w:val="lightGray"/>
              </w:rPr>
            </w:pPr>
            <w:r w:rsidRPr="00E26EF6">
              <w:t>410</w:t>
            </w:r>
          </w:p>
        </w:tc>
        <w:tc>
          <w:tcPr>
            <w:tcW w:w="7243" w:type="dxa"/>
          </w:tcPr>
          <w:p w14:paraId="574024F8" w14:textId="60E724CE" w:rsidR="00915077" w:rsidRPr="00E26EF6" w:rsidRDefault="002648B0">
            <w:pPr>
              <w:pStyle w:val="InstructionsText"/>
            </w:pPr>
            <w:r w:rsidRPr="00E26EF6">
              <w:rPr>
                <w:rStyle w:val="InstructionsTabelleberschrift"/>
                <w:rFonts w:ascii="Times New Roman" w:hAnsi="Times New Roman"/>
                <w:sz w:val="24"/>
              </w:rPr>
              <w:t>14.2</w:t>
            </w:r>
            <w:r w:rsidRPr="00E26EF6">
              <w:rPr>
                <w:rStyle w:val="InstructionsTabelleberschrift"/>
                <w:rFonts w:ascii="Times New Roman" w:hAnsi="Times New Roman"/>
                <w:sz w:val="24"/>
              </w:rPr>
              <w:tab/>
              <w:t>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w:t>
            </w:r>
          </w:p>
          <w:p w14:paraId="52D732C2" w14:textId="477F080D" w:rsidR="00915077" w:rsidRPr="00E26EF6" w:rsidRDefault="00214FDA">
            <w:pPr>
              <w:pStyle w:val="InstructionsText"/>
              <w:rPr>
                <w:highlight w:val="lightGray"/>
              </w:rPr>
            </w:pPr>
            <w:r w:rsidRPr="00E26EF6">
              <w:t>Art. 4 ust.</w:t>
            </w:r>
            <w:r w:rsidR="00023409" w:rsidRPr="00E26EF6">
              <w:t> </w:t>
            </w:r>
            <w:r w:rsidRPr="00E26EF6">
              <w:t>1 pkt</w:t>
            </w:r>
            <w:r w:rsidR="00023409" w:rsidRPr="00E26EF6">
              <w:t> </w:t>
            </w:r>
            <w:r w:rsidRPr="00E26EF6">
              <w:t>114 oraz art.</w:t>
            </w:r>
            <w:r w:rsidR="00023409" w:rsidRPr="00E26EF6">
              <w:t> </w:t>
            </w:r>
            <w:r w:rsidRPr="00E26EF6">
              <w:t>68</w:t>
            </w:r>
            <w:r w:rsidR="00E26EF6" w:rsidRPr="00E26EF6">
              <w:t xml:space="preserve"> i art</w:t>
            </w:r>
            <w:r w:rsidRPr="00E26EF6">
              <w:t>.</w:t>
            </w:r>
            <w:r w:rsidR="00023409" w:rsidRPr="00E26EF6">
              <w:t> </w:t>
            </w:r>
            <w:r w:rsidRPr="00E26EF6">
              <w:t>69 CRR</w:t>
            </w:r>
          </w:p>
        </w:tc>
      </w:tr>
      <w:tr w:rsidR="00915077" w:rsidRPr="00E26EF6" w14:paraId="3C63B77C" w14:textId="77777777" w:rsidTr="00672D2A">
        <w:tc>
          <w:tcPr>
            <w:tcW w:w="1506" w:type="dxa"/>
          </w:tcPr>
          <w:p w14:paraId="6A2ADF62" w14:textId="77777777" w:rsidR="00915077" w:rsidRPr="00E26EF6" w:rsidRDefault="002648B0">
            <w:pPr>
              <w:pStyle w:val="InstructionsText"/>
              <w:rPr>
                <w:highlight w:val="lightGray"/>
              </w:rPr>
            </w:pPr>
            <w:r w:rsidRPr="00E26EF6">
              <w:t>420</w:t>
            </w:r>
          </w:p>
        </w:tc>
        <w:tc>
          <w:tcPr>
            <w:tcW w:w="7243" w:type="dxa"/>
          </w:tcPr>
          <w:p w14:paraId="09C893DD" w14:textId="48EC12FF" w:rsidR="00915077" w:rsidRPr="00E26EF6" w:rsidRDefault="002648B0">
            <w:pPr>
              <w:pStyle w:val="InstructionsText"/>
            </w:pPr>
            <w:r w:rsidRPr="00E26EF6">
              <w:rPr>
                <w:rStyle w:val="InstructionsTabelleberschrift"/>
                <w:rFonts w:ascii="Times New Roman" w:hAnsi="Times New Roman"/>
                <w:sz w:val="24"/>
              </w:rPr>
              <w:t>14.2.1</w:t>
            </w:r>
            <w:r w:rsidRPr="00E26EF6">
              <w:rPr>
                <w:rStyle w:val="InstructionsTabelleberschrift"/>
                <w:rFonts w:ascii="Times New Roman" w:hAnsi="Times New Roman"/>
                <w:sz w:val="24"/>
              </w:rPr>
              <w:tab/>
              <w:t>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w:t>
            </w:r>
          </w:p>
          <w:p w14:paraId="6EDD2FEB" w14:textId="7D8169FD"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68</w:t>
            </w:r>
            <w:r w:rsidR="00E26EF6" w:rsidRPr="00E26EF6">
              <w:t xml:space="preserve"> i art</w:t>
            </w:r>
            <w:r w:rsidRPr="00E26EF6">
              <w:t>.</w:t>
            </w:r>
            <w:r w:rsidR="00023409" w:rsidRPr="00E26EF6">
              <w:t> </w:t>
            </w:r>
            <w:r w:rsidRPr="00E26EF6">
              <w:t>69 CRR</w:t>
            </w:r>
          </w:p>
          <w:p w14:paraId="368431C6" w14:textId="7319FA0E" w:rsidR="00915077" w:rsidRPr="00E26EF6" w:rsidRDefault="002648B0">
            <w:pPr>
              <w:pStyle w:val="InstructionsText"/>
            </w:pPr>
            <w:r w:rsidRPr="00E26EF6">
              <w:t>Kwotą, którą należy zgłosić, są pośrednie udziały kapitałowe</w:t>
            </w:r>
            <w:r w:rsidR="00E26EF6" w:rsidRPr="00E26EF6">
              <w:t xml:space="preserve"> w por</w:t>
            </w:r>
            <w:r w:rsidRPr="00E26EF6">
              <w:t>tfelu handlowym instrumentów kapitałowych podmiotów sektora finansowego, które to udziały przyjmują postać indeksowych papierów wartościowych. Uzyskuje się ją poprzez obliczenie ekspozycji bazowej</w:t>
            </w:r>
            <w:r w:rsidR="00E26EF6" w:rsidRPr="00E26EF6">
              <w:t xml:space="preserve"> z tyt</w:t>
            </w:r>
            <w:r w:rsidRPr="00E26EF6">
              <w:t>ułu instrumentów kapitałowych podmiotów sektora finansowego objętych tymi indeksami.</w:t>
            </w:r>
          </w:p>
          <w:p w14:paraId="087645E2" w14:textId="1479842B" w:rsidR="00915077" w:rsidRPr="00E26EF6" w:rsidRDefault="002648B0">
            <w:pPr>
              <w:pStyle w:val="InstructionsText"/>
              <w:rPr>
                <w:highlight w:val="lightGray"/>
              </w:rPr>
            </w:pPr>
            <w:r w:rsidRPr="00E26EF6">
              <w:t>Udziały kapitałowe, które traktuje się jako krzyżowe powiązania kapitałowe zgodnie</w:t>
            </w:r>
            <w:r w:rsidR="00E26EF6" w:rsidRPr="00E26EF6">
              <w:t xml:space="preserve"> z art</w:t>
            </w:r>
            <w:r w:rsidRPr="00E26EF6">
              <w:t>.</w:t>
            </w:r>
            <w:r w:rsidR="00023409" w:rsidRPr="00E26EF6">
              <w:t> </w:t>
            </w:r>
            <w:r w:rsidRPr="00E26EF6">
              <w:t>66 lit.</w:t>
            </w:r>
            <w:r w:rsidR="00023409" w:rsidRPr="00E26EF6">
              <w:t> </w:t>
            </w:r>
            <w:r w:rsidRPr="00E26EF6">
              <w:t>b) CRR, nie są uwzględniane.</w:t>
            </w:r>
          </w:p>
        </w:tc>
      </w:tr>
      <w:tr w:rsidR="00915077" w:rsidRPr="00E26EF6" w14:paraId="6D0912EA" w14:textId="77777777" w:rsidTr="00672D2A">
        <w:tc>
          <w:tcPr>
            <w:tcW w:w="1506" w:type="dxa"/>
          </w:tcPr>
          <w:p w14:paraId="5882D55B" w14:textId="77777777" w:rsidR="00915077" w:rsidRPr="00E26EF6" w:rsidRDefault="002648B0">
            <w:pPr>
              <w:pStyle w:val="InstructionsText"/>
              <w:rPr>
                <w:highlight w:val="lightGray"/>
              </w:rPr>
            </w:pPr>
            <w:r w:rsidRPr="00E26EF6">
              <w:t>430</w:t>
            </w:r>
          </w:p>
        </w:tc>
        <w:tc>
          <w:tcPr>
            <w:tcW w:w="7243" w:type="dxa"/>
          </w:tcPr>
          <w:p w14:paraId="2E3FDE93" w14:textId="791C2F71" w:rsidR="00915077" w:rsidRPr="00E26EF6" w:rsidRDefault="002648B0">
            <w:pPr>
              <w:pStyle w:val="InstructionsText"/>
            </w:pPr>
            <w:r w:rsidRPr="00E26EF6">
              <w:rPr>
                <w:rStyle w:val="InstructionsTabelleberschrift"/>
                <w:rFonts w:ascii="Times New Roman" w:hAnsi="Times New Roman"/>
                <w:sz w:val="24"/>
              </w:rPr>
              <w:t>14.2.2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pośrednich udziałów kapitałowych brutto ujętych powyżej</w:t>
            </w:r>
          </w:p>
          <w:p w14:paraId="634A7110" w14:textId="0F26DF97"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69 CRR</w:t>
            </w:r>
          </w:p>
          <w:p w14:paraId="39E04D7A" w14:textId="2EB487DF" w:rsidR="00915077" w:rsidRPr="00E26EF6" w:rsidRDefault="0014657C">
            <w:pPr>
              <w:pStyle w:val="InstructionsText"/>
              <w:rPr>
                <w:highlight w:val="lightGray"/>
              </w:rPr>
            </w:pPr>
            <w:r w:rsidRPr="00E26EF6">
              <w:lastRenderedPageBreak/>
              <w:t>Art. 69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47346F95" w14:textId="77777777" w:rsidTr="00672D2A">
        <w:tc>
          <w:tcPr>
            <w:tcW w:w="1506" w:type="dxa"/>
          </w:tcPr>
          <w:p w14:paraId="102793CC" w14:textId="77777777" w:rsidR="00915077" w:rsidRPr="00E26EF6" w:rsidRDefault="00DE5A31">
            <w:pPr>
              <w:pStyle w:val="InstructionsText"/>
              <w:rPr>
                <w:highlight w:val="lightGray"/>
              </w:rPr>
            </w:pPr>
            <w:r w:rsidRPr="00E26EF6">
              <w:lastRenderedPageBreak/>
              <w:t>431</w:t>
            </w:r>
          </w:p>
        </w:tc>
        <w:tc>
          <w:tcPr>
            <w:tcW w:w="7243" w:type="dxa"/>
          </w:tcPr>
          <w:p w14:paraId="595DA517" w14:textId="0AAB27D0" w:rsidR="00915077" w:rsidRPr="00E26EF6" w:rsidRDefault="00DE5A31">
            <w:pPr>
              <w:pStyle w:val="InstructionsText"/>
            </w:pPr>
            <w:r w:rsidRPr="00E26EF6">
              <w:rPr>
                <w:rStyle w:val="InstructionsTabelleberschrift"/>
                <w:rFonts w:ascii="Times New Roman" w:hAnsi="Times New Roman"/>
                <w:sz w:val="24"/>
              </w:rPr>
              <w:t>14.3</w:t>
            </w:r>
            <w:r w:rsidRPr="00E26EF6">
              <w:rPr>
                <w:rStyle w:val="InstructionsTabelleberschrift"/>
                <w:rFonts w:ascii="Times New Roman" w:hAnsi="Times New Roman"/>
                <w:sz w:val="24"/>
              </w:rPr>
              <w:tab/>
              <w:t>Syntetyczne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w:t>
            </w:r>
          </w:p>
          <w:p w14:paraId="78935518" w14:textId="50E5C619" w:rsidR="00915077" w:rsidRPr="00E26EF6" w:rsidRDefault="00214FDA">
            <w:pPr>
              <w:pStyle w:val="InstructionsText"/>
              <w:rPr>
                <w:rStyle w:val="InstructionsTabelleberschrift"/>
                <w:rFonts w:ascii="Times New Roman" w:hAnsi="Times New Roman"/>
                <w:sz w:val="24"/>
                <w:highlight w:val="lightGray"/>
              </w:rPr>
            </w:pPr>
            <w:r w:rsidRPr="00E26EF6">
              <w:t>Art. 4 ust.</w:t>
            </w:r>
            <w:r w:rsidR="00023409" w:rsidRPr="00E26EF6">
              <w:t> </w:t>
            </w:r>
            <w:r w:rsidRPr="00E26EF6">
              <w:t>1 pkt</w:t>
            </w:r>
            <w:r w:rsidR="00023409" w:rsidRPr="00E26EF6">
              <w:t> </w:t>
            </w:r>
            <w:r w:rsidRPr="00E26EF6">
              <w:t>126 oraz art.</w:t>
            </w:r>
            <w:r w:rsidR="00023409" w:rsidRPr="00E26EF6">
              <w:t> </w:t>
            </w:r>
            <w:r w:rsidRPr="00E26EF6">
              <w:t>68</w:t>
            </w:r>
            <w:r w:rsidR="00E26EF6" w:rsidRPr="00E26EF6">
              <w:t xml:space="preserve"> i art</w:t>
            </w:r>
            <w:r w:rsidRPr="00E26EF6">
              <w:t>.</w:t>
            </w:r>
            <w:r w:rsidR="00023409" w:rsidRPr="00E26EF6">
              <w:t> </w:t>
            </w:r>
            <w:r w:rsidRPr="00E26EF6">
              <w:t>69 CRR</w:t>
            </w:r>
          </w:p>
        </w:tc>
      </w:tr>
      <w:tr w:rsidR="00915077" w:rsidRPr="00E26EF6" w14:paraId="235203A7" w14:textId="77777777" w:rsidTr="00672D2A">
        <w:tc>
          <w:tcPr>
            <w:tcW w:w="1506" w:type="dxa"/>
          </w:tcPr>
          <w:p w14:paraId="41A97654" w14:textId="77777777" w:rsidR="00915077" w:rsidRPr="00E26EF6" w:rsidRDefault="00DE5A31">
            <w:pPr>
              <w:pStyle w:val="InstructionsText"/>
              <w:rPr>
                <w:highlight w:val="lightGray"/>
              </w:rPr>
            </w:pPr>
            <w:r w:rsidRPr="00E26EF6">
              <w:t>432</w:t>
            </w:r>
          </w:p>
        </w:tc>
        <w:tc>
          <w:tcPr>
            <w:tcW w:w="7243" w:type="dxa"/>
          </w:tcPr>
          <w:p w14:paraId="1D2D4E22" w14:textId="74DF3EA6" w:rsidR="00915077" w:rsidRPr="00E26EF6" w:rsidRDefault="00DE5A31">
            <w:pPr>
              <w:pStyle w:val="InstructionsText"/>
            </w:pPr>
            <w:r w:rsidRPr="00E26EF6">
              <w:rPr>
                <w:rStyle w:val="InstructionsTabelleberschrift"/>
                <w:rFonts w:ascii="Times New Roman" w:hAnsi="Times New Roman"/>
                <w:sz w:val="24"/>
              </w:rPr>
              <w:t>14.3.1</w:t>
            </w:r>
            <w:r w:rsidRPr="00E26EF6">
              <w:rPr>
                <w:rStyle w:val="InstructionsTabelleberschrift"/>
                <w:rFonts w:ascii="Times New Roman" w:hAnsi="Times New Roman"/>
                <w:sz w:val="24"/>
              </w:rPr>
              <w:tab/>
              <w:t>Syntetyczne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w:t>
            </w:r>
          </w:p>
          <w:p w14:paraId="6E1B2B1E" w14:textId="468E012E"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68</w:t>
            </w:r>
            <w:r w:rsidR="00E26EF6" w:rsidRPr="00E26EF6">
              <w:t xml:space="preserve"> i art</w:t>
            </w:r>
            <w:r w:rsidRPr="00E26EF6">
              <w:t>.</w:t>
            </w:r>
            <w:r w:rsidR="00023409" w:rsidRPr="00E26EF6">
              <w:t> </w:t>
            </w:r>
            <w:r w:rsidRPr="00E26EF6">
              <w:t>69 CRR</w:t>
            </w:r>
          </w:p>
        </w:tc>
      </w:tr>
      <w:tr w:rsidR="00915077" w:rsidRPr="00E26EF6" w14:paraId="238AFF14" w14:textId="77777777" w:rsidTr="00672D2A">
        <w:tc>
          <w:tcPr>
            <w:tcW w:w="1506" w:type="dxa"/>
          </w:tcPr>
          <w:p w14:paraId="1C62EAEC" w14:textId="77777777" w:rsidR="00915077" w:rsidRPr="00E26EF6" w:rsidRDefault="00DE5A31">
            <w:pPr>
              <w:pStyle w:val="InstructionsText"/>
              <w:rPr>
                <w:highlight w:val="lightGray"/>
              </w:rPr>
            </w:pPr>
            <w:r w:rsidRPr="00E26EF6">
              <w:t>433</w:t>
            </w:r>
          </w:p>
        </w:tc>
        <w:tc>
          <w:tcPr>
            <w:tcW w:w="7243" w:type="dxa"/>
          </w:tcPr>
          <w:p w14:paraId="19DB1DA1" w14:textId="46590B8D" w:rsidR="00915077" w:rsidRPr="00E26EF6" w:rsidRDefault="00DE5A31">
            <w:pPr>
              <w:pStyle w:val="InstructionsText"/>
            </w:pPr>
            <w:r w:rsidRPr="00E26EF6">
              <w:rPr>
                <w:rStyle w:val="InstructionsTabelleberschrift"/>
                <w:rFonts w:ascii="Times New Roman" w:hAnsi="Times New Roman"/>
                <w:sz w:val="24"/>
              </w:rPr>
              <w:t>14.3.2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syntetycznych udziałów kapitałowych brutto ujętych powyżej</w:t>
            </w:r>
          </w:p>
          <w:p w14:paraId="060C5E51" w14:textId="716A1D91"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69 CRR</w:t>
            </w:r>
          </w:p>
        </w:tc>
      </w:tr>
      <w:tr w:rsidR="00915077" w:rsidRPr="00E26EF6" w14:paraId="09261DFE" w14:textId="77777777" w:rsidTr="00672D2A">
        <w:tc>
          <w:tcPr>
            <w:tcW w:w="1506" w:type="dxa"/>
          </w:tcPr>
          <w:p w14:paraId="266857D7" w14:textId="77777777" w:rsidR="00915077" w:rsidRPr="00E26EF6" w:rsidRDefault="002648B0">
            <w:pPr>
              <w:pStyle w:val="InstructionsText"/>
              <w:rPr>
                <w:highlight w:val="lightGray"/>
              </w:rPr>
            </w:pPr>
            <w:r w:rsidRPr="00E26EF6">
              <w:t>440</w:t>
            </w:r>
          </w:p>
        </w:tc>
        <w:tc>
          <w:tcPr>
            <w:tcW w:w="7243" w:type="dxa"/>
          </w:tcPr>
          <w:p w14:paraId="0BFEA814" w14:textId="1BF13FA2" w:rsidR="00915077" w:rsidRPr="00E26EF6" w:rsidRDefault="002648B0">
            <w:pPr>
              <w:pStyle w:val="InstructionsText"/>
            </w:pPr>
            <w:r w:rsidRPr="00E26EF6">
              <w:rPr>
                <w:rStyle w:val="InstructionsTabelleberschrift"/>
                <w:rFonts w:ascii="Times New Roman" w:hAnsi="Times New Roman"/>
                <w:sz w:val="24"/>
              </w:rPr>
              <w:t>15</w:t>
            </w:r>
            <w:r w:rsidRPr="00E26EF6">
              <w:rPr>
                <w:rStyle w:val="InstructionsTabelleberschrift"/>
                <w:rFonts w:ascii="Times New Roman" w:hAnsi="Times New Roman"/>
                <w:sz w:val="24"/>
              </w:rPr>
              <w:tab/>
              <w:t>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 po odliczeniu pozycji krótkich</w:t>
            </w:r>
          </w:p>
          <w:p w14:paraId="4382B9FE" w14:textId="5C3A8106" w:rsidR="00915077" w:rsidRPr="00E26EF6" w:rsidRDefault="002648B0">
            <w:pPr>
              <w:pStyle w:val="InstructionsText"/>
              <w:rPr>
                <w:highlight w:val="lightGray"/>
              </w:rPr>
            </w:pPr>
            <w:r w:rsidRPr="00E26EF6">
              <w:t>Art. 44, 45, 47</w:t>
            </w:r>
            <w:r w:rsidR="00E26EF6" w:rsidRPr="00E26EF6">
              <w:t xml:space="preserve"> i 4</w:t>
            </w:r>
            <w:r w:rsidRPr="00E26EF6">
              <w:t>9 CRR</w:t>
            </w:r>
          </w:p>
        </w:tc>
      </w:tr>
      <w:tr w:rsidR="00915077" w:rsidRPr="00E26EF6" w14:paraId="35ABC1EA" w14:textId="77777777" w:rsidTr="00672D2A">
        <w:tc>
          <w:tcPr>
            <w:tcW w:w="1506" w:type="dxa"/>
          </w:tcPr>
          <w:p w14:paraId="16594F26" w14:textId="77777777" w:rsidR="00915077" w:rsidRPr="00E26EF6" w:rsidRDefault="008F54B0">
            <w:pPr>
              <w:pStyle w:val="InstructionsText"/>
              <w:rPr>
                <w:highlight w:val="lightGray"/>
              </w:rPr>
            </w:pPr>
            <w:r w:rsidRPr="00E26EF6">
              <w:t>450</w:t>
            </w:r>
          </w:p>
        </w:tc>
        <w:tc>
          <w:tcPr>
            <w:tcW w:w="7243" w:type="dxa"/>
          </w:tcPr>
          <w:p w14:paraId="7B3E2F48" w14:textId="6A81758D" w:rsidR="00915077" w:rsidRPr="00E26EF6" w:rsidRDefault="002648B0">
            <w:pPr>
              <w:pStyle w:val="InstructionsText"/>
            </w:pPr>
            <w:r w:rsidRPr="00E26EF6">
              <w:rPr>
                <w:rStyle w:val="InstructionsTabelleberschrift"/>
                <w:rFonts w:ascii="Times New Roman" w:hAnsi="Times New Roman"/>
                <w:sz w:val="24"/>
              </w:rPr>
              <w:t>15.1</w:t>
            </w:r>
            <w:r w:rsidRPr="00E26EF6">
              <w:rPr>
                <w:rStyle w:val="InstructionsTabelleberschrift"/>
                <w:rFonts w:ascii="Times New Roman" w:hAnsi="Times New Roman"/>
                <w:sz w:val="24"/>
              </w:rPr>
              <w:tab/>
              <w:t>Bezpośrednie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1BA8CC21" w14:textId="258929D3" w:rsidR="00915077" w:rsidRPr="00E26EF6" w:rsidRDefault="002648B0">
            <w:pPr>
              <w:pStyle w:val="InstructionsText"/>
              <w:rPr>
                <w:highlight w:val="lightGray"/>
              </w:rPr>
            </w:pPr>
            <w:r w:rsidRPr="00E26EF6">
              <w:t>Art. 44, 45, 47</w:t>
            </w:r>
            <w:r w:rsidR="00E26EF6" w:rsidRPr="00E26EF6">
              <w:t xml:space="preserve"> i 4</w:t>
            </w:r>
            <w:r w:rsidRPr="00E26EF6">
              <w:t>9 CRR</w:t>
            </w:r>
          </w:p>
        </w:tc>
      </w:tr>
      <w:tr w:rsidR="00915077" w:rsidRPr="00E26EF6" w14:paraId="57D83B0D" w14:textId="77777777" w:rsidTr="00672D2A">
        <w:tc>
          <w:tcPr>
            <w:tcW w:w="1506" w:type="dxa"/>
          </w:tcPr>
          <w:p w14:paraId="193B0321" w14:textId="77777777" w:rsidR="00915077" w:rsidRPr="00E26EF6" w:rsidRDefault="008F54B0">
            <w:pPr>
              <w:pStyle w:val="InstructionsText"/>
              <w:rPr>
                <w:highlight w:val="lightGray"/>
              </w:rPr>
            </w:pPr>
            <w:r w:rsidRPr="00E26EF6">
              <w:t>460</w:t>
            </w:r>
          </w:p>
        </w:tc>
        <w:tc>
          <w:tcPr>
            <w:tcW w:w="7243" w:type="dxa"/>
          </w:tcPr>
          <w:p w14:paraId="07F3C9A8" w14:textId="69D45EA5" w:rsidR="00915077" w:rsidRPr="00E26EF6" w:rsidRDefault="002648B0">
            <w:pPr>
              <w:pStyle w:val="InstructionsText"/>
            </w:pPr>
            <w:r w:rsidRPr="00E26EF6">
              <w:rPr>
                <w:rStyle w:val="InstructionsTabelleberschrift"/>
                <w:rFonts w:ascii="Times New Roman" w:hAnsi="Times New Roman"/>
                <w:sz w:val="24"/>
              </w:rPr>
              <w:t>15.1.1</w:t>
            </w:r>
            <w:r w:rsidRPr="00E26EF6">
              <w:rPr>
                <w:rStyle w:val="InstructionsTabelleberschrift"/>
                <w:rFonts w:ascii="Times New Roman" w:hAnsi="Times New Roman"/>
                <w:sz w:val="24"/>
              </w:rPr>
              <w:tab/>
              <w:t>Bezpośrednie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2E8BDC24" w14:textId="3EEB82B1" w:rsidR="00915077" w:rsidRPr="00E26EF6" w:rsidRDefault="002648B0">
            <w:pPr>
              <w:pStyle w:val="InstructionsText"/>
            </w:pPr>
            <w:r w:rsidRPr="00E26EF6">
              <w:t>Art. 44, 45, 47</w:t>
            </w:r>
            <w:r w:rsidR="00E26EF6" w:rsidRPr="00E26EF6">
              <w:t xml:space="preserve"> i 4</w:t>
            </w:r>
            <w:r w:rsidRPr="00E26EF6">
              <w:t>9 CRR</w:t>
            </w:r>
          </w:p>
          <w:p w14:paraId="46892E10" w14:textId="56BBB06A" w:rsidR="00915077" w:rsidRPr="00E26EF6" w:rsidRDefault="002648B0">
            <w:pPr>
              <w:pStyle w:val="InstructionsText"/>
            </w:pPr>
            <w:r w:rsidRPr="00E26EF6">
              <w:t>Bezpośrednie udziały kapitałowe</w:t>
            </w:r>
            <w:r w:rsidR="00E26EF6" w:rsidRPr="00E26EF6">
              <w:t xml:space="preserve"> w kap</w:t>
            </w:r>
            <w:r w:rsidRPr="00E26EF6">
              <w:t>itale podstawowym Tier I podmiotów sektora finansowego, jeżeli instytucja dokonała znacznej inwestycji,</w:t>
            </w:r>
            <w:r w:rsidR="00E26EF6" w:rsidRPr="00E26EF6">
              <w:t xml:space="preserve"> z wył</w:t>
            </w:r>
            <w:r w:rsidRPr="00E26EF6">
              <w:t>ączeniem:</w:t>
            </w:r>
          </w:p>
          <w:p w14:paraId="17B9059D" w14:textId="4CF3E951" w:rsidR="00915077" w:rsidRPr="00E26EF6" w:rsidRDefault="002648B0">
            <w:pPr>
              <w:pStyle w:val="InstructionsText"/>
            </w:pPr>
            <w:r w:rsidRPr="00E26EF6">
              <w:t>a</w:t>
            </w:r>
            <w:proofErr w:type="gramStart"/>
            <w:r w:rsidRPr="00E26EF6">
              <w:t>)</w:t>
            </w:r>
            <w:r w:rsidRPr="00E26EF6">
              <w:tab/>
              <w:t>pozycji</w:t>
            </w:r>
            <w:proofErr w:type="gramEnd"/>
            <w:r w:rsidR="00E26EF6" w:rsidRPr="00E26EF6">
              <w:t xml:space="preserve"> z tyt</w:t>
            </w:r>
            <w:r w:rsidRPr="00E26EF6">
              <w:t xml:space="preserve">ułu gwarantowania emisji utrzymywanych nie dłużej niż przez 5 dni roboczych; </w:t>
            </w:r>
          </w:p>
          <w:p w14:paraId="30191DCB" w14:textId="772B586D" w:rsidR="00915077" w:rsidRPr="00E26EF6" w:rsidRDefault="002648B0">
            <w:pPr>
              <w:pStyle w:val="InstructionsText"/>
            </w:pPr>
            <w:r w:rsidRPr="00E26EF6">
              <w:t>b</w:t>
            </w:r>
            <w:proofErr w:type="gramStart"/>
            <w:r w:rsidRPr="00E26EF6">
              <w:t>)</w:t>
            </w:r>
            <w:r w:rsidRPr="00E26EF6">
              <w:tab/>
              <w:t>kwot</w:t>
            </w:r>
            <w:proofErr w:type="gramEnd"/>
            <w:r w:rsidRPr="00E26EF6">
              <w:t xml:space="preserve"> związanych</w:t>
            </w:r>
            <w:r w:rsidR="00E26EF6" w:rsidRPr="00E26EF6">
              <w:t xml:space="preserve"> z inw</w:t>
            </w:r>
            <w:r w:rsidRPr="00E26EF6">
              <w:t>estycjami,</w:t>
            </w:r>
            <w:r w:rsidR="00E26EF6" w:rsidRPr="00E26EF6">
              <w:t xml:space="preserve"> w odn</w:t>
            </w:r>
            <w:r w:rsidRPr="00E26EF6">
              <w:t>iesieniu do których zastosowano którekolwiek</w:t>
            </w:r>
            <w:r w:rsidR="00E26EF6" w:rsidRPr="00E26EF6">
              <w:t xml:space="preserve"> z roz</w:t>
            </w:r>
            <w:r w:rsidRPr="00E26EF6">
              <w:t>wiązań alternatywnych określonych</w:t>
            </w:r>
            <w:r w:rsidR="00E26EF6" w:rsidRPr="00E26EF6">
              <w:t xml:space="preserve"> w art</w:t>
            </w:r>
            <w:r w:rsidRPr="00E26EF6">
              <w:t>.</w:t>
            </w:r>
            <w:r w:rsidR="00023409" w:rsidRPr="00E26EF6">
              <w:t> </w:t>
            </w:r>
            <w:r w:rsidRPr="00E26EF6">
              <w:t xml:space="preserve">49; oraz </w:t>
            </w:r>
          </w:p>
          <w:p w14:paraId="4E98D2B5" w14:textId="58953A13" w:rsidR="00915077" w:rsidRPr="00E26EF6" w:rsidRDefault="002648B0">
            <w:pPr>
              <w:pStyle w:val="InstructionsText"/>
              <w:rPr>
                <w:highlight w:val="lightGray"/>
              </w:rPr>
            </w:pPr>
            <w:r w:rsidRPr="00E26EF6">
              <w:t>c</w:t>
            </w:r>
            <w:proofErr w:type="gramStart"/>
            <w:r w:rsidRPr="00E26EF6">
              <w:t>)</w:t>
            </w:r>
            <w:r w:rsidRPr="00E26EF6">
              <w:tab/>
              <w:t>udziałów</w:t>
            </w:r>
            <w:proofErr w:type="gramEnd"/>
            <w:r w:rsidRPr="00E26EF6">
              <w:t xml:space="preserve"> kapitałowych, które traktuje się jako krzyżowe powiązania kapitałowe zgodnie</w:t>
            </w:r>
            <w:r w:rsidR="00E26EF6" w:rsidRPr="00E26EF6">
              <w:t xml:space="preserve"> z art</w:t>
            </w:r>
            <w:r w:rsidRPr="00E26EF6">
              <w:t>.</w:t>
            </w:r>
            <w:r w:rsidR="00023409" w:rsidRPr="00E26EF6">
              <w:t> </w:t>
            </w:r>
            <w:r w:rsidRPr="00E26EF6">
              <w:t>36 ust.</w:t>
            </w:r>
            <w:r w:rsidR="00023409" w:rsidRPr="00E26EF6">
              <w:t> </w:t>
            </w:r>
            <w:r w:rsidRPr="00E26EF6">
              <w:t>1 lit.</w:t>
            </w:r>
            <w:r w:rsidR="00023409" w:rsidRPr="00E26EF6">
              <w:t> </w:t>
            </w:r>
            <w:r w:rsidRPr="00E26EF6">
              <w:t>g) CRR.</w:t>
            </w:r>
          </w:p>
        </w:tc>
      </w:tr>
      <w:tr w:rsidR="00915077" w:rsidRPr="00E26EF6" w14:paraId="4DFC5D63" w14:textId="77777777" w:rsidTr="00672D2A">
        <w:tc>
          <w:tcPr>
            <w:tcW w:w="1506" w:type="dxa"/>
          </w:tcPr>
          <w:p w14:paraId="1D5E3EA3" w14:textId="77777777" w:rsidR="00915077" w:rsidRPr="00E26EF6" w:rsidRDefault="002648B0">
            <w:pPr>
              <w:pStyle w:val="InstructionsText"/>
              <w:rPr>
                <w:highlight w:val="lightGray"/>
              </w:rPr>
            </w:pPr>
            <w:r w:rsidRPr="00E26EF6">
              <w:t>470</w:t>
            </w:r>
          </w:p>
        </w:tc>
        <w:tc>
          <w:tcPr>
            <w:tcW w:w="7243" w:type="dxa"/>
          </w:tcPr>
          <w:p w14:paraId="4395AFAF" w14:textId="3632ADBC" w:rsidR="00915077" w:rsidRPr="00E26EF6" w:rsidRDefault="002648B0">
            <w:pPr>
              <w:pStyle w:val="InstructionsText"/>
            </w:pPr>
            <w:r w:rsidRPr="00E26EF6">
              <w:rPr>
                <w:rStyle w:val="InstructionsTabelleberschrift"/>
                <w:rFonts w:ascii="Times New Roman" w:hAnsi="Times New Roman"/>
                <w:sz w:val="24"/>
              </w:rPr>
              <w:t>15.1.2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bezpośrednich udziałów kapitałowych brutto ujętych powyżej</w:t>
            </w:r>
          </w:p>
          <w:p w14:paraId="60819674" w14:textId="53EE9FF4" w:rsidR="00915077" w:rsidRPr="00E26EF6" w:rsidRDefault="002648B0">
            <w:pPr>
              <w:pStyle w:val="InstructionsText"/>
            </w:pPr>
            <w:r w:rsidRPr="00E26EF6">
              <w:t>Art. 45 CRR</w:t>
            </w:r>
          </w:p>
          <w:p w14:paraId="6675BDB9" w14:textId="517E7A36" w:rsidR="00915077" w:rsidRPr="00E26EF6" w:rsidRDefault="0014657C">
            <w:pPr>
              <w:pStyle w:val="InstructionsText"/>
              <w:rPr>
                <w:highlight w:val="lightGray"/>
              </w:rPr>
            </w:pPr>
            <w:r w:rsidRPr="00E26EF6">
              <w:t>Art. 45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748087B2" w14:textId="77777777" w:rsidTr="00672D2A">
        <w:tc>
          <w:tcPr>
            <w:tcW w:w="1506" w:type="dxa"/>
          </w:tcPr>
          <w:p w14:paraId="6597907B" w14:textId="77777777" w:rsidR="00915077" w:rsidRPr="00E26EF6" w:rsidRDefault="002648B0">
            <w:pPr>
              <w:pStyle w:val="InstructionsText"/>
              <w:rPr>
                <w:highlight w:val="lightGray"/>
              </w:rPr>
            </w:pPr>
            <w:r w:rsidRPr="00E26EF6">
              <w:lastRenderedPageBreak/>
              <w:t>480</w:t>
            </w:r>
          </w:p>
        </w:tc>
        <w:tc>
          <w:tcPr>
            <w:tcW w:w="7243" w:type="dxa"/>
          </w:tcPr>
          <w:p w14:paraId="028E9FA5" w14:textId="6FD89FE2" w:rsidR="00915077" w:rsidRPr="00E26EF6" w:rsidRDefault="002648B0">
            <w:pPr>
              <w:pStyle w:val="InstructionsText"/>
            </w:pPr>
            <w:r w:rsidRPr="00E26EF6">
              <w:rPr>
                <w:rStyle w:val="InstructionsTabelleberschrift"/>
                <w:rFonts w:ascii="Times New Roman" w:hAnsi="Times New Roman"/>
                <w:sz w:val="24"/>
              </w:rPr>
              <w:t>15.2</w:t>
            </w:r>
            <w:r w:rsidRPr="00E26EF6">
              <w:rPr>
                <w:rStyle w:val="InstructionsTabelleberschrift"/>
                <w:rFonts w:ascii="Times New Roman" w:hAnsi="Times New Roman"/>
                <w:sz w:val="24"/>
              </w:rPr>
              <w:tab/>
              <w:t>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348F3211" w14:textId="17C2A78E" w:rsidR="00915077" w:rsidRPr="00E26EF6" w:rsidRDefault="00214FDA">
            <w:pPr>
              <w:pStyle w:val="InstructionsText"/>
              <w:rPr>
                <w:highlight w:val="lightGray"/>
              </w:rPr>
            </w:pPr>
            <w:r w:rsidRPr="00E26EF6">
              <w:t>Art. 4 ust.</w:t>
            </w:r>
            <w:r w:rsidR="00023409" w:rsidRPr="00E26EF6">
              <w:t> </w:t>
            </w:r>
            <w:r w:rsidRPr="00E26EF6">
              <w:t>1 pkt</w:t>
            </w:r>
            <w:r w:rsidR="00023409" w:rsidRPr="00E26EF6">
              <w:t> </w:t>
            </w:r>
            <w:r w:rsidRPr="00E26EF6">
              <w:t>114 oraz art.</w:t>
            </w:r>
            <w:r w:rsidR="00023409" w:rsidRPr="00E26EF6">
              <w:t> </w:t>
            </w:r>
            <w:r w:rsidRPr="00E26EF6">
              <w:t>44</w:t>
            </w:r>
            <w:r w:rsidR="00E26EF6" w:rsidRPr="00E26EF6">
              <w:t xml:space="preserve"> i art</w:t>
            </w:r>
            <w:r w:rsidRPr="00E26EF6">
              <w:t>.</w:t>
            </w:r>
            <w:r w:rsidR="00023409" w:rsidRPr="00E26EF6">
              <w:t> </w:t>
            </w:r>
            <w:r w:rsidRPr="00E26EF6">
              <w:t>45 CRR</w:t>
            </w:r>
          </w:p>
        </w:tc>
      </w:tr>
      <w:tr w:rsidR="00915077" w:rsidRPr="00E26EF6" w14:paraId="321458D5" w14:textId="77777777" w:rsidTr="00672D2A">
        <w:tc>
          <w:tcPr>
            <w:tcW w:w="1506" w:type="dxa"/>
          </w:tcPr>
          <w:p w14:paraId="01E2C07D" w14:textId="77777777" w:rsidR="00915077" w:rsidRPr="00E26EF6" w:rsidRDefault="002648B0">
            <w:pPr>
              <w:pStyle w:val="InstructionsText"/>
              <w:rPr>
                <w:highlight w:val="lightGray"/>
              </w:rPr>
            </w:pPr>
            <w:r w:rsidRPr="00E26EF6">
              <w:t>490</w:t>
            </w:r>
          </w:p>
        </w:tc>
        <w:tc>
          <w:tcPr>
            <w:tcW w:w="7243" w:type="dxa"/>
          </w:tcPr>
          <w:p w14:paraId="72FF2298" w14:textId="0FB0BA57" w:rsidR="00915077" w:rsidRPr="00E26EF6" w:rsidRDefault="002648B0">
            <w:pPr>
              <w:pStyle w:val="InstructionsText"/>
            </w:pPr>
            <w:r w:rsidRPr="00E26EF6">
              <w:rPr>
                <w:rStyle w:val="InstructionsTabelleberschrift"/>
                <w:rFonts w:ascii="Times New Roman" w:hAnsi="Times New Roman"/>
                <w:sz w:val="24"/>
              </w:rPr>
              <w:t>15.2.1</w:t>
            </w:r>
            <w:r w:rsidRPr="00E26EF6">
              <w:rPr>
                <w:rStyle w:val="InstructionsTabelleberschrift"/>
                <w:rFonts w:ascii="Times New Roman" w:hAnsi="Times New Roman"/>
                <w:sz w:val="24"/>
              </w:rPr>
              <w:tab/>
              <w:t>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40DF2159" w14:textId="0A1025CF"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44</w:t>
            </w:r>
            <w:r w:rsidR="00E26EF6" w:rsidRPr="00E26EF6">
              <w:t xml:space="preserve"> i art</w:t>
            </w:r>
            <w:r w:rsidRPr="00E26EF6">
              <w:t>.</w:t>
            </w:r>
            <w:r w:rsidR="00023409" w:rsidRPr="00E26EF6">
              <w:t> </w:t>
            </w:r>
            <w:r w:rsidRPr="00E26EF6">
              <w:t>45 CRR</w:t>
            </w:r>
          </w:p>
          <w:p w14:paraId="4B0F351D" w14:textId="69DE4490" w:rsidR="00915077" w:rsidRPr="00E26EF6" w:rsidRDefault="002648B0">
            <w:pPr>
              <w:pStyle w:val="InstructionsText"/>
            </w:pPr>
            <w:r w:rsidRPr="00E26EF6">
              <w:t>Kwotą, którą należy zgłosić, są pośrednie udziały kapitałowe</w:t>
            </w:r>
            <w:r w:rsidR="00E26EF6" w:rsidRPr="00E26EF6">
              <w:t xml:space="preserve"> w por</w:t>
            </w:r>
            <w:r w:rsidRPr="00E26EF6">
              <w:t>tfelu handlowym instrumentów kapitałowych podmiotów sektora finansowego, które to udziały przyjmują postać indeksowych papierów wartościowych. Uzyskuje się ją poprzez obliczenie ekspozycji bazowej</w:t>
            </w:r>
            <w:r w:rsidR="00E26EF6" w:rsidRPr="00E26EF6">
              <w:t xml:space="preserve"> z tyt</w:t>
            </w:r>
            <w:r w:rsidRPr="00E26EF6">
              <w:t>ułu instrumentów kapitałowych podmiotów sektora finansowego objętych tymi indeksami.</w:t>
            </w:r>
          </w:p>
          <w:p w14:paraId="217574F3" w14:textId="0B51054C" w:rsidR="00915077" w:rsidRPr="00E26EF6" w:rsidRDefault="002648B0">
            <w:pPr>
              <w:pStyle w:val="InstructionsText"/>
              <w:rPr>
                <w:highlight w:val="lightGray"/>
              </w:rPr>
            </w:pPr>
            <w:r w:rsidRPr="00E26EF6">
              <w:t>Udziały kapitałowe, które traktuje się jako krzyżowe powiązania kapitałowe zgodnie</w:t>
            </w:r>
            <w:r w:rsidR="00E26EF6" w:rsidRPr="00E26EF6">
              <w:t xml:space="preserve"> z art</w:t>
            </w:r>
            <w:r w:rsidRPr="00E26EF6">
              <w:t>.</w:t>
            </w:r>
            <w:r w:rsidR="00023409" w:rsidRPr="00E26EF6">
              <w:t> </w:t>
            </w:r>
            <w:r w:rsidRPr="00E26EF6">
              <w:t>36 ust.</w:t>
            </w:r>
            <w:r w:rsidR="00023409" w:rsidRPr="00E26EF6">
              <w:t> </w:t>
            </w:r>
            <w:r w:rsidRPr="00E26EF6">
              <w:t>1 lit.</w:t>
            </w:r>
            <w:r w:rsidR="00023409" w:rsidRPr="00E26EF6">
              <w:t> </w:t>
            </w:r>
            <w:r w:rsidRPr="00E26EF6">
              <w:t>g) CRR, nie są uwzględniane.</w:t>
            </w:r>
          </w:p>
        </w:tc>
      </w:tr>
      <w:tr w:rsidR="00915077" w:rsidRPr="00E26EF6" w14:paraId="679D0FDD" w14:textId="77777777" w:rsidTr="00672D2A">
        <w:tc>
          <w:tcPr>
            <w:tcW w:w="1506" w:type="dxa"/>
          </w:tcPr>
          <w:p w14:paraId="51A0B2F4" w14:textId="77777777" w:rsidR="00915077" w:rsidRPr="00E26EF6" w:rsidRDefault="002648B0">
            <w:pPr>
              <w:pStyle w:val="InstructionsText"/>
              <w:rPr>
                <w:highlight w:val="lightGray"/>
              </w:rPr>
            </w:pPr>
            <w:r w:rsidRPr="00E26EF6">
              <w:t>500</w:t>
            </w:r>
          </w:p>
        </w:tc>
        <w:tc>
          <w:tcPr>
            <w:tcW w:w="7243" w:type="dxa"/>
          </w:tcPr>
          <w:p w14:paraId="1CFE10BC" w14:textId="517F827E" w:rsidR="00915077" w:rsidRPr="00E26EF6" w:rsidRDefault="002648B0">
            <w:pPr>
              <w:pStyle w:val="InstructionsText"/>
            </w:pPr>
            <w:r w:rsidRPr="00E26EF6">
              <w:rPr>
                <w:rStyle w:val="InstructionsTabelleberschrift"/>
                <w:rFonts w:ascii="Times New Roman" w:hAnsi="Times New Roman"/>
                <w:sz w:val="24"/>
              </w:rPr>
              <w:t>15.2.2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pośrednich udziałów kapitałowych brutto ujętych powyżej</w:t>
            </w:r>
          </w:p>
          <w:p w14:paraId="59D4CAD2" w14:textId="66C91551"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45 CRR</w:t>
            </w:r>
          </w:p>
          <w:p w14:paraId="5375C1EA" w14:textId="7F518362" w:rsidR="00915077" w:rsidRPr="00E26EF6" w:rsidRDefault="0014657C">
            <w:pPr>
              <w:pStyle w:val="InstructionsText"/>
              <w:rPr>
                <w:highlight w:val="lightGray"/>
              </w:rPr>
            </w:pPr>
            <w:r w:rsidRPr="00E26EF6">
              <w:t>Art. 45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6A8A0A57" w14:textId="77777777" w:rsidTr="00672D2A">
        <w:tc>
          <w:tcPr>
            <w:tcW w:w="1506" w:type="dxa"/>
          </w:tcPr>
          <w:p w14:paraId="0F7673AB" w14:textId="77777777" w:rsidR="00915077" w:rsidRPr="00E26EF6" w:rsidRDefault="00DE5A31">
            <w:pPr>
              <w:pStyle w:val="InstructionsText"/>
              <w:rPr>
                <w:highlight w:val="lightGray"/>
              </w:rPr>
            </w:pPr>
            <w:r w:rsidRPr="00E26EF6">
              <w:t>501</w:t>
            </w:r>
          </w:p>
        </w:tc>
        <w:tc>
          <w:tcPr>
            <w:tcW w:w="7243" w:type="dxa"/>
          </w:tcPr>
          <w:p w14:paraId="4E402D8E" w14:textId="1E5A51C6" w:rsidR="00915077" w:rsidRPr="00E26EF6" w:rsidRDefault="00DE5A31">
            <w:pPr>
              <w:pStyle w:val="InstructionsText"/>
            </w:pPr>
            <w:r w:rsidRPr="00E26EF6">
              <w:rPr>
                <w:rStyle w:val="InstructionsTabelleberschrift"/>
                <w:rFonts w:ascii="Times New Roman" w:hAnsi="Times New Roman"/>
                <w:sz w:val="24"/>
              </w:rPr>
              <w:t>15.3</w:t>
            </w:r>
            <w:r w:rsidRPr="00E26EF6">
              <w:rPr>
                <w:rStyle w:val="InstructionsTabelleberschrift"/>
                <w:rFonts w:ascii="Times New Roman" w:hAnsi="Times New Roman"/>
                <w:sz w:val="24"/>
              </w:rPr>
              <w:tab/>
              <w:t>Syntetyczne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0F20708A" w14:textId="2BD32207" w:rsidR="00915077" w:rsidRPr="00E26EF6" w:rsidRDefault="00214FDA">
            <w:pPr>
              <w:pStyle w:val="InstructionsText"/>
              <w:rPr>
                <w:highlight w:val="lightGray"/>
              </w:rPr>
            </w:pPr>
            <w:r w:rsidRPr="00E26EF6">
              <w:t>Art. 4 ust.</w:t>
            </w:r>
            <w:r w:rsidR="00023409" w:rsidRPr="00E26EF6">
              <w:t> </w:t>
            </w:r>
            <w:r w:rsidRPr="00E26EF6">
              <w:t>1 pkt</w:t>
            </w:r>
            <w:r w:rsidR="00023409" w:rsidRPr="00E26EF6">
              <w:t> </w:t>
            </w:r>
            <w:r w:rsidRPr="00E26EF6">
              <w:t>126 oraz art.</w:t>
            </w:r>
            <w:r w:rsidR="00023409" w:rsidRPr="00E26EF6">
              <w:t> </w:t>
            </w:r>
            <w:r w:rsidRPr="00E26EF6">
              <w:t>44</w:t>
            </w:r>
            <w:r w:rsidR="00E26EF6" w:rsidRPr="00E26EF6">
              <w:t xml:space="preserve"> i art</w:t>
            </w:r>
            <w:r w:rsidRPr="00E26EF6">
              <w:t>.</w:t>
            </w:r>
            <w:r w:rsidR="00023409" w:rsidRPr="00E26EF6">
              <w:t> </w:t>
            </w:r>
            <w:r w:rsidRPr="00E26EF6">
              <w:t>45 CRR</w:t>
            </w:r>
          </w:p>
        </w:tc>
      </w:tr>
      <w:tr w:rsidR="00915077" w:rsidRPr="00E26EF6" w14:paraId="46B0D844" w14:textId="77777777" w:rsidTr="00672D2A">
        <w:tc>
          <w:tcPr>
            <w:tcW w:w="1506" w:type="dxa"/>
          </w:tcPr>
          <w:p w14:paraId="4CBB8BE3" w14:textId="77777777" w:rsidR="00915077" w:rsidRPr="00E26EF6" w:rsidRDefault="00DE5A31">
            <w:pPr>
              <w:pStyle w:val="InstructionsText"/>
              <w:rPr>
                <w:highlight w:val="lightGray"/>
              </w:rPr>
            </w:pPr>
            <w:r w:rsidRPr="00E26EF6">
              <w:t>502</w:t>
            </w:r>
          </w:p>
        </w:tc>
        <w:tc>
          <w:tcPr>
            <w:tcW w:w="7243" w:type="dxa"/>
          </w:tcPr>
          <w:p w14:paraId="51F26CF7" w14:textId="72D7DA0B" w:rsidR="00915077" w:rsidRPr="00E26EF6" w:rsidRDefault="00DE5A31">
            <w:pPr>
              <w:pStyle w:val="InstructionsText"/>
            </w:pPr>
            <w:r w:rsidRPr="00E26EF6">
              <w:rPr>
                <w:rStyle w:val="InstructionsTabelleberschrift"/>
                <w:rFonts w:ascii="Times New Roman" w:hAnsi="Times New Roman"/>
                <w:sz w:val="24"/>
              </w:rPr>
              <w:t>15.3.1</w:t>
            </w:r>
            <w:r w:rsidRPr="00E26EF6">
              <w:rPr>
                <w:rStyle w:val="InstructionsTabelleberschrift"/>
                <w:rFonts w:ascii="Times New Roman" w:hAnsi="Times New Roman"/>
                <w:sz w:val="24"/>
              </w:rPr>
              <w:tab/>
              <w:t>Syntetyczne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5C4B0FFA" w14:textId="10409900" w:rsidR="00915077" w:rsidRPr="00E26EF6" w:rsidRDefault="00214FDA">
            <w:pPr>
              <w:pStyle w:val="InstructionsText"/>
              <w:rPr>
                <w:highlight w:val="lightGray"/>
              </w:rPr>
            </w:pPr>
            <w:r w:rsidRPr="00E26EF6">
              <w:t>Art. 4 ust.</w:t>
            </w:r>
            <w:r w:rsidR="00023409" w:rsidRPr="00E26EF6">
              <w:t> </w:t>
            </w:r>
            <w:r w:rsidRPr="00E26EF6">
              <w:t>1 pkt</w:t>
            </w:r>
            <w:r w:rsidR="00023409" w:rsidRPr="00E26EF6">
              <w:t> </w:t>
            </w:r>
            <w:r w:rsidRPr="00E26EF6">
              <w:t>126 oraz art.</w:t>
            </w:r>
            <w:r w:rsidR="00023409" w:rsidRPr="00E26EF6">
              <w:t> </w:t>
            </w:r>
            <w:r w:rsidRPr="00E26EF6">
              <w:t>44</w:t>
            </w:r>
            <w:r w:rsidR="00E26EF6" w:rsidRPr="00E26EF6">
              <w:t xml:space="preserve"> i art</w:t>
            </w:r>
            <w:r w:rsidRPr="00E26EF6">
              <w:t>.</w:t>
            </w:r>
            <w:r w:rsidR="00023409" w:rsidRPr="00E26EF6">
              <w:t> </w:t>
            </w:r>
            <w:r w:rsidRPr="00E26EF6">
              <w:t>45 CRR</w:t>
            </w:r>
          </w:p>
        </w:tc>
      </w:tr>
      <w:tr w:rsidR="00915077" w:rsidRPr="00E26EF6" w14:paraId="35C46525" w14:textId="77777777" w:rsidTr="00672D2A">
        <w:tc>
          <w:tcPr>
            <w:tcW w:w="1506" w:type="dxa"/>
          </w:tcPr>
          <w:p w14:paraId="09657881" w14:textId="77777777" w:rsidR="00915077" w:rsidRPr="00E26EF6" w:rsidRDefault="00E81DB9">
            <w:pPr>
              <w:pStyle w:val="InstructionsText"/>
              <w:rPr>
                <w:highlight w:val="lightGray"/>
              </w:rPr>
            </w:pPr>
            <w:r w:rsidRPr="00E26EF6">
              <w:t>503</w:t>
            </w:r>
          </w:p>
        </w:tc>
        <w:tc>
          <w:tcPr>
            <w:tcW w:w="7243" w:type="dxa"/>
          </w:tcPr>
          <w:p w14:paraId="14CCB180" w14:textId="4ECAE2B2" w:rsidR="00915077" w:rsidRPr="00E26EF6" w:rsidRDefault="00E81DB9">
            <w:pPr>
              <w:pStyle w:val="InstructionsText"/>
            </w:pPr>
            <w:r w:rsidRPr="00E26EF6">
              <w:rPr>
                <w:rStyle w:val="InstructionsTabelleberschrift"/>
                <w:rFonts w:ascii="Times New Roman" w:hAnsi="Times New Roman"/>
                <w:sz w:val="24"/>
              </w:rPr>
              <w:t>15.3.2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syntetycznych udziałów kapitałowych brutto ujętych powyżej</w:t>
            </w:r>
          </w:p>
          <w:p w14:paraId="0BC23DAA" w14:textId="2189A3D3" w:rsidR="00915077" w:rsidRPr="00E26EF6" w:rsidRDefault="00214FDA">
            <w:pPr>
              <w:pStyle w:val="InstructionsText"/>
              <w:rPr>
                <w:highlight w:val="lightGray"/>
              </w:rPr>
            </w:pPr>
            <w:r w:rsidRPr="00E26EF6">
              <w:t>Art. 4 ust.</w:t>
            </w:r>
            <w:r w:rsidR="00023409" w:rsidRPr="00E26EF6">
              <w:t> </w:t>
            </w:r>
            <w:r w:rsidRPr="00E26EF6">
              <w:t>1 pkt</w:t>
            </w:r>
            <w:r w:rsidR="00023409" w:rsidRPr="00E26EF6">
              <w:t> </w:t>
            </w:r>
            <w:r w:rsidRPr="00E26EF6">
              <w:t>126 oraz art.</w:t>
            </w:r>
            <w:r w:rsidR="00023409" w:rsidRPr="00E26EF6">
              <w:t> </w:t>
            </w:r>
            <w:r w:rsidRPr="00E26EF6">
              <w:t>45 CRR</w:t>
            </w:r>
          </w:p>
        </w:tc>
      </w:tr>
      <w:tr w:rsidR="00915077" w:rsidRPr="00E26EF6" w14:paraId="30D8441D" w14:textId="77777777" w:rsidTr="00672D2A">
        <w:tc>
          <w:tcPr>
            <w:tcW w:w="1506" w:type="dxa"/>
          </w:tcPr>
          <w:p w14:paraId="4A6913BC" w14:textId="77777777" w:rsidR="00915077" w:rsidRPr="00E26EF6" w:rsidRDefault="002648B0">
            <w:pPr>
              <w:pStyle w:val="InstructionsText"/>
              <w:rPr>
                <w:highlight w:val="lightGray"/>
              </w:rPr>
            </w:pPr>
            <w:r w:rsidRPr="00E26EF6">
              <w:t>510</w:t>
            </w:r>
          </w:p>
        </w:tc>
        <w:tc>
          <w:tcPr>
            <w:tcW w:w="7243" w:type="dxa"/>
          </w:tcPr>
          <w:p w14:paraId="3C26DE3A" w14:textId="1F14143C" w:rsidR="00915077" w:rsidRPr="00E26EF6" w:rsidRDefault="002648B0">
            <w:pPr>
              <w:pStyle w:val="InstructionsText"/>
            </w:pPr>
            <w:r w:rsidRPr="00E26EF6">
              <w:rPr>
                <w:rStyle w:val="InstructionsTabelleberschrift"/>
                <w:rFonts w:ascii="Times New Roman" w:hAnsi="Times New Roman"/>
                <w:sz w:val="24"/>
              </w:rPr>
              <w:t>16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 po odliczeniu pozycji krótkich</w:t>
            </w:r>
          </w:p>
          <w:p w14:paraId="3A282320" w14:textId="6A9BD3D0" w:rsidR="00915077" w:rsidRPr="00E26EF6" w:rsidRDefault="002648B0">
            <w:pPr>
              <w:pStyle w:val="InstructionsText"/>
              <w:rPr>
                <w:highlight w:val="lightGray"/>
              </w:rPr>
            </w:pPr>
            <w:r w:rsidRPr="00E26EF6">
              <w:t>Art. 58</w:t>
            </w:r>
            <w:r w:rsidR="00E26EF6" w:rsidRPr="00E26EF6">
              <w:t xml:space="preserve"> i 5</w:t>
            </w:r>
            <w:r w:rsidRPr="00E26EF6">
              <w:t>9 CRR</w:t>
            </w:r>
          </w:p>
        </w:tc>
      </w:tr>
      <w:tr w:rsidR="00915077" w:rsidRPr="00E26EF6" w14:paraId="165A41EE" w14:textId="77777777" w:rsidTr="00672D2A">
        <w:tc>
          <w:tcPr>
            <w:tcW w:w="1506" w:type="dxa"/>
          </w:tcPr>
          <w:p w14:paraId="73B9DCEE" w14:textId="77777777" w:rsidR="00915077" w:rsidRPr="00E26EF6" w:rsidRDefault="002648B0">
            <w:pPr>
              <w:pStyle w:val="InstructionsText"/>
              <w:rPr>
                <w:highlight w:val="lightGray"/>
              </w:rPr>
            </w:pPr>
            <w:r w:rsidRPr="00E26EF6">
              <w:t>520</w:t>
            </w:r>
          </w:p>
        </w:tc>
        <w:tc>
          <w:tcPr>
            <w:tcW w:w="7243" w:type="dxa"/>
          </w:tcPr>
          <w:p w14:paraId="3C5D92D8" w14:textId="7F5F5752" w:rsidR="00915077" w:rsidRPr="00E26EF6" w:rsidRDefault="002648B0">
            <w:pPr>
              <w:pStyle w:val="InstructionsText"/>
            </w:pPr>
            <w:r w:rsidRPr="00E26EF6">
              <w:rPr>
                <w:rStyle w:val="InstructionsTabelleberschrift"/>
                <w:rFonts w:ascii="Times New Roman" w:hAnsi="Times New Roman"/>
                <w:sz w:val="24"/>
              </w:rPr>
              <w:t>16.1</w:t>
            </w:r>
            <w:r w:rsidRPr="00E26EF6">
              <w:rPr>
                <w:rStyle w:val="InstructionsTabelleberschrift"/>
                <w:rFonts w:ascii="Times New Roman" w:hAnsi="Times New Roman"/>
                <w:sz w:val="24"/>
              </w:rPr>
              <w:tab/>
              <w:t>Bezpośrednie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w:t>
            </w:r>
          </w:p>
          <w:p w14:paraId="6CD73006" w14:textId="4B8DAD9D" w:rsidR="00915077" w:rsidRPr="00E26EF6" w:rsidRDefault="002648B0">
            <w:pPr>
              <w:pStyle w:val="InstructionsText"/>
              <w:rPr>
                <w:highlight w:val="lightGray"/>
              </w:rPr>
            </w:pPr>
            <w:r w:rsidRPr="00E26EF6">
              <w:t>Art. 58</w:t>
            </w:r>
            <w:r w:rsidR="00E26EF6" w:rsidRPr="00E26EF6">
              <w:t xml:space="preserve"> i 5</w:t>
            </w:r>
            <w:r w:rsidRPr="00E26EF6">
              <w:t>9 CRR</w:t>
            </w:r>
          </w:p>
        </w:tc>
      </w:tr>
      <w:tr w:rsidR="00915077" w:rsidRPr="00E26EF6" w14:paraId="5D7399BF" w14:textId="77777777" w:rsidTr="00672D2A">
        <w:tc>
          <w:tcPr>
            <w:tcW w:w="1506" w:type="dxa"/>
          </w:tcPr>
          <w:p w14:paraId="1FA002BB" w14:textId="77777777" w:rsidR="00915077" w:rsidRPr="00E26EF6" w:rsidRDefault="002648B0">
            <w:pPr>
              <w:pStyle w:val="InstructionsText"/>
              <w:rPr>
                <w:highlight w:val="lightGray"/>
              </w:rPr>
            </w:pPr>
            <w:r w:rsidRPr="00E26EF6">
              <w:t>530</w:t>
            </w:r>
          </w:p>
        </w:tc>
        <w:tc>
          <w:tcPr>
            <w:tcW w:w="7243" w:type="dxa"/>
          </w:tcPr>
          <w:p w14:paraId="58958D69" w14:textId="71F46057" w:rsidR="00915077" w:rsidRPr="00E26EF6" w:rsidRDefault="002648B0">
            <w:pPr>
              <w:pStyle w:val="InstructionsText"/>
            </w:pPr>
            <w:r w:rsidRPr="00E26EF6">
              <w:rPr>
                <w:rStyle w:val="InstructionsTabelleberschrift"/>
                <w:rFonts w:ascii="Times New Roman" w:hAnsi="Times New Roman"/>
                <w:sz w:val="24"/>
              </w:rPr>
              <w:t>16.1.1</w:t>
            </w:r>
            <w:r w:rsidRPr="00E26EF6">
              <w:rPr>
                <w:rStyle w:val="InstructionsTabelleberschrift"/>
                <w:rFonts w:ascii="Times New Roman" w:hAnsi="Times New Roman"/>
                <w:sz w:val="24"/>
              </w:rPr>
              <w:tab/>
              <w:t>Bezpośrednie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w:t>
            </w:r>
          </w:p>
          <w:p w14:paraId="7C5EC7F0" w14:textId="7B3C53AE" w:rsidR="00915077" w:rsidRPr="00E26EF6" w:rsidRDefault="002648B0">
            <w:pPr>
              <w:pStyle w:val="InstructionsText"/>
            </w:pPr>
            <w:r w:rsidRPr="00E26EF6">
              <w:lastRenderedPageBreak/>
              <w:t>Art. 58 CRR</w:t>
            </w:r>
          </w:p>
          <w:p w14:paraId="5B293760" w14:textId="723F266E" w:rsidR="00915077" w:rsidRPr="00E26EF6" w:rsidRDefault="002648B0">
            <w:pPr>
              <w:pStyle w:val="InstructionsText"/>
            </w:pPr>
            <w:r w:rsidRPr="00E26EF6">
              <w:t>Bezpośrednie udziały kapitałowe</w:t>
            </w:r>
            <w:r w:rsidR="00E26EF6" w:rsidRPr="00E26EF6">
              <w:t xml:space="preserve"> w kap</w:t>
            </w:r>
            <w:r w:rsidRPr="00E26EF6">
              <w:t>itale dodatkowym Tier I podmiotów sektora finansowego, jeżeli instytucja dokonała znacznej inwestycji,</w:t>
            </w:r>
            <w:r w:rsidR="00E26EF6" w:rsidRPr="00E26EF6">
              <w:t xml:space="preserve"> z wył</w:t>
            </w:r>
            <w:r w:rsidRPr="00E26EF6">
              <w:t>ączeniem:</w:t>
            </w:r>
          </w:p>
          <w:p w14:paraId="573E3B03" w14:textId="4C8FE705" w:rsidR="00915077" w:rsidRPr="00E26EF6" w:rsidRDefault="002648B0">
            <w:pPr>
              <w:pStyle w:val="InstructionsText"/>
            </w:pPr>
            <w:r w:rsidRPr="00E26EF6">
              <w:t>a</w:t>
            </w:r>
            <w:proofErr w:type="gramStart"/>
            <w:r w:rsidRPr="00E26EF6">
              <w:t>)</w:t>
            </w:r>
            <w:r w:rsidRPr="00E26EF6">
              <w:tab/>
              <w:t>pozycji</w:t>
            </w:r>
            <w:proofErr w:type="gramEnd"/>
            <w:r w:rsidR="00E26EF6" w:rsidRPr="00E26EF6">
              <w:t xml:space="preserve"> z tyt</w:t>
            </w:r>
            <w:r w:rsidRPr="00E26EF6">
              <w:t>ułu gwarantowania emisji utrzymywanych nie dłużej niż przez 5 dni roboczych (art.</w:t>
            </w:r>
            <w:r w:rsidR="00023409" w:rsidRPr="00E26EF6">
              <w:t> </w:t>
            </w:r>
            <w:r w:rsidRPr="00E26EF6">
              <w:t>56 lit.</w:t>
            </w:r>
            <w:r w:rsidR="00023409" w:rsidRPr="00E26EF6">
              <w:t> </w:t>
            </w:r>
            <w:r w:rsidRPr="00E26EF6">
              <w:t>d) CRR); oraz</w:t>
            </w:r>
          </w:p>
          <w:p w14:paraId="096AB377" w14:textId="79E4B00B" w:rsidR="00915077" w:rsidRPr="00E26EF6" w:rsidRDefault="002648B0">
            <w:pPr>
              <w:pStyle w:val="InstructionsText"/>
              <w:rPr>
                <w:highlight w:val="lightGray"/>
              </w:rPr>
            </w:pPr>
            <w:r w:rsidRPr="00E26EF6">
              <w:t>b</w:t>
            </w:r>
            <w:proofErr w:type="gramStart"/>
            <w:r w:rsidRPr="00E26EF6">
              <w:t>)</w:t>
            </w:r>
            <w:r w:rsidRPr="00E26EF6">
              <w:tab/>
              <w:t>udziałów</w:t>
            </w:r>
            <w:proofErr w:type="gramEnd"/>
            <w:r w:rsidRPr="00E26EF6">
              <w:t xml:space="preserve"> kapitałowych, które traktuje się jako krzyżowe powiązania kapitałowe zgodnie</w:t>
            </w:r>
            <w:r w:rsidR="00E26EF6" w:rsidRPr="00E26EF6">
              <w:t xml:space="preserve"> z art</w:t>
            </w:r>
            <w:r w:rsidRPr="00E26EF6">
              <w:t>.</w:t>
            </w:r>
            <w:r w:rsidR="00023409" w:rsidRPr="00E26EF6">
              <w:t> </w:t>
            </w:r>
            <w:r w:rsidRPr="00E26EF6">
              <w:t>56 lit.</w:t>
            </w:r>
            <w:r w:rsidR="00023409" w:rsidRPr="00E26EF6">
              <w:t> </w:t>
            </w:r>
            <w:r w:rsidRPr="00E26EF6">
              <w:t>b) CRR.</w:t>
            </w:r>
          </w:p>
        </w:tc>
      </w:tr>
      <w:tr w:rsidR="00915077" w:rsidRPr="00E26EF6" w14:paraId="466DFC89" w14:textId="77777777" w:rsidTr="00672D2A">
        <w:tc>
          <w:tcPr>
            <w:tcW w:w="1506" w:type="dxa"/>
          </w:tcPr>
          <w:p w14:paraId="36DE1319" w14:textId="77777777" w:rsidR="00915077" w:rsidRPr="00E26EF6" w:rsidRDefault="002648B0">
            <w:pPr>
              <w:pStyle w:val="InstructionsText"/>
              <w:rPr>
                <w:highlight w:val="lightGray"/>
              </w:rPr>
            </w:pPr>
            <w:r w:rsidRPr="00E26EF6">
              <w:lastRenderedPageBreak/>
              <w:t>540</w:t>
            </w:r>
          </w:p>
        </w:tc>
        <w:tc>
          <w:tcPr>
            <w:tcW w:w="7243" w:type="dxa"/>
          </w:tcPr>
          <w:p w14:paraId="008F7057" w14:textId="51EE0E3B" w:rsidR="00915077" w:rsidRPr="00E26EF6" w:rsidRDefault="002648B0">
            <w:pPr>
              <w:pStyle w:val="InstructionsText"/>
            </w:pPr>
            <w:r w:rsidRPr="00E26EF6">
              <w:rPr>
                <w:rStyle w:val="InstructionsTabelleberschrift"/>
                <w:rFonts w:ascii="Times New Roman" w:hAnsi="Times New Roman"/>
                <w:sz w:val="24"/>
              </w:rPr>
              <w:t>16.1.2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bezpośrednich udziałów kapitałowych brutto ujętych powyżej</w:t>
            </w:r>
          </w:p>
          <w:p w14:paraId="19D56D4F" w14:textId="6C7D832C" w:rsidR="00915077" w:rsidRPr="00E26EF6" w:rsidRDefault="002648B0">
            <w:pPr>
              <w:pStyle w:val="InstructionsText"/>
            </w:pPr>
            <w:r w:rsidRPr="00E26EF6">
              <w:t>Art. 59 CRR</w:t>
            </w:r>
          </w:p>
          <w:p w14:paraId="2BCF2FEA" w14:textId="5B9FFE2E" w:rsidR="00915077" w:rsidRPr="00E26EF6" w:rsidRDefault="0014657C">
            <w:pPr>
              <w:pStyle w:val="InstructionsText"/>
              <w:rPr>
                <w:highlight w:val="lightGray"/>
              </w:rPr>
            </w:pPr>
            <w:r w:rsidRPr="00E26EF6">
              <w:t>Art. 59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240757EC" w14:textId="77777777" w:rsidTr="00672D2A">
        <w:tc>
          <w:tcPr>
            <w:tcW w:w="1506" w:type="dxa"/>
          </w:tcPr>
          <w:p w14:paraId="047DF1C5" w14:textId="77777777" w:rsidR="00915077" w:rsidRPr="00E26EF6" w:rsidRDefault="002648B0">
            <w:pPr>
              <w:pStyle w:val="InstructionsText"/>
              <w:rPr>
                <w:highlight w:val="lightGray"/>
              </w:rPr>
            </w:pPr>
            <w:r w:rsidRPr="00E26EF6">
              <w:t>550</w:t>
            </w:r>
          </w:p>
        </w:tc>
        <w:tc>
          <w:tcPr>
            <w:tcW w:w="7243" w:type="dxa"/>
          </w:tcPr>
          <w:p w14:paraId="6EB0D433" w14:textId="01795EDC" w:rsidR="00915077" w:rsidRPr="00E26EF6" w:rsidRDefault="002648B0">
            <w:pPr>
              <w:pStyle w:val="InstructionsText"/>
            </w:pPr>
            <w:r w:rsidRPr="00E26EF6">
              <w:rPr>
                <w:rStyle w:val="InstructionsTabelleberschrift"/>
                <w:rFonts w:ascii="Times New Roman" w:hAnsi="Times New Roman"/>
                <w:sz w:val="24"/>
              </w:rPr>
              <w:t>16.2</w:t>
            </w:r>
            <w:r w:rsidRPr="00E26EF6">
              <w:rPr>
                <w:rStyle w:val="InstructionsTabelleberschrift"/>
                <w:rFonts w:ascii="Times New Roman" w:hAnsi="Times New Roman"/>
                <w:sz w:val="24"/>
              </w:rPr>
              <w:tab/>
              <w:t>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w:t>
            </w:r>
          </w:p>
          <w:p w14:paraId="10C9AD3B" w14:textId="0420B859" w:rsidR="00915077" w:rsidRPr="00E26EF6" w:rsidRDefault="00214FDA">
            <w:pPr>
              <w:pStyle w:val="InstructionsText"/>
              <w:rPr>
                <w:highlight w:val="lightGray"/>
              </w:rPr>
            </w:pPr>
            <w:r w:rsidRPr="00E26EF6">
              <w:t>Art. 4 ust.</w:t>
            </w:r>
            <w:r w:rsidR="00023409" w:rsidRPr="00E26EF6">
              <w:t> </w:t>
            </w:r>
            <w:r w:rsidRPr="00E26EF6">
              <w:t>1 pkt</w:t>
            </w:r>
            <w:r w:rsidR="00023409" w:rsidRPr="00E26EF6">
              <w:t> </w:t>
            </w:r>
            <w:r w:rsidRPr="00E26EF6">
              <w:t>114 oraz art.</w:t>
            </w:r>
            <w:r w:rsidR="00023409" w:rsidRPr="00E26EF6">
              <w:t> </w:t>
            </w:r>
            <w:r w:rsidRPr="00E26EF6">
              <w:t>58</w:t>
            </w:r>
            <w:r w:rsidR="00E26EF6" w:rsidRPr="00E26EF6">
              <w:t xml:space="preserve"> i art</w:t>
            </w:r>
            <w:r w:rsidRPr="00E26EF6">
              <w:t>.</w:t>
            </w:r>
            <w:r w:rsidR="00023409" w:rsidRPr="00E26EF6">
              <w:t> </w:t>
            </w:r>
            <w:r w:rsidRPr="00E26EF6">
              <w:t>59 CRR</w:t>
            </w:r>
          </w:p>
        </w:tc>
      </w:tr>
      <w:tr w:rsidR="00915077" w:rsidRPr="00E26EF6" w14:paraId="58CE0149" w14:textId="77777777" w:rsidTr="00672D2A">
        <w:tc>
          <w:tcPr>
            <w:tcW w:w="1506" w:type="dxa"/>
          </w:tcPr>
          <w:p w14:paraId="48C4C802" w14:textId="77777777" w:rsidR="00915077" w:rsidRPr="00E26EF6" w:rsidRDefault="002648B0">
            <w:pPr>
              <w:pStyle w:val="InstructionsText"/>
              <w:rPr>
                <w:highlight w:val="lightGray"/>
              </w:rPr>
            </w:pPr>
            <w:r w:rsidRPr="00E26EF6">
              <w:t>560</w:t>
            </w:r>
          </w:p>
        </w:tc>
        <w:tc>
          <w:tcPr>
            <w:tcW w:w="7243" w:type="dxa"/>
          </w:tcPr>
          <w:p w14:paraId="4039D54F" w14:textId="502220DA" w:rsidR="00915077" w:rsidRPr="00E26EF6" w:rsidRDefault="002648B0">
            <w:pPr>
              <w:pStyle w:val="InstructionsText"/>
            </w:pPr>
            <w:r w:rsidRPr="00E26EF6">
              <w:rPr>
                <w:rStyle w:val="InstructionsTabelleberschrift"/>
                <w:rFonts w:ascii="Times New Roman" w:hAnsi="Times New Roman"/>
                <w:sz w:val="24"/>
              </w:rPr>
              <w:t>16.2.1</w:t>
            </w:r>
            <w:r w:rsidRPr="00E26EF6">
              <w:rPr>
                <w:rStyle w:val="InstructionsTabelleberschrift"/>
                <w:rFonts w:ascii="Times New Roman" w:hAnsi="Times New Roman"/>
                <w:sz w:val="24"/>
              </w:rPr>
              <w:tab/>
              <w:t>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w:t>
            </w:r>
          </w:p>
          <w:p w14:paraId="05B916B6" w14:textId="2BD47A40"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58</w:t>
            </w:r>
            <w:r w:rsidR="00E26EF6" w:rsidRPr="00E26EF6">
              <w:t xml:space="preserve"> i art</w:t>
            </w:r>
            <w:r w:rsidRPr="00E26EF6">
              <w:t>.</w:t>
            </w:r>
            <w:r w:rsidR="00023409" w:rsidRPr="00E26EF6">
              <w:t> </w:t>
            </w:r>
            <w:r w:rsidRPr="00E26EF6">
              <w:t>59 CRR</w:t>
            </w:r>
          </w:p>
          <w:p w14:paraId="28A903E2" w14:textId="40183162" w:rsidR="00915077" w:rsidRPr="00E26EF6" w:rsidRDefault="002648B0">
            <w:pPr>
              <w:pStyle w:val="InstructionsText"/>
            </w:pPr>
            <w:r w:rsidRPr="00E26EF6">
              <w:t>Kwotą, którą należy zgłosić, są pośrednie udziały kapitałowe</w:t>
            </w:r>
            <w:r w:rsidR="00E26EF6" w:rsidRPr="00E26EF6">
              <w:t xml:space="preserve"> w por</w:t>
            </w:r>
            <w:r w:rsidRPr="00E26EF6">
              <w:t>tfelu handlowym instrumentów kapitałowych podmiotów sektora finansowego, które to udziały przyjmują postać indeksowych papierów wartościowych. Uzyskuje się ją poprzez obliczenie ekspozycji bazowej</w:t>
            </w:r>
            <w:r w:rsidR="00E26EF6" w:rsidRPr="00E26EF6">
              <w:t xml:space="preserve"> z tyt</w:t>
            </w:r>
            <w:r w:rsidRPr="00E26EF6">
              <w:t>ułu instrumentów kapitałowych podmiotów sektora finansowego objętych tymi indeksami.</w:t>
            </w:r>
          </w:p>
          <w:p w14:paraId="7706BEAE" w14:textId="36489C49" w:rsidR="00915077" w:rsidRPr="00E26EF6" w:rsidRDefault="002648B0">
            <w:pPr>
              <w:pStyle w:val="InstructionsText"/>
              <w:rPr>
                <w:highlight w:val="lightGray"/>
              </w:rPr>
            </w:pPr>
            <w:r w:rsidRPr="00E26EF6">
              <w:t>Udziały kapitałowe, które traktuje się jako krzyżowe powiązania kapitałowe zgodnie</w:t>
            </w:r>
            <w:r w:rsidR="00E26EF6" w:rsidRPr="00E26EF6">
              <w:t xml:space="preserve"> z art</w:t>
            </w:r>
            <w:r w:rsidRPr="00E26EF6">
              <w:t>.</w:t>
            </w:r>
            <w:r w:rsidR="00023409" w:rsidRPr="00E26EF6">
              <w:t> </w:t>
            </w:r>
            <w:r w:rsidRPr="00E26EF6">
              <w:t>56 lit.</w:t>
            </w:r>
            <w:r w:rsidR="00023409" w:rsidRPr="00E26EF6">
              <w:t> </w:t>
            </w:r>
            <w:r w:rsidRPr="00E26EF6">
              <w:t>b) CRR, nie są uwzględniane.</w:t>
            </w:r>
          </w:p>
        </w:tc>
      </w:tr>
      <w:tr w:rsidR="00915077" w:rsidRPr="00E26EF6" w14:paraId="14E003A3" w14:textId="77777777" w:rsidTr="00672D2A">
        <w:tc>
          <w:tcPr>
            <w:tcW w:w="1506" w:type="dxa"/>
          </w:tcPr>
          <w:p w14:paraId="721432E5" w14:textId="77777777" w:rsidR="00915077" w:rsidRPr="00E26EF6" w:rsidRDefault="002648B0">
            <w:pPr>
              <w:pStyle w:val="InstructionsText"/>
              <w:rPr>
                <w:highlight w:val="lightGray"/>
              </w:rPr>
            </w:pPr>
            <w:r w:rsidRPr="00E26EF6">
              <w:t>570</w:t>
            </w:r>
          </w:p>
        </w:tc>
        <w:tc>
          <w:tcPr>
            <w:tcW w:w="7243" w:type="dxa"/>
          </w:tcPr>
          <w:p w14:paraId="0BF1722E" w14:textId="2729706C" w:rsidR="00915077" w:rsidRPr="00E26EF6" w:rsidRDefault="002648B0">
            <w:pPr>
              <w:pStyle w:val="InstructionsText"/>
            </w:pPr>
            <w:r w:rsidRPr="00E26EF6">
              <w:rPr>
                <w:rStyle w:val="InstructionsTabelleberschrift"/>
                <w:rFonts w:ascii="Times New Roman" w:hAnsi="Times New Roman"/>
                <w:sz w:val="24"/>
              </w:rPr>
              <w:t>16.2.2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pośrednich udziałów kapitałowych brutto ujętych powyżej</w:t>
            </w:r>
          </w:p>
          <w:p w14:paraId="48B61345" w14:textId="24B0D577"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59 CRR</w:t>
            </w:r>
          </w:p>
          <w:p w14:paraId="0C0E1FA0" w14:textId="47421700" w:rsidR="00915077" w:rsidRPr="00E26EF6" w:rsidRDefault="0014657C">
            <w:pPr>
              <w:pStyle w:val="InstructionsText"/>
              <w:rPr>
                <w:highlight w:val="lightGray"/>
              </w:rPr>
            </w:pPr>
            <w:r w:rsidRPr="00E26EF6">
              <w:t>Art. 59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28CE4219" w14:textId="77777777" w:rsidTr="00672D2A">
        <w:tc>
          <w:tcPr>
            <w:tcW w:w="1506" w:type="dxa"/>
          </w:tcPr>
          <w:p w14:paraId="70F834C4" w14:textId="77777777" w:rsidR="00915077" w:rsidRPr="00E26EF6" w:rsidRDefault="00E81DB9">
            <w:pPr>
              <w:pStyle w:val="InstructionsText"/>
              <w:rPr>
                <w:highlight w:val="lightGray"/>
              </w:rPr>
            </w:pPr>
            <w:r w:rsidRPr="00E26EF6">
              <w:t>571</w:t>
            </w:r>
          </w:p>
        </w:tc>
        <w:tc>
          <w:tcPr>
            <w:tcW w:w="7243" w:type="dxa"/>
          </w:tcPr>
          <w:p w14:paraId="7D0D3803" w14:textId="6FD9E0EE" w:rsidR="00915077" w:rsidRPr="00E26EF6" w:rsidRDefault="00E81DB9">
            <w:pPr>
              <w:pStyle w:val="InstructionsText"/>
            </w:pPr>
            <w:r w:rsidRPr="00E26EF6">
              <w:rPr>
                <w:rStyle w:val="InstructionsTabelleberschrift"/>
                <w:rFonts w:ascii="Times New Roman" w:hAnsi="Times New Roman"/>
                <w:sz w:val="24"/>
              </w:rPr>
              <w:t>16.3</w:t>
            </w:r>
            <w:r w:rsidRPr="00E26EF6">
              <w:rPr>
                <w:rStyle w:val="InstructionsTabelleberschrift"/>
                <w:rFonts w:ascii="Times New Roman" w:hAnsi="Times New Roman"/>
                <w:sz w:val="24"/>
              </w:rPr>
              <w:tab/>
              <w:t>Syntetyczne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w:t>
            </w:r>
          </w:p>
          <w:p w14:paraId="7F2AD22F" w14:textId="2496F8B2"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58</w:t>
            </w:r>
            <w:r w:rsidR="00E26EF6" w:rsidRPr="00E26EF6">
              <w:t xml:space="preserve"> i art</w:t>
            </w:r>
            <w:r w:rsidRPr="00E26EF6">
              <w:t>.</w:t>
            </w:r>
            <w:r w:rsidR="00023409" w:rsidRPr="00E26EF6">
              <w:t> </w:t>
            </w:r>
            <w:r w:rsidRPr="00E26EF6">
              <w:t>59 CRR</w:t>
            </w:r>
          </w:p>
        </w:tc>
      </w:tr>
      <w:tr w:rsidR="00915077" w:rsidRPr="00E26EF6" w14:paraId="4BEC707A" w14:textId="77777777" w:rsidTr="00672D2A">
        <w:tc>
          <w:tcPr>
            <w:tcW w:w="1506" w:type="dxa"/>
          </w:tcPr>
          <w:p w14:paraId="0BCA77A7" w14:textId="77777777" w:rsidR="00915077" w:rsidRPr="00E26EF6" w:rsidRDefault="00E81DB9">
            <w:pPr>
              <w:pStyle w:val="InstructionsText"/>
              <w:rPr>
                <w:highlight w:val="lightGray"/>
              </w:rPr>
            </w:pPr>
            <w:r w:rsidRPr="00E26EF6">
              <w:lastRenderedPageBreak/>
              <w:t>572</w:t>
            </w:r>
          </w:p>
        </w:tc>
        <w:tc>
          <w:tcPr>
            <w:tcW w:w="7243" w:type="dxa"/>
          </w:tcPr>
          <w:p w14:paraId="715CE87A" w14:textId="2B3DE98D" w:rsidR="00915077" w:rsidRPr="00E26EF6" w:rsidRDefault="00E81DB9">
            <w:pPr>
              <w:pStyle w:val="InstructionsText"/>
            </w:pPr>
            <w:r w:rsidRPr="00E26EF6">
              <w:rPr>
                <w:rStyle w:val="InstructionsTabelleberschrift"/>
                <w:rFonts w:ascii="Times New Roman" w:hAnsi="Times New Roman"/>
                <w:sz w:val="24"/>
              </w:rPr>
              <w:t>16.3.1</w:t>
            </w:r>
            <w:r w:rsidRPr="00E26EF6">
              <w:rPr>
                <w:rStyle w:val="InstructionsTabelleberschrift"/>
                <w:rFonts w:ascii="Times New Roman" w:hAnsi="Times New Roman"/>
                <w:sz w:val="24"/>
              </w:rPr>
              <w:tab/>
              <w:t>Syntetyczne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w:t>
            </w:r>
          </w:p>
          <w:p w14:paraId="144F93F9" w14:textId="1F6EC28A"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58</w:t>
            </w:r>
            <w:r w:rsidR="00E26EF6" w:rsidRPr="00E26EF6">
              <w:t xml:space="preserve"> i art</w:t>
            </w:r>
            <w:r w:rsidRPr="00E26EF6">
              <w:t>.</w:t>
            </w:r>
            <w:r w:rsidR="00023409" w:rsidRPr="00E26EF6">
              <w:t> </w:t>
            </w:r>
            <w:r w:rsidRPr="00E26EF6">
              <w:t>59 CRR</w:t>
            </w:r>
          </w:p>
        </w:tc>
      </w:tr>
      <w:tr w:rsidR="00915077" w:rsidRPr="00E26EF6" w14:paraId="633C061F" w14:textId="77777777" w:rsidTr="00672D2A">
        <w:tc>
          <w:tcPr>
            <w:tcW w:w="1506" w:type="dxa"/>
          </w:tcPr>
          <w:p w14:paraId="48A3DAED" w14:textId="77777777" w:rsidR="00915077" w:rsidRPr="00E26EF6" w:rsidRDefault="00E81DB9">
            <w:pPr>
              <w:pStyle w:val="InstructionsText"/>
              <w:rPr>
                <w:highlight w:val="lightGray"/>
              </w:rPr>
            </w:pPr>
            <w:r w:rsidRPr="00E26EF6">
              <w:t>573</w:t>
            </w:r>
          </w:p>
        </w:tc>
        <w:tc>
          <w:tcPr>
            <w:tcW w:w="7243" w:type="dxa"/>
          </w:tcPr>
          <w:p w14:paraId="5112916F" w14:textId="1BF5327B" w:rsidR="00915077" w:rsidRPr="00E26EF6" w:rsidRDefault="00E81DB9">
            <w:pPr>
              <w:pStyle w:val="InstructionsText"/>
            </w:pPr>
            <w:r w:rsidRPr="00E26EF6">
              <w:rPr>
                <w:rStyle w:val="InstructionsTabelleberschrift"/>
                <w:rFonts w:ascii="Times New Roman" w:hAnsi="Times New Roman"/>
                <w:sz w:val="24"/>
              </w:rPr>
              <w:t>16.3.2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syntetycznych udziałów kapitałowych brutto ujętych powyżej</w:t>
            </w:r>
          </w:p>
          <w:p w14:paraId="50623946" w14:textId="6A1600F8"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59 CRR</w:t>
            </w:r>
          </w:p>
        </w:tc>
      </w:tr>
      <w:tr w:rsidR="00915077" w:rsidRPr="00E26EF6" w14:paraId="50E519C6" w14:textId="77777777" w:rsidTr="00672D2A">
        <w:tc>
          <w:tcPr>
            <w:tcW w:w="1506" w:type="dxa"/>
          </w:tcPr>
          <w:p w14:paraId="10C3CF59" w14:textId="77777777" w:rsidR="00915077" w:rsidRPr="00E26EF6" w:rsidRDefault="002648B0">
            <w:pPr>
              <w:pStyle w:val="InstructionsText"/>
              <w:rPr>
                <w:highlight w:val="lightGray"/>
              </w:rPr>
            </w:pPr>
            <w:r w:rsidRPr="00E26EF6">
              <w:t>580</w:t>
            </w:r>
          </w:p>
        </w:tc>
        <w:tc>
          <w:tcPr>
            <w:tcW w:w="7243" w:type="dxa"/>
          </w:tcPr>
          <w:p w14:paraId="42F63504" w14:textId="3F5F20DA" w:rsidR="00915077" w:rsidRPr="00E26EF6" w:rsidRDefault="002648B0">
            <w:pPr>
              <w:pStyle w:val="InstructionsText"/>
            </w:pPr>
            <w:r w:rsidRPr="00E26EF6">
              <w:rPr>
                <w:rStyle w:val="InstructionsTabelleberschrift"/>
                <w:rFonts w:ascii="Times New Roman" w:hAnsi="Times New Roman"/>
                <w:sz w:val="24"/>
              </w:rPr>
              <w:t>17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po odliczeniu pozycji krótkich</w:t>
            </w:r>
          </w:p>
          <w:p w14:paraId="7A5CB051" w14:textId="63C0A048" w:rsidR="00915077" w:rsidRPr="00E26EF6" w:rsidRDefault="002648B0">
            <w:pPr>
              <w:pStyle w:val="InstructionsText"/>
              <w:rPr>
                <w:highlight w:val="lightGray"/>
              </w:rPr>
            </w:pPr>
            <w:r w:rsidRPr="00E26EF6">
              <w:t>Art. 68</w:t>
            </w:r>
            <w:r w:rsidR="00E26EF6" w:rsidRPr="00E26EF6">
              <w:t xml:space="preserve"> i 6</w:t>
            </w:r>
            <w:r w:rsidRPr="00E26EF6">
              <w:t>9 CRR</w:t>
            </w:r>
          </w:p>
        </w:tc>
      </w:tr>
      <w:tr w:rsidR="00915077" w:rsidRPr="00E26EF6" w14:paraId="55B076F7" w14:textId="77777777" w:rsidTr="00672D2A">
        <w:tc>
          <w:tcPr>
            <w:tcW w:w="1506" w:type="dxa"/>
          </w:tcPr>
          <w:p w14:paraId="001A8EA2" w14:textId="77777777" w:rsidR="00915077" w:rsidRPr="00E26EF6" w:rsidRDefault="002648B0">
            <w:pPr>
              <w:pStyle w:val="InstructionsText"/>
              <w:rPr>
                <w:highlight w:val="lightGray"/>
              </w:rPr>
            </w:pPr>
            <w:r w:rsidRPr="00E26EF6">
              <w:t>590</w:t>
            </w:r>
          </w:p>
        </w:tc>
        <w:tc>
          <w:tcPr>
            <w:tcW w:w="7243" w:type="dxa"/>
          </w:tcPr>
          <w:p w14:paraId="15DE9E31" w14:textId="1D8C6584" w:rsidR="00915077" w:rsidRPr="00E26EF6" w:rsidRDefault="002648B0">
            <w:pPr>
              <w:pStyle w:val="InstructionsText"/>
            </w:pPr>
            <w:r w:rsidRPr="00E26EF6">
              <w:rPr>
                <w:rStyle w:val="InstructionsTabelleberschrift"/>
                <w:rFonts w:ascii="Times New Roman" w:hAnsi="Times New Roman"/>
                <w:sz w:val="24"/>
              </w:rPr>
              <w:t>17.1</w:t>
            </w:r>
            <w:r w:rsidRPr="00E26EF6">
              <w:rPr>
                <w:rStyle w:val="InstructionsTabelleberschrift"/>
                <w:rFonts w:ascii="Times New Roman" w:hAnsi="Times New Roman"/>
                <w:sz w:val="24"/>
              </w:rPr>
              <w:tab/>
              <w:t>Bezpośrednie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w:t>
            </w:r>
          </w:p>
          <w:p w14:paraId="18678044" w14:textId="38CE4925" w:rsidR="00915077" w:rsidRPr="00E26EF6" w:rsidRDefault="002648B0">
            <w:pPr>
              <w:pStyle w:val="InstructionsText"/>
              <w:rPr>
                <w:highlight w:val="lightGray"/>
              </w:rPr>
            </w:pPr>
            <w:r w:rsidRPr="00E26EF6">
              <w:t>Art. 68</w:t>
            </w:r>
            <w:r w:rsidR="00E26EF6" w:rsidRPr="00E26EF6">
              <w:t xml:space="preserve"> i 6</w:t>
            </w:r>
            <w:r w:rsidRPr="00E26EF6">
              <w:t>9 CRR</w:t>
            </w:r>
          </w:p>
        </w:tc>
      </w:tr>
      <w:tr w:rsidR="00915077" w:rsidRPr="00E26EF6" w14:paraId="4D94C750" w14:textId="77777777" w:rsidTr="00672D2A">
        <w:tc>
          <w:tcPr>
            <w:tcW w:w="1506" w:type="dxa"/>
          </w:tcPr>
          <w:p w14:paraId="6DD0D1F4" w14:textId="77777777" w:rsidR="00915077" w:rsidRPr="00E26EF6" w:rsidRDefault="002648B0">
            <w:pPr>
              <w:pStyle w:val="InstructionsText"/>
              <w:rPr>
                <w:highlight w:val="lightGray"/>
              </w:rPr>
            </w:pPr>
            <w:r w:rsidRPr="00E26EF6">
              <w:t>600</w:t>
            </w:r>
          </w:p>
        </w:tc>
        <w:tc>
          <w:tcPr>
            <w:tcW w:w="7243" w:type="dxa"/>
          </w:tcPr>
          <w:p w14:paraId="7F136317" w14:textId="08A63400" w:rsidR="00915077" w:rsidRPr="00E26EF6" w:rsidRDefault="002648B0">
            <w:pPr>
              <w:pStyle w:val="InstructionsText"/>
            </w:pPr>
            <w:r w:rsidRPr="00E26EF6">
              <w:rPr>
                <w:rStyle w:val="InstructionsTabelleberschrift"/>
                <w:rFonts w:ascii="Times New Roman" w:hAnsi="Times New Roman"/>
                <w:sz w:val="24"/>
              </w:rPr>
              <w:t>17.1.1</w:t>
            </w:r>
            <w:r w:rsidRPr="00E26EF6">
              <w:rPr>
                <w:rStyle w:val="InstructionsTabelleberschrift"/>
                <w:rFonts w:ascii="Times New Roman" w:hAnsi="Times New Roman"/>
                <w:sz w:val="24"/>
              </w:rPr>
              <w:tab/>
              <w:t>Bezpośrednie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w:t>
            </w:r>
          </w:p>
          <w:p w14:paraId="25CD6776" w14:textId="506DD83C" w:rsidR="00915077" w:rsidRPr="00E26EF6" w:rsidRDefault="002648B0">
            <w:pPr>
              <w:pStyle w:val="InstructionsText"/>
            </w:pPr>
            <w:r w:rsidRPr="00E26EF6">
              <w:t>Art. 68 CRR</w:t>
            </w:r>
          </w:p>
          <w:p w14:paraId="5406E851" w14:textId="4849227B" w:rsidR="00915077" w:rsidRPr="00E26EF6" w:rsidRDefault="002648B0">
            <w:pPr>
              <w:pStyle w:val="InstructionsText"/>
            </w:pPr>
            <w:r w:rsidRPr="00E26EF6">
              <w:t>Bezpośrednie udziały kapitałowe</w:t>
            </w:r>
            <w:r w:rsidR="00E26EF6" w:rsidRPr="00E26EF6">
              <w:t xml:space="preserve"> w kap</w:t>
            </w:r>
            <w:r w:rsidRPr="00E26EF6">
              <w:t>itale Tier II podmiotów sektora finansowego, jeżeli instytucja dokonała znacznej inwestycji w te podmioty,</w:t>
            </w:r>
            <w:r w:rsidR="00E26EF6" w:rsidRPr="00E26EF6">
              <w:t xml:space="preserve"> z wył</w:t>
            </w:r>
            <w:r w:rsidRPr="00E26EF6">
              <w:t>ączeniem:</w:t>
            </w:r>
          </w:p>
          <w:p w14:paraId="280B4C16" w14:textId="01B5CAC1" w:rsidR="00915077" w:rsidRPr="00E26EF6" w:rsidRDefault="002648B0">
            <w:pPr>
              <w:pStyle w:val="InstructionsText"/>
              <w:ind w:left="423" w:hanging="423"/>
            </w:pPr>
            <w:r w:rsidRPr="00E26EF6">
              <w:t>a</w:t>
            </w:r>
            <w:proofErr w:type="gramStart"/>
            <w:r w:rsidRPr="00E26EF6">
              <w:t>)</w:t>
            </w:r>
            <w:r w:rsidRPr="00E26EF6">
              <w:tab/>
              <w:t>pozycji</w:t>
            </w:r>
            <w:proofErr w:type="gramEnd"/>
            <w:r w:rsidR="00E26EF6" w:rsidRPr="00E26EF6">
              <w:t xml:space="preserve"> z tyt</w:t>
            </w:r>
            <w:r w:rsidRPr="00E26EF6">
              <w:t>ułu gwarantowania emisji utrzymywanych nie dłużej niż przez 5 dni roboczych (art.</w:t>
            </w:r>
            <w:r w:rsidR="00023409" w:rsidRPr="00E26EF6">
              <w:t> </w:t>
            </w:r>
            <w:r w:rsidRPr="00E26EF6">
              <w:t>66 lit.</w:t>
            </w:r>
            <w:r w:rsidR="00023409" w:rsidRPr="00E26EF6">
              <w:t> </w:t>
            </w:r>
            <w:r w:rsidRPr="00E26EF6">
              <w:t xml:space="preserve">d) CRR); oraz </w:t>
            </w:r>
          </w:p>
          <w:p w14:paraId="5472A79B" w14:textId="16DD14F0" w:rsidR="00915077" w:rsidRPr="00E26EF6" w:rsidRDefault="002648B0">
            <w:pPr>
              <w:pStyle w:val="InstructionsText"/>
              <w:ind w:left="423" w:hanging="423"/>
              <w:rPr>
                <w:highlight w:val="lightGray"/>
              </w:rPr>
            </w:pPr>
            <w:r w:rsidRPr="00E26EF6">
              <w:t>b</w:t>
            </w:r>
            <w:proofErr w:type="gramStart"/>
            <w:r w:rsidRPr="00E26EF6">
              <w:t>)</w:t>
            </w:r>
            <w:r w:rsidRPr="00E26EF6">
              <w:tab/>
              <w:t>udziałów</w:t>
            </w:r>
            <w:proofErr w:type="gramEnd"/>
            <w:r w:rsidRPr="00E26EF6">
              <w:t xml:space="preserve"> kapitałowych, które traktuje się jako krzyżowe powiązania kapitałowe zgodnie</w:t>
            </w:r>
            <w:r w:rsidR="00E26EF6" w:rsidRPr="00E26EF6">
              <w:t xml:space="preserve"> z art</w:t>
            </w:r>
            <w:r w:rsidRPr="00E26EF6">
              <w:t>.</w:t>
            </w:r>
            <w:r w:rsidR="00023409" w:rsidRPr="00E26EF6">
              <w:t> </w:t>
            </w:r>
            <w:r w:rsidRPr="00E26EF6">
              <w:t>66 lit.</w:t>
            </w:r>
            <w:r w:rsidR="00023409" w:rsidRPr="00E26EF6">
              <w:t> </w:t>
            </w:r>
            <w:r w:rsidRPr="00E26EF6">
              <w:t>b) CRR.</w:t>
            </w:r>
          </w:p>
        </w:tc>
      </w:tr>
      <w:tr w:rsidR="00915077" w:rsidRPr="00E26EF6" w14:paraId="51CF4FFC" w14:textId="77777777" w:rsidTr="00672D2A">
        <w:tc>
          <w:tcPr>
            <w:tcW w:w="1506" w:type="dxa"/>
          </w:tcPr>
          <w:p w14:paraId="5FAF3861" w14:textId="77777777" w:rsidR="00915077" w:rsidRPr="00E26EF6" w:rsidRDefault="002648B0">
            <w:pPr>
              <w:pStyle w:val="InstructionsText"/>
              <w:rPr>
                <w:highlight w:val="lightGray"/>
              </w:rPr>
            </w:pPr>
            <w:r w:rsidRPr="00E26EF6">
              <w:t>610</w:t>
            </w:r>
          </w:p>
        </w:tc>
        <w:tc>
          <w:tcPr>
            <w:tcW w:w="7243" w:type="dxa"/>
          </w:tcPr>
          <w:p w14:paraId="6012C5CA" w14:textId="382A1200" w:rsidR="00915077" w:rsidRPr="00E26EF6" w:rsidRDefault="002648B0">
            <w:pPr>
              <w:pStyle w:val="InstructionsText"/>
            </w:pPr>
            <w:r w:rsidRPr="00E26EF6">
              <w:rPr>
                <w:rStyle w:val="InstructionsTabelleberschrift"/>
                <w:rFonts w:ascii="Times New Roman" w:hAnsi="Times New Roman"/>
                <w:sz w:val="24"/>
              </w:rPr>
              <w:t>17.1.2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bezpośrednich udziałów kapitałowych brutto ujętych powyżej</w:t>
            </w:r>
          </w:p>
          <w:p w14:paraId="4B3ACD72" w14:textId="25B4CBD0" w:rsidR="00915077" w:rsidRPr="00E26EF6" w:rsidRDefault="002648B0">
            <w:pPr>
              <w:pStyle w:val="InstructionsText"/>
            </w:pPr>
            <w:r w:rsidRPr="00E26EF6">
              <w:t>Art. 69 CRR</w:t>
            </w:r>
          </w:p>
          <w:p w14:paraId="29E859F2" w14:textId="4523131F" w:rsidR="00915077" w:rsidRPr="00E26EF6" w:rsidRDefault="0014657C">
            <w:pPr>
              <w:pStyle w:val="InstructionsText"/>
              <w:rPr>
                <w:highlight w:val="lightGray"/>
              </w:rPr>
            </w:pPr>
            <w:r w:rsidRPr="00E26EF6">
              <w:t>Art. 69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2EF64A0D" w14:textId="77777777" w:rsidTr="00672D2A">
        <w:tc>
          <w:tcPr>
            <w:tcW w:w="1506" w:type="dxa"/>
          </w:tcPr>
          <w:p w14:paraId="193C63CC" w14:textId="77777777" w:rsidR="00915077" w:rsidRPr="00E26EF6" w:rsidRDefault="002648B0">
            <w:pPr>
              <w:pStyle w:val="InstructionsText"/>
              <w:rPr>
                <w:highlight w:val="lightGray"/>
              </w:rPr>
            </w:pPr>
            <w:r w:rsidRPr="00E26EF6">
              <w:t>620</w:t>
            </w:r>
          </w:p>
        </w:tc>
        <w:tc>
          <w:tcPr>
            <w:tcW w:w="7243" w:type="dxa"/>
          </w:tcPr>
          <w:p w14:paraId="3CCD3624" w14:textId="364DAAC7" w:rsidR="00915077" w:rsidRPr="00E26EF6" w:rsidRDefault="002648B0">
            <w:pPr>
              <w:pStyle w:val="InstructionsText"/>
            </w:pPr>
            <w:r w:rsidRPr="00E26EF6">
              <w:rPr>
                <w:rStyle w:val="InstructionsTabelleberschrift"/>
                <w:rFonts w:ascii="Times New Roman" w:hAnsi="Times New Roman"/>
                <w:sz w:val="24"/>
              </w:rPr>
              <w:t>17.2</w:t>
            </w:r>
            <w:r w:rsidRPr="00E26EF6">
              <w:rPr>
                <w:rStyle w:val="InstructionsTabelleberschrift"/>
                <w:rFonts w:ascii="Times New Roman" w:hAnsi="Times New Roman"/>
                <w:sz w:val="24"/>
              </w:rPr>
              <w:tab/>
              <w:t>Pośrednie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w:t>
            </w:r>
          </w:p>
          <w:p w14:paraId="27A2E34A" w14:textId="3F387778" w:rsidR="00915077" w:rsidRPr="00E26EF6" w:rsidRDefault="00214FDA">
            <w:pPr>
              <w:pStyle w:val="InstructionsText"/>
              <w:rPr>
                <w:highlight w:val="lightGray"/>
              </w:rPr>
            </w:pPr>
            <w:r w:rsidRPr="00E26EF6">
              <w:t>Art. 4 ust.</w:t>
            </w:r>
            <w:r w:rsidR="00023409" w:rsidRPr="00E26EF6">
              <w:t> </w:t>
            </w:r>
            <w:r w:rsidRPr="00E26EF6">
              <w:t>1 pkt</w:t>
            </w:r>
            <w:r w:rsidR="00023409" w:rsidRPr="00E26EF6">
              <w:t> </w:t>
            </w:r>
            <w:r w:rsidRPr="00E26EF6">
              <w:t>114 oraz art.</w:t>
            </w:r>
            <w:r w:rsidR="00023409" w:rsidRPr="00E26EF6">
              <w:t> </w:t>
            </w:r>
            <w:r w:rsidRPr="00E26EF6">
              <w:t>68</w:t>
            </w:r>
            <w:r w:rsidR="00E26EF6" w:rsidRPr="00E26EF6">
              <w:t xml:space="preserve"> i art</w:t>
            </w:r>
            <w:r w:rsidRPr="00E26EF6">
              <w:t>.</w:t>
            </w:r>
            <w:r w:rsidR="00023409" w:rsidRPr="00E26EF6">
              <w:t> </w:t>
            </w:r>
            <w:r w:rsidRPr="00E26EF6">
              <w:t>69 CRR</w:t>
            </w:r>
          </w:p>
        </w:tc>
      </w:tr>
      <w:tr w:rsidR="00915077" w:rsidRPr="00E26EF6" w14:paraId="612D3C25" w14:textId="77777777" w:rsidTr="00672D2A">
        <w:tc>
          <w:tcPr>
            <w:tcW w:w="1506" w:type="dxa"/>
          </w:tcPr>
          <w:p w14:paraId="3983A918" w14:textId="77777777" w:rsidR="00915077" w:rsidRPr="00E26EF6" w:rsidRDefault="002648B0">
            <w:pPr>
              <w:pStyle w:val="InstructionsText"/>
              <w:rPr>
                <w:highlight w:val="lightGray"/>
              </w:rPr>
            </w:pPr>
            <w:r w:rsidRPr="00E26EF6">
              <w:t>630</w:t>
            </w:r>
          </w:p>
        </w:tc>
        <w:tc>
          <w:tcPr>
            <w:tcW w:w="7243" w:type="dxa"/>
          </w:tcPr>
          <w:p w14:paraId="0AFAC56E" w14:textId="1E120EE9" w:rsidR="00915077" w:rsidRPr="00E26EF6" w:rsidRDefault="002648B0">
            <w:pPr>
              <w:pStyle w:val="InstructionsText"/>
            </w:pPr>
            <w:r w:rsidRPr="00E26EF6">
              <w:rPr>
                <w:rStyle w:val="InstructionsTabelleberschrift"/>
                <w:rFonts w:ascii="Times New Roman" w:hAnsi="Times New Roman"/>
                <w:sz w:val="24"/>
              </w:rPr>
              <w:t>17.2.1</w:t>
            </w:r>
            <w:r w:rsidRPr="00E26EF6">
              <w:rPr>
                <w:rStyle w:val="InstructionsTabelleberschrift"/>
                <w:rFonts w:ascii="Times New Roman" w:hAnsi="Times New Roman"/>
                <w:sz w:val="24"/>
              </w:rPr>
              <w:tab/>
              <w:t>Pośrednie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w:t>
            </w:r>
          </w:p>
          <w:p w14:paraId="5174B9EB" w14:textId="6FD1A84C"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68</w:t>
            </w:r>
            <w:r w:rsidR="00E26EF6" w:rsidRPr="00E26EF6">
              <w:t xml:space="preserve"> i art</w:t>
            </w:r>
            <w:r w:rsidRPr="00E26EF6">
              <w:t>.</w:t>
            </w:r>
            <w:r w:rsidR="00023409" w:rsidRPr="00E26EF6">
              <w:t> </w:t>
            </w:r>
            <w:r w:rsidRPr="00E26EF6">
              <w:t>69 CRR</w:t>
            </w:r>
          </w:p>
          <w:p w14:paraId="060D459D" w14:textId="4685FCCA" w:rsidR="00915077" w:rsidRPr="00E26EF6" w:rsidRDefault="002648B0">
            <w:pPr>
              <w:pStyle w:val="InstructionsText"/>
            </w:pPr>
            <w:r w:rsidRPr="00E26EF6">
              <w:t>Kwotą, którą należy zgłosić, są pośrednie udziały kapitałowe</w:t>
            </w:r>
            <w:r w:rsidR="00E26EF6" w:rsidRPr="00E26EF6">
              <w:t xml:space="preserve"> w por</w:t>
            </w:r>
            <w:r w:rsidRPr="00E26EF6">
              <w:t>tfelu handlowym instrumentów kapitałowych podmiotów sektora finansowego, które to udziały przyjmują postać indeksowych papierów wartościowych. Uzyskuje się ją poprzez obliczenie ekspozycji bazowej</w:t>
            </w:r>
            <w:r w:rsidR="00E26EF6" w:rsidRPr="00E26EF6">
              <w:t xml:space="preserve"> z tyt</w:t>
            </w:r>
            <w:r w:rsidRPr="00E26EF6">
              <w:t>ułu instrumentów kapitałowych podmiotów sektora finansowego objętych tymi indeksami.</w:t>
            </w:r>
          </w:p>
          <w:p w14:paraId="46345853" w14:textId="0E8C3B70" w:rsidR="00915077" w:rsidRPr="00E26EF6" w:rsidRDefault="002648B0">
            <w:pPr>
              <w:pStyle w:val="InstructionsText"/>
              <w:rPr>
                <w:highlight w:val="lightGray"/>
              </w:rPr>
            </w:pPr>
            <w:r w:rsidRPr="00E26EF6">
              <w:lastRenderedPageBreak/>
              <w:t>Udziały kapitałowe, które traktuje się jako krzyżowe powiązania kapitałowe zgodnie</w:t>
            </w:r>
            <w:r w:rsidR="00E26EF6" w:rsidRPr="00E26EF6">
              <w:t xml:space="preserve"> z art</w:t>
            </w:r>
            <w:r w:rsidRPr="00E26EF6">
              <w:t>.</w:t>
            </w:r>
            <w:r w:rsidR="00023409" w:rsidRPr="00E26EF6">
              <w:t> </w:t>
            </w:r>
            <w:r w:rsidRPr="00E26EF6">
              <w:t>66 lit.</w:t>
            </w:r>
            <w:r w:rsidR="00023409" w:rsidRPr="00E26EF6">
              <w:t> </w:t>
            </w:r>
            <w:r w:rsidRPr="00E26EF6">
              <w:t>b) CRR, nie są uwzględniane</w:t>
            </w:r>
          </w:p>
        </w:tc>
      </w:tr>
      <w:tr w:rsidR="00915077" w:rsidRPr="00E26EF6" w14:paraId="5A343273" w14:textId="77777777" w:rsidTr="00672D2A">
        <w:tc>
          <w:tcPr>
            <w:tcW w:w="1506" w:type="dxa"/>
          </w:tcPr>
          <w:p w14:paraId="1F694909" w14:textId="77777777" w:rsidR="00915077" w:rsidRPr="00E26EF6" w:rsidRDefault="002648B0">
            <w:pPr>
              <w:pStyle w:val="InstructionsText"/>
              <w:rPr>
                <w:highlight w:val="lightGray"/>
              </w:rPr>
            </w:pPr>
            <w:r w:rsidRPr="00E26EF6">
              <w:lastRenderedPageBreak/>
              <w:t>640</w:t>
            </w:r>
          </w:p>
        </w:tc>
        <w:tc>
          <w:tcPr>
            <w:tcW w:w="7243" w:type="dxa"/>
          </w:tcPr>
          <w:p w14:paraId="25239FD5" w14:textId="5F21CE1A" w:rsidR="00915077" w:rsidRPr="00E26EF6" w:rsidRDefault="002648B0">
            <w:pPr>
              <w:pStyle w:val="InstructionsText"/>
            </w:pPr>
            <w:r w:rsidRPr="00E26EF6">
              <w:rPr>
                <w:rStyle w:val="InstructionsTabelleberschrift"/>
                <w:rFonts w:ascii="Times New Roman" w:hAnsi="Times New Roman"/>
                <w:sz w:val="24"/>
              </w:rPr>
              <w:t>17.2.2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pośrednich udziałów kapitałowych brutto ujętych powyżej</w:t>
            </w:r>
          </w:p>
          <w:p w14:paraId="62B785BE" w14:textId="2DAA1569" w:rsidR="00915077" w:rsidRPr="00E26EF6" w:rsidRDefault="00214FDA">
            <w:pPr>
              <w:pStyle w:val="InstructionsText"/>
            </w:pPr>
            <w:r w:rsidRPr="00E26EF6">
              <w:t>Art. 4 ust.</w:t>
            </w:r>
            <w:r w:rsidR="00023409" w:rsidRPr="00E26EF6">
              <w:t> </w:t>
            </w:r>
            <w:r w:rsidRPr="00E26EF6">
              <w:t>1 pkt</w:t>
            </w:r>
            <w:r w:rsidR="00023409" w:rsidRPr="00E26EF6">
              <w:t> </w:t>
            </w:r>
            <w:r w:rsidRPr="00E26EF6">
              <w:t>114 oraz art.</w:t>
            </w:r>
            <w:r w:rsidR="00023409" w:rsidRPr="00E26EF6">
              <w:t> </w:t>
            </w:r>
            <w:r w:rsidRPr="00E26EF6">
              <w:t>69 CRR</w:t>
            </w:r>
          </w:p>
          <w:p w14:paraId="3592C249" w14:textId="458563D8" w:rsidR="00915077" w:rsidRPr="00E26EF6" w:rsidRDefault="0014657C">
            <w:pPr>
              <w:pStyle w:val="InstructionsText"/>
              <w:rPr>
                <w:highlight w:val="lightGray"/>
              </w:rPr>
            </w:pPr>
            <w:r w:rsidRPr="00E26EF6">
              <w:t>Art. 69 lit.</w:t>
            </w:r>
            <w:r w:rsidR="00023409" w:rsidRPr="00E26EF6">
              <w:t> </w:t>
            </w:r>
            <w:r w:rsidRPr="00E26EF6">
              <w:t>a) CRR dopuszcza kompensowanie pozycji krótkich na podstawie tej samej ekspozycji bazowej, pod warunkiem że zapadalność pozycji krótkiej odpowiada zapadalności pozycji długiej lub rezydualny termin zapadalności wynosi co najmniej rok.</w:t>
            </w:r>
          </w:p>
        </w:tc>
      </w:tr>
      <w:tr w:rsidR="00915077" w:rsidRPr="00E26EF6" w14:paraId="75D8109D" w14:textId="77777777" w:rsidTr="00672D2A">
        <w:tc>
          <w:tcPr>
            <w:tcW w:w="1506" w:type="dxa"/>
          </w:tcPr>
          <w:p w14:paraId="1F804E01" w14:textId="77777777" w:rsidR="00915077" w:rsidRPr="00E26EF6" w:rsidRDefault="002648B0">
            <w:pPr>
              <w:pStyle w:val="InstructionsText"/>
              <w:rPr>
                <w:highlight w:val="lightGray"/>
              </w:rPr>
            </w:pPr>
            <w:r w:rsidRPr="00E26EF6">
              <w:t>641</w:t>
            </w:r>
          </w:p>
        </w:tc>
        <w:tc>
          <w:tcPr>
            <w:tcW w:w="7243" w:type="dxa"/>
            <w:vAlign w:val="center"/>
          </w:tcPr>
          <w:p w14:paraId="183D493E" w14:textId="2461FEA0" w:rsidR="00915077" w:rsidRPr="00E26EF6" w:rsidRDefault="002648B0">
            <w:pPr>
              <w:pStyle w:val="InstructionsText"/>
            </w:pPr>
            <w:r w:rsidRPr="00E26EF6">
              <w:rPr>
                <w:rStyle w:val="InstructionsTabelleberschrift"/>
                <w:rFonts w:ascii="Times New Roman" w:hAnsi="Times New Roman"/>
                <w:sz w:val="24"/>
              </w:rPr>
              <w:t>17.3</w:t>
            </w:r>
            <w:r w:rsidRPr="00E26EF6">
              <w:rPr>
                <w:rStyle w:val="InstructionsTabelleberschrift"/>
                <w:rFonts w:ascii="Times New Roman" w:hAnsi="Times New Roman"/>
                <w:sz w:val="24"/>
              </w:rPr>
              <w:tab/>
              <w:t>Syntetyczne udziały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w:t>
            </w:r>
          </w:p>
          <w:p w14:paraId="022F90F1" w14:textId="49642000"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68</w:t>
            </w:r>
            <w:r w:rsidR="00E26EF6" w:rsidRPr="00E26EF6">
              <w:t xml:space="preserve"> i art</w:t>
            </w:r>
            <w:r w:rsidRPr="00E26EF6">
              <w:t>.</w:t>
            </w:r>
            <w:r w:rsidR="00023409" w:rsidRPr="00E26EF6">
              <w:t> </w:t>
            </w:r>
            <w:r w:rsidRPr="00E26EF6">
              <w:t>69 CRR</w:t>
            </w:r>
          </w:p>
        </w:tc>
      </w:tr>
      <w:tr w:rsidR="00915077" w:rsidRPr="00E26EF6" w14:paraId="2A4CB4E9" w14:textId="77777777" w:rsidTr="00672D2A">
        <w:tc>
          <w:tcPr>
            <w:tcW w:w="1506" w:type="dxa"/>
          </w:tcPr>
          <w:p w14:paraId="7D025789" w14:textId="77777777" w:rsidR="00915077" w:rsidRPr="00E26EF6" w:rsidRDefault="002648B0">
            <w:pPr>
              <w:pStyle w:val="InstructionsText"/>
              <w:rPr>
                <w:highlight w:val="lightGray"/>
              </w:rPr>
            </w:pPr>
            <w:r w:rsidRPr="00E26EF6">
              <w:t>642</w:t>
            </w:r>
          </w:p>
        </w:tc>
        <w:tc>
          <w:tcPr>
            <w:tcW w:w="7243" w:type="dxa"/>
            <w:vAlign w:val="center"/>
          </w:tcPr>
          <w:p w14:paraId="5DE52751" w14:textId="2AFCF3D1" w:rsidR="00915077" w:rsidRPr="00E26EF6" w:rsidRDefault="002648B0">
            <w:pPr>
              <w:pStyle w:val="InstructionsText"/>
            </w:pPr>
            <w:r w:rsidRPr="00E26EF6">
              <w:rPr>
                <w:rStyle w:val="InstructionsTabelleberschrift"/>
                <w:rFonts w:ascii="Times New Roman" w:hAnsi="Times New Roman"/>
                <w:sz w:val="24"/>
              </w:rPr>
              <w:t>17.3.1</w:t>
            </w:r>
            <w:r w:rsidRPr="00E26EF6">
              <w:rPr>
                <w:rStyle w:val="InstructionsTabelleberschrift"/>
                <w:rFonts w:ascii="Times New Roman" w:hAnsi="Times New Roman"/>
                <w:sz w:val="24"/>
              </w:rPr>
              <w:tab/>
              <w:t>Syntetyczne udziały kapitałowe brutto</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w:t>
            </w:r>
          </w:p>
          <w:p w14:paraId="3B2234B4" w14:textId="15FDD718"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68</w:t>
            </w:r>
            <w:r w:rsidR="00E26EF6" w:rsidRPr="00E26EF6">
              <w:t xml:space="preserve"> i art</w:t>
            </w:r>
            <w:r w:rsidRPr="00E26EF6">
              <w:t>.</w:t>
            </w:r>
            <w:r w:rsidR="00023409" w:rsidRPr="00E26EF6">
              <w:t> </w:t>
            </w:r>
            <w:r w:rsidRPr="00E26EF6">
              <w:t>69 CRR</w:t>
            </w:r>
          </w:p>
        </w:tc>
      </w:tr>
      <w:tr w:rsidR="00915077" w:rsidRPr="00E26EF6" w14:paraId="46148E6D" w14:textId="77777777" w:rsidTr="00672D2A">
        <w:tc>
          <w:tcPr>
            <w:tcW w:w="1506" w:type="dxa"/>
          </w:tcPr>
          <w:p w14:paraId="5BC5081D" w14:textId="77777777" w:rsidR="00915077" w:rsidRPr="00E26EF6" w:rsidRDefault="002648B0">
            <w:pPr>
              <w:pStyle w:val="InstructionsText"/>
              <w:rPr>
                <w:highlight w:val="lightGray"/>
              </w:rPr>
            </w:pPr>
            <w:r w:rsidRPr="00E26EF6">
              <w:t>643</w:t>
            </w:r>
          </w:p>
        </w:tc>
        <w:tc>
          <w:tcPr>
            <w:tcW w:w="7243" w:type="dxa"/>
            <w:vAlign w:val="center"/>
          </w:tcPr>
          <w:p w14:paraId="30D52697" w14:textId="3D18CBAB" w:rsidR="00915077" w:rsidRPr="00E26EF6" w:rsidRDefault="002648B0">
            <w:pPr>
              <w:pStyle w:val="InstructionsText"/>
            </w:pPr>
            <w:r w:rsidRPr="00E26EF6">
              <w:rPr>
                <w:rStyle w:val="InstructionsTabelleberschrift"/>
                <w:rFonts w:ascii="Times New Roman" w:hAnsi="Times New Roman"/>
                <w:sz w:val="24"/>
              </w:rPr>
              <w:t>17.3.2</w:t>
            </w:r>
            <w:r w:rsidRPr="00E26EF6">
              <w:rPr>
                <w:rStyle w:val="InstructionsTabelleberschrift"/>
                <w:rFonts w:ascii="Times New Roman" w:hAnsi="Times New Roman"/>
                <w:sz w:val="24"/>
              </w:rPr>
              <w:tab/>
              <w:t>(-) Dozwolone kompensowanie pozycji krótkich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syntetycznych udziałów kapitałowych brutto ujętych powyżej</w:t>
            </w:r>
          </w:p>
          <w:p w14:paraId="7C363177" w14:textId="090D8C8F" w:rsidR="00915077" w:rsidRPr="00E26EF6" w:rsidRDefault="00214FDA">
            <w:pPr>
              <w:pStyle w:val="InstructionsText"/>
              <w:rPr>
                <w:rStyle w:val="InstructionsTabelleberschrift"/>
                <w:rFonts w:ascii="Times New Roman" w:hAnsi="Times New Roman"/>
                <w:b w:val="0"/>
                <w:bCs w:val="0"/>
                <w:sz w:val="24"/>
                <w:highlight w:val="lightGray"/>
                <w:u w:val="none"/>
              </w:rPr>
            </w:pPr>
            <w:r w:rsidRPr="00E26EF6">
              <w:t>Art. 4 ust.</w:t>
            </w:r>
            <w:r w:rsidR="00023409" w:rsidRPr="00E26EF6">
              <w:t> </w:t>
            </w:r>
            <w:r w:rsidRPr="00E26EF6">
              <w:t>1 pkt</w:t>
            </w:r>
            <w:r w:rsidR="00023409" w:rsidRPr="00E26EF6">
              <w:t> </w:t>
            </w:r>
            <w:r w:rsidRPr="00E26EF6">
              <w:t>126 oraz art.</w:t>
            </w:r>
            <w:r w:rsidR="00023409" w:rsidRPr="00E26EF6">
              <w:t> </w:t>
            </w:r>
            <w:r w:rsidRPr="00E26EF6">
              <w:t>69 CRR</w:t>
            </w:r>
          </w:p>
        </w:tc>
      </w:tr>
      <w:tr w:rsidR="00915077" w:rsidRPr="00E26EF6" w14:paraId="2826F4E0" w14:textId="77777777" w:rsidTr="00672D2A">
        <w:tc>
          <w:tcPr>
            <w:tcW w:w="1506" w:type="dxa"/>
          </w:tcPr>
          <w:p w14:paraId="1DA8D087" w14:textId="77777777" w:rsidR="00915077" w:rsidRPr="00E26EF6" w:rsidRDefault="002648B0">
            <w:pPr>
              <w:pStyle w:val="InstructionsText"/>
              <w:rPr>
                <w:highlight w:val="lightGray"/>
              </w:rPr>
            </w:pPr>
            <w:r w:rsidRPr="00E26EF6">
              <w:t>650</w:t>
            </w:r>
          </w:p>
        </w:tc>
        <w:tc>
          <w:tcPr>
            <w:tcW w:w="7243" w:type="dxa"/>
          </w:tcPr>
          <w:p w14:paraId="70549837" w14:textId="18B271D4" w:rsidR="00915077" w:rsidRPr="00E26EF6" w:rsidRDefault="002648B0">
            <w:pPr>
              <w:pStyle w:val="InstructionsText"/>
            </w:pPr>
            <w:r w:rsidRPr="00E26EF6">
              <w:rPr>
                <w:rStyle w:val="InstructionsTabelleberschrift"/>
                <w:rFonts w:ascii="Times New Roman" w:hAnsi="Times New Roman"/>
                <w:sz w:val="24"/>
              </w:rPr>
              <w:t>18 Ekspozycje ważone ryzykiem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udziałów kapitałowych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nieodliczone od kapitału podstawowego Tier I instytucji</w:t>
            </w:r>
          </w:p>
          <w:p w14:paraId="786079A0" w14:textId="62D20F49" w:rsidR="00915077" w:rsidRPr="00E26EF6" w:rsidRDefault="002648B0">
            <w:pPr>
              <w:pStyle w:val="InstructionsText"/>
              <w:rPr>
                <w:highlight w:val="lightGray"/>
              </w:rPr>
            </w:pPr>
            <w:r w:rsidRPr="00E26EF6">
              <w:t>Art. 46 ust.</w:t>
            </w:r>
            <w:r w:rsidR="00023409" w:rsidRPr="00E26EF6">
              <w:t> </w:t>
            </w:r>
            <w:r w:rsidRPr="00E26EF6">
              <w:t>4, art.</w:t>
            </w:r>
            <w:r w:rsidR="00023409" w:rsidRPr="00E26EF6">
              <w:t> </w:t>
            </w:r>
            <w:r w:rsidRPr="00E26EF6">
              <w:t>48 ust.</w:t>
            </w:r>
            <w:r w:rsidR="00023409" w:rsidRPr="00E26EF6">
              <w:t> </w:t>
            </w:r>
            <w:r w:rsidRPr="00E26EF6">
              <w:t>4</w:t>
            </w:r>
            <w:r w:rsidR="00E26EF6" w:rsidRPr="00E26EF6">
              <w:t xml:space="preserve"> i art</w:t>
            </w:r>
            <w:r w:rsidRPr="00E26EF6">
              <w:t>.</w:t>
            </w:r>
            <w:r w:rsidR="00023409" w:rsidRPr="00E26EF6">
              <w:t> </w:t>
            </w:r>
            <w:r w:rsidRPr="00E26EF6">
              <w:t>49 ust.</w:t>
            </w:r>
            <w:r w:rsidR="00023409" w:rsidRPr="00E26EF6">
              <w:t> </w:t>
            </w:r>
            <w:r w:rsidRPr="00E26EF6">
              <w:t>4 CRR</w:t>
            </w:r>
          </w:p>
        </w:tc>
      </w:tr>
      <w:tr w:rsidR="00915077" w:rsidRPr="00E26EF6" w14:paraId="74B30FC8" w14:textId="77777777" w:rsidTr="00672D2A">
        <w:tc>
          <w:tcPr>
            <w:tcW w:w="1506" w:type="dxa"/>
          </w:tcPr>
          <w:p w14:paraId="798CF1B0" w14:textId="77777777" w:rsidR="00915077" w:rsidRPr="00E26EF6" w:rsidRDefault="002648B0">
            <w:pPr>
              <w:pStyle w:val="InstructionsText"/>
              <w:rPr>
                <w:highlight w:val="lightGray"/>
              </w:rPr>
            </w:pPr>
            <w:r w:rsidRPr="00E26EF6">
              <w:t>660</w:t>
            </w:r>
          </w:p>
        </w:tc>
        <w:tc>
          <w:tcPr>
            <w:tcW w:w="7243" w:type="dxa"/>
          </w:tcPr>
          <w:p w14:paraId="2F20F59C" w14:textId="202C96E2" w:rsidR="00915077" w:rsidRPr="00E26EF6" w:rsidRDefault="002648B0">
            <w:pPr>
              <w:pStyle w:val="InstructionsText"/>
            </w:pPr>
            <w:r w:rsidRPr="00E26EF6">
              <w:rPr>
                <w:rStyle w:val="InstructionsTabelleberschrift"/>
                <w:rFonts w:ascii="Times New Roman" w:hAnsi="Times New Roman"/>
                <w:sz w:val="24"/>
              </w:rPr>
              <w:t>19 Ekspozycje ważone ryzykiem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udziałów kapitałowych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nieodliczone od kapitału dodatkowego Tier I instytucji</w:t>
            </w:r>
          </w:p>
          <w:p w14:paraId="1E7B2123" w14:textId="1C12BA14" w:rsidR="00915077" w:rsidRPr="00E26EF6" w:rsidRDefault="002648B0">
            <w:pPr>
              <w:pStyle w:val="InstructionsText"/>
              <w:rPr>
                <w:highlight w:val="lightGray"/>
              </w:rPr>
            </w:pPr>
            <w:r w:rsidRPr="00E26EF6">
              <w:t>Art. 60 ust. 4 CRR</w:t>
            </w:r>
          </w:p>
        </w:tc>
      </w:tr>
      <w:tr w:rsidR="00915077" w:rsidRPr="00E26EF6" w14:paraId="2CDAAC1B" w14:textId="77777777" w:rsidTr="00672D2A">
        <w:tc>
          <w:tcPr>
            <w:tcW w:w="1506" w:type="dxa"/>
          </w:tcPr>
          <w:p w14:paraId="14716438" w14:textId="77777777" w:rsidR="00915077" w:rsidRPr="00E26EF6" w:rsidRDefault="002648B0">
            <w:pPr>
              <w:pStyle w:val="InstructionsText"/>
              <w:rPr>
                <w:highlight w:val="lightGray"/>
              </w:rPr>
            </w:pPr>
            <w:r w:rsidRPr="00E26EF6">
              <w:t>670</w:t>
            </w:r>
          </w:p>
        </w:tc>
        <w:tc>
          <w:tcPr>
            <w:tcW w:w="7243" w:type="dxa"/>
          </w:tcPr>
          <w:p w14:paraId="5D1E75DC" w14:textId="3F55EEED" w:rsidR="00915077" w:rsidRPr="00E26EF6" w:rsidRDefault="002648B0">
            <w:pPr>
              <w:pStyle w:val="InstructionsText"/>
            </w:pPr>
            <w:r w:rsidRPr="00E26EF6">
              <w:rPr>
                <w:rStyle w:val="InstructionsTabelleberschrift"/>
                <w:rFonts w:ascii="Times New Roman" w:hAnsi="Times New Roman"/>
                <w:sz w:val="24"/>
              </w:rPr>
              <w:t>20 Ekspozycje ważone ryzykiem</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udziałów kapitałowych</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nieodliczone od kapitału Tier II instytucji</w:t>
            </w:r>
          </w:p>
          <w:p w14:paraId="749C57A1" w14:textId="1579468B" w:rsidR="00915077" w:rsidRPr="00E26EF6" w:rsidRDefault="002648B0">
            <w:pPr>
              <w:pStyle w:val="InstructionsText"/>
              <w:rPr>
                <w:highlight w:val="lightGray"/>
              </w:rPr>
            </w:pPr>
            <w:r w:rsidRPr="00E26EF6">
              <w:t>Art. 70 ust. 4 CRR</w:t>
            </w:r>
          </w:p>
        </w:tc>
      </w:tr>
      <w:tr w:rsidR="00915077" w:rsidRPr="00E26EF6" w14:paraId="0A74B934" w14:textId="77777777" w:rsidTr="00672D2A">
        <w:tc>
          <w:tcPr>
            <w:tcW w:w="1506" w:type="dxa"/>
          </w:tcPr>
          <w:p w14:paraId="5C0961F2" w14:textId="77777777" w:rsidR="00915077" w:rsidRPr="00E26EF6" w:rsidRDefault="002648B0">
            <w:pPr>
              <w:pStyle w:val="InstructionsText"/>
              <w:rPr>
                <w:highlight w:val="lightGray"/>
              </w:rPr>
            </w:pPr>
            <w:r w:rsidRPr="00E26EF6">
              <w:t>680</w:t>
            </w:r>
          </w:p>
        </w:tc>
        <w:tc>
          <w:tcPr>
            <w:tcW w:w="7243" w:type="dxa"/>
          </w:tcPr>
          <w:p w14:paraId="6EFF6E75" w14:textId="4B9DD8C1" w:rsidR="00915077" w:rsidRPr="00E26EF6" w:rsidRDefault="002648B0">
            <w:pPr>
              <w:pStyle w:val="InstructionsText"/>
            </w:pPr>
            <w:r w:rsidRPr="00E26EF6">
              <w:rPr>
                <w:rStyle w:val="InstructionsTabelleberschrift"/>
                <w:rFonts w:ascii="Times New Roman" w:hAnsi="Times New Roman"/>
                <w:sz w:val="24"/>
              </w:rPr>
              <w:t>21</w:t>
            </w:r>
            <w:r w:rsidRPr="00E26EF6">
              <w:rPr>
                <w:rStyle w:val="InstructionsTabelleberschrift"/>
                <w:rFonts w:ascii="Times New Roman" w:hAnsi="Times New Roman"/>
                <w:sz w:val="24"/>
              </w:rPr>
              <w:tab/>
              <w:t>Posiadane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 podlegające tymczasowemu odstępstwu</w:t>
            </w:r>
          </w:p>
          <w:p w14:paraId="583D6DC5" w14:textId="6893FB97" w:rsidR="00915077" w:rsidRPr="00E26EF6" w:rsidRDefault="002648B0">
            <w:pPr>
              <w:pStyle w:val="InstructionsText"/>
            </w:pPr>
            <w:r w:rsidRPr="00E26EF6">
              <w:t>Art. 79 CRR</w:t>
            </w:r>
          </w:p>
          <w:p w14:paraId="47A914BA" w14:textId="28669CF8" w:rsidR="00915077" w:rsidRPr="00E26EF6" w:rsidRDefault="002648B0">
            <w:pPr>
              <w:pStyle w:val="InstructionsText"/>
            </w:pPr>
            <w:r w:rsidRPr="00E26EF6">
              <w:t>Właściwy organ może tymczasowo odstąpić od stosowania przepisów dotyczących odliczania od kapitału podstawowego Tier I</w:t>
            </w:r>
            <w:r w:rsidR="00E26EF6" w:rsidRPr="00E26EF6">
              <w:t xml:space="preserve"> z pow</w:t>
            </w:r>
            <w:r w:rsidRPr="00E26EF6">
              <w:t>odu posiadanych przez instytucję instrumentów określonego podmiotu sektora finansowego, jeżeli uzna, że celem tych posiadanych udziałów jest pomoc finansowa przeznaczona na reorganizację</w:t>
            </w:r>
            <w:r w:rsidR="00E26EF6" w:rsidRPr="00E26EF6">
              <w:t xml:space="preserve"> i ura</w:t>
            </w:r>
            <w:r w:rsidRPr="00E26EF6">
              <w:t>towanie tej jednostki.</w:t>
            </w:r>
          </w:p>
          <w:p w14:paraId="3C8D0E92" w14:textId="1AC9B771" w:rsidR="00915077" w:rsidRPr="00E26EF6" w:rsidRDefault="002648B0">
            <w:pPr>
              <w:pStyle w:val="InstructionsText"/>
              <w:rPr>
                <w:highlight w:val="lightGray"/>
              </w:rPr>
            </w:pPr>
            <w:r w:rsidRPr="00E26EF6">
              <w:t>Należy zauważyć, że instrumenty te zgłasza się również</w:t>
            </w:r>
            <w:r w:rsidR="00E26EF6" w:rsidRPr="00E26EF6">
              <w:t xml:space="preserve"> w poz</w:t>
            </w:r>
            <w:r w:rsidRPr="00E26EF6">
              <w:t>ycji 12.1.</w:t>
            </w:r>
          </w:p>
        </w:tc>
      </w:tr>
      <w:tr w:rsidR="00915077" w:rsidRPr="00E26EF6" w14:paraId="7E3CED47" w14:textId="77777777" w:rsidTr="00672D2A">
        <w:tc>
          <w:tcPr>
            <w:tcW w:w="1506" w:type="dxa"/>
          </w:tcPr>
          <w:p w14:paraId="3AF1C247" w14:textId="77777777" w:rsidR="00915077" w:rsidRPr="00E26EF6" w:rsidRDefault="002648B0">
            <w:pPr>
              <w:pStyle w:val="InstructionsText"/>
              <w:rPr>
                <w:highlight w:val="lightGray"/>
              </w:rPr>
            </w:pPr>
            <w:r w:rsidRPr="00E26EF6">
              <w:t>690</w:t>
            </w:r>
          </w:p>
        </w:tc>
        <w:tc>
          <w:tcPr>
            <w:tcW w:w="7243" w:type="dxa"/>
          </w:tcPr>
          <w:p w14:paraId="67B6F515" w14:textId="74D27485" w:rsidR="00915077" w:rsidRPr="00E26EF6" w:rsidRDefault="002648B0">
            <w:pPr>
              <w:pStyle w:val="InstructionsText"/>
            </w:pPr>
            <w:r w:rsidRPr="00E26EF6">
              <w:rPr>
                <w:rStyle w:val="InstructionsTabelleberschrift"/>
                <w:rFonts w:ascii="Times New Roman" w:hAnsi="Times New Roman"/>
                <w:sz w:val="24"/>
              </w:rPr>
              <w:t>22</w:t>
            </w:r>
            <w:r w:rsidRPr="00E26EF6">
              <w:rPr>
                <w:rStyle w:val="InstructionsTabelleberschrift"/>
                <w:rFonts w:ascii="Times New Roman" w:hAnsi="Times New Roman"/>
                <w:sz w:val="24"/>
              </w:rPr>
              <w:tab/>
              <w:t>Posiadane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 podlegające tymczasowemu odstępstwu</w:t>
            </w:r>
          </w:p>
          <w:p w14:paraId="70E517EB" w14:textId="58D210AB" w:rsidR="00915077" w:rsidRPr="00E26EF6" w:rsidRDefault="002648B0">
            <w:pPr>
              <w:pStyle w:val="InstructionsText"/>
            </w:pPr>
            <w:r w:rsidRPr="00E26EF6">
              <w:lastRenderedPageBreak/>
              <w:t>Art. 79 CRR</w:t>
            </w:r>
          </w:p>
          <w:p w14:paraId="1FD384CA" w14:textId="606EE759" w:rsidR="00915077" w:rsidRPr="00E26EF6" w:rsidRDefault="002648B0">
            <w:pPr>
              <w:pStyle w:val="InstructionsText"/>
            </w:pPr>
            <w:r w:rsidRPr="00E26EF6">
              <w:t>Właściwy organ może odstąpić od stosowania przepisów dotyczących odliczania od kapitału podstawowego Tier I</w:t>
            </w:r>
            <w:r w:rsidR="00E26EF6" w:rsidRPr="00E26EF6">
              <w:t xml:space="preserve"> z pow</w:t>
            </w:r>
            <w:r w:rsidRPr="00E26EF6">
              <w:t>odu posiadanych przez instytucję instrumentów określonego podmiotu sektora finansowego, jeżeli uzna, że celem tych posiadanych udziałów jest pomoc finansowa przeznaczona na reorganizację</w:t>
            </w:r>
            <w:r w:rsidR="00E26EF6" w:rsidRPr="00E26EF6">
              <w:t xml:space="preserve"> i ura</w:t>
            </w:r>
            <w:r w:rsidRPr="00E26EF6">
              <w:t>towanie tej jednostki.</w:t>
            </w:r>
          </w:p>
          <w:p w14:paraId="1099FAF3" w14:textId="70615D19" w:rsidR="00915077" w:rsidRPr="00E26EF6" w:rsidRDefault="002648B0">
            <w:pPr>
              <w:pStyle w:val="InstructionsText"/>
              <w:rPr>
                <w:highlight w:val="lightGray"/>
              </w:rPr>
            </w:pPr>
            <w:r w:rsidRPr="00E26EF6">
              <w:t>Należy zauważyć, że instrumenty te zgłasza się również</w:t>
            </w:r>
            <w:r w:rsidR="00E26EF6" w:rsidRPr="00E26EF6">
              <w:t xml:space="preserve"> w poz</w:t>
            </w:r>
            <w:r w:rsidRPr="00E26EF6">
              <w:t>ycji 15.1.</w:t>
            </w:r>
          </w:p>
        </w:tc>
      </w:tr>
      <w:tr w:rsidR="00915077" w:rsidRPr="00E26EF6" w14:paraId="453D50CC" w14:textId="77777777" w:rsidTr="00672D2A">
        <w:tc>
          <w:tcPr>
            <w:tcW w:w="1506" w:type="dxa"/>
          </w:tcPr>
          <w:p w14:paraId="0267B50F" w14:textId="77777777" w:rsidR="00915077" w:rsidRPr="00E26EF6" w:rsidRDefault="002648B0">
            <w:pPr>
              <w:pStyle w:val="InstructionsText"/>
              <w:rPr>
                <w:highlight w:val="lightGray"/>
              </w:rPr>
            </w:pPr>
            <w:r w:rsidRPr="00E26EF6">
              <w:lastRenderedPageBreak/>
              <w:t>700</w:t>
            </w:r>
          </w:p>
        </w:tc>
        <w:tc>
          <w:tcPr>
            <w:tcW w:w="7243" w:type="dxa"/>
          </w:tcPr>
          <w:p w14:paraId="5F99A217" w14:textId="4D0BAEE3" w:rsidR="00915077" w:rsidRPr="00E26EF6" w:rsidRDefault="002648B0">
            <w:pPr>
              <w:pStyle w:val="InstructionsText"/>
            </w:pPr>
            <w:r w:rsidRPr="00E26EF6">
              <w:rPr>
                <w:rStyle w:val="InstructionsTabelleberschrift"/>
                <w:rFonts w:ascii="Times New Roman" w:hAnsi="Times New Roman"/>
                <w:sz w:val="24"/>
              </w:rPr>
              <w:t>23</w:t>
            </w:r>
            <w:r w:rsidRPr="00E26EF6">
              <w:rPr>
                <w:rStyle w:val="InstructionsTabelleberschrift"/>
                <w:rFonts w:ascii="Times New Roman" w:hAnsi="Times New Roman"/>
                <w:sz w:val="24"/>
              </w:rPr>
              <w:tab/>
              <w:t>Posiadane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 podlegające tymczasowemu odstępstwu</w:t>
            </w:r>
          </w:p>
          <w:p w14:paraId="23EC3B8E" w14:textId="5F91A925" w:rsidR="00915077" w:rsidRPr="00E26EF6" w:rsidRDefault="002648B0">
            <w:pPr>
              <w:pStyle w:val="InstructionsText"/>
            </w:pPr>
            <w:r w:rsidRPr="00E26EF6">
              <w:t>Art. 79 CRR</w:t>
            </w:r>
          </w:p>
          <w:p w14:paraId="38B56FFB" w14:textId="248F8FD1" w:rsidR="00915077" w:rsidRPr="00E26EF6" w:rsidRDefault="002648B0">
            <w:pPr>
              <w:pStyle w:val="InstructionsText"/>
            </w:pPr>
            <w:r w:rsidRPr="00E26EF6">
              <w:t>Właściwy organ może tymczasowo odstąpić od stosowania przepisów dotyczących odliczania od kapitału dodatkowego Tier I</w:t>
            </w:r>
            <w:r w:rsidR="00E26EF6" w:rsidRPr="00E26EF6">
              <w:t xml:space="preserve"> z pow</w:t>
            </w:r>
            <w:r w:rsidRPr="00E26EF6">
              <w:t>odu posiadanych przez instytucję instrumentów określonego podmiotu sektora finansowego, jeżeli uzna, że celem tych posiadanych udziałów jest pomoc finansowa przeznaczona na reorganizację</w:t>
            </w:r>
            <w:r w:rsidR="00E26EF6" w:rsidRPr="00E26EF6">
              <w:t xml:space="preserve"> i ura</w:t>
            </w:r>
            <w:r w:rsidRPr="00E26EF6">
              <w:t>towanie tej jednostki.</w:t>
            </w:r>
          </w:p>
          <w:p w14:paraId="2395CF45" w14:textId="200F1318" w:rsidR="00915077" w:rsidRPr="00E26EF6" w:rsidRDefault="002648B0">
            <w:pPr>
              <w:pStyle w:val="InstructionsText"/>
              <w:rPr>
                <w:highlight w:val="lightGray"/>
              </w:rPr>
            </w:pPr>
            <w:r w:rsidRPr="00E26EF6">
              <w:t>Należy zauważyć, że instrumenty te zgłasza się również</w:t>
            </w:r>
            <w:r w:rsidR="00E26EF6" w:rsidRPr="00E26EF6">
              <w:t xml:space="preserve"> w poz</w:t>
            </w:r>
            <w:r w:rsidRPr="00E26EF6">
              <w:t>ycji 13.1.</w:t>
            </w:r>
          </w:p>
        </w:tc>
      </w:tr>
      <w:tr w:rsidR="00915077" w:rsidRPr="00E26EF6" w14:paraId="7DDAE296" w14:textId="77777777" w:rsidTr="00672D2A">
        <w:tc>
          <w:tcPr>
            <w:tcW w:w="1506" w:type="dxa"/>
          </w:tcPr>
          <w:p w14:paraId="5C518DEE" w14:textId="77777777" w:rsidR="00915077" w:rsidRPr="00E26EF6" w:rsidRDefault="002648B0">
            <w:pPr>
              <w:pStyle w:val="InstructionsText"/>
              <w:rPr>
                <w:highlight w:val="lightGray"/>
              </w:rPr>
            </w:pPr>
            <w:r w:rsidRPr="00E26EF6">
              <w:t>710</w:t>
            </w:r>
          </w:p>
        </w:tc>
        <w:tc>
          <w:tcPr>
            <w:tcW w:w="7243" w:type="dxa"/>
          </w:tcPr>
          <w:p w14:paraId="3FBECBE9" w14:textId="07AB47B3" w:rsidR="00915077" w:rsidRPr="00E26EF6" w:rsidRDefault="002648B0">
            <w:pPr>
              <w:pStyle w:val="InstructionsText"/>
            </w:pPr>
            <w:r w:rsidRPr="00E26EF6">
              <w:rPr>
                <w:rStyle w:val="InstructionsTabelleberschrift"/>
                <w:rFonts w:ascii="Times New Roman" w:hAnsi="Times New Roman"/>
                <w:sz w:val="24"/>
              </w:rPr>
              <w:t>24</w:t>
            </w:r>
            <w:r w:rsidRPr="00E26EF6">
              <w:rPr>
                <w:rStyle w:val="InstructionsTabelleberschrift"/>
                <w:rFonts w:ascii="Times New Roman" w:hAnsi="Times New Roman"/>
                <w:sz w:val="24"/>
              </w:rPr>
              <w:tab/>
              <w:t>Posiadane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 podlegające tymczasowemu odstępstwu</w:t>
            </w:r>
          </w:p>
          <w:p w14:paraId="15A18B6E" w14:textId="7212DB10" w:rsidR="00915077" w:rsidRPr="00E26EF6" w:rsidRDefault="002648B0">
            <w:pPr>
              <w:pStyle w:val="InstructionsText"/>
            </w:pPr>
            <w:r w:rsidRPr="00E26EF6">
              <w:t>Art. 79 CRR</w:t>
            </w:r>
          </w:p>
          <w:p w14:paraId="716EB002" w14:textId="11B75A25" w:rsidR="00915077" w:rsidRPr="00E26EF6" w:rsidRDefault="002648B0">
            <w:pPr>
              <w:pStyle w:val="InstructionsText"/>
            </w:pPr>
            <w:r w:rsidRPr="00E26EF6">
              <w:t>Właściwy organ może tymczasowo odstąpić od stosowania przepisów dotyczących odliczania od kapitału dodatkowego Tier I</w:t>
            </w:r>
            <w:r w:rsidR="00E26EF6" w:rsidRPr="00E26EF6">
              <w:t xml:space="preserve"> z pow</w:t>
            </w:r>
            <w:r w:rsidRPr="00E26EF6">
              <w:t>odu posiadanych przez instytucję instrumentów określonego podmiotu sektora finansowego, jeżeli uzna, że celem tych posiadanych udziałów jest pomoc finansowa przeznaczona na reorganizację</w:t>
            </w:r>
            <w:r w:rsidR="00E26EF6" w:rsidRPr="00E26EF6">
              <w:t xml:space="preserve"> i ura</w:t>
            </w:r>
            <w:r w:rsidRPr="00E26EF6">
              <w:t>towanie tej jednostki.</w:t>
            </w:r>
          </w:p>
          <w:p w14:paraId="3E632DA5" w14:textId="637C1E60" w:rsidR="00915077" w:rsidRPr="00E26EF6" w:rsidRDefault="002648B0">
            <w:pPr>
              <w:pStyle w:val="InstructionsText"/>
              <w:rPr>
                <w:highlight w:val="lightGray"/>
              </w:rPr>
            </w:pPr>
            <w:r w:rsidRPr="00E26EF6">
              <w:t>Należy zauważyć, że instrumenty te zgłasza się również</w:t>
            </w:r>
            <w:r w:rsidR="00E26EF6" w:rsidRPr="00E26EF6">
              <w:t xml:space="preserve"> w poz</w:t>
            </w:r>
            <w:r w:rsidRPr="00E26EF6">
              <w:t>ycji 16.1.</w:t>
            </w:r>
          </w:p>
        </w:tc>
      </w:tr>
      <w:tr w:rsidR="00915077" w:rsidRPr="00E26EF6" w14:paraId="64BA4182" w14:textId="77777777" w:rsidTr="00672D2A">
        <w:tc>
          <w:tcPr>
            <w:tcW w:w="1506" w:type="dxa"/>
          </w:tcPr>
          <w:p w14:paraId="513397EA" w14:textId="77777777" w:rsidR="00915077" w:rsidRPr="00E26EF6" w:rsidRDefault="002648B0">
            <w:pPr>
              <w:pStyle w:val="InstructionsText"/>
              <w:rPr>
                <w:highlight w:val="lightGray"/>
              </w:rPr>
            </w:pPr>
            <w:r w:rsidRPr="00E26EF6">
              <w:t>720</w:t>
            </w:r>
          </w:p>
        </w:tc>
        <w:tc>
          <w:tcPr>
            <w:tcW w:w="7243" w:type="dxa"/>
          </w:tcPr>
          <w:p w14:paraId="4357DCED" w14:textId="7B4E2FEF" w:rsidR="00915077" w:rsidRPr="00E26EF6" w:rsidRDefault="002648B0">
            <w:pPr>
              <w:pStyle w:val="InstructionsText"/>
            </w:pPr>
            <w:r w:rsidRPr="00E26EF6">
              <w:rPr>
                <w:rStyle w:val="InstructionsTabelleberschrift"/>
                <w:rFonts w:ascii="Times New Roman" w:hAnsi="Times New Roman"/>
                <w:sz w:val="24"/>
              </w:rPr>
              <w:t>25</w:t>
            </w:r>
            <w:r w:rsidRPr="00E26EF6">
              <w:rPr>
                <w:rStyle w:val="InstructionsTabelleberschrift"/>
                <w:rFonts w:ascii="Times New Roman" w:hAnsi="Times New Roman"/>
                <w:sz w:val="24"/>
              </w:rPr>
              <w:tab/>
              <w:t>Posiadane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 podlegające tymczasowemu odstępstwu</w:t>
            </w:r>
          </w:p>
          <w:p w14:paraId="1CC33FAD" w14:textId="586AE0DC" w:rsidR="00915077" w:rsidRPr="00E26EF6" w:rsidRDefault="002648B0">
            <w:pPr>
              <w:pStyle w:val="InstructionsText"/>
            </w:pPr>
            <w:r w:rsidRPr="00E26EF6">
              <w:t>Art. 79 CRR</w:t>
            </w:r>
          </w:p>
          <w:p w14:paraId="096E7F95" w14:textId="34D2E044" w:rsidR="00915077" w:rsidRPr="00E26EF6" w:rsidRDefault="002648B0">
            <w:pPr>
              <w:pStyle w:val="InstructionsText"/>
            </w:pPr>
            <w:r w:rsidRPr="00E26EF6">
              <w:t>Właściwy organ może odstąpić od stosowania przepisów dotyczących odliczania od kapitału Tier II</w:t>
            </w:r>
            <w:r w:rsidR="00E26EF6" w:rsidRPr="00E26EF6">
              <w:t xml:space="preserve"> z pow</w:t>
            </w:r>
            <w:r w:rsidRPr="00E26EF6">
              <w:t>odu posiadanych przez instytucję instrumentów określonego podmiotu sektora finansowego, jeżeli uzna, że celem tych posiadanych udziałów jest pomoc finansowa przeznaczona na reorganizację</w:t>
            </w:r>
            <w:r w:rsidR="00E26EF6" w:rsidRPr="00E26EF6">
              <w:t xml:space="preserve"> i ura</w:t>
            </w:r>
            <w:r w:rsidRPr="00E26EF6">
              <w:t>towanie tej jednostki.</w:t>
            </w:r>
          </w:p>
          <w:p w14:paraId="6F211F4A" w14:textId="366D1505" w:rsidR="00915077" w:rsidRPr="00E26EF6" w:rsidRDefault="002648B0">
            <w:pPr>
              <w:pStyle w:val="InstructionsText"/>
              <w:rPr>
                <w:highlight w:val="lightGray"/>
              </w:rPr>
            </w:pPr>
            <w:r w:rsidRPr="00E26EF6">
              <w:t>Należy zauważyć, że instrumenty te zgłasza się również</w:t>
            </w:r>
            <w:r w:rsidR="00E26EF6" w:rsidRPr="00E26EF6">
              <w:t xml:space="preserve"> w poz</w:t>
            </w:r>
            <w:r w:rsidRPr="00E26EF6">
              <w:t>ycji 14.1.</w:t>
            </w:r>
          </w:p>
        </w:tc>
      </w:tr>
      <w:tr w:rsidR="00915077" w:rsidRPr="00E26EF6" w14:paraId="5675C4A3" w14:textId="77777777" w:rsidTr="00672D2A">
        <w:tc>
          <w:tcPr>
            <w:tcW w:w="1506" w:type="dxa"/>
          </w:tcPr>
          <w:p w14:paraId="586FFA28" w14:textId="77777777" w:rsidR="00915077" w:rsidRPr="00E26EF6" w:rsidRDefault="002648B0">
            <w:pPr>
              <w:pStyle w:val="InstructionsText"/>
              <w:rPr>
                <w:highlight w:val="lightGray"/>
              </w:rPr>
            </w:pPr>
            <w:r w:rsidRPr="00E26EF6">
              <w:t>730</w:t>
            </w:r>
          </w:p>
        </w:tc>
        <w:tc>
          <w:tcPr>
            <w:tcW w:w="7243" w:type="dxa"/>
          </w:tcPr>
          <w:p w14:paraId="5ADCB9E1" w14:textId="33146E1B" w:rsidR="00915077" w:rsidRPr="00E26EF6" w:rsidRDefault="002648B0">
            <w:pPr>
              <w:pStyle w:val="InstructionsText"/>
            </w:pPr>
            <w:r w:rsidRPr="00E26EF6">
              <w:rPr>
                <w:rStyle w:val="InstructionsTabelleberschrift"/>
                <w:rFonts w:ascii="Times New Roman" w:hAnsi="Times New Roman"/>
                <w:sz w:val="24"/>
              </w:rPr>
              <w:t>26</w:t>
            </w:r>
            <w:r w:rsidRPr="00E26EF6">
              <w:rPr>
                <w:rStyle w:val="InstructionsTabelleberschrift"/>
                <w:rFonts w:ascii="Times New Roman" w:hAnsi="Times New Roman"/>
                <w:sz w:val="24"/>
              </w:rPr>
              <w:tab/>
              <w:t>Posiadane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 podlegające tymczasowemu odstępstwu</w:t>
            </w:r>
          </w:p>
          <w:p w14:paraId="60D3D569" w14:textId="2757B1EB" w:rsidR="00915077" w:rsidRPr="00E26EF6" w:rsidRDefault="002648B0">
            <w:pPr>
              <w:pStyle w:val="InstructionsText"/>
            </w:pPr>
            <w:r w:rsidRPr="00E26EF6">
              <w:t>Art. 79 CRR</w:t>
            </w:r>
          </w:p>
          <w:p w14:paraId="39AF13D5" w14:textId="3F9015E8" w:rsidR="00915077" w:rsidRPr="00E26EF6" w:rsidRDefault="002648B0">
            <w:pPr>
              <w:pStyle w:val="InstructionsText"/>
            </w:pPr>
            <w:r w:rsidRPr="00E26EF6">
              <w:lastRenderedPageBreak/>
              <w:t>Właściwy organ może odstąpić od stosowania przepisów dotyczących odliczania od kapitału Tier II</w:t>
            </w:r>
            <w:r w:rsidR="00E26EF6" w:rsidRPr="00E26EF6">
              <w:t xml:space="preserve"> z pow</w:t>
            </w:r>
            <w:r w:rsidRPr="00E26EF6">
              <w:t>odu posiadanych przez instytucję instrumentów określonego podmiotu sektora finansowego, jeżeli uzna, że celem tych posiadanych udziałów jest pomoc finansowa przeznaczona na reorganizację</w:t>
            </w:r>
            <w:r w:rsidR="00E26EF6" w:rsidRPr="00E26EF6">
              <w:t xml:space="preserve"> i ura</w:t>
            </w:r>
            <w:r w:rsidRPr="00E26EF6">
              <w:t>towanie tej jednostki.</w:t>
            </w:r>
          </w:p>
          <w:p w14:paraId="0C98A16F" w14:textId="4C52A0BE" w:rsidR="00915077" w:rsidRPr="00E26EF6" w:rsidRDefault="002648B0">
            <w:pPr>
              <w:pStyle w:val="InstructionsText"/>
              <w:rPr>
                <w:highlight w:val="lightGray"/>
              </w:rPr>
            </w:pPr>
            <w:r w:rsidRPr="00E26EF6">
              <w:t>Należy zauważyć, że instrumenty te zgłasza się również</w:t>
            </w:r>
            <w:r w:rsidR="00E26EF6" w:rsidRPr="00E26EF6">
              <w:t xml:space="preserve"> w poz</w:t>
            </w:r>
            <w:r w:rsidRPr="00E26EF6">
              <w:t>ycji 17.1.</w:t>
            </w:r>
          </w:p>
        </w:tc>
      </w:tr>
      <w:tr w:rsidR="00915077" w:rsidRPr="00E26EF6"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915077" w:rsidRPr="00E26EF6" w:rsidRDefault="002648B0">
            <w:pPr>
              <w:pStyle w:val="InstructionsText"/>
              <w:rPr>
                <w:highlight w:val="lightGray"/>
              </w:rPr>
            </w:pPr>
            <w:r w:rsidRPr="00E26EF6">
              <w:lastRenderedPageBreak/>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915077" w:rsidRPr="00E26EF6" w:rsidRDefault="002648B0">
            <w:pPr>
              <w:pStyle w:val="InstructionsText"/>
            </w:pPr>
            <w:r w:rsidRPr="00E26EF6">
              <w:rPr>
                <w:rStyle w:val="InstructionsTabelleberschrift"/>
                <w:rFonts w:ascii="Times New Roman" w:hAnsi="Times New Roman"/>
                <w:sz w:val="24"/>
              </w:rPr>
              <w:t>27</w:t>
            </w:r>
            <w:r w:rsidRPr="00E26EF6">
              <w:rPr>
                <w:rStyle w:val="InstructionsTabelleberschrift"/>
                <w:rFonts w:ascii="Times New Roman" w:hAnsi="Times New Roman"/>
                <w:sz w:val="24"/>
              </w:rPr>
              <w:tab/>
              <w:t>Wymóg połączonego bufora</w:t>
            </w:r>
          </w:p>
          <w:p w14:paraId="7ECA4B47" w14:textId="564717CB" w:rsidR="00915077" w:rsidRPr="00E26EF6" w:rsidRDefault="0014657C">
            <w:pPr>
              <w:pStyle w:val="InstructionsText"/>
              <w:rPr>
                <w:highlight w:val="lightGray"/>
              </w:rPr>
            </w:pPr>
            <w:r w:rsidRPr="00E26EF6">
              <w:t>Art. 128 pkt</w:t>
            </w:r>
            <w:r w:rsidR="00023409" w:rsidRPr="00E26EF6">
              <w:t> </w:t>
            </w:r>
            <w:r w:rsidRPr="00E26EF6">
              <w:t>6 CRD</w:t>
            </w:r>
          </w:p>
        </w:tc>
      </w:tr>
      <w:tr w:rsidR="00915077" w:rsidRPr="00E26EF6"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915077" w:rsidRPr="00E26EF6" w:rsidRDefault="00AC0F2C">
            <w:pPr>
              <w:pStyle w:val="InstructionsText"/>
              <w:rPr>
                <w:highlight w:val="lightGray"/>
              </w:rPr>
            </w:pPr>
            <w:r w:rsidRPr="00E26EF6">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915077" w:rsidRPr="00E26EF6" w:rsidRDefault="00454139">
            <w:pPr>
              <w:pStyle w:val="InstructionsText"/>
            </w:pPr>
            <w:r w:rsidRPr="00E26EF6">
              <w:rPr>
                <w:rStyle w:val="InstructionsTabelleberschrift"/>
                <w:rFonts w:ascii="Times New Roman" w:hAnsi="Times New Roman"/>
                <w:sz w:val="24"/>
              </w:rPr>
              <w:t>Bufor zabezpieczający</w:t>
            </w:r>
          </w:p>
          <w:p w14:paraId="7B21E489" w14:textId="77874323" w:rsidR="00915077" w:rsidRPr="00E26EF6" w:rsidRDefault="0014657C">
            <w:pPr>
              <w:pStyle w:val="InstructionsText"/>
            </w:pPr>
            <w:r w:rsidRPr="00E26EF6">
              <w:t>Art. 128 pkt</w:t>
            </w:r>
            <w:r w:rsidR="00023409" w:rsidRPr="00E26EF6">
              <w:t> </w:t>
            </w:r>
            <w:r w:rsidRPr="00E26EF6">
              <w:t>1</w:t>
            </w:r>
            <w:r w:rsidR="00E26EF6" w:rsidRPr="00E26EF6">
              <w:t xml:space="preserve"> i art</w:t>
            </w:r>
            <w:r w:rsidRPr="00E26EF6">
              <w:t>.</w:t>
            </w:r>
            <w:r w:rsidR="00023409" w:rsidRPr="00E26EF6">
              <w:t> </w:t>
            </w:r>
            <w:r w:rsidRPr="00E26EF6">
              <w:t xml:space="preserve">129 CRD </w:t>
            </w:r>
          </w:p>
          <w:p w14:paraId="5E4947F7" w14:textId="7964A341" w:rsidR="00915077" w:rsidRPr="00E26EF6" w:rsidRDefault="0014657C">
            <w:pPr>
              <w:pStyle w:val="InstructionsText"/>
              <w:rPr>
                <w:highlight w:val="lightGray"/>
              </w:rPr>
            </w:pPr>
            <w:r w:rsidRPr="00E26EF6">
              <w:t>Zgodnie</w:t>
            </w:r>
            <w:r w:rsidR="00E26EF6" w:rsidRPr="00E26EF6">
              <w:t xml:space="preserve"> z art</w:t>
            </w:r>
            <w:r w:rsidRPr="00E26EF6">
              <w:t>.</w:t>
            </w:r>
            <w:r w:rsidR="00023409" w:rsidRPr="00E26EF6">
              <w:t> </w:t>
            </w:r>
            <w:r w:rsidRPr="00E26EF6">
              <w:t>129 ust.</w:t>
            </w:r>
            <w:r w:rsidR="00023409" w:rsidRPr="00E26EF6">
              <w:t> </w:t>
            </w:r>
            <w:r w:rsidRPr="00E26EF6">
              <w:t>1 CRD bufor zabezpieczający jest dodatkową kwotą kapitału podstawowego Tier I. Ze względu na fakt, że wynosząca 2,5</w:t>
            </w:r>
            <w:r w:rsidR="00023409" w:rsidRPr="00E26EF6">
              <w:t> </w:t>
            </w:r>
            <w:r w:rsidRPr="00E26EF6">
              <w:t>% wartość bufora zabezpieczającego jest stała, kwotę zgłasza się</w:t>
            </w:r>
            <w:r w:rsidR="00E26EF6" w:rsidRPr="00E26EF6">
              <w:t xml:space="preserve"> w tym</w:t>
            </w:r>
            <w:r w:rsidRPr="00E26EF6">
              <w:t xml:space="preserve"> wierszu.</w:t>
            </w:r>
          </w:p>
        </w:tc>
      </w:tr>
      <w:tr w:rsidR="00915077" w:rsidRPr="00E26EF6"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915077" w:rsidRPr="00E26EF6" w:rsidRDefault="002648B0">
            <w:pPr>
              <w:pStyle w:val="InstructionsText"/>
              <w:rPr>
                <w:highlight w:val="lightGray"/>
              </w:rPr>
            </w:pPr>
            <w:r w:rsidRPr="00E26EF6">
              <w:t>760</w:t>
            </w:r>
          </w:p>
        </w:tc>
        <w:tc>
          <w:tcPr>
            <w:tcW w:w="7243" w:type="dxa"/>
            <w:tcBorders>
              <w:top w:val="single" w:sz="4" w:space="0" w:color="auto"/>
              <w:left w:val="single" w:sz="4" w:space="0" w:color="auto"/>
              <w:bottom w:val="single" w:sz="4" w:space="0" w:color="auto"/>
              <w:right w:val="single" w:sz="4" w:space="0" w:color="auto"/>
            </w:tcBorders>
          </w:tcPr>
          <w:p w14:paraId="0719E954" w14:textId="7E21C5FC" w:rsidR="00915077" w:rsidRPr="00E26EF6" w:rsidRDefault="002648B0">
            <w:pPr>
              <w:pStyle w:val="InstructionsText"/>
            </w:pPr>
            <w:r w:rsidRPr="00E26EF6">
              <w:rPr>
                <w:rStyle w:val="InstructionsTabelleberschrift"/>
                <w:rFonts w:ascii="Times New Roman" w:hAnsi="Times New Roman"/>
                <w:sz w:val="24"/>
              </w:rPr>
              <w:t>Bufor zabezpieczający wynikający</w:t>
            </w:r>
            <w:r w:rsidR="00E26EF6" w:rsidRPr="00E26EF6">
              <w:rPr>
                <w:rStyle w:val="InstructionsTabelleberschrift"/>
                <w:rFonts w:ascii="Times New Roman" w:hAnsi="Times New Roman"/>
                <w:sz w:val="24"/>
              </w:rPr>
              <w:t xml:space="preserve"> z ryz</w:t>
            </w:r>
            <w:r w:rsidRPr="00E26EF6">
              <w:rPr>
                <w:rStyle w:val="InstructionsTabelleberschrift"/>
                <w:rFonts w:ascii="Times New Roman" w:hAnsi="Times New Roman"/>
                <w:sz w:val="24"/>
              </w:rPr>
              <w:t xml:space="preserve">yka makroostrożnościowego lub ryzyka systemowego zidentyfikowanego na poziomie państwa członkowskiego </w:t>
            </w:r>
          </w:p>
          <w:p w14:paraId="0818F48A" w14:textId="410FCEDF" w:rsidR="00915077" w:rsidRPr="00E26EF6" w:rsidRDefault="0014657C">
            <w:pPr>
              <w:pStyle w:val="InstructionsText"/>
            </w:pPr>
            <w:r w:rsidRPr="00E26EF6">
              <w:t>Art. 458 ust.</w:t>
            </w:r>
            <w:r w:rsidR="00023409" w:rsidRPr="00E26EF6">
              <w:t> </w:t>
            </w:r>
            <w:r w:rsidRPr="00E26EF6">
              <w:t>2 lit.</w:t>
            </w:r>
            <w:r w:rsidR="00023409" w:rsidRPr="00E26EF6">
              <w:t> </w:t>
            </w:r>
            <w:r w:rsidRPr="00E26EF6">
              <w:t>d) ppkt (iv) CRR</w:t>
            </w:r>
          </w:p>
          <w:p w14:paraId="406A0E60" w14:textId="360C3BE9" w:rsidR="00915077" w:rsidRPr="00E26EF6" w:rsidRDefault="002648B0">
            <w:pPr>
              <w:pStyle w:val="InstructionsText"/>
            </w:pPr>
            <w:r w:rsidRPr="00E26EF6">
              <w:t>W tym wierszu zgłasza się kwotę bufora zabezpieczającego wynikającego</w:t>
            </w:r>
            <w:r w:rsidR="00E26EF6" w:rsidRPr="00E26EF6">
              <w:t xml:space="preserve"> z ryz</w:t>
            </w:r>
            <w:r w:rsidRPr="00E26EF6">
              <w:t>yka makroostrożnościowego lub ryzyka systemowego zidentyfikowanego na poziomie państwa członkowskiego, która może być wymagana zgodnie</w:t>
            </w:r>
            <w:r w:rsidR="00E26EF6" w:rsidRPr="00E26EF6">
              <w:t xml:space="preserve"> z art</w:t>
            </w:r>
            <w:r w:rsidRPr="00E26EF6">
              <w:t>.</w:t>
            </w:r>
            <w:r w:rsidR="00023409" w:rsidRPr="00E26EF6">
              <w:t> </w:t>
            </w:r>
            <w:r w:rsidRPr="00E26EF6">
              <w:t>458 CRR poza buforem zabezpieczającym.</w:t>
            </w:r>
          </w:p>
          <w:p w14:paraId="3FB65437" w14:textId="0C820344" w:rsidR="00915077" w:rsidRPr="00E26EF6" w:rsidRDefault="00DF65DF">
            <w:pPr>
              <w:pStyle w:val="InstructionsText"/>
              <w:rPr>
                <w:highlight w:val="lightGray"/>
              </w:rPr>
            </w:pPr>
            <w:r w:rsidRPr="00E26EF6">
              <w:t>Zgłoszona kwota odpowiada kwocie funduszy własnych niezbędnych do spełnienia odpowiednich wymogów</w:t>
            </w:r>
            <w:r w:rsidR="00E26EF6" w:rsidRPr="00E26EF6">
              <w:t xml:space="preserve"> w zak</w:t>
            </w:r>
            <w:r w:rsidRPr="00E26EF6">
              <w:t>resie buforów kapitałowych na dzień sprawozdawczy.</w:t>
            </w:r>
          </w:p>
        </w:tc>
      </w:tr>
      <w:tr w:rsidR="00915077" w:rsidRPr="00E26EF6"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915077" w:rsidRPr="00E26EF6" w:rsidRDefault="002648B0">
            <w:pPr>
              <w:pStyle w:val="InstructionsText"/>
              <w:rPr>
                <w:highlight w:val="lightGray"/>
              </w:rPr>
            </w:pPr>
            <w:r w:rsidRPr="00E26EF6">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915077" w:rsidRPr="00E26EF6" w:rsidRDefault="0010177C">
            <w:pPr>
              <w:pStyle w:val="InstructionsText"/>
            </w:pPr>
            <w:r w:rsidRPr="00E26EF6">
              <w:rPr>
                <w:rStyle w:val="InstructionsTabelleberschrift"/>
                <w:rFonts w:ascii="Times New Roman" w:hAnsi="Times New Roman"/>
                <w:sz w:val="24"/>
              </w:rPr>
              <w:t xml:space="preserve">Specyficzny dla instytucji bufor antycykliczny </w:t>
            </w:r>
          </w:p>
          <w:p w14:paraId="5E664A7B" w14:textId="08EA07BD" w:rsidR="00915077" w:rsidRPr="00E26EF6" w:rsidRDefault="0014657C">
            <w:pPr>
              <w:pStyle w:val="InstructionsText"/>
            </w:pPr>
            <w:r w:rsidRPr="00E26EF6">
              <w:t>Art. 128 pkt</w:t>
            </w:r>
            <w:r w:rsidR="00023409" w:rsidRPr="00E26EF6">
              <w:t> </w:t>
            </w:r>
            <w:r w:rsidRPr="00E26EF6">
              <w:t>2</w:t>
            </w:r>
            <w:r w:rsidR="00E26EF6" w:rsidRPr="00E26EF6">
              <w:t xml:space="preserve"> i art</w:t>
            </w:r>
            <w:r w:rsidRPr="00E26EF6">
              <w:t>.</w:t>
            </w:r>
            <w:r w:rsidR="00023409" w:rsidRPr="00E26EF6">
              <w:t> </w:t>
            </w:r>
            <w:r w:rsidRPr="00E26EF6">
              <w:t>130 oraz art.</w:t>
            </w:r>
            <w:r w:rsidR="00023409" w:rsidRPr="00E26EF6">
              <w:t> </w:t>
            </w:r>
            <w:r w:rsidRPr="00E26EF6">
              <w:t xml:space="preserve">135–140 CRD </w:t>
            </w:r>
          </w:p>
          <w:p w14:paraId="1544268E" w14:textId="02A205B6" w:rsidR="00915077" w:rsidRPr="00E26EF6" w:rsidRDefault="00DF65DF">
            <w:pPr>
              <w:pStyle w:val="InstructionsText"/>
              <w:rPr>
                <w:highlight w:val="lightGray"/>
              </w:rPr>
            </w:pPr>
            <w:r w:rsidRPr="00E26EF6">
              <w:t>Zgłoszona kwota odpowiada kwocie funduszy własnych niezbędnych do spełnienia odpowiednich wymogów</w:t>
            </w:r>
            <w:r w:rsidR="00E26EF6" w:rsidRPr="00E26EF6">
              <w:t xml:space="preserve"> w zak</w:t>
            </w:r>
            <w:r w:rsidRPr="00E26EF6">
              <w:t>resie buforów kapitałowych na dzień sprawozdawczy.</w:t>
            </w:r>
          </w:p>
        </w:tc>
      </w:tr>
      <w:tr w:rsidR="00915077" w:rsidRPr="00E26EF6"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915077" w:rsidRPr="00E26EF6" w:rsidRDefault="002648B0">
            <w:pPr>
              <w:pStyle w:val="InstructionsText"/>
              <w:rPr>
                <w:highlight w:val="lightGray"/>
              </w:rPr>
            </w:pPr>
            <w:r w:rsidRPr="00E26EF6">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915077" w:rsidRPr="00E26EF6" w:rsidRDefault="002648B0">
            <w:pPr>
              <w:pStyle w:val="InstructionsText"/>
            </w:pPr>
            <w:r w:rsidRPr="00E26EF6">
              <w:rPr>
                <w:rStyle w:val="InstructionsTabelleberschrift"/>
                <w:rFonts w:ascii="Times New Roman" w:hAnsi="Times New Roman"/>
                <w:sz w:val="24"/>
              </w:rPr>
              <w:t xml:space="preserve">Bufor ryzyka systemowego </w:t>
            </w:r>
          </w:p>
          <w:p w14:paraId="2E8A598A" w14:textId="4C91204A" w:rsidR="00915077" w:rsidRPr="00E26EF6" w:rsidRDefault="0014657C">
            <w:pPr>
              <w:pStyle w:val="InstructionsText"/>
            </w:pPr>
            <w:r w:rsidRPr="00E26EF6">
              <w:t>Art. 128 pkt</w:t>
            </w:r>
            <w:r w:rsidR="00023409" w:rsidRPr="00E26EF6">
              <w:t> </w:t>
            </w:r>
            <w:r w:rsidRPr="00E26EF6">
              <w:t>5 oraz art.</w:t>
            </w:r>
            <w:r w:rsidR="00023409" w:rsidRPr="00E26EF6">
              <w:t> </w:t>
            </w:r>
            <w:r w:rsidRPr="00E26EF6">
              <w:t>133</w:t>
            </w:r>
            <w:r w:rsidR="00E26EF6" w:rsidRPr="00E26EF6">
              <w:t xml:space="preserve"> i art</w:t>
            </w:r>
            <w:r w:rsidRPr="00E26EF6">
              <w:t>.</w:t>
            </w:r>
            <w:r w:rsidR="00023409" w:rsidRPr="00E26EF6">
              <w:t> </w:t>
            </w:r>
            <w:r w:rsidRPr="00E26EF6">
              <w:t xml:space="preserve">134 CRD </w:t>
            </w:r>
          </w:p>
          <w:p w14:paraId="0C99E105" w14:textId="75AEF8A7" w:rsidR="00915077" w:rsidRPr="00E26EF6" w:rsidRDefault="00DF65DF">
            <w:pPr>
              <w:pStyle w:val="InstructionsText"/>
              <w:rPr>
                <w:highlight w:val="lightGray"/>
              </w:rPr>
            </w:pPr>
            <w:r w:rsidRPr="00E26EF6">
              <w:t>Zgłoszona kwota odpowiada kwocie funduszy własnych niezbędnych do spełnienia odpowiednich wymogów</w:t>
            </w:r>
            <w:r w:rsidR="00E26EF6" w:rsidRPr="00E26EF6">
              <w:t xml:space="preserve"> w zak</w:t>
            </w:r>
            <w:r w:rsidRPr="00E26EF6">
              <w:t>resie buforów kapitałowych na dzień sprawozdawczy.</w:t>
            </w:r>
          </w:p>
        </w:tc>
      </w:tr>
      <w:tr w:rsidR="00915077" w:rsidRPr="00E26EF6"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915077" w:rsidRPr="00E26EF6" w:rsidRDefault="00497D60">
            <w:pPr>
              <w:pStyle w:val="InstructionsText"/>
              <w:rPr>
                <w:highlight w:val="lightGray"/>
              </w:rPr>
            </w:pPr>
            <w:r w:rsidRPr="00E26EF6">
              <w:t>800</w:t>
            </w:r>
          </w:p>
        </w:tc>
        <w:tc>
          <w:tcPr>
            <w:tcW w:w="7243" w:type="dxa"/>
            <w:tcBorders>
              <w:top w:val="single" w:sz="4" w:space="0" w:color="auto"/>
              <w:left w:val="single" w:sz="4" w:space="0" w:color="auto"/>
              <w:bottom w:val="single" w:sz="4" w:space="0" w:color="auto"/>
              <w:right w:val="single" w:sz="4" w:space="0" w:color="auto"/>
            </w:tcBorders>
          </w:tcPr>
          <w:p w14:paraId="4924FF6A" w14:textId="0A4690BF" w:rsidR="00915077" w:rsidRPr="00E26EF6" w:rsidRDefault="0010177C">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Bufor globalnych instytucji</w:t>
            </w:r>
            <w:r w:rsidR="00E26EF6" w:rsidRPr="00E26EF6">
              <w:rPr>
                <w:rStyle w:val="InstructionsTabelleberschrift"/>
                <w:rFonts w:ascii="Times New Roman" w:hAnsi="Times New Roman"/>
                <w:sz w:val="24"/>
              </w:rPr>
              <w:t xml:space="preserve"> o zna</w:t>
            </w:r>
            <w:r w:rsidRPr="00E26EF6">
              <w:rPr>
                <w:rStyle w:val="InstructionsTabelleberschrift"/>
                <w:rFonts w:ascii="Times New Roman" w:hAnsi="Times New Roman"/>
                <w:sz w:val="24"/>
              </w:rPr>
              <w:t>czeniu systemowym</w:t>
            </w:r>
          </w:p>
          <w:p w14:paraId="2B6752E9" w14:textId="613D46F6" w:rsidR="00915077" w:rsidRPr="00E26EF6" w:rsidRDefault="0014657C">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128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3</w:t>
            </w:r>
            <w:r w:rsidR="00E26EF6" w:rsidRPr="00E26EF6">
              <w:rPr>
                <w:rStyle w:val="InstructionsTabelleberschrift"/>
                <w:rFonts w:ascii="Times New Roman" w:hAnsi="Times New Roman"/>
                <w:b w:val="0"/>
                <w:sz w:val="24"/>
                <w:u w:val="none"/>
              </w:rPr>
              <w:t xml:space="preserve"> i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131 CRD</w:t>
            </w:r>
          </w:p>
          <w:p w14:paraId="35E48079" w14:textId="2DCF5326" w:rsidR="00915077" w:rsidRPr="00E26EF6" w:rsidRDefault="00DF65DF">
            <w:pPr>
              <w:pStyle w:val="InstructionsText"/>
              <w:rPr>
                <w:rStyle w:val="InstructionsTabelleberschrift"/>
                <w:rFonts w:ascii="Times New Roman" w:hAnsi="Times New Roman"/>
                <w:b w:val="0"/>
                <w:bCs w:val="0"/>
                <w:sz w:val="24"/>
                <w:highlight w:val="lightGray"/>
                <w:u w:val="none"/>
              </w:rPr>
            </w:pPr>
            <w:r w:rsidRPr="00E26EF6">
              <w:t>Zgłoszona kwota odpowiada kwocie funduszy własnych niezbędnych do spełnienia odpowiednich wymogów</w:t>
            </w:r>
            <w:r w:rsidR="00E26EF6" w:rsidRPr="00E26EF6">
              <w:t xml:space="preserve"> w zak</w:t>
            </w:r>
            <w:r w:rsidRPr="00E26EF6">
              <w:t>resie buforów kapitałowych na dzień sprawozdawczy.</w:t>
            </w:r>
          </w:p>
        </w:tc>
      </w:tr>
      <w:tr w:rsidR="00915077" w:rsidRPr="00E26EF6"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915077" w:rsidRPr="00E26EF6" w:rsidRDefault="00497D60">
            <w:pPr>
              <w:pStyle w:val="InstructionsText"/>
              <w:rPr>
                <w:highlight w:val="lightGray"/>
              </w:rPr>
            </w:pPr>
            <w:r w:rsidRPr="00E26EF6">
              <w:t>810</w:t>
            </w:r>
          </w:p>
        </w:tc>
        <w:tc>
          <w:tcPr>
            <w:tcW w:w="7243" w:type="dxa"/>
            <w:tcBorders>
              <w:top w:val="single" w:sz="4" w:space="0" w:color="auto"/>
              <w:left w:val="single" w:sz="4" w:space="0" w:color="auto"/>
              <w:bottom w:val="single" w:sz="4" w:space="0" w:color="auto"/>
              <w:right w:val="single" w:sz="4" w:space="0" w:color="auto"/>
            </w:tcBorders>
          </w:tcPr>
          <w:p w14:paraId="4A6A4E1B" w14:textId="7D197308" w:rsidR="00915077" w:rsidRPr="00E26EF6" w:rsidRDefault="0010177C">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Bufor innych instytucji</w:t>
            </w:r>
            <w:r w:rsidR="00E26EF6" w:rsidRPr="00E26EF6">
              <w:rPr>
                <w:rStyle w:val="InstructionsTabelleberschrift"/>
                <w:rFonts w:ascii="Times New Roman" w:hAnsi="Times New Roman"/>
                <w:sz w:val="24"/>
              </w:rPr>
              <w:t xml:space="preserve"> o zna</w:t>
            </w:r>
            <w:r w:rsidRPr="00E26EF6">
              <w:rPr>
                <w:rStyle w:val="InstructionsTabelleberschrift"/>
                <w:rFonts w:ascii="Times New Roman" w:hAnsi="Times New Roman"/>
                <w:sz w:val="24"/>
              </w:rPr>
              <w:t xml:space="preserve">czeniu systemowym </w:t>
            </w:r>
          </w:p>
          <w:p w14:paraId="6B4333ED" w14:textId="54F6B375" w:rsidR="00915077" w:rsidRPr="00E26EF6" w:rsidRDefault="0014657C">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128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w:t>
            </w:r>
            <w:r w:rsidR="00E26EF6" w:rsidRPr="00E26EF6">
              <w:rPr>
                <w:rStyle w:val="InstructionsTabelleberschrift"/>
                <w:rFonts w:ascii="Times New Roman" w:hAnsi="Times New Roman"/>
                <w:b w:val="0"/>
                <w:sz w:val="24"/>
                <w:u w:val="none"/>
              </w:rPr>
              <w:t xml:space="preserve"> i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131 CRD</w:t>
            </w:r>
          </w:p>
          <w:p w14:paraId="0C2C0E4D" w14:textId="55EA4483" w:rsidR="00915077" w:rsidRPr="00E26EF6" w:rsidRDefault="00DF65DF">
            <w:pPr>
              <w:pStyle w:val="InstructionsText"/>
              <w:rPr>
                <w:rStyle w:val="InstructionsTabelleberschrift"/>
                <w:rFonts w:ascii="Times New Roman" w:hAnsi="Times New Roman"/>
                <w:b w:val="0"/>
                <w:bCs w:val="0"/>
                <w:sz w:val="24"/>
                <w:highlight w:val="lightGray"/>
                <w:u w:val="none"/>
              </w:rPr>
            </w:pPr>
            <w:r w:rsidRPr="00E26EF6">
              <w:lastRenderedPageBreak/>
              <w:t>Zgłoszona kwota odpowiada kwocie funduszy własnych niezbędnych do spełnienia odpowiednich wymogów</w:t>
            </w:r>
            <w:r w:rsidR="00E26EF6" w:rsidRPr="00E26EF6">
              <w:t xml:space="preserve"> w zak</w:t>
            </w:r>
            <w:r w:rsidRPr="00E26EF6">
              <w:t>resie buforów kapitałowych na dzień sprawozdawczy.</w:t>
            </w:r>
          </w:p>
        </w:tc>
      </w:tr>
      <w:tr w:rsidR="00915077" w:rsidRPr="00E26EF6"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915077" w:rsidRPr="00E26EF6" w:rsidRDefault="00497D60">
            <w:pPr>
              <w:pStyle w:val="InstructionsText"/>
            </w:pPr>
            <w:r w:rsidRPr="00E26EF6">
              <w:lastRenderedPageBreak/>
              <w:t>820</w:t>
            </w:r>
          </w:p>
          <w:p w14:paraId="5A878E1B" w14:textId="77777777" w:rsidR="00915077" w:rsidRPr="00E26EF6" w:rsidRDefault="00915077">
            <w:pPr>
              <w:pStyle w:val="InstructionsText"/>
              <w:rPr>
                <w:highlight w:val="lightGray"/>
              </w:rPr>
            </w:pPr>
          </w:p>
        </w:tc>
        <w:tc>
          <w:tcPr>
            <w:tcW w:w="7243" w:type="dxa"/>
            <w:tcBorders>
              <w:top w:val="single" w:sz="4" w:space="0" w:color="auto"/>
              <w:left w:val="single" w:sz="4" w:space="0" w:color="auto"/>
              <w:bottom w:val="single" w:sz="4" w:space="0" w:color="auto"/>
              <w:right w:val="single" w:sz="4" w:space="0" w:color="auto"/>
            </w:tcBorders>
          </w:tcPr>
          <w:p w14:paraId="1D637A87" w14:textId="7BC19C0A" w:rsidR="00915077" w:rsidRPr="00E26EF6" w:rsidRDefault="00E81DB9">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28</w:t>
            </w:r>
            <w:r w:rsidRPr="00E26EF6">
              <w:rPr>
                <w:rStyle w:val="InstructionsTabelleberschrift"/>
                <w:rFonts w:ascii="Times New Roman" w:hAnsi="Times New Roman"/>
                <w:sz w:val="24"/>
              </w:rPr>
              <w:tab/>
              <w:t>Wymogi</w:t>
            </w:r>
            <w:r w:rsidR="00E26EF6" w:rsidRPr="00E26EF6">
              <w:rPr>
                <w:rStyle w:val="InstructionsTabelleberschrift"/>
                <w:rFonts w:ascii="Times New Roman" w:hAnsi="Times New Roman"/>
                <w:sz w:val="24"/>
              </w:rPr>
              <w:t xml:space="preserve"> w zak</w:t>
            </w:r>
            <w:r w:rsidRPr="00E26EF6">
              <w:rPr>
                <w:rStyle w:val="InstructionsTabelleberschrift"/>
                <w:rFonts w:ascii="Times New Roman" w:hAnsi="Times New Roman"/>
                <w:sz w:val="24"/>
              </w:rPr>
              <w:t>resie funduszy własnych związane</w:t>
            </w:r>
            <w:r w:rsidR="00E26EF6" w:rsidRPr="00E26EF6">
              <w:rPr>
                <w:rStyle w:val="InstructionsTabelleberschrift"/>
                <w:rFonts w:ascii="Times New Roman" w:hAnsi="Times New Roman"/>
                <w:sz w:val="24"/>
              </w:rPr>
              <w:t xml:space="preserve"> z kor</w:t>
            </w:r>
            <w:r w:rsidRPr="00E26EF6">
              <w:rPr>
                <w:rStyle w:val="InstructionsTabelleberschrift"/>
                <w:rFonts w:ascii="Times New Roman" w:hAnsi="Times New Roman"/>
                <w:sz w:val="24"/>
              </w:rPr>
              <w:t>ektami</w:t>
            </w:r>
            <w:r w:rsidR="00E26EF6" w:rsidRPr="00E26EF6">
              <w:rPr>
                <w:rStyle w:val="InstructionsTabelleberschrift"/>
                <w:rFonts w:ascii="Times New Roman" w:hAnsi="Times New Roman"/>
                <w:sz w:val="24"/>
              </w:rPr>
              <w:t xml:space="preserve"> w ram</w:t>
            </w:r>
            <w:r w:rsidRPr="00E26EF6">
              <w:rPr>
                <w:rStyle w:val="InstructionsTabelleberschrift"/>
                <w:rFonts w:ascii="Times New Roman" w:hAnsi="Times New Roman"/>
                <w:sz w:val="24"/>
              </w:rPr>
              <w:t>ach filaru II</w:t>
            </w:r>
          </w:p>
          <w:p w14:paraId="0C6042EB" w14:textId="2B0A9980" w:rsidR="00915077" w:rsidRPr="00E26EF6" w:rsidRDefault="00190FA3">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104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2 CRD </w:t>
            </w:r>
          </w:p>
          <w:p w14:paraId="63F3FBD9" w14:textId="747E8E2B" w:rsidR="00915077" w:rsidRPr="00E26EF6" w:rsidRDefault="00190FA3">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Jeżeli właściwy organ uzna, że instytucja musi obliczyć dodatkowe wymogi</w:t>
            </w:r>
            <w:r w:rsidR="00E26EF6" w:rsidRPr="00E26EF6">
              <w:rPr>
                <w:rStyle w:val="InstructionsTabelleberschrift"/>
                <w:rFonts w:ascii="Times New Roman" w:hAnsi="Times New Roman"/>
                <w:b w:val="0"/>
                <w:sz w:val="24"/>
                <w:u w:val="none"/>
              </w:rPr>
              <w:t xml:space="preserve"> w zak</w:t>
            </w:r>
            <w:r w:rsidRPr="00E26EF6">
              <w:rPr>
                <w:rStyle w:val="InstructionsTabelleberschrift"/>
                <w:rFonts w:ascii="Times New Roman" w:hAnsi="Times New Roman"/>
                <w:b w:val="0"/>
                <w:sz w:val="24"/>
                <w:u w:val="none"/>
              </w:rPr>
              <w:t>resie funduszy własnych</w:t>
            </w:r>
            <w:r w:rsidR="00E26EF6" w:rsidRPr="00E26EF6">
              <w:rPr>
                <w:rStyle w:val="InstructionsTabelleberschrift"/>
                <w:rFonts w:ascii="Times New Roman" w:hAnsi="Times New Roman"/>
                <w:b w:val="0"/>
                <w:sz w:val="24"/>
                <w:u w:val="none"/>
              </w:rPr>
              <w:t xml:space="preserve"> z pow</w:t>
            </w:r>
            <w:r w:rsidRPr="00E26EF6">
              <w:rPr>
                <w:rStyle w:val="InstructionsTabelleberschrift"/>
                <w:rFonts w:ascii="Times New Roman" w:hAnsi="Times New Roman"/>
                <w:b w:val="0"/>
                <w:sz w:val="24"/>
                <w:u w:val="none"/>
              </w:rPr>
              <w:t>odów związanych</w:t>
            </w:r>
            <w:r w:rsidR="00E26EF6" w:rsidRPr="00E26EF6">
              <w:rPr>
                <w:rStyle w:val="InstructionsTabelleberschrift"/>
                <w:rFonts w:ascii="Times New Roman" w:hAnsi="Times New Roman"/>
                <w:b w:val="0"/>
                <w:sz w:val="24"/>
                <w:u w:val="none"/>
              </w:rPr>
              <w:t xml:space="preserve"> z fil</w:t>
            </w:r>
            <w:r w:rsidRPr="00E26EF6">
              <w:rPr>
                <w:rStyle w:val="InstructionsTabelleberschrift"/>
                <w:rFonts w:ascii="Times New Roman" w:hAnsi="Times New Roman"/>
                <w:b w:val="0"/>
                <w:sz w:val="24"/>
                <w:u w:val="none"/>
              </w:rPr>
              <w:t>arem II, te dodatkowe wymogi</w:t>
            </w:r>
            <w:r w:rsidR="00E26EF6" w:rsidRPr="00E26EF6">
              <w:rPr>
                <w:rStyle w:val="InstructionsTabelleberschrift"/>
                <w:rFonts w:ascii="Times New Roman" w:hAnsi="Times New Roman"/>
                <w:b w:val="0"/>
                <w:sz w:val="24"/>
                <w:u w:val="none"/>
              </w:rPr>
              <w:t xml:space="preserve"> w zak</w:t>
            </w:r>
            <w:r w:rsidRPr="00E26EF6">
              <w:rPr>
                <w:rStyle w:val="InstructionsTabelleberschrift"/>
                <w:rFonts w:ascii="Times New Roman" w:hAnsi="Times New Roman"/>
                <w:b w:val="0"/>
                <w:sz w:val="24"/>
                <w:u w:val="none"/>
              </w:rPr>
              <w:t>resie funduszy własnych zgłasza się</w:t>
            </w:r>
            <w:r w:rsidR="00E26EF6" w:rsidRPr="00E26EF6">
              <w:rPr>
                <w:rStyle w:val="InstructionsTabelleberschrift"/>
                <w:rFonts w:ascii="Times New Roman" w:hAnsi="Times New Roman"/>
                <w:b w:val="0"/>
                <w:sz w:val="24"/>
                <w:u w:val="none"/>
              </w:rPr>
              <w:t xml:space="preserve"> w tym</w:t>
            </w:r>
            <w:r w:rsidRPr="00E26EF6">
              <w:rPr>
                <w:rStyle w:val="InstructionsTabelleberschrift"/>
                <w:rFonts w:ascii="Times New Roman" w:hAnsi="Times New Roman"/>
                <w:b w:val="0"/>
                <w:sz w:val="24"/>
                <w:u w:val="none"/>
              </w:rPr>
              <w:t xml:space="preserve"> wierszu. </w:t>
            </w:r>
          </w:p>
        </w:tc>
      </w:tr>
      <w:tr w:rsidR="00915077" w:rsidRPr="00E26EF6"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915077" w:rsidRPr="00E26EF6" w:rsidRDefault="00497D60">
            <w:pPr>
              <w:pStyle w:val="InstructionsText"/>
              <w:rPr>
                <w:highlight w:val="lightGray"/>
              </w:rPr>
            </w:pPr>
            <w:r w:rsidRPr="00E26EF6">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915077" w:rsidRPr="00E26EF6" w:rsidRDefault="00F2264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29</w:t>
            </w:r>
            <w:r w:rsidRPr="00E26EF6">
              <w:rPr>
                <w:rStyle w:val="InstructionsTabelleberschrift"/>
                <w:rFonts w:ascii="Times New Roman" w:hAnsi="Times New Roman"/>
                <w:sz w:val="24"/>
              </w:rPr>
              <w:tab/>
              <w:t>Kapitał założycielski</w:t>
            </w:r>
          </w:p>
          <w:p w14:paraId="2E07B924" w14:textId="200DD175" w:rsidR="00915077" w:rsidRPr="00E26EF6" w:rsidRDefault="00E0639C">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12</w:t>
            </w:r>
            <w:r w:rsidR="00E26EF6" w:rsidRPr="00E26EF6">
              <w:rPr>
                <w:rStyle w:val="InstructionsTabelleberschrift"/>
                <w:rFonts w:ascii="Times New Roman" w:hAnsi="Times New Roman"/>
                <w:b w:val="0"/>
                <w:sz w:val="24"/>
                <w:u w:val="none"/>
              </w:rPr>
              <w:t xml:space="preserve"> i 2</w:t>
            </w:r>
            <w:r w:rsidRPr="00E26EF6">
              <w:rPr>
                <w:rStyle w:val="InstructionsTabelleberschrift"/>
                <w:rFonts w:ascii="Times New Roman" w:hAnsi="Times New Roman"/>
                <w:b w:val="0"/>
                <w:sz w:val="24"/>
                <w:u w:val="none"/>
              </w:rPr>
              <w:t>8–31 CRD oraz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93 CRR</w:t>
            </w:r>
          </w:p>
        </w:tc>
      </w:tr>
      <w:tr w:rsidR="00915077" w:rsidRPr="00E26EF6"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915077" w:rsidRPr="00E26EF6" w:rsidRDefault="00497D60">
            <w:pPr>
              <w:pStyle w:val="InstructionsText"/>
              <w:rPr>
                <w:highlight w:val="lightGray"/>
              </w:rPr>
            </w:pPr>
            <w:r w:rsidRPr="00E26EF6">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915077" w:rsidRPr="00E26EF6" w:rsidRDefault="00F2264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30</w:t>
            </w:r>
            <w:r w:rsidRPr="00E26EF6">
              <w:rPr>
                <w:rStyle w:val="InstructionsTabelleberschrift"/>
                <w:rFonts w:ascii="Times New Roman" w:hAnsi="Times New Roman"/>
                <w:sz w:val="24"/>
              </w:rPr>
              <w:tab/>
              <w:t>Fundusze własne oparte na stałych kosztach pośrednich</w:t>
            </w:r>
          </w:p>
          <w:p w14:paraId="215D5CD6" w14:textId="188B6067" w:rsidR="00915077" w:rsidRPr="00E26EF6" w:rsidRDefault="0014657C">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96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2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b),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97 oraz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98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a) CRR</w:t>
            </w:r>
          </w:p>
        </w:tc>
      </w:tr>
      <w:tr w:rsidR="00915077" w:rsidRPr="00E26EF6"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915077" w:rsidRPr="00E26EF6" w:rsidRDefault="00497D60">
            <w:pPr>
              <w:pStyle w:val="InstructionsText"/>
              <w:rPr>
                <w:highlight w:val="lightGray"/>
              </w:rPr>
            </w:pPr>
            <w:r w:rsidRPr="00E26EF6">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915077" w:rsidRPr="00E26EF6" w:rsidRDefault="00F2264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31</w:t>
            </w:r>
            <w:r w:rsidRPr="00E26EF6">
              <w:rPr>
                <w:rStyle w:val="InstructionsTabelleberschrift"/>
                <w:rFonts w:ascii="Times New Roman" w:hAnsi="Times New Roman"/>
                <w:sz w:val="24"/>
              </w:rPr>
              <w:tab/>
              <w:t>Zagraniczne pierwotne ekspozycje</w:t>
            </w:r>
          </w:p>
          <w:p w14:paraId="6DF99A0F" w14:textId="204AB6C1" w:rsidR="00915077" w:rsidRPr="00E26EF6" w:rsidRDefault="00A774C1">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Informacje niezbędne do obliczenia progu dla zgłaszania wzoru CR GB</w:t>
            </w:r>
            <w:r w:rsidRPr="00E26EF6">
              <w:t xml:space="preserve"> zgodnie</w:t>
            </w:r>
            <w:r w:rsidR="00E26EF6" w:rsidRPr="00E26EF6">
              <w:t xml:space="preserve"> z </w:t>
            </w:r>
            <w:r w:rsidR="00E26EF6" w:rsidRPr="00E26EF6">
              <w:rPr>
                <w:rStyle w:val="InstructionsTabelleberschrift"/>
                <w:rFonts w:ascii="Times New Roman" w:hAnsi="Times New Roman"/>
                <w:b w:val="0"/>
                <w:sz w:val="24"/>
                <w:u w:val="none"/>
              </w:rPr>
              <w:t>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a)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4 niniejszego rozporządzenia wykonawczego. Próg oblicza się na podstawie pierwotnej ekspozycji przed uwzględnieniem współczynników konwersji. </w:t>
            </w:r>
          </w:p>
          <w:p w14:paraId="1B982B5C" w14:textId="5FBEFD17" w:rsidR="00915077" w:rsidRPr="00E26EF6" w:rsidRDefault="00FA3865">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b w:val="0"/>
                <w:sz w:val="24"/>
                <w:u w:val="none"/>
              </w:rPr>
              <w:t>Ekspozycje uznaje się za krajowe</w:t>
            </w:r>
            <w:r w:rsidR="00E26EF6" w:rsidRPr="00E26EF6">
              <w:rPr>
                <w:rStyle w:val="InstructionsTabelleberschrift"/>
                <w:rFonts w:ascii="Times New Roman" w:hAnsi="Times New Roman"/>
                <w:b w:val="0"/>
                <w:sz w:val="24"/>
                <w:u w:val="none"/>
              </w:rPr>
              <w:t xml:space="preserve"> w prz</w:t>
            </w:r>
            <w:r w:rsidRPr="00E26EF6">
              <w:rPr>
                <w:rStyle w:val="InstructionsTabelleberschrift"/>
                <w:rFonts w:ascii="Times New Roman" w:hAnsi="Times New Roman"/>
                <w:b w:val="0"/>
                <w:sz w:val="24"/>
                <w:u w:val="none"/>
              </w:rPr>
              <w:t>ypadku, gdy są to ekspozycje wobec kontrahentów zlokalizowanych</w:t>
            </w:r>
            <w:r w:rsidR="00E26EF6" w:rsidRPr="00E26EF6">
              <w:rPr>
                <w:rStyle w:val="InstructionsTabelleberschrift"/>
                <w:rFonts w:ascii="Times New Roman" w:hAnsi="Times New Roman"/>
                <w:b w:val="0"/>
                <w:sz w:val="24"/>
                <w:u w:val="none"/>
              </w:rPr>
              <w:t xml:space="preserve"> w pań</w:t>
            </w:r>
            <w:r w:rsidRPr="00E26EF6">
              <w:rPr>
                <w:rStyle w:val="InstructionsTabelleberschrift"/>
                <w:rFonts w:ascii="Times New Roman" w:hAnsi="Times New Roman"/>
                <w:b w:val="0"/>
                <w:sz w:val="24"/>
                <w:u w:val="none"/>
              </w:rPr>
              <w:t>stwie członkowskim,</w:t>
            </w:r>
            <w:r w:rsidR="00E26EF6" w:rsidRPr="00E26EF6">
              <w:rPr>
                <w:rStyle w:val="InstructionsTabelleberschrift"/>
                <w:rFonts w:ascii="Times New Roman" w:hAnsi="Times New Roman"/>
                <w:b w:val="0"/>
                <w:sz w:val="24"/>
                <w:u w:val="none"/>
              </w:rPr>
              <w:t xml:space="preserve"> w któ</w:t>
            </w:r>
            <w:r w:rsidRPr="00E26EF6">
              <w:rPr>
                <w:rStyle w:val="InstructionsTabelleberschrift"/>
                <w:rFonts w:ascii="Times New Roman" w:hAnsi="Times New Roman"/>
                <w:b w:val="0"/>
                <w:sz w:val="24"/>
                <w:u w:val="none"/>
              </w:rPr>
              <w:t>rym dana instytucja ma swoją siedzibę.</w:t>
            </w:r>
          </w:p>
        </w:tc>
      </w:tr>
      <w:tr w:rsidR="00915077" w:rsidRPr="00E26EF6"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915077" w:rsidRPr="00E26EF6" w:rsidRDefault="00A774C1">
            <w:pPr>
              <w:pStyle w:val="InstructionsText"/>
              <w:rPr>
                <w:highlight w:val="lightGray"/>
              </w:rPr>
            </w:pPr>
            <w:r w:rsidRPr="00E26EF6">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915077" w:rsidRPr="00E26EF6" w:rsidRDefault="00F2264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32</w:t>
            </w:r>
            <w:r w:rsidRPr="00E26EF6">
              <w:rPr>
                <w:rStyle w:val="InstructionsTabelleberschrift"/>
                <w:rFonts w:ascii="Times New Roman" w:hAnsi="Times New Roman"/>
                <w:sz w:val="24"/>
              </w:rPr>
              <w:tab/>
              <w:t>Całkowita wartość pierwotnych ekspozycji</w:t>
            </w:r>
          </w:p>
          <w:p w14:paraId="6A74AE51" w14:textId="130B7442" w:rsidR="00915077" w:rsidRPr="00E26EF6" w:rsidRDefault="00FA3865">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 xml:space="preserve">Informacje niezbędne do obliczenia progu dla zgłaszania wzoru CR GB </w:t>
            </w:r>
            <w:r w:rsidRPr="00E26EF6">
              <w:t>zgodnie</w:t>
            </w:r>
            <w:r w:rsidR="00E26EF6" w:rsidRPr="00E26EF6">
              <w:t xml:space="preserve"> z </w:t>
            </w:r>
            <w:r w:rsidR="00E26EF6" w:rsidRPr="00E26EF6">
              <w:rPr>
                <w:rStyle w:val="InstructionsTabelleberschrift"/>
                <w:rFonts w:ascii="Times New Roman" w:hAnsi="Times New Roman"/>
                <w:b w:val="0"/>
                <w:sz w:val="24"/>
                <w:u w:val="none"/>
              </w:rPr>
              <w:t>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a)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 niniejszego rozporządzenia wykonawczego. Próg oblicza się na podstawie pierwotnej ekspozycji przed uwzględnieniem współczynników konwersji.</w:t>
            </w:r>
          </w:p>
          <w:p w14:paraId="195053B6" w14:textId="0BF9B19C" w:rsidR="00915077" w:rsidRPr="00E26EF6" w:rsidRDefault="00FA3865">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b w:val="0"/>
                <w:sz w:val="24"/>
                <w:u w:val="none"/>
              </w:rPr>
              <w:t>Ekspozycje uznaje się za krajowe</w:t>
            </w:r>
            <w:r w:rsidR="00E26EF6" w:rsidRPr="00E26EF6">
              <w:rPr>
                <w:rStyle w:val="InstructionsTabelleberschrift"/>
                <w:rFonts w:ascii="Times New Roman" w:hAnsi="Times New Roman"/>
                <w:b w:val="0"/>
                <w:sz w:val="24"/>
                <w:u w:val="none"/>
              </w:rPr>
              <w:t xml:space="preserve"> w prz</w:t>
            </w:r>
            <w:r w:rsidRPr="00E26EF6">
              <w:rPr>
                <w:rStyle w:val="InstructionsTabelleberschrift"/>
                <w:rFonts w:ascii="Times New Roman" w:hAnsi="Times New Roman"/>
                <w:b w:val="0"/>
                <w:sz w:val="24"/>
                <w:u w:val="none"/>
              </w:rPr>
              <w:t>ypadku, gdy są to ekspozycje wobec kontrahentów zlokalizowanych</w:t>
            </w:r>
            <w:r w:rsidR="00E26EF6" w:rsidRPr="00E26EF6">
              <w:rPr>
                <w:rStyle w:val="InstructionsTabelleberschrift"/>
                <w:rFonts w:ascii="Times New Roman" w:hAnsi="Times New Roman"/>
                <w:b w:val="0"/>
                <w:sz w:val="24"/>
                <w:u w:val="none"/>
              </w:rPr>
              <w:t xml:space="preserve"> w pań</w:t>
            </w:r>
            <w:r w:rsidRPr="00E26EF6">
              <w:rPr>
                <w:rStyle w:val="InstructionsTabelleberschrift"/>
                <w:rFonts w:ascii="Times New Roman" w:hAnsi="Times New Roman"/>
                <w:b w:val="0"/>
                <w:sz w:val="24"/>
                <w:u w:val="none"/>
              </w:rPr>
              <w:t>stwie członkowskim,</w:t>
            </w:r>
            <w:r w:rsidR="00E26EF6" w:rsidRPr="00E26EF6">
              <w:rPr>
                <w:rStyle w:val="InstructionsTabelleberschrift"/>
                <w:rFonts w:ascii="Times New Roman" w:hAnsi="Times New Roman"/>
                <w:b w:val="0"/>
                <w:sz w:val="24"/>
                <w:u w:val="none"/>
              </w:rPr>
              <w:t xml:space="preserve"> w któ</w:t>
            </w:r>
            <w:r w:rsidRPr="00E26EF6">
              <w:rPr>
                <w:rStyle w:val="InstructionsTabelleberschrift"/>
                <w:rFonts w:ascii="Times New Roman" w:hAnsi="Times New Roman"/>
                <w:b w:val="0"/>
                <w:sz w:val="24"/>
                <w:u w:val="none"/>
              </w:rPr>
              <w:t>rym dana instytucja ma swoją siedzibę.</w:t>
            </w:r>
          </w:p>
        </w:tc>
      </w:tr>
      <w:tr w:rsidR="00915077" w:rsidRPr="00E26EF6"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915077" w:rsidRPr="00E26EF6" w:rsidRDefault="007E16E5">
            <w:pPr>
              <w:pStyle w:val="InstructionsText"/>
              <w:rPr>
                <w:highlight w:val="lightGray"/>
              </w:rPr>
            </w:pPr>
            <w:r w:rsidRPr="00E26EF6">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915077" w:rsidRPr="00E26EF6" w:rsidRDefault="0020170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Korekty sumy funduszy własnych</w:t>
            </w:r>
          </w:p>
          <w:p w14:paraId="2FFACBFD" w14:textId="567E2EBF" w:rsidR="00915077" w:rsidRPr="00E26EF6" w:rsidRDefault="00700DFD">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500 ust. 4 CRR</w:t>
            </w:r>
          </w:p>
          <w:p w14:paraId="43708573" w14:textId="45AA6C7B" w:rsidR="00915077" w:rsidRPr="00E26EF6" w:rsidRDefault="00DE48EF">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 wierszu tym zgłasza się różnicę między kwotą zgłoszoną</w:t>
            </w:r>
            <w:r w:rsidR="00E26EF6" w:rsidRPr="00E26EF6">
              <w:rPr>
                <w:rStyle w:val="InstructionsTabelleberschrift"/>
                <w:rFonts w:ascii="Times New Roman" w:hAnsi="Times New Roman"/>
                <w:b w:val="0"/>
                <w:sz w:val="24"/>
                <w:u w:val="none"/>
              </w:rPr>
              <w:t xml:space="preserve"> w wie</w:t>
            </w:r>
            <w:r w:rsidRPr="00E26EF6">
              <w:rPr>
                <w:rStyle w:val="InstructionsTabelleberschrift"/>
                <w:rFonts w:ascii="Times New Roman" w:hAnsi="Times New Roman"/>
                <w:b w:val="0"/>
                <w:sz w:val="24"/>
                <w:u w:val="none"/>
              </w:rPr>
              <w:t>rszu 880</w:t>
            </w:r>
            <w:r w:rsidR="00E26EF6" w:rsidRPr="00E26EF6">
              <w:rPr>
                <w:rStyle w:val="InstructionsTabelleberschrift"/>
                <w:rFonts w:ascii="Times New Roman" w:hAnsi="Times New Roman"/>
                <w:b w:val="0"/>
                <w:sz w:val="24"/>
                <w:u w:val="none"/>
              </w:rPr>
              <w:t xml:space="preserve"> a łąc</w:t>
            </w:r>
            <w:r w:rsidRPr="00E26EF6">
              <w:rPr>
                <w:rStyle w:val="InstructionsTabelleberschrift"/>
                <w:rFonts w:ascii="Times New Roman" w:hAnsi="Times New Roman"/>
                <w:b w:val="0"/>
                <w:sz w:val="24"/>
                <w:u w:val="none"/>
              </w:rPr>
              <w:t xml:space="preserve">zną wartością funduszy własnych na podstawie CRR. </w:t>
            </w:r>
          </w:p>
          <w:p w14:paraId="4EBC63C5" w14:textId="3BEED3C3" w:rsidR="00915077" w:rsidRPr="00E26EF6" w:rsidRDefault="003A1469">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W przypadku zastosowania alternatywnych wymogów według metody standardowej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2 CRR) wiersz ten pozostawia się niewypełniony.</w:t>
            </w:r>
          </w:p>
        </w:tc>
      </w:tr>
      <w:tr w:rsidR="00915077" w:rsidRPr="00E26EF6"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915077" w:rsidRPr="00E26EF6" w:rsidRDefault="007E16E5">
            <w:pPr>
              <w:pStyle w:val="InstructionsText"/>
              <w:rPr>
                <w:highlight w:val="lightGray"/>
              </w:rPr>
            </w:pPr>
            <w:r w:rsidRPr="00E26EF6">
              <w:t>880</w:t>
            </w:r>
          </w:p>
        </w:tc>
        <w:tc>
          <w:tcPr>
            <w:tcW w:w="7243" w:type="dxa"/>
            <w:tcBorders>
              <w:top w:val="single" w:sz="4" w:space="0" w:color="auto"/>
              <w:left w:val="single" w:sz="4" w:space="0" w:color="auto"/>
              <w:bottom w:val="single" w:sz="4" w:space="0" w:color="auto"/>
              <w:right w:val="single" w:sz="4" w:space="0" w:color="auto"/>
            </w:tcBorders>
          </w:tcPr>
          <w:p w14:paraId="0EECC4FC" w14:textId="166AD869" w:rsidR="00915077" w:rsidRPr="00E26EF6" w:rsidRDefault="007E16E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Fundusze własne</w:t>
            </w:r>
            <w:r w:rsidR="00E26EF6" w:rsidRPr="00E26EF6">
              <w:rPr>
                <w:rStyle w:val="InstructionsTabelleberschrift"/>
                <w:rFonts w:ascii="Times New Roman" w:hAnsi="Times New Roman"/>
                <w:sz w:val="24"/>
              </w:rPr>
              <w:t xml:space="preserve"> w peł</w:t>
            </w:r>
            <w:r w:rsidRPr="00E26EF6">
              <w:rPr>
                <w:rStyle w:val="InstructionsTabelleberschrift"/>
                <w:rFonts w:ascii="Times New Roman" w:hAnsi="Times New Roman"/>
                <w:sz w:val="24"/>
              </w:rPr>
              <w:t>ni skorygowane</w:t>
            </w:r>
            <w:r w:rsidR="00E26EF6" w:rsidRPr="00E26EF6">
              <w:rPr>
                <w:rStyle w:val="InstructionsTabelleberschrift"/>
                <w:rFonts w:ascii="Times New Roman" w:hAnsi="Times New Roman"/>
                <w:sz w:val="24"/>
              </w:rPr>
              <w:t xml:space="preserve"> o dol</w:t>
            </w:r>
            <w:r w:rsidRPr="00E26EF6">
              <w:rPr>
                <w:rStyle w:val="InstructionsTabelleberschrift"/>
                <w:rFonts w:ascii="Times New Roman" w:hAnsi="Times New Roman"/>
                <w:sz w:val="24"/>
              </w:rPr>
              <w:t>ną granicę określoną</w:t>
            </w:r>
            <w:r w:rsidR="00E26EF6" w:rsidRPr="00E26EF6">
              <w:rPr>
                <w:rStyle w:val="InstructionsTabelleberschrift"/>
                <w:rFonts w:ascii="Times New Roman" w:hAnsi="Times New Roman"/>
                <w:sz w:val="24"/>
              </w:rPr>
              <w:t xml:space="preserve"> w reg</w:t>
            </w:r>
            <w:r w:rsidRPr="00E26EF6">
              <w:rPr>
                <w:rStyle w:val="InstructionsTabelleberschrift"/>
                <w:rFonts w:ascii="Times New Roman" w:hAnsi="Times New Roman"/>
                <w:sz w:val="24"/>
              </w:rPr>
              <w:t>ulacjach Bazylea I</w:t>
            </w:r>
          </w:p>
          <w:p w14:paraId="2C4DAFAB" w14:textId="70686029" w:rsidR="00915077" w:rsidRPr="00E26EF6" w:rsidRDefault="007E16E5">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500 ust. 4 CRR</w:t>
            </w:r>
          </w:p>
          <w:p w14:paraId="3B590ED5" w14:textId="2932DFBF" w:rsidR="00915077" w:rsidRPr="00E26EF6" w:rsidRDefault="002540B2">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 tej pozycji zgłasza się łączną kwotę funduszy własnych zgodnie z CRR skorygowaną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 CRR (tzn.</w:t>
            </w:r>
            <w:r w:rsidR="00E26EF6" w:rsidRPr="00E26EF6">
              <w:rPr>
                <w:rStyle w:val="InstructionsTabelleberschrift"/>
                <w:rFonts w:ascii="Times New Roman" w:hAnsi="Times New Roman"/>
                <w:b w:val="0"/>
                <w:sz w:val="24"/>
                <w:u w:val="none"/>
              </w:rPr>
              <w:t xml:space="preserve"> w peł</w:t>
            </w:r>
            <w:r w:rsidRPr="00E26EF6">
              <w:rPr>
                <w:rStyle w:val="InstructionsTabelleberschrift"/>
                <w:rFonts w:ascii="Times New Roman" w:hAnsi="Times New Roman"/>
                <w:b w:val="0"/>
                <w:sz w:val="24"/>
                <w:u w:val="none"/>
              </w:rPr>
              <w:t>ni skorygowaną</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uwzględnienia różnic między obliczaniem funduszy własnych zgodnie</w:t>
            </w:r>
            <w:r w:rsidR="00E26EF6" w:rsidRPr="00E26EF6">
              <w:rPr>
                <w:rStyle w:val="InstructionsTabelleberschrift"/>
                <w:rFonts w:ascii="Times New Roman" w:hAnsi="Times New Roman"/>
                <w:b w:val="0"/>
                <w:sz w:val="24"/>
                <w:u w:val="none"/>
              </w:rPr>
              <w:t xml:space="preserve"> z dyr</w:t>
            </w:r>
            <w:r w:rsidRPr="00E26EF6">
              <w:rPr>
                <w:rStyle w:val="InstructionsTabelleberschrift"/>
                <w:rFonts w:ascii="Times New Roman" w:hAnsi="Times New Roman"/>
                <w:b w:val="0"/>
                <w:sz w:val="24"/>
                <w:u w:val="none"/>
              </w:rPr>
              <w:t>ektywą Rady 93/6/EWG</w:t>
            </w:r>
            <w:r w:rsidRPr="00E26EF6">
              <w:rPr>
                <w:rStyle w:val="FootnoteReference"/>
                <w:rFonts w:ascii="Times New Roman" w:hAnsi="Times New Roman"/>
                <w:bCs/>
                <w:sz w:val="24"/>
                <w:szCs w:val="24"/>
                <w:vertAlign w:val="superscript"/>
              </w:rPr>
              <w:footnoteReference w:id="7"/>
            </w:r>
            <w:r w:rsidR="00E26EF6" w:rsidRPr="00E26EF6">
              <w:rPr>
                <w:rStyle w:val="InstructionsTabelleberschrift"/>
                <w:rFonts w:ascii="Times New Roman" w:hAnsi="Times New Roman"/>
                <w:b w:val="0"/>
                <w:sz w:val="24"/>
                <w:u w:val="none"/>
              </w:rPr>
              <w:t xml:space="preserve"> i dyr</w:t>
            </w:r>
            <w:r w:rsidRPr="00E26EF6">
              <w:rPr>
                <w:rStyle w:val="InstructionsTabelleberschrift"/>
                <w:rFonts w:ascii="Times New Roman" w:hAnsi="Times New Roman"/>
                <w:b w:val="0"/>
                <w:sz w:val="24"/>
                <w:u w:val="none"/>
              </w:rPr>
              <w:t>ektywą 2000/12/WE Parlamentu Europejskiego</w:t>
            </w:r>
            <w:r w:rsidR="00E26EF6" w:rsidRPr="00E26EF6">
              <w:rPr>
                <w:rStyle w:val="InstructionsTabelleberschrift"/>
                <w:rFonts w:ascii="Times New Roman" w:hAnsi="Times New Roman"/>
                <w:b w:val="0"/>
                <w:sz w:val="24"/>
                <w:u w:val="none"/>
              </w:rPr>
              <w:t xml:space="preserve"> i Rad</w:t>
            </w:r>
            <w:r w:rsidRPr="00E26EF6">
              <w:rPr>
                <w:rStyle w:val="InstructionsTabelleberschrift"/>
                <w:rFonts w:ascii="Times New Roman" w:hAnsi="Times New Roman"/>
                <w:b w:val="0"/>
                <w:sz w:val="24"/>
                <w:u w:val="none"/>
              </w:rPr>
              <w:t>y</w:t>
            </w:r>
            <w:r w:rsidRPr="00E26EF6">
              <w:rPr>
                <w:rStyle w:val="FootnoteReference"/>
                <w:rFonts w:ascii="Times New Roman" w:hAnsi="Times New Roman"/>
                <w:bCs/>
                <w:sz w:val="24"/>
                <w:szCs w:val="24"/>
                <w:vertAlign w:val="superscript"/>
              </w:rPr>
              <w:footnoteReference w:id="8"/>
            </w:r>
            <w:r w:rsidR="00E26EF6" w:rsidRPr="00E26EF6">
              <w:rPr>
                <w:rStyle w:val="InstructionsTabelleberschrift"/>
                <w:rFonts w:ascii="Times New Roman" w:hAnsi="Times New Roman"/>
                <w:b w:val="0"/>
                <w:sz w:val="24"/>
                <w:u w:val="none"/>
              </w:rPr>
              <w:t xml:space="preserve"> w brz</w:t>
            </w:r>
            <w:r w:rsidRPr="00E26EF6">
              <w:rPr>
                <w:rStyle w:val="InstructionsTabelleberschrift"/>
                <w:rFonts w:ascii="Times New Roman" w:hAnsi="Times New Roman"/>
                <w:b w:val="0"/>
                <w:sz w:val="24"/>
                <w:u w:val="none"/>
              </w:rPr>
              <w:t>mieniu,</w:t>
            </w:r>
            <w:r w:rsidR="00E26EF6" w:rsidRPr="00E26EF6">
              <w:rPr>
                <w:rStyle w:val="InstructionsTabelleberschrift"/>
                <w:rFonts w:ascii="Times New Roman" w:hAnsi="Times New Roman"/>
                <w:b w:val="0"/>
                <w:sz w:val="24"/>
                <w:u w:val="none"/>
              </w:rPr>
              <w:t xml:space="preserve"> w jak</w:t>
            </w:r>
            <w:r w:rsidRPr="00E26EF6">
              <w:rPr>
                <w:rStyle w:val="InstructionsTabelleberschrift"/>
                <w:rFonts w:ascii="Times New Roman" w:hAnsi="Times New Roman"/>
                <w:b w:val="0"/>
                <w:sz w:val="24"/>
                <w:u w:val="none"/>
              </w:rPr>
              <w:t xml:space="preserve">im </w:t>
            </w:r>
            <w:r w:rsidRPr="00E26EF6">
              <w:rPr>
                <w:rStyle w:val="InstructionsTabelleberschrift"/>
                <w:rFonts w:ascii="Times New Roman" w:hAnsi="Times New Roman"/>
                <w:b w:val="0"/>
                <w:sz w:val="24"/>
                <w:u w:val="none"/>
              </w:rPr>
              <w:lastRenderedPageBreak/>
              <w:t>dyrektywy te obowiązywały przed dniem 1 stycznia 2007</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r.,</w:t>
            </w:r>
            <w:r w:rsidR="00E26EF6" w:rsidRPr="00E26EF6">
              <w:rPr>
                <w:rStyle w:val="InstructionsTabelleberschrift"/>
                <w:rFonts w:ascii="Times New Roman" w:hAnsi="Times New Roman"/>
                <w:b w:val="0"/>
                <w:sz w:val="24"/>
                <w:u w:val="none"/>
              </w:rPr>
              <w:t xml:space="preserve"> a obl</w:t>
            </w:r>
            <w:r w:rsidRPr="00E26EF6">
              <w:rPr>
                <w:rStyle w:val="InstructionsTabelleberschrift"/>
                <w:rFonts w:ascii="Times New Roman" w:hAnsi="Times New Roman"/>
                <w:b w:val="0"/>
                <w:sz w:val="24"/>
                <w:u w:val="none"/>
              </w:rPr>
              <w:t>iczaniem funduszy własnych zgodnie z CRR</w:t>
            </w:r>
            <w:r w:rsidR="00E26EF6" w:rsidRPr="00E26EF6">
              <w:rPr>
                <w:rStyle w:val="InstructionsTabelleberschrift"/>
                <w:rFonts w:ascii="Times New Roman" w:hAnsi="Times New Roman"/>
                <w:b w:val="0"/>
                <w:sz w:val="24"/>
                <w:u w:val="none"/>
              </w:rPr>
              <w:t xml:space="preserve"> w wyn</w:t>
            </w:r>
            <w:r w:rsidRPr="00E26EF6">
              <w:rPr>
                <w:rStyle w:val="InstructionsTabelleberschrift"/>
                <w:rFonts w:ascii="Times New Roman" w:hAnsi="Times New Roman"/>
                <w:b w:val="0"/>
                <w:sz w:val="24"/>
                <w:u w:val="none"/>
              </w:rPr>
              <w:t>iku oddzielnych sposobów ujęcia straty oczekiwanej</w:t>
            </w:r>
            <w:r w:rsidR="00E26EF6" w:rsidRPr="00E26EF6">
              <w:rPr>
                <w:rStyle w:val="InstructionsTabelleberschrift"/>
                <w:rFonts w:ascii="Times New Roman" w:hAnsi="Times New Roman"/>
                <w:b w:val="0"/>
                <w:sz w:val="24"/>
                <w:u w:val="none"/>
              </w:rPr>
              <w:t xml:space="preserve"> i str</w:t>
            </w:r>
            <w:r w:rsidRPr="00E26EF6">
              <w:rPr>
                <w:rStyle w:val="InstructionsTabelleberschrift"/>
                <w:rFonts w:ascii="Times New Roman" w:hAnsi="Times New Roman"/>
                <w:b w:val="0"/>
                <w:sz w:val="24"/>
                <w:u w:val="none"/>
              </w:rPr>
              <w:t xml:space="preserve">aty nieoczekiwanej na mocy </w:t>
            </w:r>
            <w:r w:rsidRPr="00E26EF6">
              <w:t xml:space="preserve">części trzeciej tytuł II </w:t>
            </w:r>
            <w:r w:rsidRPr="00E26EF6">
              <w:rPr>
                <w:rStyle w:val="InstructionsTabelleberschrift"/>
                <w:rFonts w:ascii="Times New Roman" w:hAnsi="Times New Roman"/>
                <w:b w:val="0"/>
                <w:sz w:val="24"/>
                <w:u w:val="none"/>
              </w:rPr>
              <w:t xml:space="preserve">rozdział 3 CRR). </w:t>
            </w:r>
          </w:p>
          <w:p w14:paraId="629AE7CE" w14:textId="27D3DA30" w:rsidR="00915077" w:rsidRPr="00E26EF6" w:rsidRDefault="003A1469">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W przypadku zastosowania alternatywnych wymogów według metody standardowej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2 CRR) wiersz ten pozostawia się niewypełniony.</w:t>
            </w:r>
          </w:p>
        </w:tc>
      </w:tr>
      <w:tr w:rsidR="00915077" w:rsidRPr="00E26EF6"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915077" w:rsidRPr="00E26EF6" w:rsidRDefault="007E16E5">
            <w:pPr>
              <w:pStyle w:val="InstructionsText"/>
              <w:rPr>
                <w:highlight w:val="lightGray"/>
              </w:rPr>
            </w:pPr>
            <w:r w:rsidRPr="00E26EF6">
              <w:lastRenderedPageBreak/>
              <w:t>890</w:t>
            </w:r>
          </w:p>
        </w:tc>
        <w:tc>
          <w:tcPr>
            <w:tcW w:w="7243" w:type="dxa"/>
            <w:tcBorders>
              <w:top w:val="single" w:sz="4" w:space="0" w:color="auto"/>
              <w:left w:val="single" w:sz="4" w:space="0" w:color="auto"/>
              <w:bottom w:val="single" w:sz="4" w:space="0" w:color="auto"/>
              <w:right w:val="single" w:sz="4" w:space="0" w:color="auto"/>
            </w:tcBorders>
          </w:tcPr>
          <w:p w14:paraId="37B3E5D6" w14:textId="09A7BC8B" w:rsidR="00915077" w:rsidRPr="00E26EF6" w:rsidRDefault="007E16E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Wymogi</w:t>
            </w:r>
            <w:r w:rsidR="00E26EF6" w:rsidRPr="00E26EF6">
              <w:rPr>
                <w:rStyle w:val="InstructionsTabelleberschrift"/>
                <w:rFonts w:ascii="Times New Roman" w:hAnsi="Times New Roman"/>
                <w:sz w:val="24"/>
              </w:rPr>
              <w:t xml:space="preserve"> w zak</w:t>
            </w:r>
            <w:r w:rsidRPr="00E26EF6">
              <w:rPr>
                <w:rStyle w:val="InstructionsTabelleberschrift"/>
                <w:rFonts w:ascii="Times New Roman" w:hAnsi="Times New Roman"/>
                <w:sz w:val="24"/>
              </w:rPr>
              <w:t>resie funduszy własnych dla dolnej granicy określonej</w:t>
            </w:r>
            <w:r w:rsidR="00E26EF6" w:rsidRPr="00E26EF6">
              <w:rPr>
                <w:rStyle w:val="InstructionsTabelleberschrift"/>
                <w:rFonts w:ascii="Times New Roman" w:hAnsi="Times New Roman"/>
                <w:sz w:val="24"/>
              </w:rPr>
              <w:t xml:space="preserve"> w reg</w:t>
            </w:r>
            <w:r w:rsidRPr="00E26EF6">
              <w:rPr>
                <w:rStyle w:val="InstructionsTabelleberschrift"/>
                <w:rFonts w:ascii="Times New Roman" w:hAnsi="Times New Roman"/>
                <w:sz w:val="24"/>
              </w:rPr>
              <w:t>ulacjach Bazylea I</w:t>
            </w:r>
          </w:p>
          <w:p w14:paraId="0B850548" w14:textId="1BC1F6E4" w:rsidR="00915077" w:rsidRPr="00E26EF6" w:rsidRDefault="0014657C">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b) CRR </w:t>
            </w:r>
          </w:p>
          <w:p w14:paraId="09285A06" w14:textId="79855B4E" w:rsidR="00915077" w:rsidRPr="00E26EF6" w:rsidRDefault="002540B2">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b w:val="0"/>
                <w:sz w:val="24"/>
                <w:u w:val="none"/>
              </w:rPr>
              <w:t>W tej pozycji zgłasza się kwotę funduszy własnych, które instytucja zobowiązana jest utrzymywać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b) CRR (tzn.</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80</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łącznej minimalnej kwoty funduszy własnych, które instytucja zobowiązana byłaby posiadać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4 dyrektywy 93/6/EWG</w:t>
            </w:r>
            <w:r w:rsidR="00E26EF6" w:rsidRPr="00E26EF6">
              <w:rPr>
                <w:rStyle w:val="InstructionsTabelleberschrift"/>
                <w:rFonts w:ascii="Times New Roman" w:hAnsi="Times New Roman"/>
                <w:b w:val="0"/>
                <w:sz w:val="24"/>
                <w:u w:val="none"/>
              </w:rPr>
              <w:t xml:space="preserve"> i dyr</w:t>
            </w:r>
            <w:r w:rsidRPr="00E26EF6">
              <w:rPr>
                <w:rStyle w:val="InstructionsTabelleberschrift"/>
                <w:rFonts w:ascii="Times New Roman" w:hAnsi="Times New Roman"/>
                <w:b w:val="0"/>
                <w:sz w:val="24"/>
                <w:u w:val="none"/>
              </w:rPr>
              <w:t>ektywą 2000/12/WE).</w:t>
            </w:r>
          </w:p>
        </w:tc>
      </w:tr>
      <w:tr w:rsidR="00915077" w:rsidRPr="00E26EF6"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915077" w:rsidRPr="00E26EF6" w:rsidRDefault="007E16E5">
            <w:pPr>
              <w:pStyle w:val="InstructionsText"/>
              <w:rPr>
                <w:highlight w:val="lightGray"/>
              </w:rPr>
            </w:pPr>
            <w:r w:rsidRPr="00E26EF6">
              <w:t>900</w:t>
            </w:r>
          </w:p>
        </w:tc>
        <w:tc>
          <w:tcPr>
            <w:tcW w:w="7243" w:type="dxa"/>
            <w:tcBorders>
              <w:top w:val="single" w:sz="4" w:space="0" w:color="auto"/>
              <w:left w:val="single" w:sz="4" w:space="0" w:color="auto"/>
              <w:bottom w:val="single" w:sz="4" w:space="0" w:color="auto"/>
              <w:right w:val="single" w:sz="4" w:space="0" w:color="auto"/>
            </w:tcBorders>
          </w:tcPr>
          <w:p w14:paraId="5E3AF3A8" w14:textId="0C24B509" w:rsidR="00915077" w:rsidRPr="00E26EF6" w:rsidRDefault="007E16E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Wymogi</w:t>
            </w:r>
            <w:r w:rsidR="00E26EF6" w:rsidRPr="00E26EF6">
              <w:rPr>
                <w:rStyle w:val="InstructionsTabelleberschrift"/>
                <w:rFonts w:ascii="Times New Roman" w:hAnsi="Times New Roman"/>
                <w:sz w:val="24"/>
              </w:rPr>
              <w:t xml:space="preserve"> w zak</w:t>
            </w:r>
            <w:r w:rsidRPr="00E26EF6">
              <w:rPr>
                <w:rStyle w:val="InstructionsTabelleberschrift"/>
                <w:rFonts w:ascii="Times New Roman" w:hAnsi="Times New Roman"/>
                <w:sz w:val="24"/>
              </w:rPr>
              <w:t>resie funduszy własnych dla dolnej granicy określonej</w:t>
            </w:r>
            <w:r w:rsidR="00E26EF6" w:rsidRPr="00E26EF6">
              <w:rPr>
                <w:rStyle w:val="InstructionsTabelleberschrift"/>
                <w:rFonts w:ascii="Times New Roman" w:hAnsi="Times New Roman"/>
                <w:sz w:val="24"/>
              </w:rPr>
              <w:t xml:space="preserve"> w reg</w:t>
            </w:r>
            <w:r w:rsidRPr="00E26EF6">
              <w:rPr>
                <w:rStyle w:val="InstructionsTabelleberschrift"/>
                <w:rFonts w:ascii="Times New Roman" w:hAnsi="Times New Roman"/>
                <w:sz w:val="24"/>
              </w:rPr>
              <w:t>ulacjach Bazylea I – alternatywa według metody standardowej</w:t>
            </w:r>
          </w:p>
          <w:p w14:paraId="16A26EEB" w14:textId="1550EA9D" w:rsidR="00915077" w:rsidRPr="00E26EF6" w:rsidRDefault="00214FDA">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2</w:t>
            </w:r>
            <w:r w:rsidR="00E26EF6" w:rsidRPr="00E26EF6">
              <w:rPr>
                <w:rStyle w:val="InstructionsTabelleberschrift"/>
                <w:rFonts w:ascii="Times New Roman" w:hAnsi="Times New Roman"/>
                <w:b w:val="0"/>
                <w:sz w:val="24"/>
                <w:u w:val="none"/>
              </w:rPr>
              <w:t xml:space="preserve"> i 3</w:t>
            </w:r>
            <w:r w:rsidRPr="00E26EF6">
              <w:rPr>
                <w:rStyle w:val="InstructionsTabelleberschrift"/>
                <w:rFonts w:ascii="Times New Roman" w:hAnsi="Times New Roman"/>
                <w:b w:val="0"/>
                <w:sz w:val="24"/>
                <w:u w:val="none"/>
              </w:rPr>
              <w:t xml:space="preserve"> CRR </w:t>
            </w:r>
          </w:p>
          <w:p w14:paraId="7085DCA6" w14:textId="18F95787" w:rsidR="00915077" w:rsidRPr="00E26EF6" w:rsidRDefault="00DE48EF">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W tej pozycji zgłasza się kwotę funduszy własnych, które instytucja zobowiązana jest utrzymywać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2 CRR (tzn.</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80</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funduszy własnych, które instytucja musiałaby utrzymywać na mocy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92 CRR, przy obliczaniu kwot ekspozycji ważonych ryzykiem zgodnie</w:t>
            </w:r>
            <w:r w:rsidR="00E26EF6" w:rsidRPr="00E26EF6">
              <w:rPr>
                <w:rStyle w:val="InstructionsTabelleberschrift"/>
                <w:rFonts w:ascii="Times New Roman" w:hAnsi="Times New Roman"/>
                <w:b w:val="0"/>
                <w:sz w:val="24"/>
                <w:u w:val="none"/>
              </w:rPr>
              <w:t xml:space="preserve"> z </w:t>
            </w:r>
            <w:r w:rsidR="00E26EF6" w:rsidRPr="00E26EF6">
              <w:t>czę</w:t>
            </w:r>
            <w:r w:rsidRPr="00E26EF6">
              <w:t xml:space="preserve">ścią trzecią tytuł II </w:t>
            </w:r>
            <w:r w:rsidRPr="00E26EF6">
              <w:rPr>
                <w:rStyle w:val="InstructionsTabelleberschrift"/>
                <w:rFonts w:ascii="Times New Roman" w:hAnsi="Times New Roman"/>
                <w:b w:val="0"/>
                <w:sz w:val="24"/>
                <w:u w:val="none"/>
              </w:rPr>
              <w:t xml:space="preserve">rozdział 2 </w:t>
            </w:r>
            <w:r w:rsidRPr="00E26EF6">
              <w:t>oraz,</w:t>
            </w:r>
            <w:r w:rsidR="00E26EF6" w:rsidRPr="00E26EF6">
              <w:t xml:space="preserve"> w sto</w:t>
            </w:r>
            <w:r w:rsidRPr="00E26EF6">
              <w:t>sownych przypadkach,</w:t>
            </w:r>
            <w:r w:rsidR="00E26EF6" w:rsidRPr="00E26EF6">
              <w:t xml:space="preserve"> z czę</w:t>
            </w:r>
            <w:r w:rsidRPr="00E26EF6">
              <w:t xml:space="preserve">ścią trzecią tytuł III </w:t>
            </w:r>
            <w:r w:rsidRPr="00E26EF6">
              <w:rPr>
                <w:rStyle w:val="InstructionsTabelleberschrift"/>
                <w:rFonts w:ascii="Times New Roman" w:hAnsi="Times New Roman"/>
                <w:b w:val="0"/>
                <w:sz w:val="24"/>
                <w:u w:val="none"/>
              </w:rPr>
              <w:t>rozdział 2 lub</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3 CRR zamiast zgodnie</w:t>
            </w:r>
            <w:r w:rsidR="00E26EF6" w:rsidRPr="00E26EF6">
              <w:rPr>
                <w:rStyle w:val="InstructionsTabelleberschrift"/>
                <w:rFonts w:ascii="Times New Roman" w:hAnsi="Times New Roman"/>
                <w:b w:val="0"/>
                <w:sz w:val="24"/>
                <w:u w:val="none"/>
              </w:rPr>
              <w:t xml:space="preserve"> z </w:t>
            </w:r>
            <w:r w:rsidR="00E26EF6" w:rsidRPr="00E26EF6">
              <w:t>czę</w:t>
            </w:r>
            <w:r w:rsidRPr="00E26EF6">
              <w:t xml:space="preserve">ścią trzecią tytuł II </w:t>
            </w:r>
            <w:r w:rsidRPr="00E26EF6">
              <w:rPr>
                <w:rStyle w:val="InstructionsTabelleberschrift"/>
                <w:rFonts w:ascii="Times New Roman" w:hAnsi="Times New Roman"/>
                <w:b w:val="0"/>
                <w:sz w:val="24"/>
                <w:u w:val="none"/>
              </w:rPr>
              <w:t>rozdział 3 lub,</w:t>
            </w:r>
            <w:r w:rsidR="00E26EF6" w:rsidRPr="00E26EF6">
              <w:rPr>
                <w:rStyle w:val="InstructionsTabelleberschrift"/>
                <w:rFonts w:ascii="Times New Roman" w:hAnsi="Times New Roman"/>
                <w:b w:val="0"/>
                <w:sz w:val="24"/>
                <w:u w:val="none"/>
              </w:rPr>
              <w:t xml:space="preserve"> w sto</w:t>
            </w:r>
            <w:r w:rsidRPr="00E26EF6">
              <w:rPr>
                <w:rStyle w:val="InstructionsTabelleberschrift"/>
                <w:rFonts w:ascii="Times New Roman" w:hAnsi="Times New Roman"/>
                <w:b w:val="0"/>
                <w:sz w:val="24"/>
                <w:u w:val="none"/>
              </w:rPr>
              <w:t xml:space="preserve">sownych przypadkach, </w:t>
            </w:r>
            <w:r w:rsidRPr="00E26EF6">
              <w:t xml:space="preserve">częścią trzecią tytuł III </w:t>
            </w:r>
            <w:r w:rsidRPr="00E26EF6">
              <w:rPr>
                <w:rStyle w:val="InstructionsTabelleberschrift"/>
                <w:rFonts w:ascii="Times New Roman" w:hAnsi="Times New Roman"/>
                <w:b w:val="0"/>
                <w:sz w:val="24"/>
                <w:u w:val="none"/>
              </w:rPr>
              <w:t>rozdział 4 CRR).</w:t>
            </w:r>
          </w:p>
        </w:tc>
      </w:tr>
      <w:tr w:rsidR="00915077" w:rsidRPr="00E26EF6"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915077" w:rsidRPr="00E26EF6" w:rsidRDefault="00A840D5">
            <w:pPr>
              <w:pStyle w:val="InstructionsText"/>
              <w:rPr>
                <w:highlight w:val="lightGray"/>
              </w:rPr>
            </w:pPr>
            <w:r w:rsidRPr="00E26EF6">
              <w:t>910</w:t>
            </w:r>
          </w:p>
        </w:tc>
        <w:tc>
          <w:tcPr>
            <w:tcW w:w="7243" w:type="dxa"/>
            <w:tcBorders>
              <w:top w:val="single" w:sz="4" w:space="0" w:color="auto"/>
              <w:left w:val="single" w:sz="4" w:space="0" w:color="auto"/>
              <w:bottom w:val="single" w:sz="4" w:space="0" w:color="auto"/>
              <w:right w:val="single" w:sz="4" w:space="0" w:color="auto"/>
            </w:tcBorders>
          </w:tcPr>
          <w:p w14:paraId="66A35C39" w14:textId="04DAFA97" w:rsidR="00915077" w:rsidRPr="00E26EF6" w:rsidRDefault="002540B2">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Niedobór łącznych funduszy własnych</w:t>
            </w:r>
            <w:r w:rsidR="00E26EF6" w:rsidRPr="00E26EF6">
              <w:rPr>
                <w:rStyle w:val="InstructionsTabelleberschrift"/>
                <w:rFonts w:ascii="Times New Roman" w:hAnsi="Times New Roman"/>
                <w:sz w:val="24"/>
              </w:rPr>
              <w:t xml:space="preserve"> w odn</w:t>
            </w:r>
            <w:r w:rsidRPr="00E26EF6">
              <w:rPr>
                <w:rStyle w:val="InstructionsTabelleberschrift"/>
                <w:rFonts w:ascii="Times New Roman" w:hAnsi="Times New Roman"/>
                <w:sz w:val="24"/>
              </w:rPr>
              <w:t>iesieniu do wymogów</w:t>
            </w:r>
            <w:r w:rsidR="00E26EF6" w:rsidRPr="00E26EF6">
              <w:rPr>
                <w:rStyle w:val="InstructionsTabelleberschrift"/>
                <w:rFonts w:ascii="Times New Roman" w:hAnsi="Times New Roman"/>
                <w:sz w:val="24"/>
              </w:rPr>
              <w:t xml:space="preserve"> w zak</w:t>
            </w:r>
            <w:r w:rsidRPr="00E26EF6">
              <w:rPr>
                <w:rStyle w:val="InstructionsTabelleberschrift"/>
                <w:rFonts w:ascii="Times New Roman" w:hAnsi="Times New Roman"/>
                <w:sz w:val="24"/>
              </w:rPr>
              <w:t>resie funduszy własnych dla dolnej granicy określonej</w:t>
            </w:r>
            <w:r w:rsidR="00E26EF6" w:rsidRPr="00E26EF6">
              <w:rPr>
                <w:rStyle w:val="InstructionsTabelleberschrift"/>
                <w:rFonts w:ascii="Times New Roman" w:hAnsi="Times New Roman"/>
                <w:sz w:val="24"/>
              </w:rPr>
              <w:t xml:space="preserve"> w reg</w:t>
            </w:r>
            <w:r w:rsidRPr="00E26EF6">
              <w:rPr>
                <w:rStyle w:val="InstructionsTabelleberschrift"/>
                <w:rFonts w:ascii="Times New Roman" w:hAnsi="Times New Roman"/>
                <w:sz w:val="24"/>
              </w:rPr>
              <w:t>ulacjach Bazylea I lub wymogów alternatywnych według metody standardowej</w:t>
            </w:r>
          </w:p>
          <w:p w14:paraId="2415E5FA" w14:textId="0F8A087F" w:rsidR="00915077" w:rsidRPr="00E26EF6" w:rsidRDefault="0014657C">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b) oraz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2 CRR </w:t>
            </w:r>
          </w:p>
          <w:p w14:paraId="7724778A" w14:textId="77777777" w:rsidR="00915077" w:rsidRPr="00E26EF6" w:rsidRDefault="00DE48EF">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 wierszu tym podaje się:</w:t>
            </w:r>
          </w:p>
          <w:p w14:paraId="4D0AF386" w14:textId="46B55069" w:rsidR="00915077" w:rsidRPr="00E26EF6" w:rsidRDefault="00DE48EF">
            <w:pPr>
              <w:pStyle w:val="InstructionsText"/>
              <w:ind w:left="423" w:hanging="423"/>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t>
            </w:r>
            <w:r w:rsidRPr="00E26EF6">
              <w:rPr>
                <w:rStyle w:val="InstructionsTabelleberschrift"/>
                <w:rFonts w:ascii="Times New Roman" w:hAnsi="Times New Roman"/>
                <w:b w:val="0"/>
                <w:sz w:val="24"/>
                <w:u w:val="none"/>
              </w:rPr>
              <w:tab/>
              <w:t>jeżeli zastosowano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b) CRR,</w:t>
            </w:r>
            <w:r w:rsidR="00E26EF6" w:rsidRPr="00E26EF6">
              <w:rPr>
                <w:rStyle w:val="InstructionsTabelleberschrift"/>
                <w:rFonts w:ascii="Times New Roman" w:hAnsi="Times New Roman"/>
                <w:b w:val="0"/>
                <w:sz w:val="24"/>
                <w:u w:val="none"/>
              </w:rPr>
              <w:t xml:space="preserve"> a wie</w:t>
            </w:r>
            <w:r w:rsidRPr="00E26EF6">
              <w:rPr>
                <w:rStyle w:val="InstructionsTabelleberschrift"/>
                <w:rFonts w:ascii="Times New Roman" w:hAnsi="Times New Roman"/>
                <w:b w:val="0"/>
                <w:sz w:val="24"/>
                <w:u w:val="none"/>
              </w:rPr>
              <w:t>rsz 880 &lt; wiersz 890: różnicę między wierszem 890</w:t>
            </w:r>
            <w:r w:rsidR="00E26EF6" w:rsidRPr="00E26EF6">
              <w:rPr>
                <w:rStyle w:val="InstructionsTabelleberschrift"/>
                <w:rFonts w:ascii="Times New Roman" w:hAnsi="Times New Roman"/>
                <w:b w:val="0"/>
                <w:sz w:val="24"/>
                <w:u w:val="none"/>
              </w:rPr>
              <w:t xml:space="preserve"> i wie</w:t>
            </w:r>
            <w:r w:rsidRPr="00E26EF6">
              <w:rPr>
                <w:rStyle w:val="InstructionsTabelleberschrift"/>
                <w:rFonts w:ascii="Times New Roman" w:hAnsi="Times New Roman"/>
                <w:b w:val="0"/>
                <w:sz w:val="24"/>
                <w:u w:val="none"/>
              </w:rPr>
              <w:t>rszem 880;</w:t>
            </w:r>
          </w:p>
          <w:p w14:paraId="382D4867" w14:textId="78A10DC3" w:rsidR="00915077" w:rsidRPr="00E26EF6" w:rsidRDefault="00DE48EF">
            <w:pPr>
              <w:pStyle w:val="InstructionsText"/>
              <w:ind w:left="423" w:hanging="423"/>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t>
            </w:r>
            <w:r w:rsidRPr="00E26EF6">
              <w:rPr>
                <w:rStyle w:val="InstructionsTabelleberschrift"/>
                <w:rFonts w:ascii="Times New Roman" w:hAnsi="Times New Roman"/>
                <w:b w:val="0"/>
                <w:sz w:val="24"/>
                <w:u w:val="none"/>
              </w:rPr>
              <w:tab/>
              <w:t>lub jeżeli zastosowano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500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2 CRR,</w:t>
            </w:r>
            <w:r w:rsidR="00E26EF6" w:rsidRPr="00E26EF6">
              <w:rPr>
                <w:rStyle w:val="InstructionsTabelleberschrift"/>
                <w:rFonts w:ascii="Times New Roman" w:hAnsi="Times New Roman"/>
                <w:b w:val="0"/>
                <w:sz w:val="24"/>
                <w:u w:val="none"/>
              </w:rPr>
              <w:t xml:space="preserve"> a wie</w:t>
            </w:r>
            <w:r w:rsidRPr="00E26EF6">
              <w:rPr>
                <w:rStyle w:val="InstructionsTabelleberschrift"/>
                <w:rFonts w:ascii="Times New Roman" w:hAnsi="Times New Roman"/>
                <w:b w:val="0"/>
                <w:sz w:val="24"/>
                <w:u w:val="none"/>
              </w:rPr>
              <w:t xml:space="preserve">rsz 010 w C 01.00 &lt; </w:t>
            </w:r>
            <w:proofErr w:type="gramStart"/>
            <w:r w:rsidRPr="00E26EF6">
              <w:rPr>
                <w:rStyle w:val="InstructionsTabelleberschrift"/>
                <w:rFonts w:ascii="Times New Roman" w:hAnsi="Times New Roman"/>
                <w:b w:val="0"/>
                <w:sz w:val="24"/>
                <w:u w:val="none"/>
              </w:rPr>
              <w:t>wiersz</w:t>
            </w:r>
            <w:proofErr w:type="gramEnd"/>
            <w:r w:rsidRPr="00E26EF6">
              <w:rPr>
                <w:rStyle w:val="InstructionsTabelleberschrift"/>
                <w:rFonts w:ascii="Times New Roman" w:hAnsi="Times New Roman"/>
                <w:b w:val="0"/>
                <w:sz w:val="24"/>
                <w:u w:val="none"/>
              </w:rPr>
              <w:t xml:space="preserve"> 900 w C 04.00: </w:t>
            </w:r>
            <w:proofErr w:type="gramStart"/>
            <w:r w:rsidRPr="00E26EF6">
              <w:rPr>
                <w:rStyle w:val="InstructionsTabelleberschrift"/>
                <w:rFonts w:ascii="Times New Roman" w:hAnsi="Times New Roman"/>
                <w:b w:val="0"/>
                <w:sz w:val="24"/>
                <w:u w:val="none"/>
              </w:rPr>
              <w:t>różnicę</w:t>
            </w:r>
            <w:proofErr w:type="gramEnd"/>
            <w:r w:rsidRPr="00E26EF6">
              <w:rPr>
                <w:rStyle w:val="InstructionsTabelleberschrift"/>
                <w:rFonts w:ascii="Times New Roman" w:hAnsi="Times New Roman"/>
                <w:b w:val="0"/>
                <w:sz w:val="24"/>
                <w:u w:val="none"/>
              </w:rPr>
              <w:t xml:space="preserve"> między wierszem 900 w C 04.00</w:t>
            </w:r>
            <w:r w:rsidR="00E26EF6" w:rsidRPr="00E26EF6">
              <w:rPr>
                <w:rStyle w:val="InstructionsTabelleberschrift"/>
                <w:rFonts w:ascii="Times New Roman" w:hAnsi="Times New Roman"/>
                <w:b w:val="0"/>
                <w:sz w:val="24"/>
                <w:u w:val="none"/>
              </w:rPr>
              <w:t xml:space="preserve"> </w:t>
            </w:r>
            <w:proofErr w:type="gramStart"/>
            <w:r w:rsidR="00E26EF6" w:rsidRPr="00E26EF6">
              <w:rPr>
                <w:rStyle w:val="InstructionsTabelleberschrift"/>
                <w:rFonts w:ascii="Times New Roman" w:hAnsi="Times New Roman"/>
                <w:b w:val="0"/>
                <w:sz w:val="24"/>
                <w:u w:val="none"/>
              </w:rPr>
              <w:t>i</w:t>
            </w:r>
            <w:proofErr w:type="gramEnd"/>
            <w:r w:rsidR="00E26EF6" w:rsidRPr="00E26EF6">
              <w:rPr>
                <w:rStyle w:val="InstructionsTabelleberschrift"/>
                <w:rFonts w:ascii="Times New Roman" w:hAnsi="Times New Roman"/>
                <w:b w:val="0"/>
                <w:sz w:val="24"/>
                <w:u w:val="none"/>
              </w:rPr>
              <w:t> wie</w:t>
            </w:r>
            <w:r w:rsidRPr="00E26EF6">
              <w:rPr>
                <w:rStyle w:val="InstructionsTabelleberschrift"/>
                <w:rFonts w:ascii="Times New Roman" w:hAnsi="Times New Roman"/>
                <w:b w:val="0"/>
                <w:sz w:val="24"/>
                <w:u w:val="none"/>
              </w:rPr>
              <w:t>rszem 010 w C 01.00</w:t>
            </w:r>
          </w:p>
        </w:tc>
      </w:tr>
    </w:tbl>
    <w:p w14:paraId="6661FFBF" w14:textId="77777777" w:rsidR="00915077" w:rsidRPr="00E26EF6" w:rsidRDefault="00915077">
      <w:pPr>
        <w:pStyle w:val="InstructionsText"/>
      </w:pPr>
    </w:p>
    <w:p w14:paraId="589D224B" w14:textId="4E496274" w:rsidR="00915077" w:rsidRPr="00E26EF6" w:rsidRDefault="00936DD1">
      <w:pPr>
        <w:pStyle w:val="Instructionsberschrift2"/>
        <w:numPr>
          <w:ilvl w:val="0"/>
          <w:numId w:val="0"/>
        </w:numPr>
        <w:ind w:left="357" w:hanging="357"/>
        <w:rPr>
          <w:rFonts w:ascii="Times New Roman" w:hAnsi="Times New Roman" w:cs="Times New Roman"/>
          <w:sz w:val="24"/>
        </w:rPr>
      </w:pPr>
      <w:bookmarkStart w:id="17" w:name="_Toc31014315"/>
      <w:r w:rsidRPr="00E26EF6">
        <w:rPr>
          <w:rFonts w:ascii="Times New Roman" w:hAnsi="Times New Roman"/>
          <w:sz w:val="24"/>
          <w:u w:val="none"/>
        </w:rPr>
        <w:t>1.6</w:t>
      </w:r>
      <w:r w:rsidRPr="00E26EF6">
        <w:rPr>
          <w:rFonts w:ascii="Times New Roman" w:hAnsi="Times New Roman"/>
          <w:sz w:val="24"/>
          <w:u w:val="none"/>
        </w:rPr>
        <w:tab/>
      </w:r>
      <w:r w:rsidRPr="00E26EF6">
        <w:rPr>
          <w:rFonts w:ascii="Times New Roman" w:hAnsi="Times New Roman"/>
          <w:sz w:val="24"/>
        </w:rPr>
        <w:t>PRZEPISY PRZEJŚCIOWE oraz INSTRUMENTY PODLEGAJĄCE ZASADZIE PRAW NABYTYCH: INSTRUMENTY NIESTANOWIĄCE POMOCY PAŃSTWA (CA5)</w:t>
      </w:r>
      <w:bookmarkEnd w:id="17"/>
    </w:p>
    <w:p w14:paraId="1F398445" w14:textId="77777777" w:rsidR="00915077" w:rsidRPr="00E26EF6" w:rsidRDefault="00936DD1">
      <w:pPr>
        <w:pStyle w:val="Instructionsberschrift2"/>
        <w:numPr>
          <w:ilvl w:val="0"/>
          <w:numId w:val="0"/>
        </w:numPr>
        <w:ind w:left="357" w:hanging="357"/>
        <w:rPr>
          <w:rFonts w:ascii="Times New Roman" w:hAnsi="Times New Roman" w:cs="Times New Roman"/>
          <w:sz w:val="24"/>
        </w:rPr>
      </w:pPr>
      <w:bookmarkStart w:id="18" w:name="_Toc31014316"/>
      <w:r w:rsidRPr="00E26EF6">
        <w:rPr>
          <w:rFonts w:ascii="Times New Roman" w:hAnsi="Times New Roman"/>
          <w:sz w:val="24"/>
          <w:u w:val="none"/>
        </w:rPr>
        <w:t>1.6.1</w:t>
      </w:r>
      <w:r w:rsidRPr="00E26EF6">
        <w:rPr>
          <w:rFonts w:ascii="Times New Roman" w:hAnsi="Times New Roman"/>
          <w:sz w:val="24"/>
          <w:u w:val="none"/>
        </w:rPr>
        <w:tab/>
      </w:r>
      <w:r w:rsidRPr="00E26EF6">
        <w:rPr>
          <w:rFonts w:ascii="Times New Roman" w:hAnsi="Times New Roman"/>
          <w:sz w:val="24"/>
        </w:rPr>
        <w:t>Uwagi ogólne</w:t>
      </w:r>
      <w:bookmarkEnd w:id="18"/>
    </w:p>
    <w:p w14:paraId="7C94098E" w14:textId="33044705" w:rsidR="00915077" w:rsidRPr="00E26EF6" w:rsidRDefault="00B43C2A">
      <w:pPr>
        <w:pStyle w:val="InstructionsText2"/>
        <w:numPr>
          <w:ilvl w:val="0"/>
          <w:numId w:val="0"/>
        </w:numPr>
        <w:ind w:left="993"/>
      </w:pPr>
      <w:r w:rsidRPr="00E26EF6">
        <w:t>15.</w:t>
      </w:r>
      <w:r w:rsidRPr="00E26EF6">
        <w:tab/>
        <w:t>Wzór CA5 zawiera podsumowanie obliczeń składników funduszy własnych</w:t>
      </w:r>
      <w:r w:rsidR="00E26EF6" w:rsidRPr="00E26EF6">
        <w:t xml:space="preserve"> i odl</w:t>
      </w:r>
      <w:r w:rsidRPr="00E26EF6">
        <w:t>iczeń podlegających przepisom przejściowym określonym</w:t>
      </w:r>
      <w:r w:rsidR="00E26EF6" w:rsidRPr="00E26EF6">
        <w:t xml:space="preserve"> w art</w:t>
      </w:r>
      <w:r w:rsidRPr="00E26EF6">
        <w:t>.</w:t>
      </w:r>
      <w:r w:rsidR="00023409" w:rsidRPr="00E26EF6">
        <w:t> </w:t>
      </w:r>
      <w:r w:rsidRPr="00E26EF6">
        <w:t xml:space="preserve">465–491 CRR. </w:t>
      </w:r>
    </w:p>
    <w:p w14:paraId="563F7928" w14:textId="77777777" w:rsidR="00915077" w:rsidRPr="00E26EF6" w:rsidRDefault="00125707">
      <w:pPr>
        <w:pStyle w:val="InstructionsText2"/>
        <w:numPr>
          <w:ilvl w:val="0"/>
          <w:numId w:val="0"/>
        </w:numPr>
        <w:ind w:left="993"/>
      </w:pPr>
      <w:r w:rsidRPr="00E26EF6">
        <w:t>16.</w:t>
      </w:r>
      <w:r w:rsidRPr="00E26EF6">
        <w:tab/>
        <w:t>Struktura CA5 jest następująca:</w:t>
      </w:r>
    </w:p>
    <w:p w14:paraId="5C17D503" w14:textId="5E42E403" w:rsidR="00915077" w:rsidRPr="00E26EF6" w:rsidRDefault="00125707">
      <w:pPr>
        <w:pStyle w:val="InstructionsText2"/>
        <w:numPr>
          <w:ilvl w:val="0"/>
          <w:numId w:val="0"/>
        </w:numPr>
        <w:ind w:left="993"/>
      </w:pPr>
      <w:r w:rsidRPr="00E26EF6">
        <w:t>a</w:t>
      </w:r>
      <w:proofErr w:type="gramStart"/>
      <w:r w:rsidRPr="00E26EF6">
        <w:t>)</w:t>
      </w:r>
      <w:r w:rsidRPr="00E26EF6">
        <w:tab/>
      </w:r>
      <w:r w:rsidRPr="00E26EF6">
        <w:rPr>
          <w:u w:val="single"/>
        </w:rPr>
        <w:t>Wzór</w:t>
      </w:r>
      <w:proofErr w:type="gramEnd"/>
      <w:r w:rsidRPr="00E26EF6">
        <w:rPr>
          <w:u w:val="single"/>
        </w:rPr>
        <w:t xml:space="preserve"> 5.1</w:t>
      </w:r>
      <w:r w:rsidRPr="00E26EF6">
        <w:t xml:space="preserve"> </w:t>
      </w:r>
      <w:proofErr w:type="gramStart"/>
      <w:r w:rsidRPr="00E26EF6">
        <w:t>zawiera</w:t>
      </w:r>
      <w:proofErr w:type="gramEnd"/>
      <w:r w:rsidRPr="00E26EF6">
        <w:t xml:space="preserve"> podsumowanie całkowitych korekt, których należy dokonać</w:t>
      </w:r>
      <w:r w:rsidR="00E26EF6" w:rsidRPr="00E26EF6">
        <w:t xml:space="preserve"> w odn</w:t>
      </w:r>
      <w:r w:rsidRPr="00E26EF6">
        <w:t>iesieniu do różnych elementów funduszy własnych (zgłoszonych w CA1 zgodnie</w:t>
      </w:r>
      <w:r w:rsidR="00E26EF6" w:rsidRPr="00E26EF6">
        <w:t xml:space="preserve"> z prz</w:t>
      </w:r>
      <w:r w:rsidRPr="00E26EF6">
        <w:t>episami końcowymi) wskutek stosowania przepisów przejściowych. Elementy tego wzoru są przedstawiane jako „korekty” różnych składników kapitału w CA1, aby odzwierciedlić</w:t>
      </w:r>
      <w:r w:rsidR="00E26EF6" w:rsidRPr="00E26EF6">
        <w:t xml:space="preserve"> w skł</w:t>
      </w:r>
      <w:r w:rsidRPr="00E26EF6">
        <w:t>adnikach funduszy własnych skutki przepisów przejściowych;</w:t>
      </w:r>
    </w:p>
    <w:p w14:paraId="1953B9FF" w14:textId="77777777" w:rsidR="00915077" w:rsidRPr="00E26EF6" w:rsidRDefault="00125707">
      <w:pPr>
        <w:pStyle w:val="InstructionsText2"/>
        <w:numPr>
          <w:ilvl w:val="0"/>
          <w:numId w:val="0"/>
        </w:numPr>
        <w:ind w:left="993"/>
      </w:pPr>
      <w:r w:rsidRPr="00E26EF6">
        <w:lastRenderedPageBreak/>
        <w:t>b</w:t>
      </w:r>
      <w:proofErr w:type="gramStart"/>
      <w:r w:rsidRPr="00E26EF6">
        <w:t>)</w:t>
      </w:r>
      <w:r w:rsidRPr="00E26EF6">
        <w:tab/>
      </w:r>
      <w:r w:rsidRPr="00E26EF6">
        <w:rPr>
          <w:u w:val="single"/>
        </w:rPr>
        <w:t>wzór</w:t>
      </w:r>
      <w:proofErr w:type="gramEnd"/>
      <w:r w:rsidRPr="00E26EF6">
        <w:rPr>
          <w:u w:val="single"/>
        </w:rPr>
        <w:t xml:space="preserve"> 5.2</w:t>
      </w:r>
      <w:r w:rsidRPr="00E26EF6">
        <w:t xml:space="preserve"> </w:t>
      </w:r>
      <w:proofErr w:type="gramStart"/>
      <w:r w:rsidRPr="00E26EF6">
        <w:t>zawiera</w:t>
      </w:r>
      <w:proofErr w:type="gramEnd"/>
      <w:r w:rsidRPr="00E26EF6">
        <w:t xml:space="preserve"> dalsze szczegóły dotyczące obliczania tych instrumentów podlegających zasadzie praw nabytych, które nie stanowią pomocy państwa. </w:t>
      </w:r>
    </w:p>
    <w:p w14:paraId="3C132050" w14:textId="63489908" w:rsidR="00915077" w:rsidRPr="00E26EF6" w:rsidRDefault="00125707">
      <w:pPr>
        <w:pStyle w:val="InstructionsText2"/>
        <w:numPr>
          <w:ilvl w:val="0"/>
          <w:numId w:val="0"/>
        </w:numPr>
        <w:ind w:left="993"/>
      </w:pPr>
      <w:r w:rsidRPr="00E26EF6">
        <w:t>17.</w:t>
      </w:r>
      <w:r w:rsidRPr="00E26EF6">
        <w:tab/>
        <w:t>Instytucje zgłaszają</w:t>
      </w:r>
      <w:r w:rsidR="00E26EF6" w:rsidRPr="00E26EF6">
        <w:t xml:space="preserve"> w pie</w:t>
      </w:r>
      <w:r w:rsidRPr="00E26EF6">
        <w:t>rwszych czterech kolumnach korekty kapitału podstawowego Tier I, kapitału dodatkowego Tier I</w:t>
      </w:r>
      <w:r w:rsidR="00E26EF6" w:rsidRPr="00E26EF6">
        <w:t xml:space="preserve"> i kap</w:t>
      </w:r>
      <w:r w:rsidRPr="00E26EF6">
        <w:t>itału Tier II,</w:t>
      </w:r>
      <w:r w:rsidR="00E26EF6" w:rsidRPr="00E26EF6">
        <w:t xml:space="preserve"> a tak</w:t>
      </w:r>
      <w:r w:rsidRPr="00E26EF6">
        <w:t>że kwotę, którą należy traktować jako aktywa ważone ryzykiem. Instytucje są również zobowiązane do zgłaszania</w:t>
      </w:r>
      <w:r w:rsidR="00E26EF6" w:rsidRPr="00E26EF6">
        <w:t xml:space="preserve"> w kol</w:t>
      </w:r>
      <w:r w:rsidRPr="00E26EF6">
        <w:t>umnie 050 mającej zastosowanie wartości procentowej,</w:t>
      </w:r>
      <w:r w:rsidR="00E26EF6" w:rsidRPr="00E26EF6">
        <w:t xml:space="preserve"> a w kol</w:t>
      </w:r>
      <w:r w:rsidRPr="00E26EF6">
        <w:t>umnie 060 uznanej kwoty bez uwzględnienia przepisów przejściowych.</w:t>
      </w:r>
    </w:p>
    <w:p w14:paraId="44CB6B23" w14:textId="7BEBED2C" w:rsidR="00915077" w:rsidRPr="00E26EF6" w:rsidRDefault="00125707">
      <w:pPr>
        <w:pStyle w:val="InstructionsText2"/>
        <w:numPr>
          <w:ilvl w:val="0"/>
          <w:numId w:val="0"/>
        </w:numPr>
        <w:ind w:left="993"/>
      </w:pPr>
      <w:r w:rsidRPr="00E26EF6">
        <w:t>18.</w:t>
      </w:r>
      <w:r w:rsidRPr="00E26EF6">
        <w:tab/>
        <w:t>Instytucje zgłaszają elementy w CA5 wyłącznie</w:t>
      </w:r>
      <w:r w:rsidR="00E26EF6" w:rsidRPr="00E26EF6">
        <w:t xml:space="preserve"> w okr</w:t>
      </w:r>
      <w:r w:rsidRPr="00E26EF6">
        <w:t>esie,</w:t>
      </w:r>
      <w:r w:rsidR="00E26EF6" w:rsidRPr="00E26EF6">
        <w:t xml:space="preserve"> w któ</w:t>
      </w:r>
      <w:r w:rsidRPr="00E26EF6">
        <w:t>rym zastosowanie mają przepisy przejściowe określone</w:t>
      </w:r>
      <w:r w:rsidR="00E26EF6" w:rsidRPr="00E26EF6">
        <w:t xml:space="preserve"> w czę</w:t>
      </w:r>
      <w:r w:rsidRPr="00E26EF6">
        <w:t>ści dziesiątej CRR.</w:t>
      </w:r>
    </w:p>
    <w:p w14:paraId="4ADA01E5" w14:textId="7FB42B15" w:rsidR="00915077" w:rsidRPr="00E26EF6" w:rsidRDefault="00125707">
      <w:pPr>
        <w:pStyle w:val="InstructionsText2"/>
        <w:numPr>
          <w:ilvl w:val="0"/>
          <w:numId w:val="0"/>
        </w:numPr>
        <w:ind w:left="993"/>
      </w:pPr>
      <w:r w:rsidRPr="00E26EF6">
        <w:t>19.</w:t>
      </w:r>
      <w:r w:rsidRPr="00E26EF6">
        <w:tab/>
        <w:t>Niektóre przepisy przejściowe zobowiązują do odliczeń od kapitału Tier I</w:t>
      </w:r>
      <w:r w:rsidR="00E26EF6" w:rsidRPr="00E26EF6">
        <w:t>. W tak</w:t>
      </w:r>
      <w:r w:rsidRPr="00E26EF6">
        <w:t>im przypadku kwota rezydualna odliczenia lub odliczeń stosuje się do kapitału Tier I,</w:t>
      </w:r>
      <w:r w:rsidR="00E26EF6" w:rsidRPr="00E26EF6">
        <w:t xml:space="preserve"> a jeż</w:t>
      </w:r>
      <w:r w:rsidRPr="00E26EF6">
        <w:t>eli kapitał dodatkowy Tier I jest niewystarczający do absorpcji tej kwoty, wówczas nadwyżkę odlicza się od kapitału podstawowego Tier I.</w:t>
      </w:r>
    </w:p>
    <w:p w14:paraId="2887826A"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9" w:name="_Toc31014317"/>
      <w:r w:rsidRPr="00E26EF6">
        <w:rPr>
          <w:rFonts w:ascii="Times New Roman" w:hAnsi="Times New Roman"/>
          <w:sz w:val="24"/>
          <w:u w:val="none"/>
        </w:rPr>
        <w:t>1.6.2.</w:t>
      </w:r>
      <w:r w:rsidRPr="00E26EF6">
        <w:rPr>
          <w:rFonts w:ascii="Times New Roman" w:hAnsi="Times New Roman"/>
          <w:sz w:val="24"/>
          <w:u w:val="none"/>
        </w:rPr>
        <w:tab/>
      </w:r>
      <w:r w:rsidRPr="00E26EF6">
        <w:rPr>
          <w:rFonts w:ascii="Times New Roman" w:hAnsi="Times New Roman"/>
          <w:sz w:val="24"/>
        </w:rPr>
        <w:t>C 05.01 – PRZEPISY PRZEJŚCIOWE (CA5.1)</w:t>
      </w:r>
      <w:bookmarkEnd w:id="19"/>
      <w:r w:rsidRPr="00E26EF6">
        <w:rPr>
          <w:rFonts w:ascii="Times New Roman" w:hAnsi="Times New Roman"/>
          <w:sz w:val="24"/>
        </w:rPr>
        <w:t xml:space="preserve"> </w:t>
      </w:r>
    </w:p>
    <w:p w14:paraId="71A2D646" w14:textId="3CF01BED" w:rsidR="00915077" w:rsidRPr="00E26EF6" w:rsidRDefault="00125707">
      <w:pPr>
        <w:pStyle w:val="InstructionsText2"/>
        <w:numPr>
          <w:ilvl w:val="0"/>
          <w:numId w:val="0"/>
        </w:numPr>
        <w:ind w:left="993"/>
      </w:pPr>
      <w:r w:rsidRPr="00E26EF6">
        <w:t>20.</w:t>
      </w:r>
      <w:r w:rsidRPr="00E26EF6">
        <w:tab/>
        <w:t>Instytucje zgłaszają we wzorze CA5.1 przepisy przejściowe dotyczące składników funduszy własnych zgodnie</w:t>
      </w:r>
      <w:r w:rsidR="00E26EF6" w:rsidRPr="00E26EF6">
        <w:t xml:space="preserve"> z art</w:t>
      </w:r>
      <w:r w:rsidRPr="00E26EF6">
        <w:t>.</w:t>
      </w:r>
      <w:r w:rsidR="00023409" w:rsidRPr="00E26EF6">
        <w:t> </w:t>
      </w:r>
      <w:r w:rsidRPr="00E26EF6">
        <w:t>465–491 CRR</w:t>
      </w:r>
      <w:r w:rsidR="00E26EF6" w:rsidRPr="00E26EF6">
        <w:t xml:space="preserve"> w por</w:t>
      </w:r>
      <w:r w:rsidRPr="00E26EF6">
        <w:t>ównaniu ze stosowaniem przepisów końcowych określonych</w:t>
      </w:r>
      <w:r w:rsidR="00E26EF6" w:rsidRPr="00E26EF6">
        <w:t xml:space="preserve"> w czę</w:t>
      </w:r>
      <w:r w:rsidRPr="00E26EF6">
        <w:t xml:space="preserve">ści drugiej tytuł II CRR. </w:t>
      </w:r>
    </w:p>
    <w:p w14:paraId="0F033D5C" w14:textId="75C93B9A" w:rsidR="00915077" w:rsidRPr="00E26EF6" w:rsidRDefault="00125707">
      <w:pPr>
        <w:pStyle w:val="InstructionsText2"/>
        <w:numPr>
          <w:ilvl w:val="0"/>
          <w:numId w:val="0"/>
        </w:numPr>
        <w:ind w:left="993"/>
      </w:pPr>
      <w:r w:rsidRPr="00E26EF6">
        <w:t>21.</w:t>
      </w:r>
      <w:r w:rsidRPr="00E26EF6">
        <w:tab/>
        <w:t>Instytucje zgłaszają</w:t>
      </w:r>
      <w:r w:rsidR="00E26EF6" w:rsidRPr="00E26EF6">
        <w:t xml:space="preserve"> w wie</w:t>
      </w:r>
      <w:r w:rsidRPr="00E26EF6">
        <w:t>rszach 020–060 informacje na temat przepisów przejściowych dotyczących instrumentów podlegających zasadzie praw nabytych. Dane liczbowe, które należy zgłosić</w:t>
      </w:r>
      <w:r w:rsidR="00E26EF6" w:rsidRPr="00E26EF6">
        <w:t xml:space="preserve"> w kol</w:t>
      </w:r>
      <w:r w:rsidRPr="00E26EF6">
        <w:t>umnach 010–030</w:t>
      </w:r>
      <w:r w:rsidR="00E26EF6" w:rsidRPr="00E26EF6">
        <w:t xml:space="preserve"> w wie</w:t>
      </w:r>
      <w:r w:rsidRPr="00E26EF6">
        <w:t>rszu 060 w CA5.1, można uzyskać na podstawie odpowiednich sekcji CA5.2.</w:t>
      </w:r>
    </w:p>
    <w:p w14:paraId="0A55A4B4" w14:textId="06AB10DF" w:rsidR="00915077" w:rsidRPr="00E26EF6" w:rsidRDefault="00125707">
      <w:pPr>
        <w:pStyle w:val="InstructionsText2"/>
        <w:numPr>
          <w:ilvl w:val="0"/>
          <w:numId w:val="0"/>
        </w:numPr>
        <w:ind w:left="993"/>
      </w:pPr>
      <w:r w:rsidRPr="00E26EF6">
        <w:t>22.</w:t>
      </w:r>
      <w:r w:rsidRPr="00E26EF6">
        <w:tab/>
        <w:t>W wierszach 070–092 instytucje zgłaszają informacje na temat przepisów przejściowych dotyczących udziałów mniejszości</w:t>
      </w:r>
      <w:r w:rsidR="00E26EF6" w:rsidRPr="00E26EF6">
        <w:t xml:space="preserve"> i ins</w:t>
      </w:r>
      <w:r w:rsidRPr="00E26EF6">
        <w:t>trumentów dodatkowych</w:t>
      </w:r>
      <w:r w:rsidR="00E26EF6" w:rsidRPr="00E26EF6">
        <w:t xml:space="preserve"> w kap</w:t>
      </w:r>
      <w:r w:rsidRPr="00E26EF6">
        <w:t>itale Tier I</w:t>
      </w:r>
      <w:r w:rsidR="00E26EF6" w:rsidRPr="00E26EF6">
        <w:t xml:space="preserve"> i Tie</w:t>
      </w:r>
      <w:r w:rsidRPr="00E26EF6">
        <w:t>r II wyemitowanych przez jednostki zależne (zgodnie</w:t>
      </w:r>
      <w:r w:rsidR="00E26EF6" w:rsidRPr="00E26EF6">
        <w:t xml:space="preserve"> z art</w:t>
      </w:r>
      <w:r w:rsidRPr="00E26EF6">
        <w:t>.</w:t>
      </w:r>
      <w:r w:rsidR="00023409" w:rsidRPr="00E26EF6">
        <w:t> </w:t>
      </w:r>
      <w:r w:rsidRPr="00E26EF6">
        <w:t>479</w:t>
      </w:r>
      <w:r w:rsidR="00E26EF6" w:rsidRPr="00E26EF6">
        <w:t xml:space="preserve"> i 4</w:t>
      </w:r>
      <w:r w:rsidRPr="00E26EF6">
        <w:t>80 CRR).</w:t>
      </w:r>
    </w:p>
    <w:p w14:paraId="129C3C4D" w14:textId="4A3CC07E" w:rsidR="00915077" w:rsidRPr="00E26EF6" w:rsidRDefault="00125707">
      <w:pPr>
        <w:pStyle w:val="InstructionsText2"/>
        <w:numPr>
          <w:ilvl w:val="0"/>
          <w:numId w:val="0"/>
        </w:numPr>
        <w:ind w:left="993"/>
      </w:pPr>
      <w:r w:rsidRPr="00E26EF6">
        <w:t>23.</w:t>
      </w:r>
      <w:r w:rsidRPr="00E26EF6">
        <w:tab/>
        <w:t>W wierszu 100</w:t>
      </w:r>
      <w:r w:rsidR="00E26EF6" w:rsidRPr="00E26EF6">
        <w:t xml:space="preserve"> i w dal</w:t>
      </w:r>
      <w:r w:rsidRPr="00E26EF6">
        <w:t>szych wierszach instytucje zgłaszają informacje odnoszące się do przepisów przejściowych dotyczących niezrealizowanych zysków</w:t>
      </w:r>
      <w:r w:rsidR="00E26EF6" w:rsidRPr="00E26EF6">
        <w:t xml:space="preserve"> i str</w:t>
      </w:r>
      <w:r w:rsidRPr="00E26EF6">
        <w:t>at, odliczeń, jak również dodatkowych filtrów</w:t>
      </w:r>
      <w:r w:rsidR="00E26EF6" w:rsidRPr="00E26EF6">
        <w:t xml:space="preserve"> i odl</w:t>
      </w:r>
      <w:r w:rsidRPr="00E26EF6">
        <w:t>iczeń.</w:t>
      </w:r>
    </w:p>
    <w:p w14:paraId="0EC1FE36" w14:textId="2320F710" w:rsidR="00915077" w:rsidRPr="00E26EF6" w:rsidRDefault="00125707">
      <w:pPr>
        <w:pStyle w:val="InstructionsText2"/>
        <w:numPr>
          <w:ilvl w:val="0"/>
          <w:numId w:val="0"/>
        </w:numPr>
        <w:ind w:left="993"/>
      </w:pPr>
      <w:r w:rsidRPr="00E26EF6">
        <w:t>24.</w:t>
      </w:r>
      <w:r w:rsidRPr="00E26EF6">
        <w:tab/>
        <w:t>Może się zdarzyć, że odliczenia od kapitału podstawowego Tier I, kapitału dodatkowego Tier I lub kapitału Tier II wynikające</w:t>
      </w:r>
      <w:r w:rsidR="00E26EF6" w:rsidRPr="00E26EF6">
        <w:t xml:space="preserve"> z prz</w:t>
      </w:r>
      <w:r w:rsidRPr="00E26EF6">
        <w:t>episów przejściowych przekraczają kapitał podstawowy Tier I, kapitał dodatkowy Tier I lub kapitał Tier II instytucji. Taki skutek – jeżeli wynika</w:t>
      </w:r>
      <w:r w:rsidR="00E26EF6" w:rsidRPr="00E26EF6">
        <w:t xml:space="preserve"> z prz</w:t>
      </w:r>
      <w:r w:rsidRPr="00E26EF6">
        <w:t>episów przejściowych – zgłasza się we wzorze CA1, wykorzystując odpowiednie komórki</w:t>
      </w:r>
      <w:r w:rsidR="00E26EF6" w:rsidRPr="00E26EF6">
        <w:t>. W kon</w:t>
      </w:r>
      <w:r w:rsidRPr="00E26EF6">
        <w:t>sekwencji korekty</w:t>
      </w:r>
      <w:r w:rsidR="00E26EF6" w:rsidRPr="00E26EF6">
        <w:t xml:space="preserve"> w kol</w:t>
      </w:r>
      <w:r w:rsidRPr="00E26EF6">
        <w:t>umnach wzoru CA5 nie obejmują żadnych efektów zewnętrznych</w:t>
      </w:r>
      <w:r w:rsidR="00E26EF6" w:rsidRPr="00E26EF6">
        <w:t xml:space="preserve"> w prz</w:t>
      </w:r>
      <w:r w:rsidRPr="00E26EF6">
        <w:t xml:space="preserve">ypadku niewystarczającego dostępnego kapitału. </w:t>
      </w:r>
    </w:p>
    <w:p w14:paraId="434225D9"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20" w:name="_Toc31014318"/>
      <w:r w:rsidRPr="00E26EF6">
        <w:rPr>
          <w:rFonts w:ascii="Times New Roman" w:hAnsi="Times New Roman"/>
          <w:sz w:val="24"/>
          <w:u w:val="none"/>
        </w:rPr>
        <w:t>1.6.2.1.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20"/>
    </w:p>
    <w:p w14:paraId="5BB2D391" w14:textId="77777777" w:rsidR="00915077" w:rsidRPr="00E26EF6" w:rsidRDefault="00915077">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915077" w:rsidRPr="00E26EF6" w14:paraId="0C2D193D" w14:textId="77777777" w:rsidTr="00672D2A">
        <w:tc>
          <w:tcPr>
            <w:tcW w:w="8372" w:type="dxa"/>
            <w:gridSpan w:val="2"/>
            <w:shd w:val="clear" w:color="auto" w:fill="D9D9D9"/>
          </w:tcPr>
          <w:p w14:paraId="766B446E" w14:textId="77777777" w:rsidR="00915077" w:rsidRPr="00E26EF6" w:rsidRDefault="002648B0">
            <w:pPr>
              <w:pStyle w:val="InstructionsText"/>
              <w:rPr>
                <w:highlight w:val="lightGray"/>
              </w:rPr>
            </w:pPr>
            <w:r w:rsidRPr="00E26EF6">
              <w:t>Kolumny</w:t>
            </w:r>
          </w:p>
        </w:tc>
      </w:tr>
      <w:tr w:rsidR="00915077" w:rsidRPr="00E26EF6" w14:paraId="085C8845" w14:textId="77777777" w:rsidTr="00672D2A">
        <w:tc>
          <w:tcPr>
            <w:tcW w:w="894" w:type="dxa"/>
          </w:tcPr>
          <w:p w14:paraId="392DF494"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010</w:t>
            </w:r>
          </w:p>
        </w:tc>
        <w:tc>
          <w:tcPr>
            <w:tcW w:w="7478" w:type="dxa"/>
          </w:tcPr>
          <w:p w14:paraId="330CAD2E" w14:textId="210214F5" w:rsidR="00915077" w:rsidRPr="00E26EF6" w:rsidRDefault="002648B0">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Korekty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tc>
      </w:tr>
      <w:tr w:rsidR="00915077" w:rsidRPr="00E26EF6" w14:paraId="3AC96FFE" w14:textId="77777777" w:rsidTr="00672D2A">
        <w:tc>
          <w:tcPr>
            <w:tcW w:w="894" w:type="dxa"/>
          </w:tcPr>
          <w:p w14:paraId="60E46846"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020</w:t>
            </w:r>
          </w:p>
        </w:tc>
        <w:tc>
          <w:tcPr>
            <w:tcW w:w="7478" w:type="dxa"/>
          </w:tcPr>
          <w:p w14:paraId="358141E3" w14:textId="6ABD3981" w:rsidR="00915077" w:rsidRPr="00E26EF6" w:rsidRDefault="002648B0">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Korekty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tc>
      </w:tr>
      <w:tr w:rsidR="00915077" w:rsidRPr="00E26EF6" w14:paraId="3BB84582" w14:textId="77777777" w:rsidTr="00672D2A">
        <w:tc>
          <w:tcPr>
            <w:tcW w:w="894" w:type="dxa"/>
          </w:tcPr>
          <w:p w14:paraId="5CDA2489"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030</w:t>
            </w:r>
          </w:p>
        </w:tc>
        <w:tc>
          <w:tcPr>
            <w:tcW w:w="7478" w:type="dxa"/>
          </w:tcPr>
          <w:p w14:paraId="37B87DA0" w14:textId="271FEB8D" w:rsidR="00915077" w:rsidRPr="00E26EF6" w:rsidRDefault="002648B0">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Korekty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tc>
      </w:tr>
      <w:tr w:rsidR="00915077" w:rsidRPr="00E26EF6" w14:paraId="581D9501" w14:textId="77777777" w:rsidTr="00672D2A">
        <w:tc>
          <w:tcPr>
            <w:tcW w:w="894" w:type="dxa"/>
          </w:tcPr>
          <w:p w14:paraId="274F52A9"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040</w:t>
            </w:r>
          </w:p>
        </w:tc>
        <w:tc>
          <w:tcPr>
            <w:tcW w:w="7478" w:type="dxa"/>
          </w:tcPr>
          <w:p w14:paraId="2922ED58" w14:textId="4399734A"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Korekty uwzględnione</w:t>
            </w:r>
            <w:r w:rsidR="00E26EF6" w:rsidRPr="00E26EF6">
              <w:rPr>
                <w:rStyle w:val="InstructionsTabelleberschrift"/>
                <w:rFonts w:ascii="Times New Roman" w:hAnsi="Times New Roman"/>
                <w:sz w:val="24"/>
              </w:rPr>
              <w:t xml:space="preserve"> w akt</w:t>
            </w:r>
            <w:r w:rsidRPr="00E26EF6">
              <w:rPr>
                <w:rStyle w:val="InstructionsTabelleberschrift"/>
                <w:rFonts w:ascii="Times New Roman" w:hAnsi="Times New Roman"/>
                <w:sz w:val="24"/>
              </w:rPr>
              <w:t>ywach ważonych ryzykiem</w:t>
            </w:r>
          </w:p>
          <w:p w14:paraId="3BF81B8A" w14:textId="3EB499FB"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Kolumna 040 zawiera odpowiednie kwoty stanowiące korektę łącznej kwoty ekspozycji na ryzyko,</w:t>
            </w:r>
            <w:r w:rsidR="00E26EF6" w:rsidRPr="00E26EF6">
              <w:rPr>
                <w:rStyle w:val="InstructionsTabelleText"/>
                <w:rFonts w:ascii="Times New Roman" w:hAnsi="Times New Roman"/>
                <w:sz w:val="24"/>
              </w:rPr>
              <w:t xml:space="preserve"> o któ</w:t>
            </w:r>
            <w:r w:rsidRPr="00E26EF6">
              <w:rPr>
                <w:rStyle w:val="InstructionsTabelleText"/>
                <w:rFonts w:ascii="Times New Roman" w:hAnsi="Times New Roman"/>
                <w:sz w:val="24"/>
              </w:rPr>
              <w:t>rej mowa</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92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w:t>
            </w:r>
            <w:r w:rsidR="00E26EF6" w:rsidRPr="00E26EF6">
              <w:rPr>
                <w:rStyle w:val="InstructionsTabelleText"/>
                <w:rFonts w:ascii="Times New Roman" w:hAnsi="Times New Roman"/>
                <w:sz w:val="24"/>
              </w:rPr>
              <w:t xml:space="preserve"> w wyn</w:t>
            </w:r>
            <w:r w:rsidRPr="00E26EF6">
              <w:rPr>
                <w:rStyle w:val="InstructionsTabelleText"/>
                <w:rFonts w:ascii="Times New Roman" w:hAnsi="Times New Roman"/>
                <w:sz w:val="24"/>
              </w:rPr>
              <w:t>iku zastosowania przepisów przejściowych. Zgłoszone kwoty uwzględniają zastosowanie przepisów części trzeciej tytuł II rozdział 2 lub</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lub części trzeciej tytuł IV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92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CRR. Oznacza to, że kwoty przejściowe podlegające przepisom części trzeciej tytuł II rozdział 2 lub</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zgłasza się jako kwoty ekspozycji ważonej ryzykiem, natomiast kwoty przejściowe podlegające przepisom części trzeciej tytuł IV muszą odpowiadać wymogom</w:t>
            </w:r>
            <w:r w:rsidR="00E26EF6" w:rsidRPr="00E26EF6">
              <w:rPr>
                <w:rStyle w:val="InstructionsTabelleText"/>
                <w:rFonts w:ascii="Times New Roman" w:hAnsi="Times New Roman"/>
                <w:sz w:val="24"/>
              </w:rPr>
              <w:t xml:space="preserve"> w zak</w:t>
            </w:r>
            <w:r w:rsidRPr="00E26EF6">
              <w:rPr>
                <w:rStyle w:val="InstructionsTabelleText"/>
                <w:rFonts w:ascii="Times New Roman" w:hAnsi="Times New Roman"/>
                <w:sz w:val="24"/>
              </w:rPr>
              <w:t>resie funduszy własnych pomnożonym przez 12,5.</w:t>
            </w:r>
          </w:p>
          <w:p w14:paraId="38455D6B" w14:textId="0C84A8EE" w:rsidR="00915077" w:rsidRPr="00E26EF6" w:rsidRDefault="00B4177D">
            <w:pPr>
              <w:pStyle w:val="InstructionsText"/>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t>Chociaż kolumny 010–030 są bezpośrednio związane ze wzorem CA1, korekty</w:t>
            </w:r>
            <w:r w:rsidR="00E26EF6" w:rsidRPr="00E26EF6">
              <w:rPr>
                <w:rStyle w:val="InstructionsTabelleText"/>
                <w:rFonts w:ascii="Times New Roman" w:hAnsi="Times New Roman"/>
                <w:sz w:val="24"/>
              </w:rPr>
              <w:t xml:space="preserve"> w łąc</w:t>
            </w:r>
            <w:r w:rsidRPr="00E26EF6">
              <w:rPr>
                <w:rStyle w:val="InstructionsTabelleText"/>
                <w:rFonts w:ascii="Times New Roman" w:hAnsi="Times New Roman"/>
                <w:sz w:val="24"/>
              </w:rPr>
              <w:t>znej kwocie ekspozycji na ryzyko nie są bezpośrednio powiązane</w:t>
            </w:r>
            <w:r w:rsidR="00E26EF6" w:rsidRPr="00E26EF6">
              <w:rPr>
                <w:rStyle w:val="InstructionsTabelleText"/>
                <w:rFonts w:ascii="Times New Roman" w:hAnsi="Times New Roman"/>
                <w:sz w:val="24"/>
              </w:rPr>
              <w:t xml:space="preserve"> z odp</w:t>
            </w:r>
            <w:r w:rsidRPr="00E26EF6">
              <w:rPr>
                <w:rStyle w:val="InstructionsTabelleText"/>
                <w:rFonts w:ascii="Times New Roman" w:hAnsi="Times New Roman"/>
                <w:sz w:val="24"/>
              </w:rPr>
              <w:t>owiednimi wzorami dotyczącymi ryzyka kredytowego. Jeżeli istnieją korekty</w:t>
            </w:r>
            <w:r w:rsidR="00E26EF6" w:rsidRPr="00E26EF6">
              <w:rPr>
                <w:rStyle w:val="InstructionsTabelleText"/>
                <w:rFonts w:ascii="Times New Roman" w:hAnsi="Times New Roman"/>
                <w:sz w:val="24"/>
              </w:rPr>
              <w:t xml:space="preserve"> w łąc</w:t>
            </w:r>
            <w:r w:rsidRPr="00E26EF6">
              <w:rPr>
                <w:rStyle w:val="InstructionsTabelleText"/>
                <w:rFonts w:ascii="Times New Roman" w:hAnsi="Times New Roman"/>
                <w:sz w:val="24"/>
              </w:rPr>
              <w:t>znej kwocie ekspozycji na ryzyko wynikające</w:t>
            </w:r>
            <w:r w:rsidR="00E26EF6" w:rsidRPr="00E26EF6">
              <w:rPr>
                <w:rStyle w:val="InstructionsTabelleText"/>
                <w:rFonts w:ascii="Times New Roman" w:hAnsi="Times New Roman"/>
                <w:sz w:val="24"/>
              </w:rPr>
              <w:t xml:space="preserve"> z prz</w:t>
            </w:r>
            <w:r w:rsidRPr="00E26EF6">
              <w:rPr>
                <w:rStyle w:val="InstructionsTabelleText"/>
                <w:rFonts w:ascii="Times New Roman" w:hAnsi="Times New Roman"/>
                <w:sz w:val="24"/>
              </w:rPr>
              <w:t>episów przejściowych, korekty te ujmuje się bezpośrednio we wzorach CR SA, CR IRB, CR EQU IRB, MKR SA TDI, MKR SA EQU lub MKR IM. Dodatkowo skutki te zgłasza się</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040 wzoru CA5.1</w:t>
            </w:r>
            <w:r w:rsidR="00E26EF6" w:rsidRPr="00E26EF6">
              <w:rPr>
                <w:rStyle w:val="InstructionsTabelleText"/>
                <w:rFonts w:ascii="Times New Roman" w:hAnsi="Times New Roman"/>
                <w:sz w:val="24"/>
              </w:rPr>
              <w:t>. W kon</w:t>
            </w:r>
            <w:r w:rsidRPr="00E26EF6">
              <w:rPr>
                <w:rStyle w:val="InstructionsTabelleText"/>
                <w:rFonts w:ascii="Times New Roman" w:hAnsi="Times New Roman"/>
                <w:sz w:val="24"/>
              </w:rPr>
              <w:t xml:space="preserve">sekwencji kwoty te są jedynie pozycjami uzupełniającymi. </w:t>
            </w:r>
          </w:p>
        </w:tc>
      </w:tr>
      <w:tr w:rsidR="00915077" w:rsidRPr="00E26EF6" w14:paraId="6496D8B8" w14:textId="77777777" w:rsidTr="00672D2A">
        <w:tc>
          <w:tcPr>
            <w:tcW w:w="894" w:type="dxa"/>
          </w:tcPr>
          <w:p w14:paraId="01EA3DFB"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050</w:t>
            </w:r>
          </w:p>
        </w:tc>
        <w:tc>
          <w:tcPr>
            <w:tcW w:w="7478" w:type="dxa"/>
          </w:tcPr>
          <w:p w14:paraId="125867E8" w14:textId="77777777" w:rsidR="00915077" w:rsidRPr="00E26EF6" w:rsidRDefault="002648B0">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Mająca zastosowanie wartość procentowa</w:t>
            </w:r>
          </w:p>
        </w:tc>
      </w:tr>
      <w:tr w:rsidR="00915077" w:rsidRPr="00E26EF6" w14:paraId="5A52EFF5" w14:textId="77777777" w:rsidTr="00672D2A">
        <w:tc>
          <w:tcPr>
            <w:tcW w:w="894" w:type="dxa"/>
          </w:tcPr>
          <w:p w14:paraId="0A04E67C"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060</w:t>
            </w:r>
          </w:p>
        </w:tc>
        <w:tc>
          <w:tcPr>
            <w:tcW w:w="7478" w:type="dxa"/>
          </w:tcPr>
          <w:p w14:paraId="790ADC24" w14:textId="77777777"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Uznana kwota nieobjęta przepisami przejściowymi</w:t>
            </w:r>
          </w:p>
          <w:p w14:paraId="30AC3AA7" w14:textId="1CC15994"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Kolumna 060 obejmuje kwotę każdego instrumentu przed zastosowaniem przepisów przejściowych, tj. kwota bazowa mająca znaczenie dla obliczenia korekt.</w:t>
            </w:r>
          </w:p>
        </w:tc>
      </w:tr>
    </w:tbl>
    <w:p w14:paraId="3ACC7B4C" w14:textId="77777777" w:rsidR="00915077" w:rsidRPr="00E26EF6" w:rsidRDefault="00915077">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915077" w:rsidRPr="00E26EF6" w14:paraId="7044E13E" w14:textId="77777777" w:rsidTr="00672D2A">
        <w:tc>
          <w:tcPr>
            <w:tcW w:w="8490" w:type="dxa"/>
            <w:gridSpan w:val="2"/>
            <w:shd w:val="clear" w:color="auto" w:fill="D9D9D9"/>
          </w:tcPr>
          <w:p w14:paraId="51A2DEA9" w14:textId="77777777" w:rsidR="00915077" w:rsidRPr="00E26EF6" w:rsidRDefault="002648B0">
            <w:pPr>
              <w:pStyle w:val="InstructionsText"/>
              <w:rPr>
                <w:highlight w:val="lightGray"/>
              </w:rPr>
            </w:pPr>
            <w:r w:rsidRPr="00E26EF6">
              <w:t>Wiersze</w:t>
            </w:r>
          </w:p>
        </w:tc>
      </w:tr>
      <w:tr w:rsidR="00915077" w:rsidRPr="00E26EF6" w14:paraId="64C5A293" w14:textId="77777777" w:rsidTr="00672D2A">
        <w:tc>
          <w:tcPr>
            <w:tcW w:w="1012" w:type="dxa"/>
          </w:tcPr>
          <w:p w14:paraId="1D81FE4A"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010</w:t>
            </w:r>
          </w:p>
        </w:tc>
        <w:tc>
          <w:tcPr>
            <w:tcW w:w="7478" w:type="dxa"/>
          </w:tcPr>
          <w:p w14:paraId="1F050C9D" w14:textId="77777777" w:rsidR="00915077" w:rsidRPr="00E26EF6" w:rsidRDefault="00C66473">
            <w:pPr>
              <w:pStyle w:val="InstructionsText"/>
              <w:rPr>
                <w:rStyle w:val="FormatvorlageInstructionsTabelleText"/>
                <w:rFonts w:ascii="Times New Roman" w:hAnsi="Times New Roman"/>
                <w:b/>
                <w:sz w:val="24"/>
                <w:u w:val="single"/>
              </w:rPr>
            </w:pPr>
            <w:r w:rsidRPr="00E26EF6">
              <w:rPr>
                <w:rStyle w:val="InstructionsTabelleberschrift"/>
                <w:rFonts w:ascii="Times New Roman" w:hAnsi="Times New Roman"/>
                <w:sz w:val="24"/>
              </w:rPr>
              <w:t>1.</w:t>
            </w:r>
            <w:r w:rsidRPr="00E26EF6">
              <w:rPr>
                <w:rStyle w:val="InstructionsTabelleberschrift"/>
                <w:rFonts w:ascii="Times New Roman" w:hAnsi="Times New Roman"/>
                <w:sz w:val="24"/>
              </w:rPr>
              <w:tab/>
              <w:t>Korekty razem</w:t>
            </w:r>
          </w:p>
          <w:p w14:paraId="1FC1B190" w14:textId="761F12F8" w:rsidR="00915077" w:rsidRPr="00E26EF6" w:rsidRDefault="002648B0">
            <w:pPr>
              <w:spacing w:before="0"/>
              <w:rPr>
                <w:rStyle w:val="FormatvorlageInstructionsTabelleText"/>
                <w:rFonts w:ascii="Times New Roman" w:hAnsi="Times New Roman"/>
                <w:bCs w:val="0"/>
                <w:sz w:val="24"/>
                <w:highlight w:val="lightGray"/>
              </w:rPr>
            </w:pPr>
            <w:r w:rsidRPr="00E26EF6">
              <w:rPr>
                <w:rStyle w:val="InstructionsTabelleText"/>
                <w:rFonts w:ascii="Times New Roman" w:hAnsi="Times New Roman"/>
                <w:sz w:val="24"/>
              </w:rPr>
              <w:t>Wiersz ten odzwierciedla ogólny skutek korekt różnych rodzajów kapitału</w:t>
            </w:r>
            <w:r w:rsidR="00E26EF6" w:rsidRPr="00E26EF6">
              <w:rPr>
                <w:rStyle w:val="InstructionsTabelleText"/>
                <w:rFonts w:ascii="Times New Roman" w:hAnsi="Times New Roman"/>
                <w:sz w:val="24"/>
              </w:rPr>
              <w:t xml:space="preserve"> w okr</w:t>
            </w:r>
            <w:r w:rsidRPr="00E26EF6">
              <w:rPr>
                <w:rStyle w:val="InstructionsTabelleText"/>
                <w:rFonts w:ascii="Times New Roman" w:hAnsi="Times New Roman"/>
                <w:sz w:val="24"/>
              </w:rPr>
              <w:t>esie przejściowym oraz kwoty ważone ryzykiem wynikające</w:t>
            </w:r>
            <w:r w:rsidR="00E26EF6" w:rsidRPr="00E26EF6">
              <w:rPr>
                <w:rStyle w:val="InstructionsTabelleText"/>
                <w:rFonts w:ascii="Times New Roman" w:hAnsi="Times New Roman"/>
                <w:sz w:val="24"/>
              </w:rPr>
              <w:t xml:space="preserve"> z tyc</w:t>
            </w:r>
            <w:r w:rsidRPr="00E26EF6">
              <w:rPr>
                <w:rStyle w:val="InstructionsTabelleText"/>
                <w:rFonts w:ascii="Times New Roman" w:hAnsi="Times New Roman"/>
                <w:sz w:val="24"/>
              </w:rPr>
              <w:t>h korekt</w:t>
            </w:r>
          </w:p>
        </w:tc>
      </w:tr>
      <w:tr w:rsidR="00915077" w:rsidRPr="00E26EF6" w14:paraId="365722CC" w14:textId="77777777" w:rsidTr="00672D2A">
        <w:tc>
          <w:tcPr>
            <w:tcW w:w="1012" w:type="dxa"/>
          </w:tcPr>
          <w:p w14:paraId="0CFAC343"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 xml:space="preserve">020 </w:t>
            </w:r>
          </w:p>
        </w:tc>
        <w:tc>
          <w:tcPr>
            <w:tcW w:w="7478" w:type="dxa"/>
          </w:tcPr>
          <w:p w14:paraId="0B219D5C" w14:textId="77777777"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1.1</w:t>
            </w:r>
            <w:r w:rsidRPr="00E26EF6">
              <w:rPr>
                <w:rStyle w:val="InstructionsTabelleberschrift"/>
                <w:rFonts w:ascii="Times New Roman" w:hAnsi="Times New Roman"/>
                <w:sz w:val="24"/>
              </w:rPr>
              <w:tab/>
              <w:t>Instrumenty podlegające zasadzie praw nabytych</w:t>
            </w:r>
          </w:p>
          <w:p w14:paraId="239E98DB" w14:textId="5DDF77DE" w:rsidR="00915077" w:rsidRPr="00E26EF6" w:rsidRDefault="002648B0">
            <w:pPr>
              <w:spacing w:before="0"/>
              <w:rPr>
                <w:rStyle w:val="InstructionsTabelleText"/>
                <w:rFonts w:ascii="Times New Roman" w:hAnsi="Times New Roman"/>
                <w:sz w:val="24"/>
              </w:rPr>
            </w:pPr>
            <w:r w:rsidRPr="00E26EF6">
              <w:rPr>
                <w:rStyle w:val="InstructionsTabelleText"/>
                <w:rFonts w:ascii="Times New Roman" w:hAnsi="Times New Roman"/>
                <w:sz w:val="24"/>
              </w:rPr>
              <w:t>Art. 483–491 CRR</w:t>
            </w:r>
          </w:p>
          <w:p w14:paraId="165AD983" w14:textId="5E726BA8" w:rsidR="00915077" w:rsidRPr="00E26EF6" w:rsidRDefault="002648B0">
            <w:pPr>
              <w:spacing w:before="0"/>
              <w:rPr>
                <w:rStyle w:val="FormatvorlageInstructionsTabelleText"/>
                <w:rFonts w:ascii="Times New Roman" w:hAnsi="Times New Roman"/>
                <w:sz w:val="24"/>
                <w:highlight w:val="lightGray"/>
              </w:rPr>
            </w:pPr>
            <w:r w:rsidRPr="00E26EF6">
              <w:rPr>
                <w:rStyle w:val="InstructionsTabelleText"/>
                <w:rFonts w:ascii="Times New Roman" w:hAnsi="Times New Roman"/>
                <w:sz w:val="24"/>
              </w:rPr>
              <w:t>Wiersz ten odzwierciedla ogólny skutek instrumentów podlegających</w:t>
            </w:r>
            <w:r w:rsidR="00E26EF6" w:rsidRPr="00E26EF6">
              <w:rPr>
                <w:rStyle w:val="InstructionsTabelleText"/>
                <w:rFonts w:ascii="Times New Roman" w:hAnsi="Times New Roman"/>
                <w:sz w:val="24"/>
              </w:rPr>
              <w:t xml:space="preserve"> w okr</w:t>
            </w:r>
            <w:r w:rsidRPr="00E26EF6">
              <w:rPr>
                <w:rStyle w:val="InstructionsTabelleText"/>
                <w:rFonts w:ascii="Times New Roman" w:hAnsi="Times New Roman"/>
                <w:sz w:val="24"/>
              </w:rPr>
              <w:t>esie przejściowym zasadzie praw nabytych</w:t>
            </w:r>
            <w:r w:rsidR="00E26EF6" w:rsidRPr="00E26EF6">
              <w:rPr>
                <w:rStyle w:val="InstructionsTabelleText"/>
                <w:rFonts w:ascii="Times New Roman" w:hAnsi="Times New Roman"/>
                <w:sz w:val="24"/>
              </w:rPr>
              <w:t xml:space="preserve"> w róż</w:t>
            </w:r>
            <w:r w:rsidRPr="00E26EF6">
              <w:rPr>
                <w:rStyle w:val="InstructionsTabelleText"/>
                <w:rFonts w:ascii="Times New Roman" w:hAnsi="Times New Roman"/>
                <w:sz w:val="24"/>
              </w:rPr>
              <w:t>nych rodzajach kapitału.</w:t>
            </w:r>
          </w:p>
        </w:tc>
      </w:tr>
      <w:tr w:rsidR="00915077" w:rsidRPr="00E26EF6" w14:paraId="6F18E2C8" w14:textId="77777777" w:rsidTr="00672D2A">
        <w:tc>
          <w:tcPr>
            <w:tcW w:w="1012" w:type="dxa"/>
          </w:tcPr>
          <w:p w14:paraId="47DECC64"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030</w:t>
            </w:r>
          </w:p>
        </w:tc>
        <w:tc>
          <w:tcPr>
            <w:tcW w:w="7478" w:type="dxa"/>
          </w:tcPr>
          <w:p w14:paraId="495401D4" w14:textId="77777777"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1.1.1</w:t>
            </w:r>
            <w:r w:rsidRPr="00E26EF6">
              <w:rPr>
                <w:rStyle w:val="InstructionsTabelleberschrift"/>
                <w:rFonts w:ascii="Times New Roman" w:hAnsi="Times New Roman"/>
                <w:sz w:val="24"/>
              </w:rPr>
              <w:tab/>
              <w:t>Instrumenty podlegające zasadzie praw nabytych: instrumenty stanowiące pomoc państwa</w:t>
            </w:r>
          </w:p>
          <w:p w14:paraId="36D6F244" w14:textId="77777777" w:rsidR="00915077" w:rsidRPr="00E26EF6" w:rsidRDefault="002648B0">
            <w:pPr>
              <w:spacing w:before="0"/>
              <w:rPr>
                <w:rStyle w:val="InstructionsTabelleberschrift"/>
                <w:rFonts w:ascii="Times New Roman" w:hAnsi="Times New Roman"/>
                <w:sz w:val="24"/>
                <w:highlight w:val="lightGray"/>
              </w:rPr>
            </w:pPr>
            <w:r w:rsidRPr="00E26EF6">
              <w:rPr>
                <w:rStyle w:val="InstructionsTabelleText"/>
                <w:rFonts w:ascii="Times New Roman" w:hAnsi="Times New Roman"/>
                <w:sz w:val="24"/>
              </w:rPr>
              <w:t>Art. 483 CRR</w:t>
            </w:r>
          </w:p>
        </w:tc>
      </w:tr>
      <w:tr w:rsidR="00915077" w:rsidRPr="00E26EF6" w14:paraId="0856E89F" w14:textId="77777777" w:rsidTr="00672D2A">
        <w:tc>
          <w:tcPr>
            <w:tcW w:w="1012" w:type="dxa"/>
          </w:tcPr>
          <w:p w14:paraId="28C108D2"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040</w:t>
            </w:r>
          </w:p>
        </w:tc>
        <w:tc>
          <w:tcPr>
            <w:tcW w:w="7478" w:type="dxa"/>
          </w:tcPr>
          <w:p w14:paraId="107C2500" w14:textId="01DA9101"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1.1.1.1</w:t>
            </w:r>
            <w:r w:rsidRPr="00E26EF6">
              <w:rPr>
                <w:rStyle w:val="InstructionsTabelleberschrift"/>
                <w:rFonts w:ascii="Times New Roman" w:hAnsi="Times New Roman"/>
                <w:sz w:val="24"/>
              </w:rPr>
              <w:tab/>
              <w:t>Instrumenty, które kwalifikowały się jako fundusze własne zgodnie</w:t>
            </w:r>
            <w:r w:rsidR="00E26EF6" w:rsidRPr="00E26EF6">
              <w:rPr>
                <w:rStyle w:val="InstructionsTabelleberschrift"/>
                <w:rFonts w:ascii="Times New Roman" w:hAnsi="Times New Roman"/>
                <w:sz w:val="24"/>
              </w:rPr>
              <w:t xml:space="preserve"> z dyr</w:t>
            </w:r>
            <w:r w:rsidRPr="00E26EF6">
              <w:rPr>
                <w:rStyle w:val="InstructionsTabelleberschrift"/>
                <w:rFonts w:ascii="Times New Roman" w:hAnsi="Times New Roman"/>
                <w:sz w:val="24"/>
              </w:rPr>
              <w:t>ektywą 2006/48/WE</w:t>
            </w:r>
          </w:p>
          <w:p w14:paraId="05A43A22" w14:textId="3277FC66" w:rsidR="00915077" w:rsidRPr="00E26EF6" w:rsidRDefault="00167619">
            <w:pPr>
              <w:pStyle w:val="InstructionsText"/>
              <w:rPr>
                <w:bCs/>
                <w:highlight w:val="lightGray"/>
              </w:rPr>
            </w:pPr>
            <w:r w:rsidRPr="00E26EF6">
              <w:rPr>
                <w:rStyle w:val="InstructionsTabelleText"/>
                <w:rFonts w:ascii="Times New Roman" w:hAnsi="Times New Roman"/>
                <w:sz w:val="24"/>
              </w:rPr>
              <w:t>Art. 483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1, 2, 4</w:t>
            </w:r>
            <w:r w:rsidR="00E26EF6" w:rsidRPr="00E26EF6">
              <w:rPr>
                <w:rStyle w:val="InstructionsTabelleText"/>
                <w:rFonts w:ascii="Times New Roman" w:hAnsi="Times New Roman"/>
                <w:sz w:val="24"/>
              </w:rPr>
              <w:t xml:space="preserve"> i 6</w:t>
            </w:r>
            <w:r w:rsidRPr="00E26EF6">
              <w:rPr>
                <w:rStyle w:val="InstructionsTabelleText"/>
                <w:rFonts w:ascii="Times New Roman" w:hAnsi="Times New Roman"/>
                <w:sz w:val="24"/>
              </w:rPr>
              <w:t xml:space="preserve"> CRR</w:t>
            </w:r>
          </w:p>
        </w:tc>
      </w:tr>
      <w:tr w:rsidR="00915077" w:rsidRPr="00E26EF6" w14:paraId="2178D9EA" w14:textId="77777777" w:rsidTr="00672D2A">
        <w:tc>
          <w:tcPr>
            <w:tcW w:w="1012" w:type="dxa"/>
          </w:tcPr>
          <w:p w14:paraId="0926CD11"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050</w:t>
            </w:r>
          </w:p>
        </w:tc>
        <w:tc>
          <w:tcPr>
            <w:tcW w:w="7478" w:type="dxa"/>
          </w:tcPr>
          <w:p w14:paraId="3095CC95" w14:textId="4995C277"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1.1.1.2</w:t>
            </w:r>
            <w:r w:rsidRPr="00E26EF6">
              <w:rPr>
                <w:rStyle w:val="InstructionsTabelleberschrift"/>
                <w:rFonts w:ascii="Times New Roman" w:hAnsi="Times New Roman"/>
                <w:sz w:val="24"/>
              </w:rPr>
              <w:tab/>
              <w:t>Instrumenty emitowane przez instytucje utworzone</w:t>
            </w:r>
            <w:r w:rsidR="00E26EF6" w:rsidRPr="00E26EF6">
              <w:rPr>
                <w:rStyle w:val="InstructionsTabelleberschrift"/>
                <w:rFonts w:ascii="Times New Roman" w:hAnsi="Times New Roman"/>
                <w:sz w:val="24"/>
              </w:rPr>
              <w:t xml:space="preserve"> w pań</w:t>
            </w:r>
            <w:r w:rsidRPr="00E26EF6">
              <w:rPr>
                <w:rStyle w:val="InstructionsTabelleberschrift"/>
                <w:rFonts w:ascii="Times New Roman" w:hAnsi="Times New Roman"/>
                <w:sz w:val="24"/>
              </w:rPr>
              <w:t>stwie członkowskim objętym programem dostosowań gospodarczych</w:t>
            </w:r>
          </w:p>
          <w:p w14:paraId="7DD64DF0" w14:textId="30153A36" w:rsidR="00915077" w:rsidRPr="00E26EF6" w:rsidRDefault="00167619">
            <w:pPr>
              <w:spacing w:before="0"/>
              <w:rPr>
                <w:rFonts w:ascii="Times New Roman" w:hAnsi="Times New Roman"/>
                <w:b/>
                <w:bCs/>
                <w:sz w:val="24"/>
                <w:highlight w:val="lightGray"/>
              </w:rPr>
            </w:pPr>
            <w:r w:rsidRPr="00E26EF6">
              <w:rPr>
                <w:rStyle w:val="InstructionsTabelleText"/>
                <w:rFonts w:ascii="Times New Roman" w:hAnsi="Times New Roman"/>
                <w:sz w:val="24"/>
              </w:rPr>
              <w:t>Art. 483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1, 3, 5, 7</w:t>
            </w:r>
            <w:r w:rsidR="00E26EF6" w:rsidRPr="00E26EF6">
              <w:rPr>
                <w:rStyle w:val="InstructionsTabelleText"/>
                <w:rFonts w:ascii="Times New Roman" w:hAnsi="Times New Roman"/>
                <w:sz w:val="24"/>
              </w:rPr>
              <w:t xml:space="preserve"> i 8</w:t>
            </w:r>
            <w:r w:rsidRPr="00E26EF6">
              <w:rPr>
                <w:rStyle w:val="InstructionsTabelleText"/>
                <w:rFonts w:ascii="Times New Roman" w:hAnsi="Times New Roman"/>
                <w:sz w:val="24"/>
              </w:rPr>
              <w:t xml:space="preserve"> CRR</w:t>
            </w:r>
          </w:p>
        </w:tc>
      </w:tr>
      <w:tr w:rsidR="00915077" w:rsidRPr="00E26EF6" w14:paraId="7A18B9EA" w14:textId="77777777" w:rsidTr="00672D2A">
        <w:tc>
          <w:tcPr>
            <w:tcW w:w="1012" w:type="dxa"/>
          </w:tcPr>
          <w:p w14:paraId="344CA4E0"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060</w:t>
            </w:r>
          </w:p>
        </w:tc>
        <w:tc>
          <w:tcPr>
            <w:tcW w:w="7478" w:type="dxa"/>
          </w:tcPr>
          <w:p w14:paraId="7B5DE80F" w14:textId="77777777" w:rsidR="00915077" w:rsidRPr="00E26EF6" w:rsidRDefault="002648B0">
            <w:pPr>
              <w:spacing w:before="0"/>
              <w:rPr>
                <w:rStyle w:val="InstructionsTabelleText"/>
                <w:rFonts w:ascii="Times New Roman" w:hAnsi="Times New Roman"/>
                <w:b/>
                <w:bCs/>
                <w:sz w:val="24"/>
                <w:u w:val="single"/>
              </w:rPr>
            </w:pPr>
            <w:r w:rsidRPr="00E26EF6">
              <w:rPr>
                <w:rStyle w:val="InstructionsTabelleberschrift"/>
                <w:rFonts w:ascii="Times New Roman" w:hAnsi="Times New Roman"/>
                <w:sz w:val="24"/>
              </w:rPr>
              <w:t>1.1.2</w:t>
            </w:r>
            <w:r w:rsidRPr="00E26EF6">
              <w:rPr>
                <w:rStyle w:val="InstructionsTabelleberschrift"/>
                <w:rFonts w:ascii="Times New Roman" w:hAnsi="Times New Roman"/>
                <w:sz w:val="24"/>
              </w:rPr>
              <w:tab/>
              <w:t>Instrumenty niestanowiące pomocy państwa</w:t>
            </w:r>
          </w:p>
          <w:p w14:paraId="5C9C7A9D" w14:textId="182067A5" w:rsidR="00915077" w:rsidRPr="00E26EF6" w:rsidRDefault="002648B0">
            <w:pPr>
              <w:spacing w:before="0"/>
              <w:rPr>
                <w:rFonts w:ascii="Times New Roman" w:hAnsi="Times New Roman"/>
                <w:b/>
                <w:bCs/>
                <w:sz w:val="24"/>
                <w:highlight w:val="lightGray"/>
              </w:rPr>
            </w:pPr>
            <w:r w:rsidRPr="00E26EF6">
              <w:rPr>
                <w:rStyle w:val="InstructionsTabelleText"/>
                <w:rFonts w:ascii="Times New Roman" w:hAnsi="Times New Roman"/>
                <w:sz w:val="24"/>
              </w:rPr>
              <w:t>Kwoty, które należy zgłosić, uzyskuje się</w:t>
            </w:r>
            <w:r w:rsidR="00E26EF6" w:rsidRPr="00E26EF6">
              <w:rPr>
                <w:rStyle w:val="InstructionsTabelleText"/>
                <w:rFonts w:ascii="Times New Roman" w:hAnsi="Times New Roman"/>
                <w:sz w:val="24"/>
              </w:rPr>
              <w:t xml:space="preserve"> z kol</w:t>
            </w:r>
            <w:r w:rsidRPr="00E26EF6">
              <w:rPr>
                <w:rStyle w:val="InstructionsTabelleText"/>
                <w:rFonts w:ascii="Times New Roman" w:hAnsi="Times New Roman"/>
                <w:sz w:val="24"/>
              </w:rPr>
              <w:t>umny 060 wzoru CA5.2.</w:t>
            </w:r>
          </w:p>
        </w:tc>
      </w:tr>
      <w:tr w:rsidR="00915077" w:rsidRPr="00E26EF6" w14:paraId="13629F97" w14:textId="77777777" w:rsidTr="00672D2A">
        <w:tc>
          <w:tcPr>
            <w:tcW w:w="1012" w:type="dxa"/>
          </w:tcPr>
          <w:p w14:paraId="21A140E4"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070</w:t>
            </w:r>
          </w:p>
        </w:tc>
        <w:tc>
          <w:tcPr>
            <w:tcW w:w="7478" w:type="dxa"/>
          </w:tcPr>
          <w:p w14:paraId="42434079" w14:textId="2E0051ED"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1.2</w:t>
            </w:r>
            <w:r w:rsidRPr="00E26EF6">
              <w:rPr>
                <w:rStyle w:val="InstructionsTabelleberschrift"/>
                <w:rFonts w:ascii="Times New Roman" w:hAnsi="Times New Roman"/>
                <w:sz w:val="24"/>
              </w:rPr>
              <w:tab/>
              <w:t>Udziały mniejszościowe</w:t>
            </w:r>
            <w:r w:rsidR="00E26EF6" w:rsidRPr="00E26EF6">
              <w:rPr>
                <w:rStyle w:val="InstructionsTabelleberschrift"/>
                <w:rFonts w:ascii="Times New Roman" w:hAnsi="Times New Roman"/>
                <w:sz w:val="24"/>
              </w:rPr>
              <w:t xml:space="preserve"> i ekw</w:t>
            </w:r>
            <w:r w:rsidRPr="00E26EF6">
              <w:rPr>
                <w:rStyle w:val="InstructionsTabelleberschrift"/>
                <w:rFonts w:ascii="Times New Roman" w:hAnsi="Times New Roman"/>
                <w:sz w:val="24"/>
              </w:rPr>
              <w:t>iwalenty</w:t>
            </w:r>
          </w:p>
          <w:p w14:paraId="290D2D09" w14:textId="75F802C3" w:rsidR="00915077" w:rsidRPr="00E26EF6" w:rsidRDefault="002648B0">
            <w:pPr>
              <w:spacing w:before="0"/>
              <w:rPr>
                <w:rStyle w:val="InstructionsTabelleText"/>
                <w:rFonts w:ascii="Times New Roman" w:hAnsi="Times New Roman"/>
                <w:sz w:val="24"/>
              </w:rPr>
            </w:pPr>
            <w:r w:rsidRPr="00E26EF6">
              <w:rPr>
                <w:rStyle w:val="InstructionsTabelleText"/>
                <w:rFonts w:ascii="Times New Roman" w:hAnsi="Times New Roman"/>
                <w:sz w:val="24"/>
              </w:rPr>
              <w:t>Art. 479</w:t>
            </w:r>
            <w:r w:rsidR="00E26EF6" w:rsidRPr="00E26EF6">
              <w:rPr>
                <w:rStyle w:val="InstructionsTabelleText"/>
                <w:rFonts w:ascii="Times New Roman" w:hAnsi="Times New Roman"/>
                <w:sz w:val="24"/>
              </w:rPr>
              <w:t xml:space="preserve"> i 4</w:t>
            </w:r>
            <w:r w:rsidRPr="00E26EF6">
              <w:rPr>
                <w:rStyle w:val="InstructionsTabelleText"/>
                <w:rFonts w:ascii="Times New Roman" w:hAnsi="Times New Roman"/>
                <w:sz w:val="24"/>
              </w:rPr>
              <w:t>80 CRR</w:t>
            </w:r>
          </w:p>
          <w:p w14:paraId="79858C41" w14:textId="55DC183A" w:rsidR="00915077" w:rsidRPr="00E26EF6" w:rsidRDefault="00FC1030">
            <w:pPr>
              <w:spacing w:before="0"/>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Wiersz ten odzwierciedla skutki przepisów przejściowych</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udziałów mniejszości kwalifikujących się jako kapitał podstawowy Tier I; kwalifikujących się instrumentów</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Tier I uznanych za skonsolidowany kapitał dodatkowy Tier I; oraz kwalifikujących się funduszy własnych uznanych za skonsolidowany kapitał Tier II.</w:t>
            </w:r>
          </w:p>
        </w:tc>
      </w:tr>
      <w:tr w:rsidR="00915077" w:rsidRPr="00E26EF6" w14:paraId="1C69F74B" w14:textId="77777777" w:rsidTr="00672D2A">
        <w:tc>
          <w:tcPr>
            <w:tcW w:w="1012" w:type="dxa"/>
          </w:tcPr>
          <w:p w14:paraId="49910EA4"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080</w:t>
            </w:r>
          </w:p>
        </w:tc>
        <w:tc>
          <w:tcPr>
            <w:tcW w:w="7478" w:type="dxa"/>
          </w:tcPr>
          <w:p w14:paraId="5CEB788D" w14:textId="15C2FFDC" w:rsidR="00915077" w:rsidRPr="00E26EF6" w:rsidRDefault="002648B0">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1.2.1</w:t>
            </w:r>
            <w:r w:rsidRPr="00E26EF6">
              <w:rPr>
                <w:rStyle w:val="InstructionsTabelleberschrift"/>
                <w:rFonts w:ascii="Times New Roman" w:hAnsi="Times New Roman"/>
                <w:sz w:val="24"/>
              </w:rPr>
              <w:tab/>
              <w:t>Instrumenty kapitałowe</w:t>
            </w:r>
            <w:r w:rsidR="00E26EF6" w:rsidRPr="00E26EF6">
              <w:rPr>
                <w:rStyle w:val="InstructionsTabelleberschrift"/>
                <w:rFonts w:ascii="Times New Roman" w:hAnsi="Times New Roman"/>
                <w:sz w:val="24"/>
              </w:rPr>
              <w:t xml:space="preserve"> i poz</w:t>
            </w:r>
            <w:r w:rsidRPr="00E26EF6">
              <w:rPr>
                <w:rStyle w:val="InstructionsTabelleberschrift"/>
                <w:rFonts w:ascii="Times New Roman" w:hAnsi="Times New Roman"/>
                <w:sz w:val="24"/>
              </w:rPr>
              <w:t>ycje, które nie kwalifikują się jako udziały mniejszości</w:t>
            </w:r>
          </w:p>
          <w:p w14:paraId="507CA44B" w14:textId="2F7855ED" w:rsidR="00915077" w:rsidRPr="00E26EF6" w:rsidRDefault="002648B0">
            <w:pPr>
              <w:pStyle w:val="InstructionsText"/>
              <w:rPr>
                <w:rStyle w:val="InstructionsTabelleText"/>
                <w:rFonts w:ascii="Times New Roman" w:hAnsi="Times New Roman"/>
                <w:bCs/>
                <w:sz w:val="24"/>
              </w:rPr>
            </w:pPr>
            <w:r w:rsidRPr="00E26EF6">
              <w:rPr>
                <w:rStyle w:val="InstructionsTabelleText"/>
                <w:rFonts w:ascii="Times New Roman" w:hAnsi="Times New Roman"/>
                <w:sz w:val="24"/>
              </w:rPr>
              <w:t>Art. 479 CRR.</w:t>
            </w:r>
          </w:p>
          <w:p w14:paraId="58B7C0BD" w14:textId="5F3C0ABB" w:rsidR="00915077" w:rsidRPr="00E26EF6" w:rsidRDefault="002648B0">
            <w:pPr>
              <w:pStyle w:val="InstructionsText"/>
              <w:rPr>
                <w:rStyle w:val="InstructionsTabelleText"/>
                <w:rFonts w:ascii="Times New Roman" w:hAnsi="Times New Roman"/>
                <w:bCs/>
                <w:sz w:val="24"/>
                <w:highlight w:val="lightGray"/>
              </w:rPr>
            </w:pPr>
            <w:r w:rsidRPr="00E26EF6">
              <w:rPr>
                <w:rStyle w:val="InstructionsTabelleText"/>
                <w:rFonts w:ascii="Times New Roman" w:hAnsi="Times New Roman"/>
                <w:sz w:val="24"/>
              </w:rPr>
              <w:t>Kwotą,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jest kwota kwalifikująca się jako rezerwy skonsolidowane zgodnie</w:t>
            </w:r>
            <w:r w:rsidR="00E26EF6" w:rsidRPr="00E26EF6">
              <w:rPr>
                <w:rStyle w:val="InstructionsTabelleText"/>
                <w:rFonts w:ascii="Times New Roman" w:hAnsi="Times New Roman"/>
                <w:sz w:val="24"/>
              </w:rPr>
              <w:t xml:space="preserve"> z pop</w:t>
            </w:r>
            <w:r w:rsidRPr="00E26EF6">
              <w:rPr>
                <w:rStyle w:val="InstructionsTabelleText"/>
                <w:rFonts w:ascii="Times New Roman" w:hAnsi="Times New Roman"/>
                <w:sz w:val="24"/>
              </w:rPr>
              <w:t xml:space="preserve">rzednim rozporządzeniem. </w:t>
            </w:r>
          </w:p>
        </w:tc>
      </w:tr>
      <w:tr w:rsidR="00915077" w:rsidRPr="00E26EF6" w14:paraId="6D9F8A1B" w14:textId="77777777" w:rsidTr="00672D2A">
        <w:tc>
          <w:tcPr>
            <w:tcW w:w="1012" w:type="dxa"/>
          </w:tcPr>
          <w:p w14:paraId="2840A98D"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090</w:t>
            </w:r>
          </w:p>
        </w:tc>
        <w:tc>
          <w:tcPr>
            <w:tcW w:w="7478" w:type="dxa"/>
          </w:tcPr>
          <w:p w14:paraId="53B54DA1" w14:textId="64F1A5DA"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1.2.2</w:t>
            </w:r>
            <w:r w:rsidRPr="00E26EF6">
              <w:rPr>
                <w:rStyle w:val="InstructionsTabelleberschrift"/>
                <w:rFonts w:ascii="Times New Roman" w:hAnsi="Times New Roman"/>
                <w:sz w:val="24"/>
              </w:rPr>
              <w:tab/>
              <w:t>Uznanie udziałów mniejszości</w:t>
            </w:r>
            <w:r w:rsidR="00E26EF6" w:rsidRPr="00E26EF6">
              <w:rPr>
                <w:rStyle w:val="InstructionsTabelleberschrift"/>
                <w:rFonts w:ascii="Times New Roman" w:hAnsi="Times New Roman"/>
                <w:sz w:val="24"/>
              </w:rPr>
              <w:t xml:space="preserve"> w sko</w:t>
            </w:r>
            <w:r w:rsidRPr="00E26EF6">
              <w:rPr>
                <w:rStyle w:val="InstructionsTabelleberschrift"/>
                <w:rFonts w:ascii="Times New Roman" w:hAnsi="Times New Roman"/>
                <w:sz w:val="24"/>
              </w:rPr>
              <w:t>nsolidowanych funduszach własnych</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p>
          <w:p w14:paraId="6D6FF74C" w14:textId="31D6CF6A"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84</w:t>
            </w:r>
            <w:r w:rsidR="00E26EF6" w:rsidRPr="00E26EF6">
              <w:rPr>
                <w:rStyle w:val="InstructionsTabelleText"/>
                <w:rFonts w:ascii="Times New Roman" w:hAnsi="Times New Roman"/>
                <w:sz w:val="24"/>
              </w:rPr>
              <w:t xml:space="preserve"> i 4</w:t>
            </w:r>
            <w:r w:rsidRPr="00E26EF6">
              <w:rPr>
                <w:rStyle w:val="InstructionsTabelleText"/>
                <w:rFonts w:ascii="Times New Roman" w:hAnsi="Times New Roman"/>
                <w:sz w:val="24"/>
              </w:rPr>
              <w:t>80 CRR</w:t>
            </w:r>
          </w:p>
          <w:p w14:paraId="7B6F0854" w14:textId="55B1FD8D" w:rsidR="00915077" w:rsidRPr="00E26EF6" w:rsidRDefault="002648B0">
            <w:pPr>
              <w:pStyle w:val="InstructionsText"/>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t>Kwotą,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jest uznana kwota bez uwzględnienia przepisów przejściowych.</w:t>
            </w:r>
          </w:p>
        </w:tc>
      </w:tr>
      <w:tr w:rsidR="00915077" w:rsidRPr="00E26EF6" w14:paraId="5AC846B3" w14:textId="77777777" w:rsidTr="00672D2A">
        <w:tc>
          <w:tcPr>
            <w:tcW w:w="1012" w:type="dxa"/>
          </w:tcPr>
          <w:p w14:paraId="1C8216EF"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091</w:t>
            </w:r>
          </w:p>
        </w:tc>
        <w:tc>
          <w:tcPr>
            <w:tcW w:w="7478" w:type="dxa"/>
          </w:tcPr>
          <w:p w14:paraId="45B6A2AB" w14:textId="54FAD0CD"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1.2.3</w:t>
            </w:r>
            <w:r w:rsidRPr="00E26EF6">
              <w:rPr>
                <w:rStyle w:val="InstructionsTabelleberschrift"/>
                <w:rFonts w:ascii="Times New Roman" w:hAnsi="Times New Roman"/>
                <w:sz w:val="24"/>
              </w:rPr>
              <w:tab/>
              <w:t>Uznanie kwalifikującego się kapitału dodatkowego Tier I</w:t>
            </w:r>
            <w:r w:rsidR="00E26EF6" w:rsidRPr="00E26EF6">
              <w:rPr>
                <w:rStyle w:val="InstructionsTabelleberschrift"/>
                <w:rFonts w:ascii="Times New Roman" w:hAnsi="Times New Roman"/>
                <w:sz w:val="24"/>
              </w:rPr>
              <w:t xml:space="preserve"> w sko</w:t>
            </w:r>
            <w:r w:rsidRPr="00E26EF6">
              <w:rPr>
                <w:rStyle w:val="InstructionsTabelleberschrift"/>
                <w:rFonts w:ascii="Times New Roman" w:hAnsi="Times New Roman"/>
                <w:sz w:val="24"/>
              </w:rPr>
              <w:t>nsolidowanych funduszach własnych</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p>
          <w:p w14:paraId="0A8B5DC8" w14:textId="1E0400F8"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85</w:t>
            </w:r>
            <w:r w:rsidR="00E26EF6" w:rsidRPr="00E26EF6">
              <w:rPr>
                <w:rStyle w:val="InstructionsTabelleText"/>
                <w:rFonts w:ascii="Times New Roman" w:hAnsi="Times New Roman"/>
                <w:sz w:val="24"/>
              </w:rPr>
              <w:t xml:space="preserve"> i 4</w:t>
            </w:r>
            <w:r w:rsidRPr="00E26EF6">
              <w:rPr>
                <w:rStyle w:val="InstructionsTabelleText"/>
                <w:rFonts w:ascii="Times New Roman" w:hAnsi="Times New Roman"/>
                <w:sz w:val="24"/>
              </w:rPr>
              <w:t>80 CRR</w:t>
            </w:r>
          </w:p>
          <w:p w14:paraId="1F99651A" w14:textId="30AD557E"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Kwotą,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jest uznana kwota bez uwzględnienia przepisów przejściowych.</w:t>
            </w:r>
          </w:p>
        </w:tc>
      </w:tr>
      <w:tr w:rsidR="00915077" w:rsidRPr="00E26EF6" w14:paraId="004C7784" w14:textId="77777777" w:rsidTr="00672D2A">
        <w:tc>
          <w:tcPr>
            <w:tcW w:w="1012" w:type="dxa"/>
          </w:tcPr>
          <w:p w14:paraId="504D19F7"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092</w:t>
            </w:r>
          </w:p>
        </w:tc>
        <w:tc>
          <w:tcPr>
            <w:tcW w:w="7478" w:type="dxa"/>
          </w:tcPr>
          <w:p w14:paraId="38EA09DF" w14:textId="36F793EB"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1.2.4</w:t>
            </w:r>
            <w:r w:rsidRPr="00E26EF6">
              <w:rPr>
                <w:rStyle w:val="InstructionsTabelleberschrift"/>
                <w:rFonts w:ascii="Times New Roman" w:hAnsi="Times New Roman"/>
                <w:sz w:val="24"/>
              </w:rPr>
              <w:tab/>
              <w:t>Uznanie kwalifikującego się kapitału Tier II</w:t>
            </w:r>
            <w:r w:rsidR="00E26EF6" w:rsidRPr="00E26EF6">
              <w:rPr>
                <w:rStyle w:val="InstructionsTabelleberschrift"/>
                <w:rFonts w:ascii="Times New Roman" w:hAnsi="Times New Roman"/>
                <w:sz w:val="24"/>
              </w:rPr>
              <w:t xml:space="preserve"> w sko</w:t>
            </w:r>
            <w:r w:rsidRPr="00E26EF6">
              <w:rPr>
                <w:rStyle w:val="InstructionsTabelleberschrift"/>
                <w:rFonts w:ascii="Times New Roman" w:hAnsi="Times New Roman"/>
                <w:sz w:val="24"/>
              </w:rPr>
              <w:t>nsolidowanych funduszach własnych</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p>
          <w:p w14:paraId="0589947F" w14:textId="00092737"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87</w:t>
            </w:r>
            <w:r w:rsidR="00E26EF6" w:rsidRPr="00E26EF6">
              <w:rPr>
                <w:rStyle w:val="InstructionsTabelleText"/>
                <w:rFonts w:ascii="Times New Roman" w:hAnsi="Times New Roman"/>
                <w:sz w:val="24"/>
              </w:rPr>
              <w:t xml:space="preserve"> i 4</w:t>
            </w:r>
            <w:r w:rsidRPr="00E26EF6">
              <w:rPr>
                <w:rStyle w:val="InstructionsTabelleText"/>
                <w:rFonts w:ascii="Times New Roman" w:hAnsi="Times New Roman"/>
                <w:sz w:val="24"/>
              </w:rPr>
              <w:t>80 CRR</w:t>
            </w:r>
          </w:p>
          <w:p w14:paraId="0A126F82" w14:textId="486E1B6E"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Kwotą,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jest uznana kwota bez uwzględnienia przepisów przejściowych.</w:t>
            </w:r>
          </w:p>
        </w:tc>
      </w:tr>
      <w:tr w:rsidR="00915077" w:rsidRPr="00E26EF6" w14:paraId="52B335DF" w14:textId="77777777" w:rsidTr="00672D2A">
        <w:tc>
          <w:tcPr>
            <w:tcW w:w="1012" w:type="dxa"/>
          </w:tcPr>
          <w:p w14:paraId="1091B9A7"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100</w:t>
            </w:r>
          </w:p>
        </w:tc>
        <w:tc>
          <w:tcPr>
            <w:tcW w:w="7478" w:type="dxa"/>
          </w:tcPr>
          <w:p w14:paraId="418C0613" w14:textId="7EFA12E7"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1.3</w:t>
            </w:r>
            <w:r w:rsidRPr="00E26EF6">
              <w:rPr>
                <w:rStyle w:val="InstructionsTabelleberschrift"/>
                <w:rFonts w:ascii="Times New Roman" w:hAnsi="Times New Roman"/>
                <w:sz w:val="24"/>
              </w:rPr>
              <w:tab/>
              <w:t>Inne korekty</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p>
          <w:p w14:paraId="33D1D6E8" w14:textId="657F6963" w:rsidR="00915077" w:rsidRPr="00E26EF6" w:rsidRDefault="002648B0">
            <w:pPr>
              <w:spacing w:before="0"/>
              <w:rPr>
                <w:rStyle w:val="InstructionsTabelleText"/>
                <w:rFonts w:ascii="Times New Roman" w:hAnsi="Times New Roman"/>
                <w:sz w:val="24"/>
              </w:rPr>
            </w:pPr>
            <w:r w:rsidRPr="00E26EF6">
              <w:rPr>
                <w:rStyle w:val="InstructionsTabelleText"/>
                <w:rFonts w:ascii="Times New Roman" w:hAnsi="Times New Roman"/>
                <w:sz w:val="24"/>
              </w:rPr>
              <w:t>Art. 467–478</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481 CRR</w:t>
            </w:r>
          </w:p>
          <w:p w14:paraId="142E63B1" w14:textId="477CCA3C" w:rsidR="00915077" w:rsidRPr="00E26EF6" w:rsidRDefault="002648B0">
            <w:pPr>
              <w:spacing w:before="0"/>
              <w:rPr>
                <w:rStyle w:val="InstructionsTabelleText"/>
                <w:rFonts w:ascii="Times New Roman" w:hAnsi="Times New Roman"/>
                <w:sz w:val="24"/>
                <w:highlight w:val="lightGray"/>
              </w:rPr>
            </w:pPr>
            <w:r w:rsidRPr="00E26EF6">
              <w:rPr>
                <w:rStyle w:val="InstructionsTabelleText"/>
                <w:rFonts w:ascii="Times New Roman" w:hAnsi="Times New Roman"/>
                <w:sz w:val="24"/>
              </w:rPr>
              <w:t>Wiersz ten odzwierciedla ogólny skutek korekt</w:t>
            </w:r>
            <w:r w:rsidR="00E26EF6" w:rsidRPr="00E26EF6">
              <w:rPr>
                <w:rStyle w:val="InstructionsTabelleText"/>
                <w:rFonts w:ascii="Times New Roman" w:hAnsi="Times New Roman"/>
                <w:sz w:val="24"/>
              </w:rPr>
              <w:t xml:space="preserve"> w okr</w:t>
            </w:r>
            <w:r w:rsidRPr="00E26EF6">
              <w:rPr>
                <w:rStyle w:val="InstructionsTabelleText"/>
                <w:rFonts w:ascii="Times New Roman" w:hAnsi="Times New Roman"/>
                <w:sz w:val="24"/>
              </w:rPr>
              <w:t>esie przejściowym</w:t>
            </w:r>
            <w:r w:rsidR="00E26EF6" w:rsidRPr="00E26EF6">
              <w:rPr>
                <w:rStyle w:val="InstructionsTabelleText"/>
                <w:rFonts w:ascii="Times New Roman" w:hAnsi="Times New Roman"/>
                <w:sz w:val="24"/>
              </w:rPr>
              <w:t xml:space="preserve"> w odl</w:t>
            </w:r>
            <w:r w:rsidRPr="00E26EF6">
              <w:rPr>
                <w:rStyle w:val="InstructionsTabelleText"/>
                <w:rFonts w:ascii="Times New Roman" w:hAnsi="Times New Roman"/>
                <w:sz w:val="24"/>
              </w:rPr>
              <w:t>iczeniach różnych rodzajów kapitału, niezrealizowanych zyskach</w:t>
            </w:r>
            <w:r w:rsidR="00E26EF6" w:rsidRPr="00E26EF6">
              <w:rPr>
                <w:rStyle w:val="InstructionsTabelleText"/>
                <w:rFonts w:ascii="Times New Roman" w:hAnsi="Times New Roman"/>
                <w:sz w:val="24"/>
              </w:rPr>
              <w:t xml:space="preserve"> i str</w:t>
            </w:r>
            <w:r w:rsidRPr="00E26EF6">
              <w:rPr>
                <w:rStyle w:val="InstructionsTabelleText"/>
                <w:rFonts w:ascii="Times New Roman" w:hAnsi="Times New Roman"/>
                <w:sz w:val="24"/>
              </w:rPr>
              <w:t>atach, dodatkowych filtrach</w:t>
            </w:r>
            <w:r w:rsidR="00E26EF6" w:rsidRPr="00E26EF6">
              <w:rPr>
                <w:rStyle w:val="InstructionsTabelleText"/>
                <w:rFonts w:ascii="Times New Roman" w:hAnsi="Times New Roman"/>
                <w:sz w:val="24"/>
              </w:rPr>
              <w:t xml:space="preserve"> i odl</w:t>
            </w:r>
            <w:r w:rsidRPr="00E26EF6">
              <w:rPr>
                <w:rStyle w:val="InstructionsTabelleText"/>
                <w:rFonts w:ascii="Times New Roman" w:hAnsi="Times New Roman"/>
                <w:sz w:val="24"/>
              </w:rPr>
              <w:t>iczeniach oraz kwoty ważone ryzykiem wynikające</w:t>
            </w:r>
            <w:r w:rsidR="00E26EF6" w:rsidRPr="00E26EF6">
              <w:rPr>
                <w:rStyle w:val="InstructionsTabelleText"/>
                <w:rFonts w:ascii="Times New Roman" w:hAnsi="Times New Roman"/>
                <w:sz w:val="24"/>
              </w:rPr>
              <w:t xml:space="preserve"> z tyc</w:t>
            </w:r>
            <w:r w:rsidRPr="00E26EF6">
              <w:rPr>
                <w:rStyle w:val="InstructionsTabelleText"/>
                <w:rFonts w:ascii="Times New Roman" w:hAnsi="Times New Roman"/>
                <w:sz w:val="24"/>
              </w:rPr>
              <w:t>h korekt.</w:t>
            </w:r>
          </w:p>
        </w:tc>
      </w:tr>
      <w:tr w:rsidR="00915077" w:rsidRPr="00E26EF6" w14:paraId="6E7E06DF" w14:textId="77777777" w:rsidTr="00672D2A">
        <w:tc>
          <w:tcPr>
            <w:tcW w:w="1012" w:type="dxa"/>
          </w:tcPr>
          <w:p w14:paraId="40268B2C"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110</w:t>
            </w:r>
          </w:p>
        </w:tc>
        <w:tc>
          <w:tcPr>
            <w:tcW w:w="7478" w:type="dxa"/>
          </w:tcPr>
          <w:p w14:paraId="21B5E4B0" w14:textId="2A095371"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1.3.1</w:t>
            </w:r>
            <w:r w:rsidRPr="00E26EF6">
              <w:rPr>
                <w:rStyle w:val="InstructionsTabelleberschrift"/>
                <w:rFonts w:ascii="Times New Roman" w:hAnsi="Times New Roman"/>
                <w:sz w:val="24"/>
              </w:rPr>
              <w:tab/>
              <w:t>Niezrealizowane zyski</w:t>
            </w:r>
            <w:r w:rsidR="00E26EF6" w:rsidRPr="00E26EF6">
              <w:rPr>
                <w:rStyle w:val="InstructionsTabelleberschrift"/>
                <w:rFonts w:ascii="Times New Roman" w:hAnsi="Times New Roman"/>
                <w:sz w:val="24"/>
              </w:rPr>
              <w:t xml:space="preserve"> i str</w:t>
            </w:r>
            <w:r w:rsidRPr="00E26EF6">
              <w:rPr>
                <w:rStyle w:val="InstructionsTabelleberschrift"/>
                <w:rFonts w:ascii="Times New Roman" w:hAnsi="Times New Roman"/>
                <w:sz w:val="24"/>
              </w:rPr>
              <w:t>aty</w:t>
            </w:r>
          </w:p>
          <w:p w14:paraId="5A12F546" w14:textId="0A436445" w:rsidR="00915077" w:rsidRPr="00E26EF6" w:rsidRDefault="002648B0">
            <w:pPr>
              <w:spacing w:before="0"/>
              <w:rPr>
                <w:rStyle w:val="InstructionsTabelleText"/>
                <w:rFonts w:ascii="Times New Roman" w:hAnsi="Times New Roman"/>
                <w:sz w:val="24"/>
              </w:rPr>
            </w:pPr>
            <w:r w:rsidRPr="00E26EF6">
              <w:rPr>
                <w:rStyle w:val="InstructionsTabelleText"/>
                <w:rFonts w:ascii="Times New Roman" w:hAnsi="Times New Roman"/>
                <w:sz w:val="24"/>
              </w:rPr>
              <w:t>Art. 467</w:t>
            </w:r>
            <w:r w:rsidR="00E26EF6" w:rsidRPr="00E26EF6">
              <w:rPr>
                <w:rStyle w:val="InstructionsTabelleText"/>
                <w:rFonts w:ascii="Times New Roman" w:hAnsi="Times New Roman"/>
                <w:sz w:val="24"/>
              </w:rPr>
              <w:t xml:space="preserve"> i 4</w:t>
            </w:r>
            <w:r w:rsidRPr="00E26EF6">
              <w:rPr>
                <w:rStyle w:val="InstructionsTabelleText"/>
                <w:rFonts w:ascii="Times New Roman" w:hAnsi="Times New Roman"/>
                <w:sz w:val="24"/>
              </w:rPr>
              <w:t>68 CRR</w:t>
            </w:r>
          </w:p>
          <w:p w14:paraId="24586742" w14:textId="36BCE77F" w:rsidR="00915077" w:rsidRPr="00E26EF6" w:rsidRDefault="002648B0">
            <w:pPr>
              <w:spacing w:before="0"/>
              <w:rPr>
                <w:rStyle w:val="InstructionsTabelleText"/>
                <w:rFonts w:ascii="Times New Roman" w:hAnsi="Times New Roman"/>
                <w:sz w:val="24"/>
                <w:highlight w:val="lightGray"/>
              </w:rPr>
            </w:pPr>
            <w:r w:rsidRPr="00E26EF6">
              <w:rPr>
                <w:rStyle w:val="InstructionsTabelleText"/>
                <w:rFonts w:ascii="Times New Roman" w:hAnsi="Times New Roman"/>
                <w:sz w:val="24"/>
              </w:rPr>
              <w:t>Wiersz ten odzwierciedla ogólny skutek przepisów przejściowych dla niezrealizowanych zysków</w:t>
            </w:r>
            <w:r w:rsidR="00E26EF6" w:rsidRPr="00E26EF6">
              <w:rPr>
                <w:rStyle w:val="InstructionsTabelleText"/>
                <w:rFonts w:ascii="Times New Roman" w:hAnsi="Times New Roman"/>
                <w:sz w:val="24"/>
              </w:rPr>
              <w:t xml:space="preserve"> i str</w:t>
            </w:r>
            <w:r w:rsidRPr="00E26EF6">
              <w:rPr>
                <w:rStyle w:val="InstructionsTabelleText"/>
                <w:rFonts w:ascii="Times New Roman" w:hAnsi="Times New Roman"/>
                <w:sz w:val="24"/>
              </w:rPr>
              <w:t>at wycenianych według wartości godziwej.</w:t>
            </w:r>
          </w:p>
        </w:tc>
      </w:tr>
      <w:tr w:rsidR="00915077" w:rsidRPr="00E26EF6" w14:paraId="660BE7EE" w14:textId="77777777" w:rsidTr="00672D2A">
        <w:tc>
          <w:tcPr>
            <w:tcW w:w="1012" w:type="dxa"/>
          </w:tcPr>
          <w:p w14:paraId="73DA862E"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120</w:t>
            </w:r>
          </w:p>
        </w:tc>
        <w:tc>
          <w:tcPr>
            <w:tcW w:w="7478" w:type="dxa"/>
          </w:tcPr>
          <w:p w14:paraId="215A8594" w14:textId="77777777"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1.3.1.1</w:t>
            </w:r>
            <w:r w:rsidRPr="00E26EF6">
              <w:rPr>
                <w:rStyle w:val="InstructionsTabelleberschrift"/>
                <w:rFonts w:ascii="Times New Roman" w:hAnsi="Times New Roman"/>
                <w:sz w:val="24"/>
              </w:rPr>
              <w:tab/>
              <w:t>Niezrealizowane zyski</w:t>
            </w:r>
          </w:p>
          <w:p w14:paraId="28C343C7" w14:textId="251A6465"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Art. 468 ust. 1 CRR</w:t>
            </w:r>
          </w:p>
        </w:tc>
      </w:tr>
      <w:tr w:rsidR="00915077" w:rsidRPr="00E26EF6" w14:paraId="0499E855" w14:textId="77777777" w:rsidTr="00672D2A">
        <w:tc>
          <w:tcPr>
            <w:tcW w:w="1012" w:type="dxa"/>
          </w:tcPr>
          <w:p w14:paraId="71CD8FF7"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130</w:t>
            </w:r>
          </w:p>
        </w:tc>
        <w:tc>
          <w:tcPr>
            <w:tcW w:w="7478" w:type="dxa"/>
          </w:tcPr>
          <w:p w14:paraId="7618F641" w14:textId="77777777"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1.3.1.2</w:t>
            </w:r>
            <w:r w:rsidRPr="00E26EF6">
              <w:rPr>
                <w:rStyle w:val="InstructionsTabelleberschrift"/>
                <w:rFonts w:ascii="Times New Roman" w:hAnsi="Times New Roman"/>
                <w:sz w:val="24"/>
              </w:rPr>
              <w:tab/>
              <w:t>Niezrealizowane straty</w:t>
            </w:r>
          </w:p>
          <w:p w14:paraId="36AC21D0" w14:textId="008A3DF4"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Art. 467 ust. 1 CRR</w:t>
            </w:r>
          </w:p>
        </w:tc>
      </w:tr>
      <w:tr w:rsidR="00915077" w:rsidRPr="00E26EF6" w14:paraId="7EC2F160" w14:textId="77777777" w:rsidTr="00672D2A">
        <w:tc>
          <w:tcPr>
            <w:tcW w:w="1012" w:type="dxa"/>
          </w:tcPr>
          <w:p w14:paraId="1F72A819" w14:textId="77777777" w:rsidR="00915077" w:rsidRPr="00E26EF6" w:rsidRDefault="00E06628">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133</w:t>
            </w:r>
          </w:p>
        </w:tc>
        <w:tc>
          <w:tcPr>
            <w:tcW w:w="7478" w:type="dxa"/>
          </w:tcPr>
          <w:p w14:paraId="0CA788CC" w14:textId="5849C4E9" w:rsidR="00915077" w:rsidRPr="00E26EF6" w:rsidRDefault="00E0662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1.3.1.3</w:t>
            </w:r>
            <w:r w:rsidRPr="00E26EF6">
              <w:rPr>
                <w:rStyle w:val="InstructionsTabelleberschrift"/>
                <w:rFonts w:ascii="Times New Roman" w:hAnsi="Times New Roman"/>
                <w:sz w:val="24"/>
              </w:rPr>
              <w:tab/>
              <w:t>Niezrealizowane zyski</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ekspozycji wobec rządów centralnych, ujęte</w:t>
            </w:r>
            <w:r w:rsidR="00E26EF6" w:rsidRPr="00E26EF6">
              <w:rPr>
                <w:rStyle w:val="InstructionsTabelleberschrift"/>
                <w:rFonts w:ascii="Times New Roman" w:hAnsi="Times New Roman"/>
                <w:sz w:val="24"/>
              </w:rPr>
              <w:t xml:space="preserve"> w kat</w:t>
            </w:r>
            <w:r w:rsidRPr="00E26EF6">
              <w:rPr>
                <w:rStyle w:val="InstructionsTabelleberschrift"/>
                <w:rFonts w:ascii="Times New Roman" w:hAnsi="Times New Roman"/>
                <w:sz w:val="24"/>
              </w:rPr>
              <w:t>egorii „Dostępne do sprzedaży”</w:t>
            </w:r>
            <w:r w:rsidR="00E26EF6" w:rsidRPr="00E26EF6">
              <w:rPr>
                <w:rStyle w:val="InstructionsTabelleberschrift"/>
                <w:rFonts w:ascii="Times New Roman" w:hAnsi="Times New Roman"/>
                <w:sz w:val="24"/>
              </w:rPr>
              <w:t xml:space="preserve"> w zat</w:t>
            </w:r>
            <w:r w:rsidRPr="00E26EF6">
              <w:rPr>
                <w:rStyle w:val="InstructionsTabelleberschrift"/>
                <w:rFonts w:ascii="Times New Roman" w:hAnsi="Times New Roman"/>
                <w:sz w:val="24"/>
              </w:rPr>
              <w:t>wierdzonym przez UE MSR 39</w:t>
            </w:r>
          </w:p>
          <w:p w14:paraId="1237B90D" w14:textId="52776326" w:rsidR="00915077" w:rsidRPr="00E26EF6" w:rsidRDefault="00E06628">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468 CRR</w:t>
            </w:r>
          </w:p>
        </w:tc>
      </w:tr>
      <w:tr w:rsidR="00915077" w:rsidRPr="00E26EF6" w14:paraId="5200A156" w14:textId="77777777" w:rsidTr="00672D2A">
        <w:tc>
          <w:tcPr>
            <w:tcW w:w="1012" w:type="dxa"/>
          </w:tcPr>
          <w:p w14:paraId="17B2DEEC" w14:textId="77777777" w:rsidR="00915077" w:rsidRPr="00E26EF6" w:rsidRDefault="00E06628">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136</w:t>
            </w:r>
          </w:p>
        </w:tc>
        <w:tc>
          <w:tcPr>
            <w:tcW w:w="7478" w:type="dxa"/>
          </w:tcPr>
          <w:p w14:paraId="441EBEB4" w14:textId="757CA0BB" w:rsidR="00915077" w:rsidRPr="00E26EF6" w:rsidRDefault="00E0662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1.3.1.4</w:t>
            </w:r>
            <w:r w:rsidRPr="00E26EF6">
              <w:rPr>
                <w:rStyle w:val="InstructionsTabelleberschrift"/>
                <w:rFonts w:ascii="Times New Roman" w:hAnsi="Times New Roman"/>
                <w:sz w:val="24"/>
              </w:rPr>
              <w:tab/>
              <w:t>Niezrealizowana strata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ekspozycji wobec rządów centralnych, ujęta</w:t>
            </w:r>
            <w:r w:rsidR="00E26EF6" w:rsidRPr="00E26EF6">
              <w:rPr>
                <w:rStyle w:val="InstructionsTabelleberschrift"/>
                <w:rFonts w:ascii="Times New Roman" w:hAnsi="Times New Roman"/>
                <w:sz w:val="24"/>
              </w:rPr>
              <w:t xml:space="preserve"> w kat</w:t>
            </w:r>
            <w:r w:rsidRPr="00E26EF6">
              <w:rPr>
                <w:rStyle w:val="InstructionsTabelleberschrift"/>
                <w:rFonts w:ascii="Times New Roman" w:hAnsi="Times New Roman"/>
                <w:sz w:val="24"/>
              </w:rPr>
              <w:t>egorii „Dostępne do sprzedaży”</w:t>
            </w:r>
            <w:r w:rsidR="00E26EF6" w:rsidRPr="00E26EF6">
              <w:rPr>
                <w:rStyle w:val="InstructionsTabelleberschrift"/>
                <w:rFonts w:ascii="Times New Roman" w:hAnsi="Times New Roman"/>
                <w:sz w:val="24"/>
              </w:rPr>
              <w:t xml:space="preserve"> w zat</w:t>
            </w:r>
            <w:r w:rsidRPr="00E26EF6">
              <w:rPr>
                <w:rStyle w:val="InstructionsTabelleberschrift"/>
                <w:rFonts w:ascii="Times New Roman" w:hAnsi="Times New Roman"/>
                <w:sz w:val="24"/>
              </w:rPr>
              <w:t>wierdzonym przez UE MSR 39</w:t>
            </w:r>
          </w:p>
          <w:p w14:paraId="6A86D75B" w14:textId="49239AC6" w:rsidR="00915077" w:rsidRPr="00E26EF6" w:rsidRDefault="00E06628">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467 CRR</w:t>
            </w:r>
          </w:p>
        </w:tc>
      </w:tr>
      <w:tr w:rsidR="00915077" w:rsidRPr="00E26EF6" w14:paraId="12DABBD7" w14:textId="77777777" w:rsidTr="00672D2A">
        <w:tc>
          <w:tcPr>
            <w:tcW w:w="1012" w:type="dxa"/>
          </w:tcPr>
          <w:p w14:paraId="7D3A53EE" w14:textId="77777777" w:rsidR="00915077" w:rsidRPr="00E26EF6" w:rsidRDefault="00E06628">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138</w:t>
            </w:r>
          </w:p>
        </w:tc>
        <w:tc>
          <w:tcPr>
            <w:tcW w:w="7478" w:type="dxa"/>
          </w:tcPr>
          <w:p w14:paraId="41B2BCAF" w14:textId="7A539868" w:rsidR="00915077" w:rsidRPr="00E26EF6" w:rsidRDefault="00E06628">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1.3.1.5</w:t>
            </w:r>
            <w:r w:rsidRPr="00E26EF6">
              <w:rPr>
                <w:rStyle w:val="InstructionsTabelleberschrift"/>
                <w:rFonts w:ascii="Times New Roman" w:hAnsi="Times New Roman"/>
                <w:sz w:val="24"/>
              </w:rPr>
              <w:tab/>
              <w:t>Zyski</w:t>
            </w:r>
            <w:r w:rsidR="00E26EF6" w:rsidRPr="00E26EF6">
              <w:rPr>
                <w:rStyle w:val="InstructionsTabelleberschrift"/>
                <w:rFonts w:ascii="Times New Roman" w:hAnsi="Times New Roman"/>
                <w:sz w:val="24"/>
              </w:rPr>
              <w:t xml:space="preserve"> i str</w:t>
            </w:r>
            <w:r w:rsidRPr="00E26EF6">
              <w:rPr>
                <w:rStyle w:val="InstructionsTabelleberschrift"/>
                <w:rFonts w:ascii="Times New Roman" w:hAnsi="Times New Roman"/>
                <w:sz w:val="24"/>
              </w:rPr>
              <w:t>aty związane</w:t>
            </w:r>
            <w:r w:rsidR="00E26EF6" w:rsidRPr="00E26EF6">
              <w:rPr>
                <w:rStyle w:val="InstructionsTabelleberschrift"/>
                <w:rFonts w:ascii="Times New Roman" w:hAnsi="Times New Roman"/>
                <w:sz w:val="24"/>
              </w:rPr>
              <w:t xml:space="preserve"> z wyc</w:t>
            </w:r>
            <w:r w:rsidRPr="00E26EF6">
              <w:rPr>
                <w:rStyle w:val="InstructionsTabelleberschrift"/>
                <w:rFonts w:ascii="Times New Roman" w:hAnsi="Times New Roman"/>
                <w:sz w:val="24"/>
              </w:rPr>
              <w:t>eną według wartości godziwej, wynikające</w:t>
            </w:r>
            <w:r w:rsidR="00E26EF6" w:rsidRPr="00E26EF6">
              <w:rPr>
                <w:rStyle w:val="InstructionsTabelleberschrift"/>
                <w:rFonts w:ascii="Times New Roman" w:hAnsi="Times New Roman"/>
                <w:sz w:val="24"/>
              </w:rPr>
              <w:t xml:space="preserve"> z wła</w:t>
            </w:r>
            <w:r w:rsidRPr="00E26EF6">
              <w:rPr>
                <w:rStyle w:val="InstructionsTabelleberschrift"/>
                <w:rFonts w:ascii="Times New Roman" w:hAnsi="Times New Roman"/>
                <w:sz w:val="24"/>
              </w:rPr>
              <w:t>snego ryzyka kredytowego instytucji związanego</w:t>
            </w:r>
            <w:r w:rsidR="00E26EF6" w:rsidRPr="00E26EF6">
              <w:rPr>
                <w:rStyle w:val="InstructionsTabelleberschrift"/>
                <w:rFonts w:ascii="Times New Roman" w:hAnsi="Times New Roman"/>
                <w:sz w:val="24"/>
              </w:rPr>
              <w:t xml:space="preserve"> z zob</w:t>
            </w:r>
            <w:r w:rsidRPr="00E26EF6">
              <w:rPr>
                <w:rStyle w:val="InstructionsTabelleberschrift"/>
                <w:rFonts w:ascii="Times New Roman" w:hAnsi="Times New Roman"/>
                <w:sz w:val="24"/>
              </w:rPr>
              <w:t>owiązaniami będącymi instrumentami pochodnymi</w:t>
            </w:r>
          </w:p>
          <w:p w14:paraId="00FD5CB8" w14:textId="75F5676E" w:rsidR="00915077" w:rsidRPr="00E26EF6" w:rsidRDefault="00E06628">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468 CRR</w:t>
            </w:r>
          </w:p>
        </w:tc>
      </w:tr>
      <w:tr w:rsidR="00915077" w:rsidRPr="00E26EF6" w14:paraId="4EA69FFA" w14:textId="77777777" w:rsidTr="00672D2A">
        <w:tc>
          <w:tcPr>
            <w:tcW w:w="1012" w:type="dxa"/>
          </w:tcPr>
          <w:p w14:paraId="6C64D509"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140</w:t>
            </w:r>
          </w:p>
        </w:tc>
        <w:tc>
          <w:tcPr>
            <w:tcW w:w="7478" w:type="dxa"/>
          </w:tcPr>
          <w:p w14:paraId="734DACDF" w14:textId="77777777"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1.3.2</w:t>
            </w:r>
            <w:r w:rsidRPr="00E26EF6">
              <w:rPr>
                <w:rStyle w:val="InstructionsTabelleberschrift"/>
                <w:rFonts w:ascii="Times New Roman" w:hAnsi="Times New Roman"/>
                <w:sz w:val="24"/>
              </w:rPr>
              <w:tab/>
              <w:t>Odliczenia</w:t>
            </w:r>
          </w:p>
          <w:p w14:paraId="05EDCD25" w14:textId="7993C648" w:rsidR="00915077" w:rsidRPr="00E26EF6" w:rsidRDefault="002648B0">
            <w:pPr>
              <w:spacing w:before="0"/>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469–478 CRR</w:t>
            </w:r>
          </w:p>
          <w:p w14:paraId="0EE3A7BC" w14:textId="77777777" w:rsidR="00915077" w:rsidRPr="00E26EF6" w:rsidRDefault="002648B0">
            <w:pPr>
              <w:spacing w:before="0"/>
              <w:rPr>
                <w:rStyle w:val="InstructionsTabelleText"/>
                <w:rFonts w:ascii="Times New Roman" w:hAnsi="Times New Roman"/>
                <w:sz w:val="24"/>
                <w:highlight w:val="lightGray"/>
              </w:rPr>
            </w:pPr>
            <w:r w:rsidRPr="00E26EF6">
              <w:rPr>
                <w:rStyle w:val="InstructionsTabelleText"/>
                <w:rFonts w:ascii="Times New Roman" w:hAnsi="Times New Roman"/>
                <w:sz w:val="24"/>
              </w:rPr>
              <w:t>Wiersz ten odzwierciedla ogólny skutek przepisów przejściowych dla odliczeń.</w:t>
            </w:r>
          </w:p>
        </w:tc>
      </w:tr>
      <w:tr w:rsidR="00915077" w:rsidRPr="00E26EF6" w14:paraId="7FAD8D9F" w14:textId="77777777" w:rsidTr="00672D2A">
        <w:tc>
          <w:tcPr>
            <w:tcW w:w="1012" w:type="dxa"/>
          </w:tcPr>
          <w:p w14:paraId="69541B00" w14:textId="77777777" w:rsidR="00915077" w:rsidRPr="00E26EF6" w:rsidDel="00E41E4F"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150</w:t>
            </w:r>
          </w:p>
        </w:tc>
        <w:tc>
          <w:tcPr>
            <w:tcW w:w="7478" w:type="dxa"/>
          </w:tcPr>
          <w:p w14:paraId="5A9CBF64" w14:textId="77777777"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1.3.2.1.</w:t>
            </w:r>
            <w:r w:rsidRPr="00E26EF6">
              <w:rPr>
                <w:rStyle w:val="InstructionsTabelleberschrift"/>
                <w:rFonts w:ascii="Times New Roman" w:hAnsi="Times New Roman"/>
                <w:sz w:val="24"/>
              </w:rPr>
              <w:tab/>
              <w:t>Straty za bieżący rok obrotowy</w:t>
            </w:r>
          </w:p>
          <w:p w14:paraId="4A674ADA" w14:textId="157565E5" w:rsidR="00915077" w:rsidRPr="00E26EF6" w:rsidRDefault="00BB22D4">
            <w:pPr>
              <w:pStyle w:val="InstructionsText"/>
              <w:rPr>
                <w:rStyle w:val="InstructionsTabelleText"/>
                <w:rFonts w:ascii="Times New Roman" w:hAnsi="Times New Roman"/>
                <w:bCs/>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77AF59C5" w14:textId="00B41BC5" w:rsidR="00915077" w:rsidRPr="00E26EF6" w:rsidRDefault="002648B0">
            <w:pPr>
              <w:pStyle w:val="InstructionsText"/>
              <w:rPr>
                <w:rStyle w:val="InstructionsTabelleText"/>
                <w:rFonts w:ascii="Times New Roman" w:hAnsi="Times New Roman"/>
                <w:bCs/>
                <w:sz w:val="24"/>
              </w:rPr>
            </w:pPr>
            <w:r w:rsidRPr="00E26EF6">
              <w:rPr>
                <w:rStyle w:val="InstructionsTabelleText"/>
                <w:rFonts w:ascii="Times New Roman" w:hAnsi="Times New Roman"/>
                <w:sz w:val="24"/>
              </w:rPr>
              <w:t>Kwotą,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jest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p w14:paraId="1D13CCD6" w14:textId="77777777" w:rsidR="00915077" w:rsidRPr="00E26EF6" w:rsidRDefault="002648B0">
            <w:pPr>
              <w:pStyle w:val="InstructionsText"/>
              <w:rPr>
                <w:rStyle w:val="InstructionsTabelleText"/>
                <w:rFonts w:ascii="Times New Roman" w:hAnsi="Times New Roman"/>
                <w:bCs/>
                <w:sz w:val="24"/>
              </w:rPr>
            </w:pPr>
            <w:r w:rsidRPr="00E26EF6">
              <w:rPr>
                <w:rStyle w:val="InstructionsTabelleText"/>
                <w:rFonts w:ascii="Times New Roman" w:hAnsi="Times New Roman"/>
                <w:sz w:val="24"/>
              </w:rPr>
              <w:t>Jeżeli firmy były zobowiązane jedynie do odliczenia istotnych strat:</w:t>
            </w:r>
          </w:p>
          <w:p w14:paraId="1BA5E15F" w14:textId="76D32BE0" w:rsidR="00915077" w:rsidRPr="00E26EF6" w:rsidRDefault="002648B0">
            <w:pPr>
              <w:pStyle w:val="InstructionsText"/>
              <w:rPr>
                <w:rStyle w:val="InstructionsTabelleText"/>
                <w:rFonts w:ascii="Times New Roman" w:hAnsi="Times New Roman"/>
                <w:bCs/>
                <w:sz w:val="24"/>
              </w:rPr>
            </w:pPr>
            <w:r w:rsidRPr="00E26EF6">
              <w:rPr>
                <w:rStyle w:val="InstructionsTabelleText"/>
                <w:rFonts w:ascii="Times New Roman" w:hAnsi="Times New Roman"/>
                <w:sz w:val="24"/>
              </w:rPr>
              <w:t>•</w:t>
            </w:r>
            <w:r w:rsidR="00E26EF6" w:rsidRPr="00E26EF6">
              <w:rPr>
                <w:rStyle w:val="InstructionsTabelleText"/>
                <w:rFonts w:ascii="Times New Roman" w:hAnsi="Times New Roman"/>
                <w:sz w:val="24"/>
              </w:rPr>
              <w:t xml:space="preserve"> w prz</w:t>
            </w:r>
            <w:r w:rsidRPr="00E26EF6">
              <w:rPr>
                <w:rStyle w:val="InstructionsTabelleText"/>
                <w:rFonts w:ascii="Times New Roman" w:hAnsi="Times New Roman"/>
                <w:sz w:val="24"/>
              </w:rPr>
              <w:t>ypadku gdy cała strata netto</w:t>
            </w:r>
            <w:r w:rsidR="00E26EF6" w:rsidRPr="00E26EF6">
              <w:rPr>
                <w:rStyle w:val="InstructionsTabelleText"/>
                <w:rFonts w:ascii="Times New Roman" w:hAnsi="Times New Roman"/>
                <w:sz w:val="24"/>
              </w:rPr>
              <w:t xml:space="preserve"> z bie</w:t>
            </w:r>
            <w:r w:rsidRPr="00E26EF6">
              <w:rPr>
                <w:rStyle w:val="InstructionsTabelleText"/>
                <w:rFonts w:ascii="Times New Roman" w:hAnsi="Times New Roman"/>
                <w:sz w:val="24"/>
              </w:rPr>
              <w:t>żącego okresu była „istotna”, cała kwota rezydualna zostałaby odliczona od kapitału Tier I; lub</w:t>
            </w:r>
          </w:p>
          <w:p w14:paraId="45C3B2C2" w14:textId="322E94E2" w:rsidR="00915077" w:rsidRPr="00E26EF6" w:rsidRDefault="002648B0">
            <w:pPr>
              <w:pStyle w:val="InstructionsText"/>
              <w:rPr>
                <w:rStyle w:val="InstructionsTabelleText"/>
                <w:rFonts w:ascii="Times New Roman" w:hAnsi="Times New Roman"/>
                <w:bCs/>
                <w:sz w:val="24"/>
                <w:highlight w:val="lightGray"/>
              </w:rPr>
            </w:pPr>
            <w:r w:rsidRPr="00E26EF6">
              <w:rPr>
                <w:rStyle w:val="InstructionsTabelleText"/>
                <w:rFonts w:ascii="Times New Roman" w:hAnsi="Times New Roman"/>
                <w:sz w:val="24"/>
              </w:rPr>
              <w:t>•</w:t>
            </w:r>
            <w:r w:rsidR="00E26EF6" w:rsidRPr="00E26EF6">
              <w:rPr>
                <w:rStyle w:val="InstructionsTabelleText"/>
                <w:rFonts w:ascii="Times New Roman" w:hAnsi="Times New Roman"/>
                <w:sz w:val="24"/>
              </w:rPr>
              <w:t xml:space="preserve"> w prz</w:t>
            </w:r>
            <w:r w:rsidRPr="00E26EF6">
              <w:rPr>
                <w:rStyle w:val="InstructionsTabelleText"/>
                <w:rFonts w:ascii="Times New Roman" w:hAnsi="Times New Roman"/>
                <w:sz w:val="24"/>
              </w:rPr>
              <w:t>ypadku gdy cała strata netto</w:t>
            </w:r>
            <w:r w:rsidR="00E26EF6" w:rsidRPr="00E26EF6">
              <w:rPr>
                <w:rStyle w:val="InstructionsTabelleText"/>
                <w:rFonts w:ascii="Times New Roman" w:hAnsi="Times New Roman"/>
                <w:sz w:val="24"/>
              </w:rPr>
              <w:t xml:space="preserve"> z bie</w:t>
            </w:r>
            <w:r w:rsidRPr="00E26EF6">
              <w:rPr>
                <w:rStyle w:val="InstructionsTabelleText"/>
                <w:rFonts w:ascii="Times New Roman" w:hAnsi="Times New Roman"/>
                <w:sz w:val="24"/>
              </w:rPr>
              <w:t>żącego okresu nie była „istotna”, kwota rezydualna nie zostałaby odliczona.</w:t>
            </w:r>
          </w:p>
        </w:tc>
      </w:tr>
      <w:tr w:rsidR="00915077" w:rsidRPr="00E26EF6" w14:paraId="1B915F21" w14:textId="77777777" w:rsidTr="00672D2A">
        <w:tc>
          <w:tcPr>
            <w:tcW w:w="1012" w:type="dxa"/>
          </w:tcPr>
          <w:p w14:paraId="401F021A" w14:textId="77777777" w:rsidR="00915077" w:rsidRPr="00E26EF6" w:rsidDel="00E41E4F"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160</w:t>
            </w:r>
          </w:p>
        </w:tc>
        <w:tc>
          <w:tcPr>
            <w:tcW w:w="7478" w:type="dxa"/>
          </w:tcPr>
          <w:p w14:paraId="00A0644F" w14:textId="11B32765"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1.3.2.2.</w:t>
            </w:r>
            <w:r w:rsidRPr="00E26EF6">
              <w:rPr>
                <w:rStyle w:val="InstructionsTabelleberschrift"/>
                <w:rFonts w:ascii="Times New Roman" w:hAnsi="Times New Roman"/>
                <w:sz w:val="24"/>
              </w:rPr>
              <w:tab/>
              <w:t>Wartości niematerialne</w:t>
            </w:r>
            <w:r w:rsidR="00E26EF6" w:rsidRPr="00E26EF6">
              <w:rPr>
                <w:rStyle w:val="InstructionsTabelleberschrift"/>
                <w:rFonts w:ascii="Times New Roman" w:hAnsi="Times New Roman"/>
                <w:sz w:val="24"/>
              </w:rPr>
              <w:t xml:space="preserve"> i pra</w:t>
            </w:r>
            <w:r w:rsidRPr="00E26EF6">
              <w:rPr>
                <w:rStyle w:val="InstructionsTabelleberschrift"/>
                <w:rFonts w:ascii="Times New Roman" w:hAnsi="Times New Roman"/>
                <w:sz w:val="24"/>
              </w:rPr>
              <w:t>wne</w:t>
            </w:r>
          </w:p>
          <w:p w14:paraId="2434DB68" w14:textId="50F46385"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1AD1DACF" w14:textId="6AE18F92"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Przy określaniu kwoty wartości niematerialnych</w:t>
            </w:r>
            <w:r w:rsidR="00E26EF6" w:rsidRPr="00E26EF6">
              <w:rPr>
                <w:rStyle w:val="InstructionsTabelleText"/>
                <w:rFonts w:ascii="Times New Roman" w:hAnsi="Times New Roman"/>
                <w:sz w:val="24"/>
              </w:rPr>
              <w:t xml:space="preserve"> i pra</w:t>
            </w:r>
            <w:r w:rsidRPr="00E26EF6">
              <w:rPr>
                <w:rStyle w:val="InstructionsTabelleText"/>
                <w:rFonts w:ascii="Times New Roman" w:hAnsi="Times New Roman"/>
                <w:sz w:val="24"/>
              </w:rPr>
              <w:t>wnych, którą należy odliczyć, instytucje biorą pod uwagę przepisy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37 CRR.</w:t>
            </w:r>
          </w:p>
          <w:p w14:paraId="7FC3F4C0" w14:textId="7F7A937B"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Kwotą,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jest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CRR.</w:t>
            </w:r>
          </w:p>
        </w:tc>
      </w:tr>
      <w:tr w:rsidR="00915077" w:rsidRPr="00E26EF6" w14:paraId="24D62F44" w14:textId="77777777" w:rsidTr="00672D2A">
        <w:tc>
          <w:tcPr>
            <w:tcW w:w="1012" w:type="dxa"/>
          </w:tcPr>
          <w:p w14:paraId="32FB2A1D" w14:textId="77777777"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170</w:t>
            </w:r>
          </w:p>
          <w:p w14:paraId="688B6C0E" w14:textId="77777777" w:rsidR="00915077" w:rsidRPr="00E26EF6" w:rsidRDefault="00915077">
            <w:pPr>
              <w:pStyle w:val="InstructionsText"/>
              <w:rPr>
                <w:rStyle w:val="InstructionsTabelleText"/>
                <w:rFonts w:ascii="Times New Roman" w:hAnsi="Times New Roman"/>
                <w:sz w:val="24"/>
                <w:highlight w:val="lightGray"/>
              </w:rPr>
            </w:pPr>
          </w:p>
        </w:tc>
        <w:tc>
          <w:tcPr>
            <w:tcW w:w="7478" w:type="dxa"/>
          </w:tcPr>
          <w:p w14:paraId="47BD46E7" w14:textId="0C736479"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1.3.2.3.</w:t>
            </w:r>
            <w:r w:rsidRPr="00E26EF6">
              <w:rPr>
                <w:rStyle w:val="InstructionsTabelleberschrift"/>
                <w:rFonts w:ascii="Times New Roman" w:hAnsi="Times New Roman"/>
                <w:sz w:val="24"/>
              </w:rPr>
              <w:tab/>
              <w:t>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oparte na przyszłej rentowności</w:t>
            </w:r>
            <w:r w:rsidR="00E26EF6" w:rsidRPr="00E26EF6">
              <w:rPr>
                <w:rStyle w:val="InstructionsTabelleberschrift"/>
                <w:rFonts w:ascii="Times New Roman" w:hAnsi="Times New Roman"/>
                <w:sz w:val="24"/>
              </w:rPr>
              <w:t xml:space="preserve"> i nie</w:t>
            </w:r>
            <w:r w:rsidRPr="00E26EF6">
              <w:rPr>
                <w:rStyle w:val="InstructionsTabelleberschrift"/>
                <w:rFonts w:ascii="Times New Roman" w:hAnsi="Times New Roman"/>
                <w:sz w:val="24"/>
              </w:rPr>
              <w:t>wynikające</w:t>
            </w:r>
            <w:r w:rsidR="00E26EF6" w:rsidRPr="00E26EF6">
              <w:rPr>
                <w:rStyle w:val="InstructionsTabelleberschrift"/>
                <w:rFonts w:ascii="Times New Roman" w:hAnsi="Times New Roman"/>
                <w:sz w:val="24"/>
              </w:rPr>
              <w:t xml:space="preserve"> z róż</w:t>
            </w:r>
            <w:r w:rsidRPr="00E26EF6">
              <w:rPr>
                <w:rStyle w:val="InstructionsTabelleberschrift"/>
                <w:rFonts w:ascii="Times New Roman" w:hAnsi="Times New Roman"/>
                <w:sz w:val="24"/>
              </w:rPr>
              <w:t>nic przejściowych</w:t>
            </w:r>
          </w:p>
          <w:p w14:paraId="4355E263" w14:textId="48E1B879"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c),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50DABAF8" w14:textId="4367A15D"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Przy określaniu kwoty wyżej wspomnianych aktywów</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odroczonego podatku dochodowego, którą należy odliczyć, instytucje biorą pod uwagę przepisy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38 CRR dotyczące zmniejszenia aktywów</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odroczonego podatku dochodowego</w:t>
            </w:r>
            <w:r w:rsidR="00E26EF6" w:rsidRPr="00E26EF6">
              <w:rPr>
                <w:rStyle w:val="InstructionsTabelleText"/>
                <w:rFonts w:ascii="Times New Roman" w:hAnsi="Times New Roman"/>
                <w:sz w:val="24"/>
              </w:rPr>
              <w:t xml:space="preserve"> o rez</w:t>
            </w:r>
            <w:r w:rsidRPr="00E26EF6">
              <w:rPr>
                <w:rStyle w:val="InstructionsTabelleText"/>
                <w:rFonts w:ascii="Times New Roman" w:hAnsi="Times New Roman"/>
                <w:sz w:val="24"/>
              </w:rPr>
              <w:t>erwy</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odroczonego podatku dochodowego.</w:t>
            </w:r>
          </w:p>
          <w:p w14:paraId="72438F1D" w14:textId="4E465B73"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całkowita kwota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CRR.</w:t>
            </w:r>
          </w:p>
        </w:tc>
      </w:tr>
      <w:tr w:rsidR="00915077" w:rsidRPr="00E26EF6" w14:paraId="3780187D" w14:textId="77777777" w:rsidTr="00672D2A">
        <w:tc>
          <w:tcPr>
            <w:tcW w:w="1012" w:type="dxa"/>
          </w:tcPr>
          <w:p w14:paraId="47E0148D" w14:textId="77777777"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180</w:t>
            </w:r>
          </w:p>
          <w:p w14:paraId="7A813EAF" w14:textId="77777777" w:rsidR="00915077" w:rsidRPr="00E26EF6" w:rsidRDefault="00915077">
            <w:pPr>
              <w:pStyle w:val="InstructionsText"/>
              <w:rPr>
                <w:rStyle w:val="InstructionsTabelleText"/>
                <w:rFonts w:ascii="Times New Roman" w:hAnsi="Times New Roman"/>
                <w:sz w:val="24"/>
                <w:highlight w:val="lightGray"/>
              </w:rPr>
            </w:pPr>
          </w:p>
        </w:tc>
        <w:tc>
          <w:tcPr>
            <w:tcW w:w="7478" w:type="dxa"/>
          </w:tcPr>
          <w:p w14:paraId="4B4EBB21" w14:textId="77777777"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1.3.2.4.</w:t>
            </w:r>
            <w:r w:rsidRPr="00E26EF6">
              <w:rPr>
                <w:rStyle w:val="InstructionsTabelleberschrift"/>
                <w:rFonts w:ascii="Times New Roman" w:hAnsi="Times New Roman"/>
                <w:sz w:val="24"/>
              </w:rPr>
              <w:tab/>
              <w:t>Niedobór rezerw na oczekiwane straty według metody IRB</w:t>
            </w:r>
          </w:p>
          <w:p w14:paraId="266DCF0F" w14:textId="35866476"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d),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6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5DAD45C5" w14:textId="54F93DC2"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Przy określaniu kwoty wyżej wspomnianego niedoboru rezerwy na oczekiwane straty według metody IRB, którą należy odliczyć, instytucje biorą pod uwagę przepisy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40 CRR.</w:t>
            </w:r>
          </w:p>
          <w:p w14:paraId="5B5A6FCE" w14:textId="28D29FD1"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d) CRR</w:t>
            </w:r>
          </w:p>
        </w:tc>
      </w:tr>
      <w:tr w:rsidR="00915077" w:rsidRPr="00E26EF6" w14:paraId="448E168D" w14:textId="77777777" w:rsidTr="00672D2A">
        <w:tc>
          <w:tcPr>
            <w:tcW w:w="1012" w:type="dxa"/>
          </w:tcPr>
          <w:p w14:paraId="48384768" w14:textId="77777777" w:rsidR="00915077" w:rsidRPr="00E26EF6" w:rsidDel="00E41E4F"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190</w:t>
            </w:r>
          </w:p>
        </w:tc>
        <w:tc>
          <w:tcPr>
            <w:tcW w:w="7478" w:type="dxa"/>
          </w:tcPr>
          <w:p w14:paraId="32182C03" w14:textId="77777777"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1.3.2.5.</w:t>
            </w:r>
            <w:r w:rsidRPr="00E26EF6">
              <w:rPr>
                <w:rStyle w:val="InstructionsTabelleberschrift"/>
                <w:rFonts w:ascii="Times New Roman" w:hAnsi="Times New Roman"/>
                <w:sz w:val="24"/>
              </w:rPr>
              <w:tab/>
              <w:t>Aktywa funduszu emerytalnego ze zdefiniowanymi świadczeniami</w:t>
            </w:r>
          </w:p>
          <w:p w14:paraId="645D30A6" w14:textId="7F471439"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33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e),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7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473</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66204E08" w14:textId="1017E066"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Przy określaniu kwoty wyżej wspomnianych aktywów funduszu emerytalnego ze zdefiniowanymi świadczeniami, którą należy odliczyć, instytucje biorą pod uwagę przepisy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41 CRR.</w:t>
            </w:r>
          </w:p>
          <w:p w14:paraId="005E812C" w14:textId="38995672"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e) CRR</w:t>
            </w:r>
          </w:p>
        </w:tc>
      </w:tr>
      <w:tr w:rsidR="00915077" w:rsidRPr="00E26EF6" w14:paraId="29112ADA" w14:textId="77777777" w:rsidTr="00672D2A">
        <w:tc>
          <w:tcPr>
            <w:tcW w:w="1012" w:type="dxa"/>
          </w:tcPr>
          <w:p w14:paraId="1A040774" w14:textId="77777777" w:rsidR="00915077" w:rsidRPr="00E26EF6" w:rsidRDefault="00B11D0D">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194</w:t>
            </w:r>
          </w:p>
        </w:tc>
        <w:tc>
          <w:tcPr>
            <w:tcW w:w="7478" w:type="dxa"/>
          </w:tcPr>
          <w:p w14:paraId="279EA20B" w14:textId="77777777" w:rsidR="00915077" w:rsidRPr="00E26EF6" w:rsidRDefault="00B11D0D">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1.3.2.5.*</w:t>
            </w:r>
            <w:r w:rsidRPr="00E26EF6">
              <w:rPr>
                <w:rStyle w:val="InstructionsTabelleberschrift"/>
                <w:rFonts w:ascii="Times New Roman" w:hAnsi="Times New Roman"/>
                <w:sz w:val="24"/>
              </w:rPr>
              <w:tab/>
              <w:t>W tym: wprowadzenie zmian w MSR 19 – pozycja dodatnia</w:t>
            </w:r>
          </w:p>
          <w:p w14:paraId="0BBB3C9E" w14:textId="4C59EDF2" w:rsidR="00915077" w:rsidRPr="00E26EF6" w:rsidRDefault="00201704">
            <w:pPr>
              <w:pStyle w:val="InstructionsText"/>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lastRenderedPageBreak/>
              <w:t>Art. 473 CRR</w:t>
            </w:r>
          </w:p>
        </w:tc>
      </w:tr>
      <w:tr w:rsidR="00915077" w:rsidRPr="00E26EF6" w14:paraId="69715AAF" w14:textId="77777777" w:rsidTr="00672D2A">
        <w:tc>
          <w:tcPr>
            <w:tcW w:w="1012" w:type="dxa"/>
          </w:tcPr>
          <w:p w14:paraId="12A5C28B" w14:textId="77777777"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198</w:t>
            </w:r>
          </w:p>
        </w:tc>
        <w:tc>
          <w:tcPr>
            <w:tcW w:w="7478" w:type="dxa"/>
          </w:tcPr>
          <w:p w14:paraId="7C24FDB3" w14:textId="77777777"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1.3.2.5.**</w:t>
            </w:r>
            <w:r w:rsidRPr="00E26EF6">
              <w:rPr>
                <w:rStyle w:val="InstructionsTabelleberschrift"/>
                <w:rFonts w:ascii="Times New Roman" w:hAnsi="Times New Roman"/>
                <w:sz w:val="24"/>
              </w:rPr>
              <w:tab/>
              <w:t>W tym: wprowadzenie zmian w MSR 19 – pozycja ujemna</w:t>
            </w:r>
          </w:p>
          <w:p w14:paraId="3225A680" w14:textId="310A3F39" w:rsidR="00915077" w:rsidRPr="00E26EF6" w:rsidRDefault="00201704">
            <w:pPr>
              <w:pStyle w:val="InstructionsText"/>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t>Art. 473 CRR</w:t>
            </w:r>
          </w:p>
        </w:tc>
      </w:tr>
      <w:tr w:rsidR="00915077" w:rsidRPr="00E26EF6" w14:paraId="63FDF032" w14:textId="77777777" w:rsidTr="00672D2A">
        <w:tc>
          <w:tcPr>
            <w:tcW w:w="1012" w:type="dxa"/>
          </w:tcPr>
          <w:p w14:paraId="3CB0D1C7"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200</w:t>
            </w:r>
          </w:p>
        </w:tc>
        <w:tc>
          <w:tcPr>
            <w:tcW w:w="7478" w:type="dxa"/>
          </w:tcPr>
          <w:p w14:paraId="666C8FD7" w14:textId="77777777"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1.3.2.6.</w:t>
            </w:r>
            <w:r w:rsidRPr="00E26EF6">
              <w:rPr>
                <w:rStyle w:val="InstructionsTabelleberschrift"/>
                <w:rFonts w:ascii="Times New Roman" w:hAnsi="Times New Roman"/>
                <w:sz w:val="24"/>
              </w:rPr>
              <w:tab/>
              <w:t>Instrumenty własne</w:t>
            </w:r>
          </w:p>
          <w:p w14:paraId="6DD70F0F" w14:textId="7F9C1096"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f),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6E699820" w14:textId="00A9952A"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f) CRR.</w:t>
            </w:r>
          </w:p>
        </w:tc>
      </w:tr>
      <w:tr w:rsidR="00915077" w:rsidRPr="00E26EF6" w14:paraId="793E04B5" w14:textId="77777777" w:rsidTr="00672D2A">
        <w:tc>
          <w:tcPr>
            <w:tcW w:w="1012" w:type="dxa"/>
          </w:tcPr>
          <w:p w14:paraId="1FF48FA6" w14:textId="77777777"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210</w:t>
            </w:r>
          </w:p>
          <w:p w14:paraId="043792D9" w14:textId="77777777" w:rsidR="00915077" w:rsidRPr="00E26EF6" w:rsidRDefault="00915077">
            <w:pPr>
              <w:pStyle w:val="InstructionsText"/>
              <w:rPr>
                <w:rStyle w:val="InstructionsTabelleText"/>
                <w:rFonts w:ascii="Times New Roman" w:hAnsi="Times New Roman"/>
                <w:sz w:val="24"/>
                <w:highlight w:val="lightGray"/>
              </w:rPr>
            </w:pPr>
          </w:p>
        </w:tc>
        <w:tc>
          <w:tcPr>
            <w:tcW w:w="7478" w:type="dxa"/>
          </w:tcPr>
          <w:p w14:paraId="63094381" w14:textId="413FB013" w:rsidR="00915077" w:rsidRPr="00E26EF6" w:rsidRDefault="0020170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1.3.2.6.1</w:t>
            </w:r>
            <w:r w:rsidRPr="00E26EF6">
              <w:rPr>
                <w:rStyle w:val="InstructionsTabelleberschrift"/>
                <w:rFonts w:ascii="Times New Roman" w:hAnsi="Times New Roman"/>
                <w:sz w:val="24"/>
              </w:rPr>
              <w:tab/>
              <w:t>Instrumenty własne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756FA04D" w14:textId="573F5740"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f),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110B4277" w14:textId="42D655AC"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Przy określaniu kwoty wyżej wspomnianych instrumentów własnych</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podstawowym Tier I, którą należy odliczyć, instytucje biorą pod uwagę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42 CRR.</w:t>
            </w:r>
          </w:p>
          <w:p w14:paraId="78018FF7" w14:textId="31BF8ED2"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Biorąc pod uwagę fakt, że traktowanie „kwoty rezydualnej” różni się</w:t>
            </w:r>
            <w:r w:rsidR="00E26EF6" w:rsidRPr="00E26EF6">
              <w:rPr>
                <w:rStyle w:val="InstructionsTabelleText"/>
                <w:rFonts w:ascii="Times New Roman" w:hAnsi="Times New Roman"/>
                <w:sz w:val="24"/>
              </w:rPr>
              <w:t xml:space="preserve"> w zal</w:t>
            </w:r>
            <w:r w:rsidRPr="00E26EF6">
              <w:rPr>
                <w:rStyle w:val="InstructionsTabelleText"/>
                <w:rFonts w:ascii="Times New Roman" w:hAnsi="Times New Roman"/>
                <w:sz w:val="24"/>
              </w:rPr>
              <w:t>eżności od charakteru instrumentu, instytucje dzielą udziały kapitałowe</w:t>
            </w:r>
            <w:r w:rsidR="00E26EF6" w:rsidRPr="00E26EF6">
              <w:rPr>
                <w:rStyle w:val="InstructionsTabelleText"/>
                <w:rFonts w:ascii="Times New Roman" w:hAnsi="Times New Roman"/>
                <w:sz w:val="24"/>
              </w:rPr>
              <w:t xml:space="preserve"> w ins</w:t>
            </w:r>
            <w:r w:rsidRPr="00E26EF6">
              <w:rPr>
                <w:rStyle w:val="InstructionsTabelleText"/>
                <w:rFonts w:ascii="Times New Roman" w:hAnsi="Times New Roman"/>
                <w:sz w:val="24"/>
              </w:rPr>
              <w:t>trumentach własnych</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podstawowym na udziały „bezpośrednie” i „pośrednie”.</w:t>
            </w:r>
          </w:p>
          <w:p w14:paraId="6EFCF488" w14:textId="545C4021"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f) CRR.</w:t>
            </w:r>
          </w:p>
        </w:tc>
      </w:tr>
      <w:tr w:rsidR="00915077" w:rsidRPr="00E26EF6" w14:paraId="390FBB1F" w14:textId="77777777" w:rsidTr="00672D2A">
        <w:tc>
          <w:tcPr>
            <w:tcW w:w="1012" w:type="dxa"/>
          </w:tcPr>
          <w:p w14:paraId="5B4784F8"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211</w:t>
            </w:r>
          </w:p>
        </w:tc>
        <w:tc>
          <w:tcPr>
            <w:tcW w:w="7478" w:type="dxa"/>
          </w:tcPr>
          <w:p w14:paraId="61C5099D" w14:textId="77777777" w:rsidR="00915077" w:rsidRPr="00E26EF6" w:rsidRDefault="008A1A1E">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1.3.2.6.1**</w:t>
            </w:r>
            <w:r w:rsidRPr="00E26EF6">
              <w:rPr>
                <w:rStyle w:val="InstructionsTabelleberschrift"/>
                <w:rFonts w:ascii="Times New Roman" w:hAnsi="Times New Roman"/>
                <w:sz w:val="24"/>
              </w:rPr>
              <w:tab/>
              <w:t>W tym: bezpośrednie udziały kapitałowe</w:t>
            </w:r>
          </w:p>
          <w:p w14:paraId="5F0EBEF9" w14:textId="04C5352E"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p w14:paraId="53C148B9" w14:textId="43BD76DD"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łączna kwota bezpośrednich udziałów kapitałowych,</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instrumentów, które instytucja może być zobowiązana nabyć na mocy istniejącego lub warunkowego zobowiązania umownego. </w:t>
            </w:r>
          </w:p>
        </w:tc>
      </w:tr>
      <w:tr w:rsidR="00915077" w:rsidRPr="00E26EF6" w14:paraId="2CF01656" w14:textId="77777777" w:rsidTr="00672D2A">
        <w:tc>
          <w:tcPr>
            <w:tcW w:w="1012" w:type="dxa"/>
          </w:tcPr>
          <w:p w14:paraId="2B8A6CE7"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212</w:t>
            </w:r>
          </w:p>
        </w:tc>
        <w:tc>
          <w:tcPr>
            <w:tcW w:w="7478" w:type="dxa"/>
          </w:tcPr>
          <w:p w14:paraId="7880AF2F" w14:textId="77777777" w:rsidR="00915077" w:rsidRPr="00E26EF6" w:rsidRDefault="008A1A1E">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1.3.2.6.1*</w:t>
            </w:r>
            <w:r w:rsidRPr="00E26EF6">
              <w:rPr>
                <w:rStyle w:val="InstructionsTabelleberschrift"/>
                <w:rFonts w:ascii="Times New Roman" w:hAnsi="Times New Roman"/>
                <w:sz w:val="24"/>
              </w:rPr>
              <w:tab/>
              <w:t>W tym: pośrednie udziały kapitałowe</w:t>
            </w:r>
          </w:p>
          <w:p w14:paraId="7BCD9309" w14:textId="4D69B065"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CRR</w:t>
            </w:r>
          </w:p>
          <w:p w14:paraId="34DA11F8" w14:textId="3364E2AA" w:rsidR="00915077" w:rsidRPr="00E26EF6" w:rsidRDefault="00A60195">
            <w:pPr>
              <w:pStyle w:val="InstructionsText"/>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łączna kwota pośrednich udziałów kapitałowych,</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instrumentów, które instytucja może być zobowiązana nabyć na mocy istniejącego lub warunkowego zobowiązania umownego.</w:t>
            </w:r>
          </w:p>
        </w:tc>
      </w:tr>
      <w:tr w:rsidR="00915077" w:rsidRPr="00E26EF6" w14:paraId="5081264F" w14:textId="77777777" w:rsidTr="00672D2A">
        <w:tc>
          <w:tcPr>
            <w:tcW w:w="1012" w:type="dxa"/>
          </w:tcPr>
          <w:p w14:paraId="1195A069"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220</w:t>
            </w:r>
          </w:p>
        </w:tc>
        <w:tc>
          <w:tcPr>
            <w:tcW w:w="7478" w:type="dxa"/>
          </w:tcPr>
          <w:p w14:paraId="34379458" w14:textId="7469F0EB" w:rsidR="00915077" w:rsidRPr="00E26EF6" w:rsidRDefault="0020170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1.3.2.6.2</w:t>
            </w:r>
            <w:r w:rsidRPr="00E26EF6">
              <w:rPr>
                <w:rStyle w:val="InstructionsTabelleberschrift"/>
                <w:rFonts w:ascii="Times New Roman" w:hAnsi="Times New Roman"/>
                <w:sz w:val="24"/>
              </w:rPr>
              <w:tab/>
              <w:t>Instrumenty własne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5342B049" w14:textId="4C435D7A"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474</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4071C2D3" w14:textId="304E69B4"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Przy określaniu kwoty wyżej wspomnianych udziałów kapitałowych, którą należy odliczyć, instytucje biorą pod uwagę przepisy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57 CRR.</w:t>
            </w:r>
          </w:p>
          <w:p w14:paraId="674BFE7A" w14:textId="59359718"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Biorąc pod uwagę fakt, że traktowanie „kwoty rezydualnej” różni się</w:t>
            </w:r>
            <w:r w:rsidR="00E26EF6" w:rsidRPr="00E26EF6">
              <w:rPr>
                <w:rStyle w:val="InstructionsTabelleText"/>
                <w:rFonts w:ascii="Times New Roman" w:hAnsi="Times New Roman"/>
                <w:sz w:val="24"/>
              </w:rPr>
              <w:t xml:space="preserve"> w zal</w:t>
            </w:r>
            <w:r w:rsidRPr="00E26EF6">
              <w:rPr>
                <w:rStyle w:val="InstructionsTabelleText"/>
                <w:rFonts w:ascii="Times New Roman" w:hAnsi="Times New Roman"/>
                <w:sz w:val="24"/>
              </w:rPr>
              <w:t>eżności od charakteru instrumentu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CRR), instytucje dzielą wyżej wspomniane udziały kapitałowe na udziały „bezpośrednie” i „pośrednie”</w:t>
            </w:r>
            <w:r w:rsidR="00E26EF6" w:rsidRPr="00E26EF6">
              <w:rPr>
                <w:rStyle w:val="InstructionsTabelleText"/>
                <w:rFonts w:ascii="Times New Roman" w:hAnsi="Times New Roman"/>
                <w:sz w:val="24"/>
              </w:rPr>
              <w:t xml:space="preserve"> w ins</w:t>
            </w:r>
            <w:r w:rsidRPr="00E26EF6">
              <w:rPr>
                <w:rStyle w:val="InstructionsTabelleText"/>
                <w:rFonts w:ascii="Times New Roman" w:hAnsi="Times New Roman"/>
                <w:sz w:val="24"/>
              </w:rPr>
              <w:t>trumentach dodatkowych</w:t>
            </w:r>
            <w:r w:rsidR="00E26EF6" w:rsidRPr="00E26EF6">
              <w:rPr>
                <w:rStyle w:val="InstructionsTabelleText"/>
                <w:rFonts w:ascii="Times New Roman" w:hAnsi="Times New Roman"/>
                <w:sz w:val="24"/>
              </w:rPr>
              <w:t xml:space="preserve"> w Tie</w:t>
            </w:r>
            <w:r w:rsidRPr="00E26EF6">
              <w:rPr>
                <w:rStyle w:val="InstructionsTabelleText"/>
                <w:rFonts w:ascii="Times New Roman" w:hAnsi="Times New Roman"/>
                <w:sz w:val="24"/>
              </w:rPr>
              <w:t>r I.</w:t>
            </w:r>
          </w:p>
          <w:p w14:paraId="696E88C0" w14:textId="3634999D"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tc>
      </w:tr>
      <w:tr w:rsidR="00915077" w:rsidRPr="00E26EF6" w14:paraId="47B22F43" w14:textId="77777777" w:rsidTr="00672D2A">
        <w:tc>
          <w:tcPr>
            <w:tcW w:w="1012" w:type="dxa"/>
          </w:tcPr>
          <w:p w14:paraId="05A78882"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221</w:t>
            </w:r>
          </w:p>
        </w:tc>
        <w:tc>
          <w:tcPr>
            <w:tcW w:w="7478" w:type="dxa"/>
          </w:tcPr>
          <w:p w14:paraId="072C949C" w14:textId="77777777" w:rsidR="00915077" w:rsidRPr="00E26EF6" w:rsidRDefault="008A1A1E">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1.3.2.6.2**</w:t>
            </w:r>
            <w:r w:rsidRPr="00E26EF6">
              <w:rPr>
                <w:rStyle w:val="InstructionsTabelleberschrift"/>
                <w:rFonts w:ascii="Times New Roman" w:hAnsi="Times New Roman"/>
                <w:sz w:val="24"/>
              </w:rPr>
              <w:tab/>
              <w:t>W tym: bezpośrednie udziały kapitałowe</w:t>
            </w:r>
          </w:p>
          <w:p w14:paraId="544DCCAF" w14:textId="329596FA" w:rsidR="00915077" w:rsidRPr="00E26EF6" w:rsidRDefault="00A60195">
            <w:pPr>
              <w:pStyle w:val="InstructionsText"/>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łączna kwota bezpośrednich udziałów kapitałowych,</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instrumentów, które instytucja może być zobowiązana nabyć na mocy istniejącego lub warunkowego zobowiązania umownego,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474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tc>
      </w:tr>
      <w:tr w:rsidR="00915077" w:rsidRPr="00E26EF6" w14:paraId="5EDEFB7F" w14:textId="77777777" w:rsidTr="00672D2A">
        <w:tc>
          <w:tcPr>
            <w:tcW w:w="1012" w:type="dxa"/>
          </w:tcPr>
          <w:p w14:paraId="19CC0771"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222</w:t>
            </w:r>
          </w:p>
        </w:tc>
        <w:tc>
          <w:tcPr>
            <w:tcW w:w="7478" w:type="dxa"/>
          </w:tcPr>
          <w:p w14:paraId="43463552" w14:textId="77777777" w:rsidR="00915077" w:rsidRPr="00E26EF6" w:rsidRDefault="008A1A1E">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1.3.2.6.2*</w:t>
            </w:r>
            <w:r w:rsidRPr="00E26EF6">
              <w:rPr>
                <w:rStyle w:val="InstructionsTabelleberschrift"/>
                <w:rFonts w:ascii="Times New Roman" w:hAnsi="Times New Roman"/>
                <w:sz w:val="24"/>
              </w:rPr>
              <w:tab/>
              <w:t>W tym: pośrednie udziały kapitałowe</w:t>
            </w:r>
          </w:p>
          <w:p w14:paraId="77785843" w14:textId="67AC6C89" w:rsidR="00915077" w:rsidRPr="00E26EF6" w:rsidRDefault="00A60195">
            <w:pPr>
              <w:pStyle w:val="InstructionsText"/>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łączna kwota pośrednich udziałów kapitałowych,</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instrumentów, które instytucja może być zobowiązana nabyć na mocy istniejącego lub warunkowego zobowiązania umownego,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474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CRR.</w:t>
            </w:r>
          </w:p>
        </w:tc>
      </w:tr>
      <w:tr w:rsidR="00915077" w:rsidRPr="00E26EF6" w14:paraId="67D794BA" w14:textId="77777777" w:rsidTr="00672D2A">
        <w:tc>
          <w:tcPr>
            <w:tcW w:w="1012" w:type="dxa"/>
          </w:tcPr>
          <w:p w14:paraId="2B632C67"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230</w:t>
            </w:r>
          </w:p>
        </w:tc>
        <w:tc>
          <w:tcPr>
            <w:tcW w:w="7478" w:type="dxa"/>
          </w:tcPr>
          <w:p w14:paraId="16AB2929" w14:textId="119E795B" w:rsidR="00915077" w:rsidRPr="00E26EF6" w:rsidRDefault="0020170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1.3.2.6.3</w:t>
            </w:r>
            <w:r w:rsidRPr="00E26EF6">
              <w:rPr>
                <w:rStyle w:val="InstructionsTabelleberschrift"/>
                <w:rFonts w:ascii="Times New Roman" w:hAnsi="Times New Roman"/>
                <w:sz w:val="24"/>
              </w:rPr>
              <w:tab/>
              <w:t>Instrumenty własne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3F56D725" w14:textId="375F8539"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lastRenderedPageBreak/>
              <w:t>Art. 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476,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01888AB3" w14:textId="5529B8FC"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Przy określaniu kwoty udziałów kapitałowych, którą należy odliczyć, instytucje biorą pod uwagę przepisy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67 CRR.</w:t>
            </w:r>
          </w:p>
          <w:p w14:paraId="6E3DA9D9" w14:textId="10527C62"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Biorąc pod uwagę fakt, że traktowanie „kwoty rezydualnej” różni się</w:t>
            </w:r>
            <w:r w:rsidR="00E26EF6" w:rsidRPr="00E26EF6">
              <w:rPr>
                <w:rStyle w:val="InstructionsTabelleText"/>
                <w:rFonts w:ascii="Times New Roman" w:hAnsi="Times New Roman"/>
                <w:sz w:val="24"/>
              </w:rPr>
              <w:t xml:space="preserve"> w zal</w:t>
            </w:r>
            <w:r w:rsidRPr="00E26EF6">
              <w:rPr>
                <w:rStyle w:val="InstructionsTabelleText"/>
                <w:rFonts w:ascii="Times New Roman" w:hAnsi="Times New Roman"/>
                <w:sz w:val="24"/>
              </w:rPr>
              <w:t>eżności od charakteru instrumentu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CRR), instytucje dzielą wyżej wspomniane udziały kapitałowe na „bezpośrednie” i „pośrednie” udziały</w:t>
            </w:r>
            <w:r w:rsidR="00E26EF6" w:rsidRPr="00E26EF6">
              <w:rPr>
                <w:rStyle w:val="InstructionsTabelleText"/>
                <w:rFonts w:ascii="Times New Roman" w:hAnsi="Times New Roman"/>
                <w:sz w:val="24"/>
              </w:rPr>
              <w:t xml:space="preserve"> w ins</w:t>
            </w:r>
            <w:r w:rsidRPr="00E26EF6">
              <w:rPr>
                <w:rStyle w:val="InstructionsTabelleText"/>
                <w:rFonts w:ascii="Times New Roman" w:hAnsi="Times New Roman"/>
                <w:sz w:val="24"/>
              </w:rPr>
              <w:t>trumentach własnych</w:t>
            </w:r>
            <w:r w:rsidR="00E26EF6" w:rsidRPr="00E26EF6">
              <w:rPr>
                <w:rStyle w:val="InstructionsTabelleText"/>
                <w:rFonts w:ascii="Times New Roman" w:hAnsi="Times New Roman"/>
                <w:sz w:val="24"/>
              </w:rPr>
              <w:t xml:space="preserve"> w Tie</w:t>
            </w:r>
            <w:r w:rsidRPr="00E26EF6">
              <w:rPr>
                <w:rStyle w:val="InstructionsTabelleText"/>
                <w:rFonts w:ascii="Times New Roman" w:hAnsi="Times New Roman"/>
                <w:sz w:val="24"/>
              </w:rPr>
              <w:t>r II.</w:t>
            </w:r>
          </w:p>
          <w:p w14:paraId="4EA9EC35" w14:textId="0A89A126"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tc>
      </w:tr>
      <w:tr w:rsidR="00915077" w:rsidRPr="00E26EF6" w14:paraId="03FD5E74" w14:textId="77777777" w:rsidTr="00672D2A">
        <w:tc>
          <w:tcPr>
            <w:tcW w:w="1012" w:type="dxa"/>
          </w:tcPr>
          <w:p w14:paraId="54719DDA"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231</w:t>
            </w:r>
          </w:p>
        </w:tc>
        <w:tc>
          <w:tcPr>
            <w:tcW w:w="7478" w:type="dxa"/>
          </w:tcPr>
          <w:p w14:paraId="25C19ED2" w14:textId="77777777" w:rsidR="00915077" w:rsidRPr="00E26EF6" w:rsidRDefault="0020170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bezpośrednie udziały kapitałowe</w:t>
            </w:r>
          </w:p>
          <w:p w14:paraId="0FF6A3FA" w14:textId="7C170378" w:rsidR="00915077" w:rsidRPr="00E26EF6" w:rsidRDefault="00A60195">
            <w:pPr>
              <w:pStyle w:val="InstructionsText"/>
              <w:rPr>
                <w:rStyle w:val="InstructionsTabelleberschrif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łączna kwota bezpośrednich udziałów kapitałowych,</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instrumentów, które instytucja może być zobowiązana nabyć na mocy istniejącego lub warunkowego zobowiązania umownego,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tc>
      </w:tr>
      <w:tr w:rsidR="00915077" w:rsidRPr="00E26EF6" w14:paraId="50DCE9EB" w14:textId="77777777" w:rsidTr="00672D2A">
        <w:tc>
          <w:tcPr>
            <w:tcW w:w="1012" w:type="dxa"/>
          </w:tcPr>
          <w:p w14:paraId="2A1D3732" w14:textId="77777777"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232</w:t>
            </w:r>
          </w:p>
          <w:p w14:paraId="3DDB55B3" w14:textId="77777777" w:rsidR="00915077" w:rsidRPr="00E26EF6" w:rsidRDefault="00915077">
            <w:pPr>
              <w:pStyle w:val="InstructionsText"/>
              <w:rPr>
                <w:rStyle w:val="InstructionsTabelleText"/>
                <w:rFonts w:ascii="Times New Roman" w:hAnsi="Times New Roman"/>
                <w:sz w:val="24"/>
                <w:highlight w:val="lightGray"/>
              </w:rPr>
            </w:pPr>
          </w:p>
        </w:tc>
        <w:tc>
          <w:tcPr>
            <w:tcW w:w="7478" w:type="dxa"/>
          </w:tcPr>
          <w:p w14:paraId="22739A62" w14:textId="77777777" w:rsidR="00915077" w:rsidRPr="00E26EF6" w:rsidRDefault="0020170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pośrednie udziały kapitałowe</w:t>
            </w:r>
          </w:p>
          <w:p w14:paraId="47F659B9" w14:textId="6E841FB6" w:rsidR="00915077" w:rsidRPr="00E26EF6" w:rsidRDefault="00A60195">
            <w:pPr>
              <w:pStyle w:val="InstructionsText"/>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łączna kwota pośrednich udziałów kapitałowych,</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instrumentów, które instytucja może być zobowiązana nabyć na mocy istniejącego lub warunkowego zobowiązania umownego,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CRR.</w:t>
            </w:r>
          </w:p>
        </w:tc>
      </w:tr>
      <w:tr w:rsidR="00915077" w:rsidRPr="00E26EF6" w14:paraId="533F9CB8" w14:textId="77777777" w:rsidTr="00672D2A">
        <w:tc>
          <w:tcPr>
            <w:tcW w:w="1012" w:type="dxa"/>
          </w:tcPr>
          <w:p w14:paraId="4606C2CC"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240</w:t>
            </w:r>
          </w:p>
        </w:tc>
        <w:tc>
          <w:tcPr>
            <w:tcW w:w="7478" w:type="dxa"/>
          </w:tcPr>
          <w:p w14:paraId="0C6BF191" w14:textId="77777777"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1.3.2.7.</w:t>
            </w:r>
            <w:r w:rsidRPr="00E26EF6">
              <w:rPr>
                <w:rStyle w:val="InstructionsTabelleberschrift"/>
                <w:rFonts w:ascii="Times New Roman" w:hAnsi="Times New Roman"/>
                <w:sz w:val="24"/>
              </w:rPr>
              <w:tab/>
              <w:t>Krzyżowe powiązania kapitałowe</w:t>
            </w:r>
          </w:p>
          <w:p w14:paraId="241EF8E8" w14:textId="49455938" w:rsidR="00915077" w:rsidRPr="00E26EF6" w:rsidRDefault="00A60195">
            <w:pPr>
              <w:spacing w:before="0"/>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t>Biorąc pod uwagę fakt, że traktowanie „kwoty rezydualnej” różni się</w:t>
            </w:r>
            <w:r w:rsidR="00E26EF6" w:rsidRPr="00E26EF6">
              <w:rPr>
                <w:rStyle w:val="InstructionsTabelleText"/>
                <w:rFonts w:ascii="Times New Roman" w:hAnsi="Times New Roman"/>
                <w:sz w:val="24"/>
              </w:rPr>
              <w:t xml:space="preserve"> w zal</w:t>
            </w:r>
            <w:r w:rsidRPr="00E26EF6">
              <w:rPr>
                <w:rStyle w:val="InstructionsTabelleText"/>
                <w:rFonts w:ascii="Times New Roman" w:hAnsi="Times New Roman"/>
                <w:sz w:val="24"/>
              </w:rPr>
              <w:t>eżności od tego, czy udziały kapitałowe</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podstawowym Tier</w:t>
            </w:r>
            <w:r w:rsidRPr="00E26EF6">
              <w:rPr>
                <w:rFonts w:ascii="Times New Roman" w:hAnsi="Times New Roman"/>
                <w:sz w:val="24"/>
              </w:rPr>
              <w:t xml:space="preserve"> </w:t>
            </w:r>
            <w:r w:rsidRPr="00E26EF6">
              <w:rPr>
                <w:rStyle w:val="InstructionsTabelleText"/>
                <w:rFonts w:ascii="Times New Roman" w:hAnsi="Times New Roman"/>
                <w:sz w:val="24"/>
              </w:rPr>
              <w:t>I, kapitale dodatkowym Tier I lub kapitale Tier II</w:t>
            </w:r>
            <w:r w:rsidR="00E26EF6" w:rsidRPr="00E26EF6">
              <w:rPr>
                <w:rStyle w:val="InstructionsTabelleText"/>
                <w:rFonts w:ascii="Times New Roman" w:hAnsi="Times New Roman"/>
                <w:sz w:val="24"/>
              </w:rPr>
              <w:t xml:space="preserve"> w pod</w:t>
            </w:r>
            <w:r w:rsidRPr="00E26EF6">
              <w:rPr>
                <w:rStyle w:val="InstructionsTabelleText"/>
                <w:rFonts w:ascii="Times New Roman" w:hAnsi="Times New Roman"/>
                <w:sz w:val="24"/>
              </w:rPr>
              <w:t>miocie sektora finansowego uważa się za istotne czy nie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9,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 instytucje dzielą krzyżowe powiązania kapitałowe na inwestycje znaczne</w:t>
            </w:r>
            <w:r w:rsidR="00E26EF6" w:rsidRPr="00E26EF6">
              <w:rPr>
                <w:rStyle w:val="InstructionsTabelleText"/>
                <w:rFonts w:ascii="Times New Roman" w:hAnsi="Times New Roman"/>
                <w:sz w:val="24"/>
              </w:rPr>
              <w:t xml:space="preserve"> i nie</w:t>
            </w:r>
            <w:r w:rsidRPr="00E26EF6">
              <w:rPr>
                <w:rStyle w:val="InstructionsTabelleText"/>
                <w:rFonts w:ascii="Times New Roman" w:hAnsi="Times New Roman"/>
                <w:sz w:val="24"/>
              </w:rPr>
              <w:t>znaczne.</w:t>
            </w:r>
          </w:p>
        </w:tc>
      </w:tr>
      <w:tr w:rsidR="00915077" w:rsidRPr="00E26EF6" w14:paraId="01BDBA6D" w14:textId="77777777" w:rsidTr="00672D2A">
        <w:tc>
          <w:tcPr>
            <w:tcW w:w="1012" w:type="dxa"/>
          </w:tcPr>
          <w:p w14:paraId="4A6C20C6"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250</w:t>
            </w:r>
          </w:p>
        </w:tc>
        <w:tc>
          <w:tcPr>
            <w:tcW w:w="7478" w:type="dxa"/>
          </w:tcPr>
          <w:p w14:paraId="31323548" w14:textId="64A32A71" w:rsidR="00915077" w:rsidRPr="00E26EF6" w:rsidRDefault="00A60195">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1.3.2.7.1</w:t>
            </w:r>
            <w:r w:rsidRPr="00E26EF6">
              <w:rPr>
                <w:rStyle w:val="InstructionsTabelleberschrift"/>
                <w:rFonts w:ascii="Times New Roman" w:hAnsi="Times New Roman"/>
                <w:sz w:val="24"/>
              </w:rPr>
              <w:tab/>
              <w:t>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w:t>
            </w:r>
          </w:p>
          <w:p w14:paraId="6E32CD77" w14:textId="1F3C9489"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g),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9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2E0144EB" w14:textId="3AF981A4" w:rsidR="00915077" w:rsidRPr="00E26EF6" w:rsidRDefault="00A60195">
            <w:pPr>
              <w:pStyle w:val="InstructionsText"/>
              <w:rPr>
                <w:rStyle w:val="InstructionsTabelleberschrift"/>
                <w:rFonts w:ascii="Times New Roman" w:hAnsi="Times New Roman"/>
                <w:b w:val="0"/>
                <w:bCs w:val="0"/>
                <w:sz w:val="24"/>
                <w:highlight w:val="lightGray"/>
                <w:u w:val="none"/>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g) CRR.</w:t>
            </w:r>
          </w:p>
        </w:tc>
      </w:tr>
      <w:tr w:rsidR="00915077" w:rsidRPr="00E26EF6" w14:paraId="1C8169C7" w14:textId="77777777" w:rsidTr="00672D2A">
        <w:tc>
          <w:tcPr>
            <w:tcW w:w="1012" w:type="dxa"/>
          </w:tcPr>
          <w:p w14:paraId="66A58CE9"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260</w:t>
            </w:r>
          </w:p>
        </w:tc>
        <w:tc>
          <w:tcPr>
            <w:tcW w:w="7478" w:type="dxa"/>
          </w:tcPr>
          <w:p w14:paraId="781BB204" w14:textId="7347E566"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1.3.2.7.1.1</w:t>
            </w:r>
            <w:r w:rsidRPr="00E26EF6">
              <w:rPr>
                <w:rStyle w:val="InstructionsTabelleberschrift"/>
                <w:rFonts w:ascii="Times New Roman" w:hAnsi="Times New Roman"/>
                <w:sz w:val="24"/>
              </w:rPr>
              <w:tab/>
              <w:t>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w:t>
            </w:r>
          </w:p>
          <w:p w14:paraId="59893F75" w14:textId="29ECC08C"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g),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9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01545D06" w14:textId="2D9528C9"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kwota rezydualna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CRR.</w:t>
            </w:r>
          </w:p>
        </w:tc>
      </w:tr>
      <w:tr w:rsidR="00915077" w:rsidRPr="00E26EF6" w14:paraId="5C092C88" w14:textId="77777777" w:rsidTr="00672D2A">
        <w:tc>
          <w:tcPr>
            <w:tcW w:w="1012" w:type="dxa"/>
          </w:tcPr>
          <w:p w14:paraId="2BC3AC6B"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270</w:t>
            </w:r>
          </w:p>
        </w:tc>
        <w:tc>
          <w:tcPr>
            <w:tcW w:w="7478" w:type="dxa"/>
          </w:tcPr>
          <w:p w14:paraId="0CBA61E6" w14:textId="3AF27378"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1.3.2.7.1.2</w:t>
            </w:r>
            <w:r w:rsidRPr="00E26EF6">
              <w:rPr>
                <w:rStyle w:val="InstructionsTabelleberschrift"/>
                <w:rFonts w:ascii="Times New Roman" w:hAnsi="Times New Roman"/>
                <w:sz w:val="24"/>
              </w:rPr>
              <w:tab/>
              <w:t>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654A684A" w14:textId="0145CCCD"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g),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9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13FC95BD" w14:textId="02F2D044"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kwota rezydualna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CRR</w:t>
            </w:r>
          </w:p>
        </w:tc>
      </w:tr>
      <w:tr w:rsidR="00915077" w:rsidRPr="00E26EF6" w14:paraId="241FB5AC" w14:textId="77777777" w:rsidTr="00672D2A">
        <w:tc>
          <w:tcPr>
            <w:tcW w:w="1012" w:type="dxa"/>
          </w:tcPr>
          <w:p w14:paraId="66FE3213"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280</w:t>
            </w:r>
          </w:p>
        </w:tc>
        <w:tc>
          <w:tcPr>
            <w:tcW w:w="7478" w:type="dxa"/>
          </w:tcPr>
          <w:p w14:paraId="40D3E67B" w14:textId="778C2524" w:rsidR="00915077" w:rsidRPr="00E26EF6" w:rsidRDefault="00A60195">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1.3.2.7.2</w:t>
            </w:r>
            <w:r w:rsidRPr="00E26EF6">
              <w:rPr>
                <w:rStyle w:val="InstructionsTabelleberschrift"/>
                <w:rFonts w:ascii="Times New Roman" w:hAnsi="Times New Roman"/>
                <w:sz w:val="24"/>
              </w:rPr>
              <w:tab/>
              <w:t>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w:t>
            </w:r>
          </w:p>
          <w:p w14:paraId="1C3DE5E3" w14:textId="4266FF07"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474,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0DA8E9D8" w14:textId="5899A3E5"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CRR</w:t>
            </w:r>
          </w:p>
        </w:tc>
      </w:tr>
      <w:tr w:rsidR="00915077" w:rsidRPr="00E26EF6" w14:paraId="325C3B8D" w14:textId="77777777" w:rsidTr="00672D2A">
        <w:tc>
          <w:tcPr>
            <w:tcW w:w="1012" w:type="dxa"/>
          </w:tcPr>
          <w:p w14:paraId="6F8955C8"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290</w:t>
            </w:r>
          </w:p>
        </w:tc>
        <w:tc>
          <w:tcPr>
            <w:tcW w:w="7478" w:type="dxa"/>
          </w:tcPr>
          <w:p w14:paraId="02ACD2BF" w14:textId="4B6EDEC8"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1.3.2.7.2.1</w:t>
            </w:r>
            <w:r w:rsidRPr="00E26EF6">
              <w:rPr>
                <w:rStyle w:val="InstructionsTabelleberschrift"/>
                <w:rFonts w:ascii="Times New Roman" w:hAnsi="Times New Roman"/>
                <w:sz w:val="24"/>
              </w:rPr>
              <w:tab/>
              <w:t>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w:t>
            </w:r>
          </w:p>
          <w:p w14:paraId="3B1D8AE1" w14:textId="1158BAD9"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lastRenderedPageBreak/>
              <w:t>Art. 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474,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14C3B0A4" w14:textId="40303FB2"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kwota rezydualna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w:t>
            </w:r>
          </w:p>
        </w:tc>
      </w:tr>
      <w:tr w:rsidR="00915077" w:rsidRPr="00E26EF6" w14:paraId="1EB2D1E2" w14:textId="77777777" w:rsidTr="00672D2A">
        <w:tc>
          <w:tcPr>
            <w:tcW w:w="1012" w:type="dxa"/>
          </w:tcPr>
          <w:p w14:paraId="17655E00"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300</w:t>
            </w:r>
          </w:p>
        </w:tc>
        <w:tc>
          <w:tcPr>
            <w:tcW w:w="7478" w:type="dxa"/>
          </w:tcPr>
          <w:p w14:paraId="26D3EE4F" w14:textId="1C13F491"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1.3.2.7.2.2</w:t>
            </w:r>
            <w:r w:rsidRPr="00E26EF6">
              <w:rPr>
                <w:rStyle w:val="InstructionsTabelleberschrift"/>
                <w:rFonts w:ascii="Times New Roman" w:hAnsi="Times New Roman"/>
                <w:sz w:val="24"/>
              </w:rPr>
              <w:tab/>
              <w:t>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w:t>
            </w:r>
          </w:p>
          <w:p w14:paraId="2B6A0B0B" w14:textId="7AE4A840"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474,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26A4E35B" w14:textId="1FE88FC9"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kwota rezydualna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w:t>
            </w:r>
          </w:p>
        </w:tc>
      </w:tr>
      <w:tr w:rsidR="00915077" w:rsidRPr="00E26EF6" w14:paraId="7B23C126" w14:textId="77777777" w:rsidTr="00672D2A">
        <w:tc>
          <w:tcPr>
            <w:tcW w:w="1012" w:type="dxa"/>
          </w:tcPr>
          <w:p w14:paraId="4D2A8AF1"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310</w:t>
            </w:r>
          </w:p>
        </w:tc>
        <w:tc>
          <w:tcPr>
            <w:tcW w:w="7478" w:type="dxa"/>
          </w:tcPr>
          <w:p w14:paraId="74211019" w14:textId="57EF839A"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1.3.2.7.3</w:t>
            </w:r>
            <w:r w:rsidRPr="00E26EF6">
              <w:rPr>
                <w:rStyle w:val="InstructionsTabelleberschrift"/>
                <w:rFonts w:ascii="Times New Roman" w:hAnsi="Times New Roman"/>
                <w:sz w:val="24"/>
              </w:rPr>
              <w:tab/>
              <w:t>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w:t>
            </w:r>
          </w:p>
          <w:p w14:paraId="3373730A" w14:textId="55A98B38"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476,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6F110618" w14:textId="2919BDC2"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w:t>
            </w:r>
            <w:r w:rsidRPr="00E26EF6">
              <w:t xml:space="preserve"> </w:t>
            </w:r>
            <w:r w:rsidRPr="00E26EF6">
              <w:rPr>
                <w:rStyle w:val="InstructionsTabelleText"/>
                <w:rFonts w:ascii="Times New Roman" w:hAnsi="Times New Roman"/>
                <w:sz w:val="24"/>
              </w:rPr>
              <w:t>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CRR</w:t>
            </w:r>
          </w:p>
        </w:tc>
      </w:tr>
      <w:tr w:rsidR="00915077" w:rsidRPr="00E26EF6" w14:paraId="3EBCC695" w14:textId="77777777" w:rsidTr="00672D2A">
        <w:tc>
          <w:tcPr>
            <w:tcW w:w="1012" w:type="dxa"/>
          </w:tcPr>
          <w:p w14:paraId="25B5C784"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320</w:t>
            </w:r>
          </w:p>
        </w:tc>
        <w:tc>
          <w:tcPr>
            <w:tcW w:w="7478" w:type="dxa"/>
          </w:tcPr>
          <w:p w14:paraId="49B3DE68" w14:textId="2983500B" w:rsidR="00915077" w:rsidRPr="00E26EF6" w:rsidRDefault="00A60195">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1.3.2.7.3.1</w:t>
            </w:r>
            <w:r w:rsidRPr="00E26EF6">
              <w:rPr>
                <w:rStyle w:val="InstructionsTabelleberschrift"/>
                <w:rFonts w:ascii="Times New Roman" w:hAnsi="Times New Roman"/>
                <w:sz w:val="24"/>
              </w:rPr>
              <w:tab/>
              <w:t>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w:t>
            </w:r>
          </w:p>
          <w:p w14:paraId="14681240" w14:textId="2637555C"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476,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0DC44CA3" w14:textId="3D9D5AF2"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kwota rezydualna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w:t>
            </w:r>
          </w:p>
        </w:tc>
      </w:tr>
      <w:tr w:rsidR="00915077" w:rsidRPr="00E26EF6" w14:paraId="3385AA1F" w14:textId="77777777" w:rsidTr="00672D2A">
        <w:tc>
          <w:tcPr>
            <w:tcW w:w="1012" w:type="dxa"/>
          </w:tcPr>
          <w:p w14:paraId="6B1B12E6"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330</w:t>
            </w:r>
          </w:p>
        </w:tc>
        <w:tc>
          <w:tcPr>
            <w:tcW w:w="7478" w:type="dxa"/>
          </w:tcPr>
          <w:p w14:paraId="08B0FA6B" w14:textId="46B0DBBA"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1.3.2.7.3.2</w:t>
            </w:r>
            <w:r w:rsidRPr="00E26EF6">
              <w:rPr>
                <w:rStyle w:val="InstructionsTabelleberschrift"/>
                <w:rFonts w:ascii="Times New Roman" w:hAnsi="Times New Roman"/>
                <w:sz w:val="24"/>
              </w:rPr>
              <w:tab/>
              <w:t>Krzyżowe powiązania kapitałowe</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w:t>
            </w:r>
          </w:p>
          <w:p w14:paraId="08838DE7" w14:textId="483DC9A1"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476,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00F78A6A" w14:textId="37160AAA"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kwota rezydualna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w:t>
            </w:r>
          </w:p>
        </w:tc>
      </w:tr>
      <w:tr w:rsidR="00915077" w:rsidRPr="00E26EF6" w14:paraId="63CDFA28" w14:textId="77777777" w:rsidTr="00672D2A">
        <w:tc>
          <w:tcPr>
            <w:tcW w:w="1012" w:type="dxa"/>
          </w:tcPr>
          <w:p w14:paraId="29DC4826"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340</w:t>
            </w:r>
          </w:p>
        </w:tc>
        <w:tc>
          <w:tcPr>
            <w:tcW w:w="7478" w:type="dxa"/>
          </w:tcPr>
          <w:p w14:paraId="02C89377" w14:textId="53890143" w:rsidR="00915077" w:rsidRPr="00E26EF6" w:rsidRDefault="00A60195">
            <w:pPr>
              <w:pStyle w:val="InstructionsText"/>
              <w:rPr>
                <w:rStyle w:val="InstructionsTabelleText"/>
                <w:rFonts w:ascii="Times New Roman" w:hAnsi="Times New Roman"/>
                <w:b/>
                <w:bCs/>
                <w:sz w:val="24"/>
                <w:highlight w:val="lightGray"/>
                <w:u w:val="single"/>
              </w:rPr>
            </w:pPr>
            <w:r w:rsidRPr="00E26EF6">
              <w:rPr>
                <w:rStyle w:val="InstructionsTabelleberschrift"/>
                <w:rFonts w:ascii="Times New Roman" w:hAnsi="Times New Roman"/>
                <w:sz w:val="24"/>
              </w:rPr>
              <w:t>1.3.2.8.</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w fun</w:t>
            </w:r>
            <w:r w:rsidRPr="00E26EF6">
              <w:rPr>
                <w:rStyle w:val="InstructionsTabelleberschrift"/>
                <w:rFonts w:ascii="Times New Roman" w:hAnsi="Times New Roman"/>
                <w:sz w:val="24"/>
              </w:rPr>
              <w:t>duszach własnych podmiotów sektora finansowego, jeżeli instytucja nie dokonała znacznej inwestycji w te podmioty</w:t>
            </w:r>
          </w:p>
        </w:tc>
      </w:tr>
      <w:tr w:rsidR="00915077" w:rsidRPr="00E26EF6" w14:paraId="75EFB10E" w14:textId="77777777" w:rsidTr="00672D2A">
        <w:tc>
          <w:tcPr>
            <w:tcW w:w="1012" w:type="dxa"/>
          </w:tcPr>
          <w:p w14:paraId="7002C262"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350</w:t>
            </w:r>
          </w:p>
        </w:tc>
        <w:tc>
          <w:tcPr>
            <w:tcW w:w="7478" w:type="dxa"/>
          </w:tcPr>
          <w:p w14:paraId="34E82DB3" w14:textId="48820E6D"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1.3.2.8.1</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nie dokonała znacznej inwestycji w te podmioty</w:t>
            </w:r>
          </w:p>
          <w:p w14:paraId="4A2E0EDC" w14:textId="6FB9E6BD"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h),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10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63FCD7CD" w14:textId="33CF92D6"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h) CRR.</w:t>
            </w:r>
          </w:p>
        </w:tc>
      </w:tr>
      <w:tr w:rsidR="00915077" w:rsidRPr="00E26EF6" w14:paraId="4FDF3963" w14:textId="77777777" w:rsidTr="00672D2A">
        <w:tc>
          <w:tcPr>
            <w:tcW w:w="1012" w:type="dxa"/>
          </w:tcPr>
          <w:p w14:paraId="07686146"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360</w:t>
            </w:r>
          </w:p>
        </w:tc>
        <w:tc>
          <w:tcPr>
            <w:tcW w:w="7478" w:type="dxa"/>
          </w:tcPr>
          <w:p w14:paraId="4A685F38" w14:textId="2D75E311"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1.3.2.8.2</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nie dokonała znacznej inwestycji w te podmioty</w:t>
            </w:r>
          </w:p>
          <w:p w14:paraId="2119C84E" w14:textId="14888BF7"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c),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474,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75260D75" w14:textId="04A35DB5"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c) CRR</w:t>
            </w:r>
          </w:p>
        </w:tc>
      </w:tr>
      <w:tr w:rsidR="00915077" w:rsidRPr="00E26EF6" w14:paraId="7CFBB2F4" w14:textId="77777777" w:rsidTr="00672D2A">
        <w:tc>
          <w:tcPr>
            <w:tcW w:w="1012" w:type="dxa"/>
          </w:tcPr>
          <w:p w14:paraId="41A97CC8"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370</w:t>
            </w:r>
          </w:p>
        </w:tc>
        <w:tc>
          <w:tcPr>
            <w:tcW w:w="7478" w:type="dxa"/>
          </w:tcPr>
          <w:p w14:paraId="1E24DB20" w14:textId="47ED2D02"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1.3.2.8.3</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nie dokonała znacznej inwestycji w te podmioty</w:t>
            </w:r>
          </w:p>
          <w:p w14:paraId="06F725A2" w14:textId="2C2866EE"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c),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476,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526B6482" w14:textId="0104E2B7"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c) CRR.</w:t>
            </w:r>
          </w:p>
        </w:tc>
      </w:tr>
      <w:tr w:rsidR="00915077" w:rsidRPr="00E26EF6" w14:paraId="786115CC" w14:textId="77777777" w:rsidTr="00672D2A">
        <w:tc>
          <w:tcPr>
            <w:tcW w:w="1012" w:type="dxa"/>
          </w:tcPr>
          <w:p w14:paraId="5F0D31C6"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380</w:t>
            </w:r>
          </w:p>
        </w:tc>
        <w:tc>
          <w:tcPr>
            <w:tcW w:w="7478" w:type="dxa"/>
          </w:tcPr>
          <w:p w14:paraId="183B71F1" w14:textId="382265D9" w:rsidR="00915077" w:rsidRPr="00E26EF6" w:rsidRDefault="00A60195">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1.3.2.9</w:t>
            </w:r>
            <w:r w:rsidRPr="00E26EF6">
              <w:rPr>
                <w:rStyle w:val="InstructionsTabelleberschrift"/>
                <w:rFonts w:ascii="Times New Roman" w:hAnsi="Times New Roman"/>
                <w:sz w:val="24"/>
              </w:rPr>
              <w:tab/>
              <w:t>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oparte na przyszłej rentowności</w:t>
            </w:r>
            <w:r w:rsidR="00E26EF6" w:rsidRPr="00E26EF6">
              <w:rPr>
                <w:rStyle w:val="InstructionsTabelleberschrift"/>
                <w:rFonts w:ascii="Times New Roman" w:hAnsi="Times New Roman"/>
                <w:sz w:val="24"/>
              </w:rPr>
              <w:t xml:space="preserve"> i wyn</w:t>
            </w:r>
            <w:r w:rsidRPr="00E26EF6">
              <w:rPr>
                <w:rStyle w:val="InstructionsTabelleberschrift"/>
                <w:rFonts w:ascii="Times New Roman" w:hAnsi="Times New Roman"/>
                <w:sz w:val="24"/>
              </w:rPr>
              <w:t>ikające</w:t>
            </w:r>
            <w:r w:rsidR="00E26EF6" w:rsidRPr="00E26EF6">
              <w:rPr>
                <w:rStyle w:val="InstructionsTabelleberschrift"/>
                <w:rFonts w:ascii="Times New Roman" w:hAnsi="Times New Roman"/>
                <w:sz w:val="24"/>
              </w:rPr>
              <w:t xml:space="preserve"> z róż</w:t>
            </w:r>
            <w:r w:rsidRPr="00E26EF6">
              <w:rPr>
                <w:rStyle w:val="InstructionsTabelleberschrift"/>
                <w:rFonts w:ascii="Times New Roman" w:hAnsi="Times New Roman"/>
                <w:sz w:val="24"/>
              </w:rPr>
              <w:t>nic przejściowych oraz 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3B8EEB70" w14:textId="6FA0F5F0" w:rsidR="00915077" w:rsidRPr="00E26EF6" w:rsidRDefault="00167619">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470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w:t>
            </w:r>
            <w:r w:rsidR="00E26EF6" w:rsidRPr="00E26EF6">
              <w:rPr>
                <w:rStyle w:val="InstructionsTabelleText"/>
                <w:rFonts w:ascii="Times New Roman" w:hAnsi="Times New Roman"/>
                <w:sz w:val="24"/>
              </w:rPr>
              <w:t xml:space="preserve"> i 3</w:t>
            </w:r>
            <w:r w:rsidRPr="00E26EF6">
              <w:rPr>
                <w:rStyle w:val="InstructionsTabelleText"/>
                <w:rFonts w:ascii="Times New Roman" w:hAnsi="Times New Roman"/>
                <w:sz w:val="24"/>
              </w:rPr>
              <w:t xml:space="preserve"> CRR</w:t>
            </w:r>
          </w:p>
          <w:p w14:paraId="74EB0D10" w14:textId="1C278D61"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Art. 470 ust. 1 CRR</w:t>
            </w:r>
          </w:p>
        </w:tc>
      </w:tr>
      <w:tr w:rsidR="00915077" w:rsidRPr="00E26EF6" w14:paraId="74EEC66A" w14:textId="77777777" w:rsidTr="00672D2A">
        <w:tc>
          <w:tcPr>
            <w:tcW w:w="1012" w:type="dxa"/>
          </w:tcPr>
          <w:p w14:paraId="3F8E1E08" w14:textId="77777777" w:rsidR="00915077" w:rsidRPr="00E26EF6" w:rsidRDefault="004A705D">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385</w:t>
            </w:r>
          </w:p>
        </w:tc>
        <w:tc>
          <w:tcPr>
            <w:tcW w:w="7478" w:type="dxa"/>
          </w:tcPr>
          <w:p w14:paraId="4A22FA8A" w14:textId="77AA488C" w:rsidR="00915077" w:rsidRPr="00E26EF6" w:rsidRDefault="004A705D">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Aktywa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odroczonego podatku dochodowego oparte na przyszłej rentowności</w:t>
            </w:r>
            <w:r w:rsidR="00E26EF6" w:rsidRPr="00E26EF6">
              <w:rPr>
                <w:rStyle w:val="InstructionsTabelleberschrift"/>
                <w:rFonts w:ascii="Times New Roman" w:hAnsi="Times New Roman"/>
                <w:sz w:val="24"/>
              </w:rPr>
              <w:t xml:space="preserve"> i wyn</w:t>
            </w:r>
            <w:r w:rsidRPr="00E26EF6">
              <w:rPr>
                <w:rStyle w:val="InstructionsTabelleberschrift"/>
                <w:rFonts w:ascii="Times New Roman" w:hAnsi="Times New Roman"/>
                <w:sz w:val="24"/>
              </w:rPr>
              <w:t>ikające</w:t>
            </w:r>
            <w:r w:rsidR="00E26EF6" w:rsidRPr="00E26EF6">
              <w:rPr>
                <w:rStyle w:val="InstructionsTabelleberschrift"/>
                <w:rFonts w:ascii="Times New Roman" w:hAnsi="Times New Roman"/>
                <w:sz w:val="24"/>
              </w:rPr>
              <w:t xml:space="preserve"> z róż</w:t>
            </w:r>
            <w:r w:rsidRPr="00E26EF6">
              <w:rPr>
                <w:rStyle w:val="InstructionsTabelleberschrift"/>
                <w:rFonts w:ascii="Times New Roman" w:hAnsi="Times New Roman"/>
                <w:sz w:val="24"/>
              </w:rPr>
              <w:t>nic przejściowych</w:t>
            </w:r>
          </w:p>
          <w:p w14:paraId="3AF24D9C" w14:textId="1BA3E2CD" w:rsidR="00915077" w:rsidRPr="00E26EF6" w:rsidRDefault="00BB22D4">
            <w:pPr>
              <w:pStyle w:val="InstructionsText"/>
              <w:rPr>
                <w:rStyle w:val="InstructionsTabelleText"/>
                <w:rFonts w:ascii="Times New Roman" w:hAnsi="Times New Roman"/>
                <w:bCs/>
                <w:sz w:val="24"/>
              </w:rPr>
            </w:pPr>
            <w:r w:rsidRPr="00E26EF6">
              <w:rPr>
                <w:rStyle w:val="InstructionsTabelleText"/>
                <w:rFonts w:ascii="Times New Roman" w:hAnsi="Times New Roman"/>
                <w:bCs/>
                <w:sz w:val="24"/>
              </w:rPr>
              <w:t>Art. 469 ust.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1 lit.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c), art.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472 ust.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5 oraz art.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478 CRR</w:t>
            </w:r>
          </w:p>
          <w:p w14:paraId="7C982C77" w14:textId="529784C6" w:rsidR="00915077" w:rsidRPr="00E26EF6" w:rsidRDefault="004A705D">
            <w:pPr>
              <w:pStyle w:val="InstructionsText"/>
              <w:rPr>
                <w:rStyle w:val="InstructionsTabelleberschrift"/>
                <w:rFonts w:ascii="Times New Roman" w:hAnsi="Times New Roman"/>
                <w:b w:val="0"/>
                <w:sz w:val="24"/>
                <w:highlight w:val="lightGray"/>
                <w:u w:val="none"/>
              </w:rPr>
            </w:pPr>
            <w:r w:rsidRPr="00E26EF6">
              <w:rPr>
                <w:rStyle w:val="InstructionsTabelleText"/>
                <w:rFonts w:ascii="Times New Roman" w:hAnsi="Times New Roman"/>
                <w:bCs/>
                <w:sz w:val="24"/>
              </w:rPr>
              <w:t>Część aktywów</w:t>
            </w:r>
            <w:r w:rsidR="00E26EF6" w:rsidRPr="00E26EF6">
              <w:rPr>
                <w:rStyle w:val="InstructionsTabelleText"/>
                <w:rFonts w:ascii="Times New Roman" w:hAnsi="Times New Roman"/>
                <w:bCs/>
                <w:sz w:val="24"/>
              </w:rPr>
              <w:t xml:space="preserve"> z tyt</w:t>
            </w:r>
            <w:r w:rsidRPr="00E26EF6">
              <w:rPr>
                <w:rStyle w:val="InstructionsTabelleText"/>
                <w:rFonts w:ascii="Times New Roman" w:hAnsi="Times New Roman"/>
                <w:bCs/>
                <w:sz w:val="24"/>
              </w:rPr>
              <w:t>ułu odroczonego podatku dochodowego opartych na przyszłej rentowności</w:t>
            </w:r>
            <w:r w:rsidR="00E26EF6" w:rsidRPr="00E26EF6">
              <w:rPr>
                <w:rStyle w:val="InstructionsTabelleText"/>
                <w:rFonts w:ascii="Times New Roman" w:hAnsi="Times New Roman"/>
                <w:bCs/>
                <w:sz w:val="24"/>
              </w:rPr>
              <w:t xml:space="preserve"> i wyn</w:t>
            </w:r>
            <w:r w:rsidRPr="00E26EF6">
              <w:rPr>
                <w:rStyle w:val="InstructionsTabelleText"/>
                <w:rFonts w:ascii="Times New Roman" w:hAnsi="Times New Roman"/>
                <w:bCs/>
                <w:sz w:val="24"/>
              </w:rPr>
              <w:t>ikających</w:t>
            </w:r>
            <w:r w:rsidR="00E26EF6" w:rsidRPr="00E26EF6">
              <w:rPr>
                <w:rStyle w:val="InstructionsTabelleText"/>
                <w:rFonts w:ascii="Times New Roman" w:hAnsi="Times New Roman"/>
                <w:bCs/>
                <w:sz w:val="24"/>
              </w:rPr>
              <w:t xml:space="preserve"> z róż</w:t>
            </w:r>
            <w:r w:rsidRPr="00E26EF6">
              <w:rPr>
                <w:rStyle w:val="InstructionsTabelleText"/>
                <w:rFonts w:ascii="Times New Roman" w:hAnsi="Times New Roman"/>
                <w:bCs/>
                <w:sz w:val="24"/>
              </w:rPr>
              <w:t>nic przejściowych, która przekracza próg 10</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 określony</w:t>
            </w:r>
            <w:r w:rsidR="00E26EF6" w:rsidRPr="00E26EF6">
              <w:rPr>
                <w:rStyle w:val="InstructionsTabelleText"/>
                <w:rFonts w:ascii="Times New Roman" w:hAnsi="Times New Roman"/>
                <w:bCs/>
                <w:sz w:val="24"/>
              </w:rPr>
              <w:t xml:space="preserve"> w art</w:t>
            </w:r>
            <w:r w:rsidRPr="00E26EF6">
              <w:rPr>
                <w:rStyle w:val="InstructionsTabelleText"/>
                <w:rFonts w:ascii="Times New Roman" w:hAnsi="Times New Roman"/>
                <w:bCs/>
                <w:sz w:val="24"/>
              </w:rPr>
              <w: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470 ust.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2 lit.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a) CRR.</w:t>
            </w:r>
          </w:p>
        </w:tc>
      </w:tr>
      <w:tr w:rsidR="00915077" w:rsidRPr="00E26EF6" w14:paraId="2023DCD6" w14:textId="77777777" w:rsidTr="00672D2A">
        <w:trPr>
          <w:trHeight w:val="60"/>
        </w:trPr>
        <w:tc>
          <w:tcPr>
            <w:tcW w:w="1012" w:type="dxa"/>
          </w:tcPr>
          <w:p w14:paraId="073ED403"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390</w:t>
            </w:r>
          </w:p>
        </w:tc>
        <w:tc>
          <w:tcPr>
            <w:tcW w:w="7478" w:type="dxa"/>
          </w:tcPr>
          <w:p w14:paraId="1058222D" w14:textId="45571DE0" w:rsidR="00915077" w:rsidRPr="00E26EF6" w:rsidRDefault="00A60195">
            <w:pPr>
              <w:pStyle w:val="InstructionsText"/>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1.3.2.10</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w fun</w:t>
            </w:r>
            <w:r w:rsidRPr="00E26EF6">
              <w:rPr>
                <w:rStyle w:val="InstructionsTabelleberschrift"/>
                <w:rFonts w:ascii="Times New Roman" w:hAnsi="Times New Roman"/>
                <w:sz w:val="24"/>
              </w:rPr>
              <w:t>duszach własnych podmiotów sektora finansowego, jeżeli instytucja dokonała znacznej inwestycji w te podmioty</w:t>
            </w:r>
          </w:p>
        </w:tc>
      </w:tr>
      <w:tr w:rsidR="00915077" w:rsidRPr="00E26EF6" w14:paraId="3748CEFA" w14:textId="77777777" w:rsidTr="00672D2A">
        <w:tc>
          <w:tcPr>
            <w:tcW w:w="1012" w:type="dxa"/>
          </w:tcPr>
          <w:p w14:paraId="1ADBB1F8"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400</w:t>
            </w:r>
          </w:p>
        </w:tc>
        <w:tc>
          <w:tcPr>
            <w:tcW w:w="7478" w:type="dxa"/>
          </w:tcPr>
          <w:p w14:paraId="794741B8" w14:textId="266DDE05"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1.3.2.10.1</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podmiotów sektora finansowego, jeżeli instytucja dokonała znacznej inwestycji w te podmioty</w:t>
            </w:r>
          </w:p>
          <w:p w14:paraId="3DB12CC0" w14:textId="2980BC1F"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i),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469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11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510E93CC" w14:textId="07A0E308"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i) CRR</w:t>
            </w:r>
          </w:p>
        </w:tc>
      </w:tr>
      <w:tr w:rsidR="00915077" w:rsidRPr="00E26EF6" w14:paraId="1DAFD9EE" w14:textId="77777777" w:rsidTr="00672D2A">
        <w:tc>
          <w:tcPr>
            <w:tcW w:w="1012" w:type="dxa"/>
          </w:tcPr>
          <w:p w14:paraId="7F392CCD"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410</w:t>
            </w:r>
          </w:p>
        </w:tc>
        <w:tc>
          <w:tcPr>
            <w:tcW w:w="7478" w:type="dxa"/>
          </w:tcPr>
          <w:p w14:paraId="4F78A876" w14:textId="0F28E965"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1.3.2.10.2</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podmiotów sektora finansowego, jeżeli instytucja dokonała znacznej inwestycji w te podmioty</w:t>
            </w:r>
          </w:p>
          <w:p w14:paraId="62E39799" w14:textId="38FD20EE"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d),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474,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503BB587" w14:textId="6792A23D"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d) CRR.</w:t>
            </w:r>
          </w:p>
        </w:tc>
      </w:tr>
      <w:tr w:rsidR="00915077" w:rsidRPr="00E26EF6" w14:paraId="6FAB7611" w14:textId="77777777" w:rsidTr="00672D2A">
        <w:tc>
          <w:tcPr>
            <w:tcW w:w="1012" w:type="dxa"/>
          </w:tcPr>
          <w:p w14:paraId="7E4849C9" w14:textId="77777777" w:rsidR="00915077" w:rsidRPr="00E26EF6" w:rsidDel="00E41E4F"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420</w:t>
            </w:r>
          </w:p>
        </w:tc>
        <w:tc>
          <w:tcPr>
            <w:tcW w:w="7478" w:type="dxa"/>
          </w:tcPr>
          <w:p w14:paraId="3643AB6A" w14:textId="1F5DA839"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1.3.2.10.2</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Tier II podmiotów sektora finansowego, jeżeli instytucja dokonała znacznej inwestycji w te podmioty</w:t>
            </w:r>
          </w:p>
          <w:p w14:paraId="5D13E409" w14:textId="227865C5" w:rsidR="00915077" w:rsidRPr="00E26EF6" w:rsidRDefault="00BB22D4">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d),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476,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478 CRR</w:t>
            </w:r>
          </w:p>
          <w:p w14:paraId="5F202800" w14:textId="3AB2C341"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tego wiersza: pierwotne odliczenie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66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d) CRR</w:t>
            </w:r>
          </w:p>
        </w:tc>
      </w:tr>
      <w:tr w:rsidR="00915077" w:rsidRPr="00E26EF6" w14:paraId="0B9FD5DC" w14:textId="77777777" w:rsidTr="00672D2A">
        <w:tc>
          <w:tcPr>
            <w:tcW w:w="1012" w:type="dxa"/>
          </w:tcPr>
          <w:p w14:paraId="1FDD63DD" w14:textId="77777777"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425</w:t>
            </w:r>
          </w:p>
        </w:tc>
        <w:tc>
          <w:tcPr>
            <w:tcW w:w="7478" w:type="dxa"/>
          </w:tcPr>
          <w:p w14:paraId="0B4CC82A" w14:textId="70402913" w:rsidR="00915077" w:rsidRPr="00E26EF6" w:rsidRDefault="00A6019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1.3.2.11</w:t>
            </w:r>
            <w:r w:rsidRPr="00E26EF6">
              <w:rPr>
                <w:rStyle w:val="InstructionsTabelleberschrift"/>
                <w:rFonts w:ascii="Times New Roman" w:hAnsi="Times New Roman"/>
                <w:sz w:val="24"/>
              </w:rPr>
              <w:tab/>
              <w:t>Wyłączenie</w:t>
            </w:r>
            <w:r w:rsidR="00E26EF6" w:rsidRPr="00E26EF6">
              <w:rPr>
                <w:rStyle w:val="InstructionsTabelleberschrift"/>
                <w:rFonts w:ascii="Times New Roman" w:hAnsi="Times New Roman"/>
                <w:sz w:val="24"/>
              </w:rPr>
              <w:t xml:space="preserve"> z odl</w:t>
            </w:r>
            <w:r w:rsidRPr="00E26EF6">
              <w:rPr>
                <w:rStyle w:val="InstructionsTabelleberschrift"/>
                <w:rFonts w:ascii="Times New Roman" w:hAnsi="Times New Roman"/>
                <w:sz w:val="24"/>
              </w:rPr>
              <w:t>iczania udziałów</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własnym zakładów ubezpieczeń od pozycji kapitału podstawowego Tier I</w:t>
            </w:r>
          </w:p>
          <w:p w14:paraId="1BA7B38D" w14:textId="3027E64A" w:rsidR="00915077" w:rsidRPr="00E26EF6" w:rsidRDefault="000F1CEA">
            <w:pPr>
              <w:pStyle w:val="InstructionsTex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471 CRR</w:t>
            </w:r>
          </w:p>
        </w:tc>
      </w:tr>
      <w:tr w:rsidR="00915077" w:rsidRPr="00E26EF6" w14:paraId="36D940FB" w14:textId="77777777" w:rsidTr="00672D2A">
        <w:tc>
          <w:tcPr>
            <w:tcW w:w="1012" w:type="dxa"/>
          </w:tcPr>
          <w:p w14:paraId="0DDBFDCA" w14:textId="77777777"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430</w:t>
            </w:r>
          </w:p>
          <w:p w14:paraId="4BA3EFF2" w14:textId="77777777" w:rsidR="00915077" w:rsidRPr="00E26EF6" w:rsidRDefault="00915077">
            <w:pPr>
              <w:pStyle w:val="InstructionsText"/>
              <w:rPr>
                <w:rStyle w:val="InstructionsTabelleText"/>
                <w:rFonts w:ascii="Times New Roman" w:hAnsi="Times New Roman"/>
                <w:sz w:val="24"/>
                <w:highlight w:val="lightGray"/>
              </w:rPr>
            </w:pPr>
          </w:p>
        </w:tc>
        <w:tc>
          <w:tcPr>
            <w:tcW w:w="7478" w:type="dxa"/>
          </w:tcPr>
          <w:p w14:paraId="6B38EE47" w14:textId="45069D66" w:rsidR="00915077" w:rsidRPr="00E26EF6" w:rsidRDefault="00A60195">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1.3.3</w:t>
            </w:r>
            <w:r w:rsidRPr="00E26EF6">
              <w:rPr>
                <w:rStyle w:val="InstructionsTabelleberschrift"/>
                <w:rFonts w:ascii="Times New Roman" w:hAnsi="Times New Roman"/>
                <w:sz w:val="24"/>
              </w:rPr>
              <w:tab/>
              <w:t>Dodatkowe filtry</w:t>
            </w:r>
            <w:r w:rsidR="00E26EF6" w:rsidRPr="00E26EF6">
              <w:rPr>
                <w:rStyle w:val="InstructionsTabelleberschrift"/>
                <w:rFonts w:ascii="Times New Roman" w:hAnsi="Times New Roman"/>
                <w:sz w:val="24"/>
              </w:rPr>
              <w:t xml:space="preserve"> i odl</w:t>
            </w:r>
            <w:r w:rsidRPr="00E26EF6">
              <w:rPr>
                <w:rStyle w:val="InstructionsTabelleberschrift"/>
                <w:rFonts w:ascii="Times New Roman" w:hAnsi="Times New Roman"/>
                <w:sz w:val="24"/>
              </w:rPr>
              <w:t>iczenia</w:t>
            </w:r>
          </w:p>
          <w:p w14:paraId="021A120F" w14:textId="05BA78BB" w:rsidR="00915077" w:rsidRPr="00E26EF6" w:rsidRDefault="00A60195">
            <w:pPr>
              <w:spacing w:before="0"/>
              <w:rPr>
                <w:rStyle w:val="InstructionsTabelleText"/>
                <w:rFonts w:ascii="Times New Roman" w:hAnsi="Times New Roman"/>
                <w:sz w:val="24"/>
              </w:rPr>
            </w:pPr>
            <w:r w:rsidRPr="00E26EF6">
              <w:rPr>
                <w:rStyle w:val="InstructionsTabelleText"/>
                <w:rFonts w:ascii="Times New Roman" w:hAnsi="Times New Roman"/>
                <w:sz w:val="24"/>
              </w:rPr>
              <w:t>Art. 481 CRR</w:t>
            </w:r>
          </w:p>
          <w:p w14:paraId="3D336B18" w14:textId="37645EB1" w:rsidR="00915077" w:rsidRPr="00E26EF6" w:rsidRDefault="00A60195">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Wiersz ten odzwierciedla ogólny skutek przepisów przejściowych dla dodatkowych filtrów</w:t>
            </w:r>
            <w:r w:rsidR="00E26EF6" w:rsidRPr="00E26EF6">
              <w:rPr>
                <w:rStyle w:val="InstructionsTabelleText"/>
                <w:rFonts w:ascii="Times New Roman" w:hAnsi="Times New Roman"/>
                <w:sz w:val="24"/>
              </w:rPr>
              <w:t xml:space="preserve"> i odl</w:t>
            </w:r>
            <w:r w:rsidRPr="00E26EF6">
              <w:rPr>
                <w:rStyle w:val="InstructionsTabelleText"/>
                <w:rFonts w:ascii="Times New Roman" w:hAnsi="Times New Roman"/>
                <w:sz w:val="24"/>
              </w:rPr>
              <w:t>iczeń.</w:t>
            </w:r>
          </w:p>
          <w:p w14:paraId="78A0408C" w14:textId="29525640" w:rsidR="00915077" w:rsidRPr="00E26EF6" w:rsidRDefault="00A60195">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481 CRR instytucje zgłaszają</w:t>
            </w:r>
            <w:r w:rsidR="00E26EF6" w:rsidRPr="00E26EF6">
              <w:rPr>
                <w:rStyle w:val="InstructionsTabelleText"/>
                <w:rFonts w:ascii="Times New Roman" w:hAnsi="Times New Roman"/>
                <w:sz w:val="24"/>
              </w:rPr>
              <w:t xml:space="preserve"> w poz</w:t>
            </w:r>
            <w:r w:rsidRPr="00E26EF6">
              <w:rPr>
                <w:rStyle w:val="InstructionsTabelleText"/>
                <w:rFonts w:ascii="Times New Roman" w:hAnsi="Times New Roman"/>
                <w:sz w:val="24"/>
              </w:rPr>
              <w:t xml:space="preserve">ycji 1.3.3 </w:t>
            </w:r>
            <w:proofErr w:type="gramStart"/>
            <w:r w:rsidRPr="00E26EF6">
              <w:rPr>
                <w:rStyle w:val="InstructionsTabelleText"/>
                <w:rFonts w:ascii="Times New Roman" w:hAnsi="Times New Roman"/>
                <w:sz w:val="24"/>
              </w:rPr>
              <w:t>informacje</w:t>
            </w:r>
            <w:proofErr w:type="gramEnd"/>
            <w:r w:rsidRPr="00E26EF6">
              <w:rPr>
                <w:rStyle w:val="InstructionsTabelleText"/>
                <w:rFonts w:ascii="Times New Roman" w:hAnsi="Times New Roman"/>
                <w:sz w:val="24"/>
              </w:rPr>
              <w:t xml:space="preserve"> odnoszące się do filtrów</w:t>
            </w:r>
            <w:r w:rsidR="00E26EF6" w:rsidRPr="00E26EF6">
              <w:rPr>
                <w:rStyle w:val="InstructionsTabelleText"/>
                <w:rFonts w:ascii="Times New Roman" w:hAnsi="Times New Roman"/>
                <w:sz w:val="24"/>
              </w:rPr>
              <w:t xml:space="preserve"> i odl</w:t>
            </w:r>
            <w:r w:rsidRPr="00E26EF6">
              <w:rPr>
                <w:rStyle w:val="InstructionsTabelleText"/>
                <w:rFonts w:ascii="Times New Roman" w:hAnsi="Times New Roman"/>
                <w:sz w:val="24"/>
              </w:rPr>
              <w:t>iczeń wymaganych na mocy krajowych środków wykonawczych</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57</w:t>
            </w:r>
            <w:r w:rsidR="00E26EF6" w:rsidRPr="00E26EF6">
              <w:rPr>
                <w:rStyle w:val="InstructionsTabelleText"/>
                <w:rFonts w:ascii="Times New Roman" w:hAnsi="Times New Roman"/>
                <w:sz w:val="24"/>
              </w:rPr>
              <w:t xml:space="preserve"> i 6</w:t>
            </w:r>
            <w:r w:rsidRPr="00E26EF6">
              <w:rPr>
                <w:rStyle w:val="InstructionsTabelleText"/>
                <w:rFonts w:ascii="Times New Roman" w:hAnsi="Times New Roman"/>
                <w:sz w:val="24"/>
              </w:rPr>
              <w:t>6 dyrektywy 2006/48/WE oraz</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13</w:t>
            </w:r>
            <w:r w:rsidR="00E26EF6" w:rsidRPr="00E26EF6">
              <w:rPr>
                <w:rStyle w:val="InstructionsTabelleText"/>
                <w:rFonts w:ascii="Times New Roman" w:hAnsi="Times New Roman"/>
                <w:sz w:val="24"/>
              </w:rPr>
              <w:t xml:space="preserve"> i 1</w:t>
            </w:r>
            <w:r w:rsidRPr="00E26EF6">
              <w:rPr>
                <w:rStyle w:val="InstructionsTabelleText"/>
                <w:rFonts w:ascii="Times New Roman" w:hAnsi="Times New Roman"/>
                <w:sz w:val="24"/>
              </w:rPr>
              <w:t>6 dyrektywy 2006/49/WE,</w:t>
            </w:r>
            <w:r w:rsidR="00E26EF6" w:rsidRPr="00E26EF6">
              <w:rPr>
                <w:rStyle w:val="InstructionsTabelleText"/>
                <w:rFonts w:ascii="Times New Roman" w:hAnsi="Times New Roman"/>
                <w:sz w:val="24"/>
              </w:rPr>
              <w:t xml:space="preserve"> i któ</w:t>
            </w:r>
            <w:r w:rsidRPr="00E26EF6">
              <w:rPr>
                <w:rStyle w:val="InstructionsTabelleText"/>
                <w:rFonts w:ascii="Times New Roman" w:hAnsi="Times New Roman"/>
                <w:sz w:val="24"/>
              </w:rPr>
              <w:t>re nie są wymagane zgodnie</w:t>
            </w:r>
            <w:r w:rsidR="00E26EF6" w:rsidRPr="00E26EF6">
              <w:rPr>
                <w:rStyle w:val="InstructionsTabelleText"/>
                <w:rFonts w:ascii="Times New Roman" w:hAnsi="Times New Roman"/>
                <w:sz w:val="24"/>
              </w:rPr>
              <w:t xml:space="preserve"> z czę</w:t>
            </w:r>
            <w:r w:rsidRPr="00E26EF6">
              <w:rPr>
                <w:rStyle w:val="InstructionsTabelleText"/>
                <w:rFonts w:ascii="Times New Roman" w:hAnsi="Times New Roman"/>
                <w:sz w:val="24"/>
              </w:rPr>
              <w:t xml:space="preserve">ścią drugą. </w:t>
            </w:r>
          </w:p>
        </w:tc>
      </w:tr>
      <w:tr w:rsidR="00915077" w:rsidRPr="00E26EF6" w14:paraId="4AAC0D51" w14:textId="77777777" w:rsidTr="00672D2A">
        <w:tc>
          <w:tcPr>
            <w:tcW w:w="1012" w:type="dxa"/>
          </w:tcPr>
          <w:p w14:paraId="479EBC6B" w14:textId="77777777" w:rsidR="00915077" w:rsidRPr="00E26EF6" w:rsidRDefault="008B695F">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440</w:t>
            </w:r>
          </w:p>
        </w:tc>
        <w:tc>
          <w:tcPr>
            <w:tcW w:w="7478" w:type="dxa"/>
          </w:tcPr>
          <w:p w14:paraId="2FAF298B" w14:textId="48FBC070" w:rsidR="00915077" w:rsidRPr="00E26EF6" w:rsidRDefault="008B695F">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1.3.4</w:t>
            </w:r>
            <w:r w:rsidRPr="00E26EF6">
              <w:rPr>
                <w:rStyle w:val="InstructionsTabelleberschrift"/>
                <w:rFonts w:ascii="Times New Roman" w:hAnsi="Times New Roman"/>
                <w:sz w:val="24"/>
              </w:rPr>
              <w:tab/>
              <w:t>Korekty wynikające z MSSF 9</w:t>
            </w:r>
            <w:r w:rsidR="00E26EF6" w:rsidRPr="00E26EF6">
              <w:rPr>
                <w:rStyle w:val="InstructionsTabelleberschrift"/>
                <w:rFonts w:ascii="Times New Roman" w:hAnsi="Times New Roman"/>
                <w:sz w:val="24"/>
              </w:rPr>
              <w:t xml:space="preserve"> w okr</w:t>
            </w:r>
            <w:r w:rsidRPr="00E26EF6">
              <w:rPr>
                <w:rStyle w:val="InstructionsTabelleberschrift"/>
                <w:rFonts w:ascii="Times New Roman" w:hAnsi="Times New Roman"/>
                <w:sz w:val="24"/>
              </w:rPr>
              <w:t>esie przejściowym</w:t>
            </w:r>
          </w:p>
          <w:p w14:paraId="6DD976B6" w14:textId="76CA2347" w:rsidR="00915077" w:rsidRPr="00E26EF6" w:rsidRDefault="009247A0">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Instytucje zgłaszają informacje dotyczące korekt wynikających z MSSF 9</w:t>
            </w:r>
            <w:r w:rsidR="00E26EF6" w:rsidRPr="00E26EF6">
              <w:rPr>
                <w:rStyle w:val="InstructionsTabelleberschrift"/>
                <w:rFonts w:ascii="Times New Roman" w:hAnsi="Times New Roman"/>
                <w:b w:val="0"/>
                <w:sz w:val="24"/>
                <w:u w:val="none"/>
              </w:rPr>
              <w:t xml:space="preserve"> w okr</w:t>
            </w:r>
            <w:r w:rsidRPr="00E26EF6">
              <w:rPr>
                <w:rStyle w:val="InstructionsTabelleberschrift"/>
                <w:rFonts w:ascii="Times New Roman" w:hAnsi="Times New Roman"/>
                <w:b w:val="0"/>
                <w:sz w:val="24"/>
                <w:u w:val="none"/>
              </w:rPr>
              <w:t>esie przejściowym zgodnie</w:t>
            </w:r>
            <w:r w:rsidR="00E26EF6" w:rsidRPr="00E26EF6">
              <w:rPr>
                <w:rStyle w:val="InstructionsTabelleberschrift"/>
                <w:rFonts w:ascii="Times New Roman" w:hAnsi="Times New Roman"/>
                <w:b w:val="0"/>
                <w:sz w:val="24"/>
                <w:u w:val="none"/>
              </w:rPr>
              <w:t xml:space="preserve"> z maj</w:t>
            </w:r>
            <w:r w:rsidRPr="00E26EF6">
              <w:rPr>
                <w:rStyle w:val="InstructionsTabelleberschrift"/>
                <w:rFonts w:ascii="Times New Roman" w:hAnsi="Times New Roman"/>
                <w:b w:val="0"/>
                <w:sz w:val="24"/>
                <w:u w:val="none"/>
              </w:rPr>
              <w:t>ącymi zastosowanie przepisami prawa.</w:t>
            </w:r>
          </w:p>
        </w:tc>
      </w:tr>
    </w:tbl>
    <w:p w14:paraId="4587B72A" w14:textId="77777777" w:rsidR="00915077" w:rsidRPr="00E26EF6" w:rsidRDefault="00915077">
      <w:pPr>
        <w:spacing w:after="0"/>
        <w:rPr>
          <w:rFonts w:ascii="Times New Roman" w:hAnsi="Times New Roman"/>
          <w:sz w:val="24"/>
        </w:rPr>
      </w:pPr>
    </w:p>
    <w:p w14:paraId="028A9ED4"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21" w:name="_Toc31014319"/>
      <w:r w:rsidRPr="00E26EF6">
        <w:rPr>
          <w:rFonts w:ascii="Times New Roman" w:hAnsi="Times New Roman"/>
          <w:sz w:val="24"/>
          <w:u w:val="none"/>
        </w:rPr>
        <w:t>1.6.3.</w:t>
      </w:r>
      <w:r w:rsidRPr="00E26EF6">
        <w:rPr>
          <w:rFonts w:ascii="Times New Roman" w:hAnsi="Times New Roman"/>
          <w:sz w:val="24"/>
          <w:u w:val="none"/>
        </w:rPr>
        <w:tab/>
      </w:r>
      <w:r w:rsidRPr="00E26EF6">
        <w:rPr>
          <w:rFonts w:ascii="Times New Roman" w:hAnsi="Times New Roman"/>
          <w:sz w:val="24"/>
        </w:rPr>
        <w:t>C 05.02 – INSTRUMENTY PODLEGAJĄCE ZASADZIE PRAW NABYTYCH: INSTRUMENTY NIESTANOWIĄCE POMOCY PAŃSTWA (CA5.2)</w:t>
      </w:r>
      <w:bookmarkEnd w:id="21"/>
      <w:r w:rsidRPr="00E26EF6">
        <w:rPr>
          <w:rFonts w:ascii="Times New Roman" w:hAnsi="Times New Roman"/>
          <w:sz w:val="24"/>
        </w:rPr>
        <w:t xml:space="preserve"> </w:t>
      </w:r>
    </w:p>
    <w:p w14:paraId="1AFBD2F4" w14:textId="5DF1715C" w:rsidR="00915077" w:rsidRPr="00E26EF6" w:rsidRDefault="00125707">
      <w:pPr>
        <w:pStyle w:val="InstructionsText2"/>
        <w:numPr>
          <w:ilvl w:val="0"/>
          <w:numId w:val="0"/>
        </w:numPr>
        <w:ind w:left="993"/>
      </w:pPr>
      <w:r w:rsidRPr="00E26EF6">
        <w:t>25.</w:t>
      </w:r>
      <w:r w:rsidRPr="00E26EF6">
        <w:tab/>
        <w:t>Instytucje zgłaszają informacje odnoszące się do przepisów przejściowych dotyczących instrumentów podlegających zasadzie praw nabytych, które to instrumenty nie stanowią pomocy państwa (art.</w:t>
      </w:r>
      <w:r w:rsidR="00023409" w:rsidRPr="00E26EF6">
        <w:t> </w:t>
      </w:r>
      <w:r w:rsidRPr="00E26EF6">
        <w:t>484–491 CRR).</w:t>
      </w:r>
    </w:p>
    <w:p w14:paraId="49D8AD5D"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22" w:name="_Toc31014320"/>
      <w:r w:rsidRPr="00E26EF6">
        <w:rPr>
          <w:rFonts w:ascii="Times New Roman" w:hAnsi="Times New Roman"/>
          <w:sz w:val="24"/>
          <w:u w:val="none"/>
        </w:rPr>
        <w:lastRenderedPageBreak/>
        <w:t>1.6.3.1.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2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915077" w:rsidRPr="00E26EF6" w14:paraId="744F3D21" w14:textId="77777777" w:rsidTr="00672D2A">
        <w:tc>
          <w:tcPr>
            <w:tcW w:w="8181" w:type="dxa"/>
            <w:gridSpan w:val="2"/>
            <w:shd w:val="clear" w:color="auto" w:fill="D9D9D9"/>
          </w:tcPr>
          <w:p w14:paraId="187FA7A6"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Kolumny</w:t>
            </w:r>
          </w:p>
        </w:tc>
      </w:tr>
      <w:tr w:rsidR="00915077" w:rsidRPr="00E26EF6" w14:paraId="77FFF3F5" w14:textId="77777777" w:rsidTr="00672D2A">
        <w:tc>
          <w:tcPr>
            <w:tcW w:w="703" w:type="dxa"/>
          </w:tcPr>
          <w:p w14:paraId="1EE9132D"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010</w:t>
            </w:r>
          </w:p>
        </w:tc>
        <w:tc>
          <w:tcPr>
            <w:tcW w:w="7478" w:type="dxa"/>
          </w:tcPr>
          <w:p w14:paraId="6E91664F" w14:textId="77777777" w:rsidR="00915077" w:rsidRPr="00E26EF6" w:rsidRDefault="002648B0">
            <w:pPr>
              <w:rPr>
                <w:rStyle w:val="InstructionsTabelleberschrift"/>
                <w:rFonts w:ascii="Times New Roman" w:hAnsi="Times New Roman"/>
                <w:sz w:val="24"/>
              </w:rPr>
            </w:pPr>
            <w:r w:rsidRPr="00E26EF6">
              <w:rPr>
                <w:rStyle w:val="InstructionsTabelleberschrift"/>
                <w:rFonts w:ascii="Times New Roman" w:hAnsi="Times New Roman"/>
                <w:sz w:val="24"/>
              </w:rPr>
              <w:t>Kwota instrumentów plus powiązane ażio emisyjne</w:t>
            </w:r>
          </w:p>
          <w:p w14:paraId="5B0ED10B" w14:textId="2BBF68CA" w:rsidR="00915077" w:rsidRPr="00E26EF6" w:rsidRDefault="00167619">
            <w:pPr>
              <w:rPr>
                <w:rStyle w:val="InstructionsTabelleText"/>
                <w:rFonts w:ascii="Times New Roman" w:hAnsi="Times New Roman"/>
                <w:sz w:val="24"/>
              </w:rPr>
            </w:pPr>
            <w:r w:rsidRPr="00E26EF6">
              <w:rPr>
                <w:rStyle w:val="InstructionsTabelleText"/>
                <w:rFonts w:ascii="Times New Roman" w:hAnsi="Times New Roman"/>
                <w:sz w:val="24"/>
              </w:rPr>
              <w:t>Art. 484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3, 4</w:t>
            </w:r>
            <w:r w:rsidR="00E26EF6" w:rsidRPr="00E26EF6">
              <w:rPr>
                <w:rStyle w:val="InstructionsTabelleText"/>
                <w:rFonts w:ascii="Times New Roman" w:hAnsi="Times New Roman"/>
                <w:sz w:val="24"/>
              </w:rPr>
              <w:t xml:space="preserve"> i 5</w:t>
            </w:r>
            <w:r w:rsidRPr="00E26EF6">
              <w:rPr>
                <w:rStyle w:val="InstructionsTabelleText"/>
                <w:rFonts w:ascii="Times New Roman" w:hAnsi="Times New Roman"/>
                <w:sz w:val="24"/>
              </w:rPr>
              <w:t xml:space="preserve"> CRR</w:t>
            </w:r>
          </w:p>
          <w:p w14:paraId="62768602" w14:textId="3442F495" w:rsidR="00915077" w:rsidRPr="00E26EF6" w:rsidRDefault="002648B0">
            <w:pPr>
              <w:rPr>
                <w:rStyle w:val="InstructionsTabelleText"/>
                <w:rFonts w:ascii="Times New Roman" w:hAnsi="Times New Roman"/>
                <w:sz w:val="24"/>
                <w:highlight w:val="lightGray"/>
              </w:rPr>
            </w:pPr>
            <w:r w:rsidRPr="00E26EF6">
              <w:rPr>
                <w:rStyle w:val="InstructionsTabelleText"/>
                <w:rFonts w:ascii="Times New Roman" w:hAnsi="Times New Roman"/>
                <w:sz w:val="24"/>
              </w:rPr>
              <w:t>Instrumenty, które kwalifikują się do odpowiedniego wiersza,</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ich powiązane ażio emisyjne.</w:t>
            </w:r>
          </w:p>
        </w:tc>
      </w:tr>
      <w:tr w:rsidR="00915077" w:rsidRPr="00E26EF6" w14:paraId="40DE1994" w14:textId="77777777" w:rsidTr="00672D2A">
        <w:tc>
          <w:tcPr>
            <w:tcW w:w="703" w:type="dxa"/>
          </w:tcPr>
          <w:p w14:paraId="313EFA29"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020</w:t>
            </w:r>
          </w:p>
        </w:tc>
        <w:tc>
          <w:tcPr>
            <w:tcW w:w="7478" w:type="dxa"/>
          </w:tcPr>
          <w:p w14:paraId="580FCFFC" w14:textId="77777777" w:rsidR="00915077" w:rsidRPr="00E26EF6" w:rsidRDefault="002648B0">
            <w:pPr>
              <w:rPr>
                <w:rStyle w:val="InstructionsTabelleberschrift"/>
                <w:rFonts w:ascii="Times New Roman" w:hAnsi="Times New Roman"/>
                <w:sz w:val="24"/>
              </w:rPr>
            </w:pPr>
            <w:r w:rsidRPr="00E26EF6">
              <w:rPr>
                <w:rStyle w:val="InstructionsTabelleberschrift"/>
                <w:rFonts w:ascii="Times New Roman" w:hAnsi="Times New Roman"/>
                <w:sz w:val="24"/>
              </w:rPr>
              <w:t>Podstawa obliczania limitu</w:t>
            </w:r>
          </w:p>
          <w:p w14:paraId="71AACF42" w14:textId="2154B60E" w:rsidR="00915077" w:rsidRPr="00E26EF6" w:rsidRDefault="00167619">
            <w:pPr>
              <w:rPr>
                <w:rStyle w:val="InstructionsTabelleText"/>
                <w:rFonts w:ascii="Times New Roman" w:hAnsi="Times New Roman"/>
                <w:sz w:val="24"/>
                <w:highlight w:val="lightGray"/>
              </w:rPr>
            </w:pPr>
            <w:r w:rsidRPr="00E26EF6">
              <w:rPr>
                <w:rStyle w:val="InstructionsTabelleText"/>
                <w:rFonts w:ascii="Times New Roman" w:hAnsi="Times New Roman"/>
                <w:sz w:val="24"/>
              </w:rPr>
              <w:t>Art. 486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2, 3</w:t>
            </w:r>
            <w:r w:rsidR="00E26EF6" w:rsidRPr="00E26EF6">
              <w:rPr>
                <w:rStyle w:val="InstructionsTabelleText"/>
                <w:rFonts w:ascii="Times New Roman" w:hAnsi="Times New Roman"/>
                <w:sz w:val="24"/>
              </w:rPr>
              <w:t xml:space="preserve"> i 4</w:t>
            </w:r>
            <w:r w:rsidRPr="00E26EF6">
              <w:rPr>
                <w:rStyle w:val="InstructionsTabelleText"/>
                <w:rFonts w:ascii="Times New Roman" w:hAnsi="Times New Roman"/>
                <w:sz w:val="24"/>
              </w:rPr>
              <w:t xml:space="preserve"> CRR</w:t>
            </w:r>
          </w:p>
        </w:tc>
      </w:tr>
      <w:tr w:rsidR="00915077" w:rsidRPr="00E26EF6" w14:paraId="151FF944" w14:textId="77777777" w:rsidTr="00672D2A">
        <w:tc>
          <w:tcPr>
            <w:tcW w:w="703" w:type="dxa"/>
          </w:tcPr>
          <w:p w14:paraId="23880D52"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030</w:t>
            </w:r>
          </w:p>
        </w:tc>
        <w:tc>
          <w:tcPr>
            <w:tcW w:w="7478" w:type="dxa"/>
          </w:tcPr>
          <w:p w14:paraId="3573D25D" w14:textId="77777777" w:rsidR="00915077" w:rsidRPr="00E26EF6" w:rsidRDefault="002648B0">
            <w:pPr>
              <w:rPr>
                <w:rStyle w:val="InstructionsTabelleberschrift"/>
                <w:rFonts w:ascii="Times New Roman" w:hAnsi="Times New Roman"/>
                <w:sz w:val="24"/>
              </w:rPr>
            </w:pPr>
            <w:r w:rsidRPr="00E26EF6">
              <w:rPr>
                <w:rStyle w:val="InstructionsTabelleberschrift"/>
                <w:rFonts w:ascii="Times New Roman" w:hAnsi="Times New Roman"/>
                <w:sz w:val="24"/>
              </w:rPr>
              <w:t>Mająca zastosowanie wartość procentowa</w:t>
            </w:r>
          </w:p>
          <w:p w14:paraId="375A0FE1" w14:textId="2E6F26FA" w:rsidR="00915077" w:rsidRPr="00E26EF6" w:rsidRDefault="002648B0">
            <w:pPr>
              <w:rPr>
                <w:rStyle w:val="InstructionsTabelleText"/>
                <w:rFonts w:ascii="Times New Roman" w:hAnsi="Times New Roman"/>
                <w:sz w:val="24"/>
                <w:highlight w:val="lightGray"/>
              </w:rPr>
            </w:pPr>
            <w:r w:rsidRPr="00E26EF6">
              <w:rPr>
                <w:rStyle w:val="InstructionsTabelleText"/>
                <w:rFonts w:ascii="Times New Roman" w:hAnsi="Times New Roman"/>
                <w:sz w:val="24"/>
              </w:rPr>
              <w:t>Art. 486 ust. 5 CRR</w:t>
            </w:r>
          </w:p>
        </w:tc>
      </w:tr>
      <w:tr w:rsidR="00915077" w:rsidRPr="00E26EF6" w14:paraId="14F08ED0" w14:textId="77777777" w:rsidTr="00672D2A">
        <w:tc>
          <w:tcPr>
            <w:tcW w:w="703" w:type="dxa"/>
          </w:tcPr>
          <w:p w14:paraId="06AA66F8"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040</w:t>
            </w:r>
          </w:p>
        </w:tc>
        <w:tc>
          <w:tcPr>
            <w:tcW w:w="7478" w:type="dxa"/>
          </w:tcPr>
          <w:p w14:paraId="523CF396" w14:textId="77777777" w:rsidR="00915077" w:rsidRPr="00E26EF6" w:rsidRDefault="002648B0">
            <w:pPr>
              <w:rPr>
                <w:rStyle w:val="InstructionsTabelleberschrift"/>
                <w:rFonts w:ascii="Times New Roman" w:hAnsi="Times New Roman"/>
                <w:sz w:val="24"/>
              </w:rPr>
            </w:pPr>
            <w:r w:rsidRPr="00E26EF6">
              <w:rPr>
                <w:rStyle w:val="InstructionsTabelleberschrift"/>
                <w:rFonts w:ascii="Times New Roman" w:hAnsi="Times New Roman"/>
                <w:sz w:val="24"/>
              </w:rPr>
              <w:t>Poziom</w:t>
            </w:r>
          </w:p>
          <w:p w14:paraId="0759A3E0" w14:textId="7BE53318" w:rsidR="00915077" w:rsidRPr="00E26EF6" w:rsidRDefault="00167619">
            <w:pPr>
              <w:rPr>
                <w:rStyle w:val="InstructionsTabelleText"/>
                <w:rFonts w:ascii="Times New Roman" w:hAnsi="Times New Roman"/>
                <w:sz w:val="24"/>
                <w:highlight w:val="lightGray"/>
              </w:rPr>
            </w:pPr>
            <w:r w:rsidRPr="00E26EF6">
              <w:rPr>
                <w:rStyle w:val="InstructionsTabelleText"/>
                <w:rFonts w:ascii="Times New Roman" w:hAnsi="Times New Roman"/>
                <w:sz w:val="24"/>
              </w:rPr>
              <w:t>Art. 486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2–5 CRR</w:t>
            </w:r>
          </w:p>
        </w:tc>
      </w:tr>
      <w:tr w:rsidR="00915077" w:rsidRPr="00E26EF6" w14:paraId="5FB8B9D8" w14:textId="77777777" w:rsidTr="00672D2A">
        <w:tc>
          <w:tcPr>
            <w:tcW w:w="703" w:type="dxa"/>
          </w:tcPr>
          <w:p w14:paraId="6BA36B25"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050</w:t>
            </w:r>
          </w:p>
        </w:tc>
        <w:tc>
          <w:tcPr>
            <w:tcW w:w="7478" w:type="dxa"/>
          </w:tcPr>
          <w:p w14:paraId="7752635F" w14:textId="1757FB2F" w:rsidR="00915077" w:rsidRPr="00E26EF6" w:rsidRDefault="002648B0">
            <w:pPr>
              <w:rPr>
                <w:rStyle w:val="InstructionsTabelleberschrift"/>
                <w:rFonts w:ascii="Times New Roman" w:hAnsi="Times New Roman"/>
                <w:sz w:val="24"/>
              </w:rPr>
            </w:pPr>
            <w:r w:rsidRPr="00E26EF6">
              <w:rPr>
                <w:rStyle w:val="InstructionsTabelleberschrift"/>
                <w:rFonts w:ascii="Times New Roman" w:hAnsi="Times New Roman"/>
                <w:sz w:val="24"/>
              </w:rPr>
              <w:t>(-) Kwota przekraczająca limity</w:t>
            </w:r>
            <w:r w:rsidR="00E26EF6" w:rsidRPr="00E26EF6">
              <w:rPr>
                <w:rStyle w:val="InstructionsTabelleberschrift"/>
                <w:rFonts w:ascii="Times New Roman" w:hAnsi="Times New Roman"/>
                <w:sz w:val="24"/>
              </w:rPr>
              <w:t xml:space="preserve"> w zak</w:t>
            </w:r>
            <w:r w:rsidRPr="00E26EF6">
              <w:rPr>
                <w:rStyle w:val="InstructionsTabelleberschrift"/>
                <w:rFonts w:ascii="Times New Roman" w:hAnsi="Times New Roman"/>
                <w:sz w:val="24"/>
              </w:rPr>
              <w:t>resie stosowania zasady praw nabytych</w:t>
            </w:r>
          </w:p>
          <w:p w14:paraId="2EBB3A4F" w14:textId="6F8927E4" w:rsidR="00915077" w:rsidRPr="00E26EF6" w:rsidRDefault="00167619">
            <w:pPr>
              <w:rPr>
                <w:rStyle w:val="InstructionsTabelleText"/>
                <w:rFonts w:ascii="Times New Roman" w:hAnsi="Times New Roman"/>
                <w:sz w:val="24"/>
                <w:highlight w:val="lightGray"/>
              </w:rPr>
            </w:pPr>
            <w:r w:rsidRPr="00E26EF6">
              <w:rPr>
                <w:rStyle w:val="InstructionsTabelleText"/>
                <w:rFonts w:ascii="Times New Roman" w:hAnsi="Times New Roman"/>
                <w:sz w:val="24"/>
              </w:rPr>
              <w:t>Art. 486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2–5 CRR</w:t>
            </w:r>
          </w:p>
        </w:tc>
      </w:tr>
      <w:tr w:rsidR="00915077" w:rsidRPr="00E26EF6" w14:paraId="21CF1090" w14:textId="77777777" w:rsidTr="00672D2A">
        <w:tc>
          <w:tcPr>
            <w:tcW w:w="703" w:type="dxa"/>
          </w:tcPr>
          <w:p w14:paraId="4CBE88CE"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060</w:t>
            </w:r>
          </w:p>
        </w:tc>
        <w:tc>
          <w:tcPr>
            <w:tcW w:w="7478" w:type="dxa"/>
          </w:tcPr>
          <w:p w14:paraId="449331E9" w14:textId="77777777" w:rsidR="00915077" w:rsidRPr="00E26EF6" w:rsidRDefault="002648B0">
            <w:pPr>
              <w:rPr>
                <w:rStyle w:val="InstructionsTabelleberschrift"/>
                <w:rFonts w:ascii="Times New Roman" w:hAnsi="Times New Roman"/>
                <w:sz w:val="24"/>
              </w:rPr>
            </w:pPr>
            <w:r w:rsidRPr="00E26EF6">
              <w:rPr>
                <w:rStyle w:val="InstructionsTabelleberschrift"/>
                <w:rFonts w:ascii="Times New Roman" w:hAnsi="Times New Roman"/>
                <w:sz w:val="24"/>
              </w:rPr>
              <w:t>Całkowita kwota podlegająca zasadzie praw nabytych</w:t>
            </w:r>
          </w:p>
          <w:p w14:paraId="5DEE80C6" w14:textId="388D1F32" w:rsidR="00915077" w:rsidRPr="00E26EF6" w:rsidRDefault="002648B0">
            <w:pPr>
              <w:rPr>
                <w:rStyle w:val="InstructionsTabelleText"/>
                <w:rFonts w:ascii="Times New Roman" w:hAnsi="Times New Roman"/>
                <w:sz w:val="24"/>
              </w:rPr>
            </w:pPr>
            <w:r w:rsidRPr="00E26EF6">
              <w:rPr>
                <w:rStyle w:val="InstructionsTabelleText"/>
                <w:rFonts w:ascii="Times New Roman" w:hAnsi="Times New Roman"/>
                <w:sz w:val="24"/>
              </w:rPr>
              <w:t>Kwota, którą należy zgłosić, jest równa kwotom zgłoszonym</w:t>
            </w:r>
            <w:r w:rsidR="00E26EF6" w:rsidRPr="00E26EF6">
              <w:rPr>
                <w:rStyle w:val="InstructionsTabelleText"/>
                <w:rFonts w:ascii="Times New Roman" w:hAnsi="Times New Roman"/>
                <w:sz w:val="24"/>
              </w:rPr>
              <w:t xml:space="preserve"> w odp</w:t>
            </w:r>
            <w:r w:rsidRPr="00E26EF6">
              <w:rPr>
                <w:rStyle w:val="InstructionsTabelleText"/>
                <w:rFonts w:ascii="Times New Roman" w:hAnsi="Times New Roman"/>
                <w:sz w:val="24"/>
              </w:rPr>
              <w:t>owiednich kolumnach</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rszu 060 wzoru CA5.1.</w:t>
            </w:r>
          </w:p>
        </w:tc>
      </w:tr>
    </w:tbl>
    <w:p w14:paraId="1FBB159E" w14:textId="77777777" w:rsidR="00915077" w:rsidRPr="00E26EF6" w:rsidRDefault="00915077">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915077" w:rsidRPr="00E26EF6" w14:paraId="14065DA6" w14:textId="77777777" w:rsidTr="00672D2A">
        <w:tc>
          <w:tcPr>
            <w:tcW w:w="8181" w:type="dxa"/>
            <w:gridSpan w:val="2"/>
            <w:shd w:val="clear" w:color="auto" w:fill="D9D9D9"/>
          </w:tcPr>
          <w:p w14:paraId="673915CE" w14:textId="77777777" w:rsidR="00915077" w:rsidRPr="00E26EF6" w:rsidRDefault="002648B0">
            <w:pPr>
              <w:pStyle w:val="InstructionsText"/>
              <w:rPr>
                <w:highlight w:val="lightGray"/>
              </w:rPr>
            </w:pPr>
            <w:r w:rsidRPr="00E26EF6">
              <w:t>Wiersze</w:t>
            </w:r>
          </w:p>
        </w:tc>
      </w:tr>
      <w:tr w:rsidR="00915077" w:rsidRPr="00E26EF6" w14:paraId="6ED9E034" w14:textId="77777777" w:rsidTr="00672D2A">
        <w:tc>
          <w:tcPr>
            <w:tcW w:w="703" w:type="dxa"/>
          </w:tcPr>
          <w:p w14:paraId="53436CAA"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010</w:t>
            </w:r>
          </w:p>
        </w:tc>
        <w:tc>
          <w:tcPr>
            <w:tcW w:w="7478" w:type="dxa"/>
          </w:tcPr>
          <w:p w14:paraId="5CAC9AE9" w14:textId="18676036" w:rsidR="00915077" w:rsidRPr="00E26EF6" w:rsidRDefault="00C66473">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w:t>
            </w:r>
            <w:r w:rsidRPr="00E26EF6">
              <w:rPr>
                <w:rStyle w:val="InstructionsTabelleberschrift"/>
                <w:rFonts w:ascii="Times New Roman" w:hAnsi="Times New Roman"/>
                <w:sz w:val="24"/>
              </w:rPr>
              <w:tab/>
              <w:t>Instrumenty, które kwalifikowały się zgodnie</w:t>
            </w:r>
            <w:r w:rsidR="00E26EF6" w:rsidRPr="00E26EF6">
              <w:rPr>
                <w:rStyle w:val="InstructionsTabelleberschrift"/>
                <w:rFonts w:ascii="Times New Roman" w:hAnsi="Times New Roman"/>
                <w:sz w:val="24"/>
              </w:rPr>
              <w:t xml:space="preserve"> z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57 lit.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a) dyrektywy 2006/48/WE</w:t>
            </w:r>
          </w:p>
          <w:p w14:paraId="64BFBEB9" w14:textId="3093BA5C" w:rsidR="00915077" w:rsidRPr="00E26EF6" w:rsidRDefault="002648B0">
            <w:pPr>
              <w:rPr>
                <w:rStyle w:val="InstructionsTabelleText"/>
                <w:rFonts w:ascii="Times New Roman" w:hAnsi="Times New Roman"/>
                <w:sz w:val="24"/>
              </w:rPr>
            </w:pPr>
            <w:r w:rsidRPr="00E26EF6">
              <w:rPr>
                <w:rStyle w:val="InstructionsTabelleText"/>
                <w:rFonts w:ascii="Times New Roman" w:hAnsi="Times New Roman"/>
                <w:sz w:val="24"/>
              </w:rPr>
              <w:t>Art. 484 ust. 3 CRR</w:t>
            </w:r>
          </w:p>
          <w:p w14:paraId="2B04B67F" w14:textId="77777777" w:rsidR="00915077" w:rsidRPr="00E26EF6" w:rsidRDefault="002648B0">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obejmuje powiązane ażio emisyjne.</w:t>
            </w:r>
          </w:p>
        </w:tc>
      </w:tr>
      <w:tr w:rsidR="00915077" w:rsidRPr="00E26EF6" w14:paraId="24B3FF21" w14:textId="77777777" w:rsidTr="00672D2A">
        <w:tc>
          <w:tcPr>
            <w:tcW w:w="703" w:type="dxa"/>
          </w:tcPr>
          <w:p w14:paraId="377B2254"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020</w:t>
            </w:r>
          </w:p>
        </w:tc>
        <w:tc>
          <w:tcPr>
            <w:tcW w:w="7478" w:type="dxa"/>
          </w:tcPr>
          <w:p w14:paraId="09E0B8AD" w14:textId="726A1321" w:rsidR="00915077" w:rsidRPr="00E26EF6" w:rsidRDefault="00C66473">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2.</w:t>
            </w:r>
            <w:r w:rsidRPr="00E26EF6">
              <w:rPr>
                <w:rStyle w:val="InstructionsTabelleberschrift"/>
                <w:rFonts w:ascii="Times New Roman" w:hAnsi="Times New Roman"/>
                <w:sz w:val="24"/>
              </w:rPr>
              <w:tab/>
              <w:t>Instrumenty, które kwalifikowały się zgodnie</w:t>
            </w:r>
            <w:r w:rsidR="00E26EF6" w:rsidRPr="00E26EF6">
              <w:rPr>
                <w:rStyle w:val="InstructionsTabelleberschrift"/>
                <w:rFonts w:ascii="Times New Roman" w:hAnsi="Times New Roman"/>
                <w:sz w:val="24"/>
              </w:rPr>
              <w:t xml:space="preserve"> z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57 lit. ca) oraz art.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154 ust.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8</w:t>
            </w:r>
            <w:r w:rsidR="00E26EF6" w:rsidRPr="00E26EF6">
              <w:rPr>
                <w:rStyle w:val="InstructionsTabelleberschrift"/>
                <w:rFonts w:ascii="Times New Roman" w:hAnsi="Times New Roman"/>
                <w:sz w:val="24"/>
              </w:rPr>
              <w:t xml:space="preserve"> i 9</w:t>
            </w:r>
            <w:r w:rsidRPr="00E26EF6">
              <w:rPr>
                <w:rStyle w:val="InstructionsTabelleberschrift"/>
                <w:rFonts w:ascii="Times New Roman" w:hAnsi="Times New Roman"/>
                <w:sz w:val="24"/>
              </w:rPr>
              <w:t xml:space="preserve"> dyrektywy 2006/48/WE,</w:t>
            </w:r>
            <w:r w:rsidR="00E26EF6" w:rsidRPr="00E26EF6">
              <w:rPr>
                <w:rStyle w:val="InstructionsTabelleberschrift"/>
                <w:rFonts w:ascii="Times New Roman" w:hAnsi="Times New Roman"/>
                <w:sz w:val="24"/>
              </w:rPr>
              <w:t xml:space="preserve"> z zas</w:t>
            </w:r>
            <w:r w:rsidRPr="00E26EF6">
              <w:rPr>
                <w:rStyle w:val="InstructionsTabelleberschrift"/>
                <w:rFonts w:ascii="Times New Roman" w:hAnsi="Times New Roman"/>
                <w:sz w:val="24"/>
              </w:rPr>
              <w:t>trzeżeniem limitu określonego</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489 CRR</w:t>
            </w:r>
          </w:p>
          <w:p w14:paraId="0D197541" w14:textId="2E611B43" w:rsidR="00915077" w:rsidRPr="00E26EF6" w:rsidRDefault="002648B0">
            <w:pPr>
              <w:rPr>
                <w:rStyle w:val="InstructionsTabelleText"/>
                <w:rFonts w:ascii="Times New Roman" w:hAnsi="Times New Roman"/>
                <w:sz w:val="24"/>
                <w:highlight w:val="lightGray"/>
              </w:rPr>
            </w:pPr>
            <w:r w:rsidRPr="00E26EF6">
              <w:rPr>
                <w:rStyle w:val="InstructionsTabelleText"/>
                <w:rFonts w:ascii="Times New Roman" w:hAnsi="Times New Roman"/>
                <w:sz w:val="24"/>
              </w:rPr>
              <w:t>Art. 484 ust. 4 CRR</w:t>
            </w:r>
          </w:p>
        </w:tc>
      </w:tr>
      <w:tr w:rsidR="00915077" w:rsidRPr="00E26EF6" w14:paraId="15DF7219" w14:textId="77777777" w:rsidTr="00672D2A">
        <w:tc>
          <w:tcPr>
            <w:tcW w:w="703" w:type="dxa"/>
          </w:tcPr>
          <w:p w14:paraId="284F5787"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030</w:t>
            </w:r>
          </w:p>
        </w:tc>
        <w:tc>
          <w:tcPr>
            <w:tcW w:w="7478" w:type="dxa"/>
          </w:tcPr>
          <w:p w14:paraId="06DD94E9" w14:textId="77777777"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2.1</w:t>
            </w:r>
            <w:r w:rsidRPr="00E26EF6">
              <w:rPr>
                <w:rStyle w:val="InstructionsTabelleberschrift"/>
                <w:rFonts w:ascii="Times New Roman" w:hAnsi="Times New Roman"/>
                <w:sz w:val="24"/>
              </w:rPr>
              <w:tab/>
              <w:t>Całkowita kwota instrumentów bez opcji kupna lub zachęty do umorzenia</w:t>
            </w:r>
          </w:p>
          <w:p w14:paraId="7DA67154" w14:textId="3A75D6F4" w:rsidR="00915077" w:rsidRPr="00E26EF6" w:rsidRDefault="002648B0">
            <w:pPr>
              <w:pStyle w:val="InstructionsText"/>
              <w:rPr>
                <w:rStyle w:val="InstructionsTabelleText"/>
                <w:rFonts w:ascii="Times New Roman" w:hAnsi="Times New Roman"/>
                <w:bCs/>
                <w:sz w:val="24"/>
              </w:rPr>
            </w:pPr>
            <w:r w:rsidRPr="00E26EF6">
              <w:rPr>
                <w:rStyle w:val="InstructionsTabelleText"/>
                <w:rFonts w:ascii="Times New Roman" w:hAnsi="Times New Roman"/>
                <w:sz w:val="24"/>
              </w:rPr>
              <w:t>Art. 484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489 CRR</w:t>
            </w:r>
          </w:p>
          <w:p w14:paraId="755696AD" w14:textId="77777777" w:rsidR="00915077" w:rsidRPr="00E26EF6" w:rsidRDefault="002648B0">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obejmuje powiązane ażio emisyjne.</w:t>
            </w:r>
          </w:p>
        </w:tc>
      </w:tr>
      <w:tr w:rsidR="00915077" w:rsidRPr="00E26EF6" w14:paraId="72485432" w14:textId="77777777" w:rsidTr="00672D2A">
        <w:tc>
          <w:tcPr>
            <w:tcW w:w="703" w:type="dxa"/>
          </w:tcPr>
          <w:p w14:paraId="3828D750"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040</w:t>
            </w:r>
          </w:p>
        </w:tc>
        <w:tc>
          <w:tcPr>
            <w:tcW w:w="7478" w:type="dxa"/>
          </w:tcPr>
          <w:p w14:paraId="11D8F4AD" w14:textId="319D0CED"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2.2</w:t>
            </w:r>
            <w:r w:rsidRPr="00E26EF6">
              <w:rPr>
                <w:rStyle w:val="InstructionsTabelleberschrift"/>
                <w:rFonts w:ascii="Times New Roman" w:hAnsi="Times New Roman"/>
                <w:sz w:val="24"/>
              </w:rPr>
              <w:tab/>
              <w:t>Instrumenty podlegające zasadzie praw nabytych</w:t>
            </w:r>
            <w:r w:rsidR="00E26EF6" w:rsidRPr="00E26EF6">
              <w:rPr>
                <w:rStyle w:val="InstructionsTabelleberschrift"/>
                <w:rFonts w:ascii="Times New Roman" w:hAnsi="Times New Roman"/>
                <w:sz w:val="24"/>
              </w:rPr>
              <w:t xml:space="preserve"> z opc</w:t>
            </w:r>
            <w:r w:rsidRPr="00E26EF6">
              <w:rPr>
                <w:rStyle w:val="InstructionsTabelleberschrift"/>
                <w:rFonts w:ascii="Times New Roman" w:hAnsi="Times New Roman"/>
                <w:sz w:val="24"/>
              </w:rPr>
              <w:t>ją kupna</w:t>
            </w:r>
            <w:r w:rsidR="00E26EF6" w:rsidRPr="00E26EF6">
              <w:rPr>
                <w:rStyle w:val="InstructionsTabelleberschrift"/>
                <w:rFonts w:ascii="Times New Roman" w:hAnsi="Times New Roman"/>
                <w:sz w:val="24"/>
              </w:rPr>
              <w:t xml:space="preserve"> i zac</w:t>
            </w:r>
            <w:r w:rsidRPr="00E26EF6">
              <w:rPr>
                <w:rStyle w:val="InstructionsTabelleberschrift"/>
                <w:rFonts w:ascii="Times New Roman" w:hAnsi="Times New Roman"/>
                <w:sz w:val="24"/>
              </w:rPr>
              <w:t>hętą do umorzenia</w:t>
            </w:r>
          </w:p>
          <w:p w14:paraId="4B2F57CE" w14:textId="2FFAD25B" w:rsidR="00915077" w:rsidRPr="00E26EF6" w:rsidRDefault="002648B0">
            <w:pPr>
              <w:pStyle w:val="InstructionsText"/>
              <w:rPr>
                <w:rStyle w:val="InstructionsTabelleText"/>
                <w:rFonts w:ascii="Times New Roman" w:hAnsi="Times New Roman"/>
                <w:bCs/>
                <w:sz w:val="24"/>
                <w:highlight w:val="lightGray"/>
              </w:rPr>
            </w:pPr>
            <w:r w:rsidRPr="00E26EF6">
              <w:rPr>
                <w:rStyle w:val="InstructionsTabelleText"/>
                <w:rFonts w:ascii="Times New Roman" w:hAnsi="Times New Roman"/>
                <w:sz w:val="24"/>
              </w:rPr>
              <w:t>Art. 489 CRR</w:t>
            </w:r>
          </w:p>
        </w:tc>
      </w:tr>
      <w:tr w:rsidR="00915077" w:rsidRPr="00E26EF6" w14:paraId="12729CB7" w14:textId="77777777" w:rsidTr="00672D2A">
        <w:tc>
          <w:tcPr>
            <w:tcW w:w="703" w:type="dxa"/>
          </w:tcPr>
          <w:p w14:paraId="5BD3049D"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050</w:t>
            </w:r>
          </w:p>
        </w:tc>
        <w:tc>
          <w:tcPr>
            <w:tcW w:w="7478" w:type="dxa"/>
          </w:tcPr>
          <w:p w14:paraId="4964DE04" w14:textId="767BA824"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2.2.1</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z opc</w:t>
            </w:r>
            <w:r w:rsidRPr="00E26EF6">
              <w:rPr>
                <w:rStyle w:val="InstructionsTabelleberschrift"/>
                <w:rFonts w:ascii="Times New Roman" w:hAnsi="Times New Roman"/>
                <w:sz w:val="24"/>
              </w:rPr>
              <w:t>ją kupna wykonalną po dniu sprawozdawczym, spełniające warunki określone</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52 CRR po upływie efektywnego terminu zapadalności</w:t>
            </w:r>
          </w:p>
          <w:p w14:paraId="3DA61745" w14:textId="18590B47"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489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491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p w14:paraId="27D78769" w14:textId="77777777" w:rsidR="00915077" w:rsidRPr="00E26EF6" w:rsidRDefault="002648B0">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obejmuje powiązane ażio emisyjne.</w:t>
            </w:r>
          </w:p>
        </w:tc>
      </w:tr>
      <w:tr w:rsidR="00915077" w:rsidRPr="00E26EF6" w14:paraId="156521F2" w14:textId="77777777" w:rsidTr="00672D2A">
        <w:tc>
          <w:tcPr>
            <w:tcW w:w="703" w:type="dxa"/>
          </w:tcPr>
          <w:p w14:paraId="51F2DC97"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060</w:t>
            </w:r>
          </w:p>
        </w:tc>
        <w:tc>
          <w:tcPr>
            <w:tcW w:w="7478" w:type="dxa"/>
          </w:tcPr>
          <w:p w14:paraId="6D056AF7" w14:textId="3C820842"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2.2.2</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z opc</w:t>
            </w:r>
            <w:r w:rsidRPr="00E26EF6">
              <w:rPr>
                <w:rStyle w:val="InstructionsTabelleberschrift"/>
                <w:rFonts w:ascii="Times New Roman" w:hAnsi="Times New Roman"/>
                <w:sz w:val="24"/>
              </w:rPr>
              <w:t>ją kupna wykonalną po dniu sprawozdawczym, niespełniające warunków określonych</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52 CRR po upływie efektywnego terminu zapadalności</w:t>
            </w:r>
          </w:p>
          <w:p w14:paraId="03E564F8" w14:textId="4306E2E7" w:rsidR="00915077" w:rsidRPr="00E26EF6" w:rsidRDefault="009F155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lastRenderedPageBreak/>
              <w:t>Art. 489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491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p w14:paraId="683A0881" w14:textId="77777777" w:rsidR="00915077" w:rsidRPr="00E26EF6" w:rsidRDefault="002648B0">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obejmuje powiązane ażio emisyjne.</w:t>
            </w:r>
          </w:p>
        </w:tc>
      </w:tr>
      <w:tr w:rsidR="00915077" w:rsidRPr="00E26EF6" w14:paraId="3ED116FE" w14:textId="77777777" w:rsidTr="00672D2A">
        <w:tc>
          <w:tcPr>
            <w:tcW w:w="703" w:type="dxa"/>
          </w:tcPr>
          <w:p w14:paraId="63D3F5A9"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070</w:t>
            </w:r>
          </w:p>
        </w:tc>
        <w:tc>
          <w:tcPr>
            <w:tcW w:w="7478" w:type="dxa"/>
          </w:tcPr>
          <w:p w14:paraId="55844FCD" w14:textId="3C547F4C"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2.2.3</w:t>
            </w:r>
            <w:r w:rsidRPr="00E26EF6">
              <w:rPr>
                <w:rStyle w:val="InstructionsTabelleberschrift"/>
                <w:rFonts w:ascii="Times New Roman" w:hAnsi="Times New Roman"/>
                <w:sz w:val="24"/>
              </w:rPr>
              <w:tab/>
              <w:t>Instrumenty</w:t>
            </w:r>
            <w:r w:rsidR="00E26EF6" w:rsidRPr="00E26EF6">
              <w:rPr>
                <w:rStyle w:val="InstructionsTabelleberschrift"/>
                <w:rFonts w:ascii="Times New Roman" w:hAnsi="Times New Roman"/>
                <w:sz w:val="24"/>
              </w:rPr>
              <w:t xml:space="preserve"> z opc</w:t>
            </w:r>
            <w:r w:rsidRPr="00E26EF6">
              <w:rPr>
                <w:rStyle w:val="InstructionsTabelleberschrift"/>
                <w:rFonts w:ascii="Times New Roman" w:hAnsi="Times New Roman"/>
                <w:sz w:val="24"/>
              </w:rPr>
              <w:t>ją kupna wykonalną przed dniem 20 lipca 2011</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r. lub</w:t>
            </w:r>
            <w:r w:rsidR="00E26EF6" w:rsidRPr="00E26EF6">
              <w:rPr>
                <w:rStyle w:val="InstructionsTabelleberschrift"/>
                <w:rFonts w:ascii="Times New Roman" w:hAnsi="Times New Roman"/>
                <w:sz w:val="24"/>
              </w:rPr>
              <w:t xml:space="preserve"> w dni</w:t>
            </w:r>
            <w:r w:rsidRPr="00E26EF6">
              <w:rPr>
                <w:rStyle w:val="InstructionsTabelleberschrift"/>
                <w:rFonts w:ascii="Times New Roman" w:hAnsi="Times New Roman"/>
                <w:sz w:val="24"/>
              </w:rPr>
              <w:t>u 20 lipca 2011</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r., niespełniające warunków określonych</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52 CRR po upływie efektywnego terminu zapadalności</w:t>
            </w:r>
          </w:p>
          <w:p w14:paraId="4FF64B88" w14:textId="2BEA630C" w:rsidR="00915077" w:rsidRPr="00E26EF6" w:rsidRDefault="009F155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489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6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491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c) CRR</w:t>
            </w:r>
          </w:p>
          <w:p w14:paraId="76E15D9C"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obejmuje powiązane ażio emisyjne.</w:t>
            </w:r>
          </w:p>
        </w:tc>
      </w:tr>
      <w:tr w:rsidR="00915077" w:rsidRPr="00E26EF6" w14:paraId="1484081C" w14:textId="77777777" w:rsidTr="00672D2A">
        <w:tc>
          <w:tcPr>
            <w:tcW w:w="703" w:type="dxa"/>
          </w:tcPr>
          <w:p w14:paraId="766BE8B5"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080</w:t>
            </w:r>
          </w:p>
        </w:tc>
        <w:tc>
          <w:tcPr>
            <w:tcW w:w="7478" w:type="dxa"/>
          </w:tcPr>
          <w:p w14:paraId="24CB712D" w14:textId="2382D959"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2.3</w:t>
            </w:r>
            <w:r w:rsidRPr="00E26EF6">
              <w:rPr>
                <w:rStyle w:val="InstructionsTabelleberschrift"/>
                <w:rFonts w:ascii="Times New Roman" w:hAnsi="Times New Roman"/>
                <w:sz w:val="24"/>
              </w:rPr>
              <w:tab/>
              <w:t>Nadwyżka ponad limit instrumentów</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podstawowym Tier I podlegających zasadzie praw nabytych</w:t>
            </w:r>
          </w:p>
          <w:p w14:paraId="2BC183EC" w14:textId="5133841C" w:rsidR="00915077" w:rsidRPr="00E26EF6" w:rsidRDefault="002648B0">
            <w:pPr>
              <w:pStyle w:val="InstructionsText"/>
              <w:rPr>
                <w:rStyle w:val="InstructionsTabelleText"/>
                <w:rFonts w:ascii="Times New Roman" w:hAnsi="Times New Roman"/>
                <w:sz w:val="24"/>
              </w:rPr>
            </w:pPr>
            <w:r w:rsidRPr="00E26EF6">
              <w:rPr>
                <w:rStyle w:val="InstructionsTabelleText"/>
                <w:rFonts w:ascii="Times New Roman" w:hAnsi="Times New Roman"/>
                <w:sz w:val="24"/>
              </w:rPr>
              <w:t>Art. 487 ust. 1 CRR</w:t>
            </w:r>
          </w:p>
          <w:p w14:paraId="39EEAD88" w14:textId="74B23D54"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Nadwyżkę ponad limit instrumentów</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podstawowym Tier I podlegających zasadzie praw nabytych można traktować jak instrumenty, które mogą podlegać zasadzie praw nabytych jako instrumenty</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dodatkowym Tier I.</w:t>
            </w:r>
          </w:p>
        </w:tc>
      </w:tr>
      <w:tr w:rsidR="00915077" w:rsidRPr="00E26EF6" w14:paraId="61E5E55B" w14:textId="77777777" w:rsidTr="00672D2A">
        <w:tc>
          <w:tcPr>
            <w:tcW w:w="703" w:type="dxa"/>
          </w:tcPr>
          <w:p w14:paraId="2837DB83"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090</w:t>
            </w:r>
          </w:p>
        </w:tc>
        <w:tc>
          <w:tcPr>
            <w:tcW w:w="7478" w:type="dxa"/>
          </w:tcPr>
          <w:p w14:paraId="01ECF30E" w14:textId="11E68448" w:rsidR="00915077" w:rsidRPr="00E26EF6" w:rsidRDefault="00C66473">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3.</w:t>
            </w:r>
            <w:r w:rsidRPr="00E26EF6">
              <w:rPr>
                <w:rStyle w:val="InstructionsTabelleberschrift"/>
                <w:rFonts w:ascii="Times New Roman" w:hAnsi="Times New Roman"/>
                <w:sz w:val="24"/>
              </w:rPr>
              <w:tab/>
              <w:t>Pozycje, które kwalifikowały się zgodnie</w:t>
            </w:r>
            <w:r w:rsidR="00E26EF6" w:rsidRPr="00E26EF6">
              <w:rPr>
                <w:rStyle w:val="InstructionsTabelleberschrift"/>
                <w:rFonts w:ascii="Times New Roman" w:hAnsi="Times New Roman"/>
                <w:sz w:val="24"/>
              </w:rPr>
              <w:t xml:space="preserve"> z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57 lit.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e), f), g) lub h) dyrektywy 2006/48/WE,</w:t>
            </w:r>
            <w:r w:rsidR="00E26EF6" w:rsidRPr="00E26EF6">
              <w:rPr>
                <w:rStyle w:val="InstructionsTabelleberschrift"/>
                <w:rFonts w:ascii="Times New Roman" w:hAnsi="Times New Roman"/>
                <w:sz w:val="24"/>
              </w:rPr>
              <w:t xml:space="preserve"> z zas</w:t>
            </w:r>
            <w:r w:rsidRPr="00E26EF6">
              <w:rPr>
                <w:rStyle w:val="InstructionsTabelleberschrift"/>
                <w:rFonts w:ascii="Times New Roman" w:hAnsi="Times New Roman"/>
                <w:sz w:val="24"/>
              </w:rPr>
              <w:t>trzeżeniem limitu określonego</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490 CRR</w:t>
            </w:r>
          </w:p>
          <w:p w14:paraId="7A3517FB" w14:textId="405FFA3E" w:rsidR="00915077" w:rsidRPr="00E26EF6" w:rsidRDefault="002648B0">
            <w:pPr>
              <w:pStyle w:val="InstructionsText"/>
              <w:rPr>
                <w:rStyle w:val="InstructionsTabelleText"/>
                <w:rFonts w:ascii="Times New Roman" w:hAnsi="Times New Roman"/>
                <w:bCs/>
                <w:sz w:val="24"/>
                <w:highlight w:val="lightGray"/>
              </w:rPr>
            </w:pPr>
            <w:r w:rsidRPr="00E26EF6">
              <w:rPr>
                <w:rStyle w:val="InstructionsTabelleText"/>
                <w:rFonts w:ascii="Times New Roman" w:hAnsi="Times New Roman"/>
                <w:sz w:val="24"/>
              </w:rPr>
              <w:t>Art. 484 ust. 5 CRR</w:t>
            </w:r>
          </w:p>
        </w:tc>
      </w:tr>
      <w:tr w:rsidR="00915077" w:rsidRPr="00E26EF6" w14:paraId="7AD26B0B" w14:textId="77777777" w:rsidTr="00672D2A">
        <w:tc>
          <w:tcPr>
            <w:tcW w:w="703" w:type="dxa"/>
          </w:tcPr>
          <w:p w14:paraId="4B9CB77D"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100</w:t>
            </w:r>
          </w:p>
        </w:tc>
        <w:tc>
          <w:tcPr>
            <w:tcW w:w="7478" w:type="dxa"/>
          </w:tcPr>
          <w:p w14:paraId="563811AC" w14:textId="77777777"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3.1</w:t>
            </w:r>
            <w:r w:rsidRPr="00E26EF6">
              <w:rPr>
                <w:rStyle w:val="InstructionsTabelleberschrift"/>
                <w:rFonts w:ascii="Times New Roman" w:hAnsi="Times New Roman"/>
                <w:sz w:val="24"/>
              </w:rPr>
              <w:tab/>
              <w:t>Pozycje bez zachęty do umorzenia razem</w:t>
            </w:r>
          </w:p>
          <w:p w14:paraId="400AD677" w14:textId="3D0FEEB8"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Art. 490 CRR</w:t>
            </w:r>
          </w:p>
        </w:tc>
      </w:tr>
      <w:tr w:rsidR="00915077" w:rsidRPr="00E26EF6" w14:paraId="26942B32" w14:textId="77777777" w:rsidTr="00672D2A">
        <w:tc>
          <w:tcPr>
            <w:tcW w:w="703" w:type="dxa"/>
          </w:tcPr>
          <w:p w14:paraId="756180B3"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110</w:t>
            </w:r>
          </w:p>
        </w:tc>
        <w:tc>
          <w:tcPr>
            <w:tcW w:w="7478" w:type="dxa"/>
          </w:tcPr>
          <w:p w14:paraId="38934F09" w14:textId="68C58861"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3.2</w:t>
            </w:r>
            <w:r w:rsidRPr="00E26EF6">
              <w:rPr>
                <w:rStyle w:val="InstructionsTabelleberschrift"/>
                <w:rFonts w:ascii="Times New Roman" w:hAnsi="Times New Roman"/>
                <w:sz w:val="24"/>
              </w:rPr>
              <w:tab/>
              <w:t>Pozycje podlegające zasadzie praw nabytych</w:t>
            </w:r>
            <w:r w:rsidR="00E26EF6" w:rsidRPr="00E26EF6">
              <w:rPr>
                <w:rStyle w:val="InstructionsTabelleberschrift"/>
                <w:rFonts w:ascii="Times New Roman" w:hAnsi="Times New Roman"/>
                <w:sz w:val="24"/>
              </w:rPr>
              <w:t xml:space="preserve"> z zac</w:t>
            </w:r>
            <w:r w:rsidRPr="00E26EF6">
              <w:rPr>
                <w:rStyle w:val="InstructionsTabelleberschrift"/>
                <w:rFonts w:ascii="Times New Roman" w:hAnsi="Times New Roman"/>
                <w:sz w:val="24"/>
              </w:rPr>
              <w:t>hętą do umorzenia</w:t>
            </w:r>
          </w:p>
          <w:p w14:paraId="064BD76D" w14:textId="2745ECA6"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Art. 490 CRR</w:t>
            </w:r>
          </w:p>
        </w:tc>
      </w:tr>
      <w:tr w:rsidR="00915077" w:rsidRPr="00E26EF6" w14:paraId="14DC22B6" w14:textId="77777777" w:rsidTr="00672D2A">
        <w:tc>
          <w:tcPr>
            <w:tcW w:w="703" w:type="dxa"/>
          </w:tcPr>
          <w:p w14:paraId="1D49D24A"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120</w:t>
            </w:r>
          </w:p>
        </w:tc>
        <w:tc>
          <w:tcPr>
            <w:tcW w:w="7478" w:type="dxa"/>
          </w:tcPr>
          <w:p w14:paraId="34153268" w14:textId="246E6A1B" w:rsidR="00915077" w:rsidRPr="00E26EF6" w:rsidRDefault="002648B0">
            <w:pPr>
              <w:pStyle w:val="InstructionsText"/>
              <w:rPr>
                <w:rStyle w:val="InstructionsTabelleText"/>
                <w:rFonts w:ascii="Times New Roman" w:hAnsi="Times New Roman"/>
                <w:b/>
                <w:bCs/>
                <w:sz w:val="24"/>
                <w:u w:val="single"/>
              </w:rPr>
            </w:pPr>
            <w:r w:rsidRPr="00E26EF6">
              <w:rPr>
                <w:rStyle w:val="InstructionsTabelleberschrift"/>
                <w:rFonts w:ascii="Times New Roman" w:hAnsi="Times New Roman"/>
                <w:sz w:val="24"/>
              </w:rPr>
              <w:t>3.2.1</w:t>
            </w:r>
            <w:r w:rsidRPr="00E26EF6">
              <w:rPr>
                <w:rStyle w:val="InstructionsTabelleberschrift"/>
                <w:rFonts w:ascii="Times New Roman" w:hAnsi="Times New Roman"/>
                <w:sz w:val="24"/>
              </w:rPr>
              <w:tab/>
              <w:t>Pozycje</w:t>
            </w:r>
            <w:r w:rsidR="00E26EF6" w:rsidRPr="00E26EF6">
              <w:rPr>
                <w:rStyle w:val="InstructionsTabelleberschrift"/>
                <w:rFonts w:ascii="Times New Roman" w:hAnsi="Times New Roman"/>
                <w:sz w:val="24"/>
              </w:rPr>
              <w:t xml:space="preserve"> z opc</w:t>
            </w:r>
            <w:r w:rsidRPr="00E26EF6">
              <w:rPr>
                <w:rStyle w:val="InstructionsTabelleberschrift"/>
                <w:rFonts w:ascii="Times New Roman" w:hAnsi="Times New Roman"/>
                <w:sz w:val="24"/>
              </w:rPr>
              <w:t>ją kupna wykonalną po dniu sprawozdawczym, spełniające warunki określone</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63 CRR po upływie efektywnego terminu zapadalności</w:t>
            </w:r>
          </w:p>
          <w:p w14:paraId="2C3B8B3C" w14:textId="0E8C65A2" w:rsidR="00915077" w:rsidRPr="00E26EF6" w:rsidRDefault="002648B0">
            <w:pPr>
              <w:rPr>
                <w:rStyle w:val="InstructionsTabelleText"/>
                <w:rFonts w:ascii="Times New Roman" w:hAnsi="Times New Roman"/>
                <w:sz w:val="24"/>
              </w:rPr>
            </w:pPr>
            <w:r w:rsidRPr="00E26EF6">
              <w:rPr>
                <w:rStyle w:val="InstructionsTabelleText"/>
                <w:rFonts w:ascii="Times New Roman" w:hAnsi="Times New Roman"/>
                <w:sz w:val="24"/>
              </w:rPr>
              <w:t>Art. 490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491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p w14:paraId="03595345" w14:textId="77777777" w:rsidR="00915077" w:rsidRPr="00E26EF6" w:rsidRDefault="002648B0">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obejmuje powiązane ażio emisyjne.</w:t>
            </w:r>
          </w:p>
        </w:tc>
      </w:tr>
      <w:tr w:rsidR="00915077" w:rsidRPr="00E26EF6" w14:paraId="6CBF303C" w14:textId="77777777" w:rsidTr="00672D2A">
        <w:tc>
          <w:tcPr>
            <w:tcW w:w="703" w:type="dxa"/>
          </w:tcPr>
          <w:p w14:paraId="5C2C4CC6"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130</w:t>
            </w:r>
          </w:p>
        </w:tc>
        <w:tc>
          <w:tcPr>
            <w:tcW w:w="7478" w:type="dxa"/>
          </w:tcPr>
          <w:p w14:paraId="2A8A2BA9" w14:textId="582BEFED" w:rsidR="00915077" w:rsidRPr="00E26EF6" w:rsidRDefault="002648B0">
            <w:pPr>
              <w:pStyle w:val="InstructionsText"/>
              <w:rPr>
                <w:rStyle w:val="InstructionsTabelleText"/>
                <w:rFonts w:ascii="Times New Roman" w:hAnsi="Times New Roman"/>
                <w:b/>
                <w:sz w:val="24"/>
                <w:u w:val="single"/>
              </w:rPr>
            </w:pPr>
            <w:r w:rsidRPr="00E26EF6">
              <w:rPr>
                <w:rStyle w:val="InstructionsTabelleberschrift"/>
                <w:rFonts w:ascii="Times New Roman" w:hAnsi="Times New Roman"/>
                <w:sz w:val="24"/>
              </w:rPr>
              <w:t>3.2.2</w:t>
            </w:r>
            <w:r w:rsidRPr="00E26EF6">
              <w:rPr>
                <w:rStyle w:val="InstructionsTabelleberschrift"/>
                <w:rFonts w:ascii="Times New Roman" w:hAnsi="Times New Roman"/>
                <w:sz w:val="24"/>
              </w:rPr>
              <w:tab/>
              <w:t>Pozycje</w:t>
            </w:r>
            <w:r w:rsidR="00E26EF6" w:rsidRPr="00E26EF6">
              <w:rPr>
                <w:rStyle w:val="InstructionsTabelleberschrift"/>
                <w:rFonts w:ascii="Times New Roman" w:hAnsi="Times New Roman"/>
                <w:sz w:val="24"/>
              </w:rPr>
              <w:t xml:space="preserve"> z opc</w:t>
            </w:r>
            <w:r w:rsidRPr="00E26EF6">
              <w:rPr>
                <w:rStyle w:val="InstructionsTabelleberschrift"/>
                <w:rFonts w:ascii="Times New Roman" w:hAnsi="Times New Roman"/>
                <w:sz w:val="24"/>
              </w:rPr>
              <w:t>ją kupna wykonalną po dniu sprawozdawczym, niespełniające warunków określonych</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63 CRR po upływie efektywnego terminu zapadalności</w:t>
            </w:r>
          </w:p>
          <w:p w14:paraId="11B9C32C" w14:textId="275CC1E5" w:rsidR="00915077" w:rsidRPr="00E26EF6" w:rsidRDefault="009F1550">
            <w:pPr>
              <w:rPr>
                <w:rStyle w:val="InstructionsTabelleText"/>
                <w:rFonts w:ascii="Times New Roman" w:hAnsi="Times New Roman"/>
                <w:sz w:val="24"/>
              </w:rPr>
            </w:pPr>
            <w:r w:rsidRPr="00E26EF6">
              <w:rPr>
                <w:rStyle w:val="InstructionsTabelleText"/>
                <w:rFonts w:ascii="Times New Roman" w:hAnsi="Times New Roman"/>
                <w:sz w:val="24"/>
              </w:rPr>
              <w:t>Art. 490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491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a) CRR</w:t>
            </w:r>
          </w:p>
          <w:p w14:paraId="59FA2736" w14:textId="77777777" w:rsidR="00915077" w:rsidRPr="00E26EF6" w:rsidRDefault="007C3B71">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obejmuje powiązane ażio emisyjne.</w:t>
            </w:r>
          </w:p>
        </w:tc>
      </w:tr>
      <w:tr w:rsidR="00915077" w:rsidRPr="00E26EF6" w14:paraId="14590764" w14:textId="77777777" w:rsidTr="00672D2A">
        <w:tc>
          <w:tcPr>
            <w:tcW w:w="703" w:type="dxa"/>
          </w:tcPr>
          <w:p w14:paraId="7DAA6408"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140</w:t>
            </w:r>
          </w:p>
        </w:tc>
        <w:tc>
          <w:tcPr>
            <w:tcW w:w="7478" w:type="dxa"/>
          </w:tcPr>
          <w:p w14:paraId="0CCC7907" w14:textId="0F7A7555" w:rsidR="00915077" w:rsidRPr="00E26EF6" w:rsidRDefault="002648B0">
            <w:pPr>
              <w:pStyle w:val="InstructionsText"/>
              <w:rPr>
                <w:rStyle w:val="InstructionsTabelleberschrift"/>
                <w:rFonts w:ascii="Times New Roman" w:hAnsi="Times New Roman"/>
                <w:bCs w:val="0"/>
                <w:sz w:val="24"/>
              </w:rPr>
            </w:pPr>
            <w:r w:rsidRPr="00E26EF6">
              <w:rPr>
                <w:rStyle w:val="InstructionsTabelleberschrift"/>
                <w:rFonts w:ascii="Times New Roman" w:hAnsi="Times New Roman"/>
                <w:sz w:val="24"/>
              </w:rPr>
              <w:t>3.2.3</w:t>
            </w:r>
            <w:r w:rsidRPr="00E26EF6">
              <w:rPr>
                <w:rStyle w:val="InstructionsTabelleberschrift"/>
                <w:rFonts w:ascii="Times New Roman" w:hAnsi="Times New Roman"/>
                <w:sz w:val="24"/>
              </w:rPr>
              <w:tab/>
              <w:t>Pozycje</w:t>
            </w:r>
            <w:r w:rsidR="00E26EF6" w:rsidRPr="00E26EF6">
              <w:rPr>
                <w:rStyle w:val="InstructionsTabelleberschrift"/>
                <w:rFonts w:ascii="Times New Roman" w:hAnsi="Times New Roman"/>
                <w:sz w:val="24"/>
              </w:rPr>
              <w:t xml:space="preserve"> z opc</w:t>
            </w:r>
            <w:r w:rsidRPr="00E26EF6">
              <w:rPr>
                <w:rStyle w:val="InstructionsTabelleberschrift"/>
                <w:rFonts w:ascii="Times New Roman" w:hAnsi="Times New Roman"/>
                <w:sz w:val="24"/>
              </w:rPr>
              <w:t>ją kupna wykonalną przed dniem 20 lipca 2011</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r. lub</w:t>
            </w:r>
            <w:r w:rsidR="00E26EF6" w:rsidRPr="00E26EF6">
              <w:rPr>
                <w:rStyle w:val="InstructionsTabelleberschrift"/>
                <w:rFonts w:ascii="Times New Roman" w:hAnsi="Times New Roman"/>
                <w:sz w:val="24"/>
              </w:rPr>
              <w:t xml:space="preserve"> w dni</w:t>
            </w:r>
            <w:r w:rsidRPr="00E26EF6">
              <w:rPr>
                <w:rStyle w:val="InstructionsTabelleberschrift"/>
                <w:rFonts w:ascii="Times New Roman" w:hAnsi="Times New Roman"/>
                <w:sz w:val="24"/>
              </w:rPr>
              <w:t>u 20 lipca 2011</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r., niespełniające warunków określonych</w:t>
            </w:r>
            <w:r w:rsidR="00E26EF6" w:rsidRPr="00E26EF6">
              <w:rPr>
                <w:rStyle w:val="InstructionsTabelleberschrift"/>
                <w:rFonts w:ascii="Times New Roman" w:hAnsi="Times New Roman"/>
                <w:sz w:val="24"/>
              </w:rPr>
              <w:t xml:space="preserve"> w art</w:t>
            </w:r>
            <w:r w:rsidRPr="00E26EF6">
              <w:rPr>
                <w:rStyle w:val="InstructionsTabelleberschrift"/>
                <w:rFonts w:ascii="Times New Roman" w:hAnsi="Times New Roman"/>
                <w:sz w:val="24"/>
              </w:rPr>
              <w:t>.</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63 CRR po upływie efektywnego terminu zapadalności</w:t>
            </w:r>
          </w:p>
          <w:p w14:paraId="1B4BA73C" w14:textId="4BEF6FC0" w:rsidR="00915077" w:rsidRPr="00E26EF6" w:rsidRDefault="009F1550">
            <w:pPr>
              <w:rPr>
                <w:rStyle w:val="InstructionsTabelleText"/>
                <w:rFonts w:ascii="Times New Roman" w:hAnsi="Times New Roman"/>
                <w:sz w:val="24"/>
              </w:rPr>
            </w:pPr>
            <w:r w:rsidRPr="00E26EF6">
              <w:rPr>
                <w:rStyle w:val="InstructionsTabelleText"/>
                <w:rFonts w:ascii="Times New Roman" w:hAnsi="Times New Roman"/>
                <w:sz w:val="24"/>
              </w:rPr>
              <w:t>Art. 490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6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491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c) CRR</w:t>
            </w:r>
          </w:p>
          <w:p w14:paraId="0E0942EC"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obejmuje powiązane ażio emisyjne.</w:t>
            </w:r>
          </w:p>
        </w:tc>
      </w:tr>
      <w:tr w:rsidR="00915077" w:rsidRPr="00E26EF6" w14:paraId="005BB829" w14:textId="77777777" w:rsidTr="00672D2A">
        <w:tc>
          <w:tcPr>
            <w:tcW w:w="703" w:type="dxa"/>
          </w:tcPr>
          <w:p w14:paraId="367D4EE3" w14:textId="77777777" w:rsidR="00915077" w:rsidRPr="00E26EF6" w:rsidRDefault="002648B0">
            <w:pPr>
              <w:pStyle w:val="InstructionsText"/>
              <w:rPr>
                <w:rStyle w:val="InstructionsTabelleText"/>
                <w:rFonts w:ascii="Times New Roman" w:hAnsi="Times New Roman"/>
                <w:sz w:val="24"/>
                <w:highlight w:val="lightGray"/>
              </w:rPr>
            </w:pPr>
            <w:r w:rsidRPr="00E26EF6">
              <w:rPr>
                <w:rStyle w:val="InstructionsTabelleText"/>
                <w:rFonts w:ascii="Times New Roman" w:hAnsi="Times New Roman"/>
                <w:sz w:val="24"/>
              </w:rPr>
              <w:t>150</w:t>
            </w:r>
          </w:p>
        </w:tc>
        <w:tc>
          <w:tcPr>
            <w:tcW w:w="7478" w:type="dxa"/>
          </w:tcPr>
          <w:p w14:paraId="00481FDA" w14:textId="17574AC7" w:rsidR="00915077" w:rsidRPr="00E26EF6" w:rsidRDefault="002648B0">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3.3</w:t>
            </w:r>
            <w:r w:rsidRPr="00E26EF6">
              <w:rPr>
                <w:rStyle w:val="InstructionsTabelleberschrift"/>
                <w:rFonts w:ascii="Times New Roman" w:hAnsi="Times New Roman"/>
                <w:sz w:val="24"/>
              </w:rPr>
              <w:tab/>
              <w:t>Nadwyżka ponad limit instrumentów</w:t>
            </w:r>
            <w:r w:rsidR="00E26EF6" w:rsidRPr="00E26EF6">
              <w:rPr>
                <w:rStyle w:val="InstructionsTabelleberschrift"/>
                <w:rFonts w:ascii="Times New Roman" w:hAnsi="Times New Roman"/>
                <w:sz w:val="24"/>
              </w:rPr>
              <w:t xml:space="preserve"> w kap</w:t>
            </w:r>
            <w:r w:rsidRPr="00E26EF6">
              <w:rPr>
                <w:rStyle w:val="InstructionsTabelleberschrift"/>
                <w:rFonts w:ascii="Times New Roman" w:hAnsi="Times New Roman"/>
                <w:sz w:val="24"/>
              </w:rPr>
              <w:t>itale dodatkowym Tier I podlegających zasadzie praw nabytych</w:t>
            </w:r>
          </w:p>
          <w:p w14:paraId="69FAA950" w14:textId="1529F9CE" w:rsidR="00915077" w:rsidRPr="00E26EF6" w:rsidRDefault="002648B0">
            <w:pPr>
              <w:rPr>
                <w:rStyle w:val="InstructionsTabelleText"/>
                <w:rFonts w:ascii="Times New Roman" w:hAnsi="Times New Roman"/>
                <w:sz w:val="24"/>
              </w:rPr>
            </w:pPr>
            <w:r w:rsidRPr="00E26EF6">
              <w:rPr>
                <w:rStyle w:val="InstructionsTabelleText"/>
                <w:rFonts w:ascii="Times New Roman" w:hAnsi="Times New Roman"/>
                <w:sz w:val="24"/>
              </w:rPr>
              <w:t xml:space="preserve">Art. 487 ust. 2 CRR </w:t>
            </w:r>
          </w:p>
          <w:p w14:paraId="503E47F7" w14:textId="708CC478" w:rsidR="00915077" w:rsidRPr="00E26EF6" w:rsidRDefault="002648B0">
            <w:pPr>
              <w:rPr>
                <w:rStyle w:val="InstructionsTabelleText"/>
                <w:rFonts w:ascii="Times New Roman" w:hAnsi="Times New Roman"/>
                <w:sz w:val="24"/>
              </w:rPr>
            </w:pPr>
            <w:r w:rsidRPr="00E26EF6">
              <w:rPr>
                <w:rStyle w:val="InstructionsTabelleText"/>
                <w:rFonts w:ascii="Times New Roman" w:hAnsi="Times New Roman"/>
                <w:sz w:val="24"/>
              </w:rPr>
              <w:t>Nadwyżkę ponad limit instrumentów</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dodatkowym Tier I podlegających zasadzie praw nabytych można traktować jak instrumenty, które mogą podlegać zasadzie praw nabytych jako instrumenty</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Tier II.</w:t>
            </w:r>
          </w:p>
        </w:tc>
      </w:tr>
    </w:tbl>
    <w:p w14:paraId="59B49FCF" w14:textId="77777777" w:rsidR="00915077" w:rsidRPr="00E26EF6" w:rsidRDefault="00915077">
      <w:pPr>
        <w:spacing w:before="0" w:after="0"/>
        <w:jc w:val="left"/>
        <w:rPr>
          <w:rFonts w:ascii="Times New Roman" w:hAnsi="Times New Roman"/>
          <w:sz w:val="24"/>
          <w:u w:val="single"/>
        </w:rPr>
      </w:pPr>
    </w:p>
    <w:p w14:paraId="0163BAC5"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23" w:name="_Toc31014321"/>
      <w:r w:rsidRPr="00E26EF6">
        <w:rPr>
          <w:rFonts w:ascii="Times New Roman" w:hAnsi="Times New Roman"/>
          <w:sz w:val="24"/>
          <w:u w:val="none"/>
        </w:rPr>
        <w:lastRenderedPageBreak/>
        <w:t>2.</w:t>
      </w:r>
      <w:r w:rsidRPr="00E26EF6">
        <w:rPr>
          <w:rFonts w:ascii="Times New Roman" w:hAnsi="Times New Roman"/>
          <w:sz w:val="24"/>
          <w:u w:val="none"/>
        </w:rPr>
        <w:tab/>
      </w:r>
      <w:r w:rsidRPr="00E26EF6">
        <w:rPr>
          <w:rFonts w:ascii="Times New Roman" w:hAnsi="Times New Roman"/>
          <w:sz w:val="24"/>
        </w:rPr>
        <w:t>WYPŁACALNOŚĆ GRUPY: INFORMACJE NA TEMAT PODMIOTÓW POWIĄZANYCH (GS)</w:t>
      </w:r>
      <w:bookmarkEnd w:id="23"/>
    </w:p>
    <w:p w14:paraId="6A00CF03"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24" w:name="_Toc31014322"/>
      <w:r w:rsidRPr="00E26EF6">
        <w:rPr>
          <w:rFonts w:ascii="Times New Roman" w:hAnsi="Times New Roman"/>
          <w:sz w:val="24"/>
          <w:u w:val="none"/>
        </w:rPr>
        <w:t>2.1.</w:t>
      </w:r>
      <w:r w:rsidRPr="00E26EF6">
        <w:rPr>
          <w:rFonts w:ascii="Times New Roman" w:hAnsi="Times New Roman"/>
          <w:sz w:val="24"/>
          <w:u w:val="none"/>
        </w:rPr>
        <w:tab/>
      </w:r>
      <w:r w:rsidRPr="00E26EF6">
        <w:rPr>
          <w:rFonts w:ascii="Times New Roman" w:hAnsi="Times New Roman"/>
          <w:sz w:val="24"/>
        </w:rPr>
        <w:t>Uwagi ogólne</w:t>
      </w:r>
      <w:bookmarkEnd w:id="24"/>
    </w:p>
    <w:p w14:paraId="3C128FD1" w14:textId="76610F13" w:rsidR="00915077" w:rsidRPr="00E26EF6" w:rsidRDefault="00125707">
      <w:pPr>
        <w:pStyle w:val="InstructionsText2"/>
        <w:numPr>
          <w:ilvl w:val="0"/>
          <w:numId w:val="0"/>
        </w:numPr>
        <w:ind w:left="993"/>
      </w:pPr>
      <w:r w:rsidRPr="00E26EF6">
        <w:t>26.</w:t>
      </w:r>
      <w:r w:rsidRPr="00E26EF6">
        <w:tab/>
        <w:t xml:space="preserve">Wzory C 06.01 </w:t>
      </w:r>
      <w:proofErr w:type="gramStart"/>
      <w:r w:rsidRPr="00E26EF6">
        <w:t>i</w:t>
      </w:r>
      <w:proofErr w:type="gramEnd"/>
      <w:r w:rsidRPr="00E26EF6">
        <w:t xml:space="preserve"> C 06.02 </w:t>
      </w:r>
      <w:proofErr w:type="gramStart"/>
      <w:r w:rsidRPr="00E26EF6">
        <w:t>zgłasza</w:t>
      </w:r>
      <w:proofErr w:type="gramEnd"/>
      <w:r w:rsidRPr="00E26EF6">
        <w:t xml:space="preserve"> się, gdy wymogi</w:t>
      </w:r>
      <w:r w:rsidR="00E26EF6" w:rsidRPr="00E26EF6">
        <w:t xml:space="preserve"> w zak</w:t>
      </w:r>
      <w:r w:rsidRPr="00E26EF6">
        <w:t xml:space="preserve">resie funduszy własnych są obliczane na zasadzie skonsolidowanej. Wzór C 06.02 </w:t>
      </w:r>
      <w:proofErr w:type="gramStart"/>
      <w:r w:rsidRPr="00E26EF6">
        <w:t>składa</w:t>
      </w:r>
      <w:proofErr w:type="gramEnd"/>
      <w:r w:rsidRPr="00E26EF6">
        <w:t xml:space="preserve"> się</w:t>
      </w:r>
      <w:r w:rsidR="00E26EF6" w:rsidRPr="00E26EF6">
        <w:t xml:space="preserve"> z czt</w:t>
      </w:r>
      <w:r w:rsidRPr="00E26EF6">
        <w:t>erech części, które służą gromadzeniu różnych informacji</w:t>
      </w:r>
      <w:r w:rsidR="00E26EF6" w:rsidRPr="00E26EF6">
        <w:t xml:space="preserve"> o wsz</w:t>
      </w:r>
      <w:r w:rsidRPr="00E26EF6">
        <w:t>ystkich poszczególnych podmiotach (w tym instytucji sprawozdającej) objętych zakresem konsolidacji.</w:t>
      </w:r>
    </w:p>
    <w:p w14:paraId="2F240F2E" w14:textId="77777777" w:rsidR="00915077" w:rsidRPr="00E26EF6" w:rsidRDefault="00125707">
      <w:pPr>
        <w:pStyle w:val="InstructionsText2"/>
        <w:numPr>
          <w:ilvl w:val="0"/>
          <w:numId w:val="0"/>
        </w:numPr>
        <w:ind w:left="993"/>
      </w:pPr>
      <w:r w:rsidRPr="00E26EF6">
        <w:t>a</w:t>
      </w:r>
      <w:proofErr w:type="gramStart"/>
      <w:r w:rsidRPr="00E26EF6">
        <w:t>)</w:t>
      </w:r>
      <w:r w:rsidRPr="00E26EF6">
        <w:tab/>
        <w:t>podmioty</w:t>
      </w:r>
      <w:proofErr w:type="gramEnd"/>
      <w:r w:rsidRPr="00E26EF6">
        <w:t xml:space="preserve"> objęte zakresem konsolidacji;</w:t>
      </w:r>
    </w:p>
    <w:p w14:paraId="156731C7" w14:textId="77777777" w:rsidR="00915077" w:rsidRPr="00E26EF6" w:rsidRDefault="00125707">
      <w:pPr>
        <w:pStyle w:val="InstructionsText2"/>
        <w:numPr>
          <w:ilvl w:val="0"/>
          <w:numId w:val="0"/>
        </w:numPr>
        <w:ind w:left="993"/>
      </w:pPr>
      <w:r w:rsidRPr="00E26EF6">
        <w:t>b</w:t>
      </w:r>
      <w:proofErr w:type="gramStart"/>
      <w:r w:rsidRPr="00E26EF6">
        <w:t>)</w:t>
      </w:r>
      <w:r w:rsidRPr="00E26EF6">
        <w:tab/>
        <w:t>szczegółowe</w:t>
      </w:r>
      <w:proofErr w:type="gramEnd"/>
      <w:r w:rsidRPr="00E26EF6">
        <w:t xml:space="preserve"> informacje na temat wypłacalności grupy;</w:t>
      </w:r>
    </w:p>
    <w:p w14:paraId="32ED5F82" w14:textId="77777777" w:rsidR="00915077" w:rsidRPr="00E26EF6" w:rsidRDefault="00125707">
      <w:pPr>
        <w:pStyle w:val="InstructionsText2"/>
        <w:numPr>
          <w:ilvl w:val="0"/>
          <w:numId w:val="0"/>
        </w:numPr>
        <w:ind w:left="993"/>
      </w:pPr>
      <w:r w:rsidRPr="00E26EF6">
        <w:t>c</w:t>
      </w:r>
      <w:proofErr w:type="gramStart"/>
      <w:r w:rsidRPr="00E26EF6">
        <w:t>)</w:t>
      </w:r>
      <w:r w:rsidRPr="00E26EF6">
        <w:tab/>
        <w:t>informacje</w:t>
      </w:r>
      <w:proofErr w:type="gramEnd"/>
      <w:r w:rsidRPr="00E26EF6">
        <w:t xml:space="preserve"> na temat wkładu poszczególnych podmiotów na rzecz wypłacalności grupy;</w:t>
      </w:r>
    </w:p>
    <w:p w14:paraId="5775CB40" w14:textId="77777777" w:rsidR="00915077" w:rsidRPr="00E26EF6" w:rsidRDefault="00125707">
      <w:pPr>
        <w:pStyle w:val="InstructionsText2"/>
        <w:numPr>
          <w:ilvl w:val="0"/>
          <w:numId w:val="0"/>
        </w:numPr>
        <w:ind w:left="993"/>
      </w:pPr>
      <w:r w:rsidRPr="00E26EF6">
        <w:t>d</w:t>
      </w:r>
      <w:proofErr w:type="gramStart"/>
      <w:r w:rsidRPr="00E26EF6">
        <w:t>)</w:t>
      </w:r>
      <w:r w:rsidRPr="00E26EF6">
        <w:tab/>
        <w:t>informacje</w:t>
      </w:r>
      <w:proofErr w:type="gramEnd"/>
      <w:r w:rsidRPr="00E26EF6">
        <w:t xml:space="preserve"> na temat buforów kapitałowych.</w:t>
      </w:r>
    </w:p>
    <w:p w14:paraId="5D034BF6" w14:textId="7DB14CC9" w:rsidR="00915077" w:rsidRPr="00E26EF6" w:rsidRDefault="00125707">
      <w:pPr>
        <w:pStyle w:val="InstructionsText2"/>
        <w:numPr>
          <w:ilvl w:val="0"/>
          <w:numId w:val="0"/>
        </w:numPr>
        <w:ind w:left="993"/>
        <w:rPr>
          <w:rStyle w:val="InstructionsTabelleText"/>
          <w:rFonts w:ascii="Times New Roman" w:hAnsi="Times New Roman"/>
          <w:sz w:val="24"/>
        </w:rPr>
      </w:pPr>
      <w:r w:rsidRPr="00E26EF6">
        <w:rPr>
          <w:rStyle w:val="InstructionsTabelleText"/>
          <w:rFonts w:ascii="Times New Roman" w:hAnsi="Times New Roman"/>
          <w:sz w:val="24"/>
        </w:rPr>
        <w:t>27.</w:t>
      </w:r>
      <w:r w:rsidRPr="00E26EF6">
        <w:rPr>
          <w:rStyle w:val="InstructionsTabelleText"/>
          <w:rFonts w:ascii="Times New Roman" w:hAnsi="Times New Roman"/>
          <w:sz w:val="24"/>
        </w:rPr>
        <w:tab/>
      </w:r>
      <w:r w:rsidRPr="00E26EF6">
        <w:t>Instytucje</w:t>
      </w:r>
      <w:r w:rsidRPr="00E26EF6">
        <w:rPr>
          <w:rStyle w:val="InstructionsTabelleText"/>
          <w:rFonts w:ascii="Times New Roman" w:hAnsi="Times New Roman"/>
          <w:sz w:val="24"/>
        </w:rPr>
        <w:t>, które uzyskały odstępstwo na podstawie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7 CRR, zgłaszają wyłącznie kolumny </w:t>
      </w:r>
      <w:r w:rsidRPr="00E26EF6">
        <w:t>010–060</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50–400.</w:t>
      </w:r>
    </w:p>
    <w:p w14:paraId="628603EB" w14:textId="27F5CEA6" w:rsidR="00915077" w:rsidRPr="00E26EF6" w:rsidRDefault="00125707">
      <w:pPr>
        <w:pStyle w:val="InstructionsText2"/>
        <w:numPr>
          <w:ilvl w:val="0"/>
          <w:numId w:val="0"/>
        </w:numPr>
        <w:ind w:left="993"/>
      </w:pPr>
      <w:r w:rsidRPr="00E26EF6">
        <w:t>28.</w:t>
      </w:r>
      <w:r w:rsidRPr="00E26EF6">
        <w:tab/>
        <w:t>Zgłoszone wartości uwzględniają wszystkie mające zastosowanie przepisy przejściowe CRR, które mają zastosowanie na odpowiedni dzień sprawozdawczy.</w:t>
      </w:r>
    </w:p>
    <w:p w14:paraId="4A512942"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25" w:name="_Toc31014323"/>
      <w:r w:rsidRPr="00E26EF6">
        <w:rPr>
          <w:rFonts w:ascii="Times New Roman" w:hAnsi="Times New Roman"/>
          <w:sz w:val="24"/>
          <w:u w:val="none"/>
        </w:rPr>
        <w:t>2.2.</w:t>
      </w:r>
      <w:r w:rsidRPr="00E26EF6">
        <w:rPr>
          <w:rFonts w:ascii="Times New Roman" w:hAnsi="Times New Roman"/>
          <w:sz w:val="24"/>
          <w:u w:val="none"/>
        </w:rPr>
        <w:tab/>
      </w:r>
      <w:r w:rsidRPr="00E26EF6">
        <w:rPr>
          <w:rFonts w:ascii="Times New Roman" w:hAnsi="Times New Roman"/>
          <w:sz w:val="24"/>
        </w:rPr>
        <w:t>Szczegółowe informacje na temat wypłacalności grupy</w:t>
      </w:r>
      <w:bookmarkEnd w:id="25"/>
    </w:p>
    <w:p w14:paraId="26A8AF7B" w14:textId="56616BDA" w:rsidR="00915077" w:rsidRPr="00E26EF6" w:rsidRDefault="00125707">
      <w:pPr>
        <w:pStyle w:val="InstructionsText2"/>
        <w:numPr>
          <w:ilvl w:val="0"/>
          <w:numId w:val="0"/>
        </w:numPr>
        <w:ind w:left="993"/>
      </w:pPr>
      <w:r w:rsidRPr="00E26EF6">
        <w:t>29.</w:t>
      </w:r>
      <w:r w:rsidRPr="00E26EF6">
        <w:tab/>
        <w:t>Druga część wzoru C 06.02(</w:t>
      </w:r>
      <w:proofErr w:type="gramStart"/>
      <w:r w:rsidRPr="00E26EF6">
        <w:t>szczegółowe</w:t>
      </w:r>
      <w:proofErr w:type="gramEnd"/>
      <w:r w:rsidRPr="00E26EF6">
        <w:t xml:space="preserve"> informacje na temat wypłacalności grupy)</w:t>
      </w:r>
      <w:r w:rsidR="00E26EF6" w:rsidRPr="00E26EF6">
        <w:t xml:space="preserve"> w kol</w:t>
      </w:r>
      <w:r w:rsidRPr="00E26EF6">
        <w:t>umnach 070–210 służy gromadzeniu informacji na temat instytucji kredytowych oraz innych regulowanych instytucji sektora finansowego, które efektywnie</w:t>
      </w:r>
      <w:r w:rsidR="00E26EF6" w:rsidRPr="00E26EF6">
        <w:t xml:space="preserve"> i ind</w:t>
      </w:r>
      <w:r w:rsidRPr="00E26EF6">
        <w:t>ywidualnie podlegają określonym wymogom dotyczącym wypłacalności</w:t>
      </w:r>
      <w:r w:rsidR="00E26EF6" w:rsidRPr="00E26EF6">
        <w:t>. W odn</w:t>
      </w:r>
      <w:r w:rsidRPr="00E26EF6">
        <w:t>iesieniu do każdego</w:t>
      </w:r>
      <w:r w:rsidR="00E26EF6" w:rsidRPr="00E26EF6">
        <w:t xml:space="preserve"> z tyc</w:t>
      </w:r>
      <w:r w:rsidRPr="00E26EF6">
        <w:t>h podmiotów objętych zakresem sprawozdawczości przewidziano wymogi</w:t>
      </w:r>
      <w:r w:rsidR="00E26EF6" w:rsidRPr="00E26EF6">
        <w:t xml:space="preserve"> w zak</w:t>
      </w:r>
      <w:r w:rsidRPr="00E26EF6">
        <w:t>resie funduszy własnych dla każdej kategorii ryzyka</w:t>
      </w:r>
      <w:r w:rsidR="00E26EF6" w:rsidRPr="00E26EF6">
        <w:t xml:space="preserve"> i fun</w:t>
      </w:r>
      <w:r w:rsidRPr="00E26EF6">
        <w:t xml:space="preserve">duszy własnych dla celów wypłacalności. </w:t>
      </w:r>
    </w:p>
    <w:p w14:paraId="3060C7BE" w14:textId="52D25505" w:rsidR="00915077" w:rsidRPr="00E26EF6" w:rsidRDefault="00125707">
      <w:pPr>
        <w:pStyle w:val="InstructionsText2"/>
        <w:numPr>
          <w:ilvl w:val="0"/>
          <w:numId w:val="0"/>
        </w:numPr>
        <w:ind w:left="993"/>
      </w:pPr>
      <w:r w:rsidRPr="00E26EF6">
        <w:t>30.</w:t>
      </w:r>
      <w:r w:rsidRPr="00E26EF6">
        <w:tab/>
        <w:t>W przypadku proporcjonalnej konsolidacji udziałów kapitałowych dane liczbowe odnoszące się do wymogów</w:t>
      </w:r>
      <w:r w:rsidR="00E26EF6" w:rsidRPr="00E26EF6">
        <w:t xml:space="preserve"> w zak</w:t>
      </w:r>
      <w:r w:rsidRPr="00E26EF6">
        <w:t>resie funduszy własnych i do funduszy własnych odzwierciedlają odpowiednie proporcjonalne kwoty.</w:t>
      </w:r>
    </w:p>
    <w:p w14:paraId="0BDB977F"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26" w:name="_Toc31014324"/>
      <w:r w:rsidRPr="00E26EF6">
        <w:rPr>
          <w:rFonts w:ascii="Times New Roman" w:hAnsi="Times New Roman"/>
          <w:sz w:val="24"/>
          <w:u w:val="none"/>
        </w:rPr>
        <w:t>2.3.</w:t>
      </w:r>
      <w:r w:rsidRPr="00E26EF6">
        <w:rPr>
          <w:rFonts w:ascii="Times New Roman" w:hAnsi="Times New Roman"/>
          <w:sz w:val="24"/>
          <w:u w:val="none"/>
        </w:rPr>
        <w:tab/>
      </w:r>
      <w:r w:rsidRPr="00E26EF6">
        <w:rPr>
          <w:rFonts w:ascii="Times New Roman" w:hAnsi="Times New Roman"/>
          <w:sz w:val="24"/>
        </w:rPr>
        <w:t>Informacje na temat wkładu poszczególnych podmiotów na rzecz wypłacalności grupy</w:t>
      </w:r>
      <w:bookmarkEnd w:id="26"/>
    </w:p>
    <w:p w14:paraId="024FA3F4" w14:textId="10CC5CC4" w:rsidR="00915077" w:rsidRPr="00E26EF6" w:rsidRDefault="00125707">
      <w:pPr>
        <w:pStyle w:val="InstructionsText2"/>
        <w:numPr>
          <w:ilvl w:val="0"/>
          <w:numId w:val="0"/>
        </w:numPr>
        <w:ind w:left="993"/>
      </w:pPr>
      <w:r w:rsidRPr="00E26EF6">
        <w:t>31.</w:t>
      </w:r>
      <w:r w:rsidRPr="00E26EF6">
        <w:tab/>
        <w:t>Celem trzeciej części wzoru C 06.02</w:t>
      </w:r>
      <w:r w:rsidR="00E26EF6" w:rsidRPr="00E26EF6">
        <w:t xml:space="preserve"> </w:t>
      </w:r>
      <w:proofErr w:type="gramStart"/>
      <w:r w:rsidR="00E26EF6" w:rsidRPr="00E26EF6">
        <w:t>i</w:t>
      </w:r>
      <w:proofErr w:type="gramEnd"/>
      <w:r w:rsidR="00E26EF6" w:rsidRPr="00E26EF6">
        <w:t> wzo</w:t>
      </w:r>
      <w:r w:rsidRPr="00E26EF6">
        <w:t>ru C 06.01 (</w:t>
      </w:r>
      <w:proofErr w:type="gramStart"/>
      <w:r w:rsidRPr="00E26EF6">
        <w:t>informacje</w:t>
      </w:r>
      <w:proofErr w:type="gramEnd"/>
      <w:r w:rsidRPr="00E26EF6">
        <w:t xml:space="preserve"> na temat wkładów wszystkich podmiotów na rzecz wypłacalności grupy</w:t>
      </w:r>
      <w:r w:rsidR="00E26EF6" w:rsidRPr="00E26EF6">
        <w:t xml:space="preserve"> w zak</w:t>
      </w:r>
      <w:r w:rsidRPr="00E26EF6">
        <w:t>resie konsolidacji na podstawie CRR,</w:t>
      </w:r>
      <w:r w:rsidR="00E26EF6" w:rsidRPr="00E26EF6">
        <w:t xml:space="preserve"> w tym</w:t>
      </w:r>
      <w:r w:rsidRPr="00E26EF6">
        <w:t xml:space="preserve"> podmiotów, które nie podlegają indywidualnie określonym wymogom dotyczącym wypłacalności), obejmującej kolumny 250–400, jest zidentyfikowanie tych podmiotów</w:t>
      </w:r>
      <w:r w:rsidR="00E26EF6" w:rsidRPr="00E26EF6">
        <w:t xml:space="preserve"> w obr</w:t>
      </w:r>
      <w:r w:rsidRPr="00E26EF6">
        <w:t>ębie grupy, które generują ryzyko</w:t>
      </w:r>
      <w:r w:rsidR="00E26EF6" w:rsidRPr="00E26EF6">
        <w:t xml:space="preserve"> i poz</w:t>
      </w:r>
      <w:r w:rsidRPr="00E26EF6">
        <w:t>yskują fundusze własne</w:t>
      </w:r>
      <w:r w:rsidR="00E26EF6" w:rsidRPr="00E26EF6">
        <w:t xml:space="preserve"> z ryn</w:t>
      </w:r>
      <w:r w:rsidRPr="00E26EF6">
        <w:t>ku,</w:t>
      </w:r>
      <w:r w:rsidR="00E26EF6" w:rsidRPr="00E26EF6">
        <w:t xml:space="preserve"> w opa</w:t>
      </w:r>
      <w:r w:rsidRPr="00E26EF6">
        <w:t>rciu</w:t>
      </w:r>
      <w:r w:rsidR="00E26EF6" w:rsidRPr="00E26EF6">
        <w:t xml:space="preserve"> o dan</w:t>
      </w:r>
      <w:r w:rsidRPr="00E26EF6">
        <w:t>e, które są łatwo dostępne lub które można łatwo przetworzyć bez konieczności odtwarzania współczynnika kapitałowego na zasadzie nieskonsolidowanej lub subskonsolidowanej. Na poziomie podmiotu zarówno dane liczbowe dotyczące ryzyka, jak</w:t>
      </w:r>
      <w:r w:rsidR="00E26EF6" w:rsidRPr="00E26EF6">
        <w:t xml:space="preserve"> i dan</w:t>
      </w:r>
      <w:r w:rsidRPr="00E26EF6">
        <w:t>e liczbowe dotyczące funduszy własnych są wkładami do danych liczbowych dotyczących grupy,</w:t>
      </w:r>
      <w:r w:rsidR="00E26EF6" w:rsidRPr="00E26EF6">
        <w:t xml:space="preserve"> a nie</w:t>
      </w:r>
      <w:r w:rsidRPr="00E26EF6">
        <w:t xml:space="preserve"> elementami współczynnika wypłacalności na zasadzie nieskonsolidowanej,</w:t>
      </w:r>
      <w:r w:rsidR="00E26EF6" w:rsidRPr="00E26EF6">
        <w:t xml:space="preserve"> i dla</w:t>
      </w:r>
      <w:r w:rsidRPr="00E26EF6">
        <w:t xml:space="preserve">tego nie można ich ze sobą porównywać. </w:t>
      </w:r>
    </w:p>
    <w:p w14:paraId="44517FB0" w14:textId="07F4FAC0" w:rsidR="00915077" w:rsidRPr="00E26EF6" w:rsidRDefault="00125707">
      <w:pPr>
        <w:pStyle w:val="InstructionsText2"/>
        <w:numPr>
          <w:ilvl w:val="0"/>
          <w:numId w:val="0"/>
        </w:numPr>
        <w:ind w:left="993"/>
      </w:pPr>
      <w:r w:rsidRPr="00E26EF6">
        <w:lastRenderedPageBreak/>
        <w:t>32.</w:t>
      </w:r>
      <w:r w:rsidRPr="00E26EF6">
        <w:tab/>
        <w:t>Trzecia część obejmuje również kwoty udziałów mniejszości, kwalifikującego się kapitału dodatkowego Tier I</w:t>
      </w:r>
      <w:r w:rsidR="00E26EF6" w:rsidRPr="00E26EF6">
        <w:t xml:space="preserve"> i kwa</w:t>
      </w:r>
      <w:r w:rsidRPr="00E26EF6">
        <w:t>lifikującego się kapitału Tier II uznane</w:t>
      </w:r>
      <w:r w:rsidR="00E26EF6" w:rsidRPr="00E26EF6">
        <w:t xml:space="preserve"> w sko</w:t>
      </w:r>
      <w:r w:rsidRPr="00E26EF6">
        <w:t>nsolidowanych funduszach własnych.</w:t>
      </w:r>
    </w:p>
    <w:p w14:paraId="059C57B0" w14:textId="24E78CEB" w:rsidR="00915077" w:rsidRPr="00E26EF6" w:rsidRDefault="00125707">
      <w:pPr>
        <w:pStyle w:val="InstructionsText2"/>
        <w:numPr>
          <w:ilvl w:val="0"/>
          <w:numId w:val="0"/>
        </w:numPr>
        <w:ind w:left="993"/>
      </w:pPr>
      <w:r w:rsidRPr="00E26EF6">
        <w:t>33.</w:t>
      </w:r>
      <w:r w:rsidRPr="00E26EF6">
        <w:tab/>
        <w:t>Jako że trzecia część wzoru odnosi się do „wkładów”, dane liczbowe, które należy</w:t>
      </w:r>
      <w:r w:rsidR="00E26EF6" w:rsidRPr="00E26EF6">
        <w:t xml:space="preserve"> w nie</w:t>
      </w:r>
      <w:r w:rsidRPr="00E26EF6">
        <w:t>j zgłosić,</w:t>
      </w:r>
      <w:r w:rsidR="00E26EF6" w:rsidRPr="00E26EF6">
        <w:t xml:space="preserve"> w sto</w:t>
      </w:r>
      <w:r w:rsidRPr="00E26EF6">
        <w:t>sownych przypadkach odracza się na podstawie danych liczbowych zgłoszonych</w:t>
      </w:r>
      <w:r w:rsidR="00E26EF6" w:rsidRPr="00E26EF6">
        <w:t xml:space="preserve"> w kol</w:t>
      </w:r>
      <w:r w:rsidRPr="00E26EF6">
        <w:t>umnach dotyczących szczegółowych informacji na temat wypłacalności grupy.</w:t>
      </w:r>
    </w:p>
    <w:p w14:paraId="59DCAFC3" w14:textId="488C1F33" w:rsidR="00915077" w:rsidRPr="00E26EF6" w:rsidRDefault="00125707">
      <w:pPr>
        <w:pStyle w:val="InstructionsText2"/>
        <w:numPr>
          <w:ilvl w:val="0"/>
          <w:numId w:val="0"/>
        </w:numPr>
        <w:ind w:left="993"/>
      </w:pPr>
      <w:r w:rsidRPr="00E26EF6">
        <w:t>34.</w:t>
      </w:r>
      <w:r w:rsidRPr="00E26EF6">
        <w:tab/>
        <w:t>Obowiązuje zasada usuwania krzyżowych ekspozycji</w:t>
      </w:r>
      <w:r w:rsidR="00E26EF6" w:rsidRPr="00E26EF6">
        <w:t xml:space="preserve"> w obr</w:t>
      </w:r>
      <w:r w:rsidRPr="00E26EF6">
        <w:t>ębie tej samej grupy</w:t>
      </w:r>
      <w:r w:rsidR="00E26EF6" w:rsidRPr="00E26EF6">
        <w:t xml:space="preserve"> w spo</w:t>
      </w:r>
      <w:r w:rsidRPr="00E26EF6">
        <w:t>sób jednolity zarówno pod względem ryzyka, jak</w:t>
      </w:r>
      <w:r w:rsidR="00E26EF6" w:rsidRPr="00E26EF6">
        <w:t xml:space="preserve"> i fun</w:t>
      </w:r>
      <w:r w:rsidRPr="00E26EF6">
        <w:t>duszy własnych, co ma na celu uwzględnienie kwot zgłoszonych</w:t>
      </w:r>
      <w:r w:rsidR="00E26EF6" w:rsidRPr="00E26EF6">
        <w:t xml:space="preserve"> w sko</w:t>
      </w:r>
      <w:r w:rsidRPr="00E26EF6">
        <w:t>nsolidowanym wzorze CA grupy poprzez dodanie kwot zgłoszonych dla każdego podmiotu we wzorze dotyczącym wypłacalności grupy</w:t>
      </w:r>
      <w:r w:rsidR="00E26EF6" w:rsidRPr="00E26EF6">
        <w:t>. W prz</w:t>
      </w:r>
      <w:r w:rsidRPr="00E26EF6">
        <w:t>ypadkach,</w:t>
      </w:r>
      <w:r w:rsidR="00E26EF6" w:rsidRPr="00E26EF6">
        <w:t xml:space="preserve"> w któ</w:t>
      </w:r>
      <w:r w:rsidRPr="00E26EF6">
        <w:t>rych nie przekroczono progu wynoszącego 1</w:t>
      </w:r>
      <w:r w:rsidR="00023409" w:rsidRPr="00E26EF6">
        <w:t> </w:t>
      </w:r>
      <w:r w:rsidRPr="00E26EF6">
        <w:t>%, bezpośrednie powiązanie ze wzorem CA jest niemożliwe.</w:t>
      </w:r>
    </w:p>
    <w:p w14:paraId="024FA7DB" w14:textId="48A8F5C6" w:rsidR="00915077" w:rsidRPr="00E26EF6" w:rsidRDefault="00125707">
      <w:pPr>
        <w:pStyle w:val="InstructionsText2"/>
        <w:numPr>
          <w:ilvl w:val="0"/>
          <w:numId w:val="0"/>
        </w:numPr>
        <w:ind w:left="993"/>
      </w:pPr>
      <w:r w:rsidRPr="00E26EF6">
        <w:t>35.</w:t>
      </w:r>
      <w:r w:rsidRPr="00E26EF6">
        <w:tab/>
        <w:t>Instytucje określają najodpowiedniejszą metodę podziału podmiotów, aby wziąć pod uwagę ewentualne efekty dywersyfikacji dla ryzyka rynkowego</w:t>
      </w:r>
      <w:r w:rsidR="00E26EF6" w:rsidRPr="00E26EF6">
        <w:t xml:space="preserve"> i ryz</w:t>
      </w:r>
      <w:r w:rsidRPr="00E26EF6">
        <w:t>yka operacyjnego.</w:t>
      </w:r>
    </w:p>
    <w:p w14:paraId="44E73222" w14:textId="3C04E49F" w:rsidR="00915077" w:rsidRPr="00E26EF6" w:rsidRDefault="00125707">
      <w:pPr>
        <w:pStyle w:val="InstructionsText2"/>
        <w:numPr>
          <w:ilvl w:val="0"/>
          <w:numId w:val="0"/>
        </w:numPr>
        <w:ind w:left="993"/>
      </w:pPr>
      <w:r w:rsidRPr="00E26EF6">
        <w:t>36.</w:t>
      </w:r>
      <w:r w:rsidRPr="00E26EF6">
        <w:tab/>
        <w:t>Możliwe jest włączenie jednej grupy skonsolidowanej do innej grupy skonsolidowanej</w:t>
      </w:r>
      <w:r w:rsidR="00E26EF6" w:rsidRPr="00E26EF6">
        <w:t>. W tak</w:t>
      </w:r>
      <w:r w:rsidRPr="00E26EF6">
        <w:t>im przypadku informacje dotyczące podmiotów</w:t>
      </w:r>
      <w:r w:rsidR="00E26EF6" w:rsidRPr="00E26EF6">
        <w:t xml:space="preserve"> w obr</w:t>
      </w:r>
      <w:r w:rsidRPr="00E26EF6">
        <w:t>ębie podgrupy są zgłaszane</w:t>
      </w:r>
      <w:r w:rsidR="00E26EF6" w:rsidRPr="00E26EF6">
        <w:t xml:space="preserve"> w odn</w:t>
      </w:r>
      <w:r w:rsidRPr="00E26EF6">
        <w:t>iesieniu do poszczególnych podmiotów we wzorze GS dla całej grupy, nawet jeżeli sama podgrupa podlega wymogom</w:t>
      </w:r>
      <w:r w:rsidR="00E26EF6" w:rsidRPr="00E26EF6">
        <w:t xml:space="preserve"> w zak</w:t>
      </w:r>
      <w:r w:rsidRPr="00E26EF6">
        <w:t>resie sprawozdawczości. Podgrupa, która podlega wymogom</w:t>
      </w:r>
      <w:r w:rsidR="00E26EF6" w:rsidRPr="00E26EF6">
        <w:t xml:space="preserve"> w zak</w:t>
      </w:r>
      <w:r w:rsidRPr="00E26EF6">
        <w:t>resie sprawozdawczości, zgłasza również wzór GS</w:t>
      </w:r>
      <w:r w:rsidR="00E26EF6" w:rsidRPr="00E26EF6">
        <w:t xml:space="preserve"> w odn</w:t>
      </w:r>
      <w:r w:rsidRPr="00E26EF6">
        <w:t xml:space="preserve">iesieniu do poszczególnych podmiotów, mimo iż informacje te są włączone do wzoru GS dla grupy skonsolidowanej wyższego szczebla. </w:t>
      </w:r>
    </w:p>
    <w:p w14:paraId="747B1752" w14:textId="1AC667C3" w:rsidR="00915077" w:rsidRPr="00E26EF6" w:rsidRDefault="00125707">
      <w:pPr>
        <w:pStyle w:val="InstructionsText2"/>
        <w:numPr>
          <w:ilvl w:val="0"/>
          <w:numId w:val="0"/>
        </w:numPr>
        <w:ind w:left="993"/>
      </w:pPr>
      <w:r w:rsidRPr="00E26EF6">
        <w:t>37.</w:t>
      </w:r>
      <w:r w:rsidRPr="00E26EF6">
        <w:tab/>
        <w:t>Instytucja zgłasza dane dotyczące wkładu podmiotu, jeżeli jego wkład</w:t>
      </w:r>
      <w:r w:rsidR="00E26EF6" w:rsidRPr="00E26EF6">
        <w:t xml:space="preserve"> w łąc</w:t>
      </w:r>
      <w:r w:rsidRPr="00E26EF6">
        <w:t>zną kwotę ekspozycji na ryzyko przekracza 1</w:t>
      </w:r>
      <w:r w:rsidR="00023409" w:rsidRPr="00E26EF6">
        <w:t> </w:t>
      </w:r>
      <w:r w:rsidRPr="00E26EF6">
        <w:t>% łącznej kwoty ekspozycji na ryzyko grupy lub jeżeli jego wkład</w:t>
      </w:r>
      <w:r w:rsidR="00E26EF6" w:rsidRPr="00E26EF6">
        <w:t xml:space="preserve"> w łąc</w:t>
      </w:r>
      <w:r w:rsidRPr="00E26EF6">
        <w:t>zne fundusze własne przekracza 1</w:t>
      </w:r>
      <w:r w:rsidR="00023409" w:rsidRPr="00E26EF6">
        <w:t> </w:t>
      </w:r>
      <w:r w:rsidRPr="00E26EF6">
        <w:t>% łącznych funduszy własnych grupy. Progu tego nie stosuje się</w:t>
      </w:r>
      <w:r w:rsidR="00E26EF6" w:rsidRPr="00E26EF6">
        <w:t xml:space="preserve"> w prz</w:t>
      </w:r>
      <w:r w:rsidRPr="00E26EF6">
        <w:t>ypadku jednostek zależnych lub podgrup, które zapewnią grupie fundusze własne (w postaci udziałów mniejszości lub kwalifikujących się instrumentów</w:t>
      </w:r>
      <w:r w:rsidR="00E26EF6" w:rsidRPr="00E26EF6">
        <w:t xml:space="preserve"> w kap</w:t>
      </w:r>
      <w:r w:rsidRPr="00E26EF6">
        <w:t>itale dodatkowym Tier I lub kapitale Tier II uwzględnionych</w:t>
      </w:r>
      <w:r w:rsidR="00E26EF6" w:rsidRPr="00E26EF6">
        <w:t xml:space="preserve"> w fun</w:t>
      </w:r>
      <w:r w:rsidRPr="00E26EF6">
        <w:t>duszach własnych).</w:t>
      </w:r>
    </w:p>
    <w:p w14:paraId="313A94E2"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27" w:name="_Toc31014325"/>
      <w:r w:rsidRPr="00E26EF6">
        <w:rPr>
          <w:rFonts w:ascii="Times New Roman" w:hAnsi="Times New Roman"/>
          <w:sz w:val="24"/>
          <w:u w:val="none"/>
        </w:rPr>
        <w:t>2.4.</w:t>
      </w:r>
      <w:r w:rsidRPr="00E26EF6">
        <w:rPr>
          <w:rFonts w:ascii="Times New Roman" w:hAnsi="Times New Roman"/>
          <w:sz w:val="24"/>
          <w:u w:val="none"/>
        </w:rPr>
        <w:tab/>
      </w:r>
      <w:r w:rsidRPr="00E26EF6">
        <w:rPr>
          <w:rFonts w:ascii="Times New Roman" w:hAnsi="Times New Roman"/>
          <w:sz w:val="24"/>
        </w:rPr>
        <w:t>C 06.01 – WYPŁACALNOŚĆ GRUPY: INFORMACJE NA TEMAT PODMIOTÓW POWIĄZANYCH – Razem (GS razem)</w:t>
      </w:r>
      <w:bookmarkEnd w:id="2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15077" w:rsidRPr="00E26EF6" w14:paraId="3D7B88F7" w14:textId="77777777" w:rsidTr="00672D2A">
        <w:tc>
          <w:tcPr>
            <w:tcW w:w="1188" w:type="dxa"/>
            <w:shd w:val="clear" w:color="auto" w:fill="CCCCCC"/>
          </w:tcPr>
          <w:p w14:paraId="2F6E71C0" w14:textId="77777777" w:rsidR="00915077" w:rsidRPr="00E26EF6" w:rsidRDefault="00D85AC7">
            <w:pPr>
              <w:rPr>
                <w:rStyle w:val="InstructionsTabelleText"/>
                <w:rFonts w:ascii="Times New Roman" w:hAnsi="Times New Roman"/>
                <w:sz w:val="24"/>
                <w:highlight w:val="lightGray"/>
              </w:rPr>
            </w:pPr>
            <w:r w:rsidRPr="00E26EF6">
              <w:rPr>
                <w:rStyle w:val="InstructionsTabelleText"/>
                <w:rFonts w:ascii="Times New Roman" w:hAnsi="Times New Roman"/>
                <w:sz w:val="24"/>
              </w:rPr>
              <w:t>Kolumny</w:t>
            </w:r>
          </w:p>
        </w:tc>
        <w:tc>
          <w:tcPr>
            <w:tcW w:w="8640" w:type="dxa"/>
            <w:shd w:val="clear" w:color="auto" w:fill="CCCCCC"/>
          </w:tcPr>
          <w:p w14:paraId="3B0EAFD0" w14:textId="77777777" w:rsidR="00915077" w:rsidRPr="00E26EF6" w:rsidRDefault="00D85AC7">
            <w:pPr>
              <w:rPr>
                <w:rStyle w:val="InstructionsTabelleText"/>
                <w:rFonts w:ascii="Times New Roman" w:hAnsi="Times New Roman"/>
                <w:sz w:val="24"/>
                <w:highlight w:val="lightGray"/>
              </w:rPr>
            </w:pPr>
            <w:r w:rsidRPr="00E26EF6">
              <w:rPr>
                <w:rStyle w:val="InstructionsTabelleText"/>
                <w:rFonts w:ascii="Times New Roman" w:hAnsi="Times New Roman"/>
                <w:sz w:val="24"/>
              </w:rPr>
              <w:t>Instrukcje</w:t>
            </w:r>
          </w:p>
        </w:tc>
      </w:tr>
      <w:tr w:rsidR="00915077" w:rsidRPr="00E26EF6" w14:paraId="1F7FDDC7" w14:textId="77777777" w:rsidTr="00672D2A">
        <w:tc>
          <w:tcPr>
            <w:tcW w:w="1188" w:type="dxa"/>
          </w:tcPr>
          <w:p w14:paraId="474253BB" w14:textId="77777777" w:rsidR="00915077" w:rsidRPr="00E26EF6" w:rsidRDefault="00D85AC7">
            <w:pPr>
              <w:rPr>
                <w:rStyle w:val="InstructionsTabelleText"/>
                <w:rFonts w:ascii="Times New Roman" w:hAnsi="Times New Roman"/>
                <w:sz w:val="24"/>
                <w:highlight w:val="lightGray"/>
              </w:rPr>
            </w:pPr>
            <w:r w:rsidRPr="00E26EF6">
              <w:rPr>
                <w:rStyle w:val="InstructionsTabelleText"/>
                <w:rFonts w:ascii="Times New Roman" w:hAnsi="Times New Roman"/>
                <w:sz w:val="24"/>
              </w:rPr>
              <w:t>250–400</w:t>
            </w:r>
          </w:p>
        </w:tc>
        <w:tc>
          <w:tcPr>
            <w:tcW w:w="8640" w:type="dxa"/>
          </w:tcPr>
          <w:p w14:paraId="56930B44" w14:textId="77777777" w:rsidR="00915077" w:rsidRPr="00E26EF6" w:rsidRDefault="00D85AC7">
            <w:pPr>
              <w:rPr>
                <w:rStyle w:val="InstructionsTabelleberschrift"/>
                <w:rFonts w:ascii="Times New Roman" w:hAnsi="Times New Roman"/>
                <w:sz w:val="24"/>
              </w:rPr>
            </w:pPr>
            <w:r w:rsidRPr="00E26EF6">
              <w:rPr>
                <w:rStyle w:val="InstructionsTabelleberschrift"/>
                <w:rFonts w:ascii="Times New Roman" w:hAnsi="Times New Roman"/>
                <w:sz w:val="24"/>
              </w:rPr>
              <w:t>PODMIOTY OBJĘTE ZAKRESEM KONSOLIDACJI</w:t>
            </w:r>
          </w:p>
          <w:p w14:paraId="622423D7" w14:textId="77777777" w:rsidR="00915077" w:rsidRPr="00E26EF6" w:rsidRDefault="00D85AC7">
            <w:pPr>
              <w:rPr>
                <w:rStyle w:val="InstructionsTabelleberschrift"/>
                <w:rFonts w:ascii="Times New Roman" w:hAnsi="Times New Roman"/>
                <w:b w:val="0"/>
                <w:bCs w:val="0"/>
                <w:sz w:val="24"/>
                <w:highlight w:val="lightGray"/>
              </w:rPr>
            </w:pPr>
            <w:r w:rsidRPr="00E26EF6">
              <w:rPr>
                <w:rStyle w:val="InstructionsTabelleText"/>
                <w:rFonts w:ascii="Times New Roman" w:hAnsi="Times New Roman"/>
                <w:sz w:val="24"/>
              </w:rPr>
              <w:t>Zob. instrukcje dla C 06.02</w:t>
            </w:r>
          </w:p>
        </w:tc>
      </w:tr>
      <w:tr w:rsidR="00915077" w:rsidRPr="00E26EF6"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915077" w:rsidRPr="00E26EF6" w:rsidRDefault="00D85AC7">
            <w:pPr>
              <w:rPr>
                <w:rStyle w:val="InstructionsTabelleText"/>
                <w:rFonts w:ascii="Times New Roman" w:hAnsi="Times New Roman"/>
                <w:sz w:val="24"/>
                <w:highlight w:val="lightGray"/>
              </w:rPr>
            </w:pPr>
            <w:r w:rsidRPr="00E26EF6">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915077" w:rsidRPr="00E26EF6" w:rsidRDefault="00D85AC7">
            <w:pPr>
              <w:rPr>
                <w:rStyle w:val="InstructionsTabelleberschrift"/>
                <w:rFonts w:ascii="Times New Roman" w:hAnsi="Times New Roman"/>
                <w:sz w:val="24"/>
              </w:rPr>
            </w:pPr>
            <w:r w:rsidRPr="00E26EF6">
              <w:rPr>
                <w:rStyle w:val="InstructionsTabelleberschrift"/>
                <w:rFonts w:ascii="Times New Roman" w:hAnsi="Times New Roman"/>
                <w:sz w:val="24"/>
              </w:rPr>
              <w:t>BUFORY KAPITAŁOWE</w:t>
            </w:r>
          </w:p>
          <w:p w14:paraId="54FE50B2" w14:textId="77777777" w:rsidR="00915077" w:rsidRPr="00E26EF6" w:rsidRDefault="00D85AC7">
            <w:pPr>
              <w:rPr>
                <w:rStyle w:val="InstructionsTabelleberschrift"/>
                <w:rFonts w:ascii="Times New Roman" w:hAnsi="Times New Roman"/>
                <w:sz w:val="24"/>
              </w:rPr>
            </w:pPr>
            <w:r w:rsidRPr="00E26EF6">
              <w:rPr>
                <w:rStyle w:val="InstructionsTabelleText"/>
                <w:rFonts w:ascii="Times New Roman" w:hAnsi="Times New Roman"/>
                <w:sz w:val="24"/>
              </w:rPr>
              <w:t>Zob. instrukcje dla C 06.02</w:t>
            </w:r>
          </w:p>
        </w:tc>
      </w:tr>
    </w:tbl>
    <w:p w14:paraId="03C35D0A" w14:textId="77777777" w:rsidR="00915077" w:rsidRPr="00E26EF6" w:rsidRDefault="0091507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15077" w:rsidRPr="00E26EF6" w14:paraId="2DF7E091" w14:textId="77777777" w:rsidTr="00672D2A">
        <w:tc>
          <w:tcPr>
            <w:tcW w:w="1188" w:type="dxa"/>
            <w:shd w:val="clear" w:color="auto" w:fill="CCCCCC"/>
          </w:tcPr>
          <w:p w14:paraId="78D4F2D0" w14:textId="77777777" w:rsidR="00915077" w:rsidRPr="00E26EF6" w:rsidRDefault="00D85AC7">
            <w:pPr>
              <w:rPr>
                <w:rStyle w:val="InstructionsTabelleText"/>
                <w:rFonts w:ascii="Times New Roman" w:hAnsi="Times New Roman"/>
                <w:sz w:val="24"/>
                <w:highlight w:val="lightGray"/>
              </w:rPr>
            </w:pPr>
            <w:r w:rsidRPr="00E26EF6">
              <w:rPr>
                <w:rStyle w:val="InstructionsTabelleText"/>
                <w:rFonts w:ascii="Times New Roman" w:hAnsi="Times New Roman"/>
                <w:sz w:val="24"/>
              </w:rPr>
              <w:t>Wiersze</w:t>
            </w:r>
          </w:p>
        </w:tc>
        <w:tc>
          <w:tcPr>
            <w:tcW w:w="8640" w:type="dxa"/>
            <w:shd w:val="clear" w:color="auto" w:fill="CCCCCC"/>
          </w:tcPr>
          <w:p w14:paraId="1C741FE2" w14:textId="77777777" w:rsidR="00915077" w:rsidRPr="00E26EF6" w:rsidRDefault="00D85AC7">
            <w:pPr>
              <w:rPr>
                <w:rStyle w:val="InstructionsTabelleText"/>
                <w:rFonts w:ascii="Times New Roman" w:hAnsi="Times New Roman"/>
                <w:sz w:val="24"/>
                <w:highlight w:val="lightGray"/>
              </w:rPr>
            </w:pPr>
            <w:r w:rsidRPr="00E26EF6">
              <w:rPr>
                <w:rStyle w:val="InstructionsTabelleText"/>
                <w:rFonts w:ascii="Times New Roman" w:hAnsi="Times New Roman"/>
                <w:sz w:val="24"/>
              </w:rPr>
              <w:t>Instrukcje</w:t>
            </w:r>
          </w:p>
        </w:tc>
      </w:tr>
      <w:tr w:rsidR="00915077" w:rsidRPr="00E26EF6" w14:paraId="3F370291" w14:textId="77777777" w:rsidTr="00672D2A">
        <w:tc>
          <w:tcPr>
            <w:tcW w:w="1188" w:type="dxa"/>
          </w:tcPr>
          <w:p w14:paraId="196EEEBF" w14:textId="77777777" w:rsidR="00915077" w:rsidRPr="00E26EF6" w:rsidRDefault="00D85AC7">
            <w:pPr>
              <w:rPr>
                <w:rStyle w:val="InstructionsTabelleText"/>
                <w:rFonts w:ascii="Times New Roman" w:hAnsi="Times New Roman"/>
                <w:sz w:val="24"/>
                <w:highlight w:val="lightGray"/>
              </w:rPr>
            </w:pPr>
            <w:r w:rsidRPr="00E26EF6">
              <w:rPr>
                <w:rStyle w:val="InstructionsTabelleText"/>
                <w:rFonts w:ascii="Times New Roman" w:hAnsi="Times New Roman"/>
                <w:sz w:val="24"/>
              </w:rPr>
              <w:t>010</w:t>
            </w:r>
          </w:p>
        </w:tc>
        <w:tc>
          <w:tcPr>
            <w:tcW w:w="8640" w:type="dxa"/>
          </w:tcPr>
          <w:p w14:paraId="4FC9E795" w14:textId="77777777" w:rsidR="00915077" w:rsidRPr="00E26EF6" w:rsidRDefault="00D85AC7">
            <w:pPr>
              <w:rPr>
                <w:rStyle w:val="InstructionsTabelleberschrift"/>
                <w:rFonts w:ascii="Times New Roman" w:hAnsi="Times New Roman"/>
                <w:sz w:val="24"/>
              </w:rPr>
            </w:pPr>
            <w:r w:rsidRPr="00E26EF6">
              <w:rPr>
                <w:rStyle w:val="InstructionsTabelleberschrift"/>
                <w:rFonts w:ascii="Times New Roman" w:hAnsi="Times New Roman"/>
                <w:sz w:val="24"/>
              </w:rPr>
              <w:t>RAZEM</w:t>
            </w:r>
          </w:p>
          <w:p w14:paraId="0FC622F0" w14:textId="77777777" w:rsidR="00915077" w:rsidRPr="00E26EF6" w:rsidRDefault="00D85AC7">
            <w:pPr>
              <w:rPr>
                <w:rStyle w:val="InstructionsTabelleberschrift"/>
                <w:rFonts w:ascii="Times New Roman" w:hAnsi="Times New Roman"/>
                <w:b w:val="0"/>
                <w:bCs w:val="0"/>
                <w:sz w:val="24"/>
              </w:rPr>
            </w:pPr>
            <w:r w:rsidRPr="00E26EF6">
              <w:rPr>
                <w:rStyle w:val="InstructionsTabelleText"/>
                <w:rFonts w:ascii="Times New Roman" w:hAnsi="Times New Roman"/>
                <w:sz w:val="24"/>
              </w:rPr>
              <w:lastRenderedPageBreak/>
              <w:t>Pozycja „Razem” stanowi sumę wartości liczbowych zgłaszanych we wszystkich wierszach wzoru C 06.02.</w:t>
            </w:r>
          </w:p>
        </w:tc>
      </w:tr>
    </w:tbl>
    <w:p w14:paraId="3C6A430D" w14:textId="77777777" w:rsidR="00915077" w:rsidRPr="00E26EF6" w:rsidRDefault="00915077">
      <w:pPr>
        <w:pStyle w:val="InstructionsText"/>
      </w:pPr>
    </w:p>
    <w:p w14:paraId="539B2369"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28" w:name="_Toc31014326"/>
      <w:r w:rsidRPr="00E26EF6">
        <w:rPr>
          <w:rFonts w:ascii="Times New Roman" w:hAnsi="Times New Roman"/>
          <w:sz w:val="24"/>
          <w:u w:val="none"/>
        </w:rPr>
        <w:t>2.5.</w:t>
      </w:r>
      <w:r w:rsidRPr="00E26EF6">
        <w:rPr>
          <w:rFonts w:ascii="Times New Roman" w:hAnsi="Times New Roman"/>
          <w:sz w:val="24"/>
          <w:u w:val="none"/>
        </w:rPr>
        <w:tab/>
      </w:r>
      <w:r w:rsidRPr="00E26EF6">
        <w:rPr>
          <w:rFonts w:ascii="Times New Roman" w:hAnsi="Times New Roman"/>
          <w:sz w:val="24"/>
        </w:rPr>
        <w:t>C 06.02 – WYPŁACALNOŚĆ GRUPY: INFORMACJE NA TEMAT PODMIOTÓW POWIĄZANYCH (GS)</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15077" w:rsidRPr="00E26EF6" w14:paraId="3514CD02" w14:textId="77777777" w:rsidTr="00672D2A">
        <w:tc>
          <w:tcPr>
            <w:tcW w:w="1188" w:type="dxa"/>
            <w:shd w:val="clear" w:color="auto" w:fill="CCCCCC"/>
          </w:tcPr>
          <w:p w14:paraId="01AA5D3F"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Kolumny</w:t>
            </w:r>
          </w:p>
        </w:tc>
        <w:tc>
          <w:tcPr>
            <w:tcW w:w="8640" w:type="dxa"/>
            <w:shd w:val="clear" w:color="auto" w:fill="CCCCCC"/>
          </w:tcPr>
          <w:p w14:paraId="7FC7F527"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Instrukcje</w:t>
            </w:r>
          </w:p>
        </w:tc>
      </w:tr>
      <w:tr w:rsidR="00915077" w:rsidRPr="00E26EF6" w14:paraId="53722D57" w14:textId="77777777" w:rsidTr="00672D2A">
        <w:tc>
          <w:tcPr>
            <w:tcW w:w="1188" w:type="dxa"/>
          </w:tcPr>
          <w:p w14:paraId="7A09A40F"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010–060</w:t>
            </w:r>
          </w:p>
        </w:tc>
        <w:tc>
          <w:tcPr>
            <w:tcW w:w="8640" w:type="dxa"/>
          </w:tcPr>
          <w:p w14:paraId="5EE7C796"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PODMIOTY OBJĘTE ZAKRESEM KONSOLIDACJI</w:t>
            </w:r>
          </w:p>
          <w:p w14:paraId="7CE0B44F" w14:textId="2115683F" w:rsidR="00915077" w:rsidRPr="00E26EF6" w:rsidRDefault="00464F34">
            <w:pPr>
              <w:rPr>
                <w:rStyle w:val="InstructionsTabelleberschrift"/>
                <w:rFonts w:ascii="Times New Roman" w:hAnsi="Times New Roman"/>
                <w:b w:val="0"/>
                <w:bCs w:val="0"/>
                <w:sz w:val="24"/>
                <w:highlight w:val="lightGray"/>
              </w:rPr>
            </w:pPr>
            <w:r w:rsidRPr="00E26EF6">
              <w:rPr>
                <w:rStyle w:val="InstructionsTabelleText"/>
                <w:rFonts w:ascii="Times New Roman" w:hAnsi="Times New Roman"/>
                <w:sz w:val="24"/>
              </w:rPr>
              <w:t>Wzór ten ma na celu gromadzenie informacji</w:t>
            </w:r>
            <w:r w:rsidR="00E26EF6" w:rsidRPr="00E26EF6">
              <w:rPr>
                <w:rStyle w:val="InstructionsTabelleText"/>
                <w:rFonts w:ascii="Times New Roman" w:hAnsi="Times New Roman"/>
                <w:sz w:val="24"/>
              </w:rPr>
              <w:t xml:space="preserve"> o wsz</w:t>
            </w:r>
            <w:r w:rsidRPr="00E26EF6">
              <w:rPr>
                <w:rStyle w:val="InstructionsTabelleText"/>
                <w:rFonts w:ascii="Times New Roman" w:hAnsi="Times New Roman"/>
                <w:sz w:val="24"/>
              </w:rPr>
              <w:t>ystkich poszczególnych podmiotach objętych zakresem konsolidacji zgodnie</w:t>
            </w:r>
            <w:r w:rsidR="00E26EF6" w:rsidRPr="00E26EF6">
              <w:rPr>
                <w:rStyle w:val="InstructionsTabelleText"/>
                <w:rFonts w:ascii="Times New Roman" w:hAnsi="Times New Roman"/>
                <w:sz w:val="24"/>
              </w:rPr>
              <w:t xml:space="preserve"> z </w:t>
            </w:r>
            <w:r w:rsidR="00E26EF6" w:rsidRPr="00E26EF6">
              <w:rPr>
                <w:rFonts w:ascii="Times New Roman" w:hAnsi="Times New Roman"/>
                <w:sz w:val="24"/>
              </w:rPr>
              <w:t>czę</w:t>
            </w:r>
            <w:r w:rsidRPr="00E26EF6">
              <w:rPr>
                <w:rFonts w:ascii="Times New Roman" w:hAnsi="Times New Roman"/>
                <w:sz w:val="24"/>
              </w:rPr>
              <w:t xml:space="preserve">ścią pierwszą tytuł II rozdział 2 </w:t>
            </w:r>
            <w:r w:rsidRPr="00E26EF6">
              <w:rPr>
                <w:rStyle w:val="InstructionsTabelleText"/>
                <w:rFonts w:ascii="Times New Roman" w:hAnsi="Times New Roman"/>
                <w:sz w:val="24"/>
              </w:rPr>
              <w:t xml:space="preserve">CRR. </w:t>
            </w:r>
          </w:p>
        </w:tc>
      </w:tr>
      <w:tr w:rsidR="00915077" w:rsidRPr="00E26EF6" w14:paraId="0589B0E9" w14:textId="77777777" w:rsidTr="00672D2A">
        <w:tc>
          <w:tcPr>
            <w:tcW w:w="1188" w:type="dxa"/>
          </w:tcPr>
          <w:p w14:paraId="5E423925"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010</w:t>
            </w:r>
          </w:p>
        </w:tc>
        <w:tc>
          <w:tcPr>
            <w:tcW w:w="8640" w:type="dxa"/>
          </w:tcPr>
          <w:p w14:paraId="2D9738C7"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NAZWA</w:t>
            </w:r>
          </w:p>
          <w:p w14:paraId="1D69F932"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Nazwa podmiotu objętego zakresem konsolidacji.</w:t>
            </w:r>
          </w:p>
        </w:tc>
      </w:tr>
      <w:tr w:rsidR="00915077" w:rsidRPr="00E26EF6" w14:paraId="2EF8636C" w14:textId="77777777" w:rsidTr="00672D2A">
        <w:tc>
          <w:tcPr>
            <w:tcW w:w="1188" w:type="dxa"/>
          </w:tcPr>
          <w:p w14:paraId="0E548189"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020</w:t>
            </w:r>
          </w:p>
        </w:tc>
        <w:tc>
          <w:tcPr>
            <w:tcW w:w="8640" w:type="dxa"/>
          </w:tcPr>
          <w:p w14:paraId="5AFA22A9"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KOD</w:t>
            </w:r>
          </w:p>
          <w:p w14:paraId="49108895" w14:textId="22685829" w:rsidR="00915077" w:rsidRPr="00E26EF6" w:rsidRDefault="009A47E2">
            <w:pPr>
              <w:rPr>
                <w:rStyle w:val="InstructionsTabelleText"/>
                <w:rFonts w:ascii="Times New Roman" w:hAnsi="Times New Roman"/>
                <w:sz w:val="24"/>
              </w:rPr>
            </w:pPr>
            <w:r w:rsidRPr="00E26EF6">
              <w:rPr>
                <w:rStyle w:val="InstructionsTabelleText"/>
                <w:rFonts w:ascii="Times New Roman" w:hAnsi="Times New Roman"/>
                <w:sz w:val="24"/>
              </w:rPr>
              <w:t>Kod ten stanowi identyfikator wiersza</w:t>
            </w:r>
            <w:r w:rsidR="00E26EF6" w:rsidRPr="00E26EF6">
              <w:rPr>
                <w:rStyle w:val="InstructionsTabelleText"/>
                <w:rFonts w:ascii="Times New Roman" w:hAnsi="Times New Roman"/>
                <w:sz w:val="24"/>
              </w:rPr>
              <w:t xml:space="preserve"> i jes</w:t>
            </w:r>
            <w:r w:rsidRPr="00E26EF6">
              <w:rPr>
                <w:rStyle w:val="InstructionsTabelleText"/>
                <w:rFonts w:ascii="Times New Roman" w:hAnsi="Times New Roman"/>
                <w:sz w:val="24"/>
              </w:rPr>
              <w:t>t niepowtarzalny dla każdego wiersza we wzorze.</w:t>
            </w:r>
          </w:p>
          <w:p w14:paraId="1A549825" w14:textId="77777777"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Kod przypisany podmiotowi objętemu zakresem konsolidacji.</w:t>
            </w:r>
          </w:p>
          <w:p w14:paraId="3A5D7904" w14:textId="77777777" w:rsidR="00915077" w:rsidRPr="00E26EF6" w:rsidRDefault="00464F34">
            <w:pPr>
              <w:pStyle w:val="InstructionsText"/>
              <w:rPr>
                <w:rStyle w:val="InstructionsTabelleText"/>
                <w:rFonts w:ascii="Times New Roman" w:hAnsi="Times New Roman"/>
                <w:sz w:val="24"/>
                <w:highlight w:val="lightGray"/>
              </w:rPr>
            </w:pPr>
            <w:r w:rsidRPr="00E26EF6">
              <w:rPr>
                <w:rStyle w:val="FormatvorlageInstructionsTabelleText"/>
                <w:rFonts w:ascii="Times New Roman" w:hAnsi="Times New Roman"/>
                <w:sz w:val="24"/>
              </w:rPr>
              <w:t xml:space="preserve">Rzeczywista struktura kodu jest uzależniona od systemu sprawozdawczości krajowej. </w:t>
            </w:r>
          </w:p>
        </w:tc>
      </w:tr>
      <w:tr w:rsidR="00915077" w:rsidRPr="00E26EF6" w14:paraId="498A1D59" w14:textId="77777777" w:rsidTr="00672D2A">
        <w:tc>
          <w:tcPr>
            <w:tcW w:w="1188" w:type="dxa"/>
          </w:tcPr>
          <w:p w14:paraId="0A0AFF54"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025</w:t>
            </w:r>
          </w:p>
        </w:tc>
        <w:tc>
          <w:tcPr>
            <w:tcW w:w="8640" w:type="dxa"/>
          </w:tcPr>
          <w:p w14:paraId="62F1EBDE"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KOD LEI</w:t>
            </w:r>
          </w:p>
          <w:p w14:paraId="75F27FE2" w14:textId="21294AB4" w:rsidR="00915077" w:rsidRPr="00E26EF6" w:rsidRDefault="00C504D3">
            <w:pPr>
              <w:rPr>
                <w:rStyle w:val="InstructionsTabelleText"/>
                <w:rFonts w:ascii="Times New Roman" w:hAnsi="Times New Roman"/>
                <w:sz w:val="24"/>
              </w:rPr>
            </w:pPr>
            <w:r w:rsidRPr="00E26EF6">
              <w:rPr>
                <w:rStyle w:val="InstructionsTabelleText"/>
                <w:rFonts w:ascii="Times New Roman" w:hAnsi="Times New Roman"/>
                <w:sz w:val="24"/>
              </w:rPr>
              <w:t>Kod LEI oznacza kod identyfikujący podmiot prawny</w:t>
            </w:r>
            <w:r w:rsidR="00E26EF6" w:rsidRPr="00E26EF6">
              <w:rPr>
                <w:rStyle w:val="InstructionsTabelleText"/>
                <w:rFonts w:ascii="Times New Roman" w:hAnsi="Times New Roman"/>
                <w:sz w:val="24"/>
              </w:rPr>
              <w:t xml:space="preserve"> w ram</w:t>
            </w:r>
            <w:r w:rsidRPr="00E26EF6">
              <w:rPr>
                <w:rStyle w:val="InstructionsTabelleText"/>
                <w:rFonts w:ascii="Times New Roman" w:hAnsi="Times New Roman"/>
                <w:sz w:val="24"/>
              </w:rPr>
              <w:t>ach systemu kodów referencyjnych zaproponowanego przez Radę Stabilności Finansowej</w:t>
            </w:r>
            <w:r w:rsidR="00E26EF6" w:rsidRPr="00E26EF6">
              <w:rPr>
                <w:rStyle w:val="InstructionsTabelleText"/>
                <w:rFonts w:ascii="Times New Roman" w:hAnsi="Times New Roman"/>
                <w:sz w:val="24"/>
              </w:rPr>
              <w:t xml:space="preserve"> i zat</w:t>
            </w:r>
            <w:r w:rsidRPr="00E26EF6">
              <w:rPr>
                <w:rStyle w:val="InstructionsTabelleText"/>
                <w:rFonts w:ascii="Times New Roman" w:hAnsi="Times New Roman"/>
                <w:sz w:val="24"/>
              </w:rPr>
              <w:t>wierdzonego przez grupę G20</w:t>
            </w:r>
            <w:r w:rsidR="00E26EF6" w:rsidRPr="00E26EF6">
              <w:rPr>
                <w:rStyle w:val="InstructionsTabelleText"/>
                <w:rFonts w:ascii="Times New Roman" w:hAnsi="Times New Roman"/>
                <w:sz w:val="24"/>
              </w:rPr>
              <w:t xml:space="preserve"> w cel</w:t>
            </w:r>
            <w:r w:rsidRPr="00E26EF6">
              <w:rPr>
                <w:rStyle w:val="InstructionsTabelleText"/>
                <w:rFonts w:ascii="Times New Roman" w:hAnsi="Times New Roman"/>
                <w:sz w:val="24"/>
              </w:rPr>
              <w:t>u stworzenia systemu niepowtarzalnych, międzynarodowych identyfikatorów stron transakcji finansowych.</w:t>
            </w:r>
          </w:p>
          <w:p w14:paraId="7320F1F1" w14:textId="15DD7B7E" w:rsidR="00915077" w:rsidRPr="00E26EF6" w:rsidRDefault="00C504D3">
            <w:pPr>
              <w:rPr>
                <w:rStyle w:val="InstructionsTabelleText"/>
                <w:rFonts w:ascii="Times New Roman" w:hAnsi="Times New Roman"/>
                <w:sz w:val="24"/>
              </w:rPr>
            </w:pPr>
            <w:r w:rsidRPr="00E26EF6">
              <w:rPr>
                <w:rStyle w:val="InstructionsTabelleText"/>
                <w:rFonts w:ascii="Times New Roman" w:hAnsi="Times New Roman"/>
                <w:sz w:val="24"/>
              </w:rPr>
              <w:t xml:space="preserve">Do czasu osiągnięcia pełnej operacyjności globalnego systemu LEI lokalna jednostka operacyjna (LOU – Local Operational Unit) autoryzowana przez komitet nadzoru regulacyjnego (ROC – Regulatory Oversight Committee; więcej informacji można znaleźć na stronie: </w:t>
            </w:r>
            <w:hyperlink r:id="rId10" w:history="1">
              <w:r w:rsidRPr="00E26EF6">
                <w:rPr>
                  <w:rStyle w:val="Hyperlink"/>
                  <w:rFonts w:ascii="Times New Roman" w:hAnsi="Times New Roman"/>
                  <w:sz w:val="24"/>
                </w:rPr>
                <w:t>www.leiroc.org</w:t>
              </w:r>
            </w:hyperlink>
            <w:r w:rsidRPr="00E26EF6">
              <w:rPr>
                <w:rStyle w:val="InstructionsTabelleText"/>
                <w:rFonts w:ascii="Times New Roman" w:hAnsi="Times New Roman"/>
                <w:sz w:val="24"/>
              </w:rPr>
              <w:t>) nadaje kontrahentom kody pre-LEI</w:t>
            </w:r>
            <w:r w:rsidRPr="00E26EF6">
              <w:rPr>
                <w:rStyle w:val="InstructionsTabelleText"/>
                <w:rFonts w:ascii="Times New Roman" w:hAnsi="Times New Roman"/>
                <w:i/>
                <w:sz w:val="24"/>
              </w:rPr>
              <w:t>.</w:t>
            </w:r>
          </w:p>
          <w:p w14:paraId="51EE99AB" w14:textId="5CC70BA1" w:rsidR="00915077" w:rsidRPr="00E26EF6" w:rsidRDefault="009A47E2">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Jeśli dla danego kontrahenta istnieje kod identyfikujący podmiot prawny (kod LEI), kod ten jest stosowany</w:t>
            </w:r>
            <w:r w:rsidR="00E26EF6" w:rsidRPr="00E26EF6">
              <w:rPr>
                <w:rStyle w:val="InstructionsTabelleText"/>
                <w:rFonts w:ascii="Times New Roman" w:hAnsi="Times New Roman"/>
                <w:sz w:val="24"/>
              </w:rPr>
              <w:t xml:space="preserve"> w cel</w:t>
            </w:r>
            <w:r w:rsidRPr="00E26EF6">
              <w:rPr>
                <w:rStyle w:val="InstructionsTabelleText"/>
                <w:rFonts w:ascii="Times New Roman" w:hAnsi="Times New Roman"/>
                <w:sz w:val="24"/>
              </w:rPr>
              <w:t xml:space="preserve">u zidentyfikowania tego kontrahenta. </w:t>
            </w:r>
          </w:p>
        </w:tc>
      </w:tr>
      <w:tr w:rsidR="00915077" w:rsidRPr="00E26EF6" w14:paraId="1DF5E571" w14:textId="77777777" w:rsidTr="00672D2A">
        <w:tc>
          <w:tcPr>
            <w:tcW w:w="1188" w:type="dxa"/>
          </w:tcPr>
          <w:p w14:paraId="5294AC35"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030</w:t>
            </w:r>
          </w:p>
        </w:tc>
        <w:tc>
          <w:tcPr>
            <w:tcW w:w="8640" w:type="dxa"/>
          </w:tcPr>
          <w:p w14:paraId="2C9F5508"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INSTYTUCJA LUB PODMIOT RÓWNOWAŻNY (TAK/NIE)</w:t>
            </w:r>
          </w:p>
          <w:p w14:paraId="778DDD55" w14:textId="64332180"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„TAK” zgłasza się</w:t>
            </w:r>
            <w:r w:rsidR="00E26EF6" w:rsidRPr="00E26EF6">
              <w:rPr>
                <w:rStyle w:val="InstructionsTabelleText"/>
                <w:rFonts w:ascii="Times New Roman" w:hAnsi="Times New Roman"/>
                <w:sz w:val="24"/>
              </w:rPr>
              <w:t xml:space="preserve"> w prz</w:t>
            </w:r>
            <w:r w:rsidRPr="00E26EF6">
              <w:rPr>
                <w:rStyle w:val="InstructionsTabelleText"/>
                <w:rFonts w:ascii="Times New Roman" w:hAnsi="Times New Roman"/>
                <w:sz w:val="24"/>
              </w:rPr>
              <w:t>ypadku, gdy podmiot podlega wymogom</w:t>
            </w:r>
            <w:r w:rsidR="00E26EF6" w:rsidRPr="00E26EF6">
              <w:rPr>
                <w:rStyle w:val="InstructionsTabelleText"/>
                <w:rFonts w:ascii="Times New Roman" w:hAnsi="Times New Roman"/>
                <w:sz w:val="24"/>
              </w:rPr>
              <w:t xml:space="preserve"> w zak</w:t>
            </w:r>
            <w:r w:rsidRPr="00E26EF6">
              <w:rPr>
                <w:rStyle w:val="InstructionsTabelleText"/>
                <w:rFonts w:ascii="Times New Roman" w:hAnsi="Times New Roman"/>
                <w:sz w:val="24"/>
              </w:rPr>
              <w:t>resie funduszy własnych zgodnie z CRR i CRD lub</w:t>
            </w:r>
            <w:r w:rsidR="00E26EF6" w:rsidRPr="00E26EF6">
              <w:rPr>
                <w:rStyle w:val="InstructionsTabelleText"/>
                <w:rFonts w:ascii="Times New Roman" w:hAnsi="Times New Roman"/>
                <w:sz w:val="24"/>
              </w:rPr>
              <w:t xml:space="preserve"> z prz</w:t>
            </w:r>
            <w:r w:rsidRPr="00E26EF6">
              <w:rPr>
                <w:rStyle w:val="InstructionsTabelleText"/>
                <w:rFonts w:ascii="Times New Roman" w:hAnsi="Times New Roman"/>
                <w:sz w:val="24"/>
              </w:rPr>
              <w:t>episami co najmniej równoważnymi</w:t>
            </w:r>
            <w:r w:rsidR="00E26EF6" w:rsidRPr="00E26EF6">
              <w:rPr>
                <w:rStyle w:val="InstructionsTabelleText"/>
                <w:rFonts w:ascii="Times New Roman" w:hAnsi="Times New Roman"/>
                <w:sz w:val="24"/>
              </w:rPr>
              <w:t xml:space="preserve"> z pos</w:t>
            </w:r>
            <w:r w:rsidRPr="00E26EF6">
              <w:rPr>
                <w:rStyle w:val="InstructionsTabelleText"/>
                <w:rFonts w:ascii="Times New Roman" w:hAnsi="Times New Roman"/>
                <w:sz w:val="24"/>
              </w:rPr>
              <w:t>tanowieniami regulacji Bazylea.</w:t>
            </w:r>
          </w:p>
          <w:p w14:paraId="18710662" w14:textId="77777777"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W pozostałych przypadkach zgłasza się „NIE”.</w:t>
            </w:r>
          </w:p>
          <w:p w14:paraId="430EA4DC" w14:textId="77777777" w:rsidR="00915077" w:rsidRPr="00E26EF6" w:rsidRDefault="00915077">
            <w:pPr>
              <w:rPr>
                <w:rStyle w:val="InstructionsTabelleText"/>
                <w:rFonts w:ascii="Times New Roman" w:hAnsi="Times New Roman"/>
                <w:sz w:val="24"/>
              </w:rPr>
            </w:pPr>
          </w:p>
          <w:p w14:paraId="23D75BCC" w14:textId="77777777" w:rsidR="00915077" w:rsidRPr="00E26EF6" w:rsidRDefault="00125707">
            <w:pPr>
              <w:ind w:left="372" w:hanging="360"/>
              <w:contextualSpacing/>
              <w:rPr>
                <w:rStyle w:val="InstructionsTabelleText"/>
                <w:rFonts w:ascii="Times New Roman" w:hAnsi="Times New Roman"/>
                <w:sz w:val="24"/>
              </w:rPr>
            </w:pPr>
            <w:r w:rsidRPr="00E26EF6">
              <w:rPr>
                <w:rStyle w:val="InstructionsTabelleText"/>
                <w:rFonts w:ascii="Wingdings" w:hAnsi="Wingdings"/>
                <w:sz w:val="24"/>
              </w:rPr>
              <w:t></w:t>
            </w:r>
            <w:r w:rsidRPr="00E26EF6">
              <w:rPr>
                <w:rStyle w:val="InstructionsTabelleText"/>
                <w:rFonts w:ascii="Wingdings" w:hAnsi="Wingdings"/>
                <w:sz w:val="24"/>
              </w:rPr>
              <w:tab/>
            </w:r>
            <w:r w:rsidRPr="00E26EF6">
              <w:rPr>
                <w:rStyle w:val="InstructionsTabelleText"/>
                <w:rFonts w:ascii="Times New Roman" w:hAnsi="Times New Roman"/>
                <w:sz w:val="24"/>
              </w:rPr>
              <w:t>Udziały mniejszości:</w:t>
            </w:r>
          </w:p>
          <w:p w14:paraId="17E96CB7" w14:textId="3BD74C6E" w:rsidR="00915077" w:rsidRPr="00E26EF6" w:rsidRDefault="00283C5E">
            <w:pPr>
              <w:rPr>
                <w:rStyle w:val="InstructionsTabelleText"/>
                <w:rFonts w:ascii="Times New Roman" w:hAnsi="Times New Roman"/>
                <w:sz w:val="24"/>
              </w:rPr>
            </w:pPr>
            <w:r w:rsidRPr="00E26EF6">
              <w:rPr>
                <w:rFonts w:ascii="Times New Roman" w:hAnsi="Times New Roman"/>
                <w:sz w:val="24"/>
              </w:rPr>
              <w:t>Art. 81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ppkt (ii) oraz art.</w:t>
            </w:r>
            <w:r w:rsidR="00023409" w:rsidRPr="00E26EF6">
              <w:rPr>
                <w:rFonts w:ascii="Times New Roman" w:hAnsi="Times New Roman"/>
                <w:sz w:val="24"/>
              </w:rPr>
              <w:t> </w:t>
            </w:r>
            <w:r w:rsidRPr="00E26EF6">
              <w:rPr>
                <w:rFonts w:ascii="Times New Roman" w:hAnsi="Times New Roman"/>
                <w:sz w:val="24"/>
              </w:rPr>
              <w:t>82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ppkt (ii) CRR</w:t>
            </w:r>
          </w:p>
          <w:p w14:paraId="70FC6685" w14:textId="761041F8" w:rsidR="00915077" w:rsidRPr="00E26EF6" w:rsidRDefault="00464F34">
            <w:pPr>
              <w:rPr>
                <w:rStyle w:val="InstructionsTabelleText"/>
                <w:rFonts w:ascii="Times New Roman" w:hAnsi="Times New Roman"/>
                <w:sz w:val="24"/>
                <w:highlight w:val="lightGray"/>
              </w:rPr>
            </w:pPr>
            <w:r w:rsidRPr="00E26EF6">
              <w:rPr>
                <w:rFonts w:ascii="Times New Roman" w:hAnsi="Times New Roman"/>
                <w:sz w:val="24"/>
              </w:rPr>
              <w:t>W odniesieniu do udziałów mniejszości oraz instrumentów</w:t>
            </w:r>
            <w:r w:rsidR="00E26EF6" w:rsidRPr="00E26EF6">
              <w:rPr>
                <w:rFonts w:ascii="Times New Roman" w:hAnsi="Times New Roman"/>
                <w:sz w:val="24"/>
              </w:rPr>
              <w:t xml:space="preserve"> w kap</w:t>
            </w:r>
            <w:r w:rsidRPr="00E26EF6">
              <w:rPr>
                <w:rFonts w:ascii="Times New Roman" w:hAnsi="Times New Roman"/>
                <w:sz w:val="24"/>
              </w:rPr>
              <w:t>itale dodatkowym Tier I</w:t>
            </w:r>
            <w:r w:rsidR="00E26EF6" w:rsidRPr="00E26EF6">
              <w:rPr>
                <w:rFonts w:ascii="Times New Roman" w:hAnsi="Times New Roman"/>
                <w:sz w:val="24"/>
              </w:rPr>
              <w:t xml:space="preserve"> i kap</w:t>
            </w:r>
            <w:r w:rsidRPr="00E26EF6">
              <w:rPr>
                <w:rFonts w:ascii="Times New Roman" w:hAnsi="Times New Roman"/>
                <w:sz w:val="24"/>
              </w:rPr>
              <w:t>itale Tier II wyemitowanych przez jednostki zależne, jednostki zależne, których instrumenty mogą być uznawane, są instytucjami lub przedsiębiorstwami, które ze względu na mające zastosowanie prawo krajowe podlegają wymogom CRR.</w:t>
            </w:r>
          </w:p>
        </w:tc>
      </w:tr>
      <w:tr w:rsidR="00915077" w:rsidRPr="00E26EF6" w14:paraId="00CEA0C8" w14:textId="77777777" w:rsidTr="00672D2A">
        <w:tc>
          <w:tcPr>
            <w:tcW w:w="1188" w:type="dxa"/>
          </w:tcPr>
          <w:p w14:paraId="7D6FF3E4" w14:textId="77777777" w:rsidR="00915077" w:rsidRPr="00E26EF6" w:rsidRDefault="00B47F0C">
            <w:pPr>
              <w:rPr>
                <w:rStyle w:val="InstructionsTabelleText"/>
                <w:rFonts w:ascii="Times New Roman" w:hAnsi="Times New Roman"/>
                <w:sz w:val="24"/>
                <w:highlight w:val="lightGray"/>
              </w:rPr>
            </w:pPr>
            <w:r w:rsidRPr="00E26EF6">
              <w:rPr>
                <w:rStyle w:val="InstructionsTabelleText"/>
                <w:rFonts w:ascii="Times New Roman" w:hAnsi="Times New Roman"/>
                <w:sz w:val="24"/>
              </w:rPr>
              <w:t>035</w:t>
            </w:r>
          </w:p>
        </w:tc>
        <w:tc>
          <w:tcPr>
            <w:tcW w:w="8640" w:type="dxa"/>
          </w:tcPr>
          <w:p w14:paraId="4AEC7BD9" w14:textId="77777777" w:rsidR="00915077" w:rsidRPr="00E26EF6" w:rsidRDefault="00B47F0C">
            <w:pPr>
              <w:rPr>
                <w:rStyle w:val="InstructionsTabelleberschrift"/>
                <w:rFonts w:ascii="Times New Roman" w:hAnsi="Times New Roman"/>
                <w:sz w:val="24"/>
              </w:rPr>
            </w:pPr>
            <w:r w:rsidRPr="00E26EF6">
              <w:rPr>
                <w:rStyle w:val="InstructionsTabelleberschrift"/>
                <w:rFonts w:ascii="Times New Roman" w:hAnsi="Times New Roman"/>
                <w:sz w:val="24"/>
              </w:rPr>
              <w:t>RODZAJ PODMIOTU</w:t>
            </w:r>
          </w:p>
          <w:p w14:paraId="6D57FDC9" w14:textId="0510D80E" w:rsidR="00915077" w:rsidRPr="00E26EF6" w:rsidRDefault="0071377A">
            <w:pPr>
              <w:rPr>
                <w:rStyle w:val="InstructionsTabelleText"/>
                <w:rFonts w:ascii="Times New Roman" w:hAnsi="Times New Roman"/>
                <w:bCs/>
                <w:sz w:val="24"/>
              </w:rPr>
            </w:pPr>
            <w:r w:rsidRPr="00E26EF6">
              <w:rPr>
                <w:rStyle w:val="InstructionsTabelleText"/>
                <w:rFonts w:ascii="Times New Roman" w:hAnsi="Times New Roman"/>
                <w:bCs/>
                <w:sz w:val="24"/>
              </w:rPr>
              <w:t>Rodzaj podmiotu zgłasza się</w:t>
            </w:r>
            <w:r w:rsidR="00E26EF6" w:rsidRPr="00E26EF6">
              <w:rPr>
                <w:rStyle w:val="InstructionsTabelleText"/>
                <w:rFonts w:ascii="Times New Roman" w:hAnsi="Times New Roman"/>
                <w:bCs/>
                <w:sz w:val="24"/>
              </w:rPr>
              <w:t xml:space="preserve"> w opa</w:t>
            </w:r>
            <w:r w:rsidRPr="00E26EF6">
              <w:rPr>
                <w:rStyle w:val="InstructionsTabelleText"/>
                <w:rFonts w:ascii="Times New Roman" w:hAnsi="Times New Roman"/>
                <w:bCs/>
                <w:sz w:val="24"/>
              </w:rPr>
              <w:t>rciu</w:t>
            </w:r>
            <w:r w:rsidR="00E26EF6" w:rsidRPr="00E26EF6">
              <w:rPr>
                <w:rStyle w:val="InstructionsTabelleText"/>
                <w:rFonts w:ascii="Times New Roman" w:hAnsi="Times New Roman"/>
                <w:bCs/>
                <w:sz w:val="24"/>
              </w:rPr>
              <w:t xml:space="preserve"> o nas</w:t>
            </w:r>
            <w:r w:rsidRPr="00E26EF6">
              <w:rPr>
                <w:rStyle w:val="InstructionsTabelleText"/>
                <w:rFonts w:ascii="Times New Roman" w:hAnsi="Times New Roman"/>
                <w:bCs/>
                <w:sz w:val="24"/>
              </w:rPr>
              <w:t>tępujące kategorie:</w:t>
            </w:r>
          </w:p>
          <w:p w14:paraId="63AFEC92" w14:textId="77777777" w:rsidR="00915077" w:rsidRPr="00E26EF6" w:rsidRDefault="0071377A">
            <w:pPr>
              <w:tabs>
                <w:tab w:val="left" w:pos="372"/>
              </w:tabs>
              <w:rPr>
                <w:rStyle w:val="InstructionsTabelleText"/>
                <w:rFonts w:ascii="Times New Roman" w:hAnsi="Times New Roman"/>
                <w:sz w:val="24"/>
              </w:rPr>
            </w:pPr>
            <w:r w:rsidRPr="00E26EF6">
              <w:rPr>
                <w:rStyle w:val="InstructionsTabelleText"/>
                <w:rFonts w:ascii="Times New Roman" w:hAnsi="Times New Roman"/>
                <w:sz w:val="24"/>
              </w:rPr>
              <w:t>a</w:t>
            </w:r>
            <w:proofErr w:type="gramStart"/>
            <w:r w:rsidRPr="00E26EF6">
              <w:rPr>
                <w:rStyle w:val="InstructionsTabelleText"/>
                <w:rFonts w:ascii="Times New Roman" w:hAnsi="Times New Roman"/>
                <w:sz w:val="24"/>
              </w:rPr>
              <w:t>)</w:t>
            </w:r>
            <w:r w:rsidRPr="00E26EF6">
              <w:rPr>
                <w:rStyle w:val="InstructionsTabelleText"/>
                <w:rFonts w:ascii="Times New Roman" w:hAnsi="Times New Roman"/>
                <w:sz w:val="24"/>
              </w:rPr>
              <w:tab/>
              <w:t>instytucja</w:t>
            </w:r>
            <w:proofErr w:type="gramEnd"/>
            <w:r w:rsidRPr="00E26EF6">
              <w:rPr>
                <w:rStyle w:val="InstructionsTabelleText"/>
                <w:rFonts w:ascii="Times New Roman" w:hAnsi="Times New Roman"/>
                <w:sz w:val="24"/>
              </w:rPr>
              <w:t xml:space="preserve"> kredytowa</w:t>
            </w:r>
          </w:p>
          <w:p w14:paraId="6F13943F" w14:textId="5839DB6D" w:rsidR="00915077" w:rsidRPr="00E26EF6" w:rsidRDefault="0071377A">
            <w:pPr>
              <w:tabs>
                <w:tab w:val="left" w:pos="372"/>
              </w:tabs>
              <w:rPr>
                <w:rStyle w:val="InstructionsTabelleText"/>
                <w:rFonts w:ascii="Times New Roman" w:hAnsi="Times New Roman"/>
                <w:sz w:val="24"/>
              </w:rPr>
            </w:pPr>
            <w:r w:rsidRPr="00E26EF6">
              <w:rPr>
                <w:rStyle w:val="InstructionsTabelleText"/>
                <w:rFonts w:ascii="Times New Roman" w:hAnsi="Times New Roman"/>
                <w:sz w:val="24"/>
              </w:rPr>
              <w:tab/>
              <w:t>Art. 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CRR;</w:t>
            </w:r>
          </w:p>
          <w:p w14:paraId="5D2B34B7" w14:textId="77777777"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sz w:val="24"/>
              </w:rPr>
              <w:t>b</w:t>
            </w:r>
            <w:proofErr w:type="gramStart"/>
            <w:r w:rsidRPr="00E26EF6">
              <w:rPr>
                <w:rStyle w:val="InstructionsTabelleText"/>
                <w:rFonts w:ascii="Times New Roman" w:hAnsi="Times New Roman"/>
                <w:sz w:val="24"/>
              </w:rPr>
              <w:t>)</w:t>
            </w:r>
            <w:r w:rsidRPr="00E26EF6">
              <w:rPr>
                <w:rStyle w:val="InstructionsTabelleText"/>
                <w:rFonts w:ascii="Times New Roman" w:hAnsi="Times New Roman"/>
                <w:bCs/>
                <w:sz w:val="24"/>
              </w:rPr>
              <w:tab/>
            </w:r>
            <w:r w:rsidRPr="00E26EF6">
              <w:rPr>
                <w:rStyle w:val="InstructionsTabelleText"/>
                <w:rFonts w:ascii="Times New Roman" w:hAnsi="Times New Roman"/>
                <w:sz w:val="24"/>
              </w:rPr>
              <w:t>firma</w:t>
            </w:r>
            <w:proofErr w:type="gramEnd"/>
            <w:r w:rsidRPr="00E26EF6">
              <w:rPr>
                <w:rStyle w:val="InstructionsTabelleText"/>
                <w:rFonts w:ascii="Times New Roman" w:hAnsi="Times New Roman"/>
                <w:sz w:val="24"/>
              </w:rPr>
              <w:t xml:space="preserve"> inwestycyjna</w:t>
            </w:r>
          </w:p>
          <w:p w14:paraId="5D9225D3" w14:textId="16D4825A"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bCs/>
                <w:sz w:val="24"/>
              </w:rPr>
              <w:lastRenderedPageBreak/>
              <w:tab/>
              <w:t>Art. 4 ust.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1 pkt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2 CRR;</w:t>
            </w:r>
          </w:p>
          <w:p w14:paraId="4AC1E538" w14:textId="77777777"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sz w:val="24"/>
              </w:rPr>
              <w:t>c</w:t>
            </w:r>
            <w:proofErr w:type="gramStart"/>
            <w:r w:rsidRPr="00E26EF6">
              <w:rPr>
                <w:rStyle w:val="InstructionsTabelleText"/>
                <w:rFonts w:ascii="Times New Roman" w:hAnsi="Times New Roman"/>
                <w:sz w:val="24"/>
              </w:rPr>
              <w:t>)</w:t>
            </w:r>
            <w:r w:rsidRPr="00E26EF6">
              <w:rPr>
                <w:rStyle w:val="InstructionsTabelleText"/>
                <w:rFonts w:ascii="Times New Roman" w:hAnsi="Times New Roman"/>
                <w:bCs/>
                <w:sz w:val="24"/>
              </w:rPr>
              <w:tab/>
            </w:r>
            <w:r w:rsidRPr="00E26EF6">
              <w:rPr>
                <w:rStyle w:val="InstructionsTabelleText"/>
                <w:rFonts w:ascii="Times New Roman" w:hAnsi="Times New Roman"/>
                <w:sz w:val="24"/>
              </w:rPr>
              <w:t>instytucja</w:t>
            </w:r>
            <w:proofErr w:type="gramEnd"/>
            <w:r w:rsidRPr="00E26EF6">
              <w:rPr>
                <w:rStyle w:val="InstructionsTabelleText"/>
                <w:rFonts w:ascii="Times New Roman" w:hAnsi="Times New Roman"/>
                <w:sz w:val="24"/>
              </w:rPr>
              <w:t xml:space="preserve"> finansowa (inna)</w:t>
            </w:r>
          </w:p>
          <w:p w14:paraId="0B837FD2" w14:textId="7DE7E237"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bCs/>
                <w:sz w:val="24"/>
              </w:rPr>
              <w:tab/>
              <w:t>Art. 4 ust.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1 pkt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20, 21</w:t>
            </w:r>
            <w:r w:rsidR="00E26EF6" w:rsidRPr="00E26EF6">
              <w:rPr>
                <w:rStyle w:val="InstructionsTabelleText"/>
                <w:rFonts w:ascii="Times New Roman" w:hAnsi="Times New Roman"/>
                <w:bCs/>
                <w:sz w:val="24"/>
              </w:rPr>
              <w:t xml:space="preserve"> i 2</w:t>
            </w:r>
            <w:r w:rsidRPr="00E26EF6">
              <w:rPr>
                <w:rStyle w:val="InstructionsTabelleText"/>
                <w:rFonts w:ascii="Times New Roman" w:hAnsi="Times New Roman"/>
                <w:bCs/>
                <w:sz w:val="24"/>
              </w:rPr>
              <w:t>6 CRR</w:t>
            </w:r>
          </w:p>
          <w:p w14:paraId="4ECB5309" w14:textId="0D2DDDAC" w:rsidR="00915077" w:rsidRPr="00E26EF6" w:rsidRDefault="00965D27">
            <w:pPr>
              <w:tabs>
                <w:tab w:val="left" w:pos="372"/>
              </w:tabs>
              <w:ind w:left="399" w:hanging="399"/>
              <w:rPr>
                <w:rStyle w:val="InstructionsTabelleText"/>
                <w:rFonts w:ascii="Times New Roman" w:hAnsi="Times New Roman"/>
                <w:bCs/>
                <w:sz w:val="24"/>
              </w:rPr>
            </w:pPr>
            <w:r w:rsidRPr="00E26EF6">
              <w:rPr>
                <w:rStyle w:val="InstructionsTabelleText"/>
                <w:rFonts w:ascii="Times New Roman" w:hAnsi="Times New Roman"/>
                <w:bCs/>
                <w:sz w:val="24"/>
              </w:rPr>
              <w:tab/>
              <w:t>Instytucje finansowe</w:t>
            </w:r>
            <w:r w:rsidR="00E26EF6" w:rsidRPr="00E26EF6">
              <w:rPr>
                <w:rStyle w:val="InstructionsTabelleText"/>
                <w:rFonts w:ascii="Times New Roman" w:hAnsi="Times New Roman"/>
                <w:bCs/>
                <w:sz w:val="24"/>
              </w:rPr>
              <w:t xml:space="preserve"> w roz</w:t>
            </w:r>
            <w:r w:rsidRPr="00E26EF6">
              <w:rPr>
                <w:rStyle w:val="InstructionsTabelleText"/>
                <w:rFonts w:ascii="Times New Roman" w:hAnsi="Times New Roman"/>
                <w:bCs/>
                <w:sz w:val="24"/>
              </w:rPr>
              <w:t>umieniu art.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4 ust.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1 pkt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26 CRR, których nie uwzględniono</w:t>
            </w:r>
            <w:r w:rsidR="00E26EF6" w:rsidRPr="00E26EF6">
              <w:rPr>
                <w:rStyle w:val="InstructionsTabelleText"/>
                <w:rFonts w:ascii="Times New Roman" w:hAnsi="Times New Roman"/>
                <w:bCs/>
                <w:sz w:val="24"/>
              </w:rPr>
              <w:t xml:space="preserve"> w żad</w:t>
            </w:r>
            <w:r w:rsidRPr="00E26EF6">
              <w:rPr>
                <w:rStyle w:val="InstructionsTabelleText"/>
                <w:rFonts w:ascii="Times New Roman" w:hAnsi="Times New Roman"/>
                <w:bCs/>
                <w:sz w:val="24"/>
              </w:rPr>
              <w:t>nej</w:t>
            </w:r>
            <w:r w:rsidR="00E26EF6" w:rsidRPr="00E26EF6">
              <w:rPr>
                <w:rStyle w:val="InstructionsTabelleText"/>
                <w:rFonts w:ascii="Times New Roman" w:hAnsi="Times New Roman"/>
                <w:bCs/>
                <w:sz w:val="24"/>
              </w:rPr>
              <w:t xml:space="preserve"> z kat</w:t>
            </w:r>
            <w:r w:rsidRPr="00E26EF6">
              <w:rPr>
                <w:rStyle w:val="InstructionsTabelleText"/>
                <w:rFonts w:ascii="Times New Roman" w:hAnsi="Times New Roman"/>
                <w:bCs/>
                <w:sz w:val="24"/>
              </w:rPr>
              <w:t>egorii wymienionych</w:t>
            </w:r>
            <w:r w:rsidR="00E26EF6" w:rsidRPr="00E26EF6">
              <w:rPr>
                <w:rStyle w:val="InstructionsTabelleText"/>
                <w:rFonts w:ascii="Times New Roman" w:hAnsi="Times New Roman"/>
                <w:bCs/>
                <w:sz w:val="24"/>
              </w:rPr>
              <w:t xml:space="preserve"> w lit</w:t>
            </w:r>
            <w:r w:rsidRPr="00E26EF6">
              <w:rPr>
                <w:rStyle w:val="InstructionsTabelleText"/>
                <w:rFonts w:ascii="Times New Roman" w:hAnsi="Times New Roman"/>
                <w:bCs/>
                <w:sz w:val="24"/>
              </w:rPr>
              <w: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d), f) lub g);</w:t>
            </w:r>
          </w:p>
          <w:p w14:paraId="693D5F80" w14:textId="77777777"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sz w:val="24"/>
              </w:rPr>
              <w:t>d</w:t>
            </w:r>
            <w:proofErr w:type="gramStart"/>
            <w:r w:rsidRPr="00E26EF6">
              <w:rPr>
                <w:rStyle w:val="InstructionsTabelleText"/>
                <w:rFonts w:ascii="Times New Roman" w:hAnsi="Times New Roman"/>
                <w:sz w:val="24"/>
              </w:rPr>
              <w:t>)</w:t>
            </w:r>
            <w:r w:rsidRPr="00E26EF6">
              <w:rPr>
                <w:rStyle w:val="InstructionsTabelleText"/>
                <w:rFonts w:ascii="Times New Roman" w:hAnsi="Times New Roman"/>
                <w:bCs/>
                <w:sz w:val="24"/>
              </w:rPr>
              <w:tab/>
            </w:r>
            <w:r w:rsidRPr="00E26EF6">
              <w:rPr>
                <w:rStyle w:val="InstructionsTabelleText"/>
                <w:rFonts w:ascii="Times New Roman" w:hAnsi="Times New Roman"/>
                <w:sz w:val="24"/>
              </w:rPr>
              <w:t>finansowa</w:t>
            </w:r>
            <w:proofErr w:type="gramEnd"/>
            <w:r w:rsidRPr="00E26EF6">
              <w:rPr>
                <w:rStyle w:val="InstructionsTabelleText"/>
                <w:rFonts w:ascii="Times New Roman" w:hAnsi="Times New Roman"/>
                <w:sz w:val="24"/>
              </w:rPr>
              <w:t xml:space="preserve"> spółka holdingowa (o działalności mieszanej)</w:t>
            </w:r>
          </w:p>
          <w:p w14:paraId="7285AC88" w14:textId="59ED4DFC"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bCs/>
                <w:sz w:val="24"/>
              </w:rPr>
              <w:tab/>
              <w:t>Art. 4 ust.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1 pkt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20</w:t>
            </w:r>
            <w:r w:rsidR="00E26EF6" w:rsidRPr="00E26EF6">
              <w:rPr>
                <w:rStyle w:val="InstructionsTabelleText"/>
                <w:rFonts w:ascii="Times New Roman" w:hAnsi="Times New Roman"/>
                <w:bCs/>
                <w:sz w:val="24"/>
              </w:rPr>
              <w:t xml:space="preserve"> i 2</w:t>
            </w:r>
            <w:r w:rsidRPr="00E26EF6">
              <w:rPr>
                <w:rStyle w:val="InstructionsTabelleText"/>
                <w:rFonts w:ascii="Times New Roman" w:hAnsi="Times New Roman"/>
                <w:bCs/>
                <w:sz w:val="24"/>
              </w:rPr>
              <w:t>1 CRR;</w:t>
            </w:r>
          </w:p>
          <w:p w14:paraId="0D38C0FD" w14:textId="77777777"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bCs/>
                <w:sz w:val="24"/>
              </w:rPr>
              <w:t>e</w:t>
            </w:r>
            <w:proofErr w:type="gramStart"/>
            <w:r w:rsidRPr="00E26EF6">
              <w:rPr>
                <w:rStyle w:val="InstructionsTabelleText"/>
                <w:rFonts w:ascii="Times New Roman" w:hAnsi="Times New Roman"/>
                <w:bCs/>
                <w:sz w:val="24"/>
              </w:rPr>
              <w:t>)</w:t>
            </w:r>
            <w:r w:rsidRPr="00E26EF6">
              <w:rPr>
                <w:rStyle w:val="InstructionsTabelleText"/>
                <w:rFonts w:ascii="Times New Roman" w:hAnsi="Times New Roman"/>
                <w:bCs/>
                <w:sz w:val="24"/>
              </w:rPr>
              <w:tab/>
            </w:r>
            <w:r w:rsidRPr="00E26EF6">
              <w:rPr>
                <w:rStyle w:val="InstructionsTabelleText"/>
                <w:rFonts w:ascii="Times New Roman" w:hAnsi="Times New Roman"/>
                <w:sz w:val="24"/>
              </w:rPr>
              <w:t>przedsiębiorstwo</w:t>
            </w:r>
            <w:proofErr w:type="gramEnd"/>
            <w:r w:rsidRPr="00E26EF6">
              <w:rPr>
                <w:rStyle w:val="InstructionsTabelleText"/>
                <w:rFonts w:ascii="Times New Roman" w:hAnsi="Times New Roman"/>
                <w:sz w:val="24"/>
              </w:rPr>
              <w:t xml:space="preserve"> usług pomocniczych</w:t>
            </w:r>
          </w:p>
          <w:p w14:paraId="55506CD2" w14:textId="416DA9B7"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bCs/>
                <w:sz w:val="24"/>
              </w:rPr>
              <w:tab/>
              <w:t>Art. 4 ust.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1 pkt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18 CRR;</w:t>
            </w:r>
          </w:p>
          <w:p w14:paraId="096B9600" w14:textId="77777777"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sz w:val="24"/>
              </w:rPr>
              <w:t>f</w:t>
            </w:r>
            <w:proofErr w:type="gramStart"/>
            <w:r w:rsidRPr="00E26EF6">
              <w:rPr>
                <w:rStyle w:val="InstructionsTabelleText"/>
                <w:rFonts w:ascii="Times New Roman" w:hAnsi="Times New Roman"/>
                <w:sz w:val="24"/>
              </w:rPr>
              <w:t>)</w:t>
            </w:r>
            <w:r w:rsidRPr="00E26EF6">
              <w:rPr>
                <w:rStyle w:val="InstructionsTabelleText"/>
                <w:rFonts w:ascii="Times New Roman" w:hAnsi="Times New Roman"/>
                <w:bCs/>
                <w:sz w:val="24"/>
              </w:rPr>
              <w:tab/>
              <w:t>jednostka</w:t>
            </w:r>
            <w:proofErr w:type="gramEnd"/>
            <w:r w:rsidRPr="00E26EF6">
              <w:rPr>
                <w:rStyle w:val="InstructionsTabelleText"/>
                <w:rFonts w:ascii="Times New Roman" w:hAnsi="Times New Roman"/>
                <w:bCs/>
                <w:sz w:val="24"/>
              </w:rPr>
              <w:t xml:space="preserve"> specjalnego przeznaczenia do celów sekurytyzacji (SSPE)</w:t>
            </w:r>
          </w:p>
          <w:p w14:paraId="7F662C14" w14:textId="718A863F"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bCs/>
                <w:sz w:val="24"/>
              </w:rPr>
              <w:tab/>
              <w:t>Art. 4 ust.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1 pkt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66 CRR;</w:t>
            </w:r>
          </w:p>
          <w:p w14:paraId="0DB5F04F" w14:textId="77777777" w:rsidR="00915077" w:rsidRPr="00E26EF6" w:rsidRDefault="0071377A">
            <w:pPr>
              <w:tabs>
                <w:tab w:val="left" w:pos="372"/>
              </w:tabs>
              <w:rPr>
                <w:rStyle w:val="InstructionsTabelleText"/>
                <w:rFonts w:ascii="Times New Roman" w:hAnsi="Times New Roman"/>
                <w:bCs/>
                <w:sz w:val="24"/>
              </w:rPr>
            </w:pPr>
            <w:r w:rsidRPr="00E26EF6">
              <w:rPr>
                <w:rStyle w:val="InstructionsTabelleText"/>
                <w:rFonts w:ascii="Times New Roman" w:hAnsi="Times New Roman"/>
                <w:sz w:val="24"/>
              </w:rPr>
              <w:t>g</w:t>
            </w:r>
            <w:proofErr w:type="gramStart"/>
            <w:r w:rsidRPr="00E26EF6">
              <w:rPr>
                <w:rStyle w:val="InstructionsTabelleText"/>
                <w:rFonts w:ascii="Times New Roman" w:hAnsi="Times New Roman"/>
                <w:sz w:val="24"/>
              </w:rPr>
              <w:t>)</w:t>
            </w:r>
            <w:r w:rsidRPr="00E26EF6">
              <w:rPr>
                <w:rStyle w:val="InstructionsTabelleText"/>
                <w:rFonts w:ascii="Times New Roman" w:hAnsi="Times New Roman"/>
                <w:bCs/>
                <w:sz w:val="24"/>
              </w:rPr>
              <w:tab/>
            </w:r>
            <w:r w:rsidRPr="00E26EF6">
              <w:rPr>
                <w:rStyle w:val="InstructionsTabelleText"/>
                <w:rFonts w:ascii="Times New Roman" w:hAnsi="Times New Roman"/>
                <w:sz w:val="24"/>
              </w:rPr>
              <w:t>przedsiębiorstwo</w:t>
            </w:r>
            <w:proofErr w:type="gramEnd"/>
            <w:r w:rsidRPr="00E26EF6">
              <w:rPr>
                <w:rStyle w:val="InstructionsTabelleText"/>
                <w:rFonts w:ascii="Times New Roman" w:hAnsi="Times New Roman"/>
                <w:sz w:val="24"/>
              </w:rPr>
              <w:t xml:space="preserve"> emitujące obligacje zabezpieczone</w:t>
            </w:r>
          </w:p>
          <w:p w14:paraId="17D0AFB0" w14:textId="0AAB3C55" w:rsidR="00915077" w:rsidRPr="00E26EF6" w:rsidRDefault="009B526D">
            <w:pPr>
              <w:tabs>
                <w:tab w:val="left" w:pos="372"/>
              </w:tabs>
              <w:ind w:left="372"/>
              <w:rPr>
                <w:rStyle w:val="InstructionsTabelleText"/>
                <w:rFonts w:ascii="Times New Roman" w:hAnsi="Times New Roman"/>
                <w:bCs/>
                <w:sz w:val="24"/>
              </w:rPr>
            </w:pPr>
            <w:r w:rsidRPr="00E26EF6">
              <w:rPr>
                <w:rStyle w:val="InstructionsTabelleText"/>
                <w:rFonts w:ascii="Times New Roman" w:hAnsi="Times New Roman"/>
                <w:bCs/>
                <w:sz w:val="24"/>
              </w:rPr>
              <w:t>Podmiot utworzony</w:t>
            </w:r>
            <w:r w:rsidR="00E26EF6" w:rsidRPr="00E26EF6">
              <w:rPr>
                <w:rStyle w:val="InstructionsTabelleText"/>
                <w:rFonts w:ascii="Times New Roman" w:hAnsi="Times New Roman"/>
                <w:bCs/>
                <w:sz w:val="24"/>
              </w:rPr>
              <w:t xml:space="preserve"> w cel</w:t>
            </w:r>
            <w:r w:rsidRPr="00E26EF6">
              <w:rPr>
                <w:rStyle w:val="InstructionsTabelleText"/>
                <w:rFonts w:ascii="Times New Roman" w:hAnsi="Times New Roman"/>
                <w:bCs/>
                <w:sz w:val="24"/>
              </w:rPr>
              <w:t>u emisji obligacji zabezpieczonych lub utrzymywania zabezpieczenia ustanowionego</w:t>
            </w:r>
            <w:r w:rsidR="00E26EF6" w:rsidRPr="00E26EF6">
              <w:rPr>
                <w:rStyle w:val="InstructionsTabelleText"/>
                <w:rFonts w:ascii="Times New Roman" w:hAnsi="Times New Roman"/>
                <w:bCs/>
                <w:sz w:val="24"/>
              </w:rPr>
              <w:t xml:space="preserve"> w odn</w:t>
            </w:r>
            <w:r w:rsidRPr="00E26EF6">
              <w:rPr>
                <w:rStyle w:val="InstructionsTabelleText"/>
                <w:rFonts w:ascii="Times New Roman" w:hAnsi="Times New Roman"/>
                <w:bCs/>
                <w:sz w:val="24"/>
              </w:rPr>
              <w:t>iesieniu do obligacji zabezpieczonych, jeżeli nie uwzględniono go</w:t>
            </w:r>
            <w:r w:rsidR="00E26EF6" w:rsidRPr="00E26EF6">
              <w:rPr>
                <w:rStyle w:val="InstructionsTabelleText"/>
                <w:rFonts w:ascii="Times New Roman" w:hAnsi="Times New Roman"/>
                <w:bCs/>
                <w:sz w:val="24"/>
              </w:rPr>
              <w:t xml:space="preserve"> w żad</w:t>
            </w:r>
            <w:r w:rsidRPr="00E26EF6">
              <w:rPr>
                <w:rStyle w:val="InstructionsTabelleText"/>
                <w:rFonts w:ascii="Times New Roman" w:hAnsi="Times New Roman"/>
                <w:bCs/>
                <w:sz w:val="24"/>
              </w:rPr>
              <w:t>nej</w:t>
            </w:r>
            <w:r w:rsidR="00E26EF6" w:rsidRPr="00E26EF6">
              <w:rPr>
                <w:rStyle w:val="InstructionsTabelleText"/>
                <w:rFonts w:ascii="Times New Roman" w:hAnsi="Times New Roman"/>
                <w:bCs/>
                <w:sz w:val="24"/>
              </w:rPr>
              <w:t xml:space="preserve"> z kat</w:t>
            </w:r>
            <w:r w:rsidRPr="00E26EF6">
              <w:rPr>
                <w:rStyle w:val="InstructionsTabelleText"/>
                <w:rFonts w:ascii="Times New Roman" w:hAnsi="Times New Roman"/>
                <w:bCs/>
                <w:sz w:val="24"/>
              </w:rPr>
              <w:t>egorii wymienionych</w:t>
            </w:r>
            <w:r w:rsidR="00E26EF6" w:rsidRPr="00E26EF6">
              <w:rPr>
                <w:rStyle w:val="InstructionsTabelleText"/>
                <w:rFonts w:ascii="Times New Roman" w:hAnsi="Times New Roman"/>
                <w:bCs/>
                <w:sz w:val="24"/>
              </w:rPr>
              <w:t xml:space="preserve"> w lit</w:t>
            </w:r>
            <w:r w:rsidRPr="00E26EF6">
              <w:rPr>
                <w:rStyle w:val="InstructionsTabelleText"/>
                <w:rFonts w:ascii="Times New Roman" w:hAnsi="Times New Roman"/>
                <w:bCs/>
                <w:sz w:val="24"/>
              </w:rPr>
              <w:t>.</w:t>
            </w:r>
            <w:r w:rsidR="00023409" w:rsidRPr="00E26EF6">
              <w:rPr>
                <w:rStyle w:val="InstructionsTabelleText"/>
                <w:rFonts w:ascii="Times New Roman" w:hAnsi="Times New Roman"/>
                <w:bCs/>
                <w:sz w:val="24"/>
              </w:rPr>
              <w:t> </w:t>
            </w:r>
            <w:r w:rsidRPr="00E26EF6">
              <w:rPr>
                <w:rStyle w:val="InstructionsTabelleText"/>
                <w:rFonts w:ascii="Times New Roman" w:hAnsi="Times New Roman"/>
                <w:bCs/>
                <w:sz w:val="24"/>
              </w:rPr>
              <w:t>a), b) lub d</w:t>
            </w:r>
            <w:proofErr w:type="gramStart"/>
            <w:r w:rsidRPr="00E26EF6">
              <w:rPr>
                <w:rStyle w:val="InstructionsTabelleText"/>
                <w:rFonts w:ascii="Times New Roman" w:hAnsi="Times New Roman"/>
                <w:bCs/>
                <w:sz w:val="24"/>
              </w:rPr>
              <w:t>)–f</w:t>
            </w:r>
            <w:proofErr w:type="gramEnd"/>
            <w:r w:rsidRPr="00E26EF6">
              <w:rPr>
                <w:rStyle w:val="InstructionsTabelleText"/>
                <w:rFonts w:ascii="Times New Roman" w:hAnsi="Times New Roman"/>
                <w:bCs/>
                <w:sz w:val="24"/>
              </w:rPr>
              <w:t>) powyżej;</w:t>
            </w:r>
          </w:p>
          <w:p w14:paraId="3BF0B420" w14:textId="77777777" w:rsidR="00915077" w:rsidRPr="00E26EF6" w:rsidRDefault="0089010B">
            <w:pPr>
              <w:tabs>
                <w:tab w:val="left" w:pos="372"/>
              </w:tabs>
              <w:rPr>
                <w:rStyle w:val="InstructionsTabelleText"/>
                <w:rFonts w:ascii="Times New Roman" w:hAnsi="Times New Roman"/>
                <w:sz w:val="24"/>
              </w:rPr>
            </w:pPr>
            <w:r w:rsidRPr="00E26EF6">
              <w:rPr>
                <w:rStyle w:val="InstructionsTabelleText"/>
                <w:rFonts w:ascii="Times New Roman" w:hAnsi="Times New Roman"/>
                <w:bCs/>
                <w:sz w:val="24"/>
              </w:rPr>
              <w:t>h</w:t>
            </w:r>
            <w:proofErr w:type="gramStart"/>
            <w:r w:rsidRPr="00E26EF6">
              <w:rPr>
                <w:rStyle w:val="InstructionsTabelleText"/>
                <w:rFonts w:ascii="Times New Roman" w:hAnsi="Times New Roman"/>
                <w:bCs/>
                <w:sz w:val="24"/>
              </w:rPr>
              <w:t>)</w:t>
            </w:r>
            <w:r w:rsidRPr="00E26EF6">
              <w:rPr>
                <w:rStyle w:val="InstructionsTabelleText"/>
                <w:rFonts w:ascii="Times New Roman" w:hAnsi="Times New Roman"/>
                <w:bCs/>
                <w:sz w:val="24"/>
              </w:rPr>
              <w:tab/>
            </w:r>
            <w:r w:rsidRPr="00E26EF6">
              <w:rPr>
                <w:rStyle w:val="InstructionsTabelleText"/>
                <w:rFonts w:ascii="Times New Roman" w:hAnsi="Times New Roman"/>
                <w:sz w:val="24"/>
              </w:rPr>
              <w:t>inny</w:t>
            </w:r>
            <w:proofErr w:type="gramEnd"/>
            <w:r w:rsidRPr="00E26EF6">
              <w:rPr>
                <w:rStyle w:val="InstructionsTabelleText"/>
                <w:rFonts w:ascii="Times New Roman" w:hAnsi="Times New Roman"/>
                <w:sz w:val="24"/>
              </w:rPr>
              <w:t xml:space="preserve"> rodzaj podmiotu</w:t>
            </w:r>
          </w:p>
          <w:p w14:paraId="1C3B0A84" w14:textId="2BC77044" w:rsidR="00915077" w:rsidRPr="00E26EF6" w:rsidRDefault="00AE7CD3">
            <w:pPr>
              <w:tabs>
                <w:tab w:val="left" w:pos="372"/>
              </w:tabs>
              <w:ind w:left="372"/>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Podmiot inny niż podmioty,</w:t>
            </w:r>
            <w:r w:rsidR="00E26EF6" w:rsidRPr="00E26EF6">
              <w:rPr>
                <w:rStyle w:val="InstructionsTabelleberschrift"/>
                <w:rFonts w:ascii="Times New Roman" w:hAnsi="Times New Roman"/>
                <w:b w:val="0"/>
                <w:sz w:val="24"/>
                <w:u w:val="none"/>
              </w:rPr>
              <w:t xml:space="preserve"> o któ</w:t>
            </w:r>
            <w:r w:rsidRPr="00E26EF6">
              <w:rPr>
                <w:rStyle w:val="InstructionsTabelleberschrift"/>
                <w:rFonts w:ascii="Times New Roman" w:hAnsi="Times New Roman"/>
                <w:b w:val="0"/>
                <w:sz w:val="24"/>
                <w:u w:val="none"/>
              </w:rPr>
              <w:t>rych mowa</w:t>
            </w:r>
            <w:r w:rsidR="00E26EF6" w:rsidRPr="00E26EF6">
              <w:rPr>
                <w:rStyle w:val="InstructionsTabelleberschrift"/>
                <w:rFonts w:ascii="Times New Roman" w:hAnsi="Times New Roman"/>
                <w:b w:val="0"/>
                <w:sz w:val="24"/>
                <w:u w:val="none"/>
              </w:rPr>
              <w:t xml:space="preserve"> w lit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a</w:t>
            </w:r>
            <w:proofErr w:type="gramStart"/>
            <w:r w:rsidRPr="00E26EF6">
              <w:rPr>
                <w:rStyle w:val="InstructionsTabelleberschrift"/>
                <w:rFonts w:ascii="Times New Roman" w:hAnsi="Times New Roman"/>
                <w:b w:val="0"/>
                <w:sz w:val="24"/>
                <w:u w:val="none"/>
              </w:rPr>
              <w:t>)–g</w:t>
            </w:r>
            <w:proofErr w:type="gramEnd"/>
            <w:r w:rsidRPr="00E26EF6">
              <w:rPr>
                <w:rStyle w:val="InstructionsTabelleberschrift"/>
                <w:rFonts w:ascii="Times New Roman" w:hAnsi="Times New Roman"/>
                <w:b w:val="0"/>
                <w:sz w:val="24"/>
                <w:u w:val="none"/>
              </w:rPr>
              <w:t>)</w:t>
            </w:r>
          </w:p>
          <w:p w14:paraId="200F2A18" w14:textId="77777777" w:rsidR="00915077" w:rsidRPr="00E26EF6" w:rsidRDefault="00965D27">
            <w:pPr>
              <w:tabs>
                <w:tab w:val="left" w:pos="372"/>
              </w:tabs>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W przypadku gdy dany podmiot nie podlega CRR ani CRD, lecz podlega przepisom co najmniej równoważnym przepisom regulacji Bazylea, odpowiednią kategorię ustala się na zasadzie dołożenia wszelkich starań.</w:t>
            </w:r>
          </w:p>
        </w:tc>
      </w:tr>
      <w:tr w:rsidR="00915077" w:rsidRPr="00E26EF6" w14:paraId="67463085" w14:textId="77777777" w:rsidTr="00672D2A">
        <w:tc>
          <w:tcPr>
            <w:tcW w:w="1188" w:type="dxa"/>
          </w:tcPr>
          <w:p w14:paraId="11FAC5C4"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040</w:t>
            </w:r>
          </w:p>
        </w:tc>
        <w:tc>
          <w:tcPr>
            <w:tcW w:w="8640" w:type="dxa"/>
          </w:tcPr>
          <w:p w14:paraId="5C81B104" w14:textId="45F63B92" w:rsidR="00915077" w:rsidRPr="00E26EF6" w:rsidRDefault="00464F34">
            <w:pPr>
              <w:rPr>
                <w:rFonts w:ascii="Times New Roman" w:hAnsi="Times New Roman"/>
                <w:b/>
                <w:sz w:val="24"/>
                <w:u w:val="single"/>
              </w:rPr>
            </w:pPr>
            <w:r w:rsidRPr="00E26EF6">
              <w:rPr>
                <w:rFonts w:ascii="Times New Roman" w:hAnsi="Times New Roman"/>
                <w:b/>
                <w:sz w:val="24"/>
                <w:u w:val="single"/>
              </w:rPr>
              <w:t xml:space="preserve">ZAKRES DANYCH: </w:t>
            </w:r>
            <w:r w:rsidRPr="00E26EF6">
              <w:rPr>
                <w:rFonts w:ascii="Times New Roman" w:hAnsi="Times New Roman"/>
                <w:b/>
                <w:caps/>
                <w:sz w:val="24"/>
                <w:u w:val="single"/>
              </w:rPr>
              <w:t>na poziomie jednostkowym</w:t>
            </w:r>
            <w:r w:rsidR="00E26EF6" w:rsidRPr="00E26EF6">
              <w:rPr>
                <w:rFonts w:ascii="Times New Roman" w:hAnsi="Times New Roman"/>
                <w:b/>
                <w:caps/>
                <w:sz w:val="24"/>
                <w:u w:val="single"/>
              </w:rPr>
              <w:t xml:space="preserve"> w peł</w:t>
            </w:r>
            <w:r w:rsidRPr="00E26EF6">
              <w:rPr>
                <w:rFonts w:ascii="Times New Roman" w:hAnsi="Times New Roman"/>
                <w:b/>
                <w:caps/>
                <w:sz w:val="24"/>
                <w:u w:val="single"/>
              </w:rPr>
              <w:t>ni skonsolidowane („SF”) LUB na poziomie jednostkowym częściowo skonsolidowane („SP”)</w:t>
            </w:r>
          </w:p>
          <w:p w14:paraId="7670D05C" w14:textId="1E4B03CF" w:rsidR="00915077" w:rsidRPr="00E26EF6" w:rsidRDefault="00464F34">
            <w:pPr>
              <w:rPr>
                <w:rStyle w:val="Heading1Char"/>
                <w:rFonts w:ascii="Times New Roman" w:hAnsi="Times New Roman"/>
                <w:sz w:val="24"/>
                <w:szCs w:val="24"/>
              </w:rPr>
            </w:pPr>
            <w:r w:rsidRPr="00E26EF6">
              <w:rPr>
                <w:rStyle w:val="InstructionsTabelleText"/>
                <w:rFonts w:ascii="Times New Roman" w:hAnsi="Times New Roman"/>
                <w:sz w:val="24"/>
              </w:rPr>
              <w:t xml:space="preserve">„SF” </w:t>
            </w:r>
            <w:r w:rsidRPr="00E26EF6">
              <w:rPr>
                <w:rFonts w:ascii="Times New Roman" w:hAnsi="Times New Roman"/>
                <w:sz w:val="24"/>
              </w:rPr>
              <w:t>(dane na poziomie jednostkowym</w:t>
            </w:r>
            <w:r w:rsidR="00E26EF6" w:rsidRPr="00E26EF6">
              <w:rPr>
                <w:rFonts w:ascii="Times New Roman" w:hAnsi="Times New Roman"/>
                <w:sz w:val="24"/>
              </w:rPr>
              <w:t xml:space="preserve"> w peł</w:t>
            </w:r>
            <w:r w:rsidRPr="00E26EF6">
              <w:rPr>
                <w:rFonts w:ascii="Times New Roman" w:hAnsi="Times New Roman"/>
                <w:sz w:val="24"/>
              </w:rPr>
              <w:t>ni skonsolidowane) zgłasza się dla poszczególnych jednostek zależnych</w:t>
            </w:r>
            <w:r w:rsidR="00E26EF6" w:rsidRPr="00E26EF6">
              <w:rPr>
                <w:rFonts w:ascii="Times New Roman" w:hAnsi="Times New Roman"/>
                <w:sz w:val="24"/>
              </w:rPr>
              <w:t xml:space="preserve"> w peł</w:t>
            </w:r>
            <w:r w:rsidRPr="00E26EF6">
              <w:rPr>
                <w:rFonts w:ascii="Times New Roman" w:hAnsi="Times New Roman"/>
                <w:sz w:val="24"/>
              </w:rPr>
              <w:t>ni skonsolidowanych.</w:t>
            </w:r>
            <w:r w:rsidRPr="00E26EF6">
              <w:rPr>
                <w:rStyle w:val="Heading1Char"/>
                <w:rFonts w:ascii="Times New Roman" w:hAnsi="Times New Roman"/>
                <w:sz w:val="24"/>
                <w:szCs w:val="24"/>
              </w:rPr>
              <w:t xml:space="preserve"> </w:t>
            </w:r>
          </w:p>
          <w:p w14:paraId="60F66323" w14:textId="77777777" w:rsidR="00915077" w:rsidRPr="00E26EF6" w:rsidRDefault="009E5DCC">
            <w:pPr>
              <w:rPr>
                <w:rStyle w:val="InstructionsTabelleText"/>
                <w:rFonts w:ascii="Times New Roman" w:hAnsi="Times New Roman"/>
                <w:smallCaps/>
                <w:sz w:val="24"/>
                <w:highlight w:val="lightGray"/>
              </w:rPr>
            </w:pPr>
            <w:r w:rsidRPr="00E26EF6">
              <w:rPr>
                <w:rStyle w:val="InstructionsTabelleText"/>
                <w:rFonts w:ascii="Times New Roman" w:hAnsi="Times New Roman"/>
                <w:sz w:val="24"/>
              </w:rPr>
              <w:t xml:space="preserve">„SP” </w:t>
            </w:r>
            <w:r w:rsidRPr="00E26EF6">
              <w:rPr>
                <w:rFonts w:ascii="Times New Roman" w:hAnsi="Times New Roman"/>
                <w:sz w:val="24"/>
              </w:rPr>
              <w:t>(dane na poziomie jednostkowym częściowo skonsolidowane) zgłasza się dla poszczególnych jednostek zależnych częściowo skonsolidowanych.</w:t>
            </w:r>
            <w:r w:rsidRPr="00E26EF6">
              <w:rPr>
                <w:rStyle w:val="InstructionsTabelleText"/>
                <w:rFonts w:ascii="Times New Roman" w:hAnsi="Times New Roman"/>
                <w:i/>
                <w:sz w:val="24"/>
              </w:rPr>
              <w:t xml:space="preserve"> </w:t>
            </w:r>
          </w:p>
        </w:tc>
      </w:tr>
      <w:tr w:rsidR="00915077" w:rsidRPr="00E26EF6" w14:paraId="0DFB4DFD" w14:textId="77777777" w:rsidTr="00672D2A">
        <w:tc>
          <w:tcPr>
            <w:tcW w:w="1188" w:type="dxa"/>
          </w:tcPr>
          <w:p w14:paraId="0AC0535C"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050</w:t>
            </w:r>
          </w:p>
        </w:tc>
        <w:tc>
          <w:tcPr>
            <w:tcW w:w="8640" w:type="dxa"/>
          </w:tcPr>
          <w:p w14:paraId="0F4A9943" w14:textId="77777777" w:rsidR="00915077" w:rsidRPr="00E26EF6" w:rsidRDefault="00464F34">
            <w:pPr>
              <w:rPr>
                <w:rFonts w:ascii="Times New Roman" w:hAnsi="Times New Roman"/>
                <w:b/>
                <w:sz w:val="24"/>
                <w:u w:val="single"/>
              </w:rPr>
            </w:pPr>
            <w:r w:rsidRPr="00E26EF6">
              <w:rPr>
                <w:rFonts w:ascii="Times New Roman" w:hAnsi="Times New Roman"/>
                <w:b/>
                <w:sz w:val="24"/>
                <w:u w:val="single"/>
              </w:rPr>
              <w:t xml:space="preserve">KOD PAŃSTWA </w:t>
            </w:r>
          </w:p>
          <w:p w14:paraId="3BE65297" w14:textId="5043AF18"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Instytucje zgłaszają dwuliterowy kod państwa,</w:t>
            </w:r>
            <w:r w:rsidR="00E26EF6" w:rsidRPr="00E26EF6">
              <w:rPr>
                <w:rStyle w:val="InstructionsTabelleText"/>
                <w:rFonts w:ascii="Times New Roman" w:hAnsi="Times New Roman"/>
                <w:sz w:val="24"/>
              </w:rPr>
              <w:t xml:space="preserve"> o któ</w:t>
            </w:r>
            <w:r w:rsidRPr="00E26EF6">
              <w:rPr>
                <w:rStyle w:val="InstructionsTabelleText"/>
                <w:rFonts w:ascii="Times New Roman" w:hAnsi="Times New Roman"/>
                <w:sz w:val="24"/>
              </w:rPr>
              <w:t>rym mowa</w:t>
            </w:r>
            <w:r w:rsidR="00E26EF6" w:rsidRPr="00E26EF6">
              <w:rPr>
                <w:rStyle w:val="InstructionsTabelleText"/>
                <w:rFonts w:ascii="Times New Roman" w:hAnsi="Times New Roman"/>
                <w:sz w:val="24"/>
              </w:rPr>
              <w:t xml:space="preserve"> w nor</w:t>
            </w:r>
            <w:r w:rsidRPr="00E26EF6">
              <w:rPr>
                <w:rStyle w:val="InstructionsTabelleText"/>
                <w:rFonts w:ascii="Times New Roman" w:hAnsi="Times New Roman"/>
                <w:sz w:val="24"/>
              </w:rPr>
              <w:t xml:space="preserve">mie ISO 3166-2. </w:t>
            </w:r>
          </w:p>
        </w:tc>
      </w:tr>
      <w:tr w:rsidR="00915077" w:rsidRPr="00E26EF6" w14:paraId="784633B7" w14:textId="77777777" w:rsidTr="00672D2A">
        <w:tc>
          <w:tcPr>
            <w:tcW w:w="1188" w:type="dxa"/>
          </w:tcPr>
          <w:p w14:paraId="7CEBA24C"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060</w:t>
            </w:r>
          </w:p>
        </w:tc>
        <w:tc>
          <w:tcPr>
            <w:tcW w:w="8640" w:type="dxa"/>
          </w:tcPr>
          <w:p w14:paraId="76BE3112"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UDZIAŁ WŁASNY (%)</w:t>
            </w:r>
          </w:p>
          <w:p w14:paraId="796D7C4B" w14:textId="1C2A540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Odsetek ten odnosi się do faktycznego udziału, jaki jednostka dominująca posiada</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jednostek zależnych</w:t>
            </w:r>
            <w:r w:rsidR="00E26EF6" w:rsidRPr="00E26EF6">
              <w:rPr>
                <w:rStyle w:val="InstructionsTabelleText"/>
                <w:rFonts w:ascii="Times New Roman" w:hAnsi="Times New Roman"/>
                <w:sz w:val="24"/>
              </w:rPr>
              <w:t>. W prz</w:t>
            </w:r>
            <w:r w:rsidRPr="00E26EF6">
              <w:rPr>
                <w:rStyle w:val="InstructionsTabelleText"/>
                <w:rFonts w:ascii="Times New Roman" w:hAnsi="Times New Roman"/>
                <w:sz w:val="24"/>
              </w:rPr>
              <w:t>ypadku pełnej konsolidacji jednostki bezpośrednio zależnej faktyczny udział wynosi np.</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70</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16 CRR, podlegający zgłoszeniu udział własny</w:t>
            </w:r>
            <w:r w:rsidR="00E26EF6" w:rsidRPr="00E26EF6">
              <w:rPr>
                <w:rStyle w:val="InstructionsTabelleText"/>
                <w:rFonts w:ascii="Times New Roman" w:hAnsi="Times New Roman"/>
                <w:sz w:val="24"/>
              </w:rPr>
              <w:t xml:space="preserve"> w jed</w:t>
            </w:r>
            <w:r w:rsidRPr="00E26EF6">
              <w:rPr>
                <w:rStyle w:val="InstructionsTabelleText"/>
                <w:rFonts w:ascii="Times New Roman" w:hAnsi="Times New Roman"/>
                <w:sz w:val="24"/>
              </w:rPr>
              <w:t>nostce zależnej wynika</w:t>
            </w:r>
            <w:r w:rsidR="00E26EF6" w:rsidRPr="00E26EF6">
              <w:rPr>
                <w:rStyle w:val="InstructionsTabelleText"/>
                <w:rFonts w:ascii="Times New Roman" w:hAnsi="Times New Roman"/>
                <w:sz w:val="24"/>
              </w:rPr>
              <w:t xml:space="preserve"> z mno</w:t>
            </w:r>
            <w:r w:rsidRPr="00E26EF6">
              <w:rPr>
                <w:rStyle w:val="InstructionsTabelleText"/>
                <w:rFonts w:ascii="Times New Roman" w:hAnsi="Times New Roman"/>
                <w:sz w:val="24"/>
              </w:rPr>
              <w:t>żenia udziałów pomiędzy danymi jednostkami zależnymi.</w:t>
            </w:r>
          </w:p>
        </w:tc>
      </w:tr>
      <w:tr w:rsidR="00915077" w:rsidRPr="00E26EF6" w14:paraId="2FF2D492" w14:textId="77777777" w:rsidTr="00672D2A">
        <w:tc>
          <w:tcPr>
            <w:tcW w:w="1188" w:type="dxa"/>
          </w:tcPr>
          <w:p w14:paraId="383AF808"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070–240</w:t>
            </w:r>
          </w:p>
        </w:tc>
        <w:tc>
          <w:tcPr>
            <w:tcW w:w="8640" w:type="dxa"/>
          </w:tcPr>
          <w:p w14:paraId="494A0AD2"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INFORMACJE NA TEMAT PODMIOTÓW PODLEGAJĄCYCH WYMOGOM W ZAKRESIE FUNDUSZY WŁASNYCH</w:t>
            </w:r>
          </w:p>
          <w:p w14:paraId="388DF1CE" w14:textId="122B6826"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W sekcji szczegółowych informacji (tj.</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umnach 070–240) gromadzone są informacje wyłącznie</w:t>
            </w:r>
            <w:r w:rsidR="00E26EF6" w:rsidRPr="00E26EF6">
              <w:rPr>
                <w:rStyle w:val="InstructionsTabelleText"/>
                <w:rFonts w:ascii="Times New Roman" w:hAnsi="Times New Roman"/>
                <w:sz w:val="24"/>
              </w:rPr>
              <w:t xml:space="preserve"> o tyc</w:t>
            </w:r>
            <w:r w:rsidRPr="00E26EF6">
              <w:rPr>
                <w:rStyle w:val="InstructionsTabelleText"/>
                <w:rFonts w:ascii="Times New Roman" w:hAnsi="Times New Roman"/>
                <w:sz w:val="24"/>
              </w:rPr>
              <w:t>h podmiotach lub podgrupach, które będąc objęte zakresem konsolidacji (</w:t>
            </w:r>
            <w:r w:rsidRPr="00E26EF6">
              <w:rPr>
                <w:rFonts w:ascii="Times New Roman" w:hAnsi="Times New Roman"/>
                <w:sz w:val="24"/>
              </w:rPr>
              <w:t>część pierwsza tytuł II rozdział 2 CRR</w:t>
            </w:r>
            <w:r w:rsidRPr="00E26EF6">
              <w:rPr>
                <w:rStyle w:val="InstructionsTabelleText"/>
                <w:rFonts w:ascii="Times New Roman" w:hAnsi="Times New Roman"/>
                <w:sz w:val="24"/>
              </w:rPr>
              <w:t>), efektywnie podlegają wymogom dotyczącym wypłacalności określonym w CRR lub</w:t>
            </w:r>
            <w:r w:rsidR="00E26EF6" w:rsidRPr="00E26EF6">
              <w:rPr>
                <w:rStyle w:val="InstructionsTabelleText"/>
                <w:rFonts w:ascii="Times New Roman" w:hAnsi="Times New Roman"/>
                <w:sz w:val="24"/>
              </w:rPr>
              <w:t xml:space="preserve"> w prz</w:t>
            </w:r>
            <w:r w:rsidRPr="00E26EF6">
              <w:rPr>
                <w:rStyle w:val="InstructionsTabelleText"/>
                <w:rFonts w:ascii="Times New Roman" w:hAnsi="Times New Roman"/>
                <w:sz w:val="24"/>
              </w:rPr>
              <w:t>episach co najmniej równoważnymi</w:t>
            </w:r>
            <w:r w:rsidR="00E26EF6" w:rsidRPr="00E26EF6">
              <w:rPr>
                <w:rStyle w:val="InstructionsTabelleText"/>
                <w:rFonts w:ascii="Times New Roman" w:hAnsi="Times New Roman"/>
                <w:sz w:val="24"/>
              </w:rPr>
              <w:t xml:space="preserve"> z pos</w:t>
            </w:r>
            <w:r w:rsidRPr="00E26EF6">
              <w:rPr>
                <w:rStyle w:val="InstructionsTabelleText"/>
                <w:rFonts w:ascii="Times New Roman" w:hAnsi="Times New Roman"/>
                <w:sz w:val="24"/>
              </w:rPr>
              <w:t>tanowieniami regulacji Bazylea (tj. podmioty lub podgrupy,</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których</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 xml:space="preserve">umnie 030 zgłoszono „tak”). </w:t>
            </w:r>
          </w:p>
          <w:p w14:paraId="38824BAC" w14:textId="3BC230DE" w:rsidR="00915077" w:rsidRPr="00E26EF6" w:rsidRDefault="00464F34">
            <w:pPr>
              <w:rPr>
                <w:rFonts w:ascii="Times New Roman" w:hAnsi="Times New Roman"/>
                <w:sz w:val="24"/>
              </w:rPr>
            </w:pPr>
            <w:r w:rsidRPr="00E26EF6">
              <w:rPr>
                <w:rFonts w:ascii="Times New Roman" w:hAnsi="Times New Roman"/>
                <w:sz w:val="24"/>
              </w:rPr>
              <w:t>Uwzględnia się informacje</w:t>
            </w:r>
            <w:r w:rsidR="00E26EF6" w:rsidRPr="00E26EF6">
              <w:rPr>
                <w:rFonts w:ascii="Times New Roman" w:hAnsi="Times New Roman"/>
                <w:sz w:val="24"/>
              </w:rPr>
              <w:t xml:space="preserve"> o wsz</w:t>
            </w:r>
            <w:r w:rsidRPr="00E26EF6">
              <w:rPr>
                <w:rFonts w:ascii="Times New Roman" w:hAnsi="Times New Roman"/>
                <w:sz w:val="24"/>
              </w:rPr>
              <w:t>ystkich poszczególnych instytucjach grupy skonsolidowanej, które podlegają wymogom</w:t>
            </w:r>
            <w:r w:rsidR="00E26EF6" w:rsidRPr="00E26EF6">
              <w:rPr>
                <w:rFonts w:ascii="Times New Roman" w:hAnsi="Times New Roman"/>
                <w:sz w:val="24"/>
              </w:rPr>
              <w:t xml:space="preserve"> w zak</w:t>
            </w:r>
            <w:r w:rsidRPr="00E26EF6">
              <w:rPr>
                <w:rFonts w:ascii="Times New Roman" w:hAnsi="Times New Roman"/>
                <w:sz w:val="24"/>
              </w:rPr>
              <w:t xml:space="preserve">resie funduszy własnych, niezależnie od lokalizacji tych instytucji. </w:t>
            </w:r>
          </w:p>
          <w:p w14:paraId="799DC52C" w14:textId="44550217" w:rsidR="00915077" w:rsidRPr="00E26EF6" w:rsidRDefault="00464F34">
            <w:pPr>
              <w:rPr>
                <w:rFonts w:ascii="Times New Roman" w:hAnsi="Times New Roman"/>
                <w:sz w:val="24"/>
              </w:rPr>
            </w:pPr>
            <w:r w:rsidRPr="00E26EF6">
              <w:rPr>
                <w:rFonts w:ascii="Times New Roman" w:hAnsi="Times New Roman"/>
                <w:sz w:val="24"/>
              </w:rPr>
              <w:t>Informacje przekazywane</w:t>
            </w:r>
            <w:r w:rsidR="00E26EF6" w:rsidRPr="00E26EF6">
              <w:rPr>
                <w:rFonts w:ascii="Times New Roman" w:hAnsi="Times New Roman"/>
                <w:sz w:val="24"/>
              </w:rPr>
              <w:t xml:space="preserve"> w tej</w:t>
            </w:r>
            <w:r w:rsidRPr="00E26EF6">
              <w:rPr>
                <w:rFonts w:ascii="Times New Roman" w:hAnsi="Times New Roman"/>
                <w:sz w:val="24"/>
              </w:rPr>
              <w:t xml:space="preserve"> części odzwierciedlają </w:t>
            </w:r>
            <w:r w:rsidRPr="00E26EF6">
              <w:rPr>
                <w:rFonts w:ascii="Times New Roman" w:hAnsi="Times New Roman"/>
                <w:bCs/>
                <w:sz w:val="24"/>
              </w:rPr>
              <w:t>lokalne przepisy dotyczące wypłacalności</w:t>
            </w:r>
            <w:r w:rsidR="00E26EF6" w:rsidRPr="00E26EF6">
              <w:rPr>
                <w:rFonts w:ascii="Times New Roman" w:hAnsi="Times New Roman"/>
                <w:b/>
                <w:bCs/>
                <w:sz w:val="24"/>
              </w:rPr>
              <w:t xml:space="preserve"> </w:t>
            </w:r>
            <w:r w:rsidR="00E26EF6" w:rsidRPr="00E26EF6">
              <w:rPr>
                <w:rFonts w:ascii="Times New Roman" w:hAnsi="Times New Roman"/>
                <w:bCs/>
                <w:sz w:val="24"/>
              </w:rPr>
              <w:t>w</w:t>
            </w:r>
            <w:r w:rsidR="00E26EF6" w:rsidRPr="00E26EF6">
              <w:rPr>
                <w:rFonts w:ascii="Times New Roman" w:hAnsi="Times New Roman"/>
                <w:b/>
                <w:bCs/>
                <w:sz w:val="24"/>
              </w:rPr>
              <w:t> </w:t>
            </w:r>
            <w:r w:rsidR="00E26EF6" w:rsidRPr="00E26EF6">
              <w:rPr>
                <w:rFonts w:ascii="Times New Roman" w:hAnsi="Times New Roman"/>
                <w:bCs/>
                <w:sz w:val="24"/>
              </w:rPr>
              <w:t>jur</w:t>
            </w:r>
            <w:r w:rsidRPr="00E26EF6">
              <w:rPr>
                <w:rFonts w:ascii="Times New Roman" w:hAnsi="Times New Roman"/>
                <w:bCs/>
                <w:sz w:val="24"/>
              </w:rPr>
              <w:t>ysdykcji,</w:t>
            </w:r>
            <w:r w:rsidR="00E26EF6" w:rsidRPr="00E26EF6">
              <w:rPr>
                <w:rFonts w:ascii="Times New Roman" w:hAnsi="Times New Roman"/>
                <w:b/>
                <w:bCs/>
                <w:sz w:val="24"/>
              </w:rPr>
              <w:t xml:space="preserve"> </w:t>
            </w:r>
            <w:r w:rsidR="00E26EF6" w:rsidRPr="00E26EF6">
              <w:rPr>
                <w:rFonts w:ascii="Times New Roman" w:hAnsi="Times New Roman"/>
                <w:bCs/>
                <w:sz w:val="24"/>
              </w:rPr>
              <w:t>w</w:t>
            </w:r>
            <w:r w:rsidR="00E26EF6" w:rsidRPr="00E26EF6">
              <w:rPr>
                <w:rFonts w:ascii="Times New Roman" w:hAnsi="Times New Roman"/>
                <w:b/>
                <w:bCs/>
                <w:sz w:val="24"/>
              </w:rPr>
              <w:t> </w:t>
            </w:r>
            <w:r w:rsidR="00E26EF6" w:rsidRPr="00E26EF6">
              <w:rPr>
                <w:rFonts w:ascii="Times New Roman" w:hAnsi="Times New Roman"/>
                <w:bCs/>
                <w:sz w:val="24"/>
              </w:rPr>
              <w:t>któ</w:t>
            </w:r>
            <w:r w:rsidRPr="00E26EF6">
              <w:rPr>
                <w:rFonts w:ascii="Times New Roman" w:hAnsi="Times New Roman"/>
                <w:bCs/>
                <w:sz w:val="24"/>
              </w:rPr>
              <w:t xml:space="preserve">rej </w:t>
            </w:r>
            <w:r w:rsidRPr="00E26EF6">
              <w:rPr>
                <w:rFonts w:ascii="Times New Roman" w:hAnsi="Times New Roman"/>
                <w:sz w:val="24"/>
              </w:rPr>
              <w:t>instytucja prowadzi działalność (dlatego</w:t>
            </w:r>
            <w:r w:rsidR="00E26EF6" w:rsidRPr="00E26EF6">
              <w:rPr>
                <w:rFonts w:ascii="Times New Roman" w:hAnsi="Times New Roman"/>
                <w:sz w:val="24"/>
              </w:rPr>
              <w:t xml:space="preserve"> w prz</w:t>
            </w:r>
            <w:r w:rsidRPr="00E26EF6">
              <w:rPr>
                <w:rFonts w:ascii="Times New Roman" w:hAnsi="Times New Roman"/>
                <w:sz w:val="24"/>
              </w:rPr>
              <w:t>ypadku tego wzoru nie jest konieczne przeprowadzanie podwójnych obliczeń na zasadzie indywidualnej zgodnie</w:t>
            </w:r>
            <w:r w:rsidR="00E26EF6" w:rsidRPr="00E26EF6">
              <w:rPr>
                <w:rFonts w:ascii="Times New Roman" w:hAnsi="Times New Roman"/>
                <w:sz w:val="24"/>
              </w:rPr>
              <w:t xml:space="preserve"> z zas</w:t>
            </w:r>
            <w:r w:rsidRPr="00E26EF6">
              <w:rPr>
                <w:rFonts w:ascii="Times New Roman" w:hAnsi="Times New Roman"/>
                <w:sz w:val="24"/>
              </w:rPr>
              <w:t xml:space="preserve">adami instytucji dominującej). </w:t>
            </w:r>
            <w:r w:rsidRPr="00E26EF6">
              <w:rPr>
                <w:rFonts w:ascii="Times New Roman" w:hAnsi="Times New Roman"/>
                <w:sz w:val="24"/>
              </w:rPr>
              <w:lastRenderedPageBreak/>
              <w:t>Jeżeli lokalne przepisy dotyczące wypłacalności różnią się od CRR</w:t>
            </w:r>
            <w:r w:rsidR="00E26EF6" w:rsidRPr="00E26EF6">
              <w:rPr>
                <w:rFonts w:ascii="Times New Roman" w:hAnsi="Times New Roman"/>
                <w:sz w:val="24"/>
              </w:rPr>
              <w:t xml:space="preserve"> i nie</w:t>
            </w:r>
            <w:r w:rsidRPr="00E26EF6">
              <w:rPr>
                <w:rFonts w:ascii="Times New Roman" w:hAnsi="Times New Roman"/>
                <w:sz w:val="24"/>
              </w:rPr>
              <w:t xml:space="preserve"> jest podany porównywalny podział, informacje te podaje się,</w:t>
            </w:r>
            <w:r w:rsidR="00E26EF6" w:rsidRPr="00E26EF6">
              <w:rPr>
                <w:rFonts w:ascii="Times New Roman" w:hAnsi="Times New Roman"/>
                <w:sz w:val="24"/>
              </w:rPr>
              <w:t xml:space="preserve"> o ile</w:t>
            </w:r>
            <w:r w:rsidRPr="00E26EF6">
              <w:rPr>
                <w:rFonts w:ascii="Times New Roman" w:hAnsi="Times New Roman"/>
                <w:sz w:val="24"/>
              </w:rPr>
              <w:t xml:space="preserve"> dostępne są dane</w:t>
            </w:r>
            <w:r w:rsidR="00E26EF6" w:rsidRPr="00E26EF6">
              <w:rPr>
                <w:rFonts w:ascii="Times New Roman" w:hAnsi="Times New Roman"/>
                <w:sz w:val="24"/>
              </w:rPr>
              <w:t xml:space="preserve"> o odp</w:t>
            </w:r>
            <w:r w:rsidRPr="00E26EF6">
              <w:rPr>
                <w:rFonts w:ascii="Times New Roman" w:hAnsi="Times New Roman"/>
                <w:sz w:val="24"/>
              </w:rPr>
              <w:t>owiednim poziomie szczegółowości. Dlatego ta część jest faktycznym wzorem,</w:t>
            </w:r>
            <w:r w:rsidR="00E26EF6" w:rsidRPr="00E26EF6">
              <w:rPr>
                <w:rFonts w:ascii="Times New Roman" w:hAnsi="Times New Roman"/>
                <w:sz w:val="24"/>
              </w:rPr>
              <w:t xml:space="preserve"> w któ</w:t>
            </w:r>
            <w:r w:rsidRPr="00E26EF6">
              <w:rPr>
                <w:rFonts w:ascii="Times New Roman" w:hAnsi="Times New Roman"/>
                <w:sz w:val="24"/>
              </w:rPr>
              <w:t>rym podsumowuje się obliczenia przeprowadzane przez poszczególne instytucje należące do grupy, mając na uwadze, że niektóre</w:t>
            </w:r>
            <w:r w:rsidR="00E26EF6" w:rsidRPr="00E26EF6">
              <w:rPr>
                <w:rFonts w:ascii="Times New Roman" w:hAnsi="Times New Roman"/>
                <w:sz w:val="24"/>
              </w:rPr>
              <w:t xml:space="preserve"> z tyc</w:t>
            </w:r>
            <w:r w:rsidRPr="00E26EF6">
              <w:rPr>
                <w:rFonts w:ascii="Times New Roman" w:hAnsi="Times New Roman"/>
                <w:sz w:val="24"/>
              </w:rPr>
              <w:t>h instytucji mogą podlegać różnych przepisom dotyczącym wypłacalności.</w:t>
            </w:r>
          </w:p>
          <w:p w14:paraId="34A211F6" w14:textId="77777777" w:rsidR="00915077" w:rsidRPr="00E26EF6" w:rsidRDefault="00464F34">
            <w:pPr>
              <w:rPr>
                <w:rStyle w:val="InstructionsTabelleText"/>
                <w:rFonts w:ascii="Times New Roman" w:hAnsi="Times New Roman"/>
                <w:b/>
                <w:sz w:val="24"/>
                <w:u w:val="single"/>
              </w:rPr>
            </w:pPr>
            <w:r w:rsidRPr="00E26EF6">
              <w:rPr>
                <w:rStyle w:val="InstructionsTabelleText"/>
                <w:rFonts w:ascii="Times New Roman" w:hAnsi="Times New Roman"/>
                <w:b/>
                <w:sz w:val="24"/>
                <w:u w:val="single"/>
              </w:rPr>
              <w:t>Zgłaszanie stałych kosztów pośrednich ponoszonych przez firmy inwestycyjne:</w:t>
            </w:r>
          </w:p>
          <w:p w14:paraId="4897D046" w14:textId="1404299E" w:rsidR="00915077" w:rsidRPr="00E26EF6" w:rsidRDefault="00464F34">
            <w:pPr>
              <w:autoSpaceDE w:val="0"/>
              <w:autoSpaceDN w:val="0"/>
              <w:adjustRightInd w:val="0"/>
              <w:spacing w:after="0"/>
              <w:rPr>
                <w:rStyle w:val="InstructionsTabelleText"/>
                <w:rFonts w:ascii="Times New Roman" w:hAnsi="Times New Roman"/>
                <w:sz w:val="24"/>
              </w:rPr>
            </w:pPr>
            <w:r w:rsidRPr="00E26EF6">
              <w:rPr>
                <w:rStyle w:val="InstructionsTabelleText"/>
                <w:rFonts w:ascii="Times New Roman" w:hAnsi="Times New Roman"/>
                <w:sz w:val="24"/>
              </w:rPr>
              <w:t>W swoich obliczeniach współczynnika kapitałowego firmy inwestycyjne uwzględniają wymogi</w:t>
            </w:r>
            <w:r w:rsidR="00E26EF6" w:rsidRPr="00E26EF6">
              <w:rPr>
                <w:rStyle w:val="InstructionsTabelleText"/>
                <w:rFonts w:ascii="Times New Roman" w:hAnsi="Times New Roman"/>
                <w:sz w:val="24"/>
              </w:rPr>
              <w:t xml:space="preserve"> w zak</w:t>
            </w:r>
            <w:r w:rsidRPr="00E26EF6">
              <w:rPr>
                <w:rStyle w:val="InstructionsTabelleText"/>
                <w:rFonts w:ascii="Times New Roman" w:hAnsi="Times New Roman"/>
                <w:sz w:val="24"/>
              </w:rPr>
              <w:t>resie funduszy własnych odnoszące się do stałych kosztów pośrednich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95, 96, 97</w:t>
            </w:r>
            <w:r w:rsidR="00E26EF6" w:rsidRPr="00E26EF6">
              <w:rPr>
                <w:rStyle w:val="InstructionsTabelleText"/>
                <w:rFonts w:ascii="Times New Roman" w:hAnsi="Times New Roman"/>
                <w:sz w:val="24"/>
              </w:rPr>
              <w:t xml:space="preserve"> i 9</w:t>
            </w:r>
            <w:r w:rsidRPr="00E26EF6">
              <w:rPr>
                <w:rStyle w:val="InstructionsTabelleText"/>
                <w:rFonts w:ascii="Times New Roman" w:hAnsi="Times New Roman"/>
                <w:sz w:val="24"/>
              </w:rPr>
              <w:t>8 CRR.</w:t>
            </w:r>
          </w:p>
          <w:p w14:paraId="031DF955" w14:textId="79AA51EC" w:rsidR="00915077" w:rsidRPr="00E26EF6" w:rsidRDefault="00464F34">
            <w:pPr>
              <w:autoSpaceDE w:val="0"/>
              <w:autoSpaceDN w:val="0"/>
              <w:adjustRightInd w:val="0"/>
              <w:spacing w:after="0"/>
              <w:rPr>
                <w:rStyle w:val="InstructionsTabelleText"/>
                <w:rFonts w:ascii="Times New Roman" w:hAnsi="Times New Roman"/>
                <w:sz w:val="24"/>
                <w:highlight w:val="lightGray"/>
              </w:rPr>
            </w:pPr>
            <w:r w:rsidRPr="00E26EF6">
              <w:rPr>
                <w:rStyle w:val="InstructionsTabelleText"/>
                <w:rFonts w:ascii="Times New Roman" w:hAnsi="Times New Roman"/>
                <w:sz w:val="24"/>
              </w:rPr>
              <w:t>Część łącznej kwoty ekspozycji na ryzyko związana ze stałymi kosztami pośrednimi zgłasza się</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 xml:space="preserve">umnie 100 części 2 tego wzoru. </w:t>
            </w:r>
          </w:p>
        </w:tc>
      </w:tr>
      <w:tr w:rsidR="00915077" w:rsidRPr="00E26EF6" w14:paraId="527DB4C5" w14:textId="77777777" w:rsidTr="00672D2A">
        <w:tc>
          <w:tcPr>
            <w:tcW w:w="1188" w:type="dxa"/>
          </w:tcPr>
          <w:p w14:paraId="11D1C2B4"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070</w:t>
            </w:r>
          </w:p>
        </w:tc>
        <w:tc>
          <w:tcPr>
            <w:tcW w:w="8640" w:type="dxa"/>
          </w:tcPr>
          <w:p w14:paraId="37273FD1"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 xml:space="preserve">ŁĄCZNA KWOTA EKSPOZYCJI NA RYZYKO </w:t>
            </w:r>
          </w:p>
          <w:p w14:paraId="77C81940" w14:textId="77777777"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Zgłaszana jest suma kolumn 080–110.</w:t>
            </w:r>
          </w:p>
        </w:tc>
      </w:tr>
      <w:tr w:rsidR="00915077" w:rsidRPr="00E26EF6" w14:paraId="1826C7C5" w14:textId="77777777" w:rsidTr="00672D2A">
        <w:tc>
          <w:tcPr>
            <w:tcW w:w="1188" w:type="dxa"/>
          </w:tcPr>
          <w:p w14:paraId="3B8CC19C"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080</w:t>
            </w:r>
          </w:p>
        </w:tc>
        <w:tc>
          <w:tcPr>
            <w:tcW w:w="8640" w:type="dxa"/>
          </w:tcPr>
          <w:p w14:paraId="21EC418F"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RYZYKO KREDYTOWE; RYZYKO KREDYTOWE KONTRAHENTA; RYZYKO ROZMYCIA, RYZYKO ZWIĄZANE Z DOSTAWAMI O PÓŹNIEJSZYM TERMINIE DOSTAW ORAZ RYZYKO ROZLICZENIA/DOSTAWY</w:t>
            </w:r>
          </w:p>
          <w:p w14:paraId="7F9BD427" w14:textId="05AE4BA6"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tej</w:t>
            </w:r>
            <w:r w:rsidRPr="00E26EF6">
              <w:rPr>
                <w:rStyle w:val="InstructionsTabelleText"/>
                <w:rFonts w:ascii="Times New Roman" w:hAnsi="Times New Roman"/>
                <w:sz w:val="24"/>
              </w:rPr>
              <w:t xml:space="preserve"> kolumnie, odpowiada sumie kwot ekspozycji ważonej ryzykiem, które są równe lub równoważne kwotom, które należy zgłosić</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rszu 040 „</w:t>
            </w:r>
            <w:r w:rsidRPr="00E26EF6">
              <w:rPr>
                <w:rStyle w:val="InstructionsTabelleberschrift"/>
                <w:rFonts w:ascii="Times New Roman" w:hAnsi="Times New Roman"/>
                <w:b w:val="0"/>
                <w:sz w:val="24"/>
                <w:u w:val="none"/>
              </w:rPr>
              <w:t>KWOTY EKSPOZYCJI WAŻONYCH RYZYKIEM Z TYTUŁU</w:t>
            </w:r>
            <w:r w:rsidRPr="00E26EF6">
              <w:rPr>
                <w:rStyle w:val="InstructionsTabelleText"/>
                <w:rFonts w:ascii="Times New Roman" w:hAnsi="Times New Roman"/>
                <w:sz w:val="24"/>
              </w:rPr>
              <w:t xml:space="preserve"> RYZYKA KREDYTOWEGO, RYZYKA KREDYTOWEGO KONTRAHENTA, RYZYKA ROZMYCIA ORAZ DOSTAW Z PÓŹNIEJSZYM TERMINEM ROZLICZENIA”, oraz kwotom wymogów</w:t>
            </w:r>
            <w:r w:rsidR="00E26EF6" w:rsidRPr="00E26EF6">
              <w:rPr>
                <w:rStyle w:val="InstructionsTabelleText"/>
                <w:rFonts w:ascii="Times New Roman" w:hAnsi="Times New Roman"/>
                <w:sz w:val="24"/>
              </w:rPr>
              <w:t xml:space="preserve"> w zak</w:t>
            </w:r>
            <w:r w:rsidRPr="00E26EF6">
              <w:rPr>
                <w:rStyle w:val="InstructionsTabelleText"/>
                <w:rFonts w:ascii="Times New Roman" w:hAnsi="Times New Roman"/>
                <w:sz w:val="24"/>
              </w:rPr>
              <w:t>resie funduszy własnych, które są równe lub równoważne kwotom, które należy zgłosić</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rszu 490 „ŁĄCZNA KWOTA EKSPOZYCJI NA RYZYKO ROZLICZENIA/DOSTAWY” we wzorze CA2.</w:t>
            </w:r>
          </w:p>
        </w:tc>
      </w:tr>
      <w:tr w:rsidR="00915077" w:rsidRPr="00E26EF6" w14:paraId="7F5116C7" w14:textId="77777777" w:rsidTr="00672D2A">
        <w:tc>
          <w:tcPr>
            <w:tcW w:w="1188" w:type="dxa"/>
          </w:tcPr>
          <w:p w14:paraId="22CA7DC0"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090</w:t>
            </w:r>
          </w:p>
        </w:tc>
        <w:tc>
          <w:tcPr>
            <w:tcW w:w="8640" w:type="dxa"/>
          </w:tcPr>
          <w:p w14:paraId="4D46F688"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RYZYKO POZYCJI, RYZYKO WALUTOWE I RYZYKO CEN TOWARÓW</w:t>
            </w:r>
          </w:p>
          <w:p w14:paraId="366C99B2" w14:textId="79A90242"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tej</w:t>
            </w:r>
            <w:r w:rsidRPr="00E26EF6">
              <w:rPr>
                <w:rStyle w:val="InstructionsTabelleText"/>
                <w:rFonts w:ascii="Times New Roman" w:hAnsi="Times New Roman"/>
                <w:sz w:val="24"/>
              </w:rPr>
              <w:t xml:space="preserve"> kolumnie, odpowiada kwocie wymogów</w:t>
            </w:r>
            <w:r w:rsidR="00E26EF6" w:rsidRPr="00E26EF6">
              <w:rPr>
                <w:rStyle w:val="InstructionsTabelleText"/>
                <w:rFonts w:ascii="Times New Roman" w:hAnsi="Times New Roman"/>
                <w:sz w:val="24"/>
              </w:rPr>
              <w:t xml:space="preserve"> w zak</w:t>
            </w:r>
            <w:r w:rsidRPr="00E26EF6">
              <w:rPr>
                <w:rStyle w:val="InstructionsTabelleText"/>
                <w:rFonts w:ascii="Times New Roman" w:hAnsi="Times New Roman"/>
                <w:sz w:val="24"/>
              </w:rPr>
              <w:t>resie funduszy własnych, która jest równa lub równoważna kwotom, które należy zgłosić</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rszu 520 „ŁĄCZNA KWOTA EKSPOZYCJI NA RYZYKO Z TYTUŁU RYZYKA POZYCJI, RYZYKA WALUTOWEGO I RYZYKA CEN TOWARÓW” we wzorze CA2.</w:t>
            </w:r>
          </w:p>
        </w:tc>
      </w:tr>
      <w:tr w:rsidR="00915077" w:rsidRPr="00E26EF6" w14:paraId="70750086" w14:textId="77777777" w:rsidTr="00672D2A">
        <w:tc>
          <w:tcPr>
            <w:tcW w:w="1188" w:type="dxa"/>
          </w:tcPr>
          <w:p w14:paraId="64E3DDAE"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100</w:t>
            </w:r>
          </w:p>
        </w:tc>
        <w:tc>
          <w:tcPr>
            <w:tcW w:w="8640" w:type="dxa"/>
          </w:tcPr>
          <w:p w14:paraId="14BC5320"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RYZYKO OPERACYJNE</w:t>
            </w:r>
          </w:p>
          <w:p w14:paraId="17CDB038" w14:textId="1EDE5C22"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tej</w:t>
            </w:r>
            <w:r w:rsidRPr="00E26EF6">
              <w:rPr>
                <w:rStyle w:val="InstructionsTabelleText"/>
                <w:rFonts w:ascii="Times New Roman" w:hAnsi="Times New Roman"/>
                <w:sz w:val="24"/>
              </w:rPr>
              <w:t xml:space="preserve"> kolumnie, odpowiada kwocie ekspozycji na ryzyko, która jest równa lub równoważna kwocie, którą należy zgłosić</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rszu 590 „ŁĄCZNA KWOTA EKSPOZYCJI NA RYZYKO Z TYTUŁU RYZYKA OPERACYJNEGO” we wzorze CA2.</w:t>
            </w:r>
          </w:p>
          <w:p w14:paraId="48EE13A8" w14:textId="6F95D50E"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W kolumnie tej uwzględnia się stałe koszty pośrednie,</w:t>
            </w:r>
            <w:r w:rsidR="00E26EF6" w:rsidRPr="00E26EF6">
              <w:rPr>
                <w:rStyle w:val="InstructionsTabelleText"/>
                <w:rFonts w:ascii="Times New Roman" w:hAnsi="Times New Roman"/>
                <w:sz w:val="24"/>
              </w:rPr>
              <w:t xml:space="preserve"> w tym w wie</w:t>
            </w:r>
            <w:r w:rsidRPr="00E26EF6">
              <w:rPr>
                <w:rStyle w:val="InstructionsTabelleText"/>
                <w:rFonts w:ascii="Times New Roman" w:hAnsi="Times New Roman"/>
                <w:sz w:val="24"/>
              </w:rPr>
              <w:t>rszu 630 „DODATKOWA KWOTA EKSPOZYCJI NA RYZYKO Z TYTUŁU STAŁYCH KOSZTÓW POŚREDNICH” we wzorze CA2.</w:t>
            </w:r>
          </w:p>
        </w:tc>
      </w:tr>
      <w:tr w:rsidR="00915077" w:rsidRPr="00E26EF6" w14:paraId="6F971F86" w14:textId="77777777" w:rsidTr="00672D2A">
        <w:tc>
          <w:tcPr>
            <w:tcW w:w="1188" w:type="dxa"/>
          </w:tcPr>
          <w:p w14:paraId="53A2157B"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110</w:t>
            </w:r>
          </w:p>
        </w:tc>
        <w:tc>
          <w:tcPr>
            <w:tcW w:w="8640" w:type="dxa"/>
          </w:tcPr>
          <w:p w14:paraId="0C1EF2D1"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KWOTY INNYCH EKSPOZYCJI NA RYZYKO</w:t>
            </w:r>
          </w:p>
          <w:p w14:paraId="1A55FB51" w14:textId="5D943600"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tej</w:t>
            </w:r>
            <w:r w:rsidRPr="00E26EF6">
              <w:rPr>
                <w:rStyle w:val="InstructionsTabelleText"/>
                <w:rFonts w:ascii="Times New Roman" w:hAnsi="Times New Roman"/>
                <w:sz w:val="24"/>
              </w:rPr>
              <w:t xml:space="preserve"> kolumnie, odpowiada kwocie ekspozycji na ryzyko, która nie została wyraźnie wymieniona powyżej. Jest to suma kwot</w:t>
            </w:r>
            <w:r w:rsidR="00E26EF6" w:rsidRPr="00E26EF6">
              <w:rPr>
                <w:rStyle w:val="InstructionsTabelleText"/>
                <w:rFonts w:ascii="Times New Roman" w:hAnsi="Times New Roman"/>
                <w:sz w:val="24"/>
              </w:rPr>
              <w:t xml:space="preserve"> z wie</w:t>
            </w:r>
            <w:r w:rsidRPr="00E26EF6">
              <w:rPr>
                <w:rStyle w:val="InstructionsTabelleText"/>
                <w:rFonts w:ascii="Times New Roman" w:hAnsi="Times New Roman"/>
                <w:sz w:val="24"/>
              </w:rPr>
              <w:t>rszy 640, 680</w:t>
            </w:r>
            <w:r w:rsidR="00E26EF6" w:rsidRPr="00E26EF6">
              <w:rPr>
                <w:rStyle w:val="InstructionsTabelleText"/>
                <w:rFonts w:ascii="Times New Roman" w:hAnsi="Times New Roman"/>
                <w:sz w:val="24"/>
              </w:rPr>
              <w:t xml:space="preserve"> i 6</w:t>
            </w:r>
            <w:r w:rsidRPr="00E26EF6">
              <w:rPr>
                <w:rStyle w:val="InstructionsTabelleText"/>
                <w:rFonts w:ascii="Times New Roman" w:hAnsi="Times New Roman"/>
                <w:sz w:val="24"/>
              </w:rPr>
              <w:t>90 wzoru CA2.</w:t>
            </w:r>
          </w:p>
        </w:tc>
      </w:tr>
      <w:tr w:rsidR="00915077" w:rsidRPr="00E26EF6" w14:paraId="313FC97C" w14:textId="77777777" w:rsidTr="00672D2A">
        <w:tc>
          <w:tcPr>
            <w:tcW w:w="1188" w:type="dxa"/>
          </w:tcPr>
          <w:p w14:paraId="13A1545D"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120–240</w:t>
            </w:r>
          </w:p>
        </w:tc>
        <w:tc>
          <w:tcPr>
            <w:tcW w:w="8640" w:type="dxa"/>
          </w:tcPr>
          <w:p w14:paraId="2F2E30DA"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SZCZEGÓŁOWE INFORMACJE NA TEMAT WYPŁACALNOŚCI GRUPY – FUNDUSZE WŁASNE</w:t>
            </w:r>
          </w:p>
          <w:p w14:paraId="1A14F676" w14:textId="379E6BB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Zgłaszane</w:t>
            </w:r>
            <w:r w:rsidR="00E26EF6" w:rsidRPr="00E26EF6">
              <w:rPr>
                <w:rStyle w:val="InstructionsTabelleText"/>
                <w:rFonts w:ascii="Times New Roman" w:hAnsi="Times New Roman"/>
                <w:sz w:val="24"/>
              </w:rPr>
              <w:t xml:space="preserve"> w nas</w:t>
            </w:r>
            <w:r w:rsidRPr="00E26EF6">
              <w:rPr>
                <w:rStyle w:val="InstructionsTabelleText"/>
                <w:rFonts w:ascii="Times New Roman" w:hAnsi="Times New Roman"/>
                <w:sz w:val="24"/>
              </w:rPr>
              <w:t>tępujących kolumnach informacje odzwierciedlają lokalne przepisy dotyczące wypłacalności</w:t>
            </w:r>
            <w:r w:rsidR="00E26EF6" w:rsidRPr="00E26EF6">
              <w:rPr>
                <w:rStyle w:val="InstructionsTabelleText"/>
                <w:rFonts w:ascii="Times New Roman" w:hAnsi="Times New Roman"/>
                <w:sz w:val="24"/>
              </w:rPr>
              <w:t xml:space="preserve"> w pań</w:t>
            </w:r>
            <w:r w:rsidRPr="00E26EF6">
              <w:rPr>
                <w:rStyle w:val="InstructionsTabelleText"/>
                <w:rFonts w:ascii="Times New Roman" w:hAnsi="Times New Roman"/>
                <w:sz w:val="24"/>
              </w:rPr>
              <w:t>stwie członkowskim,</w:t>
            </w:r>
            <w:r w:rsidR="00E26EF6" w:rsidRPr="00E26EF6">
              <w:rPr>
                <w:rStyle w:val="InstructionsTabelleText"/>
                <w:rFonts w:ascii="Times New Roman" w:hAnsi="Times New Roman"/>
                <w:sz w:val="24"/>
              </w:rPr>
              <w:t xml:space="preserve"> w któ</w:t>
            </w:r>
            <w:r w:rsidRPr="00E26EF6">
              <w:rPr>
                <w:rStyle w:val="InstructionsTabelleText"/>
                <w:rFonts w:ascii="Times New Roman" w:hAnsi="Times New Roman"/>
                <w:sz w:val="24"/>
              </w:rPr>
              <w:t>rym podmiot lub podgrupa prowadzą działalność.</w:t>
            </w:r>
          </w:p>
        </w:tc>
      </w:tr>
      <w:tr w:rsidR="00915077" w:rsidRPr="00E26EF6" w14:paraId="1B6D416F" w14:textId="77777777" w:rsidTr="00672D2A">
        <w:tc>
          <w:tcPr>
            <w:tcW w:w="1188" w:type="dxa"/>
          </w:tcPr>
          <w:p w14:paraId="772171DC"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120</w:t>
            </w:r>
          </w:p>
        </w:tc>
        <w:tc>
          <w:tcPr>
            <w:tcW w:w="8640" w:type="dxa"/>
          </w:tcPr>
          <w:p w14:paraId="591A00A1"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FUNDUSZE WŁASNE</w:t>
            </w:r>
          </w:p>
          <w:p w14:paraId="5596F621" w14:textId="5B52CAAB"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tej</w:t>
            </w:r>
            <w:r w:rsidRPr="00E26EF6">
              <w:rPr>
                <w:rStyle w:val="InstructionsTabelleText"/>
                <w:rFonts w:ascii="Times New Roman" w:hAnsi="Times New Roman"/>
                <w:sz w:val="24"/>
              </w:rPr>
              <w:t xml:space="preserve"> kolumnie, odpowiada kwocie wymogów</w:t>
            </w:r>
            <w:r w:rsidR="00E26EF6" w:rsidRPr="00E26EF6">
              <w:rPr>
                <w:rStyle w:val="InstructionsTabelleText"/>
                <w:rFonts w:ascii="Times New Roman" w:hAnsi="Times New Roman"/>
                <w:sz w:val="24"/>
              </w:rPr>
              <w:t xml:space="preserve"> w zak</w:t>
            </w:r>
            <w:r w:rsidRPr="00E26EF6">
              <w:rPr>
                <w:rStyle w:val="InstructionsTabelleText"/>
                <w:rFonts w:ascii="Times New Roman" w:hAnsi="Times New Roman"/>
                <w:sz w:val="24"/>
              </w:rPr>
              <w:t>resie funduszy własnych, która jest równa lub równoważna kwotom, które należy zgłosić</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rszu 010 „FUNDUSZE WŁASNE” we wzorze CA1.</w:t>
            </w:r>
          </w:p>
        </w:tc>
      </w:tr>
      <w:tr w:rsidR="00915077" w:rsidRPr="00E26EF6" w14:paraId="38E63995" w14:textId="77777777" w:rsidTr="00672D2A">
        <w:tc>
          <w:tcPr>
            <w:tcW w:w="1188" w:type="dxa"/>
          </w:tcPr>
          <w:p w14:paraId="4973F2F3"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130</w:t>
            </w:r>
          </w:p>
        </w:tc>
        <w:tc>
          <w:tcPr>
            <w:tcW w:w="8640" w:type="dxa"/>
          </w:tcPr>
          <w:p w14:paraId="003C33E4"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 xml:space="preserve">W TYM: KWALIFIKUJĄCE SIĘ FUNDUSZE WŁASNE </w:t>
            </w:r>
          </w:p>
          <w:p w14:paraId="209F5C9D" w14:textId="032CF236"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lastRenderedPageBreak/>
              <w:t xml:space="preserve">Art. 82 CRR </w:t>
            </w:r>
          </w:p>
          <w:p w14:paraId="1CB0C203" w14:textId="22467238"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Kolumnę tę zgłasza się wyłącznie</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w:t>
            </w:r>
            <w:r w:rsidR="00E26EF6" w:rsidRPr="00E26EF6">
              <w:rPr>
                <w:rStyle w:val="InstructionsTabelleText"/>
                <w:rFonts w:ascii="Times New Roman" w:hAnsi="Times New Roman"/>
                <w:sz w:val="24"/>
              </w:rPr>
              <w:t xml:space="preserve"> w peł</w:t>
            </w:r>
            <w:r w:rsidRPr="00E26EF6">
              <w:rPr>
                <w:rStyle w:val="InstructionsTabelleText"/>
                <w:rFonts w:ascii="Times New Roman" w:hAnsi="Times New Roman"/>
                <w:sz w:val="24"/>
              </w:rPr>
              <w:t xml:space="preserve">ni skonsolidowanych jednostek zależnych, które są instytucjami, podlegających przekazywaniu danych na zasadzie indywidualnej. </w:t>
            </w:r>
          </w:p>
          <w:p w14:paraId="440FC02F" w14:textId="77777777"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W odniesieniu do jednostek zależnych określonych powyżej znacznymi pakietami akcji są instrumenty (plus powiązane zyski zatrzymane, ażio emisyjne oraz kapitał rezerwowy) posiadane przez osoby inne niż przedsiębiorstwa oraz objęte konsolidacją na podstawie CRR.</w:t>
            </w:r>
          </w:p>
          <w:p w14:paraId="2B4CB5C6" w14:textId="682B1B31"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Kwota, którą należy zgłosić, obejmuje skutki wszelkich przepisów przejściowych. Jest to uznana kwota</w:t>
            </w:r>
            <w:r w:rsidR="00E26EF6" w:rsidRPr="00E26EF6">
              <w:rPr>
                <w:rStyle w:val="InstructionsTabelleText"/>
                <w:rFonts w:ascii="Times New Roman" w:hAnsi="Times New Roman"/>
                <w:sz w:val="24"/>
              </w:rPr>
              <w:t xml:space="preserve"> w dni</w:t>
            </w:r>
            <w:r w:rsidRPr="00E26EF6">
              <w:rPr>
                <w:rStyle w:val="InstructionsTabelleText"/>
                <w:rFonts w:ascii="Times New Roman" w:hAnsi="Times New Roman"/>
                <w:sz w:val="24"/>
              </w:rPr>
              <w:t>u sprawozdawczym.</w:t>
            </w:r>
          </w:p>
        </w:tc>
      </w:tr>
      <w:tr w:rsidR="00915077" w:rsidRPr="00E26EF6" w14:paraId="5F5C2775" w14:textId="77777777" w:rsidTr="00672D2A">
        <w:tc>
          <w:tcPr>
            <w:tcW w:w="1188" w:type="dxa"/>
          </w:tcPr>
          <w:p w14:paraId="733BDBFF"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140</w:t>
            </w:r>
          </w:p>
        </w:tc>
        <w:tc>
          <w:tcPr>
            <w:tcW w:w="8640" w:type="dxa"/>
          </w:tcPr>
          <w:p w14:paraId="5A73C1CB" w14:textId="77777777" w:rsidR="00915077" w:rsidRPr="00E26EF6" w:rsidRDefault="000044B7">
            <w:pPr>
              <w:rPr>
                <w:rStyle w:val="InstructionsTabelleberschrift"/>
                <w:rFonts w:ascii="Times New Roman" w:hAnsi="Times New Roman"/>
                <w:b w:val="0"/>
                <w:sz w:val="24"/>
              </w:rPr>
            </w:pPr>
            <w:r w:rsidRPr="00E26EF6">
              <w:rPr>
                <w:rStyle w:val="InstructionsTabelleberschrift"/>
                <w:rFonts w:ascii="Times New Roman" w:hAnsi="Times New Roman"/>
                <w:sz w:val="24"/>
              </w:rPr>
              <w:t>POWIĄZANE INSTRUMENTY FUNDUSZY WŁASNYCH, POWIĄZANE ZYSKI ZATRZYMANE, AŻIO EMISYJNE ORAZ KAPITAŁ REZERWOWY</w:t>
            </w:r>
          </w:p>
          <w:p w14:paraId="25DE61D6" w14:textId="635222F2" w:rsidR="00915077" w:rsidRPr="00E26EF6" w:rsidRDefault="00283C5E">
            <w:pPr>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87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b) CRR</w:t>
            </w:r>
          </w:p>
        </w:tc>
      </w:tr>
      <w:tr w:rsidR="00915077" w:rsidRPr="00E26EF6" w14:paraId="009E84A1" w14:textId="77777777" w:rsidTr="00672D2A">
        <w:tc>
          <w:tcPr>
            <w:tcW w:w="1188" w:type="dxa"/>
          </w:tcPr>
          <w:p w14:paraId="6D628FBD"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150</w:t>
            </w:r>
          </w:p>
        </w:tc>
        <w:tc>
          <w:tcPr>
            <w:tcW w:w="8640" w:type="dxa"/>
          </w:tcPr>
          <w:p w14:paraId="79313680"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CAŁKOWITY KAPITAŁ TIER I</w:t>
            </w:r>
          </w:p>
          <w:p w14:paraId="7004BB9E" w14:textId="3EFF55E3"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Art. 25 CRR</w:t>
            </w:r>
          </w:p>
        </w:tc>
      </w:tr>
      <w:tr w:rsidR="00915077" w:rsidRPr="00E26EF6" w14:paraId="74823C66" w14:textId="77777777" w:rsidTr="00672D2A">
        <w:tc>
          <w:tcPr>
            <w:tcW w:w="1188" w:type="dxa"/>
          </w:tcPr>
          <w:p w14:paraId="5C52BB13"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160</w:t>
            </w:r>
          </w:p>
        </w:tc>
        <w:tc>
          <w:tcPr>
            <w:tcW w:w="8640" w:type="dxa"/>
          </w:tcPr>
          <w:p w14:paraId="6CDFB6A5"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W TYM: KWALIFIKUJĄCY SIĘ KAPITAŁ TIER I</w:t>
            </w:r>
          </w:p>
          <w:p w14:paraId="5D6ECF13" w14:textId="648EAAEC"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Art. 82 CRR</w:t>
            </w:r>
          </w:p>
          <w:p w14:paraId="7F0B04E8" w14:textId="33038B9E"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Kolumnę tę zgłasza się wyłącznie</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w:t>
            </w:r>
            <w:r w:rsidR="00E26EF6" w:rsidRPr="00E26EF6">
              <w:rPr>
                <w:rStyle w:val="InstructionsTabelleText"/>
                <w:rFonts w:ascii="Times New Roman" w:hAnsi="Times New Roman"/>
                <w:sz w:val="24"/>
              </w:rPr>
              <w:t xml:space="preserve"> w peł</w:t>
            </w:r>
            <w:r w:rsidRPr="00E26EF6">
              <w:rPr>
                <w:rStyle w:val="InstructionsTabelleText"/>
                <w:rFonts w:ascii="Times New Roman" w:hAnsi="Times New Roman"/>
                <w:sz w:val="24"/>
              </w:rPr>
              <w:t>ni skonsolidowanych jednostek zależnych, które są instytucjami, podlegających przekazywaniu danych na zasadzie indywidualnej.</w:t>
            </w:r>
          </w:p>
          <w:p w14:paraId="64C845E5" w14:textId="77777777"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W odniesieniu do jednostek zależnych określonych powyżej znacznymi pakietami akcji są instrumenty (plus powiązane zyski zatrzymane oraz ażio emisyjne) posiadane przez osoby inne niż przedsiębiorstwa objęte konsolidacją na podstawie CRR.</w:t>
            </w:r>
          </w:p>
          <w:p w14:paraId="722E47B7" w14:textId="43BC70B1"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Kwota, którą należy zgłosić, obejmuje skutki wszelkich przepisów przejściowych. Jest to uznana kwota</w:t>
            </w:r>
            <w:r w:rsidR="00E26EF6" w:rsidRPr="00E26EF6">
              <w:rPr>
                <w:rStyle w:val="InstructionsTabelleText"/>
                <w:rFonts w:ascii="Times New Roman" w:hAnsi="Times New Roman"/>
                <w:sz w:val="24"/>
              </w:rPr>
              <w:t xml:space="preserve"> w dni</w:t>
            </w:r>
            <w:r w:rsidRPr="00E26EF6">
              <w:rPr>
                <w:rStyle w:val="InstructionsTabelleText"/>
                <w:rFonts w:ascii="Times New Roman" w:hAnsi="Times New Roman"/>
                <w:sz w:val="24"/>
              </w:rPr>
              <w:t>u sprawozdawczym.</w:t>
            </w:r>
          </w:p>
        </w:tc>
      </w:tr>
      <w:tr w:rsidR="00915077" w:rsidRPr="00E26EF6" w14:paraId="6EDF381C" w14:textId="77777777" w:rsidTr="00672D2A">
        <w:tc>
          <w:tcPr>
            <w:tcW w:w="1188" w:type="dxa"/>
          </w:tcPr>
          <w:p w14:paraId="43541E40"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170</w:t>
            </w:r>
          </w:p>
        </w:tc>
        <w:tc>
          <w:tcPr>
            <w:tcW w:w="8640" w:type="dxa"/>
          </w:tcPr>
          <w:p w14:paraId="0D194735" w14:textId="77777777" w:rsidR="00915077" w:rsidRPr="00E26EF6" w:rsidRDefault="000044B7">
            <w:pPr>
              <w:rPr>
                <w:rStyle w:val="InstructionsTabelleberschrift"/>
                <w:rFonts w:ascii="Times New Roman" w:hAnsi="Times New Roman"/>
                <w:b w:val="0"/>
                <w:sz w:val="24"/>
              </w:rPr>
            </w:pPr>
            <w:r w:rsidRPr="00E26EF6">
              <w:rPr>
                <w:rStyle w:val="InstructionsTabelleberschrift"/>
                <w:rFonts w:ascii="Times New Roman" w:hAnsi="Times New Roman"/>
                <w:sz w:val="24"/>
              </w:rPr>
              <w:t>POWIĄZANE INSTRUMENTY W KAPITALE TIER I, POWIĄZANE ZYSKI ZATRZYMANE ORAZ AŻIO EMISYJNE</w:t>
            </w:r>
          </w:p>
          <w:p w14:paraId="1DCD7A72" w14:textId="0C9276D1" w:rsidR="00915077" w:rsidRPr="00E26EF6" w:rsidRDefault="001E0C80">
            <w:pPr>
              <w:rPr>
                <w:rStyle w:val="InstructionsTabelleberschrift"/>
                <w:rFonts w:ascii="Times New Roman" w:hAnsi="Times New Roman"/>
                <w:sz w:val="24"/>
                <w:highlight w:val="lightGray"/>
              </w:rPr>
            </w:pPr>
            <w:r w:rsidRPr="00E26EF6">
              <w:rPr>
                <w:rStyle w:val="InstructionsTabelleberschrift"/>
                <w:rFonts w:ascii="Times New Roman" w:hAnsi="Times New Roman"/>
                <w:b w:val="0"/>
                <w:sz w:val="24"/>
                <w:u w:val="none"/>
              </w:rPr>
              <w:t>Art. 85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b) CRR</w:t>
            </w:r>
          </w:p>
        </w:tc>
      </w:tr>
      <w:tr w:rsidR="00915077" w:rsidRPr="00E26EF6" w14:paraId="2FD318C0" w14:textId="77777777" w:rsidTr="00672D2A">
        <w:tc>
          <w:tcPr>
            <w:tcW w:w="1188" w:type="dxa"/>
          </w:tcPr>
          <w:p w14:paraId="04787C11"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180</w:t>
            </w:r>
          </w:p>
        </w:tc>
        <w:tc>
          <w:tcPr>
            <w:tcW w:w="8640" w:type="dxa"/>
          </w:tcPr>
          <w:p w14:paraId="1D3C4F40"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KAPITAŁ PODSTAWOWY TIER I</w:t>
            </w:r>
          </w:p>
          <w:p w14:paraId="2DB91122" w14:textId="0B0CF577"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Art. 50 CRR</w:t>
            </w:r>
          </w:p>
        </w:tc>
      </w:tr>
      <w:tr w:rsidR="00915077" w:rsidRPr="00E26EF6" w14:paraId="2DBC2430" w14:textId="77777777" w:rsidTr="00672D2A">
        <w:tc>
          <w:tcPr>
            <w:tcW w:w="1188" w:type="dxa"/>
          </w:tcPr>
          <w:p w14:paraId="50693798"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190</w:t>
            </w:r>
          </w:p>
        </w:tc>
        <w:tc>
          <w:tcPr>
            <w:tcW w:w="8640" w:type="dxa"/>
          </w:tcPr>
          <w:p w14:paraId="6F86A4BF"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W TYM: UDZIAŁY MNIEJSZOŚCI</w:t>
            </w:r>
          </w:p>
          <w:p w14:paraId="1B6B2E1F" w14:textId="0B318F41"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Art. 81 CRR</w:t>
            </w:r>
          </w:p>
          <w:p w14:paraId="79D5231D" w14:textId="2014718F"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Kolumnę tę zgłasza się wyłącznie</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w:t>
            </w:r>
            <w:r w:rsidR="00E26EF6" w:rsidRPr="00E26EF6">
              <w:rPr>
                <w:rStyle w:val="InstructionsTabelleText"/>
                <w:rFonts w:ascii="Times New Roman" w:hAnsi="Times New Roman"/>
                <w:sz w:val="24"/>
              </w:rPr>
              <w:t xml:space="preserve"> w peł</w:t>
            </w:r>
            <w:r w:rsidRPr="00E26EF6">
              <w:rPr>
                <w:rStyle w:val="InstructionsTabelleText"/>
                <w:rFonts w:ascii="Times New Roman" w:hAnsi="Times New Roman"/>
                <w:sz w:val="24"/>
              </w:rPr>
              <w:t>ni skonsolidowanych jednostek zależnych, które są instytucjami,</w:t>
            </w:r>
            <w:r w:rsidR="00E26EF6" w:rsidRPr="00E26EF6">
              <w:rPr>
                <w:rStyle w:val="InstructionsTabelleText"/>
                <w:rFonts w:ascii="Times New Roman" w:hAnsi="Times New Roman"/>
                <w:sz w:val="24"/>
              </w:rPr>
              <w:t xml:space="preserve"> z wyj</w:t>
            </w:r>
            <w:r w:rsidRPr="00E26EF6">
              <w:rPr>
                <w:rStyle w:val="InstructionsTabelleText"/>
                <w:rFonts w:ascii="Times New Roman" w:hAnsi="Times New Roman"/>
                <w:sz w:val="24"/>
              </w:rPr>
              <w:t>ątkiem jednostek zależnych,</w:t>
            </w:r>
            <w:r w:rsidR="00E26EF6" w:rsidRPr="00E26EF6">
              <w:rPr>
                <w:rStyle w:val="InstructionsTabelleText"/>
                <w:rFonts w:ascii="Times New Roman" w:hAnsi="Times New Roman"/>
                <w:sz w:val="24"/>
              </w:rPr>
              <w:t xml:space="preserve"> o któ</w:t>
            </w:r>
            <w:r w:rsidRPr="00E26EF6">
              <w:rPr>
                <w:rStyle w:val="InstructionsTabelleText"/>
                <w:rFonts w:ascii="Times New Roman" w:hAnsi="Times New Roman"/>
                <w:sz w:val="24"/>
              </w:rPr>
              <w:t>rych mowa</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 Dla celów wszystkich obliczeń wymaganych na mocy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84 CRR</w:t>
            </w:r>
            <w:r w:rsidR="00E26EF6" w:rsidRPr="00E26EF6">
              <w:rPr>
                <w:rStyle w:val="InstructionsTabelleText"/>
                <w:rFonts w:ascii="Times New Roman" w:hAnsi="Times New Roman"/>
                <w:sz w:val="24"/>
              </w:rPr>
              <w:t xml:space="preserve"> w sto</w:t>
            </w:r>
            <w:r w:rsidRPr="00E26EF6">
              <w:rPr>
                <w:rStyle w:val="InstructionsTabelleText"/>
                <w:rFonts w:ascii="Times New Roman" w:hAnsi="Times New Roman"/>
                <w:sz w:val="24"/>
              </w:rPr>
              <w:t>sownych przypadkach każdą jednostkę zależną traktuje się na zasadzie subskonsolidowanej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natomiast</w:t>
            </w:r>
            <w:r w:rsidR="00E26EF6" w:rsidRPr="00E26EF6">
              <w:rPr>
                <w:rStyle w:val="InstructionsTabelleText"/>
                <w:rFonts w:ascii="Times New Roman" w:hAnsi="Times New Roman"/>
                <w:sz w:val="24"/>
              </w:rPr>
              <w:t xml:space="preserve"> w poz</w:t>
            </w:r>
            <w:r w:rsidRPr="00E26EF6">
              <w:rPr>
                <w:rStyle w:val="InstructionsTabelleText"/>
                <w:rFonts w:ascii="Times New Roman" w:hAnsi="Times New Roman"/>
                <w:sz w:val="24"/>
              </w:rPr>
              <w:t>ostałych przypadkach na zasadzie nieskonsolidowanej.</w:t>
            </w:r>
          </w:p>
          <w:p w14:paraId="00B11729" w14:textId="39FF192E" w:rsidR="00915077" w:rsidRPr="00E26EF6" w:rsidRDefault="00283C5E">
            <w:pPr>
              <w:rPr>
                <w:rStyle w:val="InstructionsTabelleText"/>
                <w:rFonts w:ascii="Times New Roman" w:hAnsi="Times New Roman"/>
                <w:sz w:val="24"/>
              </w:rPr>
            </w:pPr>
            <w:r w:rsidRPr="00E26EF6">
              <w:rPr>
                <w:rStyle w:val="InstructionsTabelleText"/>
                <w:rFonts w:ascii="Times New Roman" w:hAnsi="Times New Roman"/>
                <w:sz w:val="24"/>
              </w:rPr>
              <w:t>Udziały mniejszości są</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jednostek zależnych określonych powyżej instrumentami</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podstawowym Tier I (plus powiązane zyski zatrzymane oraz ażio emisyjne) posiadanymi przez osoby inne niż przedsiębiorstwa objęte konsolidacją na podstawie CRR.</w:t>
            </w:r>
          </w:p>
          <w:p w14:paraId="24D22AAE" w14:textId="71D89A98"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Kwota, którą należy zgłosić, obejmuje skutki wszelkich przepisów przejściowych. Jest to uznana kwota</w:t>
            </w:r>
            <w:r w:rsidR="00E26EF6" w:rsidRPr="00E26EF6">
              <w:rPr>
                <w:rStyle w:val="InstructionsTabelleText"/>
                <w:rFonts w:ascii="Times New Roman" w:hAnsi="Times New Roman"/>
                <w:sz w:val="24"/>
              </w:rPr>
              <w:t xml:space="preserve"> w dni</w:t>
            </w:r>
            <w:r w:rsidRPr="00E26EF6">
              <w:rPr>
                <w:rStyle w:val="InstructionsTabelleText"/>
                <w:rFonts w:ascii="Times New Roman" w:hAnsi="Times New Roman"/>
                <w:sz w:val="24"/>
              </w:rPr>
              <w:t>u sprawozdawczym.</w:t>
            </w:r>
          </w:p>
        </w:tc>
      </w:tr>
      <w:tr w:rsidR="00915077" w:rsidRPr="00E26EF6" w14:paraId="472D0DEE" w14:textId="77777777" w:rsidTr="00672D2A">
        <w:tc>
          <w:tcPr>
            <w:tcW w:w="1188" w:type="dxa"/>
          </w:tcPr>
          <w:p w14:paraId="25C515A6"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200</w:t>
            </w:r>
          </w:p>
        </w:tc>
        <w:tc>
          <w:tcPr>
            <w:tcW w:w="8640" w:type="dxa"/>
          </w:tcPr>
          <w:p w14:paraId="14DC5916" w14:textId="77777777" w:rsidR="00915077" w:rsidRPr="00E26EF6" w:rsidRDefault="000044B7">
            <w:pPr>
              <w:rPr>
                <w:rStyle w:val="InstructionsTabelleberschrift"/>
                <w:rFonts w:ascii="Times New Roman" w:hAnsi="Times New Roman"/>
                <w:b w:val="0"/>
                <w:sz w:val="24"/>
              </w:rPr>
            </w:pPr>
            <w:r w:rsidRPr="00E26EF6">
              <w:rPr>
                <w:rStyle w:val="InstructionsTabelleberschrift"/>
                <w:rFonts w:ascii="Times New Roman" w:hAnsi="Times New Roman"/>
                <w:sz w:val="24"/>
              </w:rPr>
              <w:t>POWIĄZANE INSTRUMENTY FUNDUSZY WŁASNYCH, POWIĄZANE ZYSKI ZATRZYMANE, AŻIO EMISYJNE ORAZ KAPITAŁ REZERWOWY</w:t>
            </w:r>
          </w:p>
          <w:p w14:paraId="64525FAB" w14:textId="703B67D7" w:rsidR="00915077" w:rsidRPr="00E26EF6" w:rsidRDefault="001E0C80">
            <w:pPr>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Art. 84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b) CRR</w:t>
            </w:r>
          </w:p>
        </w:tc>
      </w:tr>
      <w:tr w:rsidR="00915077" w:rsidRPr="00E26EF6" w14:paraId="1B3E3283" w14:textId="77777777" w:rsidTr="00672D2A">
        <w:tc>
          <w:tcPr>
            <w:tcW w:w="1188" w:type="dxa"/>
          </w:tcPr>
          <w:p w14:paraId="267C4DB6"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210</w:t>
            </w:r>
          </w:p>
        </w:tc>
        <w:tc>
          <w:tcPr>
            <w:tcW w:w="8640" w:type="dxa"/>
          </w:tcPr>
          <w:p w14:paraId="09BE0853"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KAPITAŁ DODATKOWY TIER I</w:t>
            </w:r>
          </w:p>
          <w:p w14:paraId="5A521D63" w14:textId="0A8EFD91"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lastRenderedPageBreak/>
              <w:t>Art. 61 CRR</w:t>
            </w:r>
          </w:p>
        </w:tc>
      </w:tr>
      <w:tr w:rsidR="00915077" w:rsidRPr="00E26EF6" w14:paraId="0D6DAAD8" w14:textId="77777777" w:rsidTr="00672D2A">
        <w:tc>
          <w:tcPr>
            <w:tcW w:w="1188" w:type="dxa"/>
          </w:tcPr>
          <w:p w14:paraId="3C24935F"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220</w:t>
            </w:r>
          </w:p>
        </w:tc>
        <w:tc>
          <w:tcPr>
            <w:tcW w:w="8640" w:type="dxa"/>
          </w:tcPr>
          <w:p w14:paraId="62367DCC"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W TYM: KWALIFIKUJĄCY SIĘ KAPITAŁ DODATKOWY TIER I</w:t>
            </w:r>
          </w:p>
          <w:p w14:paraId="5F84F697" w14:textId="462BCA59"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Art. 82</w:t>
            </w:r>
            <w:r w:rsidR="00E26EF6" w:rsidRPr="00E26EF6">
              <w:rPr>
                <w:rStyle w:val="InstructionsTabelleText"/>
                <w:rFonts w:ascii="Times New Roman" w:hAnsi="Times New Roman"/>
                <w:sz w:val="24"/>
              </w:rPr>
              <w:t xml:space="preserve"> i 8</w:t>
            </w:r>
            <w:r w:rsidRPr="00E26EF6">
              <w:rPr>
                <w:rStyle w:val="InstructionsTabelleText"/>
                <w:rFonts w:ascii="Times New Roman" w:hAnsi="Times New Roman"/>
                <w:sz w:val="24"/>
              </w:rPr>
              <w:t>3 CRR</w:t>
            </w:r>
          </w:p>
          <w:p w14:paraId="0AF4E5E3" w14:textId="2D2D1BB1"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Kolumnę tę zgłasza się wyłącznie</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w:t>
            </w:r>
            <w:r w:rsidR="00E26EF6" w:rsidRPr="00E26EF6">
              <w:rPr>
                <w:rStyle w:val="InstructionsTabelleText"/>
                <w:rFonts w:ascii="Times New Roman" w:hAnsi="Times New Roman"/>
                <w:sz w:val="24"/>
              </w:rPr>
              <w:t xml:space="preserve"> w peł</w:t>
            </w:r>
            <w:r w:rsidRPr="00E26EF6">
              <w:rPr>
                <w:rStyle w:val="InstructionsTabelleText"/>
                <w:rFonts w:ascii="Times New Roman" w:hAnsi="Times New Roman"/>
                <w:sz w:val="24"/>
              </w:rPr>
              <w:t>ni skonsolidowanych jednostek zależnych, które są instytucjami,</w:t>
            </w:r>
            <w:r w:rsidR="00E26EF6" w:rsidRPr="00E26EF6">
              <w:rPr>
                <w:rStyle w:val="InstructionsTabelleText"/>
                <w:rFonts w:ascii="Times New Roman" w:hAnsi="Times New Roman"/>
                <w:sz w:val="24"/>
              </w:rPr>
              <w:t xml:space="preserve"> z wyj</w:t>
            </w:r>
            <w:r w:rsidRPr="00E26EF6">
              <w:rPr>
                <w:rStyle w:val="InstructionsTabelleText"/>
                <w:rFonts w:ascii="Times New Roman" w:hAnsi="Times New Roman"/>
                <w:sz w:val="24"/>
              </w:rPr>
              <w:t>ątkiem jednostek zależnych,</w:t>
            </w:r>
            <w:r w:rsidR="00E26EF6" w:rsidRPr="00E26EF6">
              <w:rPr>
                <w:rStyle w:val="InstructionsTabelleText"/>
                <w:rFonts w:ascii="Times New Roman" w:hAnsi="Times New Roman"/>
                <w:sz w:val="24"/>
              </w:rPr>
              <w:t xml:space="preserve"> o któ</w:t>
            </w:r>
            <w:r w:rsidRPr="00E26EF6">
              <w:rPr>
                <w:rStyle w:val="InstructionsTabelleText"/>
                <w:rFonts w:ascii="Times New Roman" w:hAnsi="Times New Roman"/>
                <w:sz w:val="24"/>
              </w:rPr>
              <w:t>rych mowa</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CRR. Dla celów wszystkich obliczeń wymaganych na mocy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85 CRR</w:t>
            </w:r>
            <w:r w:rsidR="00E26EF6" w:rsidRPr="00E26EF6">
              <w:rPr>
                <w:rStyle w:val="InstructionsTabelleText"/>
                <w:rFonts w:ascii="Times New Roman" w:hAnsi="Times New Roman"/>
                <w:sz w:val="24"/>
              </w:rPr>
              <w:t xml:space="preserve"> w sto</w:t>
            </w:r>
            <w:r w:rsidRPr="00E26EF6">
              <w:rPr>
                <w:rStyle w:val="InstructionsTabelleText"/>
                <w:rFonts w:ascii="Times New Roman" w:hAnsi="Times New Roman"/>
                <w:sz w:val="24"/>
              </w:rPr>
              <w:t>sownych przypadkach każdą jednostkę zależną traktuje się na zasadzie subskonsolidowanej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natomiast</w:t>
            </w:r>
            <w:r w:rsidR="00E26EF6" w:rsidRPr="00E26EF6">
              <w:rPr>
                <w:rStyle w:val="InstructionsTabelleText"/>
                <w:rFonts w:ascii="Times New Roman" w:hAnsi="Times New Roman"/>
                <w:sz w:val="24"/>
              </w:rPr>
              <w:t xml:space="preserve"> w poz</w:t>
            </w:r>
            <w:r w:rsidRPr="00E26EF6">
              <w:rPr>
                <w:rStyle w:val="InstructionsTabelleText"/>
                <w:rFonts w:ascii="Times New Roman" w:hAnsi="Times New Roman"/>
                <w:sz w:val="24"/>
              </w:rPr>
              <w:t>ostałych przypadkach na zasadzie nieskonsolidowanej.</w:t>
            </w:r>
          </w:p>
          <w:p w14:paraId="7023DF92" w14:textId="3DE11279" w:rsidR="00915077" w:rsidRPr="00E26EF6" w:rsidRDefault="00283C5E">
            <w:pPr>
              <w:rPr>
                <w:rStyle w:val="InstructionsTabelleText"/>
                <w:rFonts w:ascii="Times New Roman" w:hAnsi="Times New Roman"/>
                <w:sz w:val="24"/>
              </w:rPr>
            </w:pPr>
            <w:r w:rsidRPr="00E26EF6">
              <w:rPr>
                <w:rStyle w:val="InstructionsTabelleText"/>
                <w:rFonts w:ascii="Times New Roman" w:hAnsi="Times New Roman"/>
                <w:sz w:val="24"/>
              </w:rPr>
              <w:t>Udziały mniejszości są</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jednostek zależnych określonych powyżej instrumentami</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dodatkowym Tier I (plus powiązane zyski zatrzymane oraz ażio emisyjne) posiadanymi przez osoby inne niż przedsiębiorstwa objęte konsolidacją na podstawie CRR.</w:t>
            </w:r>
          </w:p>
          <w:p w14:paraId="2B44E764" w14:textId="01C4FE38"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Kwota, którą należy zgłosić, obejmuje skutki wszelkich przepisów przejściowych. Jest to uznana kwota</w:t>
            </w:r>
            <w:r w:rsidR="00E26EF6" w:rsidRPr="00E26EF6">
              <w:rPr>
                <w:rStyle w:val="InstructionsTabelleText"/>
                <w:rFonts w:ascii="Times New Roman" w:hAnsi="Times New Roman"/>
                <w:sz w:val="24"/>
              </w:rPr>
              <w:t xml:space="preserve"> w dni</w:t>
            </w:r>
            <w:r w:rsidRPr="00E26EF6">
              <w:rPr>
                <w:rStyle w:val="InstructionsTabelleText"/>
                <w:rFonts w:ascii="Times New Roman" w:hAnsi="Times New Roman"/>
                <w:sz w:val="24"/>
              </w:rPr>
              <w:t>u sprawozdawczym.</w:t>
            </w:r>
          </w:p>
        </w:tc>
      </w:tr>
      <w:tr w:rsidR="00915077" w:rsidRPr="00E26EF6" w14:paraId="4B4C9BD8" w14:textId="77777777" w:rsidTr="00672D2A">
        <w:tc>
          <w:tcPr>
            <w:tcW w:w="1188" w:type="dxa"/>
          </w:tcPr>
          <w:p w14:paraId="433FC6D5"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230</w:t>
            </w:r>
          </w:p>
        </w:tc>
        <w:tc>
          <w:tcPr>
            <w:tcW w:w="8640" w:type="dxa"/>
          </w:tcPr>
          <w:p w14:paraId="00BBB339"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KAPITAŁ TIER II</w:t>
            </w:r>
          </w:p>
          <w:p w14:paraId="3BD73D04" w14:textId="5E72256A"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bCs/>
                <w:sz w:val="24"/>
              </w:rPr>
              <w:t>Art. 71 CRR</w:t>
            </w:r>
          </w:p>
        </w:tc>
      </w:tr>
      <w:tr w:rsidR="00915077" w:rsidRPr="00E26EF6" w14:paraId="20FFCE86" w14:textId="77777777" w:rsidTr="00672D2A">
        <w:tc>
          <w:tcPr>
            <w:tcW w:w="1188" w:type="dxa"/>
          </w:tcPr>
          <w:p w14:paraId="55038728"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240</w:t>
            </w:r>
          </w:p>
        </w:tc>
        <w:tc>
          <w:tcPr>
            <w:tcW w:w="8640" w:type="dxa"/>
          </w:tcPr>
          <w:p w14:paraId="0364F3A2"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W TYM: KWALIFIKUJĄCY SIĘ KAPITAŁ TIER II</w:t>
            </w:r>
          </w:p>
          <w:p w14:paraId="52E3491E" w14:textId="27BDF014"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Art. 82</w:t>
            </w:r>
            <w:r w:rsidR="00E26EF6" w:rsidRPr="00E26EF6">
              <w:rPr>
                <w:rStyle w:val="InstructionsTabelleText"/>
                <w:rFonts w:ascii="Times New Roman" w:hAnsi="Times New Roman"/>
                <w:sz w:val="24"/>
              </w:rPr>
              <w:t xml:space="preserve"> i 8</w:t>
            </w:r>
            <w:r w:rsidRPr="00E26EF6">
              <w:rPr>
                <w:rStyle w:val="InstructionsTabelleText"/>
                <w:rFonts w:ascii="Times New Roman" w:hAnsi="Times New Roman"/>
                <w:sz w:val="24"/>
              </w:rPr>
              <w:t>3 CRR</w:t>
            </w:r>
          </w:p>
          <w:p w14:paraId="7478F7BC" w14:textId="2A978365"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Kolumnę tę zgłasza się wyłącznie</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w:t>
            </w:r>
            <w:r w:rsidR="00E26EF6" w:rsidRPr="00E26EF6">
              <w:rPr>
                <w:rStyle w:val="InstructionsTabelleText"/>
                <w:rFonts w:ascii="Times New Roman" w:hAnsi="Times New Roman"/>
                <w:sz w:val="24"/>
              </w:rPr>
              <w:t xml:space="preserve"> w peł</w:t>
            </w:r>
            <w:r w:rsidRPr="00E26EF6">
              <w:rPr>
                <w:rStyle w:val="InstructionsTabelleText"/>
                <w:rFonts w:ascii="Times New Roman" w:hAnsi="Times New Roman"/>
                <w:sz w:val="24"/>
              </w:rPr>
              <w:t>ni skonsolidowanych jednostek zależnych, które są instytucjami,</w:t>
            </w:r>
            <w:r w:rsidR="00E26EF6" w:rsidRPr="00E26EF6">
              <w:rPr>
                <w:rStyle w:val="InstructionsTabelleText"/>
                <w:rFonts w:ascii="Times New Roman" w:hAnsi="Times New Roman"/>
                <w:sz w:val="24"/>
              </w:rPr>
              <w:t xml:space="preserve"> z wyj</w:t>
            </w:r>
            <w:r w:rsidRPr="00E26EF6">
              <w:rPr>
                <w:rStyle w:val="InstructionsTabelleText"/>
                <w:rFonts w:ascii="Times New Roman" w:hAnsi="Times New Roman"/>
                <w:sz w:val="24"/>
              </w:rPr>
              <w:t>ątkiem jednostek zależnych,</w:t>
            </w:r>
            <w:r w:rsidR="00E26EF6" w:rsidRPr="00E26EF6">
              <w:rPr>
                <w:rStyle w:val="InstructionsTabelleText"/>
                <w:rFonts w:ascii="Times New Roman" w:hAnsi="Times New Roman"/>
                <w:sz w:val="24"/>
              </w:rPr>
              <w:t xml:space="preserve"> o któ</w:t>
            </w:r>
            <w:r w:rsidRPr="00E26EF6">
              <w:rPr>
                <w:rStyle w:val="InstructionsTabelleText"/>
                <w:rFonts w:ascii="Times New Roman" w:hAnsi="Times New Roman"/>
                <w:sz w:val="24"/>
              </w:rPr>
              <w:t>rych mowa</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CRR. Dla celów wszystkich obliczeń wymaganych na mocy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87 CRR</w:t>
            </w:r>
            <w:r w:rsidR="00E26EF6" w:rsidRPr="00E26EF6">
              <w:rPr>
                <w:rStyle w:val="InstructionsTabelleText"/>
                <w:rFonts w:ascii="Times New Roman" w:hAnsi="Times New Roman"/>
                <w:sz w:val="24"/>
              </w:rPr>
              <w:t xml:space="preserve"> w sto</w:t>
            </w:r>
            <w:r w:rsidRPr="00E26EF6">
              <w:rPr>
                <w:rStyle w:val="InstructionsTabelleText"/>
                <w:rFonts w:ascii="Times New Roman" w:hAnsi="Times New Roman"/>
                <w:sz w:val="24"/>
              </w:rPr>
              <w:t>sownych przypadkach każdą jednostkę zależną traktuje się na zasadzie subskonsolidowanej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87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natomiast</w:t>
            </w:r>
            <w:r w:rsidR="00E26EF6" w:rsidRPr="00E26EF6">
              <w:rPr>
                <w:rStyle w:val="InstructionsTabelleText"/>
                <w:rFonts w:ascii="Times New Roman" w:hAnsi="Times New Roman"/>
                <w:sz w:val="24"/>
              </w:rPr>
              <w:t xml:space="preserve"> w poz</w:t>
            </w:r>
            <w:r w:rsidRPr="00E26EF6">
              <w:rPr>
                <w:rStyle w:val="InstructionsTabelleText"/>
                <w:rFonts w:ascii="Times New Roman" w:hAnsi="Times New Roman"/>
                <w:sz w:val="24"/>
              </w:rPr>
              <w:t xml:space="preserve">ostałych przypadkach na zasadzie nieskonsolidowanej. </w:t>
            </w:r>
          </w:p>
          <w:p w14:paraId="5FC4E074" w14:textId="1D158917" w:rsidR="00915077" w:rsidRPr="00E26EF6" w:rsidRDefault="00283C5E">
            <w:pPr>
              <w:rPr>
                <w:rStyle w:val="InstructionsTabelleText"/>
                <w:rFonts w:ascii="Times New Roman" w:hAnsi="Times New Roman"/>
                <w:sz w:val="24"/>
              </w:rPr>
            </w:pPr>
            <w:r w:rsidRPr="00E26EF6">
              <w:rPr>
                <w:rStyle w:val="InstructionsTabelleText"/>
                <w:rFonts w:ascii="Times New Roman" w:hAnsi="Times New Roman"/>
                <w:sz w:val="24"/>
              </w:rPr>
              <w:t>Udziały mniejszości są</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jednostek zależnych określonych powyżej instrumentami</w:t>
            </w:r>
            <w:r w:rsidR="00E26EF6" w:rsidRPr="00E26EF6">
              <w:rPr>
                <w:rStyle w:val="InstructionsTabelleText"/>
                <w:rFonts w:ascii="Times New Roman" w:hAnsi="Times New Roman"/>
                <w:sz w:val="24"/>
              </w:rPr>
              <w:t xml:space="preserve"> w kap</w:t>
            </w:r>
            <w:r w:rsidRPr="00E26EF6">
              <w:rPr>
                <w:rStyle w:val="InstructionsTabelleText"/>
                <w:rFonts w:ascii="Times New Roman" w:hAnsi="Times New Roman"/>
                <w:sz w:val="24"/>
              </w:rPr>
              <w:t>itale Tier II (plus powiązane zyski zatrzymane oraz ażio emisyjne) posiadanymi przez osoby inne niż przedsiębiorstwa objęte konsolidacją na podstawie CRR.</w:t>
            </w:r>
          </w:p>
          <w:p w14:paraId="1EE3B768" w14:textId="407E69D3"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obejmuje skutki wszelkich przepisów przejściowych,</w:t>
            </w:r>
            <w:r w:rsidR="00E26EF6" w:rsidRPr="00E26EF6">
              <w:rPr>
                <w:rStyle w:val="InstructionsTabelleText"/>
                <w:rFonts w:ascii="Times New Roman" w:hAnsi="Times New Roman"/>
                <w:sz w:val="24"/>
              </w:rPr>
              <w:t xml:space="preserve"> w dni</w:t>
            </w:r>
            <w:r w:rsidRPr="00E26EF6">
              <w:rPr>
                <w:rStyle w:val="InstructionsTabelleText"/>
                <w:rFonts w:ascii="Times New Roman" w:hAnsi="Times New Roman"/>
                <w:sz w:val="24"/>
              </w:rPr>
              <w:t>u sprawozdawczym stanowi uznaną kwotę.</w:t>
            </w:r>
          </w:p>
        </w:tc>
      </w:tr>
      <w:tr w:rsidR="00915077" w:rsidRPr="00E26EF6" w14:paraId="6ABC8CAA" w14:textId="77777777" w:rsidTr="00672D2A">
        <w:tc>
          <w:tcPr>
            <w:tcW w:w="1188" w:type="dxa"/>
          </w:tcPr>
          <w:p w14:paraId="10A2B7EF"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250–400</w:t>
            </w:r>
          </w:p>
        </w:tc>
        <w:tc>
          <w:tcPr>
            <w:tcW w:w="8640" w:type="dxa"/>
          </w:tcPr>
          <w:p w14:paraId="4D7709B7" w14:textId="77777777" w:rsidR="00915077" w:rsidRPr="00E26EF6" w:rsidRDefault="00464F34">
            <w:pPr>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INFORMACJE NA TEMAT WKŁADU PODMIOTÓW NA RZECZ WYPŁACALNOŚCI GRUPY</w:t>
            </w:r>
          </w:p>
        </w:tc>
      </w:tr>
      <w:tr w:rsidR="00915077" w:rsidRPr="00E26EF6" w14:paraId="5ADF2F49" w14:textId="77777777" w:rsidTr="00672D2A">
        <w:tc>
          <w:tcPr>
            <w:tcW w:w="1188" w:type="dxa"/>
          </w:tcPr>
          <w:p w14:paraId="5E6D5822"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250–290</w:t>
            </w:r>
          </w:p>
        </w:tc>
        <w:tc>
          <w:tcPr>
            <w:tcW w:w="8640" w:type="dxa"/>
          </w:tcPr>
          <w:p w14:paraId="23DAEC4A"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WKŁAD W RYZYKO</w:t>
            </w:r>
          </w:p>
          <w:p w14:paraId="20A7A7DB" w14:textId="52F00E95" w:rsidR="00915077" w:rsidRPr="00E26EF6" w:rsidRDefault="00464F34">
            <w:pPr>
              <w:rPr>
                <w:rStyle w:val="InstructionsTabelleberschrift"/>
                <w:rFonts w:ascii="Times New Roman" w:hAnsi="Times New Roman"/>
                <w:sz w:val="24"/>
                <w:highlight w:val="lightGray"/>
              </w:rPr>
            </w:pPr>
            <w:r w:rsidRPr="00E26EF6">
              <w:rPr>
                <w:rFonts w:ascii="Times New Roman" w:hAnsi="Times New Roman"/>
                <w:sz w:val="24"/>
              </w:rPr>
              <w:t>Zgłoszone</w:t>
            </w:r>
            <w:r w:rsidR="00E26EF6" w:rsidRPr="00E26EF6">
              <w:rPr>
                <w:rFonts w:ascii="Times New Roman" w:hAnsi="Times New Roman"/>
                <w:sz w:val="24"/>
              </w:rPr>
              <w:t xml:space="preserve"> w nas</w:t>
            </w:r>
            <w:r w:rsidRPr="00E26EF6">
              <w:rPr>
                <w:rFonts w:ascii="Times New Roman" w:hAnsi="Times New Roman"/>
                <w:sz w:val="24"/>
              </w:rPr>
              <w:t>tępujących kolumnach informacje są zgodne</w:t>
            </w:r>
            <w:r w:rsidR="00E26EF6" w:rsidRPr="00E26EF6">
              <w:rPr>
                <w:rFonts w:ascii="Times New Roman" w:hAnsi="Times New Roman"/>
                <w:sz w:val="24"/>
              </w:rPr>
              <w:t xml:space="preserve"> z </w:t>
            </w:r>
            <w:r w:rsidR="00E26EF6" w:rsidRPr="00E26EF6">
              <w:rPr>
                <w:rFonts w:ascii="Times New Roman" w:hAnsi="Times New Roman"/>
                <w:bCs/>
                <w:sz w:val="24"/>
              </w:rPr>
              <w:t>prz</w:t>
            </w:r>
            <w:r w:rsidRPr="00E26EF6">
              <w:rPr>
                <w:rFonts w:ascii="Times New Roman" w:hAnsi="Times New Roman"/>
                <w:bCs/>
                <w:sz w:val="24"/>
              </w:rPr>
              <w:t>episami dotyczącymi wypłacalności mającymi zastosowanie do instytucji sprawozdającej.</w:t>
            </w:r>
          </w:p>
        </w:tc>
      </w:tr>
      <w:tr w:rsidR="00915077" w:rsidRPr="00E26EF6" w14:paraId="3835BB5B" w14:textId="77777777" w:rsidTr="00672D2A">
        <w:tc>
          <w:tcPr>
            <w:tcW w:w="1188" w:type="dxa"/>
          </w:tcPr>
          <w:p w14:paraId="3F25DC3C"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250</w:t>
            </w:r>
          </w:p>
        </w:tc>
        <w:tc>
          <w:tcPr>
            <w:tcW w:w="8640" w:type="dxa"/>
          </w:tcPr>
          <w:p w14:paraId="2A7EC609"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ŁĄCZNA KWOTA EKSPOZYCJI NA RYZYKO</w:t>
            </w:r>
          </w:p>
          <w:p w14:paraId="5C8011BF" w14:textId="77777777"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Zgłaszana jest suma kolumn 260–290.</w:t>
            </w:r>
          </w:p>
        </w:tc>
      </w:tr>
      <w:tr w:rsidR="00915077" w:rsidRPr="00E26EF6" w14:paraId="3B6FA67E" w14:textId="77777777" w:rsidTr="00672D2A">
        <w:tc>
          <w:tcPr>
            <w:tcW w:w="1188" w:type="dxa"/>
          </w:tcPr>
          <w:p w14:paraId="00616C47"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260</w:t>
            </w:r>
          </w:p>
        </w:tc>
        <w:tc>
          <w:tcPr>
            <w:tcW w:w="8640" w:type="dxa"/>
          </w:tcPr>
          <w:p w14:paraId="34838795"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RYZYKO KREDYTOWE; RYZYKO KREDYTOWE KONTRAHENTA; RYZYKO ROZMYCIA, RYZYKO ZWIĄZANE Z DOSTAWAMI O PÓŹNIEJSZYM TERMINIE DOSTAW ORAZ RYZYKO ROZLICZENIA/DOSTAWY</w:t>
            </w:r>
          </w:p>
          <w:p w14:paraId="34F523EA" w14:textId="58AA92D9"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Kwoty, które należy zgłosić, są kwotami ekspozycji ważonej ryzykiem</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ryzyka kredytowego oraz wymogów</w:t>
            </w:r>
            <w:r w:rsidR="00E26EF6" w:rsidRPr="00E26EF6">
              <w:rPr>
                <w:rStyle w:val="InstructionsTabelleText"/>
                <w:rFonts w:ascii="Times New Roman" w:hAnsi="Times New Roman"/>
                <w:sz w:val="24"/>
              </w:rPr>
              <w:t xml:space="preserve"> w zak</w:t>
            </w:r>
            <w:r w:rsidRPr="00E26EF6">
              <w:rPr>
                <w:rStyle w:val="InstructionsTabelleText"/>
                <w:rFonts w:ascii="Times New Roman" w:hAnsi="Times New Roman"/>
                <w:sz w:val="24"/>
              </w:rPr>
              <w:t>resie funduszy własnych</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ryzyka rozliczenia/dostawy zgodnie z CRR,</w:t>
            </w:r>
            <w:r w:rsidR="00E26EF6" w:rsidRPr="00E26EF6">
              <w:rPr>
                <w:rStyle w:val="InstructionsTabelleText"/>
                <w:rFonts w:ascii="Times New Roman" w:hAnsi="Times New Roman"/>
                <w:sz w:val="24"/>
              </w:rPr>
              <w:t xml:space="preserve"> z wył</w:t>
            </w:r>
            <w:r w:rsidRPr="00E26EF6">
              <w:rPr>
                <w:rStyle w:val="InstructionsTabelleText"/>
                <w:rFonts w:ascii="Times New Roman" w:hAnsi="Times New Roman"/>
                <w:sz w:val="24"/>
              </w:rPr>
              <w:t>ączeniem wszelkich kwot odnoszących się do transakcji</w:t>
            </w:r>
            <w:r w:rsidR="00E26EF6" w:rsidRPr="00E26EF6">
              <w:rPr>
                <w:rStyle w:val="InstructionsTabelleText"/>
                <w:rFonts w:ascii="Times New Roman" w:hAnsi="Times New Roman"/>
                <w:sz w:val="24"/>
              </w:rPr>
              <w:t xml:space="preserve"> z inn</w:t>
            </w:r>
            <w:r w:rsidRPr="00E26EF6">
              <w:rPr>
                <w:rStyle w:val="InstructionsTabelleText"/>
                <w:rFonts w:ascii="Times New Roman" w:hAnsi="Times New Roman"/>
                <w:sz w:val="24"/>
              </w:rPr>
              <w:t>ymi podmiotami uwzględnionymi</w:t>
            </w:r>
            <w:r w:rsidR="00E26EF6" w:rsidRPr="00E26EF6">
              <w:rPr>
                <w:rStyle w:val="InstructionsTabelleText"/>
                <w:rFonts w:ascii="Times New Roman" w:hAnsi="Times New Roman"/>
                <w:sz w:val="24"/>
              </w:rPr>
              <w:t xml:space="preserve"> w obl</w:t>
            </w:r>
            <w:r w:rsidRPr="00E26EF6">
              <w:rPr>
                <w:rStyle w:val="InstructionsTabelleText"/>
                <w:rFonts w:ascii="Times New Roman" w:hAnsi="Times New Roman"/>
                <w:sz w:val="24"/>
              </w:rPr>
              <w:t>iczeniach współczynnika wypłacalności grupy skonsolidowanej.</w:t>
            </w:r>
          </w:p>
        </w:tc>
      </w:tr>
      <w:tr w:rsidR="00915077" w:rsidRPr="00E26EF6" w14:paraId="2B29E8BD" w14:textId="77777777" w:rsidTr="00672D2A">
        <w:tc>
          <w:tcPr>
            <w:tcW w:w="1188" w:type="dxa"/>
          </w:tcPr>
          <w:p w14:paraId="45530B7C"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270</w:t>
            </w:r>
          </w:p>
        </w:tc>
        <w:tc>
          <w:tcPr>
            <w:tcW w:w="8640" w:type="dxa"/>
          </w:tcPr>
          <w:p w14:paraId="1DEC7A7A"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RYZYKO POZYCJI, RYZYKO WALUTOWE I RYZYKO CEN TOWARÓW</w:t>
            </w:r>
          </w:p>
          <w:p w14:paraId="1423596A" w14:textId="6179BA3C" w:rsidR="00915077" w:rsidRPr="00E26EF6" w:rsidRDefault="00464F34">
            <w:pPr>
              <w:pStyle w:val="Texte2"/>
              <w:ind w:left="0"/>
              <w:rPr>
                <w:rStyle w:val="InstructionsTabelleText"/>
                <w:rFonts w:ascii="Times New Roman" w:hAnsi="Times New Roman"/>
                <w:sz w:val="24"/>
                <w:szCs w:val="24"/>
                <w:highlight w:val="lightGray"/>
              </w:rPr>
            </w:pPr>
            <w:r w:rsidRPr="00E26EF6">
              <w:rPr>
                <w:rStyle w:val="InstructionsTabelleText"/>
                <w:rFonts w:ascii="Times New Roman" w:hAnsi="Times New Roman"/>
                <w:sz w:val="24"/>
                <w:szCs w:val="24"/>
              </w:rPr>
              <w:t>Kwoty ekspozycji na ryzyko</w:t>
            </w:r>
            <w:r w:rsidR="00E26EF6" w:rsidRPr="00E26EF6">
              <w:rPr>
                <w:rStyle w:val="InstructionsTabelleText"/>
                <w:rFonts w:ascii="Times New Roman" w:hAnsi="Times New Roman"/>
                <w:sz w:val="24"/>
                <w:szCs w:val="24"/>
              </w:rPr>
              <w:t xml:space="preserve"> z tyt</w:t>
            </w:r>
            <w:r w:rsidRPr="00E26EF6">
              <w:rPr>
                <w:rStyle w:val="InstructionsTabelleText"/>
                <w:rFonts w:ascii="Times New Roman" w:hAnsi="Times New Roman"/>
                <w:sz w:val="24"/>
                <w:szCs w:val="24"/>
              </w:rPr>
              <w:t>ułu ryzyka rynkowego oblicza się na poziomie każdego podmiotu zgodnie z CRR. Podmioty zgłaszają wkład</w:t>
            </w:r>
            <w:r w:rsidR="00E26EF6" w:rsidRPr="00E26EF6">
              <w:rPr>
                <w:rStyle w:val="InstructionsTabelleText"/>
                <w:rFonts w:ascii="Times New Roman" w:hAnsi="Times New Roman"/>
                <w:sz w:val="24"/>
                <w:szCs w:val="24"/>
              </w:rPr>
              <w:t xml:space="preserve"> w łąc</w:t>
            </w:r>
            <w:r w:rsidRPr="00E26EF6">
              <w:rPr>
                <w:rStyle w:val="InstructionsTabelleText"/>
                <w:rFonts w:ascii="Times New Roman" w:hAnsi="Times New Roman"/>
                <w:sz w:val="24"/>
                <w:szCs w:val="24"/>
              </w:rPr>
              <w:t>zne kwoty ekspozycji na ryzyko</w:t>
            </w:r>
            <w:r w:rsidR="00E26EF6" w:rsidRPr="00E26EF6">
              <w:rPr>
                <w:rStyle w:val="InstructionsTabelleText"/>
                <w:rFonts w:ascii="Times New Roman" w:hAnsi="Times New Roman"/>
                <w:sz w:val="24"/>
                <w:szCs w:val="24"/>
              </w:rPr>
              <w:t xml:space="preserve"> z tyt</w:t>
            </w:r>
            <w:r w:rsidRPr="00E26EF6">
              <w:rPr>
                <w:rStyle w:val="InstructionsTabelleText"/>
                <w:rFonts w:ascii="Times New Roman" w:hAnsi="Times New Roman"/>
                <w:sz w:val="24"/>
                <w:szCs w:val="24"/>
              </w:rPr>
              <w:t>ułu ryzyka pozycji, ryzyka walutowego</w:t>
            </w:r>
            <w:r w:rsidR="00E26EF6" w:rsidRPr="00E26EF6">
              <w:rPr>
                <w:rStyle w:val="InstructionsTabelleText"/>
                <w:rFonts w:ascii="Times New Roman" w:hAnsi="Times New Roman"/>
                <w:sz w:val="24"/>
                <w:szCs w:val="24"/>
              </w:rPr>
              <w:t xml:space="preserve"> i ryz</w:t>
            </w:r>
            <w:r w:rsidRPr="00E26EF6">
              <w:rPr>
                <w:rStyle w:val="InstructionsTabelleText"/>
                <w:rFonts w:ascii="Times New Roman" w:hAnsi="Times New Roman"/>
                <w:sz w:val="24"/>
                <w:szCs w:val="24"/>
              </w:rPr>
              <w:t>yka cen towarów dla grupy. Zgłoszona tu suma kwot odpowiada kwocie zgłoszonej</w:t>
            </w:r>
            <w:r w:rsidR="00E26EF6" w:rsidRPr="00E26EF6">
              <w:rPr>
                <w:rStyle w:val="InstructionsTabelleText"/>
                <w:rFonts w:ascii="Times New Roman" w:hAnsi="Times New Roman"/>
                <w:sz w:val="24"/>
                <w:szCs w:val="24"/>
              </w:rPr>
              <w:t xml:space="preserve"> w wie</w:t>
            </w:r>
            <w:r w:rsidRPr="00E26EF6">
              <w:rPr>
                <w:rStyle w:val="InstructionsTabelleText"/>
                <w:rFonts w:ascii="Times New Roman" w:hAnsi="Times New Roman"/>
                <w:sz w:val="24"/>
                <w:szCs w:val="24"/>
              </w:rPr>
              <w:t>rszu 520 „ŁĄCZNA KWOTA EKSPOZYCJI NA RYZYKO Z TYTUŁU RYZYKA POZYCJI, RYZYKA WALUTOWEGO I RYZYKA CEN TOWARÓW”</w:t>
            </w:r>
            <w:r w:rsidR="00E26EF6" w:rsidRPr="00E26EF6">
              <w:rPr>
                <w:rStyle w:val="InstructionsTabelleText"/>
                <w:rFonts w:ascii="Times New Roman" w:hAnsi="Times New Roman"/>
                <w:sz w:val="24"/>
                <w:szCs w:val="24"/>
              </w:rPr>
              <w:t xml:space="preserve"> w spr</w:t>
            </w:r>
            <w:r w:rsidRPr="00E26EF6">
              <w:rPr>
                <w:rStyle w:val="InstructionsTabelleText"/>
                <w:rFonts w:ascii="Times New Roman" w:hAnsi="Times New Roman"/>
                <w:sz w:val="24"/>
                <w:szCs w:val="24"/>
              </w:rPr>
              <w:t>awozdaniu skonsolidowanym.</w:t>
            </w:r>
          </w:p>
        </w:tc>
      </w:tr>
      <w:tr w:rsidR="00915077" w:rsidRPr="00E26EF6" w14:paraId="567D1146" w14:textId="77777777" w:rsidTr="00672D2A">
        <w:tc>
          <w:tcPr>
            <w:tcW w:w="1188" w:type="dxa"/>
          </w:tcPr>
          <w:p w14:paraId="01D25B1A"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280</w:t>
            </w:r>
          </w:p>
        </w:tc>
        <w:tc>
          <w:tcPr>
            <w:tcW w:w="8640" w:type="dxa"/>
          </w:tcPr>
          <w:p w14:paraId="7DFDB003"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RYZYKO OPERACYJNE</w:t>
            </w:r>
          </w:p>
          <w:p w14:paraId="08564C72" w14:textId="1AE1DC60"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W przypadku metod zaawansowanego pomiaru zgłoszone kwoty ekspozycji na ryzyko</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ryzyka operacyjnego obejmują efekt dywersyfikacji.</w:t>
            </w:r>
          </w:p>
          <w:p w14:paraId="71BF6470" w14:textId="77777777" w:rsidR="00915077" w:rsidRPr="00E26EF6" w:rsidRDefault="00464F34">
            <w:pPr>
              <w:rPr>
                <w:rStyle w:val="InstructionsTabelleText"/>
                <w:rFonts w:ascii="Times New Roman" w:hAnsi="Times New Roman"/>
                <w:sz w:val="24"/>
                <w:highlight w:val="lightGray"/>
              </w:rPr>
            </w:pPr>
            <w:r w:rsidRPr="00E26EF6">
              <w:rPr>
                <w:rFonts w:ascii="Times New Roman" w:hAnsi="Times New Roman"/>
                <w:sz w:val="24"/>
              </w:rPr>
              <w:t>W kolumnie tej uwzględnia się stałe koszty pośrednie.</w:t>
            </w:r>
          </w:p>
        </w:tc>
      </w:tr>
      <w:tr w:rsidR="00915077" w:rsidRPr="00E26EF6" w14:paraId="7E363AA4" w14:textId="77777777" w:rsidTr="00672D2A">
        <w:tc>
          <w:tcPr>
            <w:tcW w:w="1188" w:type="dxa"/>
          </w:tcPr>
          <w:p w14:paraId="170C9C8C"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290</w:t>
            </w:r>
          </w:p>
        </w:tc>
        <w:tc>
          <w:tcPr>
            <w:tcW w:w="8640" w:type="dxa"/>
          </w:tcPr>
          <w:p w14:paraId="59DE72D6"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KWOTY INNYCH EKSPOZYCJI NA RYZYKO</w:t>
            </w:r>
          </w:p>
          <w:p w14:paraId="45E85CA0" w14:textId="79FC23A1"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Kwota, którą należy zgłosić</w:t>
            </w:r>
            <w:r w:rsidR="00E26EF6" w:rsidRPr="00E26EF6">
              <w:rPr>
                <w:rStyle w:val="InstructionsTabelleText"/>
                <w:rFonts w:ascii="Times New Roman" w:hAnsi="Times New Roman"/>
                <w:sz w:val="24"/>
              </w:rPr>
              <w:t xml:space="preserve"> w tej</w:t>
            </w:r>
            <w:r w:rsidRPr="00E26EF6">
              <w:rPr>
                <w:rStyle w:val="InstructionsTabelleText"/>
                <w:rFonts w:ascii="Times New Roman" w:hAnsi="Times New Roman"/>
                <w:sz w:val="24"/>
              </w:rPr>
              <w:t xml:space="preserve"> kolumnie, odpowiada kwocie ekspozycji na ryzyko dotyczącej innych rodzajów niż wymienione powyżej.</w:t>
            </w:r>
          </w:p>
        </w:tc>
      </w:tr>
      <w:tr w:rsidR="00915077" w:rsidRPr="00E26EF6" w14:paraId="6F963242" w14:textId="77777777" w:rsidTr="00672D2A">
        <w:tc>
          <w:tcPr>
            <w:tcW w:w="1188" w:type="dxa"/>
          </w:tcPr>
          <w:p w14:paraId="0174A197"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300–400</w:t>
            </w:r>
          </w:p>
        </w:tc>
        <w:tc>
          <w:tcPr>
            <w:tcW w:w="8640" w:type="dxa"/>
          </w:tcPr>
          <w:p w14:paraId="7267C2A4"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WKŁAD W FUNDUSZE WŁASNE</w:t>
            </w:r>
          </w:p>
          <w:p w14:paraId="11A314E7" w14:textId="52C2BC47" w:rsidR="00915077" w:rsidRPr="00E26EF6" w:rsidRDefault="00464F34">
            <w:pPr>
              <w:pStyle w:val="Texte2"/>
              <w:ind w:left="0"/>
              <w:rPr>
                <w:rStyle w:val="InstructionsTabelleText"/>
                <w:rFonts w:ascii="Times New Roman" w:hAnsi="Times New Roman"/>
                <w:sz w:val="24"/>
                <w:szCs w:val="24"/>
              </w:rPr>
            </w:pPr>
            <w:r w:rsidRPr="00E26EF6">
              <w:rPr>
                <w:rStyle w:val="InstructionsTabelleText"/>
                <w:rFonts w:ascii="Times New Roman" w:hAnsi="Times New Roman"/>
                <w:sz w:val="24"/>
                <w:szCs w:val="24"/>
              </w:rPr>
              <w:t xml:space="preserve">Celem tej części wzoru nie jest nakładanie na instytucje obowiązku przeprowadzenia pełnego obliczenia łącznego współczynnika kapitałowego na poziomie każdego podmiotu. </w:t>
            </w:r>
          </w:p>
          <w:p w14:paraId="3865A295" w14:textId="2DEB18D2" w:rsidR="00915077" w:rsidRPr="00E26EF6" w:rsidRDefault="00144F03">
            <w:pPr>
              <w:pStyle w:val="Texte2"/>
              <w:ind w:left="0"/>
              <w:rPr>
                <w:rStyle w:val="InstructionsTabelleText"/>
                <w:rFonts w:ascii="Times New Roman" w:hAnsi="Times New Roman"/>
                <w:sz w:val="24"/>
                <w:szCs w:val="24"/>
              </w:rPr>
            </w:pPr>
            <w:r w:rsidRPr="00E26EF6">
              <w:rPr>
                <w:rFonts w:ascii="Times New Roman" w:hAnsi="Times New Roman"/>
                <w:sz w:val="24"/>
                <w:szCs w:val="24"/>
              </w:rPr>
              <w:t>Kolumny 300–350 zgłasza się</w:t>
            </w:r>
            <w:r w:rsidR="00E26EF6" w:rsidRPr="00E26EF6">
              <w:rPr>
                <w:rFonts w:ascii="Times New Roman" w:hAnsi="Times New Roman"/>
                <w:sz w:val="24"/>
                <w:szCs w:val="24"/>
              </w:rPr>
              <w:t xml:space="preserve"> w odn</w:t>
            </w:r>
            <w:r w:rsidRPr="00E26EF6">
              <w:rPr>
                <w:rFonts w:ascii="Times New Roman" w:hAnsi="Times New Roman"/>
                <w:sz w:val="24"/>
                <w:szCs w:val="24"/>
              </w:rPr>
              <w:t>iesieniu do tych podmiotów skonsolidowanych, które dokonują wkładu</w:t>
            </w:r>
            <w:r w:rsidR="00E26EF6" w:rsidRPr="00E26EF6">
              <w:rPr>
                <w:rFonts w:ascii="Times New Roman" w:hAnsi="Times New Roman"/>
                <w:sz w:val="24"/>
                <w:szCs w:val="24"/>
              </w:rPr>
              <w:t xml:space="preserve"> w fun</w:t>
            </w:r>
            <w:r w:rsidRPr="00E26EF6">
              <w:rPr>
                <w:rFonts w:ascii="Times New Roman" w:hAnsi="Times New Roman"/>
                <w:sz w:val="24"/>
                <w:szCs w:val="24"/>
              </w:rPr>
              <w:t>dusze własne poprzez udziały mniejszości,</w:t>
            </w:r>
            <w:r w:rsidRPr="00E26EF6">
              <w:rPr>
                <w:sz w:val="24"/>
                <w:szCs w:val="24"/>
              </w:rPr>
              <w:t xml:space="preserve"> </w:t>
            </w:r>
            <w:r w:rsidRPr="00E26EF6">
              <w:rPr>
                <w:rFonts w:ascii="Times New Roman" w:hAnsi="Times New Roman"/>
                <w:sz w:val="24"/>
                <w:szCs w:val="24"/>
              </w:rPr>
              <w:t>kwalifikujący się kapitał Tier I lub kwalifikujące się fundusze własne</w:t>
            </w:r>
            <w:r w:rsidR="00E26EF6" w:rsidRPr="00E26EF6">
              <w:rPr>
                <w:rFonts w:ascii="Times New Roman" w:hAnsi="Times New Roman"/>
                <w:sz w:val="24"/>
                <w:szCs w:val="24"/>
              </w:rPr>
              <w:t>. Z zas</w:t>
            </w:r>
            <w:r w:rsidRPr="00E26EF6">
              <w:rPr>
                <w:rFonts w:ascii="Times New Roman" w:hAnsi="Times New Roman"/>
                <w:sz w:val="24"/>
                <w:szCs w:val="24"/>
              </w:rPr>
              <w:t>trzeżeniem progu,</w:t>
            </w:r>
            <w:r w:rsidR="00E26EF6" w:rsidRPr="00E26EF6">
              <w:rPr>
                <w:rFonts w:ascii="Times New Roman" w:hAnsi="Times New Roman"/>
                <w:sz w:val="24"/>
                <w:szCs w:val="24"/>
              </w:rPr>
              <w:t xml:space="preserve"> o któ</w:t>
            </w:r>
            <w:r w:rsidRPr="00E26EF6">
              <w:rPr>
                <w:rFonts w:ascii="Times New Roman" w:hAnsi="Times New Roman"/>
                <w:sz w:val="24"/>
                <w:szCs w:val="24"/>
              </w:rPr>
              <w:t>rym mowa powyżej</w:t>
            </w:r>
            <w:r w:rsidR="00E26EF6" w:rsidRPr="00E26EF6">
              <w:rPr>
                <w:rFonts w:ascii="Times New Roman" w:hAnsi="Times New Roman"/>
                <w:sz w:val="24"/>
                <w:szCs w:val="24"/>
              </w:rPr>
              <w:t xml:space="preserve"> w czę</w:t>
            </w:r>
            <w:r w:rsidRPr="00E26EF6">
              <w:rPr>
                <w:rFonts w:ascii="Times New Roman" w:hAnsi="Times New Roman"/>
                <w:sz w:val="24"/>
                <w:szCs w:val="24"/>
              </w:rPr>
              <w:t xml:space="preserve">ści II rozdział 2.3 </w:t>
            </w:r>
            <w:proofErr w:type="gramStart"/>
            <w:r w:rsidRPr="00E26EF6">
              <w:rPr>
                <w:rFonts w:ascii="Times New Roman" w:hAnsi="Times New Roman"/>
                <w:sz w:val="24"/>
                <w:szCs w:val="24"/>
              </w:rPr>
              <w:t>akapit</w:t>
            </w:r>
            <w:proofErr w:type="gramEnd"/>
            <w:r w:rsidRPr="00E26EF6">
              <w:rPr>
                <w:rFonts w:ascii="Times New Roman" w:hAnsi="Times New Roman"/>
                <w:sz w:val="24"/>
                <w:szCs w:val="24"/>
              </w:rPr>
              <w:t xml:space="preserve"> ostatni, kolumny 360–400 zgłasza się dla wszystkich podmiotów skonsolidowanych, które dokonują wkładu</w:t>
            </w:r>
            <w:r w:rsidR="00E26EF6" w:rsidRPr="00E26EF6">
              <w:rPr>
                <w:rFonts w:ascii="Times New Roman" w:hAnsi="Times New Roman"/>
                <w:sz w:val="24"/>
                <w:szCs w:val="24"/>
              </w:rPr>
              <w:t xml:space="preserve"> w sko</w:t>
            </w:r>
            <w:r w:rsidRPr="00E26EF6">
              <w:rPr>
                <w:rFonts w:ascii="Times New Roman" w:hAnsi="Times New Roman"/>
                <w:sz w:val="24"/>
                <w:szCs w:val="24"/>
              </w:rPr>
              <w:t>nsolidowane fundusze własne.</w:t>
            </w:r>
          </w:p>
          <w:p w14:paraId="2E1AFE9A" w14:textId="3E68129B" w:rsidR="00915077" w:rsidRPr="00E26EF6" w:rsidRDefault="00464F34">
            <w:pPr>
              <w:pStyle w:val="Texte2"/>
              <w:ind w:left="0"/>
              <w:rPr>
                <w:rStyle w:val="InstructionsTabelleText"/>
                <w:rFonts w:ascii="Times New Roman" w:hAnsi="Times New Roman"/>
                <w:sz w:val="24"/>
                <w:szCs w:val="24"/>
              </w:rPr>
            </w:pPr>
            <w:r w:rsidRPr="00E26EF6">
              <w:rPr>
                <w:rStyle w:val="InstructionsTabelleText"/>
                <w:rFonts w:ascii="Times New Roman" w:hAnsi="Times New Roman"/>
                <w:sz w:val="24"/>
                <w:szCs w:val="24"/>
              </w:rPr>
              <w:t>Fundusze własne wprowadzone do podmiotu przez pozostałe podmioty objęte zakresem sprawozdawczości jednostki sprawozdającej nie są brane pod uwagę</w:t>
            </w:r>
            <w:r w:rsidR="00E26EF6" w:rsidRPr="00E26EF6">
              <w:rPr>
                <w:rStyle w:val="InstructionsTabelleText"/>
                <w:rFonts w:ascii="Times New Roman" w:hAnsi="Times New Roman"/>
                <w:sz w:val="24"/>
                <w:szCs w:val="24"/>
              </w:rPr>
              <w:t>. W kol</w:t>
            </w:r>
            <w:r w:rsidRPr="00E26EF6">
              <w:rPr>
                <w:rStyle w:val="InstructionsTabelleText"/>
                <w:rFonts w:ascii="Times New Roman" w:hAnsi="Times New Roman"/>
                <w:sz w:val="24"/>
                <w:szCs w:val="24"/>
              </w:rPr>
              <w:t>umnie tej zgłasza się wyłącznie wkład netto</w:t>
            </w:r>
            <w:r w:rsidR="00E26EF6" w:rsidRPr="00E26EF6">
              <w:rPr>
                <w:rStyle w:val="InstructionsTabelleText"/>
                <w:rFonts w:ascii="Times New Roman" w:hAnsi="Times New Roman"/>
                <w:sz w:val="24"/>
                <w:szCs w:val="24"/>
              </w:rPr>
              <w:t xml:space="preserve"> w fun</w:t>
            </w:r>
            <w:r w:rsidRPr="00E26EF6">
              <w:rPr>
                <w:rStyle w:val="InstructionsTabelleText"/>
                <w:rFonts w:ascii="Times New Roman" w:hAnsi="Times New Roman"/>
                <w:sz w:val="24"/>
                <w:szCs w:val="24"/>
              </w:rPr>
              <w:t>dusze własne grupy (przede wszystkim fundusze własne uzyskane od osób trzecich</w:t>
            </w:r>
            <w:r w:rsidR="00E26EF6" w:rsidRPr="00E26EF6">
              <w:rPr>
                <w:rStyle w:val="InstructionsTabelleText"/>
                <w:rFonts w:ascii="Times New Roman" w:hAnsi="Times New Roman"/>
                <w:sz w:val="24"/>
                <w:szCs w:val="24"/>
              </w:rPr>
              <w:t xml:space="preserve"> i sku</w:t>
            </w:r>
            <w:r w:rsidRPr="00E26EF6">
              <w:rPr>
                <w:rStyle w:val="InstructionsTabelleText"/>
                <w:rFonts w:ascii="Times New Roman" w:hAnsi="Times New Roman"/>
                <w:sz w:val="24"/>
                <w:szCs w:val="24"/>
              </w:rPr>
              <w:t xml:space="preserve">mulowane rezerwy). </w:t>
            </w:r>
          </w:p>
          <w:p w14:paraId="5CA636EE" w14:textId="132A911A" w:rsidR="00915077" w:rsidRPr="00E26EF6" w:rsidRDefault="00464F34">
            <w:pPr>
              <w:pStyle w:val="Texte2"/>
              <w:spacing w:after="120"/>
              <w:ind w:left="0"/>
              <w:rPr>
                <w:rStyle w:val="InstructionsTabelleberschrift"/>
                <w:rFonts w:ascii="Times New Roman" w:hAnsi="Times New Roman"/>
                <w:b w:val="0"/>
                <w:bCs w:val="0"/>
                <w:sz w:val="24"/>
                <w:szCs w:val="24"/>
                <w:highlight w:val="lightGray"/>
              </w:rPr>
            </w:pPr>
            <w:r w:rsidRPr="00E26EF6">
              <w:rPr>
                <w:rStyle w:val="InstructionsTabelleText"/>
                <w:rFonts w:ascii="Times New Roman" w:hAnsi="Times New Roman"/>
                <w:sz w:val="24"/>
                <w:szCs w:val="24"/>
              </w:rPr>
              <w:t>Zgłoszone</w:t>
            </w:r>
            <w:r w:rsidR="00E26EF6" w:rsidRPr="00E26EF6">
              <w:rPr>
                <w:rStyle w:val="InstructionsTabelleText"/>
                <w:rFonts w:ascii="Times New Roman" w:hAnsi="Times New Roman"/>
                <w:sz w:val="24"/>
                <w:szCs w:val="24"/>
              </w:rPr>
              <w:t xml:space="preserve"> w nas</w:t>
            </w:r>
            <w:r w:rsidRPr="00E26EF6">
              <w:rPr>
                <w:rStyle w:val="InstructionsTabelleText"/>
                <w:rFonts w:ascii="Times New Roman" w:hAnsi="Times New Roman"/>
                <w:sz w:val="24"/>
                <w:szCs w:val="24"/>
              </w:rPr>
              <w:t>tępujących kolumnach informacje są zgodne</w:t>
            </w:r>
            <w:r w:rsidR="00E26EF6" w:rsidRPr="00E26EF6">
              <w:rPr>
                <w:rStyle w:val="InstructionsTabelleText"/>
                <w:rFonts w:ascii="Times New Roman" w:hAnsi="Times New Roman"/>
                <w:sz w:val="24"/>
                <w:szCs w:val="24"/>
              </w:rPr>
              <w:t xml:space="preserve"> z prz</w:t>
            </w:r>
            <w:r w:rsidRPr="00E26EF6">
              <w:rPr>
                <w:rStyle w:val="InstructionsTabelleText"/>
                <w:rFonts w:ascii="Times New Roman" w:hAnsi="Times New Roman"/>
                <w:sz w:val="24"/>
                <w:szCs w:val="24"/>
              </w:rPr>
              <w:t>episami dotyczącymi wypłacalności mającymi zastosowanie do instytucji sprawozdającej.</w:t>
            </w:r>
          </w:p>
        </w:tc>
      </w:tr>
      <w:tr w:rsidR="00915077" w:rsidRPr="00E26EF6" w14:paraId="3BEFC5EB" w14:textId="77777777" w:rsidTr="00672D2A">
        <w:tc>
          <w:tcPr>
            <w:tcW w:w="1188" w:type="dxa"/>
          </w:tcPr>
          <w:p w14:paraId="7012FA18"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300–350</w:t>
            </w:r>
          </w:p>
        </w:tc>
        <w:tc>
          <w:tcPr>
            <w:tcW w:w="8640" w:type="dxa"/>
          </w:tcPr>
          <w:p w14:paraId="23116F1E"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KWALIFIKUJĄCE SIĘ FUNDUSZE WŁASNE UWZGLĘDNIONE W SKONSOLIDOWANYCH FUNDUSZACH WŁASNYCH</w:t>
            </w:r>
          </w:p>
          <w:p w14:paraId="6EE0AA3D" w14:textId="794FDCFD"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Kwota, którą należy zgłosić jako „KWALIFIKUJĄCE SIĘ FUNDUSZE WŁASNE UWZGLĘDNIONE W SKONSOLIDOWANYCH FUNDUSZACH WŁASNYCH”, jest kwotą wynikającą</w:t>
            </w:r>
            <w:r w:rsidR="00E26EF6" w:rsidRPr="00E26EF6">
              <w:rPr>
                <w:rStyle w:val="InstructionsTabelleText"/>
                <w:rFonts w:ascii="Times New Roman" w:hAnsi="Times New Roman"/>
                <w:sz w:val="24"/>
              </w:rPr>
              <w:t xml:space="preserve"> z czę</w:t>
            </w:r>
            <w:r w:rsidRPr="00E26EF6">
              <w:rPr>
                <w:rStyle w:val="InstructionsTabelleText"/>
                <w:rFonts w:ascii="Times New Roman" w:hAnsi="Times New Roman"/>
                <w:sz w:val="24"/>
              </w:rPr>
              <w:t>ści drugiej tytuł II CRR,</w:t>
            </w:r>
            <w:r w:rsidR="00E26EF6" w:rsidRPr="00E26EF6">
              <w:rPr>
                <w:rStyle w:val="InstructionsTabelleText"/>
                <w:rFonts w:ascii="Times New Roman" w:hAnsi="Times New Roman"/>
                <w:sz w:val="24"/>
              </w:rPr>
              <w:t xml:space="preserve"> z wył</w:t>
            </w:r>
            <w:r w:rsidRPr="00E26EF6">
              <w:rPr>
                <w:rStyle w:val="InstructionsTabelleText"/>
                <w:rFonts w:ascii="Times New Roman" w:hAnsi="Times New Roman"/>
                <w:sz w:val="24"/>
              </w:rPr>
              <w:t>ączeniem wszelkich funduszy wniesionych przez inne podmioty grupy.</w:t>
            </w:r>
          </w:p>
        </w:tc>
      </w:tr>
      <w:tr w:rsidR="00915077" w:rsidRPr="00E26EF6" w14:paraId="1790E500" w14:textId="77777777" w:rsidTr="00672D2A">
        <w:tc>
          <w:tcPr>
            <w:tcW w:w="1188" w:type="dxa"/>
          </w:tcPr>
          <w:p w14:paraId="7888A79A" w14:textId="77777777" w:rsidR="00915077" w:rsidRPr="00E26EF6" w:rsidRDefault="00464F34">
            <w:pPr>
              <w:rPr>
                <w:rStyle w:val="InstructionsTabelleText"/>
                <w:rFonts w:ascii="Times New Roman" w:hAnsi="Times New Roman"/>
                <w:sz w:val="24"/>
                <w:highlight w:val="lightGray"/>
              </w:rPr>
            </w:pPr>
            <w:r w:rsidRPr="00E26EF6">
              <w:rPr>
                <w:rFonts w:ascii="Times New Roman" w:hAnsi="Times New Roman"/>
                <w:sz w:val="24"/>
              </w:rPr>
              <w:t>300</w:t>
            </w:r>
          </w:p>
        </w:tc>
        <w:tc>
          <w:tcPr>
            <w:tcW w:w="8640" w:type="dxa"/>
          </w:tcPr>
          <w:p w14:paraId="2D92B9FB"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KWALIFIKUJĄCE SIĘ FUNDUSZE WŁASNE UWZGLĘDNIONE W SKONSOLIDOWANYCH FUNDUSZACH WŁASNYCH</w:t>
            </w:r>
          </w:p>
          <w:p w14:paraId="70F58F8C" w14:textId="02B77BB6"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Art. 87 CRR</w:t>
            </w:r>
          </w:p>
        </w:tc>
      </w:tr>
      <w:tr w:rsidR="00915077" w:rsidRPr="00E26EF6" w14:paraId="5C01EE84" w14:textId="77777777" w:rsidTr="00672D2A">
        <w:tc>
          <w:tcPr>
            <w:tcW w:w="1188" w:type="dxa"/>
          </w:tcPr>
          <w:p w14:paraId="2CADDD49" w14:textId="77777777" w:rsidR="00915077" w:rsidRPr="00E26EF6" w:rsidRDefault="00464F34">
            <w:pPr>
              <w:rPr>
                <w:rStyle w:val="InstructionsTabelleText"/>
                <w:rFonts w:ascii="Times New Roman" w:hAnsi="Times New Roman"/>
                <w:sz w:val="24"/>
                <w:highlight w:val="lightGray"/>
              </w:rPr>
            </w:pPr>
            <w:r w:rsidRPr="00E26EF6">
              <w:rPr>
                <w:rFonts w:ascii="Times New Roman" w:hAnsi="Times New Roman"/>
                <w:sz w:val="24"/>
              </w:rPr>
              <w:t>310</w:t>
            </w:r>
          </w:p>
        </w:tc>
        <w:tc>
          <w:tcPr>
            <w:tcW w:w="8640" w:type="dxa"/>
          </w:tcPr>
          <w:p w14:paraId="250EFA69"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KWALIFIKUJĄCE SIĘ INSTRUMENTY W TIER I UWZGLĘDNIONE W SKONSOLIDOWANYM KAPITALE TIER I</w:t>
            </w:r>
          </w:p>
          <w:p w14:paraId="4AA94D29" w14:textId="5411A7D8"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Art. 85 CRR</w:t>
            </w:r>
          </w:p>
        </w:tc>
      </w:tr>
      <w:tr w:rsidR="00915077" w:rsidRPr="00E26EF6" w14:paraId="51C2388F" w14:textId="77777777" w:rsidTr="00672D2A">
        <w:tc>
          <w:tcPr>
            <w:tcW w:w="1188" w:type="dxa"/>
          </w:tcPr>
          <w:p w14:paraId="512828E0" w14:textId="77777777" w:rsidR="00915077" w:rsidRPr="00E26EF6" w:rsidRDefault="00464F34">
            <w:pPr>
              <w:rPr>
                <w:rStyle w:val="InstructionsTabelleText"/>
                <w:rFonts w:ascii="Times New Roman" w:hAnsi="Times New Roman"/>
                <w:sz w:val="24"/>
                <w:highlight w:val="lightGray"/>
              </w:rPr>
            </w:pPr>
            <w:r w:rsidRPr="00E26EF6">
              <w:rPr>
                <w:rFonts w:ascii="Times New Roman" w:hAnsi="Times New Roman"/>
                <w:sz w:val="24"/>
              </w:rPr>
              <w:t>320</w:t>
            </w:r>
          </w:p>
        </w:tc>
        <w:tc>
          <w:tcPr>
            <w:tcW w:w="8640" w:type="dxa"/>
          </w:tcPr>
          <w:p w14:paraId="0CB4FAEF" w14:textId="77777777" w:rsidR="00915077" w:rsidRPr="00E26EF6" w:rsidRDefault="00464F34">
            <w:pPr>
              <w:rPr>
                <w:rStyle w:val="InstructionsTabelleText"/>
                <w:rFonts w:ascii="Times New Roman" w:hAnsi="Times New Roman"/>
                <w:sz w:val="24"/>
              </w:rPr>
            </w:pPr>
            <w:r w:rsidRPr="00E26EF6">
              <w:rPr>
                <w:rStyle w:val="InstructionsTabelleberschrift"/>
                <w:rFonts w:ascii="Times New Roman" w:hAnsi="Times New Roman"/>
                <w:sz w:val="24"/>
              </w:rPr>
              <w:t>UDZIAŁY MNIEJSZOŚCI UWZGLĘDNIONE W SKONSOLIDOWANYM</w:t>
            </w:r>
            <w:r w:rsidRPr="00E26EF6">
              <w:rPr>
                <w:rStyle w:val="InstructionsTabelleberschrift"/>
                <w:rFonts w:ascii="Times New Roman" w:hAnsi="Times New Roman"/>
                <w:sz w:val="24"/>
              </w:rPr>
              <w:br/>
              <w:t>KAPITALE PODSTAWOWYM TIER I</w:t>
            </w:r>
          </w:p>
          <w:p w14:paraId="160B6956" w14:textId="4460E230"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Art. 84 CRR</w:t>
            </w:r>
          </w:p>
          <w:p w14:paraId="4ED4B8CC" w14:textId="0A6B1969"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Kwotą, którą należy zgłosić, jest kwota udziałów mniejszości jednostki zależnej uwzględniona</w:t>
            </w:r>
            <w:r w:rsidR="00E26EF6" w:rsidRPr="00E26EF6">
              <w:rPr>
                <w:rStyle w:val="InstructionsTabelleText"/>
                <w:rFonts w:ascii="Times New Roman" w:hAnsi="Times New Roman"/>
                <w:sz w:val="24"/>
              </w:rPr>
              <w:t xml:space="preserve"> w sko</w:t>
            </w:r>
            <w:r w:rsidRPr="00E26EF6">
              <w:rPr>
                <w:rStyle w:val="InstructionsTabelleText"/>
                <w:rFonts w:ascii="Times New Roman" w:hAnsi="Times New Roman"/>
                <w:sz w:val="24"/>
              </w:rPr>
              <w:t xml:space="preserve">nsolidowanym kapitale podstawowym Tier I zgodnie z CRR. </w:t>
            </w:r>
          </w:p>
        </w:tc>
      </w:tr>
      <w:tr w:rsidR="00915077" w:rsidRPr="00E26EF6" w14:paraId="1D8D9731" w14:textId="77777777" w:rsidTr="00672D2A">
        <w:tc>
          <w:tcPr>
            <w:tcW w:w="1188" w:type="dxa"/>
          </w:tcPr>
          <w:p w14:paraId="2300A69C" w14:textId="77777777" w:rsidR="00915077" w:rsidRPr="00E26EF6" w:rsidRDefault="00464F34">
            <w:pPr>
              <w:rPr>
                <w:rStyle w:val="InstructionsTabelleText"/>
                <w:rFonts w:ascii="Times New Roman" w:hAnsi="Times New Roman"/>
                <w:sz w:val="24"/>
                <w:highlight w:val="lightGray"/>
              </w:rPr>
            </w:pPr>
            <w:r w:rsidRPr="00E26EF6">
              <w:rPr>
                <w:rFonts w:ascii="Times New Roman" w:hAnsi="Times New Roman"/>
                <w:sz w:val="24"/>
              </w:rPr>
              <w:t>330</w:t>
            </w:r>
          </w:p>
        </w:tc>
        <w:tc>
          <w:tcPr>
            <w:tcW w:w="8640" w:type="dxa"/>
          </w:tcPr>
          <w:p w14:paraId="6B046E49" w14:textId="77777777" w:rsidR="00915077" w:rsidRPr="00E26EF6" w:rsidRDefault="00464F34">
            <w:pPr>
              <w:rPr>
                <w:rStyle w:val="InstructionsTabelleText"/>
                <w:rFonts w:ascii="Times New Roman" w:hAnsi="Times New Roman"/>
                <w:sz w:val="24"/>
              </w:rPr>
            </w:pPr>
            <w:r w:rsidRPr="00E26EF6">
              <w:rPr>
                <w:rStyle w:val="InstructionsTabelleberschrift"/>
                <w:rFonts w:ascii="Times New Roman" w:hAnsi="Times New Roman"/>
                <w:sz w:val="24"/>
              </w:rPr>
              <w:t>KWALIFIKUJĄCE SIĘ INSTRUMENTY W KAPITALE TIER I UWZGLĘDNIONE W SKONSOLIDOWANYM KAPITALE DODATKOWYM TIER I</w:t>
            </w:r>
          </w:p>
          <w:p w14:paraId="2407C887" w14:textId="78BCAD88"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Art. 86 CRR</w:t>
            </w:r>
          </w:p>
          <w:p w14:paraId="59A4ACFF" w14:textId="0C9EDFD4"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Kwotą, którą należy zgłosić, jest kwota kwalifikującego się kapitału Tier I jednostki zależnej uwzględniona</w:t>
            </w:r>
            <w:r w:rsidR="00E26EF6" w:rsidRPr="00E26EF6">
              <w:rPr>
                <w:rStyle w:val="InstructionsTabelleText"/>
                <w:rFonts w:ascii="Times New Roman" w:hAnsi="Times New Roman"/>
                <w:sz w:val="24"/>
              </w:rPr>
              <w:t xml:space="preserve"> w sko</w:t>
            </w:r>
            <w:r w:rsidRPr="00E26EF6">
              <w:rPr>
                <w:rStyle w:val="InstructionsTabelleText"/>
                <w:rFonts w:ascii="Times New Roman" w:hAnsi="Times New Roman"/>
                <w:sz w:val="24"/>
              </w:rPr>
              <w:t xml:space="preserve">nsolidowanym kapitale dodatkowym Tier I zgodnie z CRR. </w:t>
            </w:r>
          </w:p>
        </w:tc>
      </w:tr>
      <w:tr w:rsidR="00915077" w:rsidRPr="00E26EF6" w14:paraId="129BF993" w14:textId="77777777" w:rsidTr="00672D2A">
        <w:tc>
          <w:tcPr>
            <w:tcW w:w="1188" w:type="dxa"/>
          </w:tcPr>
          <w:p w14:paraId="5BEE037F" w14:textId="77777777" w:rsidR="00915077" w:rsidRPr="00E26EF6" w:rsidRDefault="00464F34">
            <w:pPr>
              <w:rPr>
                <w:rStyle w:val="InstructionsTabelleText"/>
                <w:rFonts w:ascii="Times New Roman" w:hAnsi="Times New Roman"/>
                <w:sz w:val="24"/>
                <w:highlight w:val="lightGray"/>
              </w:rPr>
            </w:pPr>
            <w:r w:rsidRPr="00E26EF6">
              <w:rPr>
                <w:rFonts w:ascii="Times New Roman" w:hAnsi="Times New Roman"/>
                <w:sz w:val="24"/>
              </w:rPr>
              <w:lastRenderedPageBreak/>
              <w:t>340</w:t>
            </w:r>
          </w:p>
        </w:tc>
        <w:tc>
          <w:tcPr>
            <w:tcW w:w="8640" w:type="dxa"/>
          </w:tcPr>
          <w:p w14:paraId="55091107"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KWALIFIKUJĄCE SIĘ INSTRUMENTY FUNDUSZY WŁASNYCH UWZGLĘDNIONE W</w:t>
            </w:r>
            <w:r w:rsidRPr="00E26EF6">
              <w:rPr>
                <w:rStyle w:val="InstructionsTabelleberschrift"/>
                <w:rFonts w:ascii="Times New Roman" w:hAnsi="Times New Roman"/>
                <w:sz w:val="24"/>
              </w:rPr>
              <w:br/>
              <w:t>SKONSOLIDOWANYM KAPITALE TIER II</w:t>
            </w:r>
          </w:p>
          <w:p w14:paraId="57DF16FA" w14:textId="3A7244DE" w:rsidR="00915077" w:rsidRPr="00E26EF6" w:rsidRDefault="00464F34">
            <w:pPr>
              <w:rPr>
                <w:rStyle w:val="InstructionsTabelleText"/>
                <w:rFonts w:ascii="Times New Roman" w:hAnsi="Times New Roman"/>
                <w:sz w:val="24"/>
              </w:rPr>
            </w:pPr>
            <w:r w:rsidRPr="00E26EF6">
              <w:rPr>
                <w:rStyle w:val="InstructionsTabelleText"/>
                <w:rFonts w:ascii="Times New Roman" w:hAnsi="Times New Roman"/>
                <w:sz w:val="24"/>
              </w:rPr>
              <w:t>Art. 88 CRR</w:t>
            </w:r>
          </w:p>
          <w:p w14:paraId="24816211" w14:textId="475007B3"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Kwotą, którą należy zgłosić, jest kwota kwalifikujących się funduszy własnych jednostki zależnej uwzględniona</w:t>
            </w:r>
            <w:r w:rsidR="00E26EF6" w:rsidRPr="00E26EF6">
              <w:rPr>
                <w:rStyle w:val="InstructionsTabelleText"/>
                <w:rFonts w:ascii="Times New Roman" w:hAnsi="Times New Roman"/>
                <w:sz w:val="24"/>
              </w:rPr>
              <w:t xml:space="preserve"> w sko</w:t>
            </w:r>
            <w:r w:rsidRPr="00E26EF6">
              <w:rPr>
                <w:rStyle w:val="InstructionsTabelleText"/>
                <w:rFonts w:ascii="Times New Roman" w:hAnsi="Times New Roman"/>
                <w:sz w:val="24"/>
              </w:rPr>
              <w:t xml:space="preserve">nsolidowanym kapitale Tier II zgodnie z CRR. </w:t>
            </w:r>
          </w:p>
        </w:tc>
      </w:tr>
      <w:tr w:rsidR="00915077" w:rsidRPr="00E26EF6" w14:paraId="2AE56A3E" w14:textId="77777777" w:rsidTr="00672D2A">
        <w:tc>
          <w:tcPr>
            <w:tcW w:w="1188" w:type="dxa"/>
          </w:tcPr>
          <w:p w14:paraId="04C23640" w14:textId="77777777" w:rsidR="00915077" w:rsidRPr="00E26EF6" w:rsidRDefault="00464F34">
            <w:pPr>
              <w:rPr>
                <w:rFonts w:ascii="Times New Roman" w:hAnsi="Times New Roman"/>
                <w:sz w:val="24"/>
                <w:highlight w:val="lightGray"/>
              </w:rPr>
            </w:pPr>
            <w:r w:rsidRPr="00E26EF6">
              <w:rPr>
                <w:rFonts w:ascii="Times New Roman" w:hAnsi="Times New Roman"/>
                <w:sz w:val="24"/>
              </w:rPr>
              <w:t>350</w:t>
            </w:r>
          </w:p>
        </w:tc>
        <w:tc>
          <w:tcPr>
            <w:tcW w:w="8640" w:type="dxa"/>
          </w:tcPr>
          <w:p w14:paraId="29A7F16B" w14:textId="77777777" w:rsidR="00915077" w:rsidRPr="00E26EF6" w:rsidRDefault="00464F34">
            <w:pPr>
              <w:rPr>
                <w:rStyle w:val="InstructionsTabelleberschrift"/>
                <w:rFonts w:ascii="Times New Roman" w:hAnsi="Times New Roman"/>
                <w:b w:val="0"/>
                <w:sz w:val="24"/>
                <w:highlight w:val="lightGray"/>
              </w:rPr>
            </w:pPr>
            <w:r w:rsidRPr="00E26EF6">
              <w:rPr>
                <w:rStyle w:val="InstructionsTabelleberschrift"/>
                <w:rFonts w:ascii="Times New Roman" w:hAnsi="Times New Roman"/>
                <w:sz w:val="24"/>
              </w:rPr>
              <w:t>POZYCJA UZUPEŁNIAJĄCA: WARTOŚĆ FIRMY (-) / (+) UJEMNA WARTOŚĆ FIRMY</w:t>
            </w:r>
          </w:p>
        </w:tc>
      </w:tr>
      <w:tr w:rsidR="00915077" w:rsidRPr="00E26EF6" w14:paraId="1058F454" w14:textId="77777777" w:rsidTr="00672D2A">
        <w:tc>
          <w:tcPr>
            <w:tcW w:w="1188" w:type="dxa"/>
          </w:tcPr>
          <w:p w14:paraId="3E29943B" w14:textId="77777777" w:rsidR="00915077" w:rsidRPr="00E26EF6" w:rsidRDefault="00464F34">
            <w:pPr>
              <w:rPr>
                <w:rFonts w:ascii="Times New Roman" w:hAnsi="Times New Roman"/>
                <w:sz w:val="24"/>
                <w:highlight w:val="lightGray"/>
              </w:rPr>
            </w:pPr>
            <w:r w:rsidRPr="00E26EF6">
              <w:rPr>
                <w:rFonts w:ascii="Times New Roman" w:hAnsi="Times New Roman"/>
                <w:sz w:val="24"/>
              </w:rPr>
              <w:t>360–400</w:t>
            </w:r>
          </w:p>
        </w:tc>
        <w:tc>
          <w:tcPr>
            <w:tcW w:w="8640" w:type="dxa"/>
          </w:tcPr>
          <w:p w14:paraId="5C286EC1"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SKONSOLIDOWANE FUNDUSZE WŁASNE</w:t>
            </w:r>
          </w:p>
          <w:p w14:paraId="162DBB5B" w14:textId="77777777" w:rsidR="00915077" w:rsidRPr="00E26EF6" w:rsidRDefault="00144F03">
            <w:pPr>
              <w:rPr>
                <w:rStyle w:val="InstructionsTabelleText"/>
                <w:rFonts w:ascii="Times New Roman" w:hAnsi="Times New Roman"/>
                <w:sz w:val="24"/>
              </w:rPr>
            </w:pPr>
            <w:r w:rsidRPr="00E26EF6">
              <w:rPr>
                <w:rStyle w:val="InstructionsTabelleText"/>
                <w:rFonts w:ascii="Times New Roman" w:hAnsi="Times New Roman"/>
                <w:sz w:val="24"/>
              </w:rPr>
              <w:t>Art. 18 CRR</w:t>
            </w:r>
          </w:p>
          <w:p w14:paraId="73795258" w14:textId="7B382314"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Kwota, którą należy zgłosić jako „SKONSOLIDOWANE FUNDUSZE WŁASNE”, jest kwotą wynikającą</w:t>
            </w:r>
            <w:r w:rsidR="00E26EF6" w:rsidRPr="00E26EF6">
              <w:rPr>
                <w:rStyle w:val="InstructionsTabelleText"/>
                <w:rFonts w:ascii="Times New Roman" w:hAnsi="Times New Roman"/>
                <w:sz w:val="24"/>
              </w:rPr>
              <w:t xml:space="preserve"> z bil</w:t>
            </w:r>
            <w:r w:rsidRPr="00E26EF6">
              <w:rPr>
                <w:rStyle w:val="InstructionsTabelleText"/>
                <w:rFonts w:ascii="Times New Roman" w:hAnsi="Times New Roman"/>
                <w:sz w:val="24"/>
              </w:rPr>
              <w:t>ansu</w:t>
            </w:r>
            <w:r w:rsidR="00E26EF6" w:rsidRPr="00E26EF6">
              <w:rPr>
                <w:rStyle w:val="InstructionsTabelleText"/>
                <w:rFonts w:ascii="Times New Roman" w:hAnsi="Times New Roman"/>
                <w:sz w:val="24"/>
              </w:rPr>
              <w:t xml:space="preserve"> z wył</w:t>
            </w:r>
            <w:r w:rsidRPr="00E26EF6">
              <w:rPr>
                <w:rStyle w:val="InstructionsTabelleText"/>
                <w:rFonts w:ascii="Times New Roman" w:hAnsi="Times New Roman"/>
                <w:sz w:val="24"/>
              </w:rPr>
              <w:t>ączeniem wszelkich funduszy wniesionych przez inne podmioty grupy.</w:t>
            </w:r>
          </w:p>
        </w:tc>
      </w:tr>
      <w:tr w:rsidR="00915077" w:rsidRPr="00E26EF6" w14:paraId="5AA67888" w14:textId="77777777" w:rsidTr="00672D2A">
        <w:tc>
          <w:tcPr>
            <w:tcW w:w="1188" w:type="dxa"/>
          </w:tcPr>
          <w:p w14:paraId="3FA205D2" w14:textId="77777777" w:rsidR="00915077" w:rsidRPr="00E26EF6" w:rsidRDefault="00464F34">
            <w:pPr>
              <w:rPr>
                <w:rFonts w:ascii="Times New Roman" w:hAnsi="Times New Roman"/>
                <w:sz w:val="24"/>
                <w:highlight w:val="lightGray"/>
              </w:rPr>
            </w:pPr>
            <w:r w:rsidRPr="00E26EF6">
              <w:rPr>
                <w:rFonts w:ascii="Times New Roman" w:hAnsi="Times New Roman"/>
                <w:sz w:val="24"/>
              </w:rPr>
              <w:t>360</w:t>
            </w:r>
          </w:p>
        </w:tc>
        <w:tc>
          <w:tcPr>
            <w:tcW w:w="8640" w:type="dxa"/>
          </w:tcPr>
          <w:p w14:paraId="45C611D2" w14:textId="77777777" w:rsidR="00915077" w:rsidRPr="00E26EF6" w:rsidRDefault="00464F34">
            <w:pPr>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SKONSOLIDOWANE FUNDUSZE WŁASNE</w:t>
            </w:r>
          </w:p>
        </w:tc>
      </w:tr>
      <w:tr w:rsidR="00915077" w:rsidRPr="00E26EF6" w14:paraId="60B6ED66" w14:textId="77777777" w:rsidTr="00672D2A">
        <w:tc>
          <w:tcPr>
            <w:tcW w:w="1188" w:type="dxa"/>
          </w:tcPr>
          <w:p w14:paraId="3F6AF20B" w14:textId="77777777" w:rsidR="00915077" w:rsidRPr="00E26EF6" w:rsidRDefault="00464F34">
            <w:pPr>
              <w:rPr>
                <w:rFonts w:ascii="Times New Roman" w:hAnsi="Times New Roman"/>
                <w:sz w:val="24"/>
                <w:highlight w:val="lightGray"/>
              </w:rPr>
            </w:pPr>
            <w:r w:rsidRPr="00E26EF6">
              <w:rPr>
                <w:rFonts w:ascii="Times New Roman" w:hAnsi="Times New Roman"/>
                <w:sz w:val="24"/>
              </w:rPr>
              <w:t>370</w:t>
            </w:r>
          </w:p>
        </w:tc>
        <w:tc>
          <w:tcPr>
            <w:tcW w:w="8640" w:type="dxa"/>
          </w:tcPr>
          <w:p w14:paraId="04D45469" w14:textId="77777777" w:rsidR="00915077" w:rsidRPr="00E26EF6" w:rsidRDefault="00464F34">
            <w:pPr>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W TYM: KAPITAŁ PODSTAWOWY TIER I</w:t>
            </w:r>
          </w:p>
        </w:tc>
      </w:tr>
      <w:tr w:rsidR="00915077" w:rsidRPr="00E26EF6" w14:paraId="566334E0" w14:textId="77777777" w:rsidTr="00672D2A">
        <w:tc>
          <w:tcPr>
            <w:tcW w:w="1188" w:type="dxa"/>
          </w:tcPr>
          <w:p w14:paraId="64BE572A" w14:textId="77777777" w:rsidR="00915077" w:rsidRPr="00E26EF6" w:rsidDel="0081176B" w:rsidRDefault="00464F34">
            <w:pPr>
              <w:rPr>
                <w:rFonts w:ascii="Times New Roman" w:hAnsi="Times New Roman"/>
                <w:sz w:val="24"/>
                <w:highlight w:val="lightGray"/>
              </w:rPr>
            </w:pPr>
            <w:r w:rsidRPr="00E26EF6">
              <w:rPr>
                <w:rFonts w:ascii="Times New Roman" w:hAnsi="Times New Roman"/>
                <w:sz w:val="24"/>
              </w:rPr>
              <w:t>380</w:t>
            </w:r>
          </w:p>
        </w:tc>
        <w:tc>
          <w:tcPr>
            <w:tcW w:w="8640" w:type="dxa"/>
          </w:tcPr>
          <w:p w14:paraId="7522E2C9" w14:textId="77777777" w:rsidR="00915077" w:rsidRPr="00E26EF6" w:rsidDel="0081176B" w:rsidRDefault="00464F34">
            <w:pPr>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W TYM: KAPITAŁ DODATKOWY TIER I</w:t>
            </w:r>
          </w:p>
        </w:tc>
      </w:tr>
      <w:tr w:rsidR="00915077" w:rsidRPr="00E26EF6" w14:paraId="31D77A09" w14:textId="77777777" w:rsidTr="00672D2A">
        <w:tc>
          <w:tcPr>
            <w:tcW w:w="1188" w:type="dxa"/>
          </w:tcPr>
          <w:p w14:paraId="36F058F5" w14:textId="77777777" w:rsidR="00915077" w:rsidRPr="00E26EF6" w:rsidRDefault="00464F34">
            <w:pPr>
              <w:rPr>
                <w:rFonts w:ascii="Times New Roman" w:hAnsi="Times New Roman"/>
                <w:sz w:val="24"/>
                <w:highlight w:val="lightGray"/>
              </w:rPr>
            </w:pPr>
            <w:r w:rsidRPr="00E26EF6">
              <w:rPr>
                <w:rFonts w:ascii="Times New Roman" w:hAnsi="Times New Roman"/>
                <w:sz w:val="24"/>
              </w:rPr>
              <w:t>390</w:t>
            </w:r>
          </w:p>
        </w:tc>
        <w:tc>
          <w:tcPr>
            <w:tcW w:w="8640" w:type="dxa"/>
          </w:tcPr>
          <w:p w14:paraId="3D9171D7" w14:textId="77777777" w:rsidR="00915077" w:rsidRPr="00E26EF6" w:rsidRDefault="00464F34">
            <w:pPr>
              <w:rPr>
                <w:rStyle w:val="InstructionsTabelleText"/>
                <w:rFonts w:ascii="Times New Roman" w:hAnsi="Times New Roman"/>
                <w:sz w:val="24"/>
              </w:rPr>
            </w:pPr>
            <w:r w:rsidRPr="00E26EF6">
              <w:rPr>
                <w:rStyle w:val="InstructionsTabelleberschrift"/>
                <w:rFonts w:ascii="Times New Roman" w:hAnsi="Times New Roman"/>
                <w:sz w:val="24"/>
              </w:rPr>
              <w:t>W TYM: WKŁADY W WYNIK SKONSOLIDOWANY</w:t>
            </w:r>
          </w:p>
          <w:p w14:paraId="0FC91FD9" w14:textId="401CDF8C"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Zgłaszany jest wkład każdego podmiotu</w:t>
            </w:r>
            <w:r w:rsidR="00E26EF6" w:rsidRPr="00E26EF6">
              <w:rPr>
                <w:rStyle w:val="InstructionsTabelleText"/>
                <w:rFonts w:ascii="Times New Roman" w:hAnsi="Times New Roman"/>
                <w:sz w:val="24"/>
              </w:rPr>
              <w:t xml:space="preserve"> w wyn</w:t>
            </w:r>
            <w:r w:rsidRPr="00E26EF6">
              <w:rPr>
                <w:rStyle w:val="InstructionsTabelleText"/>
                <w:rFonts w:ascii="Times New Roman" w:hAnsi="Times New Roman"/>
                <w:sz w:val="24"/>
              </w:rPr>
              <w:t>ik skonsolidowany (zysk lub strata (-)). Obejmuje to wyniki dotyczące udziałów mniejszości.</w:t>
            </w:r>
          </w:p>
        </w:tc>
      </w:tr>
      <w:tr w:rsidR="00915077" w:rsidRPr="00E26EF6" w14:paraId="0C8E75ED" w14:textId="77777777" w:rsidTr="00672D2A">
        <w:tc>
          <w:tcPr>
            <w:tcW w:w="1188" w:type="dxa"/>
          </w:tcPr>
          <w:p w14:paraId="32717992" w14:textId="77777777" w:rsidR="00915077" w:rsidRPr="00E26EF6" w:rsidRDefault="00464F34">
            <w:pPr>
              <w:rPr>
                <w:rFonts w:ascii="Times New Roman" w:hAnsi="Times New Roman"/>
                <w:sz w:val="24"/>
                <w:highlight w:val="lightGray"/>
              </w:rPr>
            </w:pPr>
            <w:r w:rsidRPr="00E26EF6">
              <w:rPr>
                <w:rFonts w:ascii="Times New Roman" w:hAnsi="Times New Roman"/>
                <w:sz w:val="24"/>
              </w:rPr>
              <w:t>400</w:t>
            </w:r>
          </w:p>
        </w:tc>
        <w:tc>
          <w:tcPr>
            <w:tcW w:w="8640" w:type="dxa"/>
          </w:tcPr>
          <w:p w14:paraId="4651A8C3"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W TYM: (-) WARTOŚĆ FIRMY / (+) UJEMNA WARTOŚĆ FIRMY</w:t>
            </w:r>
          </w:p>
          <w:p w14:paraId="45C408B2" w14:textId="7B299CAE" w:rsidR="00915077" w:rsidRPr="00E26EF6" w:rsidRDefault="00464F34">
            <w:pPr>
              <w:rPr>
                <w:rStyle w:val="InstructionsTabelleberschrift"/>
                <w:rFonts w:ascii="Times New Roman" w:hAnsi="Times New Roman"/>
                <w:sz w:val="24"/>
                <w:highlight w:val="lightGray"/>
              </w:rPr>
            </w:pPr>
            <w:r w:rsidRPr="00E26EF6">
              <w:rPr>
                <w:rStyle w:val="InstructionsTabelleText"/>
                <w:rFonts w:ascii="Times New Roman" w:hAnsi="Times New Roman"/>
                <w:sz w:val="24"/>
              </w:rPr>
              <w:t>W tym miejscu podaje się wartość firmy lub ujemną wartość firmy jednostki sprawozdającej</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jednostki zależnej.</w:t>
            </w:r>
          </w:p>
        </w:tc>
      </w:tr>
      <w:tr w:rsidR="00915077" w:rsidRPr="00E26EF6" w14:paraId="67E5B69E" w14:textId="77777777" w:rsidTr="00672D2A">
        <w:tc>
          <w:tcPr>
            <w:tcW w:w="1188" w:type="dxa"/>
          </w:tcPr>
          <w:p w14:paraId="504EAFBB"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410-480</w:t>
            </w:r>
          </w:p>
        </w:tc>
        <w:tc>
          <w:tcPr>
            <w:tcW w:w="8640" w:type="dxa"/>
          </w:tcPr>
          <w:p w14:paraId="75B88055"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BUFORY KAPITAŁOWE</w:t>
            </w:r>
          </w:p>
          <w:p w14:paraId="42203032" w14:textId="4603E37C" w:rsidR="00915077" w:rsidRPr="00E26EF6" w:rsidRDefault="00464F34">
            <w:pPr>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Struktura zgłaszania buforów kapitałowych dla wzoru GS jest zgodna</w:t>
            </w:r>
            <w:r w:rsidR="00E26EF6" w:rsidRPr="00E26EF6">
              <w:rPr>
                <w:rStyle w:val="InstructionsTabelleberschrift"/>
                <w:rFonts w:ascii="Times New Roman" w:hAnsi="Times New Roman"/>
                <w:b w:val="0"/>
                <w:sz w:val="24"/>
                <w:u w:val="none"/>
              </w:rPr>
              <w:t xml:space="preserve"> z ogó</w:t>
            </w:r>
            <w:r w:rsidRPr="00E26EF6">
              <w:rPr>
                <w:rStyle w:val="InstructionsTabelleberschrift"/>
                <w:rFonts w:ascii="Times New Roman" w:hAnsi="Times New Roman"/>
                <w:b w:val="0"/>
                <w:sz w:val="24"/>
                <w:u w:val="none"/>
              </w:rPr>
              <w:t>lną strukturą wzoru CA4</w:t>
            </w:r>
            <w:r w:rsidR="00E26EF6" w:rsidRPr="00E26EF6">
              <w:rPr>
                <w:rStyle w:val="InstructionsTabelleberschrift"/>
                <w:rFonts w:ascii="Times New Roman" w:hAnsi="Times New Roman"/>
                <w:b w:val="0"/>
                <w:sz w:val="24"/>
                <w:u w:val="none"/>
              </w:rPr>
              <w:t xml:space="preserve"> i opa</w:t>
            </w:r>
            <w:r w:rsidRPr="00E26EF6">
              <w:rPr>
                <w:rStyle w:val="InstructionsTabelleberschrift"/>
                <w:rFonts w:ascii="Times New Roman" w:hAnsi="Times New Roman"/>
                <w:b w:val="0"/>
                <w:sz w:val="24"/>
                <w:u w:val="none"/>
              </w:rPr>
              <w:t>rta na tych samych koncepcjach sprawozdawczości. Przy zgłaszaniu buforów kapitałowych we wzorze GS odpowiednie kwoty zgłasza się zgodnie</w:t>
            </w:r>
            <w:r w:rsidR="00E26EF6" w:rsidRPr="00E26EF6">
              <w:rPr>
                <w:rStyle w:val="InstructionsTabelleberschrift"/>
                <w:rFonts w:ascii="Times New Roman" w:hAnsi="Times New Roman"/>
                <w:b w:val="0"/>
                <w:sz w:val="24"/>
                <w:u w:val="none"/>
              </w:rPr>
              <w:t xml:space="preserve"> z prz</w:t>
            </w:r>
            <w:r w:rsidRPr="00E26EF6">
              <w:rPr>
                <w:rStyle w:val="InstructionsTabelleberschrift"/>
                <w:rFonts w:ascii="Times New Roman" w:hAnsi="Times New Roman"/>
                <w:b w:val="0"/>
                <w:sz w:val="24"/>
                <w:u w:val="none"/>
              </w:rPr>
              <w:t>episami mającymi zastosowanie do celów określenia wymogu kapitałowego dla grupy na zasadzie skonsolidowanej</w:t>
            </w:r>
            <w:r w:rsidR="00E26EF6" w:rsidRPr="00E26EF6">
              <w:rPr>
                <w:rStyle w:val="InstructionsTabelleberschrift"/>
                <w:rFonts w:ascii="Times New Roman" w:hAnsi="Times New Roman"/>
                <w:b w:val="0"/>
                <w:sz w:val="24"/>
                <w:u w:val="none"/>
              </w:rPr>
              <w:t>. W zwi</w:t>
            </w:r>
            <w:r w:rsidRPr="00E26EF6">
              <w:rPr>
                <w:rStyle w:val="InstructionsTabelleberschrift"/>
                <w:rFonts w:ascii="Times New Roman" w:hAnsi="Times New Roman"/>
                <w:b w:val="0"/>
                <w:sz w:val="24"/>
                <w:u w:val="none"/>
              </w:rPr>
              <w:t>ązku</w:t>
            </w:r>
            <w:r w:rsidR="00E26EF6" w:rsidRPr="00E26EF6">
              <w:rPr>
                <w:rStyle w:val="InstructionsTabelleberschrift"/>
                <w:rFonts w:ascii="Times New Roman" w:hAnsi="Times New Roman"/>
                <w:b w:val="0"/>
                <w:sz w:val="24"/>
                <w:u w:val="none"/>
              </w:rPr>
              <w:t xml:space="preserve"> z tym</w:t>
            </w:r>
            <w:r w:rsidRPr="00E26EF6">
              <w:rPr>
                <w:rStyle w:val="InstructionsTabelleberschrift"/>
                <w:rFonts w:ascii="Times New Roman" w:hAnsi="Times New Roman"/>
                <w:b w:val="0"/>
                <w:sz w:val="24"/>
                <w:u w:val="none"/>
              </w:rPr>
              <w:t xml:space="preserve"> zgłaszane kwoty buforów kapitałowych odpowiadają wkładom każdego podmiotu do buforów kapitałowych grupy. Zgłaszane kwoty opierają się na przepisach krajowych przyjętych</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transpozycji CRD oraz na CRR,</w:t>
            </w:r>
            <w:r w:rsidR="00E26EF6" w:rsidRPr="00E26EF6">
              <w:rPr>
                <w:rStyle w:val="InstructionsTabelleberschrift"/>
                <w:rFonts w:ascii="Times New Roman" w:hAnsi="Times New Roman"/>
                <w:b w:val="0"/>
                <w:sz w:val="24"/>
                <w:u w:val="none"/>
              </w:rPr>
              <w:t xml:space="preserve"> w tym</w:t>
            </w:r>
            <w:r w:rsidRPr="00E26EF6">
              <w:rPr>
                <w:rStyle w:val="InstructionsTabelleberschrift"/>
                <w:rFonts w:ascii="Times New Roman" w:hAnsi="Times New Roman"/>
                <w:b w:val="0"/>
                <w:sz w:val="24"/>
                <w:u w:val="none"/>
              </w:rPr>
              <w:t xml:space="preserve"> na wszelkich określonych</w:t>
            </w:r>
            <w:r w:rsidR="00E26EF6" w:rsidRPr="00E26EF6">
              <w:rPr>
                <w:rStyle w:val="InstructionsTabelleberschrift"/>
                <w:rFonts w:ascii="Times New Roman" w:hAnsi="Times New Roman"/>
                <w:b w:val="0"/>
                <w:sz w:val="24"/>
                <w:u w:val="none"/>
              </w:rPr>
              <w:t xml:space="preserve"> w nic</w:t>
            </w:r>
            <w:r w:rsidRPr="00E26EF6">
              <w:rPr>
                <w:rStyle w:val="InstructionsTabelleberschrift"/>
                <w:rFonts w:ascii="Times New Roman" w:hAnsi="Times New Roman"/>
                <w:b w:val="0"/>
                <w:sz w:val="24"/>
                <w:u w:val="none"/>
              </w:rPr>
              <w:t>h przepisach przejściowych.</w:t>
            </w:r>
          </w:p>
        </w:tc>
      </w:tr>
      <w:tr w:rsidR="00915077" w:rsidRPr="00E26EF6" w14:paraId="7D44B0C6" w14:textId="77777777" w:rsidTr="00672D2A">
        <w:tc>
          <w:tcPr>
            <w:tcW w:w="1188" w:type="dxa"/>
          </w:tcPr>
          <w:p w14:paraId="729BBE09"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410</w:t>
            </w:r>
          </w:p>
        </w:tc>
        <w:tc>
          <w:tcPr>
            <w:tcW w:w="8640" w:type="dxa"/>
          </w:tcPr>
          <w:p w14:paraId="5BD65C06"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WYMÓG POŁĄCZONEGO BUFORA</w:t>
            </w:r>
          </w:p>
          <w:p w14:paraId="49953CA7" w14:textId="14E7FEA6" w:rsidR="00915077" w:rsidRPr="00E26EF6" w:rsidRDefault="00283C5E">
            <w:pPr>
              <w:tabs>
                <w:tab w:val="left" w:pos="3510"/>
              </w:tabs>
              <w:rPr>
                <w:rStyle w:val="InstructionsTabelleberschrift"/>
                <w:rFonts w:ascii="Times New Roman" w:hAnsi="Times New Roman"/>
                <w:sz w:val="24"/>
                <w:highlight w:val="lightGray"/>
              </w:rPr>
            </w:pPr>
            <w:r w:rsidRPr="00E26EF6">
              <w:rPr>
                <w:rStyle w:val="InstructionsTabelleText"/>
                <w:rFonts w:ascii="Times New Roman" w:hAnsi="Times New Roman"/>
                <w:sz w:val="24"/>
              </w:rPr>
              <w:t>Art. 128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6 CRD</w:t>
            </w:r>
          </w:p>
        </w:tc>
      </w:tr>
      <w:tr w:rsidR="00915077" w:rsidRPr="00E26EF6" w14:paraId="290C574E" w14:textId="77777777" w:rsidTr="00672D2A">
        <w:tc>
          <w:tcPr>
            <w:tcW w:w="1188" w:type="dxa"/>
          </w:tcPr>
          <w:p w14:paraId="4F3EA187"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420</w:t>
            </w:r>
          </w:p>
        </w:tc>
        <w:tc>
          <w:tcPr>
            <w:tcW w:w="8640" w:type="dxa"/>
          </w:tcPr>
          <w:p w14:paraId="30C78CCA"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BUFOR ZABEZPIECZAJĄCY</w:t>
            </w:r>
          </w:p>
          <w:p w14:paraId="7270E591" w14:textId="629DF48F" w:rsidR="00915077" w:rsidRPr="00E26EF6" w:rsidRDefault="00283C5E">
            <w:pPr>
              <w:rPr>
                <w:rStyle w:val="InstructionsTabelleText"/>
                <w:rFonts w:ascii="Times New Roman" w:hAnsi="Times New Roman"/>
                <w:sz w:val="24"/>
              </w:rPr>
            </w:pPr>
            <w:r w:rsidRPr="00E26EF6">
              <w:rPr>
                <w:rStyle w:val="InstructionsTabelleText"/>
                <w:rFonts w:ascii="Times New Roman" w:hAnsi="Times New Roman"/>
                <w:sz w:val="24"/>
              </w:rPr>
              <w:t>Art. 128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129 CRD</w:t>
            </w:r>
          </w:p>
          <w:p w14:paraId="7023D0C0" w14:textId="3E6833CE" w:rsidR="00915077" w:rsidRPr="00E26EF6" w:rsidRDefault="00BB22D4">
            <w:pPr>
              <w:pStyle w:val="InstructionsText"/>
              <w:rPr>
                <w:rStyle w:val="InstructionsTabelleText"/>
                <w:rFonts w:ascii="Times New Roman" w:hAnsi="Times New Roman"/>
                <w:sz w:val="24"/>
                <w:highlight w:val="lightGray"/>
              </w:rPr>
            </w:pPr>
            <w:r w:rsidRPr="00E26EF6">
              <w:t>Zgodnie</w:t>
            </w:r>
            <w:r w:rsidR="00E26EF6" w:rsidRPr="00E26EF6">
              <w:t xml:space="preserve"> z art</w:t>
            </w:r>
            <w:r w:rsidRPr="00E26EF6">
              <w:t>.</w:t>
            </w:r>
            <w:r w:rsidR="00023409" w:rsidRPr="00E26EF6">
              <w:t> </w:t>
            </w:r>
            <w:r w:rsidRPr="00E26EF6">
              <w:t>129 ust.</w:t>
            </w:r>
            <w:r w:rsidR="00023409" w:rsidRPr="00E26EF6">
              <w:t> </w:t>
            </w:r>
            <w:r w:rsidRPr="00E26EF6">
              <w:t>1 CRD bufor zabezpieczający jest dodatkową kwotą kapitału podstawowego Tier I. Ze względu na fakt, że wynosząca 2,5</w:t>
            </w:r>
            <w:r w:rsidR="00023409" w:rsidRPr="00E26EF6">
              <w:t> </w:t>
            </w:r>
            <w:r w:rsidRPr="00E26EF6">
              <w:t>% wartość bufora zabezpieczającego jest stała, kwotę zgłasza się</w:t>
            </w:r>
            <w:r w:rsidR="00E26EF6" w:rsidRPr="00E26EF6">
              <w:t xml:space="preserve"> w tej</w:t>
            </w:r>
            <w:r w:rsidRPr="00E26EF6">
              <w:t xml:space="preserve"> komórce.</w:t>
            </w:r>
          </w:p>
        </w:tc>
      </w:tr>
      <w:tr w:rsidR="00915077" w:rsidRPr="00E26EF6" w14:paraId="6A904394" w14:textId="77777777" w:rsidTr="00672D2A">
        <w:tc>
          <w:tcPr>
            <w:tcW w:w="1188" w:type="dxa"/>
          </w:tcPr>
          <w:p w14:paraId="597E010F"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430</w:t>
            </w:r>
          </w:p>
        </w:tc>
        <w:tc>
          <w:tcPr>
            <w:tcW w:w="8640" w:type="dxa"/>
          </w:tcPr>
          <w:p w14:paraId="51FB7F5B"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SPECYFICZNY DLA INSTYTUCJI BUFOR ANTYCYKLICZNY</w:t>
            </w:r>
          </w:p>
          <w:p w14:paraId="385196E8" w14:textId="7CFB9614" w:rsidR="00915077" w:rsidRPr="00E26EF6" w:rsidRDefault="00283C5E">
            <w:pPr>
              <w:rPr>
                <w:rStyle w:val="InstructionsTabelleText"/>
                <w:rFonts w:ascii="Times New Roman" w:hAnsi="Times New Roman"/>
                <w:sz w:val="24"/>
              </w:rPr>
            </w:pPr>
            <w:r w:rsidRPr="00E26EF6">
              <w:rPr>
                <w:rStyle w:val="InstructionsTabelleText"/>
                <w:rFonts w:ascii="Times New Roman" w:hAnsi="Times New Roman"/>
                <w:sz w:val="24"/>
              </w:rPr>
              <w:t>Art. 128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130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135–140 CRD</w:t>
            </w:r>
          </w:p>
          <w:p w14:paraId="2D171BBF" w14:textId="77777777" w:rsidR="00915077" w:rsidRPr="00E26EF6" w:rsidRDefault="00464F34">
            <w:pPr>
              <w:pStyle w:val="InstructionsText"/>
              <w:rPr>
                <w:rStyle w:val="InstructionsTabelleText"/>
                <w:rFonts w:ascii="Times New Roman" w:hAnsi="Times New Roman"/>
                <w:sz w:val="24"/>
                <w:highlight w:val="lightGray"/>
              </w:rPr>
            </w:pPr>
            <w:r w:rsidRPr="00E26EF6">
              <w:t>W tej komórce zgłasza się konkretną kwotę bufora antycyklicznego.</w:t>
            </w:r>
          </w:p>
        </w:tc>
      </w:tr>
      <w:tr w:rsidR="00915077" w:rsidRPr="00E26EF6" w14:paraId="42A13680" w14:textId="77777777" w:rsidTr="00672D2A">
        <w:tc>
          <w:tcPr>
            <w:tcW w:w="1188" w:type="dxa"/>
          </w:tcPr>
          <w:p w14:paraId="3B7D72C3" w14:textId="77777777" w:rsidR="00915077" w:rsidRPr="00E26EF6" w:rsidDel="00D70027"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440</w:t>
            </w:r>
          </w:p>
        </w:tc>
        <w:tc>
          <w:tcPr>
            <w:tcW w:w="8640" w:type="dxa"/>
          </w:tcPr>
          <w:p w14:paraId="56A86F31"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BUFOR ZABEZPIECZAJĄCY WYNIKAJĄCY Z RYZYKA MAKROOSTROŻNOŚCIOWEGO LUB RYZYKA SYSTEMOWEGO ZIDENTYFIKOWANEGO NA POZIOMIE PAŃSTWA CZŁONKOWSKIEGO</w:t>
            </w:r>
          </w:p>
          <w:p w14:paraId="16BE882A" w14:textId="13366289" w:rsidR="00915077" w:rsidRPr="00E26EF6" w:rsidRDefault="00283C5E">
            <w:pPr>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458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2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d) ppkt (iv) CRR</w:t>
            </w:r>
          </w:p>
          <w:p w14:paraId="267A732C" w14:textId="3569343E" w:rsidR="00915077" w:rsidRPr="00E26EF6" w:rsidRDefault="00464F34">
            <w:pPr>
              <w:pStyle w:val="InstructionsText"/>
              <w:rPr>
                <w:rStyle w:val="InstructionsTabelleberschrift"/>
                <w:rFonts w:ascii="Times New Roman" w:hAnsi="Times New Roman"/>
                <w:sz w:val="24"/>
                <w:highlight w:val="lightGray"/>
              </w:rPr>
            </w:pPr>
            <w:r w:rsidRPr="00E26EF6">
              <w:t>W tej komórce zgłasza się kwotę bufora zabezpieczającego wynikającego</w:t>
            </w:r>
            <w:r w:rsidR="00E26EF6" w:rsidRPr="00E26EF6">
              <w:t xml:space="preserve"> z ryz</w:t>
            </w:r>
            <w:r w:rsidRPr="00E26EF6">
              <w:t>yka makroostrożnościowego lub ryzyka systemowego zidentyfikowanego na poziomie państwa członkowskiego, która może być wymagana zgodnie</w:t>
            </w:r>
            <w:r w:rsidR="00E26EF6" w:rsidRPr="00E26EF6">
              <w:t xml:space="preserve"> z art</w:t>
            </w:r>
            <w:r w:rsidRPr="00E26EF6">
              <w:t>.</w:t>
            </w:r>
            <w:r w:rsidR="00023409" w:rsidRPr="00E26EF6">
              <w:t> </w:t>
            </w:r>
            <w:r w:rsidRPr="00E26EF6">
              <w:t>458 CRR poza buforem zabezpieczającym.</w:t>
            </w:r>
          </w:p>
        </w:tc>
      </w:tr>
      <w:tr w:rsidR="00915077" w:rsidRPr="00E26EF6" w14:paraId="60606A3E" w14:textId="77777777" w:rsidTr="00672D2A">
        <w:tc>
          <w:tcPr>
            <w:tcW w:w="1188" w:type="dxa"/>
          </w:tcPr>
          <w:p w14:paraId="3DB4AC55"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450</w:t>
            </w:r>
          </w:p>
        </w:tc>
        <w:tc>
          <w:tcPr>
            <w:tcW w:w="8640" w:type="dxa"/>
          </w:tcPr>
          <w:p w14:paraId="57441EEE" w14:textId="77777777" w:rsidR="00915077" w:rsidRPr="00E26EF6" w:rsidRDefault="00464F34">
            <w:pPr>
              <w:rPr>
                <w:rStyle w:val="InstructionsTabelleberschrift"/>
                <w:rFonts w:ascii="Times New Roman" w:hAnsi="Times New Roman"/>
                <w:sz w:val="24"/>
              </w:rPr>
            </w:pPr>
            <w:r w:rsidRPr="00E26EF6">
              <w:rPr>
                <w:rStyle w:val="InstructionsTabelleberschrift"/>
                <w:rFonts w:ascii="Times New Roman" w:hAnsi="Times New Roman"/>
                <w:sz w:val="24"/>
              </w:rPr>
              <w:t>BUFOR RYZYKA SYSTEMOWEGO</w:t>
            </w:r>
          </w:p>
          <w:p w14:paraId="6B63796F" w14:textId="03523C51" w:rsidR="00915077" w:rsidRPr="00E26EF6" w:rsidRDefault="00283C5E">
            <w:pPr>
              <w:pStyle w:val="InstructionsText"/>
            </w:pPr>
            <w:r w:rsidRPr="00E26EF6">
              <w:t>Art. 128 pkt</w:t>
            </w:r>
            <w:r w:rsidR="00023409" w:rsidRPr="00E26EF6">
              <w:t> </w:t>
            </w:r>
            <w:r w:rsidRPr="00E26EF6">
              <w:t>5 oraz art.</w:t>
            </w:r>
            <w:r w:rsidR="00023409" w:rsidRPr="00E26EF6">
              <w:t> </w:t>
            </w:r>
            <w:r w:rsidRPr="00E26EF6">
              <w:t>133</w:t>
            </w:r>
            <w:r w:rsidR="00E26EF6" w:rsidRPr="00E26EF6">
              <w:t xml:space="preserve"> i art</w:t>
            </w:r>
            <w:r w:rsidRPr="00E26EF6">
              <w:t>.</w:t>
            </w:r>
            <w:r w:rsidR="00023409" w:rsidRPr="00E26EF6">
              <w:t> </w:t>
            </w:r>
            <w:r w:rsidRPr="00E26EF6">
              <w:t xml:space="preserve">134 CRD </w:t>
            </w:r>
          </w:p>
          <w:p w14:paraId="62368385" w14:textId="77777777" w:rsidR="00915077" w:rsidRPr="00E26EF6" w:rsidRDefault="00464F34">
            <w:pPr>
              <w:rPr>
                <w:rStyle w:val="InstructionsTabelleberschrift"/>
                <w:rFonts w:ascii="Times New Roman" w:hAnsi="Times New Roman"/>
                <w:sz w:val="24"/>
                <w:highlight w:val="lightGray"/>
              </w:rPr>
            </w:pPr>
            <w:r w:rsidRPr="00E26EF6">
              <w:rPr>
                <w:rFonts w:ascii="Times New Roman" w:hAnsi="Times New Roman"/>
                <w:sz w:val="24"/>
              </w:rPr>
              <w:t>W tej komórce zgłasza się kwotę bufora ryzyka systemowego.</w:t>
            </w:r>
          </w:p>
        </w:tc>
      </w:tr>
      <w:tr w:rsidR="00915077" w:rsidRPr="00E26EF6" w14:paraId="7B0A8514" w14:textId="77777777" w:rsidTr="00672D2A">
        <w:tc>
          <w:tcPr>
            <w:tcW w:w="1188" w:type="dxa"/>
          </w:tcPr>
          <w:p w14:paraId="6DD8C00F"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470</w:t>
            </w:r>
          </w:p>
        </w:tc>
        <w:tc>
          <w:tcPr>
            <w:tcW w:w="8640" w:type="dxa"/>
          </w:tcPr>
          <w:p w14:paraId="2F4D0319" w14:textId="77777777" w:rsidR="00915077" w:rsidRPr="00E26EF6" w:rsidRDefault="00464F34">
            <w:pPr>
              <w:tabs>
                <w:tab w:val="left" w:pos="6660"/>
              </w:tabs>
              <w:rPr>
                <w:rStyle w:val="InstructionsTabelleberschrift"/>
                <w:rFonts w:ascii="Times New Roman" w:hAnsi="Times New Roman"/>
                <w:sz w:val="24"/>
              </w:rPr>
            </w:pPr>
            <w:r w:rsidRPr="00E26EF6">
              <w:rPr>
                <w:rStyle w:val="InstructionsTabelleberschrift"/>
                <w:rFonts w:ascii="Times New Roman" w:hAnsi="Times New Roman"/>
                <w:sz w:val="24"/>
              </w:rPr>
              <w:t>BUFOR GLOBALNYCH INSTYTUCJI O ZNACZENIU SYSTEMOWYM</w:t>
            </w:r>
            <w:r w:rsidRPr="00E26EF6">
              <w:rPr>
                <w:rStyle w:val="InstructionsTabelleberschrift"/>
                <w:rFonts w:ascii="Times New Roman" w:hAnsi="Times New Roman"/>
                <w:sz w:val="24"/>
              </w:rPr>
              <w:tab/>
            </w:r>
          </w:p>
          <w:p w14:paraId="387CB577" w14:textId="0153F3E3" w:rsidR="00915077" w:rsidRPr="00E26EF6" w:rsidRDefault="00283C5E">
            <w:pPr>
              <w:pStyle w:val="InstructionsText"/>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128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3</w:t>
            </w:r>
            <w:r w:rsidR="00E26EF6" w:rsidRPr="00E26EF6">
              <w:rPr>
                <w:rStyle w:val="InstructionsTabelleberschrift"/>
                <w:rFonts w:ascii="Times New Roman" w:hAnsi="Times New Roman"/>
                <w:b w:val="0"/>
                <w:sz w:val="24"/>
                <w:u w:val="none"/>
              </w:rPr>
              <w:t xml:space="preserve"> i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131 CRD</w:t>
            </w:r>
          </w:p>
          <w:p w14:paraId="234A78D7" w14:textId="1A2F8E1C" w:rsidR="00915077" w:rsidRPr="00E26EF6" w:rsidRDefault="00464F34">
            <w:pPr>
              <w:pStyle w:val="InstructionsText"/>
              <w:rPr>
                <w:rStyle w:val="InstructionsTabelleberschrift"/>
                <w:rFonts w:ascii="Times New Roman" w:hAnsi="Times New Roman"/>
                <w:sz w:val="24"/>
                <w:highlight w:val="lightGray"/>
              </w:rPr>
            </w:pPr>
            <w:r w:rsidRPr="00E26EF6">
              <w:t>W tej komórce zgłasza się kwotę bufora globalnych instytucji</w:t>
            </w:r>
            <w:r w:rsidR="00E26EF6" w:rsidRPr="00E26EF6">
              <w:t xml:space="preserve"> o zna</w:t>
            </w:r>
            <w:r w:rsidRPr="00E26EF6">
              <w:t>czeniu systemowym.</w:t>
            </w:r>
          </w:p>
        </w:tc>
      </w:tr>
      <w:tr w:rsidR="00915077" w:rsidRPr="00E26EF6" w14:paraId="71950C7A" w14:textId="77777777" w:rsidTr="00672D2A">
        <w:tc>
          <w:tcPr>
            <w:tcW w:w="1188" w:type="dxa"/>
          </w:tcPr>
          <w:p w14:paraId="5DA03A36" w14:textId="77777777" w:rsidR="00915077" w:rsidRPr="00E26EF6" w:rsidRDefault="00464F34">
            <w:pPr>
              <w:rPr>
                <w:rStyle w:val="InstructionsTabelleText"/>
                <w:rFonts w:ascii="Times New Roman" w:hAnsi="Times New Roman"/>
                <w:sz w:val="24"/>
                <w:highlight w:val="lightGray"/>
              </w:rPr>
            </w:pPr>
            <w:r w:rsidRPr="00E26EF6">
              <w:rPr>
                <w:rStyle w:val="InstructionsTabelleText"/>
                <w:rFonts w:ascii="Times New Roman" w:hAnsi="Times New Roman"/>
                <w:sz w:val="24"/>
              </w:rPr>
              <w:t>480</w:t>
            </w:r>
          </w:p>
        </w:tc>
        <w:tc>
          <w:tcPr>
            <w:tcW w:w="8640" w:type="dxa"/>
          </w:tcPr>
          <w:p w14:paraId="66E623D3" w14:textId="77777777" w:rsidR="00915077" w:rsidRPr="00E26EF6" w:rsidRDefault="00464F34">
            <w:pPr>
              <w:tabs>
                <w:tab w:val="left" w:pos="6315"/>
              </w:tabs>
              <w:rPr>
                <w:rStyle w:val="InstructionsTabelleberschrift"/>
                <w:rFonts w:ascii="Times New Roman" w:hAnsi="Times New Roman"/>
                <w:sz w:val="24"/>
              </w:rPr>
            </w:pPr>
            <w:r w:rsidRPr="00E26EF6">
              <w:rPr>
                <w:rStyle w:val="InstructionsTabelleberschrift"/>
                <w:rFonts w:ascii="Times New Roman" w:hAnsi="Times New Roman"/>
                <w:sz w:val="24"/>
              </w:rPr>
              <w:t>BUFOR INNYCH INSTYTUCJI O ZNACZENIU SYSTEMOWYM</w:t>
            </w:r>
            <w:r w:rsidRPr="00E26EF6">
              <w:rPr>
                <w:rStyle w:val="InstructionsTabelleberschrift"/>
                <w:rFonts w:ascii="Times New Roman" w:hAnsi="Times New Roman"/>
                <w:sz w:val="24"/>
              </w:rPr>
              <w:tab/>
            </w:r>
          </w:p>
          <w:p w14:paraId="25F9394F" w14:textId="3984E16D" w:rsidR="00915077" w:rsidRPr="00E26EF6" w:rsidRDefault="00283C5E">
            <w:pPr>
              <w:pStyle w:val="InstructionsText"/>
            </w:pPr>
            <w:r w:rsidRPr="00E26EF6">
              <w:t>Art. 128 pkt</w:t>
            </w:r>
            <w:r w:rsidR="00023409" w:rsidRPr="00E26EF6">
              <w:t> </w:t>
            </w:r>
            <w:r w:rsidRPr="00E26EF6">
              <w:t>4</w:t>
            </w:r>
            <w:r w:rsidR="00E26EF6" w:rsidRPr="00E26EF6">
              <w:t xml:space="preserve"> i art</w:t>
            </w:r>
            <w:r w:rsidRPr="00E26EF6">
              <w:t>.</w:t>
            </w:r>
            <w:r w:rsidR="00023409" w:rsidRPr="00E26EF6">
              <w:t> </w:t>
            </w:r>
            <w:r w:rsidRPr="00E26EF6">
              <w:t>131 CRD</w:t>
            </w:r>
          </w:p>
          <w:p w14:paraId="65185580" w14:textId="5B8D396A" w:rsidR="00915077" w:rsidRPr="00E26EF6" w:rsidRDefault="00464F34">
            <w:pPr>
              <w:pStyle w:val="InstructionsText"/>
              <w:rPr>
                <w:rStyle w:val="InstructionsTabelleberschrift"/>
                <w:rFonts w:ascii="Times New Roman" w:hAnsi="Times New Roman"/>
                <w:sz w:val="24"/>
              </w:rPr>
            </w:pPr>
            <w:r w:rsidRPr="00E26EF6">
              <w:t>W tej komórce zgłasza się kwotę bufora innych instytucji</w:t>
            </w:r>
            <w:r w:rsidR="00E26EF6" w:rsidRPr="00E26EF6">
              <w:t xml:space="preserve"> o zna</w:t>
            </w:r>
            <w:r w:rsidRPr="00E26EF6">
              <w:t>czeniu systemowym.</w:t>
            </w:r>
          </w:p>
        </w:tc>
      </w:tr>
    </w:tbl>
    <w:p w14:paraId="7E0CA39F" w14:textId="77777777" w:rsidR="00915077" w:rsidRPr="00E26EF6" w:rsidRDefault="00915077">
      <w:pPr>
        <w:pStyle w:val="InstructionsText"/>
      </w:pPr>
    </w:p>
    <w:p w14:paraId="45EDFBFA" w14:textId="77777777" w:rsidR="00915077" w:rsidRPr="00E26EF6" w:rsidRDefault="00B43C2A">
      <w:pPr>
        <w:pStyle w:val="Instructionsberschrift2"/>
        <w:numPr>
          <w:ilvl w:val="0"/>
          <w:numId w:val="0"/>
        </w:numPr>
        <w:ind w:left="357" w:hanging="357"/>
        <w:rPr>
          <w:rFonts w:ascii="Times New Roman" w:hAnsi="Times New Roman" w:cs="Times New Roman"/>
          <w:sz w:val="24"/>
        </w:rPr>
      </w:pPr>
      <w:bookmarkStart w:id="29" w:name="_Toc31014327"/>
      <w:r w:rsidRPr="00E26EF6">
        <w:rPr>
          <w:rFonts w:ascii="Times New Roman" w:hAnsi="Times New Roman"/>
          <w:sz w:val="24"/>
          <w:u w:val="none"/>
        </w:rPr>
        <w:t>3.</w:t>
      </w:r>
      <w:r w:rsidRPr="00E26EF6">
        <w:rPr>
          <w:rFonts w:ascii="Times New Roman" w:hAnsi="Times New Roman"/>
          <w:sz w:val="24"/>
          <w:u w:val="none"/>
        </w:rPr>
        <w:tab/>
      </w:r>
      <w:r w:rsidRPr="00E26EF6">
        <w:rPr>
          <w:rFonts w:ascii="Times New Roman" w:hAnsi="Times New Roman"/>
          <w:sz w:val="24"/>
        </w:rPr>
        <w:t>Wzory dotyczące ryzyka kredytowego</w:t>
      </w:r>
      <w:bookmarkEnd w:id="29"/>
    </w:p>
    <w:p w14:paraId="55E89157"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30" w:name="_Toc31014328"/>
      <w:r w:rsidRPr="00E26EF6">
        <w:rPr>
          <w:rFonts w:ascii="Times New Roman" w:hAnsi="Times New Roman"/>
          <w:sz w:val="24"/>
          <w:u w:val="none"/>
        </w:rPr>
        <w:t>3.1.</w:t>
      </w:r>
      <w:r w:rsidRPr="00E26EF6">
        <w:rPr>
          <w:rFonts w:ascii="Times New Roman" w:hAnsi="Times New Roman"/>
          <w:sz w:val="24"/>
          <w:u w:val="none"/>
        </w:rPr>
        <w:tab/>
      </w:r>
      <w:r w:rsidRPr="00E26EF6">
        <w:rPr>
          <w:rFonts w:ascii="Times New Roman" w:hAnsi="Times New Roman"/>
          <w:sz w:val="24"/>
        </w:rPr>
        <w:t>Uwagi ogólne</w:t>
      </w:r>
      <w:bookmarkEnd w:id="30"/>
      <w:r w:rsidRPr="00E26EF6">
        <w:rPr>
          <w:rFonts w:ascii="Times New Roman" w:hAnsi="Times New Roman"/>
          <w:sz w:val="24"/>
        </w:rPr>
        <w:t xml:space="preserve"> </w:t>
      </w:r>
    </w:p>
    <w:p w14:paraId="561CA98B" w14:textId="7FFCDB31" w:rsidR="00915077" w:rsidRPr="00E26EF6" w:rsidRDefault="00125707">
      <w:pPr>
        <w:pStyle w:val="InstructionsText2"/>
        <w:numPr>
          <w:ilvl w:val="0"/>
          <w:numId w:val="0"/>
        </w:numPr>
        <w:ind w:left="993"/>
      </w:pPr>
      <w:r w:rsidRPr="00E26EF6">
        <w:t>38.</w:t>
      </w:r>
      <w:r w:rsidRPr="00E26EF6">
        <w:tab/>
        <w:t>W odniesieniu do ryzyka kredytowego według metody standardowej</w:t>
      </w:r>
      <w:r w:rsidR="00E26EF6" w:rsidRPr="00E26EF6">
        <w:t xml:space="preserve"> i met</w:t>
      </w:r>
      <w:r w:rsidRPr="00E26EF6">
        <w:t>ody IRB istnieją różne zestawy wzorów. Ponadto zgłaszane są osobne wzory na potrzeby podziału pod względem geograficznym pozycji podlegających ryzyku kredytowemu, jeśli przekroczony jest odpowiedni próg określony</w:t>
      </w:r>
      <w:r w:rsidR="00E26EF6" w:rsidRPr="00E26EF6">
        <w:t xml:space="preserve"> w art</w:t>
      </w:r>
      <w:r w:rsidRPr="00E26EF6">
        <w:t>.</w:t>
      </w:r>
      <w:r w:rsidR="00023409" w:rsidRPr="00E26EF6">
        <w:t> </w:t>
      </w:r>
      <w:r w:rsidRPr="00E26EF6">
        <w:t>5 lit.</w:t>
      </w:r>
      <w:r w:rsidR="00023409" w:rsidRPr="00E26EF6">
        <w:t> </w:t>
      </w:r>
      <w:r w:rsidRPr="00E26EF6">
        <w:t>a) pkt</w:t>
      </w:r>
      <w:r w:rsidR="00023409" w:rsidRPr="00E26EF6">
        <w:t> </w:t>
      </w:r>
      <w:r w:rsidRPr="00E26EF6">
        <w:t xml:space="preserve">4 niniejszego rozporządzenia wykonawczego. </w:t>
      </w:r>
    </w:p>
    <w:p w14:paraId="24A12BC4" w14:textId="32468E5C" w:rsidR="00915077" w:rsidRPr="00E26EF6" w:rsidRDefault="00125707">
      <w:pPr>
        <w:pStyle w:val="Instructionsberschrift2"/>
        <w:numPr>
          <w:ilvl w:val="0"/>
          <w:numId w:val="0"/>
        </w:numPr>
        <w:ind w:left="357" w:hanging="357"/>
        <w:rPr>
          <w:rFonts w:ascii="Times New Roman" w:hAnsi="Times New Roman" w:cs="Times New Roman"/>
          <w:sz w:val="24"/>
        </w:rPr>
      </w:pPr>
      <w:bookmarkStart w:id="31" w:name="_Toc31014329"/>
      <w:r w:rsidRPr="00E26EF6">
        <w:rPr>
          <w:rFonts w:ascii="Times New Roman" w:hAnsi="Times New Roman"/>
          <w:sz w:val="24"/>
          <w:u w:val="none"/>
        </w:rPr>
        <w:t>3.1.1.</w:t>
      </w:r>
      <w:r w:rsidRPr="00E26EF6">
        <w:rPr>
          <w:rFonts w:ascii="Times New Roman" w:hAnsi="Times New Roman"/>
          <w:sz w:val="24"/>
          <w:u w:val="none"/>
        </w:rPr>
        <w:tab/>
      </w:r>
      <w:r w:rsidRPr="00E26EF6">
        <w:rPr>
          <w:rFonts w:ascii="Times New Roman" w:hAnsi="Times New Roman"/>
          <w:sz w:val="24"/>
        </w:rPr>
        <w:t>Sprawozdawczość</w:t>
      </w:r>
      <w:r w:rsidR="00E26EF6" w:rsidRPr="00E26EF6">
        <w:rPr>
          <w:rFonts w:ascii="Times New Roman" w:hAnsi="Times New Roman"/>
          <w:sz w:val="24"/>
        </w:rPr>
        <w:t xml:space="preserve"> w zak</w:t>
      </w:r>
      <w:r w:rsidRPr="00E26EF6">
        <w:rPr>
          <w:rFonts w:ascii="Times New Roman" w:hAnsi="Times New Roman"/>
          <w:sz w:val="24"/>
        </w:rPr>
        <w:t>resie technik ograniczania ryzyka kredytowego</w:t>
      </w:r>
      <w:r w:rsidR="00E26EF6" w:rsidRPr="00E26EF6">
        <w:rPr>
          <w:rFonts w:ascii="Times New Roman" w:hAnsi="Times New Roman"/>
          <w:sz w:val="24"/>
        </w:rPr>
        <w:t xml:space="preserve"> z uwz</w:t>
      </w:r>
      <w:r w:rsidRPr="00E26EF6">
        <w:rPr>
          <w:rFonts w:ascii="Times New Roman" w:hAnsi="Times New Roman"/>
          <w:sz w:val="24"/>
        </w:rPr>
        <w:t>ględnieniem efektów substytucyjnych</w:t>
      </w:r>
      <w:bookmarkEnd w:id="31"/>
    </w:p>
    <w:p w14:paraId="5618B1C1" w14:textId="09EDD4B1" w:rsidR="00915077" w:rsidRPr="00E26EF6" w:rsidRDefault="00125707">
      <w:pPr>
        <w:pStyle w:val="InstructionsText2"/>
        <w:numPr>
          <w:ilvl w:val="0"/>
          <w:numId w:val="0"/>
        </w:numPr>
        <w:ind w:left="993"/>
      </w:pPr>
      <w:r w:rsidRPr="00E26EF6">
        <w:t>39.</w:t>
      </w:r>
      <w:r w:rsidRPr="00E26EF6">
        <w:tab/>
        <w:t>W art.</w:t>
      </w:r>
      <w:r w:rsidR="00023409" w:rsidRPr="00E26EF6">
        <w:t> </w:t>
      </w:r>
      <w:r w:rsidRPr="00E26EF6">
        <w:t>235 CRR opisano procedurę obliczania ekspozycji</w:t>
      </w:r>
      <w:r w:rsidR="00E26EF6" w:rsidRPr="00E26EF6">
        <w:t xml:space="preserve"> w peł</w:t>
      </w:r>
      <w:r w:rsidRPr="00E26EF6">
        <w:t>ni objętej ochroną kredytową nierzeczywistą.</w:t>
      </w:r>
    </w:p>
    <w:p w14:paraId="0C6811C2" w14:textId="5D16ACBB" w:rsidR="00915077" w:rsidRPr="00E26EF6" w:rsidRDefault="00125707">
      <w:pPr>
        <w:pStyle w:val="InstructionsText2"/>
        <w:numPr>
          <w:ilvl w:val="0"/>
          <w:numId w:val="0"/>
        </w:numPr>
        <w:ind w:left="993"/>
      </w:pPr>
      <w:r w:rsidRPr="00E26EF6">
        <w:t>40.</w:t>
      </w:r>
      <w:r w:rsidRPr="00E26EF6">
        <w:tab/>
        <w:t>W art.</w:t>
      </w:r>
      <w:r w:rsidR="00023409" w:rsidRPr="00E26EF6">
        <w:t> </w:t>
      </w:r>
      <w:r w:rsidRPr="00E26EF6">
        <w:t>236 CRR opisano procedurę obliczania ekspozycji</w:t>
      </w:r>
      <w:r w:rsidR="00E26EF6" w:rsidRPr="00E26EF6">
        <w:t xml:space="preserve"> w peł</w:t>
      </w:r>
      <w:r w:rsidRPr="00E26EF6">
        <w:t>ni objętej ochroną kredytową nierzeczywistą</w:t>
      </w:r>
      <w:r w:rsidR="00E26EF6" w:rsidRPr="00E26EF6">
        <w:t xml:space="preserve"> w prz</w:t>
      </w:r>
      <w:r w:rsidRPr="00E26EF6">
        <w:t>ypadku pełnej ochrony / ochrony częściowej, gdy części ekspozycji są równe pod względem uprzywilejowania.</w:t>
      </w:r>
    </w:p>
    <w:p w14:paraId="0F7DEE63" w14:textId="6C40F236" w:rsidR="00915077" w:rsidRPr="00E26EF6" w:rsidRDefault="00125707">
      <w:pPr>
        <w:pStyle w:val="InstructionsText2"/>
        <w:numPr>
          <w:ilvl w:val="0"/>
          <w:numId w:val="0"/>
        </w:numPr>
        <w:ind w:left="993"/>
      </w:pPr>
      <w:r w:rsidRPr="00E26EF6">
        <w:t>41.</w:t>
      </w:r>
      <w:r w:rsidRPr="00E26EF6">
        <w:tab/>
        <w:t>Ochrona kredytowa rzeczywista regulowana jest przepisami art.</w:t>
      </w:r>
      <w:r w:rsidR="00023409" w:rsidRPr="00E26EF6">
        <w:t> </w:t>
      </w:r>
      <w:r w:rsidRPr="00E26EF6">
        <w:t>196, 197</w:t>
      </w:r>
      <w:r w:rsidR="00E26EF6" w:rsidRPr="00E26EF6">
        <w:t xml:space="preserve"> i 2</w:t>
      </w:r>
      <w:r w:rsidRPr="00E26EF6">
        <w:t>00 CRR.</w:t>
      </w:r>
    </w:p>
    <w:p w14:paraId="6D2EF433" w14:textId="7F42FDE3" w:rsidR="00915077" w:rsidRPr="00E26EF6" w:rsidRDefault="00125707">
      <w:pPr>
        <w:pStyle w:val="InstructionsText2"/>
        <w:numPr>
          <w:ilvl w:val="0"/>
          <w:numId w:val="0"/>
        </w:numPr>
        <w:ind w:left="993"/>
      </w:pPr>
      <w:r w:rsidRPr="00E26EF6">
        <w:t>42.</w:t>
      </w:r>
      <w:r w:rsidRPr="00E26EF6">
        <w:tab/>
        <w:t>Ekspozycje wobec dłużników (bezpośrednich kontrahentów) oraz dostawców ochrony kredytowej, które to ekspozycje zaklasyfikowane są do tej samej kategorii ekspozycji, zgłasza się</w:t>
      </w:r>
      <w:r w:rsidR="00E26EF6" w:rsidRPr="00E26EF6">
        <w:t xml:space="preserve"> w odn</w:t>
      </w:r>
      <w:r w:rsidRPr="00E26EF6">
        <w:t>iesieniu do wpływów</w:t>
      </w:r>
      <w:r w:rsidR="00E26EF6" w:rsidRPr="00E26EF6">
        <w:t xml:space="preserve"> i wyp</w:t>
      </w:r>
      <w:r w:rsidRPr="00E26EF6">
        <w:t>ływów dotyczących tej samej kategorii ekspozycji.</w:t>
      </w:r>
    </w:p>
    <w:p w14:paraId="3D5B371F" w14:textId="3438B5ED" w:rsidR="00915077" w:rsidRPr="00E26EF6" w:rsidRDefault="00125707">
      <w:pPr>
        <w:pStyle w:val="InstructionsText2"/>
        <w:numPr>
          <w:ilvl w:val="0"/>
          <w:numId w:val="0"/>
        </w:numPr>
        <w:ind w:left="993"/>
      </w:pPr>
      <w:r w:rsidRPr="00E26EF6">
        <w:lastRenderedPageBreak/>
        <w:t>43.</w:t>
      </w:r>
      <w:r w:rsidRPr="00E26EF6">
        <w:tab/>
        <w:t>Rodzaj ekspozycji nie ulega zmianie</w:t>
      </w:r>
      <w:r w:rsidR="00E26EF6" w:rsidRPr="00E26EF6">
        <w:t xml:space="preserve"> z pow</w:t>
      </w:r>
      <w:r w:rsidRPr="00E26EF6">
        <w:t>odu ochrony kredytowej nierzeczywistej.</w:t>
      </w:r>
    </w:p>
    <w:p w14:paraId="6F5E7DFF" w14:textId="66993B97" w:rsidR="00915077" w:rsidRPr="00E26EF6" w:rsidRDefault="00125707">
      <w:pPr>
        <w:pStyle w:val="InstructionsText2"/>
        <w:numPr>
          <w:ilvl w:val="0"/>
          <w:numId w:val="0"/>
        </w:numPr>
        <w:ind w:left="993"/>
      </w:pPr>
      <w:r w:rsidRPr="00E26EF6">
        <w:t>44.</w:t>
      </w:r>
      <w:r w:rsidRPr="00E26EF6">
        <w:tab/>
        <w:t>Jeżeli ekspozycja jest zabezpieczona poprzez ochronę kredytową nierzeczywistą, zabezpieczona część jest przypisywana jako wypływ np.</w:t>
      </w:r>
      <w:r w:rsidR="00E26EF6" w:rsidRPr="00E26EF6">
        <w:t xml:space="preserve"> w kat</w:t>
      </w:r>
      <w:r w:rsidRPr="00E26EF6">
        <w:t>egorii ekspozycji dłużnika oraz jako wpływ</w:t>
      </w:r>
      <w:r w:rsidR="00E26EF6" w:rsidRPr="00E26EF6">
        <w:t xml:space="preserve"> w kat</w:t>
      </w:r>
      <w:r w:rsidRPr="00E26EF6">
        <w:t>egorii ekspozycji dostawcy ochrony kredytowej. Rodzaj ekspozycji nie ulega jednak zmianie wskutek zmiany kategorii ekspozycji.</w:t>
      </w:r>
    </w:p>
    <w:p w14:paraId="17148265" w14:textId="50CE165F" w:rsidR="00915077" w:rsidRPr="00E26EF6" w:rsidRDefault="00125707">
      <w:pPr>
        <w:pStyle w:val="InstructionsText2"/>
        <w:numPr>
          <w:ilvl w:val="0"/>
          <w:numId w:val="0"/>
        </w:numPr>
        <w:ind w:left="993"/>
      </w:pPr>
      <w:r w:rsidRPr="00E26EF6">
        <w:t>45.</w:t>
      </w:r>
      <w:r w:rsidRPr="00E26EF6">
        <w:tab/>
        <w:t>Efekt substytucyjny</w:t>
      </w:r>
      <w:r w:rsidR="00E26EF6" w:rsidRPr="00E26EF6">
        <w:t xml:space="preserve"> w ram</w:t>
      </w:r>
      <w:r w:rsidRPr="00E26EF6">
        <w:t>ach sprawozdawczości COREP odzwierciedla traktowanie ważenia ryzykiem mające skuteczne zastosowanie do zabezpieczonej części ekspozycji</w:t>
      </w:r>
      <w:r w:rsidR="00E26EF6" w:rsidRPr="00E26EF6">
        <w:t>. W rez</w:t>
      </w:r>
      <w:r w:rsidRPr="00E26EF6">
        <w:t>ultacie zabezpieczona część ekspozycji jest ważona ryzykiem według metody standardowej</w:t>
      </w:r>
      <w:r w:rsidR="00E26EF6" w:rsidRPr="00E26EF6">
        <w:t xml:space="preserve"> i zgł</w:t>
      </w:r>
      <w:r w:rsidRPr="00E26EF6">
        <w:t xml:space="preserve">aszana we wzorze CR SA. </w:t>
      </w:r>
    </w:p>
    <w:p w14:paraId="08DB1FC2" w14:textId="7BC9D391" w:rsidR="00915077" w:rsidRPr="00E26EF6" w:rsidRDefault="00125707">
      <w:pPr>
        <w:pStyle w:val="Instructionsberschrift2"/>
        <w:numPr>
          <w:ilvl w:val="0"/>
          <w:numId w:val="0"/>
        </w:numPr>
        <w:ind w:left="357" w:hanging="357"/>
        <w:rPr>
          <w:rFonts w:ascii="Times New Roman" w:hAnsi="Times New Roman" w:cs="Times New Roman"/>
          <w:sz w:val="24"/>
        </w:rPr>
      </w:pPr>
      <w:bookmarkStart w:id="32" w:name="_Toc31014330"/>
      <w:r w:rsidRPr="00E26EF6">
        <w:rPr>
          <w:rFonts w:ascii="Times New Roman" w:hAnsi="Times New Roman"/>
          <w:sz w:val="24"/>
          <w:u w:val="none"/>
        </w:rPr>
        <w:t>3.1.2.</w:t>
      </w:r>
      <w:r w:rsidRPr="00E26EF6">
        <w:rPr>
          <w:rFonts w:ascii="Times New Roman" w:hAnsi="Times New Roman"/>
          <w:sz w:val="24"/>
          <w:u w:val="none"/>
        </w:rPr>
        <w:tab/>
      </w:r>
      <w:r w:rsidRPr="00E26EF6">
        <w:rPr>
          <w:rFonts w:ascii="Times New Roman" w:hAnsi="Times New Roman"/>
          <w:sz w:val="24"/>
        </w:rPr>
        <w:t>Sprawozdawczość</w:t>
      </w:r>
      <w:r w:rsidR="00E26EF6" w:rsidRPr="00E26EF6">
        <w:rPr>
          <w:rFonts w:ascii="Times New Roman" w:hAnsi="Times New Roman"/>
          <w:sz w:val="24"/>
        </w:rPr>
        <w:t xml:space="preserve"> w zak</w:t>
      </w:r>
      <w:r w:rsidRPr="00E26EF6">
        <w:rPr>
          <w:rFonts w:ascii="Times New Roman" w:hAnsi="Times New Roman"/>
          <w:sz w:val="24"/>
        </w:rPr>
        <w:t>resie ryzyka kredytowego kontrahenta</w:t>
      </w:r>
      <w:bookmarkEnd w:id="32"/>
    </w:p>
    <w:p w14:paraId="595DF864" w14:textId="5B4335B6" w:rsidR="00915077" w:rsidRPr="00E26EF6" w:rsidRDefault="00125707">
      <w:pPr>
        <w:pStyle w:val="InstructionsText2"/>
        <w:numPr>
          <w:ilvl w:val="0"/>
          <w:numId w:val="0"/>
        </w:numPr>
        <w:ind w:left="993"/>
      </w:pPr>
      <w:r w:rsidRPr="00E26EF6">
        <w:t>46.</w:t>
      </w:r>
      <w:r w:rsidRPr="00E26EF6">
        <w:tab/>
        <w:t>Pozycje dotyczące ekspozycji wynikających</w:t>
      </w:r>
      <w:r w:rsidR="00E26EF6" w:rsidRPr="00E26EF6">
        <w:t xml:space="preserve"> z ryz</w:t>
      </w:r>
      <w:r w:rsidRPr="00E26EF6">
        <w:t xml:space="preserve">yka kredytowego kontrahenta zgłasza się we wzorach CR SA lub CR IRB niezależne od tego, czy są one pozycjami portfela bankowego czy portfela handlowego. </w:t>
      </w:r>
    </w:p>
    <w:p w14:paraId="050F06E6" w14:textId="5947B7FA" w:rsidR="00915077" w:rsidRPr="00E26EF6" w:rsidRDefault="00125707">
      <w:pPr>
        <w:pStyle w:val="Instructionsberschrift2"/>
        <w:numPr>
          <w:ilvl w:val="0"/>
          <w:numId w:val="0"/>
        </w:numPr>
        <w:ind w:left="357" w:hanging="357"/>
        <w:rPr>
          <w:rFonts w:ascii="Times New Roman" w:hAnsi="Times New Roman" w:cs="Times New Roman"/>
          <w:sz w:val="24"/>
        </w:rPr>
      </w:pPr>
      <w:bookmarkStart w:id="33" w:name="_Toc31014331"/>
      <w:r w:rsidRPr="00E26EF6">
        <w:rPr>
          <w:rFonts w:ascii="Times New Roman" w:hAnsi="Times New Roman"/>
          <w:sz w:val="24"/>
          <w:u w:val="none"/>
        </w:rPr>
        <w:t>3.2.</w:t>
      </w:r>
      <w:r w:rsidRPr="00E26EF6">
        <w:rPr>
          <w:rFonts w:ascii="Times New Roman" w:hAnsi="Times New Roman"/>
          <w:sz w:val="24"/>
          <w:u w:val="none"/>
        </w:rPr>
        <w:tab/>
      </w:r>
      <w:r w:rsidRPr="00E26EF6">
        <w:rPr>
          <w:rFonts w:ascii="Times New Roman" w:hAnsi="Times New Roman"/>
          <w:sz w:val="24"/>
        </w:rPr>
        <w:t>C 07.00 – Ryzyko kredytowe</w:t>
      </w:r>
      <w:r w:rsidR="00E26EF6" w:rsidRPr="00E26EF6">
        <w:rPr>
          <w:rFonts w:ascii="Times New Roman" w:hAnsi="Times New Roman"/>
          <w:sz w:val="24"/>
        </w:rPr>
        <w:t xml:space="preserve"> i ryz</w:t>
      </w:r>
      <w:r w:rsidRPr="00E26EF6">
        <w:rPr>
          <w:rFonts w:ascii="Times New Roman" w:hAnsi="Times New Roman"/>
          <w:sz w:val="24"/>
        </w:rPr>
        <w:t>yko kredytowe kontrahenta oraz dostawy</w:t>
      </w:r>
      <w:r w:rsidR="00E26EF6" w:rsidRPr="00E26EF6">
        <w:rPr>
          <w:rFonts w:ascii="Times New Roman" w:hAnsi="Times New Roman"/>
          <w:sz w:val="24"/>
        </w:rPr>
        <w:t xml:space="preserve"> z póź</w:t>
      </w:r>
      <w:r w:rsidRPr="00E26EF6">
        <w:rPr>
          <w:rFonts w:ascii="Times New Roman" w:hAnsi="Times New Roman"/>
          <w:sz w:val="24"/>
        </w:rPr>
        <w:t>niejszym terminem rozliczenia: wymogi kapitałowe według metody standardowej (CR SA)</w:t>
      </w:r>
      <w:bookmarkEnd w:id="33"/>
    </w:p>
    <w:p w14:paraId="2C884E9E"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34" w:name="_Toc31014332"/>
      <w:r w:rsidRPr="00E26EF6">
        <w:rPr>
          <w:rFonts w:ascii="Times New Roman" w:hAnsi="Times New Roman"/>
          <w:sz w:val="24"/>
          <w:u w:val="none"/>
        </w:rPr>
        <w:t>3.2.1.</w:t>
      </w:r>
      <w:r w:rsidRPr="00E26EF6">
        <w:rPr>
          <w:rFonts w:ascii="Times New Roman" w:hAnsi="Times New Roman"/>
          <w:sz w:val="24"/>
          <w:u w:val="none"/>
        </w:rPr>
        <w:tab/>
      </w:r>
      <w:r w:rsidRPr="00E26EF6">
        <w:rPr>
          <w:rFonts w:ascii="Times New Roman" w:hAnsi="Times New Roman"/>
          <w:sz w:val="24"/>
        </w:rPr>
        <w:t>Uwagi ogólne</w:t>
      </w:r>
      <w:bookmarkEnd w:id="34"/>
    </w:p>
    <w:p w14:paraId="043CCB8F" w14:textId="7DD228F6" w:rsidR="00915077" w:rsidRPr="00E26EF6" w:rsidRDefault="00125707">
      <w:pPr>
        <w:pStyle w:val="InstructionsText2"/>
        <w:numPr>
          <w:ilvl w:val="0"/>
          <w:numId w:val="0"/>
        </w:numPr>
        <w:ind w:left="993"/>
      </w:pPr>
      <w:r w:rsidRPr="00E26EF6">
        <w:t>47.</w:t>
      </w:r>
      <w:r w:rsidRPr="00E26EF6">
        <w:tab/>
        <w:t>Wzory CR SA dostarczają niezbędnych informacji na temat obliczania wymogów</w:t>
      </w:r>
      <w:r w:rsidR="00E26EF6" w:rsidRPr="00E26EF6">
        <w:t xml:space="preserve"> w zak</w:t>
      </w:r>
      <w:r w:rsidRPr="00E26EF6">
        <w:t>resie funduszy własnych</w:t>
      </w:r>
      <w:r w:rsidR="00E26EF6" w:rsidRPr="00E26EF6">
        <w:t xml:space="preserve"> z tyt</w:t>
      </w:r>
      <w:r w:rsidRPr="00E26EF6">
        <w:t>ułu ryzyka kredytowego według metody standardowej</w:t>
      </w:r>
      <w:r w:rsidR="00E26EF6" w:rsidRPr="00E26EF6">
        <w:t>. W szc</w:t>
      </w:r>
      <w:r w:rsidRPr="00E26EF6">
        <w:t>zególności zawierają szczegółowe informacje o:</w:t>
      </w:r>
    </w:p>
    <w:p w14:paraId="2B59DD5B" w14:textId="68082B95" w:rsidR="00915077" w:rsidRPr="00E26EF6" w:rsidRDefault="00125707">
      <w:pPr>
        <w:pStyle w:val="InstructionsText2"/>
        <w:numPr>
          <w:ilvl w:val="0"/>
          <w:numId w:val="0"/>
        </w:numPr>
        <w:ind w:left="993"/>
      </w:pPr>
      <w:r w:rsidRPr="00E26EF6">
        <w:t>a</w:t>
      </w:r>
      <w:proofErr w:type="gramStart"/>
      <w:r w:rsidRPr="00E26EF6">
        <w:t>)</w:t>
      </w:r>
      <w:r w:rsidRPr="00E26EF6">
        <w:tab/>
        <w:t>podziale</w:t>
      </w:r>
      <w:proofErr w:type="gramEnd"/>
      <w:r w:rsidRPr="00E26EF6">
        <w:t xml:space="preserve"> wartości ekspozycji według różnych rodzajów ekspozycji, wag ryzyka</w:t>
      </w:r>
      <w:r w:rsidR="00E26EF6" w:rsidRPr="00E26EF6">
        <w:t xml:space="preserve"> i kat</w:t>
      </w:r>
      <w:r w:rsidRPr="00E26EF6">
        <w:t>egorii ekspozycji;</w:t>
      </w:r>
    </w:p>
    <w:p w14:paraId="318DAC93" w14:textId="7D480C91" w:rsidR="00915077" w:rsidRPr="00E26EF6" w:rsidRDefault="00125707">
      <w:pPr>
        <w:pStyle w:val="InstructionsText2"/>
        <w:numPr>
          <w:ilvl w:val="0"/>
          <w:numId w:val="0"/>
        </w:numPr>
        <w:ind w:left="993"/>
      </w:pPr>
      <w:r w:rsidRPr="00E26EF6">
        <w:t>b</w:t>
      </w:r>
      <w:proofErr w:type="gramStart"/>
      <w:r w:rsidRPr="00E26EF6">
        <w:t>)</w:t>
      </w:r>
      <w:r w:rsidRPr="00E26EF6">
        <w:tab/>
        <w:t>kwocie</w:t>
      </w:r>
      <w:proofErr w:type="gramEnd"/>
      <w:r w:rsidR="00E26EF6" w:rsidRPr="00E26EF6">
        <w:t xml:space="preserve"> i rod</w:t>
      </w:r>
      <w:r w:rsidRPr="00E26EF6">
        <w:t>zaju technik ograniczania ryzyka kredytowego zastosowanych</w:t>
      </w:r>
      <w:r w:rsidR="00E26EF6" w:rsidRPr="00E26EF6">
        <w:t xml:space="preserve"> w cel</w:t>
      </w:r>
      <w:r w:rsidRPr="00E26EF6">
        <w:t xml:space="preserve">u zmniejszenia ryzyka. </w:t>
      </w:r>
    </w:p>
    <w:p w14:paraId="232245F1"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35" w:name="_Toc31014333"/>
      <w:r w:rsidRPr="00E26EF6">
        <w:rPr>
          <w:rFonts w:ascii="Times New Roman" w:hAnsi="Times New Roman"/>
          <w:sz w:val="24"/>
          <w:u w:val="none"/>
        </w:rPr>
        <w:t>3.2.2.</w:t>
      </w:r>
      <w:r w:rsidRPr="00E26EF6">
        <w:rPr>
          <w:rFonts w:ascii="Times New Roman" w:hAnsi="Times New Roman"/>
          <w:sz w:val="24"/>
          <w:u w:val="none"/>
        </w:rPr>
        <w:tab/>
      </w:r>
      <w:r w:rsidRPr="00E26EF6">
        <w:rPr>
          <w:rFonts w:ascii="Times New Roman" w:hAnsi="Times New Roman"/>
          <w:sz w:val="24"/>
        </w:rPr>
        <w:t>Zakres wzoru CR SA</w:t>
      </w:r>
      <w:bookmarkEnd w:id="35"/>
    </w:p>
    <w:p w14:paraId="74E1ED6A" w14:textId="3BEBC66D" w:rsidR="00915077" w:rsidRPr="00E26EF6" w:rsidRDefault="00125707">
      <w:pPr>
        <w:pStyle w:val="InstructionsText2"/>
        <w:numPr>
          <w:ilvl w:val="0"/>
          <w:numId w:val="0"/>
        </w:numPr>
        <w:ind w:left="993"/>
      </w:pPr>
      <w:r w:rsidRPr="00E26EF6">
        <w:t>48.</w:t>
      </w:r>
      <w:r w:rsidRPr="00E26EF6">
        <w:tab/>
        <w:t>Zgodnie</w:t>
      </w:r>
      <w:r w:rsidR="00E26EF6" w:rsidRPr="00E26EF6">
        <w:t xml:space="preserve"> z art</w:t>
      </w:r>
      <w:r w:rsidRPr="00E26EF6">
        <w:t>.</w:t>
      </w:r>
      <w:r w:rsidR="00023409" w:rsidRPr="00E26EF6">
        <w:t> </w:t>
      </w:r>
      <w:r w:rsidRPr="00E26EF6">
        <w:t>112 CRR każda ekspozycja według metody standardowej klasyfikowana jest do jednej</w:t>
      </w:r>
      <w:r w:rsidR="00E26EF6" w:rsidRPr="00E26EF6">
        <w:t xml:space="preserve"> z 1</w:t>
      </w:r>
      <w:r w:rsidRPr="00E26EF6">
        <w:t>6 kategorii ekspozycji</w:t>
      </w:r>
      <w:r w:rsidR="00E26EF6" w:rsidRPr="00E26EF6">
        <w:t xml:space="preserve"> w cel</w:t>
      </w:r>
      <w:r w:rsidRPr="00E26EF6">
        <w:t>u obliczenia wymogów</w:t>
      </w:r>
      <w:r w:rsidR="00E26EF6" w:rsidRPr="00E26EF6">
        <w:t xml:space="preserve"> w zak</w:t>
      </w:r>
      <w:r w:rsidRPr="00E26EF6">
        <w:t>resie funduszy własnych.</w:t>
      </w:r>
    </w:p>
    <w:p w14:paraId="1A5DE48F" w14:textId="2C801F37" w:rsidR="00915077" w:rsidRPr="00E26EF6" w:rsidRDefault="00125707">
      <w:pPr>
        <w:pStyle w:val="InstructionsText2"/>
        <w:numPr>
          <w:ilvl w:val="0"/>
          <w:numId w:val="0"/>
        </w:numPr>
        <w:ind w:left="993"/>
      </w:pPr>
      <w:r w:rsidRPr="00E26EF6">
        <w:t>49.</w:t>
      </w:r>
      <w:r w:rsidRPr="00E26EF6">
        <w:tab/>
        <w:t>Informacje zawarte we wzorze CR SA są wymagane dla kategorii ekspozycji całkowitych</w:t>
      </w:r>
      <w:r w:rsidR="00E26EF6" w:rsidRPr="00E26EF6">
        <w:t xml:space="preserve"> i ind</w:t>
      </w:r>
      <w:r w:rsidRPr="00E26EF6">
        <w:t>ywidualnie dla każdej</w:t>
      </w:r>
      <w:r w:rsidR="00E26EF6" w:rsidRPr="00E26EF6">
        <w:t xml:space="preserve"> z kat</w:t>
      </w:r>
      <w:r w:rsidRPr="00E26EF6">
        <w:t>egorii ekspozycji określonych na potrzeby metody standardowej. Łączne dane oraz informacje</w:t>
      </w:r>
      <w:r w:rsidR="00E26EF6" w:rsidRPr="00E26EF6">
        <w:t xml:space="preserve"> o każ</w:t>
      </w:r>
      <w:r w:rsidRPr="00E26EF6">
        <w:t>dej kategorii ekspozycji zgłasza się</w:t>
      </w:r>
      <w:r w:rsidR="00E26EF6" w:rsidRPr="00E26EF6">
        <w:t xml:space="preserve"> w oso</w:t>
      </w:r>
      <w:r w:rsidRPr="00E26EF6">
        <w:t xml:space="preserve">bnym wymiarze. </w:t>
      </w:r>
    </w:p>
    <w:p w14:paraId="1F160EE7" w14:textId="02A4EB47" w:rsidR="00915077" w:rsidRPr="00E26EF6" w:rsidRDefault="00125707">
      <w:pPr>
        <w:pStyle w:val="InstructionsText2"/>
        <w:numPr>
          <w:ilvl w:val="0"/>
          <w:numId w:val="0"/>
        </w:numPr>
        <w:ind w:left="993"/>
      </w:pPr>
      <w:r w:rsidRPr="00E26EF6">
        <w:t>50.</w:t>
      </w:r>
      <w:r w:rsidRPr="00E26EF6">
        <w:tab/>
        <w:t>Następujące pozycje nie wchodzą jednak</w:t>
      </w:r>
      <w:r w:rsidR="00E26EF6" w:rsidRPr="00E26EF6">
        <w:t xml:space="preserve"> w zak</w:t>
      </w:r>
      <w:r w:rsidRPr="00E26EF6">
        <w:t>res wzoru CR SA:</w:t>
      </w:r>
    </w:p>
    <w:p w14:paraId="2C467C4D" w14:textId="7C9DD62A" w:rsidR="00915077" w:rsidRPr="00E26EF6" w:rsidRDefault="00125707">
      <w:pPr>
        <w:pStyle w:val="InstructionsText2"/>
        <w:numPr>
          <w:ilvl w:val="0"/>
          <w:numId w:val="0"/>
        </w:numPr>
        <w:ind w:left="993"/>
      </w:pPr>
      <w:r w:rsidRPr="00E26EF6">
        <w:t>a</w:t>
      </w:r>
      <w:proofErr w:type="gramStart"/>
      <w:r w:rsidRPr="00E26EF6">
        <w:t>)</w:t>
      </w:r>
      <w:r w:rsidRPr="00E26EF6">
        <w:tab/>
        <w:t>ekspozycje</w:t>
      </w:r>
      <w:proofErr w:type="gramEnd"/>
      <w:r w:rsidRPr="00E26EF6">
        <w:t xml:space="preserve"> zaklasyfikowane do kategorii ekspozycji „pozycje stanowiące pozycje sekurytyzacyjne”,</w:t>
      </w:r>
      <w:r w:rsidR="00E26EF6" w:rsidRPr="00E26EF6">
        <w:t xml:space="preserve"> o któ</w:t>
      </w:r>
      <w:r w:rsidRPr="00E26EF6">
        <w:t>rych mowa</w:t>
      </w:r>
      <w:r w:rsidR="00E26EF6" w:rsidRPr="00E26EF6">
        <w:t xml:space="preserve"> w art</w:t>
      </w:r>
      <w:r w:rsidRPr="00E26EF6">
        <w:t>.</w:t>
      </w:r>
      <w:r w:rsidR="00023409" w:rsidRPr="00E26EF6">
        <w:t> </w:t>
      </w:r>
      <w:r w:rsidRPr="00E26EF6">
        <w:t>112 lit.</w:t>
      </w:r>
      <w:r w:rsidR="00023409" w:rsidRPr="00E26EF6">
        <w:t> </w:t>
      </w:r>
      <w:r w:rsidRPr="00E26EF6">
        <w:t>m) CRR, które zgłasza się we wzorach CR SEC;</w:t>
      </w:r>
    </w:p>
    <w:p w14:paraId="271B5B48" w14:textId="77777777" w:rsidR="00915077" w:rsidRPr="00E26EF6" w:rsidRDefault="00125707">
      <w:pPr>
        <w:pStyle w:val="InstructionsText2"/>
        <w:numPr>
          <w:ilvl w:val="0"/>
          <w:numId w:val="0"/>
        </w:numPr>
        <w:ind w:left="993"/>
      </w:pPr>
      <w:r w:rsidRPr="00E26EF6">
        <w:t>b</w:t>
      </w:r>
      <w:proofErr w:type="gramStart"/>
      <w:r w:rsidRPr="00E26EF6">
        <w:t>)</w:t>
      </w:r>
      <w:r w:rsidRPr="00E26EF6">
        <w:tab/>
        <w:t>ekspozycje</w:t>
      </w:r>
      <w:proofErr w:type="gramEnd"/>
      <w:r w:rsidRPr="00E26EF6">
        <w:t xml:space="preserve"> odejmowane od funduszy własnych.</w:t>
      </w:r>
    </w:p>
    <w:p w14:paraId="5F89B3AB" w14:textId="1FEBCEB0" w:rsidR="00915077" w:rsidRPr="00E26EF6" w:rsidRDefault="00125707">
      <w:pPr>
        <w:pStyle w:val="InstructionsText2"/>
        <w:numPr>
          <w:ilvl w:val="0"/>
          <w:numId w:val="0"/>
        </w:numPr>
        <w:ind w:left="993"/>
      </w:pPr>
      <w:r w:rsidRPr="00E26EF6">
        <w:lastRenderedPageBreak/>
        <w:t>51.</w:t>
      </w:r>
      <w:r w:rsidRPr="00E26EF6">
        <w:tab/>
        <w:t>Zakres wzoru CR SA obejmuje następujące wymogi</w:t>
      </w:r>
      <w:r w:rsidR="00E26EF6" w:rsidRPr="00E26EF6">
        <w:t xml:space="preserve"> w zak</w:t>
      </w:r>
      <w:r w:rsidRPr="00E26EF6">
        <w:t>resie funduszy własnych:</w:t>
      </w:r>
    </w:p>
    <w:p w14:paraId="40BE9125" w14:textId="23B210C4" w:rsidR="00915077" w:rsidRPr="00E26EF6" w:rsidRDefault="00125707">
      <w:pPr>
        <w:pStyle w:val="InstructionsText2"/>
        <w:numPr>
          <w:ilvl w:val="0"/>
          <w:numId w:val="0"/>
        </w:numPr>
        <w:ind w:left="993"/>
      </w:pPr>
      <w:r w:rsidRPr="00E26EF6">
        <w:t>a</w:t>
      </w:r>
      <w:proofErr w:type="gramStart"/>
      <w:r w:rsidRPr="00E26EF6">
        <w:t>)</w:t>
      </w:r>
      <w:r w:rsidRPr="00E26EF6">
        <w:tab/>
        <w:t>ryzyko</w:t>
      </w:r>
      <w:proofErr w:type="gramEnd"/>
      <w:r w:rsidRPr="00E26EF6">
        <w:t xml:space="preserve"> kredytowe zgodnie</w:t>
      </w:r>
      <w:r w:rsidR="00E26EF6" w:rsidRPr="00E26EF6">
        <w:t xml:space="preserve"> z czę</w:t>
      </w:r>
      <w:r w:rsidRPr="00E26EF6">
        <w:t>ścią trzecią tytuł II rozdział 2 (Metoda standardowa) CRR</w:t>
      </w:r>
      <w:r w:rsidR="00E26EF6" w:rsidRPr="00E26EF6">
        <w:t xml:space="preserve"> w por</w:t>
      </w:r>
      <w:r w:rsidRPr="00E26EF6">
        <w:t>tfelu bankowym,</w:t>
      </w:r>
      <w:r w:rsidR="00E26EF6" w:rsidRPr="00E26EF6">
        <w:t xml:space="preserve"> w tym</w:t>
      </w:r>
      <w:r w:rsidRPr="00E26EF6">
        <w:t xml:space="preserve"> ryzyko kredytowe kontrahenta zgodnie</w:t>
      </w:r>
      <w:r w:rsidR="00E26EF6" w:rsidRPr="00E26EF6">
        <w:t xml:space="preserve"> z czę</w:t>
      </w:r>
      <w:r w:rsidRPr="00E26EF6">
        <w:t>ścią trzecią tytuł II rozdział 6 (Ryzyko kredytowe kontrahenta) CRR</w:t>
      </w:r>
      <w:r w:rsidR="00E26EF6" w:rsidRPr="00E26EF6">
        <w:t xml:space="preserve"> w por</w:t>
      </w:r>
      <w:r w:rsidRPr="00E26EF6">
        <w:t>tfelu bankowym;</w:t>
      </w:r>
    </w:p>
    <w:p w14:paraId="69D3131A" w14:textId="7B176C2B" w:rsidR="00915077" w:rsidRPr="00E26EF6" w:rsidRDefault="00125707">
      <w:pPr>
        <w:pStyle w:val="InstructionsText2"/>
        <w:numPr>
          <w:ilvl w:val="0"/>
          <w:numId w:val="0"/>
        </w:numPr>
        <w:ind w:left="993"/>
      </w:pPr>
      <w:r w:rsidRPr="00E26EF6">
        <w:t>b</w:t>
      </w:r>
      <w:proofErr w:type="gramStart"/>
      <w:r w:rsidRPr="00E26EF6">
        <w:t>)</w:t>
      </w:r>
      <w:r w:rsidRPr="00E26EF6">
        <w:tab/>
        <w:t>ryzyko</w:t>
      </w:r>
      <w:proofErr w:type="gramEnd"/>
      <w:r w:rsidRPr="00E26EF6">
        <w:t xml:space="preserve"> kredytowe zgodnie</w:t>
      </w:r>
      <w:r w:rsidR="00E26EF6" w:rsidRPr="00E26EF6">
        <w:t xml:space="preserve"> z czę</w:t>
      </w:r>
      <w:r w:rsidRPr="00E26EF6">
        <w:t>ścią trzecią tytuł II rozdział 6 (Ryzyko kredytowe kontrahenta) CRR</w:t>
      </w:r>
      <w:r w:rsidR="00E26EF6" w:rsidRPr="00E26EF6">
        <w:t xml:space="preserve"> w por</w:t>
      </w:r>
      <w:r w:rsidRPr="00E26EF6">
        <w:t>tfelu handlowym;</w:t>
      </w:r>
    </w:p>
    <w:p w14:paraId="6190C467" w14:textId="4293BB7B" w:rsidR="00915077" w:rsidRPr="00E26EF6" w:rsidRDefault="00125707">
      <w:pPr>
        <w:pStyle w:val="InstructionsText2"/>
        <w:numPr>
          <w:ilvl w:val="0"/>
          <w:numId w:val="0"/>
        </w:numPr>
        <w:ind w:left="993"/>
      </w:pPr>
      <w:r w:rsidRPr="00E26EF6">
        <w:t>c</w:t>
      </w:r>
      <w:proofErr w:type="gramStart"/>
      <w:r w:rsidRPr="00E26EF6">
        <w:t>)</w:t>
      </w:r>
      <w:r w:rsidRPr="00E26EF6">
        <w:tab/>
        <w:t>ryzyko</w:t>
      </w:r>
      <w:proofErr w:type="gramEnd"/>
      <w:r w:rsidRPr="00E26EF6">
        <w:t xml:space="preserve"> rozliczenia wynikające</w:t>
      </w:r>
      <w:r w:rsidR="00E26EF6" w:rsidRPr="00E26EF6">
        <w:t xml:space="preserve"> z dos</w:t>
      </w:r>
      <w:r w:rsidRPr="00E26EF6">
        <w:t>taw</w:t>
      </w:r>
      <w:r w:rsidR="00E26EF6" w:rsidRPr="00E26EF6">
        <w:t xml:space="preserve"> z póź</w:t>
      </w:r>
      <w:r w:rsidRPr="00E26EF6">
        <w:t>niejszym terminem rozliczenia zgodnie</w:t>
      </w:r>
      <w:r w:rsidR="00E26EF6" w:rsidRPr="00E26EF6">
        <w:t xml:space="preserve"> z art</w:t>
      </w:r>
      <w:r w:rsidRPr="00E26EF6">
        <w:t>.</w:t>
      </w:r>
      <w:r w:rsidR="00023409" w:rsidRPr="00E26EF6">
        <w:t> </w:t>
      </w:r>
      <w:r w:rsidRPr="00E26EF6">
        <w:t>379 CRR</w:t>
      </w:r>
      <w:r w:rsidR="00E26EF6" w:rsidRPr="00E26EF6">
        <w:t xml:space="preserve"> w odn</w:t>
      </w:r>
      <w:r w:rsidRPr="00E26EF6">
        <w:t>iesieniu do wszystkich rodzajów działalności gospodarczej.</w:t>
      </w:r>
    </w:p>
    <w:p w14:paraId="09CB9C35" w14:textId="70D86B11" w:rsidR="00915077" w:rsidRPr="00E26EF6" w:rsidRDefault="00125707">
      <w:pPr>
        <w:pStyle w:val="InstructionsText2"/>
        <w:numPr>
          <w:ilvl w:val="0"/>
          <w:numId w:val="0"/>
        </w:numPr>
        <w:ind w:left="993"/>
      </w:pPr>
      <w:r w:rsidRPr="00E26EF6">
        <w:t>52.</w:t>
      </w:r>
      <w:r w:rsidRPr="00E26EF6">
        <w:tab/>
        <w:t>Wzór obejmuje wszystkie ekspozycje, dla których wymogi</w:t>
      </w:r>
      <w:r w:rsidR="00E26EF6" w:rsidRPr="00E26EF6">
        <w:t xml:space="preserve"> w zak</w:t>
      </w:r>
      <w:r w:rsidRPr="00E26EF6">
        <w:t>resie funduszy własnych oblicza się zgodnie</w:t>
      </w:r>
      <w:r w:rsidR="00E26EF6" w:rsidRPr="00E26EF6">
        <w:t xml:space="preserve"> z prz</w:t>
      </w:r>
      <w:r w:rsidRPr="00E26EF6">
        <w:t>episami części trzeciej tytuł II rozdział 2 CRR</w:t>
      </w:r>
      <w:r w:rsidR="00E26EF6" w:rsidRPr="00E26EF6">
        <w:t xml:space="preserve"> w zwi</w:t>
      </w:r>
      <w:r w:rsidRPr="00E26EF6">
        <w:t>ązku</w:t>
      </w:r>
      <w:r w:rsidR="00E26EF6" w:rsidRPr="00E26EF6">
        <w:t xml:space="preserve"> z czę</w:t>
      </w:r>
      <w:r w:rsidRPr="00E26EF6">
        <w:t>ścią trzecią tytuł II rozdziały 4</w:t>
      </w:r>
      <w:r w:rsidR="00E26EF6" w:rsidRPr="00E26EF6">
        <w:t xml:space="preserve"> i 6</w:t>
      </w:r>
      <w:r w:rsidRPr="00E26EF6">
        <w:t xml:space="preserve"> CRR. Instytucje, które stosują przepisy art.</w:t>
      </w:r>
      <w:r w:rsidR="00023409" w:rsidRPr="00E26EF6">
        <w:t> </w:t>
      </w:r>
      <w:r w:rsidRPr="00E26EF6">
        <w:t>94 ust.</w:t>
      </w:r>
      <w:r w:rsidR="00023409" w:rsidRPr="00E26EF6">
        <w:t> </w:t>
      </w:r>
      <w:r w:rsidRPr="00E26EF6">
        <w:t>1 CRR, również muszą zgłosić swoje pozycje portfela handlowego</w:t>
      </w:r>
      <w:r w:rsidR="00E26EF6" w:rsidRPr="00E26EF6">
        <w:t xml:space="preserve"> w tym</w:t>
      </w:r>
      <w:r w:rsidRPr="00E26EF6">
        <w:t xml:space="preserve"> wzorze, gdy stosują przepisy części trzeciej tytuł II rozdział 2 CRR do obliczenia wymogów</w:t>
      </w:r>
      <w:r w:rsidR="00E26EF6" w:rsidRPr="00E26EF6">
        <w:t xml:space="preserve"> w zak</w:t>
      </w:r>
      <w:r w:rsidRPr="00E26EF6">
        <w:t>resie funduszy własnych (część trzecia tytuł II rozdziały 2</w:t>
      </w:r>
      <w:r w:rsidR="00E26EF6" w:rsidRPr="00E26EF6">
        <w:t xml:space="preserve"> i 6</w:t>
      </w:r>
      <w:r w:rsidRPr="00E26EF6">
        <w:t xml:space="preserve"> CRR oraz tytuł V CRR). Dlatego wzór zapewnia nie tylko szczegółowe informacje</w:t>
      </w:r>
      <w:r w:rsidR="00E26EF6" w:rsidRPr="00E26EF6">
        <w:t xml:space="preserve"> o rod</w:t>
      </w:r>
      <w:r w:rsidRPr="00E26EF6">
        <w:t>zaju ekspozycji (np. pozycje bilansowe/pozycje pozabilansowe), ale również informacje na temat przypisania wag ryzyka</w:t>
      </w:r>
      <w:r w:rsidR="00E26EF6" w:rsidRPr="00E26EF6">
        <w:t xml:space="preserve"> w ram</w:t>
      </w:r>
      <w:r w:rsidRPr="00E26EF6">
        <w:t>ach danej kategorii ekspozycji.</w:t>
      </w:r>
    </w:p>
    <w:p w14:paraId="6334493C" w14:textId="13BA04E9" w:rsidR="00915077" w:rsidRPr="00E26EF6" w:rsidRDefault="00125707">
      <w:pPr>
        <w:pStyle w:val="InstructionsText2"/>
        <w:numPr>
          <w:ilvl w:val="0"/>
          <w:numId w:val="0"/>
        </w:numPr>
        <w:ind w:left="993"/>
      </w:pPr>
      <w:r w:rsidRPr="00E26EF6">
        <w:t>53.</w:t>
      </w:r>
      <w:r w:rsidRPr="00E26EF6">
        <w:tab/>
        <w:t>Ponadto wzór CR SA zawiera pozycje uzupełniające</w:t>
      </w:r>
      <w:r w:rsidR="00E26EF6" w:rsidRPr="00E26EF6">
        <w:t xml:space="preserve"> w wie</w:t>
      </w:r>
      <w:r w:rsidRPr="00E26EF6">
        <w:t>rszach 290–320, które mają na celu zbieranie dalszych informacji</w:t>
      </w:r>
      <w:r w:rsidR="00E26EF6" w:rsidRPr="00E26EF6">
        <w:t xml:space="preserve"> o eks</w:t>
      </w:r>
      <w:r w:rsidRPr="00E26EF6">
        <w:t>pozycjach zabezpieczonych hipotekami na nieruchomościach</w:t>
      </w:r>
      <w:r w:rsidR="00E26EF6" w:rsidRPr="00E26EF6">
        <w:t xml:space="preserve"> i eks</w:t>
      </w:r>
      <w:r w:rsidRPr="00E26EF6">
        <w:t xml:space="preserve">pozycjach, których dotyczy niewykonanie zobowiązania. </w:t>
      </w:r>
    </w:p>
    <w:p w14:paraId="67EA7489" w14:textId="72A9E835" w:rsidR="00915077" w:rsidRPr="00E26EF6" w:rsidRDefault="00125707">
      <w:pPr>
        <w:pStyle w:val="InstructionsText2"/>
        <w:numPr>
          <w:ilvl w:val="0"/>
          <w:numId w:val="0"/>
        </w:numPr>
        <w:ind w:left="993"/>
      </w:pPr>
      <w:r w:rsidRPr="00E26EF6">
        <w:t>54.</w:t>
      </w:r>
      <w:r w:rsidRPr="00E26EF6">
        <w:tab/>
        <w:t>Te pozycje uzupełniające zgłaszane są wyłącznie</w:t>
      </w:r>
      <w:r w:rsidR="00E26EF6" w:rsidRPr="00E26EF6">
        <w:t xml:space="preserve"> w odn</w:t>
      </w:r>
      <w:r w:rsidRPr="00E26EF6">
        <w:t xml:space="preserve">iesieniu do następujących kategorii ekspozycji: </w:t>
      </w:r>
    </w:p>
    <w:p w14:paraId="2885A1A2" w14:textId="30F873B5" w:rsidR="00915077" w:rsidRPr="00E26EF6" w:rsidRDefault="00125707">
      <w:pPr>
        <w:pStyle w:val="InstructionsText2"/>
        <w:numPr>
          <w:ilvl w:val="0"/>
          <w:numId w:val="0"/>
        </w:numPr>
        <w:ind w:left="993"/>
      </w:pPr>
      <w:r w:rsidRPr="00E26EF6">
        <w:t>a</w:t>
      </w:r>
      <w:proofErr w:type="gramStart"/>
      <w:r w:rsidRPr="00E26EF6">
        <w:t>)</w:t>
      </w:r>
      <w:r w:rsidRPr="00E26EF6">
        <w:tab/>
        <w:t>ekspozycje</w:t>
      </w:r>
      <w:proofErr w:type="gramEnd"/>
      <w:r w:rsidRPr="00E26EF6">
        <w:t xml:space="preserve"> wobec rządów centralnych lub banków centralnych (art.</w:t>
      </w:r>
      <w:r w:rsidR="00023409" w:rsidRPr="00E26EF6">
        <w:t> </w:t>
      </w:r>
      <w:r w:rsidRPr="00E26EF6">
        <w:t>112 lit.</w:t>
      </w:r>
      <w:r w:rsidR="00023409" w:rsidRPr="00E26EF6">
        <w:t> </w:t>
      </w:r>
      <w:r w:rsidRPr="00E26EF6">
        <w:t>a) CRR);</w:t>
      </w:r>
    </w:p>
    <w:p w14:paraId="299692FA" w14:textId="166174C9" w:rsidR="00915077" w:rsidRPr="00E26EF6" w:rsidRDefault="00125707">
      <w:pPr>
        <w:pStyle w:val="InstructionsText2"/>
        <w:numPr>
          <w:ilvl w:val="0"/>
          <w:numId w:val="0"/>
        </w:numPr>
        <w:ind w:left="993"/>
      </w:pPr>
      <w:r w:rsidRPr="00E26EF6">
        <w:t>b</w:t>
      </w:r>
      <w:proofErr w:type="gramStart"/>
      <w:r w:rsidRPr="00E26EF6">
        <w:t>)</w:t>
      </w:r>
      <w:r w:rsidRPr="00E26EF6">
        <w:tab/>
        <w:t>ekspozycje</w:t>
      </w:r>
      <w:proofErr w:type="gramEnd"/>
      <w:r w:rsidRPr="00E26EF6">
        <w:t xml:space="preserve"> wobec samorządów regionalnych lub władz lokalnych (art.</w:t>
      </w:r>
      <w:r w:rsidR="00023409" w:rsidRPr="00E26EF6">
        <w:t> </w:t>
      </w:r>
      <w:r w:rsidRPr="00E26EF6">
        <w:t>112 lit.</w:t>
      </w:r>
      <w:r w:rsidR="00023409" w:rsidRPr="00E26EF6">
        <w:t> </w:t>
      </w:r>
      <w:r w:rsidRPr="00E26EF6">
        <w:t>b) CRR);</w:t>
      </w:r>
    </w:p>
    <w:p w14:paraId="10915378" w14:textId="695EAEFE" w:rsidR="00915077" w:rsidRPr="00E26EF6" w:rsidRDefault="00125707">
      <w:pPr>
        <w:pStyle w:val="InstructionsText2"/>
        <w:numPr>
          <w:ilvl w:val="0"/>
          <w:numId w:val="0"/>
        </w:numPr>
        <w:ind w:left="993"/>
      </w:pPr>
      <w:r w:rsidRPr="00E26EF6">
        <w:t>c</w:t>
      </w:r>
      <w:proofErr w:type="gramStart"/>
      <w:r w:rsidRPr="00E26EF6">
        <w:t>)</w:t>
      </w:r>
      <w:r w:rsidRPr="00E26EF6">
        <w:tab/>
        <w:t>ekspozycje</w:t>
      </w:r>
      <w:proofErr w:type="gramEnd"/>
      <w:r w:rsidRPr="00E26EF6">
        <w:t xml:space="preserve"> wobec podmiotów sektora publicznego (art.</w:t>
      </w:r>
      <w:r w:rsidR="00023409" w:rsidRPr="00E26EF6">
        <w:t> </w:t>
      </w:r>
      <w:r w:rsidRPr="00E26EF6">
        <w:t>112 lit.</w:t>
      </w:r>
      <w:r w:rsidR="00023409" w:rsidRPr="00E26EF6">
        <w:t> </w:t>
      </w:r>
      <w:r w:rsidRPr="00E26EF6">
        <w:t>c) CRR);</w:t>
      </w:r>
    </w:p>
    <w:p w14:paraId="323BE37C" w14:textId="04BA1691" w:rsidR="00915077" w:rsidRPr="00E26EF6" w:rsidRDefault="00125707">
      <w:pPr>
        <w:pStyle w:val="InstructionsText2"/>
        <w:numPr>
          <w:ilvl w:val="0"/>
          <w:numId w:val="0"/>
        </w:numPr>
        <w:ind w:left="993"/>
      </w:pPr>
      <w:r w:rsidRPr="00E26EF6">
        <w:t>d</w:t>
      </w:r>
      <w:proofErr w:type="gramStart"/>
      <w:r w:rsidRPr="00E26EF6">
        <w:t>)</w:t>
      </w:r>
      <w:r w:rsidRPr="00E26EF6">
        <w:tab/>
        <w:t>ekspozycje</w:t>
      </w:r>
      <w:proofErr w:type="gramEnd"/>
      <w:r w:rsidRPr="00E26EF6">
        <w:t xml:space="preserve"> wobec instytucji (art.</w:t>
      </w:r>
      <w:r w:rsidR="00023409" w:rsidRPr="00E26EF6">
        <w:t> </w:t>
      </w:r>
      <w:r w:rsidRPr="00E26EF6">
        <w:t>112 lit.</w:t>
      </w:r>
      <w:r w:rsidR="00023409" w:rsidRPr="00E26EF6">
        <w:t> </w:t>
      </w:r>
      <w:r w:rsidRPr="00E26EF6">
        <w:t>f) CRR);</w:t>
      </w:r>
    </w:p>
    <w:p w14:paraId="3E92CB10" w14:textId="07103860" w:rsidR="00915077" w:rsidRPr="00E26EF6" w:rsidRDefault="00125707">
      <w:pPr>
        <w:pStyle w:val="InstructionsText2"/>
        <w:numPr>
          <w:ilvl w:val="0"/>
          <w:numId w:val="0"/>
        </w:numPr>
        <w:ind w:left="993"/>
      </w:pPr>
      <w:r w:rsidRPr="00E26EF6">
        <w:t>e</w:t>
      </w:r>
      <w:proofErr w:type="gramStart"/>
      <w:r w:rsidRPr="00E26EF6">
        <w:t>)</w:t>
      </w:r>
      <w:r w:rsidRPr="00E26EF6">
        <w:tab/>
        <w:t>ekspozycje</w:t>
      </w:r>
      <w:proofErr w:type="gramEnd"/>
      <w:r w:rsidRPr="00E26EF6">
        <w:t xml:space="preserve"> wobec przedsiębiorstw (art.</w:t>
      </w:r>
      <w:r w:rsidR="00023409" w:rsidRPr="00E26EF6">
        <w:t> </w:t>
      </w:r>
      <w:r w:rsidRPr="00E26EF6">
        <w:t>112 lit.</w:t>
      </w:r>
      <w:r w:rsidR="00023409" w:rsidRPr="00E26EF6">
        <w:t> </w:t>
      </w:r>
      <w:r w:rsidRPr="00E26EF6">
        <w:t>g) CRR);</w:t>
      </w:r>
    </w:p>
    <w:p w14:paraId="2084F570" w14:textId="3814F76A" w:rsidR="00915077" w:rsidRPr="00E26EF6" w:rsidRDefault="00125707">
      <w:pPr>
        <w:pStyle w:val="InstructionsText2"/>
        <w:numPr>
          <w:ilvl w:val="0"/>
          <w:numId w:val="0"/>
        </w:numPr>
        <w:ind w:left="993"/>
      </w:pPr>
      <w:r w:rsidRPr="00E26EF6">
        <w:t>f</w:t>
      </w:r>
      <w:proofErr w:type="gramStart"/>
      <w:r w:rsidRPr="00E26EF6">
        <w:t>)</w:t>
      </w:r>
      <w:r w:rsidRPr="00E26EF6">
        <w:tab/>
        <w:t>ekspozycje</w:t>
      </w:r>
      <w:proofErr w:type="gramEnd"/>
      <w:r w:rsidRPr="00E26EF6">
        <w:t xml:space="preserve"> detaliczne (art.</w:t>
      </w:r>
      <w:r w:rsidR="00023409" w:rsidRPr="00E26EF6">
        <w:t> </w:t>
      </w:r>
      <w:r w:rsidRPr="00E26EF6">
        <w:t>112 lit.</w:t>
      </w:r>
      <w:r w:rsidR="00023409" w:rsidRPr="00E26EF6">
        <w:t> </w:t>
      </w:r>
      <w:r w:rsidRPr="00E26EF6">
        <w:t>h) CRR).</w:t>
      </w:r>
    </w:p>
    <w:p w14:paraId="27C88E40" w14:textId="472AE0E1" w:rsidR="00915077" w:rsidRPr="00E26EF6" w:rsidRDefault="00125707">
      <w:pPr>
        <w:pStyle w:val="InstructionsText2"/>
        <w:numPr>
          <w:ilvl w:val="0"/>
          <w:numId w:val="0"/>
        </w:numPr>
        <w:ind w:left="993"/>
      </w:pPr>
      <w:r w:rsidRPr="00E26EF6">
        <w:t>55.</w:t>
      </w:r>
      <w:r w:rsidRPr="00E26EF6">
        <w:tab/>
        <w:t>Zgłaszanie pozycji uzupełniających nie wpływa ani na obliczanie kwot ekspozycji ważonych ryzykiem należących do kategorii ekspozycji,</w:t>
      </w:r>
      <w:r w:rsidR="00E26EF6" w:rsidRPr="00E26EF6">
        <w:t xml:space="preserve"> o któ</w:t>
      </w:r>
      <w:r w:rsidRPr="00E26EF6">
        <w:t>rych mowa</w:t>
      </w:r>
      <w:r w:rsidR="00E26EF6" w:rsidRPr="00E26EF6">
        <w:t xml:space="preserve"> w art</w:t>
      </w:r>
      <w:r w:rsidRPr="00E26EF6">
        <w:t>.</w:t>
      </w:r>
      <w:r w:rsidR="00023409" w:rsidRPr="00E26EF6">
        <w:t> </w:t>
      </w:r>
      <w:r w:rsidRPr="00E26EF6">
        <w:t>112 lit.</w:t>
      </w:r>
      <w:r w:rsidR="00023409" w:rsidRPr="00E26EF6">
        <w:t> </w:t>
      </w:r>
      <w:r w:rsidRPr="00E26EF6">
        <w:t>a</w:t>
      </w:r>
      <w:proofErr w:type="gramStart"/>
      <w:r w:rsidRPr="00E26EF6">
        <w:t>)–c</w:t>
      </w:r>
      <w:proofErr w:type="gramEnd"/>
      <w:r w:rsidRPr="00E26EF6">
        <w:t>) i f)–h) CRR, ani na kategorie ekspozycji,</w:t>
      </w:r>
      <w:r w:rsidR="00E26EF6" w:rsidRPr="00E26EF6">
        <w:t xml:space="preserve"> o któ</w:t>
      </w:r>
      <w:r w:rsidRPr="00E26EF6">
        <w:t>rych mowa</w:t>
      </w:r>
      <w:r w:rsidR="00E26EF6" w:rsidRPr="00E26EF6">
        <w:t xml:space="preserve"> w art</w:t>
      </w:r>
      <w:r w:rsidRPr="00E26EF6">
        <w:t>.</w:t>
      </w:r>
      <w:r w:rsidR="00023409" w:rsidRPr="00E26EF6">
        <w:t> </w:t>
      </w:r>
      <w:r w:rsidRPr="00E26EF6">
        <w:t>112 lit.</w:t>
      </w:r>
      <w:r w:rsidR="00023409" w:rsidRPr="00E26EF6">
        <w:t> </w:t>
      </w:r>
      <w:r w:rsidRPr="00E26EF6">
        <w:t xml:space="preserve">i) oraz j) CRR, zgłaszane we wzorze CR SA. </w:t>
      </w:r>
    </w:p>
    <w:p w14:paraId="5405E871" w14:textId="46AFB720" w:rsidR="00915077" w:rsidRPr="00E26EF6" w:rsidRDefault="00125707">
      <w:pPr>
        <w:pStyle w:val="InstructionsText2"/>
        <w:numPr>
          <w:ilvl w:val="0"/>
          <w:numId w:val="0"/>
        </w:numPr>
        <w:ind w:left="993"/>
      </w:pPr>
      <w:r w:rsidRPr="00E26EF6">
        <w:lastRenderedPageBreak/>
        <w:t>56.</w:t>
      </w:r>
      <w:r w:rsidRPr="00E26EF6">
        <w:tab/>
        <w:t>Wiersze uzupełniające zawierają dodatkowe informacje</w:t>
      </w:r>
      <w:r w:rsidR="00E26EF6" w:rsidRPr="00E26EF6">
        <w:t xml:space="preserve"> o str</w:t>
      </w:r>
      <w:r w:rsidRPr="00E26EF6">
        <w:t>ukturze dłużnika</w:t>
      </w:r>
      <w:r w:rsidR="00E26EF6" w:rsidRPr="00E26EF6">
        <w:t xml:space="preserve"> w kat</w:t>
      </w:r>
      <w:r w:rsidRPr="00E26EF6">
        <w:t>egoriach ekspozycji „ekspozycje, których dotyczy niewykonanie zobowiązania” lub „ekspozycje zabezpieczone hipotekami na nieruchomościach”</w:t>
      </w:r>
      <w:r w:rsidR="00E26EF6" w:rsidRPr="00E26EF6">
        <w:t>. W wie</w:t>
      </w:r>
      <w:r w:rsidRPr="00E26EF6">
        <w:t>rszach tych zgłasza się ekspozycje,</w:t>
      </w:r>
      <w:r w:rsidR="00E26EF6" w:rsidRPr="00E26EF6">
        <w:t xml:space="preserve"> w prz</w:t>
      </w:r>
      <w:r w:rsidRPr="00E26EF6">
        <w:t>ypadku gdy dłużnicy zostaliby zgłoszeni</w:t>
      </w:r>
      <w:r w:rsidR="00E26EF6" w:rsidRPr="00E26EF6">
        <w:t xml:space="preserve"> w kat</w:t>
      </w:r>
      <w:r w:rsidRPr="00E26EF6">
        <w:t>egoriach ekspozycji „ekspozycje wobec rządów centralnych lub banków centralnych”, „ekspozycje wobec samorządów regionalnych lub władz lokalnych”, „ekspozycje wobec podmiotów sektora publicznego”, „ekspozycje wobec instytucji”, „ekspozycje wobec przedsiębiorstw” i „ekspozycje detaliczne” we wzorze CR SA, gdyby ekspozycje te nie zostały zaklasyfikowane do kategorii ekspozycji „ekspozycje, których dotyczy niewykonanie zobowiązania”, lub „ekspozycje zabezpieczone hipotekami na nieruchomościach”. Zgłaszane dane liczbowe są jednak takie same, jak dane wykorzystywane do obliczania kwot ekspozycji ważonych ryzykiem</w:t>
      </w:r>
      <w:r w:rsidR="00E26EF6" w:rsidRPr="00E26EF6">
        <w:t xml:space="preserve"> w kat</w:t>
      </w:r>
      <w:r w:rsidRPr="00E26EF6">
        <w:t>egoriach ekspozycji „ekspozycje, których dotyczy niewykonanie zobowiązania” lub „ekspozycje zabezpieczone hipotekami na nieruchomościach”.</w:t>
      </w:r>
    </w:p>
    <w:p w14:paraId="01B323ED" w14:textId="7E28B0D0" w:rsidR="00915077" w:rsidRPr="00E26EF6" w:rsidRDefault="00125707">
      <w:pPr>
        <w:pStyle w:val="InstructionsText2"/>
        <w:numPr>
          <w:ilvl w:val="0"/>
          <w:numId w:val="0"/>
        </w:numPr>
        <w:ind w:left="993"/>
      </w:pPr>
      <w:r w:rsidRPr="00E26EF6">
        <w:t>57.</w:t>
      </w:r>
      <w:r w:rsidRPr="00E26EF6">
        <w:tab/>
        <w:t>Na przykład</w:t>
      </w:r>
      <w:r w:rsidR="00E26EF6" w:rsidRPr="00E26EF6">
        <w:t xml:space="preserve"> w prz</w:t>
      </w:r>
      <w:r w:rsidRPr="00E26EF6">
        <w:t>ypadku ekspozycji, której kwoty ekspozycji na ryzyko są obliczane zgodnie</w:t>
      </w:r>
      <w:r w:rsidR="00E26EF6" w:rsidRPr="00E26EF6">
        <w:t xml:space="preserve"> z art</w:t>
      </w:r>
      <w:r w:rsidRPr="00E26EF6">
        <w:t>.</w:t>
      </w:r>
      <w:r w:rsidR="00023409" w:rsidRPr="00E26EF6">
        <w:t> </w:t>
      </w:r>
      <w:r w:rsidRPr="00E26EF6">
        <w:t>127 CRR,</w:t>
      </w:r>
      <w:r w:rsidR="00E26EF6" w:rsidRPr="00E26EF6">
        <w:t xml:space="preserve"> a kor</w:t>
      </w:r>
      <w:r w:rsidRPr="00E26EF6">
        <w:t>ekty wartości wynoszą mniej niż 20</w:t>
      </w:r>
      <w:r w:rsidR="00023409" w:rsidRPr="00E26EF6">
        <w:t> </w:t>
      </w:r>
      <w:r w:rsidRPr="00E26EF6">
        <w:t>%, informacje te podaje się we wzorze CR SA</w:t>
      </w:r>
      <w:r w:rsidR="00E26EF6" w:rsidRPr="00E26EF6">
        <w:t xml:space="preserve"> w wie</w:t>
      </w:r>
      <w:r w:rsidRPr="00E26EF6">
        <w:t>rszu 320 jako ekspozycję całkowitą oraz</w:t>
      </w:r>
      <w:r w:rsidR="00E26EF6" w:rsidRPr="00E26EF6">
        <w:t xml:space="preserve"> w odn</w:t>
      </w:r>
      <w:r w:rsidRPr="00E26EF6">
        <w:t>iesieniu do kategorii ekspozycji „ekspozycje, których dotyczy niewykonanie zobowiązania”. Jeśli ta ekspozycja, zanim stała się ekspozycją, której dotyczy niewykonanie zobowiązania, była ekspozycją wobec instytucji, wówczas informacja ta podawana jest również</w:t>
      </w:r>
      <w:r w:rsidR="00E26EF6" w:rsidRPr="00E26EF6">
        <w:t xml:space="preserve"> w wie</w:t>
      </w:r>
      <w:r w:rsidRPr="00E26EF6">
        <w:t>rszu 320</w:t>
      </w:r>
      <w:r w:rsidR="00E26EF6" w:rsidRPr="00E26EF6">
        <w:t xml:space="preserve"> w kat</w:t>
      </w:r>
      <w:r w:rsidRPr="00E26EF6">
        <w:t>egorii „ekspozycje wobec instytucji”.</w:t>
      </w:r>
    </w:p>
    <w:p w14:paraId="5075EBA7"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36" w:name="_Toc31014334"/>
      <w:r w:rsidRPr="00E26EF6">
        <w:rPr>
          <w:rFonts w:ascii="Times New Roman" w:hAnsi="Times New Roman"/>
          <w:sz w:val="24"/>
          <w:u w:val="none"/>
        </w:rPr>
        <w:t>3.2.3.</w:t>
      </w:r>
      <w:r w:rsidRPr="00E26EF6">
        <w:rPr>
          <w:rFonts w:ascii="Times New Roman" w:hAnsi="Times New Roman"/>
          <w:sz w:val="24"/>
          <w:u w:val="none"/>
        </w:rPr>
        <w:tab/>
      </w:r>
      <w:r w:rsidRPr="00E26EF6">
        <w:rPr>
          <w:rFonts w:ascii="Times New Roman" w:hAnsi="Times New Roman"/>
          <w:sz w:val="24"/>
        </w:rPr>
        <w:t xml:space="preserve"> Klasyfikowanie ekspozycji do kategorii ekspozycji według metody standardowej</w:t>
      </w:r>
      <w:bookmarkEnd w:id="36"/>
    </w:p>
    <w:p w14:paraId="56DE341F" w14:textId="2D24DA3E" w:rsidR="00915077" w:rsidRPr="00E26EF6" w:rsidRDefault="00125707">
      <w:pPr>
        <w:pStyle w:val="InstructionsText2"/>
        <w:numPr>
          <w:ilvl w:val="0"/>
          <w:numId w:val="0"/>
        </w:numPr>
        <w:ind w:left="993"/>
      </w:pPr>
      <w:r w:rsidRPr="00E26EF6">
        <w:t>58.</w:t>
      </w:r>
      <w:r w:rsidRPr="00E26EF6">
        <w:tab/>
        <w:t>W celu zapewnienia spójnego klasyfikowania ekspozycji do poszczególnych kategorii ekspozycji określonych</w:t>
      </w:r>
      <w:r w:rsidR="00E26EF6" w:rsidRPr="00E26EF6">
        <w:t xml:space="preserve"> w art</w:t>
      </w:r>
      <w:r w:rsidRPr="00E26EF6">
        <w:t>.</w:t>
      </w:r>
      <w:r w:rsidR="00023409" w:rsidRPr="00E26EF6">
        <w:t> </w:t>
      </w:r>
      <w:r w:rsidRPr="00E26EF6">
        <w:t xml:space="preserve">112 CRR stosuje się następującą metodę sekwencyjną: </w:t>
      </w:r>
    </w:p>
    <w:p w14:paraId="25825A90" w14:textId="39E0DD5F" w:rsidR="00915077" w:rsidRPr="00E26EF6" w:rsidRDefault="00125707">
      <w:pPr>
        <w:pStyle w:val="InstructionsText2"/>
        <w:numPr>
          <w:ilvl w:val="0"/>
          <w:numId w:val="0"/>
        </w:numPr>
        <w:ind w:left="993"/>
      </w:pPr>
      <w:r w:rsidRPr="00E26EF6">
        <w:t>a</w:t>
      </w:r>
      <w:proofErr w:type="gramStart"/>
      <w:r w:rsidRPr="00E26EF6">
        <w:t>)</w:t>
      </w:r>
      <w:r w:rsidRPr="00E26EF6">
        <w:tab/>
        <w:t>na</w:t>
      </w:r>
      <w:proofErr w:type="gramEnd"/>
      <w:r w:rsidRPr="00E26EF6">
        <w:t xml:space="preserve"> pierwszym etapie pierwotną ekspozycję przed uwzględnieniem współczynników konwersji klasyfikuje się do odpowiedniej kategorii ekspozycji (pierwotnej) wymienionej</w:t>
      </w:r>
      <w:r w:rsidR="00E26EF6" w:rsidRPr="00E26EF6">
        <w:t xml:space="preserve"> w art</w:t>
      </w:r>
      <w:r w:rsidRPr="00E26EF6">
        <w:t>.</w:t>
      </w:r>
      <w:r w:rsidR="00023409" w:rsidRPr="00E26EF6">
        <w:t> </w:t>
      </w:r>
      <w:r w:rsidRPr="00E26EF6">
        <w:t>112 CRR, bez uszczerbku dla szczególnych metod traktowania (waga ryzyka), które stosuje się wobec każdej określonej ekspozycji</w:t>
      </w:r>
      <w:r w:rsidR="00E26EF6" w:rsidRPr="00E26EF6">
        <w:t xml:space="preserve"> w ram</w:t>
      </w:r>
      <w:r w:rsidRPr="00E26EF6">
        <w:t>ach przypisanej jej kategorii ekspozycji;</w:t>
      </w:r>
    </w:p>
    <w:p w14:paraId="14D8FCDD" w14:textId="325462E7" w:rsidR="00915077" w:rsidRPr="00E26EF6" w:rsidRDefault="00125707">
      <w:pPr>
        <w:pStyle w:val="InstructionsText2"/>
        <w:numPr>
          <w:ilvl w:val="0"/>
          <w:numId w:val="0"/>
        </w:numPr>
        <w:ind w:left="993"/>
      </w:pPr>
      <w:r w:rsidRPr="00E26EF6">
        <w:t>b</w:t>
      </w:r>
      <w:proofErr w:type="gramStart"/>
      <w:r w:rsidRPr="00E26EF6">
        <w:t>)</w:t>
      </w:r>
      <w:r w:rsidRPr="00E26EF6">
        <w:tab/>
        <w:t>na</w:t>
      </w:r>
      <w:proofErr w:type="gramEnd"/>
      <w:r w:rsidRPr="00E26EF6">
        <w:t xml:space="preserve"> drugim etapie ekspozycje mogą być przeniesione do innych kategorii ekspozycji wskutek stosowania technik ograniczania ryzyka kredytowego</w:t>
      </w:r>
      <w:r w:rsidR="00E26EF6" w:rsidRPr="00E26EF6">
        <w:t xml:space="preserve"> z uwz</w:t>
      </w:r>
      <w:r w:rsidRPr="00E26EF6">
        <w:t>ględnieniem efektów substytucyjnych</w:t>
      </w:r>
      <w:r w:rsidR="00E26EF6" w:rsidRPr="00E26EF6">
        <w:t xml:space="preserve"> w odn</w:t>
      </w:r>
      <w:r w:rsidRPr="00E26EF6">
        <w:t>iesieniu do ekspozycji (np. gwarancji, kredytowych instrumentów pochodnych, uproszczonej metody ujmowania zabezpieczeń finansowych) poprzez wpływy</w:t>
      </w:r>
      <w:r w:rsidR="00E26EF6" w:rsidRPr="00E26EF6">
        <w:t xml:space="preserve"> i wyp</w:t>
      </w:r>
      <w:r w:rsidRPr="00E26EF6">
        <w:t>ływy.</w:t>
      </w:r>
    </w:p>
    <w:p w14:paraId="636966C0" w14:textId="46BE25B4" w:rsidR="00915077" w:rsidRPr="00E26EF6" w:rsidRDefault="00125707">
      <w:pPr>
        <w:pStyle w:val="InstructionsText2"/>
        <w:numPr>
          <w:ilvl w:val="0"/>
          <w:numId w:val="0"/>
        </w:numPr>
        <w:ind w:left="993"/>
      </w:pPr>
      <w:r w:rsidRPr="00E26EF6">
        <w:t>59.</w:t>
      </w:r>
      <w:r w:rsidRPr="00E26EF6">
        <w:tab/>
        <w:t>Następujące kryteria mają zastosowanie do klasyfikacji pierwotnej ekspozycji przed uwzględnieniem współczynników konwersji do poszczególnych kategorii ekspozycji (pierwszy etap), bez uszczerbku dla późniejszej zmiany kategorii spowodowanej zastosowaniem technik ograniczania ryzyka kredytowego</w:t>
      </w:r>
      <w:r w:rsidR="00E26EF6" w:rsidRPr="00E26EF6">
        <w:t xml:space="preserve"> z uwz</w:t>
      </w:r>
      <w:r w:rsidRPr="00E26EF6">
        <w:t>ględnieniem efektów substytucyjnych</w:t>
      </w:r>
      <w:r w:rsidR="00E26EF6" w:rsidRPr="00E26EF6">
        <w:t xml:space="preserve"> w odn</w:t>
      </w:r>
      <w:r w:rsidRPr="00E26EF6">
        <w:t>iesieniu do ekspozycji lub metod traktowania (waga ryzyka), które stosuje się wobec każdej określonej ekspozycji</w:t>
      </w:r>
      <w:r w:rsidR="00E26EF6" w:rsidRPr="00E26EF6">
        <w:t xml:space="preserve"> w ram</w:t>
      </w:r>
      <w:r w:rsidRPr="00E26EF6">
        <w:t>ach przypisanej jej kategorii ekspozycji.</w:t>
      </w:r>
    </w:p>
    <w:p w14:paraId="5D97C3FE" w14:textId="69E9D625" w:rsidR="00915077" w:rsidRPr="00E26EF6" w:rsidRDefault="00125707">
      <w:pPr>
        <w:pStyle w:val="InstructionsText2"/>
        <w:numPr>
          <w:ilvl w:val="0"/>
          <w:numId w:val="0"/>
        </w:numPr>
        <w:ind w:left="993"/>
      </w:pPr>
      <w:r w:rsidRPr="00E26EF6">
        <w:t>60.</w:t>
      </w:r>
      <w:r w:rsidRPr="00E26EF6">
        <w:tab/>
        <w:t xml:space="preserve">Dla celów klasyfikacji pierwotnej ekspozycji przed uwzględnieniem współczynników konwersji na pierwszym etapie techniki ograniczania ryzyka kredytowego </w:t>
      </w:r>
      <w:r w:rsidRPr="00E26EF6">
        <w:lastRenderedPageBreak/>
        <w:t>związane</w:t>
      </w:r>
      <w:r w:rsidR="00E26EF6" w:rsidRPr="00E26EF6">
        <w:t xml:space="preserve"> z eks</w:t>
      </w:r>
      <w:r w:rsidRPr="00E26EF6">
        <w:t>pozycją nie są brane pod uwagę (należy pamiętać, że są one wyraźnie uwzględniane na drugim etapie),</w:t>
      </w:r>
      <w:r w:rsidR="00E26EF6" w:rsidRPr="00E26EF6">
        <w:t xml:space="preserve"> o ile</w:t>
      </w:r>
      <w:r w:rsidRPr="00E26EF6">
        <w:t xml:space="preserve"> efekt ochrony jest nieodłączną częścią definicji kategorii ekspozycji, jak ma to miejsce</w:t>
      </w:r>
      <w:r w:rsidR="00E26EF6" w:rsidRPr="00E26EF6">
        <w:t xml:space="preserve"> w prz</w:t>
      </w:r>
      <w:r w:rsidRPr="00E26EF6">
        <w:t>ypadku kategorii ekspozycji,</w:t>
      </w:r>
      <w:r w:rsidR="00E26EF6" w:rsidRPr="00E26EF6">
        <w:t xml:space="preserve"> o któ</w:t>
      </w:r>
      <w:r w:rsidRPr="00E26EF6">
        <w:t>rej mowa</w:t>
      </w:r>
      <w:r w:rsidR="00E26EF6" w:rsidRPr="00E26EF6">
        <w:t xml:space="preserve"> w art</w:t>
      </w:r>
      <w:r w:rsidRPr="00E26EF6">
        <w:t>.</w:t>
      </w:r>
      <w:r w:rsidR="00023409" w:rsidRPr="00E26EF6">
        <w:t> </w:t>
      </w:r>
      <w:r w:rsidRPr="00E26EF6">
        <w:t>112 lit.</w:t>
      </w:r>
      <w:r w:rsidR="00023409" w:rsidRPr="00E26EF6">
        <w:t> </w:t>
      </w:r>
      <w:r w:rsidRPr="00E26EF6">
        <w:t>i) CRR (ekspozycje zabezpieczone hipotekami na nieruchomościach).</w:t>
      </w:r>
    </w:p>
    <w:p w14:paraId="2246C4DC" w14:textId="355FAD29" w:rsidR="00915077" w:rsidRPr="00E26EF6" w:rsidRDefault="00125707">
      <w:pPr>
        <w:pStyle w:val="InstructionsText2"/>
        <w:numPr>
          <w:ilvl w:val="0"/>
          <w:numId w:val="0"/>
        </w:numPr>
        <w:ind w:left="993"/>
      </w:pPr>
      <w:r w:rsidRPr="00E26EF6">
        <w:t>61.</w:t>
      </w:r>
      <w:r w:rsidRPr="00E26EF6">
        <w:tab/>
        <w:t>Art. 112 CRR nie zawiera kryteriów wyłączania ekspozycji</w:t>
      </w:r>
      <w:r w:rsidR="00E26EF6" w:rsidRPr="00E26EF6">
        <w:t xml:space="preserve"> z pos</w:t>
      </w:r>
      <w:r w:rsidRPr="00E26EF6">
        <w:t>zczególnych kategorii. Może to oznaczać, że jedna ekspozycja mogłaby zostać sklasyfikowana do różnych kategorii ekspozycji, jeżeli kryteria oceny na potrzeby klasyfikacji nie dotyczą hierarchii kategorii. Najbardziej oczywistym przypadkiem są ekspozycje wobec instytucji</w:t>
      </w:r>
      <w:r w:rsidR="00E26EF6" w:rsidRPr="00E26EF6">
        <w:t xml:space="preserve"> i prz</w:t>
      </w:r>
      <w:r w:rsidRPr="00E26EF6">
        <w:t>edsiębiorstw posiadających krótkoterminową ocenę kredytową (art.</w:t>
      </w:r>
      <w:r w:rsidR="00023409" w:rsidRPr="00E26EF6">
        <w:t> </w:t>
      </w:r>
      <w:r w:rsidRPr="00E26EF6">
        <w:t>112 lit.</w:t>
      </w:r>
      <w:r w:rsidR="00023409" w:rsidRPr="00E26EF6">
        <w:t> </w:t>
      </w:r>
      <w:r w:rsidRPr="00E26EF6">
        <w:t>n) CRR) oraz ekspozycje wobec instytucji (art.</w:t>
      </w:r>
      <w:r w:rsidR="00023409" w:rsidRPr="00E26EF6">
        <w:t> </w:t>
      </w:r>
      <w:r w:rsidRPr="00E26EF6">
        <w:t>112 lit.</w:t>
      </w:r>
      <w:r w:rsidR="00023409" w:rsidRPr="00E26EF6">
        <w:t> </w:t>
      </w:r>
      <w:r w:rsidRPr="00E26EF6">
        <w:t>f) CRR</w:t>
      </w:r>
      <w:proofErr w:type="gramStart"/>
      <w:r w:rsidRPr="00E26EF6">
        <w:t>)/ekspozycje</w:t>
      </w:r>
      <w:proofErr w:type="gramEnd"/>
      <w:r w:rsidRPr="00E26EF6">
        <w:t xml:space="preserve"> wobec przedsiębiorstw (art.</w:t>
      </w:r>
      <w:r w:rsidR="00023409" w:rsidRPr="00E26EF6">
        <w:t> </w:t>
      </w:r>
      <w:r w:rsidRPr="00E26EF6">
        <w:t>112 lit.</w:t>
      </w:r>
      <w:r w:rsidR="00023409" w:rsidRPr="00E26EF6">
        <w:t> </w:t>
      </w:r>
      <w:r w:rsidRPr="00E26EF6">
        <w:t>g) CRR)</w:t>
      </w:r>
      <w:r w:rsidR="00E26EF6" w:rsidRPr="00E26EF6">
        <w:t>. W tym</w:t>
      </w:r>
      <w:r w:rsidRPr="00E26EF6">
        <w:t xml:space="preserve"> przypadku jest oczywiste, że w CRR istnieje domniemana hierarchia kategorii ekspozycji, ponieważ najpierw ocenia się, czy daną ekspozycję można zaklasyfikować do kategorii „ekspozycje wobec instytucji</w:t>
      </w:r>
      <w:r w:rsidR="00E26EF6" w:rsidRPr="00E26EF6">
        <w:t xml:space="preserve"> i prz</w:t>
      </w:r>
      <w:r w:rsidRPr="00E26EF6">
        <w:t>edsiębiorstw posiadających krótkoterminową ocenę kredytową”,</w:t>
      </w:r>
      <w:r w:rsidR="00E26EF6" w:rsidRPr="00E26EF6">
        <w:t xml:space="preserve"> a dop</w:t>
      </w:r>
      <w:r w:rsidRPr="00E26EF6">
        <w:t>iero potem ocenia się, czy dana ekspozycja może być przypisana do ekspozycji wobec instytucji lub ekspozycji wobec przedsiębiorstw. Jest oczywiste, że</w:t>
      </w:r>
      <w:r w:rsidR="00E26EF6" w:rsidRPr="00E26EF6">
        <w:t xml:space="preserve"> w prz</w:t>
      </w:r>
      <w:r w:rsidRPr="00E26EF6">
        <w:t>eciwnym wypadku do kategorii ekspozycji,</w:t>
      </w:r>
      <w:r w:rsidR="00E26EF6" w:rsidRPr="00E26EF6">
        <w:t xml:space="preserve"> o któ</w:t>
      </w:r>
      <w:r w:rsidRPr="00E26EF6">
        <w:t>rej mowa</w:t>
      </w:r>
      <w:r w:rsidR="00E26EF6" w:rsidRPr="00E26EF6">
        <w:t xml:space="preserve"> w art</w:t>
      </w:r>
      <w:r w:rsidRPr="00E26EF6">
        <w:t>.</w:t>
      </w:r>
      <w:r w:rsidR="00023409" w:rsidRPr="00E26EF6">
        <w:t> </w:t>
      </w:r>
      <w:r w:rsidRPr="00E26EF6">
        <w:t>112 lit.</w:t>
      </w:r>
      <w:r w:rsidR="00023409" w:rsidRPr="00E26EF6">
        <w:t> </w:t>
      </w:r>
      <w:r w:rsidRPr="00E26EF6">
        <w:t>n) CRR, nigdy nie zostałaby zaklasyfikowana żadna ekspozycja. Podany przykład jest jednym</w:t>
      </w:r>
      <w:r w:rsidR="00E26EF6" w:rsidRPr="00E26EF6">
        <w:t xml:space="preserve"> z naj</w:t>
      </w:r>
      <w:r w:rsidRPr="00E26EF6">
        <w:t>bardziej oczywistych przypadków, ale nie jedynym. Warto zauważyć, że kryteria stosowane do ustalenia kategorii ekspozycji według metody standardowej są różne (klasyfikacja instytucjonalna, okres ekspozycji, status przeterminowania itp.), co stanowi podstawowy powód istnienia grup nierozłącznych.</w:t>
      </w:r>
    </w:p>
    <w:p w14:paraId="0FFB00BE" w14:textId="28AD5A3F" w:rsidR="00915077" w:rsidRPr="00E26EF6" w:rsidRDefault="00125707">
      <w:pPr>
        <w:pStyle w:val="InstructionsText2"/>
        <w:numPr>
          <w:ilvl w:val="0"/>
          <w:numId w:val="0"/>
        </w:numPr>
        <w:ind w:left="993"/>
      </w:pPr>
      <w:r w:rsidRPr="00E26EF6">
        <w:t>62.</w:t>
      </w:r>
      <w:r w:rsidRPr="00E26EF6">
        <w:tab/>
        <w:t>Dla celów jednorodnej</w:t>
      </w:r>
      <w:r w:rsidR="00E26EF6" w:rsidRPr="00E26EF6">
        <w:t xml:space="preserve"> i por</w:t>
      </w:r>
      <w:r w:rsidRPr="00E26EF6">
        <w:t>ównywalnej sprawozdawczości konieczne jest określenie kryteriów oceny</w:t>
      </w:r>
      <w:r w:rsidR="00E26EF6" w:rsidRPr="00E26EF6">
        <w:t xml:space="preserve"> w odn</w:t>
      </w:r>
      <w:r w:rsidRPr="00E26EF6">
        <w:t>iesieniu do ustalania hierarchii na potrzeby klasyfikowania pierwotnej ekspozycji przed uwzględnieniem współczynników konwersji według kategorii ekspozycji, bez uszczerbku dla szczególnych metod traktowania (waga ryzyka), które stosuje się wobec każdej określonej ekspozycji</w:t>
      </w:r>
      <w:r w:rsidR="00E26EF6" w:rsidRPr="00E26EF6">
        <w:t xml:space="preserve"> w ram</w:t>
      </w:r>
      <w:r w:rsidRPr="00E26EF6">
        <w:t>ach przypisanej jej kategorii ekspozycji. Kryteria ustalania hierarchii przedstawione poniżej przy użyciu schematu podejmowania decyzji oparte są na ocenie warunków wyraźnie określonych w CRR</w:t>
      </w:r>
      <w:r w:rsidR="00E26EF6" w:rsidRPr="00E26EF6">
        <w:t xml:space="preserve"> w odn</w:t>
      </w:r>
      <w:r w:rsidRPr="00E26EF6">
        <w:t>iesieniu do przynależności ekspozycji do określonej kategorii ekspozycji oraz,</w:t>
      </w:r>
      <w:r w:rsidR="00E26EF6" w:rsidRPr="00E26EF6">
        <w:t xml:space="preserve"> w sto</w:t>
      </w:r>
      <w:r w:rsidRPr="00E26EF6">
        <w:t>sownych przypadkach, na podjętych przez instytucje sprawozdające lub organ nadzoru decyzjach dotyczących zastosowania pewnych kategorii ekspozycji. Wynik procesu klasyfikowania ekspozycji do celów sprawozdawczych jest zatem zgodny</w:t>
      </w:r>
      <w:r w:rsidR="00E26EF6" w:rsidRPr="00E26EF6">
        <w:t xml:space="preserve"> z prz</w:t>
      </w:r>
      <w:r w:rsidRPr="00E26EF6">
        <w:t>episami CRR. Nie wyklucza to stosowania przez instytucje innych wewnętrznych procedur klasyfikacji, które również mogą być zgodne ze wszystkimi istotnymi przepisami CRR</w:t>
      </w:r>
      <w:r w:rsidR="00E26EF6" w:rsidRPr="00E26EF6">
        <w:t xml:space="preserve"> i ich</w:t>
      </w:r>
      <w:r w:rsidRPr="00E26EF6">
        <w:t xml:space="preserve"> interpretacjami wydanymi przez właściwe fora.</w:t>
      </w:r>
    </w:p>
    <w:p w14:paraId="2B58442E" w14:textId="72DCD824" w:rsidR="00915077" w:rsidRPr="00E26EF6" w:rsidRDefault="00125707">
      <w:pPr>
        <w:pStyle w:val="InstructionsText2"/>
        <w:numPr>
          <w:ilvl w:val="0"/>
          <w:numId w:val="0"/>
        </w:numPr>
        <w:ind w:left="993"/>
      </w:pPr>
      <w:r w:rsidRPr="00E26EF6">
        <w:t>63.</w:t>
      </w:r>
      <w:r w:rsidRPr="00E26EF6">
        <w:tab/>
        <w:t>Kategoria ekspozycji ma pierwszeństwo przed innymi kategoriami</w:t>
      </w:r>
      <w:r w:rsidR="00E26EF6" w:rsidRPr="00E26EF6">
        <w:t xml:space="preserve"> w ran</w:t>
      </w:r>
      <w:r w:rsidRPr="00E26EF6">
        <w:t>kingu oceny przedstawionym na schemacie podejmowania decyzji (tj. ocenia się najpierw, czy ekspozycję można zaklasyfikować do danej kategorii ekspozycji, bez uszczerbku dla wyniku tej oceny), jeżeli</w:t>
      </w:r>
      <w:r w:rsidR="00E26EF6" w:rsidRPr="00E26EF6">
        <w:t xml:space="preserve"> w prz</w:t>
      </w:r>
      <w:r w:rsidRPr="00E26EF6">
        <w:t>eciwnym wypadku do kategorii tej potencjalnie nie przypisano by żadnej ekspozycji. Sytuacja taka ma miejsce</w:t>
      </w:r>
      <w:r w:rsidR="00E26EF6" w:rsidRPr="00E26EF6">
        <w:t xml:space="preserve"> w prz</w:t>
      </w:r>
      <w:r w:rsidRPr="00E26EF6">
        <w:t>ypadku, gdy</w:t>
      </w:r>
      <w:r w:rsidR="00E26EF6" w:rsidRPr="00E26EF6">
        <w:t xml:space="preserve"> z pow</w:t>
      </w:r>
      <w:r w:rsidRPr="00E26EF6">
        <w:t>odu braku kryteriów ustalania hierarchii jedna kategoria ekspozycji stanowi podzbiór innych kategorii. Kryteria przedstawione graficznie na poniższym schemacie decyzyjnym rozpatrywane byłyby zatem</w:t>
      </w:r>
      <w:r w:rsidR="00E26EF6" w:rsidRPr="00E26EF6">
        <w:t xml:space="preserve"> w ram</w:t>
      </w:r>
      <w:r w:rsidRPr="00E26EF6">
        <w:t>ach procesu sekwencyjnego.</w:t>
      </w:r>
    </w:p>
    <w:p w14:paraId="743C534D" w14:textId="03BB48AD" w:rsidR="00915077" w:rsidRPr="00E26EF6" w:rsidRDefault="00125707">
      <w:pPr>
        <w:pStyle w:val="InstructionsText2"/>
        <w:numPr>
          <w:ilvl w:val="0"/>
          <w:numId w:val="0"/>
        </w:numPr>
        <w:ind w:left="993"/>
      </w:pPr>
      <w:r w:rsidRPr="00E26EF6">
        <w:lastRenderedPageBreak/>
        <w:t>64.</w:t>
      </w:r>
      <w:r w:rsidRPr="00E26EF6">
        <w:tab/>
        <w:t>W tym kontekście ranking oceny przedstawiony na poniższym schemacie podejmowania decyzji jest zgodny</w:t>
      </w:r>
      <w:r w:rsidR="00E26EF6" w:rsidRPr="00E26EF6">
        <w:t xml:space="preserve"> z nas</w:t>
      </w:r>
      <w:r w:rsidRPr="00E26EF6">
        <w:t>tępującą kolejnością:</w:t>
      </w:r>
    </w:p>
    <w:p w14:paraId="4954B2D3" w14:textId="77777777" w:rsidR="00915077" w:rsidRPr="00E26EF6" w:rsidRDefault="00464F34">
      <w:pPr>
        <w:pStyle w:val="InstructionsText"/>
        <w:ind w:left="1416"/>
      </w:pPr>
      <w:r w:rsidRPr="00E26EF6">
        <w:t xml:space="preserve">1. </w:t>
      </w:r>
      <w:proofErr w:type="gramStart"/>
      <w:r w:rsidRPr="00E26EF6">
        <w:t>pozycje</w:t>
      </w:r>
      <w:proofErr w:type="gramEnd"/>
      <w:r w:rsidRPr="00E26EF6">
        <w:t xml:space="preserve"> sekurytyzacyjne;</w:t>
      </w:r>
    </w:p>
    <w:p w14:paraId="515D1A40" w14:textId="77777777" w:rsidR="00915077" w:rsidRPr="00E26EF6" w:rsidRDefault="00464F34">
      <w:pPr>
        <w:pStyle w:val="InstructionsText"/>
        <w:ind w:left="1416"/>
      </w:pPr>
      <w:r w:rsidRPr="00E26EF6">
        <w:t xml:space="preserve">2. </w:t>
      </w:r>
      <w:proofErr w:type="gramStart"/>
      <w:r w:rsidRPr="00E26EF6">
        <w:t>pozycje</w:t>
      </w:r>
      <w:proofErr w:type="gramEnd"/>
      <w:r w:rsidRPr="00E26EF6">
        <w:t xml:space="preserve"> związane ze szczególnie wysokim ryzykiem;</w:t>
      </w:r>
    </w:p>
    <w:p w14:paraId="7BC4DBAB" w14:textId="77777777" w:rsidR="00915077" w:rsidRPr="00E26EF6" w:rsidRDefault="00464F34">
      <w:pPr>
        <w:pStyle w:val="InstructionsText"/>
        <w:ind w:left="1416"/>
      </w:pPr>
      <w:r w:rsidRPr="00E26EF6">
        <w:t xml:space="preserve">3. </w:t>
      </w:r>
      <w:proofErr w:type="gramStart"/>
      <w:r w:rsidRPr="00E26EF6">
        <w:t>ekspozycje</w:t>
      </w:r>
      <w:proofErr w:type="gramEnd"/>
      <w:r w:rsidRPr="00E26EF6">
        <w:t xml:space="preserve"> kapitałowe;</w:t>
      </w:r>
    </w:p>
    <w:p w14:paraId="4A2C27D5" w14:textId="77777777" w:rsidR="00915077" w:rsidRPr="00E26EF6" w:rsidRDefault="00464F34">
      <w:pPr>
        <w:pStyle w:val="InstructionsText"/>
        <w:ind w:left="1416"/>
      </w:pPr>
      <w:r w:rsidRPr="00E26EF6">
        <w:t xml:space="preserve">4. </w:t>
      </w:r>
      <w:proofErr w:type="gramStart"/>
      <w:r w:rsidRPr="00E26EF6">
        <w:t>ekspozycje</w:t>
      </w:r>
      <w:proofErr w:type="gramEnd"/>
      <w:r w:rsidRPr="00E26EF6">
        <w:t>, których dotyczy niewykonanie zobowiązania;</w:t>
      </w:r>
    </w:p>
    <w:p w14:paraId="1B00E1D6" w14:textId="4CBC3182" w:rsidR="00915077" w:rsidRPr="00E26EF6" w:rsidRDefault="00464F34">
      <w:pPr>
        <w:pStyle w:val="InstructionsText"/>
        <w:ind w:left="1416"/>
      </w:pPr>
      <w:r w:rsidRPr="00E26EF6">
        <w:t xml:space="preserve">5. </w:t>
      </w:r>
      <w:proofErr w:type="gramStart"/>
      <w:r w:rsidRPr="00E26EF6">
        <w:t>ekspozycje</w:t>
      </w:r>
      <w:proofErr w:type="gramEnd"/>
      <w:r w:rsidR="00E26EF6" w:rsidRPr="00E26EF6">
        <w:t xml:space="preserve"> w pos</w:t>
      </w:r>
      <w:r w:rsidRPr="00E26EF6">
        <w:t>taci jednostek lub udziałów</w:t>
      </w:r>
      <w:r w:rsidR="00E26EF6" w:rsidRPr="00E26EF6">
        <w:t xml:space="preserve"> w prz</w:t>
      </w:r>
      <w:r w:rsidRPr="00E26EF6">
        <w:t>edsiębiorstwach zbiorowego inwestowania/ekspozycje</w:t>
      </w:r>
      <w:r w:rsidR="00E26EF6" w:rsidRPr="00E26EF6">
        <w:t xml:space="preserve"> w pos</w:t>
      </w:r>
      <w:r w:rsidRPr="00E26EF6">
        <w:t>taci obligacji zabezpieczonych (rozłączne kategorie ekspozycji);</w:t>
      </w:r>
    </w:p>
    <w:p w14:paraId="0BE47EDA" w14:textId="77777777" w:rsidR="00915077" w:rsidRPr="00E26EF6" w:rsidRDefault="00464F34">
      <w:pPr>
        <w:pStyle w:val="InstructionsText"/>
        <w:ind w:left="1416"/>
      </w:pPr>
      <w:r w:rsidRPr="00E26EF6">
        <w:t xml:space="preserve">6. </w:t>
      </w:r>
      <w:proofErr w:type="gramStart"/>
      <w:r w:rsidRPr="00E26EF6">
        <w:t>ekspozycje</w:t>
      </w:r>
      <w:proofErr w:type="gramEnd"/>
      <w:r w:rsidRPr="00E26EF6">
        <w:t xml:space="preserve"> zabezpieczone hipotekami na nieruchomościach;</w:t>
      </w:r>
    </w:p>
    <w:p w14:paraId="57E315D6" w14:textId="77777777" w:rsidR="00915077" w:rsidRPr="00E26EF6" w:rsidRDefault="00464F34">
      <w:pPr>
        <w:pStyle w:val="InstructionsText"/>
        <w:ind w:left="1416"/>
      </w:pPr>
      <w:r w:rsidRPr="00E26EF6">
        <w:t xml:space="preserve">7. </w:t>
      </w:r>
      <w:proofErr w:type="gramStart"/>
      <w:r w:rsidRPr="00E26EF6">
        <w:t>inne</w:t>
      </w:r>
      <w:proofErr w:type="gramEnd"/>
      <w:r w:rsidRPr="00E26EF6">
        <w:t xml:space="preserve"> pozycje;</w:t>
      </w:r>
    </w:p>
    <w:p w14:paraId="3DC985C3" w14:textId="49AC965A" w:rsidR="00915077" w:rsidRPr="00E26EF6" w:rsidRDefault="00464F34">
      <w:pPr>
        <w:pStyle w:val="InstructionsText"/>
        <w:ind w:left="1416"/>
      </w:pPr>
      <w:r w:rsidRPr="00E26EF6">
        <w:t xml:space="preserve">8. </w:t>
      </w:r>
      <w:proofErr w:type="gramStart"/>
      <w:r w:rsidRPr="00E26EF6">
        <w:t>ekspozycje</w:t>
      </w:r>
      <w:proofErr w:type="gramEnd"/>
      <w:r w:rsidRPr="00E26EF6">
        <w:t xml:space="preserve"> wobec instytucji</w:t>
      </w:r>
      <w:r w:rsidR="00E26EF6" w:rsidRPr="00E26EF6">
        <w:t xml:space="preserve"> i prz</w:t>
      </w:r>
      <w:r w:rsidRPr="00E26EF6">
        <w:t>edsiębiorstw posiadających krótkoterminową ocenę kredytową;</w:t>
      </w:r>
    </w:p>
    <w:p w14:paraId="771D6D91" w14:textId="69F922FA" w:rsidR="00915077" w:rsidRPr="00E26EF6" w:rsidRDefault="00464F34">
      <w:pPr>
        <w:pStyle w:val="InstructionsText"/>
        <w:ind w:left="1416"/>
      </w:pPr>
      <w:r w:rsidRPr="00E26EF6">
        <w:t xml:space="preserve">9. </w:t>
      </w:r>
      <w:proofErr w:type="gramStart"/>
      <w:r w:rsidRPr="00E26EF6">
        <w:t>wszystkie</w:t>
      </w:r>
      <w:proofErr w:type="gramEnd"/>
      <w:r w:rsidRPr="00E26EF6">
        <w:t xml:space="preserve"> pozostałe kategorie ekspozycji (rozłączne kategorie ekspozycji), które obejmują ekspozycje wobec rządów centralnych lub banków centralnych, ekspozycje wobec samorządów regionalnych lub władz lokalnych, ekspozycje wobec podmiotów sektora publicznego, ekspozycje wobec wielostronnych banków rozwoju, ekspozycje wobec organizacji międzynarodowych, ekspozycje wobec instytucji, ekspozycje wobec przedsiębiorstw</w:t>
      </w:r>
      <w:r w:rsidR="00E26EF6" w:rsidRPr="00E26EF6">
        <w:t xml:space="preserve"> i eks</w:t>
      </w:r>
      <w:r w:rsidRPr="00E26EF6">
        <w:t>pozycje detaliczne.</w:t>
      </w:r>
    </w:p>
    <w:p w14:paraId="3F014AD0" w14:textId="0F3568C5" w:rsidR="00915077" w:rsidRPr="00E26EF6" w:rsidRDefault="00125707">
      <w:pPr>
        <w:pStyle w:val="InstructionsText2"/>
        <w:numPr>
          <w:ilvl w:val="0"/>
          <w:numId w:val="0"/>
        </w:numPr>
        <w:ind w:left="993"/>
      </w:pPr>
      <w:r w:rsidRPr="00E26EF6">
        <w:t>65.</w:t>
      </w:r>
      <w:r w:rsidRPr="00E26EF6">
        <w:tab/>
        <w:t>W przypadku ekspozycji</w:t>
      </w:r>
      <w:r w:rsidR="00E26EF6" w:rsidRPr="00E26EF6">
        <w:t xml:space="preserve"> w pos</w:t>
      </w:r>
      <w:r w:rsidRPr="00E26EF6">
        <w:t>taci jednostek lub udziałów</w:t>
      </w:r>
      <w:r w:rsidR="00E26EF6" w:rsidRPr="00E26EF6">
        <w:t xml:space="preserve"> w prz</w:t>
      </w:r>
      <w:r w:rsidRPr="00E26EF6">
        <w:t>edsiębiorstwach zbiorowego inwestowania oraz gdy stosowana jest metoda pełnego przeglądu (art.</w:t>
      </w:r>
      <w:r w:rsidR="00023409" w:rsidRPr="00E26EF6">
        <w:t> </w:t>
      </w:r>
      <w:r w:rsidRPr="00E26EF6">
        <w:t>132 ust.</w:t>
      </w:r>
      <w:r w:rsidR="00023409" w:rsidRPr="00E26EF6">
        <w:t> </w:t>
      </w:r>
      <w:r w:rsidRPr="00E26EF6">
        <w:t>3, 4</w:t>
      </w:r>
      <w:r w:rsidR="00E26EF6" w:rsidRPr="00E26EF6">
        <w:t xml:space="preserve"> i 5</w:t>
      </w:r>
      <w:r w:rsidRPr="00E26EF6">
        <w:t xml:space="preserve"> CRR), poszczególne ekspozycje bazowe rozpatruje się</w:t>
      </w:r>
      <w:r w:rsidR="00E26EF6" w:rsidRPr="00E26EF6">
        <w:t xml:space="preserve"> i kla</w:t>
      </w:r>
      <w:r w:rsidRPr="00E26EF6">
        <w:t>syfikuje do odpowiedniej wagi ryzyka zgodnie</w:t>
      </w:r>
      <w:r w:rsidR="00E26EF6" w:rsidRPr="00E26EF6">
        <w:t xml:space="preserve"> z ich</w:t>
      </w:r>
      <w:r w:rsidRPr="00E26EF6">
        <w:t xml:space="preserve"> traktowaniem, lecz wszystkie poszczególne ekspozycje klasyfikuje się do kategorii ekspozycji „ekspozycje</w:t>
      </w:r>
      <w:r w:rsidR="00E26EF6" w:rsidRPr="00E26EF6">
        <w:t xml:space="preserve"> w pos</w:t>
      </w:r>
      <w:r w:rsidRPr="00E26EF6">
        <w:t>taci jednostek lub udziałów</w:t>
      </w:r>
      <w:r w:rsidR="00E26EF6" w:rsidRPr="00E26EF6">
        <w:t xml:space="preserve"> w prz</w:t>
      </w:r>
      <w:r w:rsidRPr="00E26EF6">
        <w:t>edsiębiorstwach zbiorowego inwestowania”.</w:t>
      </w:r>
    </w:p>
    <w:p w14:paraId="2F9FE036" w14:textId="10AF953F" w:rsidR="00915077" w:rsidRPr="00E26EF6" w:rsidRDefault="00125707">
      <w:pPr>
        <w:pStyle w:val="InstructionsText2"/>
        <w:numPr>
          <w:ilvl w:val="0"/>
          <w:numId w:val="0"/>
        </w:numPr>
        <w:ind w:left="993"/>
      </w:pPr>
      <w:r w:rsidRPr="00E26EF6">
        <w:t>66.</w:t>
      </w:r>
      <w:r w:rsidRPr="00E26EF6">
        <w:tab/>
        <w:t xml:space="preserve"> Kredytowe instrumenty pochodne uruchamiane n-tym niewykonaniem zobowiązania, jak określono</w:t>
      </w:r>
      <w:r w:rsidR="00E26EF6" w:rsidRPr="00E26EF6">
        <w:t xml:space="preserve"> w art</w:t>
      </w:r>
      <w:r w:rsidRPr="00E26EF6">
        <w:t>.</w:t>
      </w:r>
      <w:r w:rsidR="00023409" w:rsidRPr="00E26EF6">
        <w:t> </w:t>
      </w:r>
      <w:r w:rsidRPr="00E26EF6">
        <w:t>134 ust.</w:t>
      </w:r>
      <w:r w:rsidR="00023409" w:rsidRPr="00E26EF6">
        <w:t> </w:t>
      </w:r>
      <w:r w:rsidRPr="00E26EF6">
        <w:t>6 CRR, które są oceniane, klasyfikuje się bezpośrednio jako pozycje sekurytyzacyjne. Jeśli nie są one oceniane, uwzględnia się je</w:t>
      </w:r>
      <w:r w:rsidR="00E26EF6" w:rsidRPr="00E26EF6">
        <w:t xml:space="preserve"> w kat</w:t>
      </w:r>
      <w:r w:rsidRPr="00E26EF6">
        <w:t>egorii ekspozycji „inne pozycje”</w:t>
      </w:r>
      <w:r w:rsidR="00E26EF6" w:rsidRPr="00E26EF6">
        <w:t>. W tym</w:t>
      </w:r>
      <w:r w:rsidRPr="00E26EF6">
        <w:t xml:space="preserve"> ostatnim przypadku kwota nominalna umowy jest zgłaszana jako pierwotna ekspozycja przed uwzględnieniem współczynników konwersji</w:t>
      </w:r>
      <w:r w:rsidR="00E26EF6" w:rsidRPr="00E26EF6">
        <w:t xml:space="preserve"> w wie</w:t>
      </w:r>
      <w:r w:rsidRPr="00E26EF6">
        <w:t>rszu dotyczącym „Innych wag ryzyka” (wagą ryzyka jest waga określona</w:t>
      </w:r>
      <w:r w:rsidR="00E26EF6" w:rsidRPr="00E26EF6">
        <w:t xml:space="preserve"> w zal</w:t>
      </w:r>
      <w:r w:rsidRPr="00E26EF6">
        <w:t>eżności od sumy wskazanej</w:t>
      </w:r>
      <w:r w:rsidR="00E26EF6" w:rsidRPr="00E26EF6">
        <w:t xml:space="preserve"> w art</w:t>
      </w:r>
      <w:r w:rsidRPr="00E26EF6">
        <w:t>.</w:t>
      </w:r>
      <w:r w:rsidR="00023409" w:rsidRPr="00E26EF6">
        <w:t> </w:t>
      </w:r>
      <w:r w:rsidRPr="00E26EF6">
        <w:t>134 ust.</w:t>
      </w:r>
      <w:r w:rsidR="00023409" w:rsidRPr="00E26EF6">
        <w:t> </w:t>
      </w:r>
      <w:r w:rsidRPr="00E26EF6">
        <w:t xml:space="preserve">6 CRR). </w:t>
      </w:r>
    </w:p>
    <w:p w14:paraId="23693882" w14:textId="15E33391" w:rsidR="00915077" w:rsidRPr="00E26EF6" w:rsidRDefault="00125707">
      <w:pPr>
        <w:pStyle w:val="InstructionsText2"/>
        <w:numPr>
          <w:ilvl w:val="0"/>
          <w:numId w:val="0"/>
        </w:numPr>
        <w:ind w:left="993"/>
      </w:pPr>
      <w:r w:rsidRPr="00E26EF6">
        <w:t>67.</w:t>
      </w:r>
      <w:r w:rsidRPr="00E26EF6">
        <w:tab/>
        <w:t>Na drugim etapie wskutek stosowania technik ograniczania ryzyka kredytowego</w:t>
      </w:r>
      <w:r w:rsidR="00E26EF6" w:rsidRPr="00E26EF6">
        <w:t xml:space="preserve"> z uwz</w:t>
      </w:r>
      <w:r w:rsidRPr="00E26EF6">
        <w:t>ględnieniem efektów substytucyjnych ekspozycje klasyfikuje się ponownie – tym razem do kategorii ekspozycji dostawcy ochrony.</w:t>
      </w:r>
    </w:p>
    <w:p w14:paraId="16A9923E" w14:textId="690FD34A" w:rsidR="00915077" w:rsidRPr="00E26EF6" w:rsidRDefault="00464F34">
      <w:pPr>
        <w:pStyle w:val="InstructionsText"/>
      </w:pPr>
      <w:r w:rsidRPr="00E26EF6">
        <w:br w:type="page"/>
      </w:r>
      <w:r w:rsidRPr="00E26EF6">
        <w:lastRenderedPageBreak/>
        <w:t xml:space="preserve">SCHEMAT PODEJMOWANIA DECYZJI W SPRAWIE KLASYFIKOWANIA PIERWOTNEJ EKSPOZYCJI PRZED UWZGLĘDNIENIEM WSPÓŁCZYNNIKÓW KONWERSJI DO KATEGORII EKSPOZYCJI WEDŁUG METODY STANDARDOWEJ ZGODNIE Z CRR </w:t>
      </w:r>
    </w:p>
    <w:p w14:paraId="025C2526" w14:textId="77777777" w:rsidR="00915077" w:rsidRPr="00E26EF6" w:rsidRDefault="00915077">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1394"/>
        <w:gridCol w:w="3961"/>
      </w:tblGrid>
      <w:tr w:rsidR="00915077" w:rsidRPr="00E26EF6" w14:paraId="2A889189" w14:textId="77777777" w:rsidTr="00672D2A">
        <w:tc>
          <w:tcPr>
            <w:tcW w:w="3761" w:type="dxa"/>
            <w:shd w:val="clear" w:color="auto" w:fill="auto"/>
          </w:tcPr>
          <w:p w14:paraId="2409E75E" w14:textId="1F29BACB" w:rsidR="00915077" w:rsidRPr="00E26EF6" w:rsidRDefault="003A1B96">
            <w:pPr>
              <w:spacing w:before="0" w:after="0"/>
              <w:jc w:val="left"/>
              <w:rPr>
                <w:sz w:val="24"/>
              </w:rPr>
            </w:pPr>
            <w:r w:rsidRPr="00E26EF6">
              <w:rPr>
                <w:rFonts w:ascii="Times New Roman" w:hAnsi="Times New Roman"/>
                <w:sz w:val="24"/>
              </w:rPr>
              <w:t>Pierwotna ekspozycja przed uwzględnieniem współczynników konwersji</w:t>
            </w:r>
          </w:p>
        </w:tc>
        <w:tc>
          <w:tcPr>
            <w:tcW w:w="1417" w:type="dxa"/>
            <w:shd w:val="clear" w:color="auto" w:fill="auto"/>
          </w:tcPr>
          <w:p w14:paraId="2AFDBC59" w14:textId="77777777" w:rsidR="00915077" w:rsidRPr="00E26EF6" w:rsidRDefault="00915077">
            <w:pPr>
              <w:pStyle w:val="InstructionsText"/>
            </w:pPr>
          </w:p>
        </w:tc>
        <w:tc>
          <w:tcPr>
            <w:tcW w:w="4077" w:type="dxa"/>
            <w:shd w:val="clear" w:color="auto" w:fill="auto"/>
          </w:tcPr>
          <w:p w14:paraId="632F597A" w14:textId="77777777" w:rsidR="00915077" w:rsidRPr="00E26EF6" w:rsidRDefault="00915077">
            <w:pPr>
              <w:pStyle w:val="InstructionsText"/>
              <w:rPr>
                <w:highlight w:val="lightGray"/>
              </w:rPr>
            </w:pPr>
          </w:p>
        </w:tc>
      </w:tr>
      <w:tr w:rsidR="00915077" w:rsidRPr="00E26EF6" w14:paraId="68AE611A" w14:textId="77777777" w:rsidTr="00672D2A">
        <w:tc>
          <w:tcPr>
            <w:tcW w:w="3761" w:type="dxa"/>
            <w:shd w:val="clear" w:color="auto" w:fill="auto"/>
          </w:tcPr>
          <w:p w14:paraId="5444040B" w14:textId="6D5787B6" w:rsidR="00915077" w:rsidRPr="00E26EF6" w:rsidRDefault="00581FA5">
            <w:pPr>
              <w:pStyle w:val="InstructionsText"/>
            </w:pPr>
            <w:r w:rsidRPr="00E26EF6">
              <w:t>Czy można ją zaklasyfikować do kategorii ekspozycji określonej</w:t>
            </w:r>
            <w:r w:rsidR="00E26EF6" w:rsidRPr="00E26EF6">
              <w:t xml:space="preserve"> w art</w:t>
            </w:r>
            <w:r w:rsidRPr="00E26EF6">
              <w:t>.</w:t>
            </w:r>
            <w:r w:rsidR="00023409" w:rsidRPr="00E26EF6">
              <w:t> </w:t>
            </w:r>
            <w:r w:rsidRPr="00E26EF6">
              <w:t>112 lit.</w:t>
            </w:r>
            <w:r w:rsidR="00023409" w:rsidRPr="00E26EF6">
              <w:t> </w:t>
            </w:r>
            <w:r w:rsidRPr="00E26EF6">
              <w:t>m) CRR?</w:t>
            </w:r>
          </w:p>
        </w:tc>
        <w:tc>
          <w:tcPr>
            <w:tcW w:w="1417" w:type="dxa"/>
            <w:shd w:val="clear" w:color="auto" w:fill="auto"/>
          </w:tcPr>
          <w:p w14:paraId="505BFA94" w14:textId="77777777" w:rsidR="00915077" w:rsidRPr="00E26EF6" w:rsidRDefault="00BD52C3">
            <w:pPr>
              <w:pStyle w:val="InstructionsText"/>
            </w:pPr>
            <w:r w:rsidRPr="00E26EF6">
              <w:t>TAK</w:t>
            </w:r>
            <w:r w:rsidRPr="00E26EF6">
              <w:rPr>
                <w:lang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915077" w:rsidRPr="00E26EF6" w:rsidRDefault="00915077">
            <w:pPr>
              <w:pStyle w:val="InstructionsText"/>
            </w:pPr>
          </w:p>
        </w:tc>
        <w:tc>
          <w:tcPr>
            <w:tcW w:w="4077" w:type="dxa"/>
            <w:shd w:val="clear" w:color="auto" w:fill="auto"/>
          </w:tcPr>
          <w:p w14:paraId="3077380F" w14:textId="77777777" w:rsidR="00915077" w:rsidRPr="00E26EF6" w:rsidRDefault="00581FA5">
            <w:pPr>
              <w:pStyle w:val="InstructionsText"/>
              <w:rPr>
                <w:highlight w:val="lightGray"/>
              </w:rPr>
            </w:pPr>
            <w:r w:rsidRPr="00E26EF6">
              <w:t>Pozycje sekurytyzacyjne</w:t>
            </w:r>
          </w:p>
        </w:tc>
      </w:tr>
      <w:tr w:rsidR="00915077" w:rsidRPr="00E26EF6" w14:paraId="1610BAB9" w14:textId="77777777" w:rsidTr="00672D2A">
        <w:tc>
          <w:tcPr>
            <w:tcW w:w="3761" w:type="dxa"/>
            <w:shd w:val="clear" w:color="auto" w:fill="auto"/>
          </w:tcPr>
          <w:p w14:paraId="04D0117E" w14:textId="77777777" w:rsidR="00915077" w:rsidRPr="00E26EF6" w:rsidRDefault="00581FA5">
            <w:pPr>
              <w:pStyle w:val="InstructionsText"/>
            </w:pPr>
            <w:r w:rsidRPr="00E26EF6">
              <w:t>NIE</w:t>
            </w:r>
            <w:r w:rsidRPr="00E26EF6">
              <w:rPr>
                <w:lang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915077" w:rsidRPr="00E26EF6" w:rsidRDefault="00915077">
            <w:pPr>
              <w:pStyle w:val="InstructionsText"/>
            </w:pPr>
          </w:p>
        </w:tc>
        <w:tc>
          <w:tcPr>
            <w:tcW w:w="1417" w:type="dxa"/>
            <w:shd w:val="clear" w:color="auto" w:fill="auto"/>
          </w:tcPr>
          <w:p w14:paraId="39B19640" w14:textId="77777777" w:rsidR="00915077" w:rsidRPr="00E26EF6" w:rsidRDefault="00915077">
            <w:pPr>
              <w:pStyle w:val="InstructionsText"/>
            </w:pPr>
          </w:p>
        </w:tc>
        <w:tc>
          <w:tcPr>
            <w:tcW w:w="4077" w:type="dxa"/>
            <w:shd w:val="clear" w:color="auto" w:fill="auto"/>
          </w:tcPr>
          <w:p w14:paraId="6CDDDA68" w14:textId="77777777" w:rsidR="00915077" w:rsidRPr="00E26EF6" w:rsidRDefault="00915077">
            <w:pPr>
              <w:pStyle w:val="InstructionsText"/>
              <w:rPr>
                <w:highlight w:val="lightGray"/>
              </w:rPr>
            </w:pPr>
          </w:p>
        </w:tc>
      </w:tr>
      <w:tr w:rsidR="00915077" w:rsidRPr="00E26EF6" w14:paraId="11996439" w14:textId="77777777" w:rsidTr="00672D2A">
        <w:tc>
          <w:tcPr>
            <w:tcW w:w="3761" w:type="dxa"/>
            <w:shd w:val="clear" w:color="auto" w:fill="auto"/>
          </w:tcPr>
          <w:p w14:paraId="1AD81743" w14:textId="44BB4D85" w:rsidR="00915077" w:rsidRPr="00E26EF6" w:rsidRDefault="003A1B96">
            <w:pPr>
              <w:pStyle w:val="InstructionsText"/>
            </w:pPr>
            <w:r w:rsidRPr="00E26EF6">
              <w:t>Czy można ją zaklasyfikować do kategorii ekspozycji określonej</w:t>
            </w:r>
            <w:r w:rsidR="00E26EF6" w:rsidRPr="00E26EF6">
              <w:t xml:space="preserve"> w art</w:t>
            </w:r>
            <w:r w:rsidRPr="00E26EF6">
              <w:t>.</w:t>
            </w:r>
            <w:r w:rsidR="00023409" w:rsidRPr="00E26EF6">
              <w:t> </w:t>
            </w:r>
            <w:r w:rsidRPr="00E26EF6">
              <w:t>112 lit.</w:t>
            </w:r>
            <w:r w:rsidR="00023409" w:rsidRPr="00E26EF6">
              <w:t> </w:t>
            </w:r>
            <w:r w:rsidRPr="00E26EF6">
              <w:t>k) CRR?</w:t>
            </w:r>
          </w:p>
        </w:tc>
        <w:tc>
          <w:tcPr>
            <w:tcW w:w="1417" w:type="dxa"/>
            <w:shd w:val="clear" w:color="auto" w:fill="auto"/>
          </w:tcPr>
          <w:p w14:paraId="6F0126D3" w14:textId="77777777" w:rsidR="00915077" w:rsidRPr="00E26EF6" w:rsidRDefault="00974E3F">
            <w:pPr>
              <w:pStyle w:val="InstructionsText"/>
            </w:pPr>
            <w:r w:rsidRPr="00E26EF6">
              <w:t>TAK</w:t>
            </w:r>
            <w:r w:rsidRPr="00E26EF6">
              <w:rPr>
                <w:lang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915077" w:rsidRPr="00E26EF6" w:rsidRDefault="00915077">
            <w:pPr>
              <w:pStyle w:val="InstructionsText"/>
            </w:pPr>
          </w:p>
          <w:p w14:paraId="7361AF99" w14:textId="77777777" w:rsidR="00915077" w:rsidRPr="00E26EF6" w:rsidRDefault="00915077">
            <w:pPr>
              <w:pStyle w:val="InstructionsText"/>
            </w:pPr>
          </w:p>
        </w:tc>
        <w:tc>
          <w:tcPr>
            <w:tcW w:w="4077" w:type="dxa"/>
            <w:shd w:val="clear" w:color="auto" w:fill="auto"/>
          </w:tcPr>
          <w:p w14:paraId="059A7579" w14:textId="65597A9D" w:rsidR="00915077" w:rsidRPr="00E26EF6" w:rsidRDefault="003A1B96">
            <w:pPr>
              <w:pStyle w:val="InstructionsText"/>
              <w:rPr>
                <w:highlight w:val="lightGray"/>
              </w:rPr>
            </w:pPr>
            <w:r w:rsidRPr="00E26EF6">
              <w:t>Pozycje związane ze szczególnie wysokim ryzykiem (zob. także art.</w:t>
            </w:r>
            <w:r w:rsidR="00023409" w:rsidRPr="00E26EF6">
              <w:t> </w:t>
            </w:r>
            <w:r w:rsidRPr="00E26EF6">
              <w:t>128 CRR)</w:t>
            </w:r>
          </w:p>
        </w:tc>
      </w:tr>
      <w:tr w:rsidR="00915077" w:rsidRPr="00E26EF6" w14:paraId="3BBC948D" w14:textId="77777777" w:rsidTr="00672D2A">
        <w:tc>
          <w:tcPr>
            <w:tcW w:w="3761" w:type="dxa"/>
            <w:shd w:val="clear" w:color="auto" w:fill="auto"/>
          </w:tcPr>
          <w:p w14:paraId="44A69A33" w14:textId="77777777" w:rsidR="00915077" w:rsidRPr="00E26EF6" w:rsidRDefault="007241D3">
            <w:pPr>
              <w:pStyle w:val="InstructionsText"/>
            </w:pPr>
            <w:r w:rsidRPr="00E26EF6">
              <w:t>NIE</w:t>
            </w:r>
            <w:r w:rsidRPr="00E26EF6">
              <w:rPr>
                <w:lang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915077" w:rsidRPr="00E26EF6" w:rsidRDefault="00915077">
            <w:pPr>
              <w:pStyle w:val="InstructionsText"/>
            </w:pPr>
          </w:p>
        </w:tc>
        <w:tc>
          <w:tcPr>
            <w:tcW w:w="1417" w:type="dxa"/>
            <w:shd w:val="clear" w:color="auto" w:fill="auto"/>
          </w:tcPr>
          <w:p w14:paraId="4A094914" w14:textId="77777777" w:rsidR="00915077" w:rsidRPr="00E26EF6" w:rsidRDefault="00915077">
            <w:pPr>
              <w:pStyle w:val="InstructionsText"/>
            </w:pPr>
          </w:p>
        </w:tc>
        <w:tc>
          <w:tcPr>
            <w:tcW w:w="4077" w:type="dxa"/>
            <w:shd w:val="clear" w:color="auto" w:fill="auto"/>
          </w:tcPr>
          <w:p w14:paraId="61455436" w14:textId="77777777" w:rsidR="00915077" w:rsidRPr="00E26EF6" w:rsidRDefault="00915077">
            <w:pPr>
              <w:pStyle w:val="InstructionsText"/>
              <w:rPr>
                <w:highlight w:val="lightGray"/>
              </w:rPr>
            </w:pPr>
          </w:p>
        </w:tc>
      </w:tr>
      <w:tr w:rsidR="00915077" w:rsidRPr="00E26EF6" w14:paraId="7963147E" w14:textId="77777777" w:rsidTr="00672D2A">
        <w:tc>
          <w:tcPr>
            <w:tcW w:w="3761" w:type="dxa"/>
            <w:shd w:val="clear" w:color="auto" w:fill="auto"/>
          </w:tcPr>
          <w:p w14:paraId="4C9BC581" w14:textId="463DEF4A" w:rsidR="00915077" w:rsidRPr="00E26EF6" w:rsidRDefault="003A1B96">
            <w:pPr>
              <w:pStyle w:val="InstructionsText"/>
            </w:pPr>
            <w:r w:rsidRPr="00E26EF6">
              <w:t>Czy można ją zaklasyfikować do kategorii ekspozycji określonej</w:t>
            </w:r>
            <w:r w:rsidR="00E26EF6" w:rsidRPr="00E26EF6">
              <w:t xml:space="preserve"> w art</w:t>
            </w:r>
            <w:r w:rsidRPr="00E26EF6">
              <w:t>.</w:t>
            </w:r>
            <w:r w:rsidR="00023409" w:rsidRPr="00E26EF6">
              <w:t> </w:t>
            </w:r>
            <w:r w:rsidRPr="00E26EF6">
              <w:t>112 lit.</w:t>
            </w:r>
            <w:r w:rsidR="00023409" w:rsidRPr="00E26EF6">
              <w:t> </w:t>
            </w:r>
            <w:r w:rsidRPr="00E26EF6">
              <w:t>p) CRR?</w:t>
            </w:r>
          </w:p>
        </w:tc>
        <w:tc>
          <w:tcPr>
            <w:tcW w:w="1417" w:type="dxa"/>
            <w:shd w:val="clear" w:color="auto" w:fill="auto"/>
          </w:tcPr>
          <w:p w14:paraId="0EF4CF5E" w14:textId="77777777" w:rsidR="00915077" w:rsidRPr="00E26EF6" w:rsidRDefault="00BD52C3">
            <w:pPr>
              <w:pStyle w:val="InstructionsText"/>
            </w:pPr>
            <w:r w:rsidRPr="00E26EF6">
              <w:t>TAK</w:t>
            </w:r>
            <w:r w:rsidRPr="00E26EF6">
              <w:rPr>
                <w:lang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915077" w:rsidRPr="00E26EF6" w:rsidRDefault="00915077">
            <w:pPr>
              <w:pStyle w:val="InstructionsText"/>
            </w:pPr>
          </w:p>
        </w:tc>
        <w:tc>
          <w:tcPr>
            <w:tcW w:w="4077" w:type="dxa"/>
            <w:shd w:val="clear" w:color="auto" w:fill="auto"/>
          </w:tcPr>
          <w:p w14:paraId="584F6859" w14:textId="0DBBE4E0" w:rsidR="00915077" w:rsidRPr="00E26EF6" w:rsidRDefault="003A1B96">
            <w:pPr>
              <w:pStyle w:val="InstructionsText"/>
              <w:rPr>
                <w:highlight w:val="lightGray"/>
              </w:rPr>
            </w:pPr>
            <w:r w:rsidRPr="00E26EF6">
              <w:t>Ekspozycje kapitałowe (zob. także art.</w:t>
            </w:r>
            <w:r w:rsidR="00023409" w:rsidRPr="00E26EF6">
              <w:t> </w:t>
            </w:r>
            <w:r w:rsidRPr="00E26EF6">
              <w:t>133 CRR)</w:t>
            </w:r>
          </w:p>
        </w:tc>
      </w:tr>
      <w:tr w:rsidR="00915077" w:rsidRPr="00E26EF6" w14:paraId="2D22D061" w14:textId="77777777" w:rsidTr="00672D2A">
        <w:tc>
          <w:tcPr>
            <w:tcW w:w="3761" w:type="dxa"/>
            <w:shd w:val="clear" w:color="auto" w:fill="auto"/>
          </w:tcPr>
          <w:p w14:paraId="691610C5" w14:textId="77777777" w:rsidR="00915077" w:rsidRPr="00E26EF6" w:rsidRDefault="007241D3">
            <w:pPr>
              <w:pStyle w:val="InstructionsText"/>
            </w:pPr>
            <w:r w:rsidRPr="00E26EF6">
              <w:t>NIE</w:t>
            </w:r>
            <w:r w:rsidRPr="00E26EF6">
              <w:rPr>
                <w:lang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915077" w:rsidRPr="00E26EF6" w:rsidRDefault="00915077">
            <w:pPr>
              <w:pStyle w:val="InstructionsText"/>
            </w:pPr>
          </w:p>
        </w:tc>
        <w:tc>
          <w:tcPr>
            <w:tcW w:w="1417" w:type="dxa"/>
            <w:shd w:val="clear" w:color="auto" w:fill="auto"/>
          </w:tcPr>
          <w:p w14:paraId="01F0E11C" w14:textId="77777777" w:rsidR="00915077" w:rsidRPr="00E26EF6" w:rsidRDefault="00915077">
            <w:pPr>
              <w:pStyle w:val="InstructionsText"/>
            </w:pPr>
          </w:p>
        </w:tc>
        <w:tc>
          <w:tcPr>
            <w:tcW w:w="4077" w:type="dxa"/>
            <w:shd w:val="clear" w:color="auto" w:fill="auto"/>
          </w:tcPr>
          <w:p w14:paraId="10F8A01A" w14:textId="77777777" w:rsidR="00915077" w:rsidRPr="00E26EF6" w:rsidRDefault="00915077">
            <w:pPr>
              <w:pStyle w:val="InstructionsText"/>
              <w:rPr>
                <w:highlight w:val="lightGray"/>
              </w:rPr>
            </w:pPr>
          </w:p>
        </w:tc>
      </w:tr>
      <w:tr w:rsidR="00915077" w:rsidRPr="00E26EF6" w14:paraId="3AA08B7D" w14:textId="77777777" w:rsidTr="00672D2A">
        <w:tc>
          <w:tcPr>
            <w:tcW w:w="3761" w:type="dxa"/>
            <w:shd w:val="clear" w:color="auto" w:fill="auto"/>
          </w:tcPr>
          <w:p w14:paraId="2BA0D5EF" w14:textId="381A14D5" w:rsidR="00915077" w:rsidRPr="00E26EF6" w:rsidRDefault="00581FA5">
            <w:pPr>
              <w:pStyle w:val="InstructionsText"/>
            </w:pPr>
            <w:r w:rsidRPr="00E26EF6">
              <w:t>Czy można ją zaklasyfikować do kategorii ekspozycji określonej</w:t>
            </w:r>
            <w:r w:rsidR="00E26EF6" w:rsidRPr="00E26EF6">
              <w:t xml:space="preserve"> w art</w:t>
            </w:r>
            <w:r w:rsidRPr="00E26EF6">
              <w:t>.</w:t>
            </w:r>
            <w:r w:rsidR="00023409" w:rsidRPr="00E26EF6">
              <w:t> </w:t>
            </w:r>
            <w:r w:rsidRPr="00E26EF6">
              <w:t>112 lit.</w:t>
            </w:r>
            <w:r w:rsidR="00023409" w:rsidRPr="00E26EF6">
              <w:t> </w:t>
            </w:r>
            <w:r w:rsidRPr="00E26EF6">
              <w:t>j) CRR?</w:t>
            </w:r>
          </w:p>
        </w:tc>
        <w:tc>
          <w:tcPr>
            <w:tcW w:w="1417" w:type="dxa"/>
            <w:shd w:val="clear" w:color="auto" w:fill="auto"/>
          </w:tcPr>
          <w:p w14:paraId="543BEA3F" w14:textId="77777777" w:rsidR="00915077" w:rsidRPr="00E26EF6" w:rsidRDefault="00BD52C3">
            <w:pPr>
              <w:pStyle w:val="InstructionsText"/>
            </w:pPr>
            <w:r w:rsidRPr="00E26EF6">
              <w:t>TAK</w:t>
            </w:r>
            <w:r w:rsidRPr="00E26EF6">
              <w:rPr>
                <w:lang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915077" w:rsidRPr="00E26EF6" w:rsidRDefault="00915077">
            <w:pPr>
              <w:pStyle w:val="InstructionsText"/>
            </w:pPr>
          </w:p>
        </w:tc>
        <w:tc>
          <w:tcPr>
            <w:tcW w:w="4077" w:type="dxa"/>
            <w:shd w:val="clear" w:color="auto" w:fill="auto"/>
          </w:tcPr>
          <w:p w14:paraId="34BFBC1E" w14:textId="77777777" w:rsidR="00915077" w:rsidRPr="00E26EF6" w:rsidRDefault="00581FA5">
            <w:pPr>
              <w:pStyle w:val="InstructionsText"/>
              <w:rPr>
                <w:highlight w:val="lightGray"/>
              </w:rPr>
            </w:pPr>
            <w:r w:rsidRPr="00E26EF6">
              <w:t>Ekspozycje, których dotyczy niewykonanie zobowiązania</w:t>
            </w:r>
          </w:p>
        </w:tc>
      </w:tr>
      <w:tr w:rsidR="00915077" w:rsidRPr="00E26EF6" w14:paraId="43E73082" w14:textId="77777777" w:rsidTr="00672D2A">
        <w:tc>
          <w:tcPr>
            <w:tcW w:w="3761" w:type="dxa"/>
            <w:shd w:val="clear" w:color="auto" w:fill="auto"/>
          </w:tcPr>
          <w:p w14:paraId="3C1403EA" w14:textId="77777777" w:rsidR="00915077" w:rsidRPr="00E26EF6" w:rsidRDefault="007241D3">
            <w:pPr>
              <w:pStyle w:val="InstructionsText"/>
            </w:pPr>
            <w:r w:rsidRPr="00E26EF6">
              <w:t>NIE</w:t>
            </w:r>
            <w:r w:rsidRPr="00E26EF6">
              <w:rPr>
                <w:lang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915077" w:rsidRPr="00E26EF6" w:rsidRDefault="00915077">
            <w:pPr>
              <w:pStyle w:val="InstructionsText"/>
            </w:pPr>
          </w:p>
        </w:tc>
        <w:tc>
          <w:tcPr>
            <w:tcW w:w="1417" w:type="dxa"/>
            <w:shd w:val="clear" w:color="auto" w:fill="auto"/>
          </w:tcPr>
          <w:p w14:paraId="485586F6" w14:textId="77777777" w:rsidR="00915077" w:rsidRPr="00E26EF6" w:rsidRDefault="00915077">
            <w:pPr>
              <w:pStyle w:val="InstructionsText"/>
            </w:pPr>
          </w:p>
        </w:tc>
        <w:tc>
          <w:tcPr>
            <w:tcW w:w="4077" w:type="dxa"/>
            <w:shd w:val="clear" w:color="auto" w:fill="auto"/>
          </w:tcPr>
          <w:p w14:paraId="142754A6" w14:textId="77777777" w:rsidR="00915077" w:rsidRPr="00E26EF6" w:rsidRDefault="00915077">
            <w:pPr>
              <w:pStyle w:val="InstructionsText"/>
              <w:rPr>
                <w:highlight w:val="lightGray"/>
              </w:rPr>
            </w:pPr>
          </w:p>
        </w:tc>
      </w:tr>
      <w:tr w:rsidR="00915077" w:rsidRPr="00E26EF6" w14:paraId="58B72B53" w14:textId="77777777" w:rsidTr="00672D2A">
        <w:tc>
          <w:tcPr>
            <w:tcW w:w="3761" w:type="dxa"/>
            <w:shd w:val="clear" w:color="auto" w:fill="auto"/>
          </w:tcPr>
          <w:p w14:paraId="173CBAA7" w14:textId="7015B608" w:rsidR="00915077" w:rsidRPr="00E26EF6" w:rsidRDefault="00581FA5">
            <w:pPr>
              <w:pStyle w:val="InstructionsText"/>
            </w:pPr>
            <w:r w:rsidRPr="00E26EF6">
              <w:t>Czy można ją zaklasyfikować do kategorii ekspozycji określonej</w:t>
            </w:r>
            <w:r w:rsidR="00E26EF6" w:rsidRPr="00E26EF6">
              <w:t xml:space="preserve"> w art</w:t>
            </w:r>
            <w:r w:rsidRPr="00E26EF6">
              <w:t>.</w:t>
            </w:r>
            <w:r w:rsidR="00023409" w:rsidRPr="00E26EF6">
              <w:t> </w:t>
            </w:r>
            <w:r w:rsidRPr="00E26EF6">
              <w:t>112 lit.</w:t>
            </w:r>
            <w:r w:rsidR="00023409" w:rsidRPr="00E26EF6">
              <w:t> </w:t>
            </w:r>
            <w:r w:rsidRPr="00E26EF6">
              <w:t>l) oraz o) CRR?</w:t>
            </w:r>
          </w:p>
        </w:tc>
        <w:tc>
          <w:tcPr>
            <w:tcW w:w="1417" w:type="dxa"/>
            <w:shd w:val="clear" w:color="auto" w:fill="auto"/>
          </w:tcPr>
          <w:p w14:paraId="0FD160D4" w14:textId="77777777" w:rsidR="00915077" w:rsidRPr="00E26EF6" w:rsidRDefault="00BD52C3">
            <w:pPr>
              <w:pStyle w:val="InstructionsText"/>
            </w:pPr>
            <w:r w:rsidRPr="00E26EF6">
              <w:t>TAK</w:t>
            </w:r>
            <w:r w:rsidRPr="00E26EF6">
              <w:rPr>
                <w:lang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915077" w:rsidRPr="00E26EF6" w:rsidRDefault="00915077">
            <w:pPr>
              <w:pStyle w:val="InstructionsText"/>
            </w:pPr>
          </w:p>
        </w:tc>
        <w:tc>
          <w:tcPr>
            <w:tcW w:w="4077" w:type="dxa"/>
            <w:shd w:val="clear" w:color="auto" w:fill="auto"/>
          </w:tcPr>
          <w:p w14:paraId="32E5D0C0" w14:textId="585F95BF" w:rsidR="00915077" w:rsidRPr="00E26EF6" w:rsidRDefault="00581FA5">
            <w:pPr>
              <w:pStyle w:val="InstructionsText"/>
            </w:pPr>
            <w:r w:rsidRPr="00E26EF6">
              <w:t>Ekspozycje</w:t>
            </w:r>
            <w:r w:rsidR="00E26EF6" w:rsidRPr="00E26EF6">
              <w:t xml:space="preserve"> w pos</w:t>
            </w:r>
            <w:r w:rsidRPr="00E26EF6">
              <w:t>taci jednostek uczestnictwa lub udziałów</w:t>
            </w:r>
            <w:r w:rsidR="00E26EF6" w:rsidRPr="00E26EF6">
              <w:t xml:space="preserve"> w prz</w:t>
            </w:r>
            <w:r w:rsidRPr="00E26EF6">
              <w:t>edsiębiorstwach zbiorowego inwestowania</w:t>
            </w:r>
          </w:p>
          <w:p w14:paraId="3586185D" w14:textId="5D09FD9F" w:rsidR="00915077" w:rsidRPr="00E26EF6" w:rsidRDefault="00581FA5">
            <w:pPr>
              <w:pStyle w:val="InstructionsText"/>
            </w:pPr>
            <w:r w:rsidRPr="00E26EF6">
              <w:t>Ekspozycje</w:t>
            </w:r>
            <w:r w:rsidR="00E26EF6" w:rsidRPr="00E26EF6">
              <w:t xml:space="preserve"> w pos</w:t>
            </w:r>
            <w:r w:rsidRPr="00E26EF6">
              <w:t>taci obligacji zabezpieczonych (zob. także art.</w:t>
            </w:r>
            <w:r w:rsidR="00023409" w:rsidRPr="00E26EF6">
              <w:t> </w:t>
            </w:r>
            <w:r w:rsidRPr="00E26EF6">
              <w:t>129 CRR)</w:t>
            </w:r>
          </w:p>
          <w:p w14:paraId="74616D9E" w14:textId="65EDAC23" w:rsidR="00915077" w:rsidRPr="00E26EF6" w:rsidRDefault="00581FA5">
            <w:pPr>
              <w:pStyle w:val="InstructionsText"/>
              <w:rPr>
                <w:highlight w:val="lightGray"/>
              </w:rPr>
            </w:pPr>
            <w:r w:rsidRPr="00E26EF6">
              <w:t>Te dwie kategorie ekspozycji są rozłączne (zob. uwagi na temat metody pełnego przeglądu</w:t>
            </w:r>
            <w:r w:rsidR="00E26EF6" w:rsidRPr="00E26EF6">
              <w:t xml:space="preserve"> w odn</w:t>
            </w:r>
            <w:r w:rsidRPr="00E26EF6">
              <w:t xml:space="preserve">iesieniu do </w:t>
            </w:r>
            <w:r w:rsidRPr="00E26EF6">
              <w:lastRenderedPageBreak/>
              <w:t>odpowiedzi powyżej). Zaklasyfikowanie ekspozycji do jednej</w:t>
            </w:r>
            <w:r w:rsidR="00E26EF6" w:rsidRPr="00E26EF6">
              <w:t xml:space="preserve"> z tyc</w:t>
            </w:r>
            <w:r w:rsidRPr="00E26EF6">
              <w:t>h kategorii jest zatem proste.</w:t>
            </w:r>
          </w:p>
        </w:tc>
      </w:tr>
      <w:tr w:rsidR="00915077" w:rsidRPr="00E26EF6" w14:paraId="42C71F00" w14:textId="77777777" w:rsidTr="00672D2A">
        <w:tc>
          <w:tcPr>
            <w:tcW w:w="3761" w:type="dxa"/>
            <w:shd w:val="clear" w:color="auto" w:fill="auto"/>
          </w:tcPr>
          <w:p w14:paraId="060602C5" w14:textId="77777777" w:rsidR="00915077" w:rsidRPr="00E26EF6" w:rsidRDefault="007241D3">
            <w:pPr>
              <w:pStyle w:val="InstructionsText"/>
            </w:pPr>
            <w:r w:rsidRPr="00E26EF6">
              <w:lastRenderedPageBreak/>
              <w:t>NIE</w:t>
            </w:r>
            <w:r w:rsidRPr="00E26EF6">
              <w:rPr>
                <w:lang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915077" w:rsidRPr="00E26EF6" w:rsidRDefault="00915077">
            <w:pPr>
              <w:pStyle w:val="InstructionsText"/>
            </w:pPr>
          </w:p>
        </w:tc>
        <w:tc>
          <w:tcPr>
            <w:tcW w:w="1417" w:type="dxa"/>
            <w:shd w:val="clear" w:color="auto" w:fill="auto"/>
          </w:tcPr>
          <w:p w14:paraId="679C4CB1" w14:textId="77777777" w:rsidR="00915077" w:rsidRPr="00E26EF6" w:rsidRDefault="00915077">
            <w:pPr>
              <w:pStyle w:val="InstructionsText"/>
            </w:pPr>
          </w:p>
        </w:tc>
        <w:tc>
          <w:tcPr>
            <w:tcW w:w="4077" w:type="dxa"/>
            <w:shd w:val="clear" w:color="auto" w:fill="auto"/>
          </w:tcPr>
          <w:p w14:paraId="7236FE4F" w14:textId="77777777" w:rsidR="00915077" w:rsidRPr="00E26EF6" w:rsidRDefault="00915077">
            <w:pPr>
              <w:pStyle w:val="InstructionsText"/>
              <w:rPr>
                <w:highlight w:val="lightGray"/>
              </w:rPr>
            </w:pPr>
          </w:p>
        </w:tc>
      </w:tr>
      <w:tr w:rsidR="00915077" w:rsidRPr="00E26EF6" w14:paraId="034A5765" w14:textId="77777777" w:rsidTr="00672D2A">
        <w:tc>
          <w:tcPr>
            <w:tcW w:w="3761" w:type="dxa"/>
            <w:shd w:val="clear" w:color="auto" w:fill="auto"/>
          </w:tcPr>
          <w:p w14:paraId="6BFD180B" w14:textId="7F7B699B" w:rsidR="00915077" w:rsidRPr="00E26EF6" w:rsidRDefault="00581FA5">
            <w:pPr>
              <w:pStyle w:val="InstructionsText"/>
            </w:pPr>
            <w:r w:rsidRPr="00E26EF6">
              <w:t>Czy można ją zaklasyfikować do kategorii ekspozycji określonej</w:t>
            </w:r>
            <w:r w:rsidR="00E26EF6" w:rsidRPr="00E26EF6">
              <w:t xml:space="preserve"> w art</w:t>
            </w:r>
            <w:r w:rsidRPr="00E26EF6">
              <w:t>.</w:t>
            </w:r>
            <w:r w:rsidR="00023409" w:rsidRPr="00E26EF6">
              <w:t> </w:t>
            </w:r>
            <w:r w:rsidRPr="00E26EF6">
              <w:t>112 lit.</w:t>
            </w:r>
            <w:r w:rsidR="00023409" w:rsidRPr="00E26EF6">
              <w:t> </w:t>
            </w:r>
            <w:r w:rsidRPr="00E26EF6">
              <w:t>i) CRR?</w:t>
            </w:r>
          </w:p>
        </w:tc>
        <w:tc>
          <w:tcPr>
            <w:tcW w:w="1417" w:type="dxa"/>
            <w:shd w:val="clear" w:color="auto" w:fill="auto"/>
          </w:tcPr>
          <w:p w14:paraId="67903E0D" w14:textId="77777777" w:rsidR="00915077" w:rsidRPr="00E26EF6" w:rsidRDefault="00BD52C3">
            <w:pPr>
              <w:pStyle w:val="InstructionsText"/>
            </w:pPr>
            <w:r w:rsidRPr="00E26EF6">
              <w:t>TAK</w:t>
            </w:r>
            <w:r w:rsidRPr="00E26EF6">
              <w:rPr>
                <w:lang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915077" w:rsidRPr="00E26EF6" w:rsidRDefault="00915077">
            <w:pPr>
              <w:pStyle w:val="InstructionsText"/>
            </w:pPr>
          </w:p>
        </w:tc>
        <w:tc>
          <w:tcPr>
            <w:tcW w:w="4077" w:type="dxa"/>
            <w:shd w:val="clear" w:color="auto" w:fill="auto"/>
          </w:tcPr>
          <w:p w14:paraId="36CD7691" w14:textId="07476002" w:rsidR="00915077" w:rsidRPr="00E26EF6" w:rsidRDefault="00581FA5">
            <w:pPr>
              <w:pStyle w:val="InstructionsText"/>
              <w:rPr>
                <w:highlight w:val="lightGray"/>
              </w:rPr>
            </w:pPr>
            <w:r w:rsidRPr="00E26EF6">
              <w:t>Ekspozycje zabezpieczone hipotekami na nieruchomościach (zob. także art.</w:t>
            </w:r>
            <w:r w:rsidR="00023409" w:rsidRPr="00E26EF6">
              <w:t> </w:t>
            </w:r>
            <w:r w:rsidRPr="00E26EF6">
              <w:t>124 CRR)</w:t>
            </w:r>
          </w:p>
        </w:tc>
      </w:tr>
      <w:tr w:rsidR="00915077" w:rsidRPr="00E26EF6" w14:paraId="4CF22974" w14:textId="77777777" w:rsidTr="00672D2A">
        <w:tc>
          <w:tcPr>
            <w:tcW w:w="3761" w:type="dxa"/>
            <w:shd w:val="clear" w:color="auto" w:fill="auto"/>
          </w:tcPr>
          <w:p w14:paraId="56077271" w14:textId="77777777" w:rsidR="00915077" w:rsidRPr="00E26EF6" w:rsidRDefault="007241D3">
            <w:pPr>
              <w:pStyle w:val="InstructionsText"/>
            </w:pPr>
            <w:r w:rsidRPr="00E26EF6">
              <w:t>NIE</w:t>
            </w:r>
            <w:r w:rsidRPr="00E26EF6">
              <w:rPr>
                <w:lang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915077" w:rsidRPr="00E26EF6" w:rsidRDefault="00915077">
            <w:pPr>
              <w:pStyle w:val="InstructionsText"/>
            </w:pPr>
          </w:p>
        </w:tc>
        <w:tc>
          <w:tcPr>
            <w:tcW w:w="1417" w:type="dxa"/>
            <w:shd w:val="clear" w:color="auto" w:fill="auto"/>
          </w:tcPr>
          <w:p w14:paraId="78FB45C7" w14:textId="77777777" w:rsidR="00915077" w:rsidRPr="00E26EF6" w:rsidRDefault="00915077">
            <w:pPr>
              <w:pStyle w:val="InstructionsText"/>
            </w:pPr>
          </w:p>
        </w:tc>
        <w:tc>
          <w:tcPr>
            <w:tcW w:w="4077" w:type="dxa"/>
            <w:shd w:val="clear" w:color="auto" w:fill="auto"/>
          </w:tcPr>
          <w:p w14:paraId="5AB0D542" w14:textId="77777777" w:rsidR="00915077" w:rsidRPr="00E26EF6" w:rsidRDefault="00915077">
            <w:pPr>
              <w:pStyle w:val="InstructionsText"/>
              <w:rPr>
                <w:highlight w:val="lightGray"/>
              </w:rPr>
            </w:pPr>
          </w:p>
        </w:tc>
      </w:tr>
      <w:tr w:rsidR="00915077" w:rsidRPr="00E26EF6" w14:paraId="15A2E16C" w14:textId="77777777" w:rsidTr="00672D2A">
        <w:tc>
          <w:tcPr>
            <w:tcW w:w="3761" w:type="dxa"/>
            <w:shd w:val="clear" w:color="auto" w:fill="auto"/>
          </w:tcPr>
          <w:p w14:paraId="012D373D" w14:textId="0392C42B" w:rsidR="00915077" w:rsidRPr="00E26EF6" w:rsidRDefault="00581FA5">
            <w:pPr>
              <w:pStyle w:val="InstructionsText"/>
            </w:pPr>
            <w:r w:rsidRPr="00E26EF6">
              <w:t>Czy można ją zaklasyfikować do kategorii ekspozycji określonej</w:t>
            </w:r>
            <w:r w:rsidR="00E26EF6" w:rsidRPr="00E26EF6">
              <w:t xml:space="preserve"> w art</w:t>
            </w:r>
            <w:r w:rsidRPr="00E26EF6">
              <w:t>.</w:t>
            </w:r>
            <w:r w:rsidR="00023409" w:rsidRPr="00E26EF6">
              <w:t> </w:t>
            </w:r>
            <w:r w:rsidRPr="00E26EF6">
              <w:t>112 lit.</w:t>
            </w:r>
            <w:r w:rsidR="00023409" w:rsidRPr="00E26EF6">
              <w:t> </w:t>
            </w:r>
            <w:r w:rsidRPr="00E26EF6">
              <w:t>q) CRR?</w:t>
            </w:r>
          </w:p>
        </w:tc>
        <w:tc>
          <w:tcPr>
            <w:tcW w:w="1417" w:type="dxa"/>
            <w:shd w:val="clear" w:color="auto" w:fill="auto"/>
          </w:tcPr>
          <w:p w14:paraId="3EACC872" w14:textId="77777777" w:rsidR="00915077" w:rsidRPr="00E26EF6" w:rsidRDefault="00BD52C3">
            <w:pPr>
              <w:pStyle w:val="InstructionsText"/>
            </w:pPr>
            <w:r w:rsidRPr="00E26EF6">
              <w:t>TAK</w:t>
            </w:r>
            <w:r w:rsidRPr="00E26EF6">
              <w:rPr>
                <w:lang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915077" w:rsidRPr="00E26EF6" w:rsidRDefault="00915077">
            <w:pPr>
              <w:pStyle w:val="InstructionsText"/>
            </w:pPr>
          </w:p>
        </w:tc>
        <w:tc>
          <w:tcPr>
            <w:tcW w:w="4077" w:type="dxa"/>
            <w:shd w:val="clear" w:color="auto" w:fill="auto"/>
          </w:tcPr>
          <w:p w14:paraId="643D1030" w14:textId="77777777" w:rsidR="00915077" w:rsidRPr="00E26EF6" w:rsidRDefault="00581FA5">
            <w:pPr>
              <w:pStyle w:val="InstructionsText"/>
              <w:rPr>
                <w:highlight w:val="lightGray"/>
              </w:rPr>
            </w:pPr>
            <w:r w:rsidRPr="00E26EF6">
              <w:t>Inne pozycje</w:t>
            </w:r>
          </w:p>
        </w:tc>
      </w:tr>
      <w:tr w:rsidR="00915077" w:rsidRPr="00E26EF6" w14:paraId="402C8810" w14:textId="77777777" w:rsidTr="00672D2A">
        <w:tc>
          <w:tcPr>
            <w:tcW w:w="3761" w:type="dxa"/>
            <w:shd w:val="clear" w:color="auto" w:fill="auto"/>
          </w:tcPr>
          <w:p w14:paraId="24AEB9DD" w14:textId="77777777" w:rsidR="00915077" w:rsidRPr="00E26EF6" w:rsidRDefault="007241D3">
            <w:pPr>
              <w:pStyle w:val="InstructionsText"/>
            </w:pPr>
            <w:r w:rsidRPr="00E26EF6">
              <w:t>NIE</w:t>
            </w:r>
            <w:r w:rsidRPr="00E26EF6">
              <w:rPr>
                <w:lang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915077" w:rsidRPr="00E26EF6" w:rsidRDefault="00915077">
            <w:pPr>
              <w:pStyle w:val="InstructionsText"/>
            </w:pPr>
          </w:p>
        </w:tc>
        <w:tc>
          <w:tcPr>
            <w:tcW w:w="1417" w:type="dxa"/>
            <w:shd w:val="clear" w:color="auto" w:fill="auto"/>
          </w:tcPr>
          <w:p w14:paraId="1BA1AC9E" w14:textId="77777777" w:rsidR="00915077" w:rsidRPr="00E26EF6" w:rsidRDefault="00915077">
            <w:pPr>
              <w:pStyle w:val="InstructionsText"/>
            </w:pPr>
          </w:p>
        </w:tc>
        <w:tc>
          <w:tcPr>
            <w:tcW w:w="4077" w:type="dxa"/>
            <w:shd w:val="clear" w:color="auto" w:fill="auto"/>
          </w:tcPr>
          <w:p w14:paraId="2467E0EC" w14:textId="77777777" w:rsidR="00915077" w:rsidRPr="00E26EF6" w:rsidRDefault="00915077">
            <w:pPr>
              <w:pStyle w:val="InstructionsText"/>
              <w:rPr>
                <w:highlight w:val="lightGray"/>
              </w:rPr>
            </w:pPr>
          </w:p>
        </w:tc>
      </w:tr>
      <w:tr w:rsidR="00915077" w:rsidRPr="00E26EF6" w14:paraId="54310255" w14:textId="77777777" w:rsidTr="00672D2A">
        <w:tc>
          <w:tcPr>
            <w:tcW w:w="3761" w:type="dxa"/>
            <w:shd w:val="clear" w:color="auto" w:fill="auto"/>
          </w:tcPr>
          <w:p w14:paraId="076CAED9" w14:textId="031F219D" w:rsidR="00915077" w:rsidRPr="00E26EF6" w:rsidRDefault="00581FA5">
            <w:pPr>
              <w:pStyle w:val="InstructionsText"/>
            </w:pPr>
            <w:r w:rsidRPr="00E26EF6">
              <w:t>Czy można ją zaklasyfikować do kategorii ekspozycji określonej</w:t>
            </w:r>
            <w:r w:rsidR="00E26EF6" w:rsidRPr="00E26EF6">
              <w:t xml:space="preserve"> w art</w:t>
            </w:r>
            <w:r w:rsidRPr="00E26EF6">
              <w:t>.</w:t>
            </w:r>
            <w:r w:rsidR="00023409" w:rsidRPr="00E26EF6">
              <w:t> </w:t>
            </w:r>
            <w:r w:rsidRPr="00E26EF6">
              <w:t>112 lit.</w:t>
            </w:r>
            <w:r w:rsidR="00023409" w:rsidRPr="00E26EF6">
              <w:t> </w:t>
            </w:r>
            <w:r w:rsidRPr="00E26EF6">
              <w:t>n) CRR?</w:t>
            </w:r>
          </w:p>
        </w:tc>
        <w:tc>
          <w:tcPr>
            <w:tcW w:w="1417" w:type="dxa"/>
            <w:shd w:val="clear" w:color="auto" w:fill="auto"/>
          </w:tcPr>
          <w:p w14:paraId="6F7C76EC" w14:textId="77777777" w:rsidR="00915077" w:rsidRPr="00E26EF6" w:rsidRDefault="0063493E">
            <w:pPr>
              <w:pStyle w:val="InstructionsText"/>
            </w:pPr>
            <w:r w:rsidRPr="00E26EF6">
              <w:t>TAK</w:t>
            </w:r>
            <w:r w:rsidRPr="00E26EF6">
              <w:rPr>
                <w:lang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915077" w:rsidRPr="00E26EF6" w:rsidRDefault="00915077">
            <w:pPr>
              <w:pStyle w:val="InstructionsText"/>
            </w:pPr>
          </w:p>
        </w:tc>
        <w:tc>
          <w:tcPr>
            <w:tcW w:w="4077" w:type="dxa"/>
            <w:shd w:val="clear" w:color="auto" w:fill="auto"/>
          </w:tcPr>
          <w:p w14:paraId="1D8A0D68" w14:textId="685F2C79" w:rsidR="00915077" w:rsidRPr="00E26EF6" w:rsidRDefault="00581FA5">
            <w:pPr>
              <w:pStyle w:val="InstructionsText"/>
              <w:rPr>
                <w:highlight w:val="lightGray"/>
              </w:rPr>
            </w:pPr>
            <w:r w:rsidRPr="00E26EF6">
              <w:t>Ekspozycje wobec instytucji</w:t>
            </w:r>
            <w:r w:rsidR="00E26EF6" w:rsidRPr="00E26EF6">
              <w:t xml:space="preserve"> i prz</w:t>
            </w:r>
            <w:r w:rsidRPr="00E26EF6">
              <w:t>edsiębiorstw posiadających krótkoterminową ocenę kredytową</w:t>
            </w:r>
          </w:p>
        </w:tc>
      </w:tr>
      <w:tr w:rsidR="00915077" w:rsidRPr="00E26EF6" w14:paraId="3C329ACB" w14:textId="77777777" w:rsidTr="00672D2A">
        <w:tc>
          <w:tcPr>
            <w:tcW w:w="3761" w:type="dxa"/>
            <w:shd w:val="clear" w:color="auto" w:fill="auto"/>
          </w:tcPr>
          <w:p w14:paraId="77334F84" w14:textId="77777777" w:rsidR="00915077" w:rsidRPr="00E26EF6" w:rsidRDefault="007241D3">
            <w:pPr>
              <w:pStyle w:val="InstructionsText"/>
            </w:pPr>
            <w:r w:rsidRPr="00E26EF6">
              <w:t>NIE</w:t>
            </w:r>
            <w:r w:rsidRPr="00E26EF6">
              <w:rPr>
                <w:lang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915077" w:rsidRPr="00E26EF6" w:rsidRDefault="00915077">
            <w:pPr>
              <w:pStyle w:val="InstructionsText"/>
            </w:pPr>
          </w:p>
        </w:tc>
        <w:tc>
          <w:tcPr>
            <w:tcW w:w="1417" w:type="dxa"/>
            <w:shd w:val="clear" w:color="auto" w:fill="auto"/>
          </w:tcPr>
          <w:p w14:paraId="3C98273E" w14:textId="77777777" w:rsidR="00915077" w:rsidRPr="00E26EF6" w:rsidRDefault="00915077">
            <w:pPr>
              <w:pStyle w:val="InstructionsText"/>
            </w:pPr>
          </w:p>
        </w:tc>
        <w:tc>
          <w:tcPr>
            <w:tcW w:w="4077" w:type="dxa"/>
            <w:shd w:val="clear" w:color="auto" w:fill="auto"/>
          </w:tcPr>
          <w:p w14:paraId="34264BB1" w14:textId="77777777" w:rsidR="00915077" w:rsidRPr="00E26EF6" w:rsidRDefault="00915077">
            <w:pPr>
              <w:pStyle w:val="InstructionsText"/>
              <w:rPr>
                <w:highlight w:val="lightGray"/>
              </w:rPr>
            </w:pPr>
          </w:p>
        </w:tc>
      </w:tr>
      <w:tr w:rsidR="00915077" w:rsidRPr="00E26EF6" w14:paraId="4599AE10" w14:textId="77777777" w:rsidTr="00672D2A">
        <w:tc>
          <w:tcPr>
            <w:tcW w:w="9255" w:type="dxa"/>
            <w:gridSpan w:val="3"/>
            <w:shd w:val="clear" w:color="auto" w:fill="auto"/>
          </w:tcPr>
          <w:p w14:paraId="7C69413F" w14:textId="32BD268B" w:rsidR="00915077" w:rsidRPr="00E26EF6" w:rsidRDefault="00581FA5">
            <w:pPr>
              <w:pStyle w:val="InstructionsText"/>
            </w:pPr>
            <w:r w:rsidRPr="00E26EF6">
              <w:t>Poniższe kategorie ekspozycji są rozłączne. Zaklasyfikowanie ekspozycji do jednej</w:t>
            </w:r>
            <w:r w:rsidR="00E26EF6" w:rsidRPr="00E26EF6">
              <w:t xml:space="preserve"> z tyc</w:t>
            </w:r>
            <w:r w:rsidRPr="00E26EF6">
              <w:t>h kategorii jest zatem proste.</w:t>
            </w:r>
          </w:p>
          <w:p w14:paraId="6CF9167B" w14:textId="77777777" w:rsidR="00915077" w:rsidRPr="00E26EF6" w:rsidRDefault="00581FA5">
            <w:pPr>
              <w:pStyle w:val="InstructionsText"/>
            </w:pPr>
            <w:r w:rsidRPr="00E26EF6">
              <w:t>Ekspozycje wobec rządów centralnych lub banków centralnych</w:t>
            </w:r>
          </w:p>
          <w:p w14:paraId="2AE04B9F" w14:textId="77777777" w:rsidR="00915077" w:rsidRPr="00E26EF6" w:rsidRDefault="00581FA5">
            <w:pPr>
              <w:pStyle w:val="InstructionsText"/>
            </w:pPr>
            <w:r w:rsidRPr="00E26EF6">
              <w:t>Ekspozycje wobec samorządów regionalnych lub władz lokalnych</w:t>
            </w:r>
          </w:p>
          <w:p w14:paraId="79C1CBA1" w14:textId="77777777" w:rsidR="00915077" w:rsidRPr="00E26EF6" w:rsidRDefault="00581FA5">
            <w:pPr>
              <w:pStyle w:val="InstructionsText"/>
            </w:pPr>
            <w:r w:rsidRPr="00E26EF6">
              <w:t>Ekspozycje wobec podmiotów sektora publicznego</w:t>
            </w:r>
          </w:p>
          <w:p w14:paraId="1AADDA86" w14:textId="77777777" w:rsidR="00915077" w:rsidRPr="00E26EF6" w:rsidRDefault="00581FA5">
            <w:pPr>
              <w:pStyle w:val="InstructionsText"/>
            </w:pPr>
            <w:r w:rsidRPr="00E26EF6">
              <w:t>Ekspozycje wobec wielostronnych banków rozwoju</w:t>
            </w:r>
          </w:p>
          <w:p w14:paraId="1AA5040C" w14:textId="77777777" w:rsidR="00915077" w:rsidRPr="00E26EF6" w:rsidRDefault="00581FA5">
            <w:pPr>
              <w:pStyle w:val="InstructionsText"/>
            </w:pPr>
            <w:r w:rsidRPr="00E26EF6">
              <w:t>Ekspozycje wobec organizacji międzynarodowych</w:t>
            </w:r>
          </w:p>
          <w:p w14:paraId="47991122" w14:textId="77777777" w:rsidR="00915077" w:rsidRPr="00E26EF6" w:rsidRDefault="00581FA5">
            <w:pPr>
              <w:pStyle w:val="InstructionsText"/>
            </w:pPr>
            <w:r w:rsidRPr="00E26EF6">
              <w:t>Ekspozycje wobec instytucji</w:t>
            </w:r>
          </w:p>
          <w:p w14:paraId="563317D9" w14:textId="77777777" w:rsidR="00915077" w:rsidRPr="00E26EF6" w:rsidRDefault="00581FA5">
            <w:pPr>
              <w:pStyle w:val="InstructionsText"/>
            </w:pPr>
            <w:r w:rsidRPr="00E26EF6">
              <w:t>Ekspozycje wobec przedsiębiorstw</w:t>
            </w:r>
          </w:p>
          <w:p w14:paraId="0126B927" w14:textId="77777777" w:rsidR="00915077" w:rsidRPr="00E26EF6" w:rsidRDefault="00581FA5">
            <w:pPr>
              <w:pStyle w:val="InstructionsText"/>
            </w:pPr>
            <w:r w:rsidRPr="00E26EF6">
              <w:t>Ekspozycje detaliczne</w:t>
            </w:r>
          </w:p>
        </w:tc>
      </w:tr>
    </w:tbl>
    <w:p w14:paraId="33B76BB0" w14:textId="77777777" w:rsidR="00915077" w:rsidRPr="00E26EF6" w:rsidRDefault="00915077">
      <w:pPr>
        <w:pStyle w:val="InstructionsText"/>
      </w:pPr>
    </w:p>
    <w:p w14:paraId="1EAB1602" w14:textId="77777777" w:rsidR="00915077" w:rsidRPr="00E26EF6" w:rsidRDefault="00915077">
      <w:pPr>
        <w:pStyle w:val="InstructionsText"/>
      </w:pPr>
    </w:p>
    <w:p w14:paraId="247800C0" w14:textId="77777777" w:rsidR="00915077" w:rsidRPr="00E26EF6" w:rsidRDefault="0073242B">
      <w:pPr>
        <w:spacing w:before="0" w:after="0"/>
        <w:jc w:val="left"/>
        <w:rPr>
          <w:rFonts w:ascii="Times New Roman" w:hAnsi="Times New Roman"/>
          <w:bCs/>
          <w:sz w:val="24"/>
        </w:rPr>
      </w:pPr>
      <w:r w:rsidRPr="00E26EF6">
        <w:rPr>
          <w:sz w:val="24"/>
        </w:rPr>
        <w:br w:type="page"/>
      </w:r>
    </w:p>
    <w:p w14:paraId="2AC19E2B" w14:textId="77777777" w:rsidR="00915077" w:rsidRPr="00E26EF6" w:rsidRDefault="00915077">
      <w:pPr>
        <w:pStyle w:val="InstructionsText"/>
      </w:pPr>
    </w:p>
    <w:p w14:paraId="60DD97FC" w14:textId="0B1D514B" w:rsidR="00915077" w:rsidRPr="00E26EF6" w:rsidRDefault="00125707">
      <w:pPr>
        <w:pStyle w:val="Instructionsberschrift2"/>
        <w:numPr>
          <w:ilvl w:val="0"/>
          <w:numId w:val="0"/>
        </w:numPr>
        <w:ind w:left="357" w:hanging="357"/>
        <w:rPr>
          <w:rFonts w:ascii="Times New Roman" w:hAnsi="Times New Roman" w:cs="Times New Roman"/>
          <w:sz w:val="24"/>
        </w:rPr>
      </w:pPr>
      <w:bookmarkStart w:id="37" w:name="_Toc31014335"/>
      <w:r w:rsidRPr="00E26EF6">
        <w:rPr>
          <w:rFonts w:ascii="Times New Roman" w:hAnsi="Times New Roman"/>
          <w:sz w:val="24"/>
          <w:u w:val="none"/>
        </w:rPr>
        <w:t>3.2.4.</w:t>
      </w:r>
      <w:r w:rsidRPr="00E26EF6">
        <w:rPr>
          <w:rFonts w:ascii="Times New Roman" w:hAnsi="Times New Roman"/>
          <w:sz w:val="24"/>
          <w:u w:val="none"/>
        </w:rPr>
        <w:tab/>
      </w:r>
      <w:r w:rsidRPr="00E26EF6">
        <w:rPr>
          <w:rFonts w:ascii="Times New Roman" w:hAnsi="Times New Roman"/>
          <w:sz w:val="24"/>
        </w:rPr>
        <w:t>Wyjaśnienia dotyczące zakresu pewnych określonych kategorii ekspozycji,</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112 CRR</w:t>
      </w:r>
      <w:bookmarkEnd w:id="37"/>
    </w:p>
    <w:p w14:paraId="301C7983"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38" w:name="_Toc31014336"/>
      <w:r w:rsidRPr="00E26EF6">
        <w:rPr>
          <w:rFonts w:ascii="Times New Roman" w:hAnsi="Times New Roman"/>
          <w:sz w:val="24"/>
          <w:u w:val="none"/>
        </w:rPr>
        <w:t>3.2.4.1.</w:t>
      </w:r>
      <w:r w:rsidRPr="00E26EF6">
        <w:rPr>
          <w:rFonts w:ascii="Times New Roman" w:hAnsi="Times New Roman"/>
          <w:sz w:val="24"/>
          <w:u w:val="none"/>
        </w:rPr>
        <w:tab/>
      </w:r>
      <w:r w:rsidRPr="00E26EF6">
        <w:rPr>
          <w:rFonts w:ascii="Times New Roman" w:hAnsi="Times New Roman"/>
          <w:sz w:val="24"/>
        </w:rPr>
        <w:t>Kategoria ekspozycji „ekspozycje wobec instytucji”</w:t>
      </w:r>
      <w:bookmarkEnd w:id="38"/>
    </w:p>
    <w:p w14:paraId="4F6E5DB2" w14:textId="53B6A01A" w:rsidR="00915077" w:rsidRPr="00E26EF6" w:rsidRDefault="00125707">
      <w:pPr>
        <w:pStyle w:val="InstructionsText2"/>
        <w:numPr>
          <w:ilvl w:val="0"/>
          <w:numId w:val="0"/>
        </w:numPr>
        <w:ind w:left="993"/>
      </w:pPr>
      <w:r w:rsidRPr="00E26EF6">
        <w:t>68.</w:t>
      </w:r>
      <w:r w:rsidRPr="00E26EF6">
        <w:tab/>
        <w:t>Ekspozycje wewnątrzgrupowe,</w:t>
      </w:r>
      <w:r w:rsidR="00E26EF6" w:rsidRPr="00E26EF6">
        <w:t xml:space="preserve"> o któ</w:t>
      </w:r>
      <w:r w:rsidRPr="00E26EF6">
        <w:t>rych mowa</w:t>
      </w:r>
      <w:r w:rsidR="00E26EF6" w:rsidRPr="00E26EF6">
        <w:t xml:space="preserve"> w art</w:t>
      </w:r>
      <w:r w:rsidRPr="00E26EF6">
        <w:t>.</w:t>
      </w:r>
      <w:r w:rsidR="00023409" w:rsidRPr="00E26EF6">
        <w:t> </w:t>
      </w:r>
      <w:r w:rsidRPr="00E26EF6">
        <w:t>113 ust.</w:t>
      </w:r>
      <w:r w:rsidR="00023409" w:rsidRPr="00E26EF6">
        <w:t> </w:t>
      </w:r>
      <w:r w:rsidRPr="00E26EF6">
        <w:t>6</w:t>
      </w:r>
      <w:r w:rsidR="00E26EF6" w:rsidRPr="00E26EF6">
        <w:t xml:space="preserve"> i 7</w:t>
      </w:r>
      <w:r w:rsidRPr="00E26EF6">
        <w:t xml:space="preserve"> CRR, zgłasza się</w:t>
      </w:r>
      <w:r w:rsidR="00E26EF6" w:rsidRPr="00E26EF6">
        <w:t xml:space="preserve"> w nas</w:t>
      </w:r>
      <w:r w:rsidRPr="00E26EF6">
        <w:t>tępujący sposób.</w:t>
      </w:r>
    </w:p>
    <w:p w14:paraId="580D5DF7" w14:textId="2274C83E" w:rsidR="00915077" w:rsidRPr="00E26EF6" w:rsidRDefault="00125707">
      <w:pPr>
        <w:pStyle w:val="InstructionsText2"/>
        <w:numPr>
          <w:ilvl w:val="0"/>
          <w:numId w:val="0"/>
        </w:numPr>
        <w:ind w:left="993"/>
      </w:pPr>
      <w:r w:rsidRPr="00E26EF6">
        <w:t>69.</w:t>
      </w:r>
      <w:r w:rsidRPr="00E26EF6">
        <w:tab/>
        <w:t>Ekspozycje, które spełniają wymogi określone</w:t>
      </w:r>
      <w:r w:rsidR="00E26EF6" w:rsidRPr="00E26EF6">
        <w:t xml:space="preserve"> w art</w:t>
      </w:r>
      <w:r w:rsidRPr="00E26EF6">
        <w:t>.</w:t>
      </w:r>
      <w:r w:rsidR="00023409" w:rsidRPr="00E26EF6">
        <w:t> </w:t>
      </w:r>
      <w:r w:rsidRPr="00E26EF6">
        <w:t>113 ust.</w:t>
      </w:r>
      <w:r w:rsidR="00023409" w:rsidRPr="00E26EF6">
        <w:t> </w:t>
      </w:r>
      <w:r w:rsidRPr="00E26EF6">
        <w:t>7 CRR, zgłasza się</w:t>
      </w:r>
      <w:r w:rsidR="00E26EF6" w:rsidRPr="00E26EF6">
        <w:t xml:space="preserve"> w odp</w:t>
      </w:r>
      <w:r w:rsidRPr="00E26EF6">
        <w:t>owiednich kategoriach ekspozycji,</w:t>
      </w:r>
      <w:r w:rsidR="00E26EF6" w:rsidRPr="00E26EF6">
        <w:t xml:space="preserve"> w któ</w:t>
      </w:r>
      <w:r w:rsidRPr="00E26EF6">
        <w:t>rych zostałyby one zgłoszone, gdyby nie były ekspozycjami wewnątrzgrupowymi.</w:t>
      </w:r>
    </w:p>
    <w:p w14:paraId="13DAA094" w14:textId="41D8D669" w:rsidR="00915077" w:rsidRPr="00E26EF6" w:rsidRDefault="00125707">
      <w:pPr>
        <w:pStyle w:val="InstructionsText2"/>
        <w:numPr>
          <w:ilvl w:val="0"/>
          <w:numId w:val="0"/>
        </w:numPr>
        <w:ind w:left="993"/>
      </w:pPr>
      <w:r w:rsidRPr="00E26EF6">
        <w:t>70.</w:t>
      </w:r>
      <w:r w:rsidRPr="00E26EF6">
        <w:tab/>
        <w:t>Zgodnie</w:t>
      </w:r>
      <w:r w:rsidR="00E26EF6" w:rsidRPr="00E26EF6">
        <w:t xml:space="preserve"> z art</w:t>
      </w:r>
      <w:r w:rsidRPr="00E26EF6">
        <w:t>.</w:t>
      </w:r>
      <w:r w:rsidR="00023409" w:rsidRPr="00E26EF6">
        <w:t> </w:t>
      </w:r>
      <w:r w:rsidRPr="00E26EF6">
        <w:t>113 ust.</w:t>
      </w:r>
      <w:r w:rsidR="00023409" w:rsidRPr="00E26EF6">
        <w:t> </w:t>
      </w:r>
      <w:r w:rsidRPr="00E26EF6">
        <w:t>6</w:t>
      </w:r>
      <w:r w:rsidR="00E26EF6" w:rsidRPr="00E26EF6">
        <w:t xml:space="preserve"> i 7</w:t>
      </w:r>
      <w:r w:rsidRPr="00E26EF6">
        <w:t xml:space="preserve"> CRR „instytucja może pod warunkiem uzyskania uprzedniej zgody właściwych organów podjąć decyzję</w:t>
      </w:r>
      <w:r w:rsidR="00E26EF6" w:rsidRPr="00E26EF6">
        <w:t xml:space="preserve"> o nie</w:t>
      </w:r>
      <w:r w:rsidRPr="00E26EF6">
        <w:t>stosowaniu wymogów ust.</w:t>
      </w:r>
      <w:r w:rsidR="00023409" w:rsidRPr="00E26EF6">
        <w:t> </w:t>
      </w:r>
      <w:r w:rsidRPr="00E26EF6">
        <w:t>1 niniejszego artykułu</w:t>
      </w:r>
      <w:r w:rsidR="00E26EF6" w:rsidRPr="00E26EF6">
        <w:t xml:space="preserve"> w odn</w:t>
      </w:r>
      <w:r w:rsidRPr="00E26EF6">
        <w:t>iesieniu do ekspozycji danej instytucji wobec kontrahenta, który jest</w:t>
      </w:r>
      <w:r w:rsidR="00E26EF6" w:rsidRPr="00E26EF6">
        <w:t xml:space="preserve"> w sto</w:t>
      </w:r>
      <w:r w:rsidRPr="00E26EF6">
        <w:t>sunku do niej jednostką dominującą, jednostką zależną, jednostką zależną wobec jednostki dominującej danej instytucji lub jednostką powiązaną stosunkiem określonym</w:t>
      </w:r>
      <w:r w:rsidR="00E26EF6" w:rsidRPr="00E26EF6">
        <w:t xml:space="preserve"> w art</w:t>
      </w:r>
      <w:r w:rsidRPr="00E26EF6">
        <w:t>.</w:t>
      </w:r>
      <w:r w:rsidR="00023409" w:rsidRPr="00E26EF6">
        <w:t> </w:t>
      </w:r>
      <w:r w:rsidRPr="00E26EF6">
        <w:t>12 ust.</w:t>
      </w:r>
      <w:r w:rsidR="00023409" w:rsidRPr="00E26EF6">
        <w:t> </w:t>
      </w:r>
      <w:r w:rsidRPr="00E26EF6">
        <w:t>1 dyrektywy 83/349/EWG”. Oznacza to, że kontrahenci wewnątrzgrupowi niekoniecznie są instytucjami – mogą także być przedsiębiorstwami, które są przypisane do innych kategorii ekspozycji, np. przedsiębiorstwami usług pomocniczych lub przedsiębiorstwami</w:t>
      </w:r>
      <w:r w:rsidR="00E26EF6" w:rsidRPr="00E26EF6">
        <w:t xml:space="preserve"> w roz</w:t>
      </w:r>
      <w:r w:rsidRPr="00E26EF6">
        <w:t>umieniu art.</w:t>
      </w:r>
      <w:r w:rsidR="00023409" w:rsidRPr="00E26EF6">
        <w:t> </w:t>
      </w:r>
      <w:r w:rsidRPr="00E26EF6">
        <w:t>12 ust.</w:t>
      </w:r>
      <w:r w:rsidR="00023409" w:rsidRPr="00E26EF6">
        <w:t> </w:t>
      </w:r>
      <w:r w:rsidRPr="00E26EF6">
        <w:t>1 dyrektywy Rady 83/349/EWG</w:t>
      </w:r>
      <w:r w:rsidRPr="00E26EF6">
        <w:rPr>
          <w:rStyle w:val="FootnoteReference"/>
          <w:sz w:val="24"/>
          <w:szCs w:val="24"/>
        </w:rPr>
        <w:footnoteReference w:id="9"/>
      </w:r>
      <w:r w:rsidRPr="00E26EF6">
        <w:t>. Dlatego ekspozycje wewnątrz grupy zgłasza się</w:t>
      </w:r>
      <w:r w:rsidR="00E26EF6" w:rsidRPr="00E26EF6">
        <w:t xml:space="preserve"> w odp</w:t>
      </w:r>
      <w:r w:rsidRPr="00E26EF6">
        <w:t>owiedniej kategorii ekspozycji.</w:t>
      </w:r>
    </w:p>
    <w:p w14:paraId="454F0B0F" w14:textId="7DEB1554" w:rsidR="00915077" w:rsidRPr="00E26EF6" w:rsidRDefault="00125707">
      <w:pPr>
        <w:pStyle w:val="Instructionsberschrift2"/>
        <w:numPr>
          <w:ilvl w:val="0"/>
          <w:numId w:val="0"/>
        </w:numPr>
        <w:ind w:left="357" w:hanging="357"/>
        <w:rPr>
          <w:rFonts w:ascii="Times New Roman" w:hAnsi="Times New Roman" w:cs="Times New Roman"/>
          <w:sz w:val="24"/>
        </w:rPr>
      </w:pPr>
      <w:bookmarkStart w:id="39" w:name="_Toc31014337"/>
      <w:r w:rsidRPr="00E26EF6">
        <w:rPr>
          <w:rFonts w:ascii="Times New Roman" w:hAnsi="Times New Roman"/>
          <w:sz w:val="24"/>
          <w:u w:val="none"/>
        </w:rPr>
        <w:t>3.2.4.2.</w:t>
      </w:r>
      <w:r w:rsidRPr="00E26EF6">
        <w:rPr>
          <w:rFonts w:ascii="Times New Roman" w:hAnsi="Times New Roman"/>
          <w:sz w:val="24"/>
          <w:u w:val="none"/>
        </w:rPr>
        <w:tab/>
      </w:r>
      <w:r w:rsidRPr="00E26EF6">
        <w:rPr>
          <w:rFonts w:ascii="Times New Roman" w:hAnsi="Times New Roman"/>
          <w:sz w:val="24"/>
        </w:rPr>
        <w:t>Kategoria ekspozycji „ekspozycje</w:t>
      </w:r>
      <w:r w:rsidR="00E26EF6" w:rsidRPr="00E26EF6">
        <w:rPr>
          <w:rFonts w:ascii="Times New Roman" w:hAnsi="Times New Roman"/>
          <w:sz w:val="24"/>
        </w:rPr>
        <w:t xml:space="preserve"> w pos</w:t>
      </w:r>
      <w:r w:rsidRPr="00E26EF6">
        <w:rPr>
          <w:rFonts w:ascii="Times New Roman" w:hAnsi="Times New Roman"/>
          <w:sz w:val="24"/>
        </w:rPr>
        <w:t>taci obligacji zabezpieczonych”</w:t>
      </w:r>
      <w:bookmarkEnd w:id="39"/>
    </w:p>
    <w:p w14:paraId="04680842" w14:textId="70FEB580" w:rsidR="00915077" w:rsidRPr="00E26EF6" w:rsidRDefault="00125707">
      <w:pPr>
        <w:pStyle w:val="InstructionsText2"/>
        <w:numPr>
          <w:ilvl w:val="0"/>
          <w:numId w:val="0"/>
        </w:numPr>
        <w:ind w:left="993"/>
      </w:pPr>
      <w:r w:rsidRPr="00E26EF6">
        <w:t>71.</w:t>
      </w:r>
      <w:r w:rsidRPr="00E26EF6">
        <w:tab/>
        <w:t>Ekspozycje według metody standardowej przypisuje się do kategorii ekspozycji „ekspozycje</w:t>
      </w:r>
      <w:r w:rsidR="00E26EF6" w:rsidRPr="00E26EF6">
        <w:t xml:space="preserve"> w pos</w:t>
      </w:r>
      <w:r w:rsidRPr="00E26EF6">
        <w:t>taci obligacji zabezpieczonych”</w:t>
      </w:r>
      <w:r w:rsidR="00E26EF6" w:rsidRPr="00E26EF6">
        <w:t xml:space="preserve"> w nas</w:t>
      </w:r>
      <w:r w:rsidRPr="00E26EF6">
        <w:t>tępujący sposób:</w:t>
      </w:r>
    </w:p>
    <w:p w14:paraId="26117C3B" w14:textId="780870C2" w:rsidR="00915077" w:rsidRPr="00E26EF6" w:rsidRDefault="00125707">
      <w:pPr>
        <w:pStyle w:val="InstructionsText2"/>
        <w:numPr>
          <w:ilvl w:val="0"/>
          <w:numId w:val="0"/>
        </w:numPr>
        <w:ind w:left="993"/>
      </w:pPr>
      <w:r w:rsidRPr="00E26EF6">
        <w:t>72.</w:t>
      </w:r>
      <w:r w:rsidRPr="00E26EF6">
        <w:tab/>
        <w:t>Obligacje,</w:t>
      </w:r>
      <w:r w:rsidR="00E26EF6" w:rsidRPr="00E26EF6">
        <w:t xml:space="preserve"> o któ</w:t>
      </w:r>
      <w:r w:rsidRPr="00E26EF6">
        <w:t>rych mowa</w:t>
      </w:r>
      <w:r w:rsidR="00E26EF6" w:rsidRPr="00E26EF6">
        <w:t xml:space="preserve"> w art</w:t>
      </w:r>
      <w:r w:rsidRPr="00E26EF6">
        <w:t>.</w:t>
      </w:r>
      <w:r w:rsidR="00023409" w:rsidRPr="00E26EF6">
        <w:t> </w:t>
      </w:r>
      <w:r w:rsidRPr="00E26EF6">
        <w:t>52 ust.</w:t>
      </w:r>
      <w:r w:rsidR="00023409" w:rsidRPr="00E26EF6">
        <w:t> </w:t>
      </w:r>
      <w:r w:rsidRPr="00E26EF6">
        <w:t>4 dyrektywy</w:t>
      </w:r>
      <w:r w:rsidRPr="00E26EF6">
        <w:rPr>
          <w:color w:val="444444"/>
        </w:rPr>
        <w:t xml:space="preserve"> Parlamentu Europejskiego</w:t>
      </w:r>
      <w:r w:rsidR="00E26EF6" w:rsidRPr="00E26EF6">
        <w:rPr>
          <w:color w:val="444444"/>
        </w:rPr>
        <w:t xml:space="preserve"> i Rad</w:t>
      </w:r>
      <w:r w:rsidRPr="00E26EF6">
        <w:rPr>
          <w:color w:val="444444"/>
        </w:rPr>
        <w:t>y 2009/65/WE</w:t>
      </w:r>
      <w:r w:rsidRPr="00E26EF6">
        <w:rPr>
          <w:rStyle w:val="FootnoteReference"/>
          <w:rFonts w:ascii="Times New Roman" w:hAnsi="Times New Roman"/>
          <w:sz w:val="24"/>
          <w:szCs w:val="24"/>
          <w:vertAlign w:val="superscript"/>
        </w:rPr>
        <w:footnoteReference w:id="10"/>
      </w:r>
      <w:r w:rsidRPr="00E26EF6">
        <w:t>, spełniają wymogi określone</w:t>
      </w:r>
      <w:r w:rsidR="00E26EF6" w:rsidRPr="00E26EF6">
        <w:t xml:space="preserve"> w art</w:t>
      </w:r>
      <w:r w:rsidRPr="00E26EF6">
        <w:t>.</w:t>
      </w:r>
      <w:r w:rsidR="00023409" w:rsidRPr="00E26EF6">
        <w:t> </w:t>
      </w:r>
      <w:r w:rsidRPr="00E26EF6">
        <w:t>129 ust.</w:t>
      </w:r>
      <w:r w:rsidR="00023409" w:rsidRPr="00E26EF6">
        <w:t> </w:t>
      </w:r>
      <w:r w:rsidRPr="00E26EF6">
        <w:t>1</w:t>
      </w:r>
      <w:r w:rsidR="00E26EF6" w:rsidRPr="00E26EF6">
        <w:t xml:space="preserve"> i 2</w:t>
      </w:r>
      <w:r w:rsidRPr="00E26EF6">
        <w:t xml:space="preserve"> CRR, co umożliwia zaklasyfikowanie ich do kategorii ekspozycji „ekspozycje</w:t>
      </w:r>
      <w:r w:rsidR="00E26EF6" w:rsidRPr="00E26EF6">
        <w:t xml:space="preserve"> w pos</w:t>
      </w:r>
      <w:r w:rsidRPr="00E26EF6">
        <w:t>taci obligacji zabezpieczonych”. Spełnienie tych wymogów należy sprawdzać</w:t>
      </w:r>
      <w:r w:rsidR="00E26EF6" w:rsidRPr="00E26EF6">
        <w:t xml:space="preserve"> w każ</w:t>
      </w:r>
      <w:r w:rsidRPr="00E26EF6">
        <w:t>dym przypadku. Obligacje,</w:t>
      </w:r>
      <w:r w:rsidR="00E26EF6" w:rsidRPr="00E26EF6">
        <w:t xml:space="preserve"> o któ</w:t>
      </w:r>
      <w:r w:rsidRPr="00E26EF6">
        <w:t>rych mowa</w:t>
      </w:r>
      <w:r w:rsidR="00E26EF6" w:rsidRPr="00E26EF6">
        <w:t xml:space="preserve"> w art</w:t>
      </w:r>
      <w:r w:rsidRPr="00E26EF6">
        <w:t>.</w:t>
      </w:r>
      <w:r w:rsidR="00023409" w:rsidRPr="00E26EF6">
        <w:t> </w:t>
      </w:r>
      <w:r w:rsidRPr="00E26EF6">
        <w:t>52 ust.</w:t>
      </w:r>
      <w:r w:rsidR="00023409" w:rsidRPr="00E26EF6">
        <w:t> </w:t>
      </w:r>
      <w:r w:rsidRPr="00E26EF6">
        <w:t>4 dyrektywy 2009/65/WE</w:t>
      </w:r>
      <w:r w:rsidR="00E26EF6" w:rsidRPr="00E26EF6">
        <w:t xml:space="preserve"> i któ</w:t>
      </w:r>
      <w:r w:rsidRPr="00E26EF6">
        <w:t>re wydano przed dniem 31 grudnia 2007</w:t>
      </w:r>
      <w:r w:rsidR="00023409" w:rsidRPr="00E26EF6">
        <w:t> </w:t>
      </w:r>
      <w:r w:rsidRPr="00E26EF6">
        <w:t>r., są pomimo to także przypisane do kategorii ekspozycji „ekspozycje</w:t>
      </w:r>
      <w:r w:rsidR="00E26EF6" w:rsidRPr="00E26EF6">
        <w:t xml:space="preserve"> w pos</w:t>
      </w:r>
      <w:r w:rsidRPr="00E26EF6">
        <w:t>taci obligacji zabezpieczonych” zgodnie</w:t>
      </w:r>
      <w:r w:rsidR="00E26EF6" w:rsidRPr="00E26EF6">
        <w:t xml:space="preserve"> z art</w:t>
      </w:r>
      <w:r w:rsidRPr="00E26EF6">
        <w:t>.</w:t>
      </w:r>
      <w:r w:rsidR="00023409" w:rsidRPr="00E26EF6">
        <w:t> </w:t>
      </w:r>
      <w:r w:rsidRPr="00E26EF6">
        <w:t>129 ust.</w:t>
      </w:r>
      <w:r w:rsidR="00023409" w:rsidRPr="00E26EF6">
        <w:t> </w:t>
      </w:r>
      <w:r w:rsidRPr="00E26EF6">
        <w:t>6 CRR.</w:t>
      </w:r>
    </w:p>
    <w:p w14:paraId="07D7BC61" w14:textId="1A7E44A2" w:rsidR="00915077" w:rsidRPr="00E26EF6" w:rsidRDefault="00125707">
      <w:pPr>
        <w:pStyle w:val="Instructionsberschrift2"/>
        <w:numPr>
          <w:ilvl w:val="0"/>
          <w:numId w:val="0"/>
        </w:numPr>
        <w:ind w:left="357" w:hanging="357"/>
        <w:rPr>
          <w:rFonts w:ascii="Times New Roman" w:hAnsi="Times New Roman" w:cs="Times New Roman"/>
          <w:sz w:val="24"/>
        </w:rPr>
      </w:pPr>
      <w:bookmarkStart w:id="40" w:name="_Toc31014338"/>
      <w:r w:rsidRPr="00E26EF6">
        <w:rPr>
          <w:rFonts w:ascii="Times New Roman" w:hAnsi="Times New Roman"/>
          <w:sz w:val="24"/>
          <w:u w:val="none"/>
        </w:rPr>
        <w:t>3.2.4.3.</w:t>
      </w:r>
      <w:r w:rsidRPr="00E26EF6">
        <w:rPr>
          <w:rFonts w:ascii="Times New Roman" w:hAnsi="Times New Roman"/>
          <w:sz w:val="24"/>
          <w:u w:val="none"/>
        </w:rPr>
        <w:tab/>
      </w:r>
      <w:r w:rsidRPr="00E26EF6">
        <w:rPr>
          <w:rFonts w:ascii="Times New Roman" w:hAnsi="Times New Roman"/>
          <w:sz w:val="24"/>
        </w:rPr>
        <w:t>Kategoria ekspozycji „ekspozycje związane</w:t>
      </w:r>
      <w:r w:rsidR="00E26EF6" w:rsidRPr="00E26EF6">
        <w:rPr>
          <w:rFonts w:ascii="Times New Roman" w:hAnsi="Times New Roman"/>
          <w:sz w:val="24"/>
        </w:rPr>
        <w:t xml:space="preserve"> z prz</w:t>
      </w:r>
      <w:r w:rsidRPr="00E26EF6">
        <w:rPr>
          <w:rFonts w:ascii="Times New Roman" w:hAnsi="Times New Roman"/>
          <w:sz w:val="24"/>
        </w:rPr>
        <w:t>edsiębiorstwami zbiorowego inwestowania”</w:t>
      </w:r>
      <w:bookmarkEnd w:id="40"/>
    </w:p>
    <w:p w14:paraId="7A6279A6" w14:textId="211BF7D2" w:rsidR="00915077" w:rsidRPr="00E26EF6" w:rsidRDefault="00125707">
      <w:pPr>
        <w:pStyle w:val="InstructionsText2"/>
        <w:numPr>
          <w:ilvl w:val="0"/>
          <w:numId w:val="0"/>
        </w:numPr>
        <w:ind w:left="993"/>
      </w:pPr>
      <w:r w:rsidRPr="00E26EF6">
        <w:t>73.</w:t>
      </w:r>
      <w:r w:rsidRPr="00E26EF6">
        <w:tab/>
        <w:t>W przypadku korzystania</w:t>
      </w:r>
      <w:r w:rsidR="00E26EF6" w:rsidRPr="00E26EF6">
        <w:t xml:space="preserve"> z moż</w:t>
      </w:r>
      <w:r w:rsidRPr="00E26EF6">
        <w:t>liwości,</w:t>
      </w:r>
      <w:r w:rsidR="00E26EF6" w:rsidRPr="00E26EF6">
        <w:t xml:space="preserve"> o któ</w:t>
      </w:r>
      <w:r w:rsidRPr="00E26EF6">
        <w:t>rej mowa</w:t>
      </w:r>
      <w:r w:rsidR="00E26EF6" w:rsidRPr="00E26EF6">
        <w:t xml:space="preserve"> w art</w:t>
      </w:r>
      <w:r w:rsidRPr="00E26EF6">
        <w:t>.</w:t>
      </w:r>
      <w:r w:rsidR="00023409" w:rsidRPr="00E26EF6">
        <w:t> </w:t>
      </w:r>
      <w:r w:rsidRPr="00E26EF6">
        <w:t>132 ust.</w:t>
      </w:r>
      <w:r w:rsidR="00023409" w:rsidRPr="00E26EF6">
        <w:t> </w:t>
      </w:r>
      <w:r w:rsidRPr="00E26EF6">
        <w:t>5 CRR, ekspozycje</w:t>
      </w:r>
      <w:r w:rsidR="00E26EF6" w:rsidRPr="00E26EF6">
        <w:t xml:space="preserve"> w pos</w:t>
      </w:r>
      <w:r w:rsidRPr="00E26EF6">
        <w:t>taci jednostek lub udziałów</w:t>
      </w:r>
      <w:r w:rsidR="00E26EF6" w:rsidRPr="00E26EF6">
        <w:t xml:space="preserve"> w prz</w:t>
      </w:r>
      <w:r w:rsidRPr="00E26EF6">
        <w:t>edsiębiorstwach zbiorowego inwestowania zgłasza się jako pozycje bilansowe zgodnie</w:t>
      </w:r>
      <w:r w:rsidR="00E26EF6" w:rsidRPr="00E26EF6">
        <w:t xml:space="preserve"> z art</w:t>
      </w:r>
      <w:r w:rsidRPr="00E26EF6">
        <w:t>.</w:t>
      </w:r>
      <w:r w:rsidR="00023409" w:rsidRPr="00E26EF6">
        <w:t> </w:t>
      </w:r>
      <w:r w:rsidRPr="00E26EF6">
        <w:t>111 ust.</w:t>
      </w:r>
      <w:r w:rsidR="00023409" w:rsidRPr="00E26EF6">
        <w:t> </w:t>
      </w:r>
      <w:r w:rsidRPr="00E26EF6">
        <w:t xml:space="preserve">1 zdanie pierwsze CRR. </w:t>
      </w:r>
    </w:p>
    <w:p w14:paraId="2EE1E026"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41" w:name="_Toc31014339"/>
      <w:r w:rsidRPr="00E26EF6">
        <w:rPr>
          <w:rFonts w:ascii="Times New Roman" w:hAnsi="Times New Roman"/>
          <w:sz w:val="24"/>
          <w:u w:val="none"/>
        </w:rPr>
        <w:lastRenderedPageBreak/>
        <w:t>3.2.5.</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15077" w:rsidRPr="00E26EF6" w14:paraId="60D5C64A" w14:textId="77777777" w:rsidTr="00672D2A">
        <w:trPr>
          <w:trHeight w:val="581"/>
        </w:trPr>
        <w:tc>
          <w:tcPr>
            <w:tcW w:w="9828" w:type="dxa"/>
            <w:gridSpan w:val="2"/>
            <w:shd w:val="clear" w:color="auto" w:fill="CCCCCC"/>
          </w:tcPr>
          <w:p w14:paraId="2A60DB9C" w14:textId="77777777" w:rsidR="00915077" w:rsidRPr="00E26EF6" w:rsidRDefault="00464F34">
            <w:pPr>
              <w:pStyle w:val="InstructionsText"/>
              <w:rPr>
                <w:highlight w:val="lightGray"/>
              </w:rPr>
            </w:pPr>
            <w:r w:rsidRPr="00E26EF6">
              <w:t>Kolumny</w:t>
            </w:r>
          </w:p>
        </w:tc>
      </w:tr>
      <w:tr w:rsidR="00915077" w:rsidRPr="00E26EF6" w14:paraId="0A756E82" w14:textId="77777777" w:rsidTr="00672D2A">
        <w:tc>
          <w:tcPr>
            <w:tcW w:w="1188" w:type="dxa"/>
          </w:tcPr>
          <w:p w14:paraId="0424DDD4" w14:textId="77777777" w:rsidR="00915077" w:rsidRPr="00E26EF6" w:rsidRDefault="00464F34">
            <w:pPr>
              <w:pStyle w:val="InstructionsText"/>
              <w:rPr>
                <w:highlight w:val="lightGray"/>
              </w:rPr>
            </w:pPr>
            <w:r w:rsidRPr="00E26EF6">
              <w:t>010</w:t>
            </w:r>
          </w:p>
        </w:tc>
        <w:tc>
          <w:tcPr>
            <w:tcW w:w="8640" w:type="dxa"/>
          </w:tcPr>
          <w:p w14:paraId="155EB26F" w14:textId="47734983"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PIERWOTNA EKSPOZYCJA PRZED UWZGLĘDNIENIEM WSPÓŁCZYNNIKÓW KONWERSJI</w:t>
            </w:r>
          </w:p>
          <w:p w14:paraId="6CF00A70" w14:textId="1A2F4589" w:rsidR="00915077" w:rsidRPr="00E26EF6" w:rsidRDefault="00464F34">
            <w:pPr>
              <w:pStyle w:val="InstructionsText"/>
            </w:pPr>
            <w:r w:rsidRPr="00E26EF6">
              <w:t>Wartość ekspozycji obliczona zgodnie</w:t>
            </w:r>
            <w:r w:rsidR="00E26EF6" w:rsidRPr="00E26EF6">
              <w:t xml:space="preserve"> z art</w:t>
            </w:r>
            <w:r w:rsidRPr="00E26EF6">
              <w:t>.</w:t>
            </w:r>
            <w:r w:rsidR="00023409" w:rsidRPr="00E26EF6">
              <w:t> </w:t>
            </w:r>
            <w:r w:rsidRPr="00E26EF6">
              <w:t>111 CRR bez uwzględnienia korekt wartości</w:t>
            </w:r>
            <w:r w:rsidR="00E26EF6" w:rsidRPr="00E26EF6">
              <w:t xml:space="preserve"> i rez</w:t>
            </w:r>
            <w:r w:rsidRPr="00E26EF6">
              <w:t>erw, współczynników konwersji oraz efektów technik ograniczania ryzyka kredytowego, przy uwzględnieniu następujących zastrzeżeń wynikających</w:t>
            </w:r>
            <w:r w:rsidR="00E26EF6" w:rsidRPr="00E26EF6">
              <w:t xml:space="preserve"> z art</w:t>
            </w:r>
            <w:r w:rsidRPr="00E26EF6">
              <w:t>.</w:t>
            </w:r>
            <w:r w:rsidR="00023409" w:rsidRPr="00E26EF6">
              <w:t> </w:t>
            </w:r>
            <w:r w:rsidRPr="00E26EF6">
              <w:t>111 ust.</w:t>
            </w:r>
            <w:r w:rsidR="00023409" w:rsidRPr="00E26EF6">
              <w:t> </w:t>
            </w:r>
            <w:r w:rsidRPr="00E26EF6">
              <w:t>2 CRR:</w:t>
            </w:r>
          </w:p>
          <w:p w14:paraId="4FCD5AC8" w14:textId="4F3A980A" w:rsidR="00915077" w:rsidRPr="00E26EF6" w:rsidRDefault="00464F34">
            <w:pPr>
              <w:pStyle w:val="InstructionsText"/>
              <w:numPr>
                <w:ilvl w:val="0"/>
                <w:numId w:val="34"/>
              </w:numPr>
            </w:pPr>
            <w:r w:rsidRPr="00E26EF6">
              <w:t>W przypadku instrumentów pochodnych, transakcji</w:t>
            </w:r>
            <w:r w:rsidR="00E26EF6" w:rsidRPr="00E26EF6">
              <w:t xml:space="preserve"> z udz</w:t>
            </w:r>
            <w:r w:rsidRPr="00E26EF6">
              <w:t>ielonym przyrzeczeniem odkupu, transakcji udzielania</w:t>
            </w:r>
            <w:r w:rsidR="00E26EF6" w:rsidRPr="00E26EF6">
              <w:t xml:space="preserve"> i zac</w:t>
            </w:r>
            <w:r w:rsidRPr="00E26EF6">
              <w:t>iągania pożyczek papierów wartościowych</w:t>
            </w:r>
            <w:r w:rsidR="00E26EF6" w:rsidRPr="00E26EF6">
              <w:t xml:space="preserve"> i tow</w:t>
            </w:r>
            <w:r w:rsidRPr="00E26EF6">
              <w:t>arów, transakcji</w:t>
            </w:r>
            <w:r w:rsidR="00E26EF6" w:rsidRPr="00E26EF6">
              <w:t xml:space="preserve"> z dłu</w:t>
            </w:r>
            <w:r w:rsidRPr="00E26EF6">
              <w:t>gim terminem rozliczenia oraz transakcji</w:t>
            </w:r>
            <w:r w:rsidR="00E26EF6" w:rsidRPr="00E26EF6">
              <w:t xml:space="preserve"> z obo</w:t>
            </w:r>
            <w:r w:rsidRPr="00E26EF6">
              <w:t>wiązkiem uzupełnienia zabezpieczenia kredytowego</w:t>
            </w:r>
            <w:r w:rsidR="00E26EF6" w:rsidRPr="00E26EF6">
              <w:t xml:space="preserve"> z zas</w:t>
            </w:r>
            <w:r w:rsidRPr="00E26EF6">
              <w:t>trzeżeniem części trzeciej tytuł II rozdział 6 CRR lub</w:t>
            </w:r>
            <w:r w:rsidR="00E26EF6" w:rsidRPr="00E26EF6">
              <w:t xml:space="preserve"> z zas</w:t>
            </w:r>
            <w:r w:rsidRPr="00E26EF6">
              <w:t>trzeżeniem art.</w:t>
            </w:r>
            <w:r w:rsidR="00023409" w:rsidRPr="00E26EF6">
              <w:t> </w:t>
            </w:r>
            <w:r w:rsidRPr="00E26EF6">
              <w:t>92 ust.</w:t>
            </w:r>
            <w:r w:rsidR="00023409" w:rsidRPr="00E26EF6">
              <w:t> </w:t>
            </w:r>
            <w:r w:rsidRPr="00E26EF6">
              <w:t>3 lit.</w:t>
            </w:r>
            <w:r w:rsidR="00023409" w:rsidRPr="00E26EF6">
              <w:t> </w:t>
            </w:r>
            <w:r w:rsidRPr="00E26EF6">
              <w:t>f) CRR pierwotna ekspozycja odpowiada wartości ekspozycji na ryzyko kredytowe kontrahenta obliczonej zgodnie</w:t>
            </w:r>
            <w:r w:rsidR="00E26EF6" w:rsidRPr="00E26EF6">
              <w:t xml:space="preserve"> z met</w:t>
            </w:r>
            <w:r w:rsidRPr="00E26EF6">
              <w:t>odami określonymi</w:t>
            </w:r>
            <w:r w:rsidR="00E26EF6" w:rsidRPr="00E26EF6">
              <w:t xml:space="preserve"> w czę</w:t>
            </w:r>
            <w:r w:rsidRPr="00E26EF6">
              <w:t>ści trzeciej tytuł II rozdział 6 CRR.</w:t>
            </w:r>
          </w:p>
          <w:p w14:paraId="14207A4F" w14:textId="2A1E042A" w:rsidR="00915077" w:rsidRPr="00E26EF6" w:rsidRDefault="00464F34">
            <w:pPr>
              <w:pStyle w:val="InstructionsText"/>
              <w:numPr>
                <w:ilvl w:val="0"/>
                <w:numId w:val="34"/>
              </w:numPr>
            </w:pPr>
            <w:r w:rsidRPr="00E26EF6">
              <w:t>Wartości ekspozycji</w:t>
            </w:r>
            <w:r w:rsidR="00E26EF6" w:rsidRPr="00E26EF6">
              <w:t xml:space="preserve"> w prz</w:t>
            </w:r>
            <w:r w:rsidRPr="00E26EF6">
              <w:t>ypadku leasingu podlegają przepisom art.</w:t>
            </w:r>
            <w:r w:rsidR="00023409" w:rsidRPr="00E26EF6">
              <w:t> </w:t>
            </w:r>
            <w:r w:rsidRPr="00E26EF6">
              <w:t>134 ust.</w:t>
            </w:r>
            <w:r w:rsidR="00023409" w:rsidRPr="00E26EF6">
              <w:t> </w:t>
            </w:r>
            <w:r w:rsidRPr="00E26EF6">
              <w:t xml:space="preserve">7 CRR. </w:t>
            </w:r>
          </w:p>
          <w:p w14:paraId="3D00DF66" w14:textId="52CDDE30" w:rsidR="00915077" w:rsidRPr="00E26EF6" w:rsidRDefault="00464F34">
            <w:pPr>
              <w:pStyle w:val="InstructionsText"/>
              <w:numPr>
                <w:ilvl w:val="0"/>
                <w:numId w:val="34"/>
              </w:numPr>
            </w:pPr>
            <w:r w:rsidRPr="00E26EF6">
              <w:t>W przypadku kompensowania pozycji bilansowych, jak określono</w:t>
            </w:r>
            <w:r w:rsidR="00E26EF6" w:rsidRPr="00E26EF6">
              <w:t xml:space="preserve"> w art</w:t>
            </w:r>
            <w:r w:rsidRPr="00E26EF6">
              <w:t>.</w:t>
            </w:r>
            <w:r w:rsidR="00023409" w:rsidRPr="00E26EF6">
              <w:t> </w:t>
            </w:r>
            <w:r w:rsidRPr="00E26EF6">
              <w:t>219 CRR, wartości ekspozycji są podawane</w:t>
            </w:r>
            <w:r w:rsidR="00E26EF6" w:rsidRPr="00E26EF6">
              <w:t xml:space="preserve"> z uwz</w:t>
            </w:r>
            <w:r w:rsidRPr="00E26EF6">
              <w:t>ględnieniem kwoty otrzymanego zabezpieczenia gotówkowego.</w:t>
            </w:r>
          </w:p>
          <w:p w14:paraId="65871675" w14:textId="67003A34" w:rsidR="00915077" w:rsidRPr="00E26EF6" w:rsidRDefault="00464F34">
            <w:pPr>
              <w:pStyle w:val="InstructionsText"/>
              <w:numPr>
                <w:ilvl w:val="0"/>
                <w:numId w:val="34"/>
              </w:numPr>
              <w:rPr>
                <w:highlight w:val="lightGray"/>
              </w:rPr>
            </w:pPr>
            <w:r w:rsidRPr="00E26EF6">
              <w:t>W przypadku umów ramowych</w:t>
            </w:r>
            <w:r w:rsidR="00E26EF6" w:rsidRPr="00E26EF6">
              <w:t xml:space="preserve"> o kom</w:t>
            </w:r>
            <w:r w:rsidRPr="00E26EF6">
              <w:t>pensowaniu zobowiązań obejmujących transakcje</w:t>
            </w:r>
            <w:r w:rsidR="00E26EF6" w:rsidRPr="00E26EF6">
              <w:t xml:space="preserve"> z udz</w:t>
            </w:r>
            <w:r w:rsidRPr="00E26EF6">
              <w:t>ielonym przyrzeczeniem odkupu, transakcje udzielania</w:t>
            </w:r>
            <w:r w:rsidR="00E26EF6" w:rsidRPr="00E26EF6">
              <w:t xml:space="preserve"> i zac</w:t>
            </w:r>
            <w:r w:rsidRPr="00E26EF6">
              <w:t>iągania pożyczek papierów wartościowych</w:t>
            </w:r>
            <w:r w:rsidR="00E26EF6" w:rsidRPr="00E26EF6">
              <w:t xml:space="preserve"> i tow</w:t>
            </w:r>
            <w:r w:rsidRPr="00E26EF6">
              <w:t>arów lub inne transakcje oparte na rynku kapitałowym</w:t>
            </w:r>
            <w:r w:rsidR="00E26EF6" w:rsidRPr="00E26EF6">
              <w:t xml:space="preserve"> z zas</w:t>
            </w:r>
            <w:r w:rsidRPr="00E26EF6">
              <w:t>trzeżeniem części trzeciej tytuł II rozdział 6 CRR</w:t>
            </w:r>
            <w:r w:rsidR="00E26EF6" w:rsidRPr="00E26EF6">
              <w:t xml:space="preserve"> w kol</w:t>
            </w:r>
            <w:r w:rsidRPr="00E26EF6">
              <w:t>umnie 010 odzwierciedla się skutek ochrony kredytowej rzeczywistej</w:t>
            </w:r>
            <w:r w:rsidR="00E26EF6" w:rsidRPr="00E26EF6">
              <w:t xml:space="preserve"> w pos</w:t>
            </w:r>
            <w:r w:rsidRPr="00E26EF6">
              <w:t>taci umów ramowych</w:t>
            </w:r>
            <w:r w:rsidR="00E26EF6" w:rsidRPr="00E26EF6">
              <w:t xml:space="preserve"> o kom</w:t>
            </w:r>
            <w:r w:rsidRPr="00E26EF6">
              <w:t>pensowaniu zobowiązań,</w:t>
            </w:r>
            <w:r w:rsidR="00E26EF6" w:rsidRPr="00E26EF6">
              <w:t xml:space="preserve"> o któ</w:t>
            </w:r>
            <w:r w:rsidRPr="00E26EF6">
              <w:t>rych mowa</w:t>
            </w:r>
            <w:r w:rsidR="00E26EF6" w:rsidRPr="00E26EF6">
              <w:t xml:space="preserve"> w art</w:t>
            </w:r>
            <w:r w:rsidRPr="00E26EF6">
              <w:t>.</w:t>
            </w:r>
            <w:r w:rsidR="00023409" w:rsidRPr="00E26EF6">
              <w:t> </w:t>
            </w:r>
            <w:r w:rsidRPr="00E26EF6">
              <w:t>220 ust.</w:t>
            </w:r>
            <w:r w:rsidR="00023409" w:rsidRPr="00E26EF6">
              <w:t> </w:t>
            </w:r>
            <w:r w:rsidRPr="00E26EF6">
              <w:t>4 CRR. Dlatego</w:t>
            </w:r>
            <w:r w:rsidR="00E26EF6" w:rsidRPr="00E26EF6">
              <w:t xml:space="preserve"> w prz</w:t>
            </w:r>
            <w:r w:rsidRPr="00E26EF6">
              <w:t>ypadku umów ramowych</w:t>
            </w:r>
            <w:r w:rsidR="00E26EF6" w:rsidRPr="00E26EF6">
              <w:t xml:space="preserve"> o kom</w:t>
            </w:r>
            <w:r w:rsidRPr="00E26EF6">
              <w:t>pensowaniu zobowiązań obejmujących transakcje</w:t>
            </w:r>
            <w:r w:rsidR="00E26EF6" w:rsidRPr="00E26EF6">
              <w:t xml:space="preserve"> z udz</w:t>
            </w:r>
            <w:r w:rsidRPr="00E26EF6">
              <w:t>ielonym przyrzeczeniem odkupu</w:t>
            </w:r>
            <w:r w:rsidR="00E26EF6" w:rsidRPr="00E26EF6">
              <w:t xml:space="preserve"> z zas</w:t>
            </w:r>
            <w:r w:rsidRPr="00E26EF6">
              <w:t>trzeżeniem przepisów zawartych</w:t>
            </w:r>
            <w:r w:rsidR="00E26EF6" w:rsidRPr="00E26EF6">
              <w:t xml:space="preserve"> w czę</w:t>
            </w:r>
            <w:r w:rsidRPr="00E26EF6">
              <w:t>ści trzeciej tytuł II rozdział 6 CRR</w:t>
            </w:r>
            <w:r w:rsidR="00E26EF6" w:rsidRPr="00E26EF6">
              <w:t xml:space="preserve"> w kol</w:t>
            </w:r>
            <w:r w:rsidRPr="00E26EF6">
              <w:t>umnie 010 wzoru CR SA podaje się wartość E* obliczoną zgodnie</w:t>
            </w:r>
            <w:r w:rsidR="00E26EF6" w:rsidRPr="00E26EF6">
              <w:t xml:space="preserve"> z art</w:t>
            </w:r>
            <w:r w:rsidRPr="00E26EF6">
              <w:t>.</w:t>
            </w:r>
            <w:r w:rsidR="00023409" w:rsidRPr="00E26EF6">
              <w:t> </w:t>
            </w:r>
            <w:r w:rsidRPr="00E26EF6">
              <w:t>220</w:t>
            </w:r>
            <w:r w:rsidR="00E26EF6" w:rsidRPr="00E26EF6">
              <w:t xml:space="preserve"> i 2</w:t>
            </w:r>
            <w:r w:rsidRPr="00E26EF6">
              <w:t>21 CRR.</w:t>
            </w:r>
          </w:p>
        </w:tc>
      </w:tr>
      <w:tr w:rsidR="00915077" w:rsidRPr="00E26EF6" w14:paraId="06162BCB" w14:textId="77777777" w:rsidTr="00672D2A">
        <w:tc>
          <w:tcPr>
            <w:tcW w:w="1188" w:type="dxa"/>
          </w:tcPr>
          <w:p w14:paraId="561D2932" w14:textId="77777777" w:rsidR="00915077" w:rsidRPr="00E26EF6" w:rsidRDefault="00464F34">
            <w:pPr>
              <w:pStyle w:val="InstructionsText"/>
              <w:rPr>
                <w:highlight w:val="lightGray"/>
              </w:rPr>
            </w:pPr>
            <w:r w:rsidRPr="00E26EF6">
              <w:t>030</w:t>
            </w:r>
          </w:p>
        </w:tc>
        <w:tc>
          <w:tcPr>
            <w:tcW w:w="8640" w:type="dxa"/>
          </w:tcPr>
          <w:p w14:paraId="37C2574E" w14:textId="2DCC3C79"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 Korekty wartości oraz rezerwy związane</w:t>
            </w:r>
            <w:r w:rsidR="00E26EF6" w:rsidRPr="00E26EF6">
              <w:rPr>
                <w:rStyle w:val="InstructionsTabelleberschrift"/>
                <w:rFonts w:ascii="Times New Roman" w:hAnsi="Times New Roman"/>
                <w:sz w:val="24"/>
              </w:rPr>
              <w:t xml:space="preserve"> z pie</w:t>
            </w:r>
            <w:r w:rsidRPr="00E26EF6">
              <w:rPr>
                <w:rStyle w:val="InstructionsTabelleberschrift"/>
                <w:rFonts w:ascii="Times New Roman" w:hAnsi="Times New Roman"/>
                <w:sz w:val="24"/>
              </w:rPr>
              <w:t>rwotną ekspozycją</w:t>
            </w:r>
          </w:p>
          <w:p w14:paraId="359C13A5" w14:textId="071B0298"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Art. 24</w:t>
            </w:r>
            <w:r w:rsidR="00E26EF6" w:rsidRPr="00E26EF6">
              <w:rPr>
                <w:rStyle w:val="InstructionsTabelleberschrift"/>
                <w:rFonts w:ascii="Times New Roman" w:hAnsi="Times New Roman"/>
                <w:sz w:val="24"/>
              </w:rPr>
              <w:t xml:space="preserve"> i 1</w:t>
            </w:r>
            <w:r w:rsidRPr="00E26EF6">
              <w:rPr>
                <w:rStyle w:val="InstructionsTabelleberschrift"/>
                <w:rFonts w:ascii="Times New Roman" w:hAnsi="Times New Roman"/>
                <w:sz w:val="24"/>
              </w:rPr>
              <w:t>11 CRR.</w:t>
            </w:r>
          </w:p>
          <w:p w14:paraId="3FAA5F48" w14:textId="4EBB3CFB" w:rsidR="00915077" w:rsidRPr="00E26EF6" w:rsidRDefault="00464F34">
            <w:pPr>
              <w:pStyle w:val="InstructionsText"/>
              <w:rPr>
                <w:highlight w:val="lightGray"/>
              </w:rPr>
            </w:pPr>
            <w:r w:rsidRPr="00E26EF6">
              <w:t>Korekty wartości</w:t>
            </w:r>
            <w:r w:rsidR="00E26EF6" w:rsidRPr="00E26EF6">
              <w:t xml:space="preserve"> i rez</w:t>
            </w:r>
            <w:r w:rsidRPr="00E26EF6">
              <w:t xml:space="preserve">erwy na wypadek strat kredytowych dokonane zgodnie ze standardami rachunkowości mającymi zastosowanie do jednostki sprawozdającej </w:t>
            </w:r>
          </w:p>
        </w:tc>
      </w:tr>
      <w:tr w:rsidR="00915077" w:rsidRPr="00E26EF6" w14:paraId="71B0957F" w14:textId="77777777" w:rsidTr="00672D2A">
        <w:tc>
          <w:tcPr>
            <w:tcW w:w="1188" w:type="dxa"/>
          </w:tcPr>
          <w:p w14:paraId="1B9ACE09" w14:textId="77777777" w:rsidR="00915077" w:rsidRPr="00E26EF6" w:rsidRDefault="00464F34">
            <w:pPr>
              <w:pStyle w:val="InstructionsText"/>
              <w:rPr>
                <w:highlight w:val="lightGray"/>
              </w:rPr>
            </w:pPr>
            <w:r w:rsidRPr="00E26EF6">
              <w:t>040</w:t>
            </w:r>
          </w:p>
        </w:tc>
        <w:tc>
          <w:tcPr>
            <w:tcW w:w="8640" w:type="dxa"/>
          </w:tcPr>
          <w:p w14:paraId="1CDEE718" w14:textId="4F9988E2" w:rsidR="00915077" w:rsidRPr="00E26EF6" w:rsidRDefault="00464F34">
            <w:pPr>
              <w:pStyle w:val="InstructionsText"/>
            </w:pPr>
            <w:r w:rsidRPr="00E26EF6">
              <w:rPr>
                <w:rStyle w:val="InstructionsTabelleberschrift"/>
                <w:rFonts w:ascii="Times New Roman" w:hAnsi="Times New Roman"/>
                <w:sz w:val="24"/>
              </w:rPr>
              <w:t>Ekspozycja po odliczeniu korekt wartości</w:t>
            </w:r>
            <w:r w:rsidR="00E26EF6" w:rsidRPr="00E26EF6">
              <w:rPr>
                <w:rStyle w:val="InstructionsTabelleberschrift"/>
                <w:rFonts w:ascii="Times New Roman" w:hAnsi="Times New Roman"/>
                <w:sz w:val="24"/>
              </w:rPr>
              <w:t xml:space="preserve"> i rez</w:t>
            </w:r>
            <w:r w:rsidRPr="00E26EF6">
              <w:rPr>
                <w:rStyle w:val="InstructionsTabelleberschrift"/>
                <w:rFonts w:ascii="Times New Roman" w:hAnsi="Times New Roman"/>
                <w:sz w:val="24"/>
              </w:rPr>
              <w:t>erw</w:t>
            </w:r>
          </w:p>
          <w:p w14:paraId="2E54438F" w14:textId="19E09E23" w:rsidR="00915077" w:rsidRPr="00E26EF6" w:rsidRDefault="00464F34">
            <w:pPr>
              <w:pStyle w:val="InstructionsText"/>
              <w:rPr>
                <w:highlight w:val="lightGray"/>
              </w:rPr>
            </w:pPr>
            <w:r w:rsidRPr="00E26EF6">
              <w:t>Suma kolumn 010</w:t>
            </w:r>
            <w:r w:rsidR="00E26EF6" w:rsidRPr="00E26EF6">
              <w:t xml:space="preserve"> i 0</w:t>
            </w:r>
            <w:r w:rsidRPr="00E26EF6">
              <w:t>30</w:t>
            </w:r>
          </w:p>
        </w:tc>
      </w:tr>
      <w:tr w:rsidR="00915077" w:rsidRPr="00E26EF6" w14:paraId="2A8D0BE9" w14:textId="77777777" w:rsidTr="00672D2A">
        <w:tc>
          <w:tcPr>
            <w:tcW w:w="1188" w:type="dxa"/>
          </w:tcPr>
          <w:p w14:paraId="1E640D18" w14:textId="77777777" w:rsidR="00915077" w:rsidRPr="00E26EF6" w:rsidRDefault="00464F34">
            <w:pPr>
              <w:pStyle w:val="InstructionsText"/>
              <w:rPr>
                <w:highlight w:val="lightGray"/>
              </w:rPr>
            </w:pPr>
            <w:r w:rsidRPr="00E26EF6">
              <w:t>050–100</w:t>
            </w:r>
          </w:p>
        </w:tc>
        <w:tc>
          <w:tcPr>
            <w:tcW w:w="8640" w:type="dxa"/>
          </w:tcPr>
          <w:p w14:paraId="7F57112E"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TECHNIKI OGRANICZANIA RYZYKA KREDYTOWEGO Z UWZGLĘDNIENIEM EFEKTÓW SUBSTYTUCYJNYCH W ODNIESIENIU DO EKSPOZYCJI</w:t>
            </w:r>
          </w:p>
          <w:p w14:paraId="4A3B0C25" w14:textId="7C765EFF" w:rsidR="00915077" w:rsidRPr="00E26EF6" w:rsidRDefault="00464F34">
            <w:pPr>
              <w:pStyle w:val="InstructionsText"/>
            </w:pPr>
            <w:r w:rsidRPr="00E26EF6">
              <w:t>Techniki ograniczania ryzyka kredytowego zdefiniowane</w:t>
            </w:r>
            <w:r w:rsidR="00E26EF6" w:rsidRPr="00E26EF6">
              <w:t xml:space="preserve"> w art</w:t>
            </w:r>
            <w:r w:rsidRPr="00E26EF6">
              <w:t>.</w:t>
            </w:r>
            <w:r w:rsidR="00023409" w:rsidRPr="00E26EF6">
              <w:t> </w:t>
            </w:r>
            <w:r w:rsidRPr="00E26EF6">
              <w:t>4 ust.</w:t>
            </w:r>
            <w:r w:rsidR="00023409" w:rsidRPr="00E26EF6">
              <w:t> </w:t>
            </w:r>
            <w:r w:rsidRPr="00E26EF6">
              <w:t>1 pkt</w:t>
            </w:r>
            <w:r w:rsidR="00023409" w:rsidRPr="00E26EF6">
              <w:t> </w:t>
            </w:r>
            <w:r w:rsidRPr="00E26EF6">
              <w:t>57 CRR, które zmniejszają ryzyko kredytowe</w:t>
            </w:r>
            <w:r w:rsidR="00E26EF6" w:rsidRPr="00E26EF6">
              <w:t xml:space="preserve"> z tyt</w:t>
            </w:r>
            <w:r w:rsidRPr="00E26EF6">
              <w:t>ułu ekspozycji poprzez substytucję ekspozycji opisanych poniżej</w:t>
            </w:r>
            <w:r w:rsidR="00E26EF6" w:rsidRPr="00E26EF6">
              <w:t xml:space="preserve"> w poz</w:t>
            </w:r>
            <w:r w:rsidRPr="00E26EF6">
              <w:t>ycji „substytucja ekspozycji</w:t>
            </w:r>
            <w:r w:rsidR="00E26EF6" w:rsidRPr="00E26EF6">
              <w:t xml:space="preserve"> w wyn</w:t>
            </w:r>
            <w:r w:rsidRPr="00E26EF6">
              <w:t>iku ograniczania ryzyka kredytowego”.</w:t>
            </w:r>
          </w:p>
          <w:p w14:paraId="564DB9C9" w14:textId="1E6AE633" w:rsidR="00915077" w:rsidRPr="00E26EF6" w:rsidRDefault="00D21B29">
            <w:pPr>
              <w:pStyle w:val="InstructionsText"/>
            </w:pPr>
            <w:r w:rsidRPr="00E26EF6">
              <w:lastRenderedPageBreak/>
              <w:t>Zabezpieczenie, które ma wpływ na wartość ekspozycji (np. gdy jest stosowane dla celów technik ograniczania ryzyka kredytowego</w:t>
            </w:r>
            <w:r w:rsidR="00E26EF6" w:rsidRPr="00E26EF6">
              <w:t xml:space="preserve"> z uwz</w:t>
            </w:r>
            <w:r w:rsidRPr="00E26EF6">
              <w:t>ględnieniem efektów substytucyjnych</w:t>
            </w:r>
            <w:r w:rsidR="00E26EF6" w:rsidRPr="00E26EF6">
              <w:t xml:space="preserve"> w odn</w:t>
            </w:r>
            <w:r w:rsidRPr="00E26EF6">
              <w:t>iesieniu do ekspozycji), jest ograniczone do wartości ekspozycji.</w:t>
            </w:r>
          </w:p>
          <w:p w14:paraId="7EDD45C2" w14:textId="5B07D906" w:rsidR="00915077" w:rsidRPr="00E26EF6" w:rsidRDefault="00464F34">
            <w:pPr>
              <w:pStyle w:val="InstructionsText"/>
            </w:pPr>
            <w:r w:rsidRPr="00E26EF6">
              <w:t>Należy</w:t>
            </w:r>
            <w:r w:rsidR="00E26EF6" w:rsidRPr="00E26EF6">
              <w:t xml:space="preserve"> w tym</w:t>
            </w:r>
            <w:r w:rsidRPr="00E26EF6">
              <w:t xml:space="preserve"> miejscu zgłosić następujące pozycje:</w:t>
            </w:r>
          </w:p>
          <w:p w14:paraId="09CA1958" w14:textId="1B62ACF4" w:rsidR="00915077" w:rsidRPr="00E26EF6" w:rsidRDefault="00125707">
            <w:pPr>
              <w:pStyle w:val="InstructionsText"/>
              <w:ind w:left="545" w:hanging="545"/>
            </w:pPr>
            <w:r w:rsidRPr="00E26EF6">
              <w:rPr>
                <w:rFonts w:ascii="Arial" w:hAnsi="Arial"/>
              </w:rPr>
              <w:t>-</w:t>
            </w:r>
            <w:r w:rsidRPr="00E26EF6">
              <w:rPr>
                <w:rFonts w:ascii="Arial" w:hAnsi="Arial"/>
              </w:rPr>
              <w:tab/>
            </w:r>
            <w:r w:rsidRPr="00E26EF6">
              <w:t>zabezpieczenie uwzględnione zgodnie</w:t>
            </w:r>
            <w:r w:rsidR="00E26EF6" w:rsidRPr="00E26EF6">
              <w:t xml:space="preserve"> z upr</w:t>
            </w:r>
            <w:r w:rsidRPr="00E26EF6">
              <w:t>oszczoną metodą ujmowania zabezpieczeń finansowych;</w:t>
            </w:r>
          </w:p>
          <w:p w14:paraId="293AEDCE" w14:textId="77777777" w:rsidR="00915077" w:rsidRPr="00E26EF6" w:rsidRDefault="00125707">
            <w:pPr>
              <w:pStyle w:val="InstructionsText"/>
              <w:ind w:left="545" w:hanging="545"/>
            </w:pPr>
            <w:r w:rsidRPr="00E26EF6">
              <w:rPr>
                <w:rFonts w:ascii="Arial" w:hAnsi="Arial"/>
              </w:rPr>
              <w:t>-</w:t>
            </w:r>
            <w:r w:rsidRPr="00E26EF6">
              <w:rPr>
                <w:rFonts w:ascii="Arial" w:hAnsi="Arial"/>
              </w:rPr>
              <w:tab/>
            </w:r>
            <w:r w:rsidRPr="00E26EF6">
              <w:t>uznaną ochronę kredytową nierzeczywistą.</w:t>
            </w:r>
          </w:p>
          <w:p w14:paraId="54C1D173" w14:textId="10D53055" w:rsidR="00915077" w:rsidRPr="00E26EF6" w:rsidRDefault="00464F34">
            <w:pPr>
              <w:pStyle w:val="InstructionsText"/>
              <w:rPr>
                <w:highlight w:val="lightGray"/>
              </w:rPr>
            </w:pPr>
            <w:r w:rsidRPr="00E26EF6">
              <w:t>Zob. również instrukcje</w:t>
            </w:r>
            <w:r w:rsidR="00E26EF6" w:rsidRPr="00E26EF6">
              <w:t xml:space="preserve"> w pun</w:t>
            </w:r>
            <w:r w:rsidRPr="00E26EF6">
              <w:t>kcie 3.1.1.</w:t>
            </w:r>
          </w:p>
        </w:tc>
      </w:tr>
      <w:tr w:rsidR="00915077" w:rsidRPr="00E26EF6" w14:paraId="48CAFA37" w14:textId="77777777" w:rsidTr="00672D2A">
        <w:tc>
          <w:tcPr>
            <w:tcW w:w="1188" w:type="dxa"/>
          </w:tcPr>
          <w:p w14:paraId="000EA90A" w14:textId="77777777" w:rsidR="00915077" w:rsidRPr="00E26EF6" w:rsidRDefault="00464F34">
            <w:pPr>
              <w:pStyle w:val="InstructionsText"/>
              <w:rPr>
                <w:highlight w:val="lightGray"/>
              </w:rPr>
            </w:pPr>
            <w:r w:rsidRPr="00E26EF6">
              <w:lastRenderedPageBreak/>
              <w:t>050–060</w:t>
            </w:r>
          </w:p>
        </w:tc>
        <w:tc>
          <w:tcPr>
            <w:tcW w:w="8640" w:type="dxa"/>
          </w:tcPr>
          <w:p w14:paraId="4D778B5F" w14:textId="2090831F"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Ochrona kredytowa nierzeczywista: wartości skorygowane (G</w:t>
            </w:r>
            <w:r w:rsidRPr="00E26EF6">
              <w:rPr>
                <w:rStyle w:val="InstructionsTabelleberschrift"/>
                <w:rFonts w:ascii="Times New Roman" w:hAnsi="Times New Roman"/>
                <w:sz w:val="24"/>
                <w:vertAlign w:val="subscript"/>
              </w:rPr>
              <w:t>A</w:t>
            </w:r>
            <w:r w:rsidRPr="00E26EF6">
              <w:rPr>
                <w:rStyle w:val="InstructionsTabelleberschrift"/>
                <w:rFonts w:ascii="Times New Roman" w:hAnsi="Times New Roman"/>
                <w:sz w:val="24"/>
              </w:rPr>
              <w:t>)</w:t>
            </w:r>
          </w:p>
          <w:p w14:paraId="7E2A91D4" w14:textId="63031307" w:rsidR="00915077" w:rsidRPr="00E26EF6" w:rsidRDefault="00464F34">
            <w:pPr>
              <w:pStyle w:val="InstructionsText"/>
            </w:pPr>
            <w:r w:rsidRPr="00E26EF6">
              <w:t>Art. 235 CRR</w:t>
            </w:r>
          </w:p>
          <w:p w14:paraId="42296315" w14:textId="4DA178CF" w:rsidR="00915077" w:rsidRPr="00E26EF6" w:rsidRDefault="00464F34">
            <w:pPr>
              <w:pStyle w:val="InstructionsText"/>
              <w:rPr>
                <w:highlight w:val="lightGray"/>
              </w:rPr>
            </w:pPr>
            <w:r w:rsidRPr="00E26EF6">
              <w:t>W art.</w:t>
            </w:r>
            <w:r w:rsidR="00023409" w:rsidRPr="00E26EF6">
              <w:t> </w:t>
            </w:r>
            <w:r w:rsidRPr="00E26EF6">
              <w:t>239 ust.</w:t>
            </w:r>
            <w:r w:rsidR="00023409" w:rsidRPr="00E26EF6">
              <w:t> </w:t>
            </w:r>
            <w:r w:rsidRPr="00E26EF6">
              <w:t>3 CRR zawarto wzór stosowany do obliczania wartości skorygowanej G</w:t>
            </w:r>
            <w:r w:rsidRPr="00E26EF6">
              <w:rPr>
                <w:vertAlign w:val="subscript"/>
              </w:rPr>
              <w:t>A</w:t>
            </w:r>
            <w:r w:rsidRPr="00E26EF6">
              <w:t xml:space="preserve"> ochrony kredytowej nierzeczywistej.</w:t>
            </w:r>
          </w:p>
        </w:tc>
      </w:tr>
      <w:tr w:rsidR="00915077" w:rsidRPr="00E26EF6" w14:paraId="6FCB536B" w14:textId="77777777" w:rsidTr="00672D2A">
        <w:tc>
          <w:tcPr>
            <w:tcW w:w="1188" w:type="dxa"/>
          </w:tcPr>
          <w:p w14:paraId="2DEDE4CD" w14:textId="77777777" w:rsidR="00915077" w:rsidRPr="00E26EF6" w:rsidRDefault="00464F34">
            <w:pPr>
              <w:pStyle w:val="InstructionsText"/>
              <w:rPr>
                <w:highlight w:val="lightGray"/>
              </w:rPr>
            </w:pPr>
            <w:r w:rsidRPr="00E26EF6">
              <w:t>050</w:t>
            </w:r>
          </w:p>
        </w:tc>
        <w:tc>
          <w:tcPr>
            <w:tcW w:w="8640" w:type="dxa"/>
          </w:tcPr>
          <w:p w14:paraId="1A6F57A1"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Gwarancje</w:t>
            </w:r>
          </w:p>
          <w:p w14:paraId="3C817615" w14:textId="52BDCBE9" w:rsidR="00915077" w:rsidRPr="00E26EF6" w:rsidRDefault="00464F34">
            <w:pPr>
              <w:pStyle w:val="InstructionsText"/>
            </w:pPr>
            <w:r w:rsidRPr="00E26EF6">
              <w:t>Art. 203 CRR</w:t>
            </w:r>
          </w:p>
          <w:p w14:paraId="4D9BDF1E" w14:textId="39B9B987" w:rsidR="00915077" w:rsidRPr="00E26EF6" w:rsidRDefault="00464F34">
            <w:pPr>
              <w:pStyle w:val="InstructionsText"/>
              <w:rPr>
                <w:b/>
                <w:highlight w:val="lightGray"/>
                <w:u w:val="single"/>
              </w:rPr>
            </w:pPr>
            <w:r w:rsidRPr="00E26EF6">
              <w:t>Ochrona kredytowa nierzeczywista zgodnie</w:t>
            </w:r>
            <w:r w:rsidR="00E26EF6" w:rsidRPr="00E26EF6">
              <w:t xml:space="preserve"> z art</w:t>
            </w:r>
            <w:r w:rsidRPr="00E26EF6">
              <w:t>.</w:t>
            </w:r>
            <w:r w:rsidR="00023409" w:rsidRPr="00E26EF6">
              <w:t> </w:t>
            </w:r>
            <w:r w:rsidRPr="00E26EF6">
              <w:t>4 ust.</w:t>
            </w:r>
            <w:r w:rsidR="00023409" w:rsidRPr="00E26EF6">
              <w:t> </w:t>
            </w:r>
            <w:r w:rsidRPr="00E26EF6">
              <w:t>1 pkt</w:t>
            </w:r>
            <w:r w:rsidR="00023409" w:rsidRPr="00E26EF6">
              <w:t> </w:t>
            </w:r>
            <w:r w:rsidRPr="00E26EF6">
              <w:t>59 CRR, która nie obejmuje kredytowych instrumentów pochodnych.</w:t>
            </w:r>
          </w:p>
        </w:tc>
      </w:tr>
      <w:tr w:rsidR="00915077" w:rsidRPr="00E26EF6" w14:paraId="53EC46EE" w14:textId="77777777" w:rsidTr="00672D2A">
        <w:tc>
          <w:tcPr>
            <w:tcW w:w="1188" w:type="dxa"/>
          </w:tcPr>
          <w:p w14:paraId="664C21AF" w14:textId="77777777" w:rsidR="00915077" w:rsidRPr="00E26EF6" w:rsidRDefault="00464F34">
            <w:pPr>
              <w:pStyle w:val="InstructionsText"/>
              <w:rPr>
                <w:highlight w:val="lightGray"/>
              </w:rPr>
            </w:pPr>
            <w:r w:rsidRPr="00E26EF6">
              <w:t>060</w:t>
            </w:r>
          </w:p>
        </w:tc>
        <w:tc>
          <w:tcPr>
            <w:tcW w:w="8640" w:type="dxa"/>
          </w:tcPr>
          <w:p w14:paraId="11B5337C"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Kredytowe instrumenty pochodne</w:t>
            </w:r>
          </w:p>
          <w:p w14:paraId="6F84C7A7" w14:textId="32C70D1A" w:rsidR="00915077" w:rsidRPr="00E26EF6" w:rsidRDefault="00464F34">
            <w:pPr>
              <w:pStyle w:val="InstructionsText"/>
              <w:rPr>
                <w:b/>
                <w:highlight w:val="lightGray"/>
                <w:u w:val="single"/>
              </w:rPr>
            </w:pPr>
            <w:r w:rsidRPr="00E26EF6">
              <w:t>Art. 204 CRR</w:t>
            </w:r>
          </w:p>
        </w:tc>
      </w:tr>
      <w:tr w:rsidR="00915077" w:rsidRPr="00E26EF6" w14:paraId="33D7E361" w14:textId="77777777" w:rsidTr="00672D2A">
        <w:tc>
          <w:tcPr>
            <w:tcW w:w="1188" w:type="dxa"/>
          </w:tcPr>
          <w:p w14:paraId="2A69FCA4" w14:textId="77777777" w:rsidR="00915077" w:rsidRPr="00E26EF6" w:rsidRDefault="00464F34">
            <w:pPr>
              <w:pStyle w:val="InstructionsText"/>
            </w:pPr>
            <w:r w:rsidRPr="00E26EF6">
              <w:t>070–080</w:t>
            </w:r>
          </w:p>
          <w:p w14:paraId="3F0DF3CC" w14:textId="77777777" w:rsidR="00915077" w:rsidRPr="00E26EF6" w:rsidRDefault="00915077">
            <w:pPr>
              <w:pStyle w:val="InstructionsText"/>
              <w:rPr>
                <w:highlight w:val="lightGray"/>
              </w:rPr>
            </w:pPr>
          </w:p>
        </w:tc>
        <w:tc>
          <w:tcPr>
            <w:tcW w:w="8640" w:type="dxa"/>
          </w:tcPr>
          <w:p w14:paraId="154EB93F"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Ochrona kredytowa rzeczywista</w:t>
            </w:r>
          </w:p>
          <w:p w14:paraId="08255B17" w14:textId="065C6767" w:rsidR="00915077" w:rsidRPr="00E26EF6" w:rsidRDefault="009C44E7">
            <w:pPr>
              <w:pStyle w:val="InstructionsText"/>
            </w:pPr>
            <w:r w:rsidRPr="00E26EF6">
              <w:t>Te kolumny odnoszą się do ochrony kredytowej rzeczywistej zdefiniowanej</w:t>
            </w:r>
            <w:r w:rsidR="00E26EF6" w:rsidRPr="00E26EF6">
              <w:t xml:space="preserve"> w art</w:t>
            </w:r>
            <w:r w:rsidRPr="00E26EF6">
              <w:t>.</w:t>
            </w:r>
            <w:r w:rsidR="00023409" w:rsidRPr="00E26EF6">
              <w:t> </w:t>
            </w:r>
            <w:r w:rsidRPr="00E26EF6">
              <w:t>4 ust.</w:t>
            </w:r>
            <w:r w:rsidR="00023409" w:rsidRPr="00E26EF6">
              <w:t> </w:t>
            </w:r>
            <w:r w:rsidRPr="00E26EF6">
              <w:t>1 pkt</w:t>
            </w:r>
            <w:r w:rsidR="00023409" w:rsidRPr="00E26EF6">
              <w:t> </w:t>
            </w:r>
            <w:r w:rsidRPr="00E26EF6">
              <w:t>58 CRR oraz podlegającej przepisom określonym</w:t>
            </w:r>
            <w:r w:rsidR="00E26EF6" w:rsidRPr="00E26EF6">
              <w:t xml:space="preserve"> w art</w:t>
            </w:r>
            <w:r w:rsidRPr="00E26EF6">
              <w:t>.</w:t>
            </w:r>
            <w:r w:rsidR="00023409" w:rsidRPr="00E26EF6">
              <w:t> </w:t>
            </w:r>
            <w:r w:rsidRPr="00E26EF6">
              <w:t>196, 197</w:t>
            </w:r>
            <w:r w:rsidR="00E26EF6" w:rsidRPr="00E26EF6">
              <w:t xml:space="preserve"> i 2</w:t>
            </w:r>
            <w:r w:rsidRPr="00E26EF6">
              <w:t>00 CRR. Kwoty nie obejmują umów ramowych</w:t>
            </w:r>
            <w:r w:rsidR="00E26EF6" w:rsidRPr="00E26EF6">
              <w:t xml:space="preserve"> o kom</w:t>
            </w:r>
            <w:r w:rsidRPr="00E26EF6">
              <w:t>pensowaniu zobowiązań (umowy te są już uwzględnione</w:t>
            </w:r>
            <w:r w:rsidR="00E26EF6" w:rsidRPr="00E26EF6">
              <w:t xml:space="preserve"> w pie</w:t>
            </w:r>
            <w:r w:rsidRPr="00E26EF6">
              <w:t>rwotnej ekspozycji przed uwzględnieniem współczynników konwersji).</w:t>
            </w:r>
          </w:p>
          <w:p w14:paraId="1C24337C" w14:textId="2BC86E6A" w:rsidR="00915077" w:rsidRPr="00E26EF6" w:rsidRDefault="00167619">
            <w:pPr>
              <w:pStyle w:val="InstructionsText"/>
              <w:rPr>
                <w:highlight w:val="lightGray"/>
              </w:rPr>
            </w:pPr>
            <w:r w:rsidRPr="00E26EF6">
              <w:t>Inwestycje</w:t>
            </w:r>
            <w:r w:rsidR="00E26EF6" w:rsidRPr="00E26EF6">
              <w:t xml:space="preserve"> w obl</w:t>
            </w:r>
            <w:r w:rsidRPr="00E26EF6">
              <w:t>igacje powiązane</w:t>
            </w:r>
            <w:r w:rsidR="00E26EF6" w:rsidRPr="00E26EF6">
              <w:t xml:space="preserve"> z ryz</w:t>
            </w:r>
            <w:r w:rsidRPr="00E26EF6">
              <w:t>ykiem kredytowym,</w:t>
            </w:r>
            <w:r w:rsidR="00E26EF6" w:rsidRPr="00E26EF6">
              <w:t xml:space="preserve"> o któ</w:t>
            </w:r>
            <w:r w:rsidRPr="00E26EF6">
              <w:t>rych mowa</w:t>
            </w:r>
            <w:r w:rsidR="00E26EF6" w:rsidRPr="00E26EF6">
              <w:t xml:space="preserve"> w art</w:t>
            </w:r>
            <w:r w:rsidRPr="00E26EF6">
              <w:t>.</w:t>
            </w:r>
            <w:r w:rsidR="00023409" w:rsidRPr="00E26EF6">
              <w:t> </w:t>
            </w:r>
            <w:r w:rsidRPr="00E26EF6">
              <w:t>218 CRR, oraz bilansowe pozycje kompensujące wynikające</w:t>
            </w:r>
            <w:r w:rsidR="00E26EF6" w:rsidRPr="00E26EF6">
              <w:t xml:space="preserve"> z uzn</w:t>
            </w:r>
            <w:r w:rsidRPr="00E26EF6">
              <w:t>anych umów</w:t>
            </w:r>
            <w:r w:rsidR="00E26EF6" w:rsidRPr="00E26EF6">
              <w:t xml:space="preserve"> o kom</w:t>
            </w:r>
            <w:r w:rsidRPr="00E26EF6">
              <w:t>pensowaniu pozycji bilansowych,</w:t>
            </w:r>
            <w:r w:rsidR="00E26EF6" w:rsidRPr="00E26EF6">
              <w:t xml:space="preserve"> o któ</w:t>
            </w:r>
            <w:r w:rsidRPr="00E26EF6">
              <w:t>rych mowa</w:t>
            </w:r>
            <w:r w:rsidR="00E26EF6" w:rsidRPr="00E26EF6">
              <w:t xml:space="preserve"> w art</w:t>
            </w:r>
            <w:r w:rsidRPr="00E26EF6">
              <w:t>.</w:t>
            </w:r>
            <w:r w:rsidR="00023409" w:rsidRPr="00E26EF6">
              <w:t> </w:t>
            </w:r>
            <w:r w:rsidRPr="00E26EF6">
              <w:t>219 CRR, traktuje się jak zabezpieczenie gotówkowe.</w:t>
            </w:r>
          </w:p>
        </w:tc>
      </w:tr>
      <w:tr w:rsidR="00915077" w:rsidRPr="00E26EF6" w14:paraId="684855B2" w14:textId="77777777" w:rsidTr="00672D2A">
        <w:tc>
          <w:tcPr>
            <w:tcW w:w="1188" w:type="dxa"/>
          </w:tcPr>
          <w:p w14:paraId="7C3AD714" w14:textId="77777777" w:rsidR="00915077" w:rsidRPr="00E26EF6" w:rsidRDefault="00464F34">
            <w:pPr>
              <w:pStyle w:val="InstructionsText"/>
              <w:rPr>
                <w:highlight w:val="lightGray"/>
              </w:rPr>
            </w:pPr>
            <w:r w:rsidRPr="00E26EF6">
              <w:t>070</w:t>
            </w:r>
          </w:p>
        </w:tc>
        <w:tc>
          <w:tcPr>
            <w:tcW w:w="8640" w:type="dxa"/>
          </w:tcPr>
          <w:p w14:paraId="785A081B" w14:textId="77777777" w:rsidR="00915077" w:rsidRPr="00E26EF6" w:rsidRDefault="00464F34">
            <w:pPr>
              <w:pStyle w:val="InstructionsText"/>
            </w:pPr>
            <w:r w:rsidRPr="00E26EF6">
              <w:rPr>
                <w:rStyle w:val="InstructionsTabelleberschrift"/>
                <w:rFonts w:ascii="Times New Roman" w:hAnsi="Times New Roman"/>
                <w:sz w:val="24"/>
              </w:rPr>
              <w:t>Zabezpieczenie finansowe: metoda uproszczona</w:t>
            </w:r>
          </w:p>
          <w:p w14:paraId="30F5FF1A" w14:textId="2197F833" w:rsidR="00915077" w:rsidRPr="00E26EF6" w:rsidRDefault="00167619">
            <w:pPr>
              <w:pStyle w:val="InstructionsText"/>
              <w:rPr>
                <w:highlight w:val="lightGray"/>
              </w:rPr>
            </w:pPr>
            <w:r w:rsidRPr="00E26EF6">
              <w:t>Art. 222 ust.</w:t>
            </w:r>
            <w:r w:rsidR="00023409" w:rsidRPr="00E26EF6">
              <w:t> </w:t>
            </w:r>
            <w:r w:rsidRPr="00E26EF6">
              <w:t>1</w:t>
            </w:r>
            <w:r w:rsidR="00E26EF6" w:rsidRPr="00E26EF6">
              <w:t xml:space="preserve"> i 2</w:t>
            </w:r>
            <w:r w:rsidRPr="00E26EF6">
              <w:t xml:space="preserve"> CRR.</w:t>
            </w:r>
          </w:p>
        </w:tc>
      </w:tr>
      <w:tr w:rsidR="00915077" w:rsidRPr="00E26EF6" w14:paraId="4F0A954E" w14:textId="77777777" w:rsidTr="00672D2A">
        <w:tc>
          <w:tcPr>
            <w:tcW w:w="1188" w:type="dxa"/>
          </w:tcPr>
          <w:p w14:paraId="3A0C71EB" w14:textId="77777777" w:rsidR="00915077" w:rsidRPr="00E26EF6" w:rsidRDefault="00464F34">
            <w:pPr>
              <w:pStyle w:val="InstructionsText"/>
              <w:rPr>
                <w:highlight w:val="lightGray"/>
              </w:rPr>
            </w:pPr>
            <w:r w:rsidRPr="00E26EF6">
              <w:t>080</w:t>
            </w:r>
          </w:p>
        </w:tc>
        <w:tc>
          <w:tcPr>
            <w:tcW w:w="8640" w:type="dxa"/>
          </w:tcPr>
          <w:p w14:paraId="0A7B1F90"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Inne rodzaje ochrony kredytowej rzeczywistej</w:t>
            </w:r>
          </w:p>
          <w:p w14:paraId="30768CF6" w14:textId="749ACE07" w:rsidR="00915077" w:rsidRPr="00E26EF6" w:rsidRDefault="00464F34">
            <w:pPr>
              <w:pStyle w:val="InstructionsText"/>
              <w:rPr>
                <w:highlight w:val="lightGray"/>
              </w:rPr>
            </w:pPr>
            <w:r w:rsidRPr="00E26EF6">
              <w:t>Art. 232 CRR.</w:t>
            </w:r>
          </w:p>
        </w:tc>
      </w:tr>
      <w:tr w:rsidR="00915077" w:rsidRPr="00E26EF6" w14:paraId="66728599" w14:textId="77777777" w:rsidTr="00672D2A">
        <w:tc>
          <w:tcPr>
            <w:tcW w:w="1188" w:type="dxa"/>
          </w:tcPr>
          <w:p w14:paraId="640EA64E" w14:textId="77777777" w:rsidR="00915077" w:rsidRPr="00E26EF6" w:rsidRDefault="00464F34">
            <w:pPr>
              <w:pStyle w:val="InstructionsText"/>
              <w:rPr>
                <w:highlight w:val="lightGray"/>
              </w:rPr>
            </w:pPr>
            <w:r w:rsidRPr="00E26EF6">
              <w:t>090–100</w:t>
            </w:r>
          </w:p>
        </w:tc>
        <w:tc>
          <w:tcPr>
            <w:tcW w:w="8640" w:type="dxa"/>
          </w:tcPr>
          <w:p w14:paraId="210ED76E"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SUBSTYTUCJA EKSPOZYCJI W WYNIKU OGRANICZANIA RYZYKA KREDYTOWEGO</w:t>
            </w:r>
          </w:p>
          <w:p w14:paraId="516B4950" w14:textId="7C6AE1E3" w:rsidR="00915077" w:rsidRPr="00E26EF6" w:rsidRDefault="00464F34">
            <w:pPr>
              <w:pStyle w:val="InstructionsText"/>
            </w:pPr>
            <w:r w:rsidRPr="00E26EF6">
              <w:t>Art. 222 ust.</w:t>
            </w:r>
            <w:r w:rsidR="00023409" w:rsidRPr="00E26EF6">
              <w:t> </w:t>
            </w:r>
            <w:r w:rsidRPr="00E26EF6">
              <w:t>3, art.</w:t>
            </w:r>
            <w:r w:rsidR="00023409" w:rsidRPr="00E26EF6">
              <w:t> </w:t>
            </w:r>
            <w:r w:rsidRPr="00E26EF6">
              <w:t>235 ust.</w:t>
            </w:r>
            <w:r w:rsidR="00023409" w:rsidRPr="00E26EF6">
              <w:t> </w:t>
            </w:r>
            <w:r w:rsidRPr="00E26EF6">
              <w:t>1</w:t>
            </w:r>
            <w:r w:rsidR="00E26EF6" w:rsidRPr="00E26EF6">
              <w:t xml:space="preserve"> i 2</w:t>
            </w:r>
            <w:r w:rsidRPr="00E26EF6">
              <w:t xml:space="preserve"> oraz art.</w:t>
            </w:r>
            <w:r w:rsidR="00023409" w:rsidRPr="00E26EF6">
              <w:t> </w:t>
            </w:r>
            <w:r w:rsidRPr="00E26EF6">
              <w:t>236 CRR.</w:t>
            </w:r>
          </w:p>
          <w:p w14:paraId="1BE85E4D" w14:textId="504B3BD0" w:rsidR="00915077" w:rsidRPr="00E26EF6" w:rsidRDefault="00464F34">
            <w:pPr>
              <w:pStyle w:val="InstructionsText"/>
            </w:pPr>
            <w:r w:rsidRPr="00E26EF6">
              <w:t>Wypływy odpowiadają zabezpieczonej części pierwotnej ekspozycji przed uwzględnieniem współczynników konwersji, którą to część odlicza się od kategorii ekspozycji dłużnika,</w:t>
            </w:r>
            <w:r w:rsidR="00E26EF6" w:rsidRPr="00E26EF6">
              <w:t xml:space="preserve"> a nas</w:t>
            </w:r>
            <w:r w:rsidRPr="00E26EF6">
              <w:t>tępnie przypisuje kategorii ekspozycji dostawcy ochrony kredytowej. Kwotę tę uznaje się za wpływ do kategorii ekspozycji dostawcy ochrony kredytowej.</w:t>
            </w:r>
          </w:p>
          <w:p w14:paraId="3C767A74" w14:textId="463F1C4F" w:rsidR="00915077" w:rsidRPr="00E26EF6" w:rsidRDefault="00464F34">
            <w:pPr>
              <w:pStyle w:val="InstructionsText"/>
              <w:rPr>
                <w:b/>
              </w:rPr>
            </w:pPr>
            <w:r w:rsidRPr="00E26EF6">
              <w:t>Zgłasza się również wpływy</w:t>
            </w:r>
            <w:r w:rsidR="00E26EF6" w:rsidRPr="00E26EF6">
              <w:t xml:space="preserve"> i wyp</w:t>
            </w:r>
            <w:r w:rsidRPr="00E26EF6">
              <w:t>ływy</w:t>
            </w:r>
            <w:r w:rsidR="00E26EF6" w:rsidRPr="00E26EF6">
              <w:t xml:space="preserve"> w obr</w:t>
            </w:r>
            <w:r w:rsidRPr="00E26EF6">
              <w:t>ębie tych samych kategorii ekspozycji.</w:t>
            </w:r>
          </w:p>
          <w:p w14:paraId="28447CBF" w14:textId="4835C683" w:rsidR="00915077" w:rsidRPr="00E26EF6" w:rsidRDefault="00464F34">
            <w:pPr>
              <w:pStyle w:val="InstructionsText"/>
              <w:rPr>
                <w:highlight w:val="lightGray"/>
              </w:rPr>
            </w:pPr>
            <w:r w:rsidRPr="00E26EF6">
              <w:lastRenderedPageBreak/>
              <w:t>Uwzględnia się ekspozycje wynikające</w:t>
            </w:r>
            <w:r w:rsidR="00E26EF6" w:rsidRPr="00E26EF6">
              <w:t xml:space="preserve"> z ewe</w:t>
            </w:r>
            <w:r w:rsidRPr="00E26EF6">
              <w:t>ntualnych wpływów</w:t>
            </w:r>
            <w:r w:rsidR="00E26EF6" w:rsidRPr="00E26EF6">
              <w:t xml:space="preserve"> i wyp</w:t>
            </w:r>
            <w:r w:rsidRPr="00E26EF6">
              <w:t>ływów</w:t>
            </w:r>
            <w:r w:rsidR="00E26EF6" w:rsidRPr="00E26EF6">
              <w:t xml:space="preserve"> w odn</w:t>
            </w:r>
            <w:r w:rsidRPr="00E26EF6">
              <w:t>iesieniu do innych wzorów.</w:t>
            </w:r>
          </w:p>
        </w:tc>
      </w:tr>
      <w:tr w:rsidR="00915077" w:rsidRPr="00E26EF6" w14:paraId="2CD19DE6" w14:textId="77777777" w:rsidTr="00672D2A">
        <w:tc>
          <w:tcPr>
            <w:tcW w:w="1188" w:type="dxa"/>
          </w:tcPr>
          <w:p w14:paraId="527C3318" w14:textId="77777777" w:rsidR="00915077" w:rsidRPr="00E26EF6" w:rsidRDefault="00464F34">
            <w:pPr>
              <w:pStyle w:val="InstructionsText"/>
              <w:rPr>
                <w:highlight w:val="lightGray"/>
              </w:rPr>
            </w:pPr>
            <w:r w:rsidRPr="00E26EF6">
              <w:lastRenderedPageBreak/>
              <w:t>110</w:t>
            </w:r>
          </w:p>
        </w:tc>
        <w:tc>
          <w:tcPr>
            <w:tcW w:w="8640" w:type="dxa"/>
          </w:tcPr>
          <w:p w14:paraId="01C10ADF" w14:textId="2774256C"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EKSPOZYCJA NETTO PO UWZGLĘDNIENIU EFEKTÓW SUBSTYTUCYJNYCH ZWIĄZANYCH Z OGRANICZANIEM RYZYKA KREDYTOWEGO PRZED UWZGLĘDNIENIEM WSPÓŁCZYNNIKÓW KONWERSJI</w:t>
            </w:r>
          </w:p>
          <w:p w14:paraId="65CAB6BF" w14:textId="443F1A2A" w:rsidR="00915077" w:rsidRPr="00E26EF6" w:rsidRDefault="00464F34">
            <w:pPr>
              <w:pStyle w:val="InstructionsText"/>
              <w:rPr>
                <w:highlight w:val="lightGray"/>
              </w:rPr>
            </w:pPr>
            <w:r w:rsidRPr="00E26EF6">
              <w:t>Kwota ekspozycji po odliczeniu korekt wartości i po uwzględnieniu wypływów</w:t>
            </w:r>
            <w:r w:rsidR="00E26EF6" w:rsidRPr="00E26EF6">
              <w:t xml:space="preserve"> i wpł</w:t>
            </w:r>
            <w:r w:rsidRPr="00E26EF6">
              <w:t>ywów wynikających z TECHNIK OGRANICZANIA RYZYKA KREDYTOWEGO Z UWZGLĘDNIENIEM EFEKTÓW SUBSTYTUCYJNYCH W ODNIESIENIU DO EKSPOZYCJI</w:t>
            </w:r>
          </w:p>
        </w:tc>
      </w:tr>
      <w:tr w:rsidR="00915077" w:rsidRPr="00E26EF6" w14:paraId="5C5D751D" w14:textId="77777777" w:rsidTr="00672D2A">
        <w:tc>
          <w:tcPr>
            <w:tcW w:w="1188" w:type="dxa"/>
          </w:tcPr>
          <w:p w14:paraId="00A3493D" w14:textId="77777777" w:rsidR="00915077" w:rsidRPr="00E26EF6" w:rsidRDefault="00464F34">
            <w:pPr>
              <w:pStyle w:val="InstructionsText"/>
              <w:rPr>
                <w:highlight w:val="lightGray"/>
              </w:rPr>
            </w:pPr>
            <w:r w:rsidRPr="00E26EF6">
              <w:t>120–140</w:t>
            </w:r>
          </w:p>
        </w:tc>
        <w:tc>
          <w:tcPr>
            <w:tcW w:w="8640" w:type="dxa"/>
          </w:tcPr>
          <w:p w14:paraId="133D63FB" w14:textId="77777777" w:rsidR="00915077" w:rsidRPr="00E26EF6" w:rsidRDefault="00464F34">
            <w:pPr>
              <w:pStyle w:val="InstructionsText"/>
            </w:pPr>
            <w:r w:rsidRPr="00E26EF6">
              <w:rPr>
                <w:rStyle w:val="InstructionsTabelleberschrift"/>
                <w:rFonts w:ascii="Times New Roman" w:hAnsi="Times New Roman"/>
                <w:sz w:val="24"/>
              </w:rPr>
              <w:t>TECHNIKI OGRANICZANIA RYZYKA KREDYTOWEGO MAJĄCE WPŁYW NA KWOTĘ EKSPOZYCJI: OCHRONA KREDYTOWA RZECZYWISTA, KOMPLEKSOWA METODA UJMOWANIA ZABEZPIECZEŃ FINANSOWYCH</w:t>
            </w:r>
          </w:p>
          <w:p w14:paraId="35315E37" w14:textId="19D01046" w:rsidR="00915077" w:rsidRPr="00E26EF6" w:rsidRDefault="00464F34">
            <w:pPr>
              <w:pStyle w:val="InstructionsText"/>
            </w:pPr>
            <w:r w:rsidRPr="00E26EF6">
              <w:t>Art. 223–228 CRR. Pozycja ta obejmuje także obligacje powiązane</w:t>
            </w:r>
            <w:r w:rsidR="00E26EF6" w:rsidRPr="00E26EF6">
              <w:t xml:space="preserve"> z ryz</w:t>
            </w:r>
            <w:r w:rsidRPr="00E26EF6">
              <w:t>ykiem kredytowym (art.</w:t>
            </w:r>
            <w:r w:rsidR="00023409" w:rsidRPr="00E26EF6">
              <w:t> </w:t>
            </w:r>
            <w:r w:rsidRPr="00E26EF6">
              <w:t>218 CRR).</w:t>
            </w:r>
          </w:p>
          <w:p w14:paraId="41F834A4" w14:textId="135CEB22" w:rsidR="00915077" w:rsidRPr="00E26EF6" w:rsidRDefault="00464F34">
            <w:pPr>
              <w:pStyle w:val="InstructionsText"/>
            </w:pPr>
            <w:r w:rsidRPr="00E26EF6">
              <w:t>Obligacje powiązane</w:t>
            </w:r>
            <w:r w:rsidR="00E26EF6" w:rsidRPr="00E26EF6">
              <w:t xml:space="preserve"> z ryz</w:t>
            </w:r>
            <w:r w:rsidRPr="00E26EF6">
              <w:t>ykiem kredytowym,</w:t>
            </w:r>
            <w:r w:rsidR="00E26EF6" w:rsidRPr="00E26EF6">
              <w:t xml:space="preserve"> o któ</w:t>
            </w:r>
            <w:r w:rsidRPr="00E26EF6">
              <w:t>rych mowa</w:t>
            </w:r>
            <w:r w:rsidR="00E26EF6" w:rsidRPr="00E26EF6">
              <w:t xml:space="preserve"> w art</w:t>
            </w:r>
            <w:r w:rsidRPr="00E26EF6">
              <w:t>.</w:t>
            </w:r>
            <w:r w:rsidR="00023409" w:rsidRPr="00E26EF6">
              <w:t> </w:t>
            </w:r>
            <w:r w:rsidRPr="00E26EF6">
              <w:t>218 CRR, oraz bilansowe pozycje kompensujące wynikające</w:t>
            </w:r>
            <w:r w:rsidR="00E26EF6" w:rsidRPr="00E26EF6">
              <w:t xml:space="preserve"> z uzn</w:t>
            </w:r>
            <w:r w:rsidRPr="00E26EF6">
              <w:t>anych umów</w:t>
            </w:r>
            <w:r w:rsidR="00E26EF6" w:rsidRPr="00E26EF6">
              <w:t xml:space="preserve"> o kom</w:t>
            </w:r>
            <w:r w:rsidRPr="00E26EF6">
              <w:t>pensowaniu pozycji bilansowych,</w:t>
            </w:r>
            <w:r w:rsidR="00E26EF6" w:rsidRPr="00E26EF6">
              <w:t xml:space="preserve"> o któ</w:t>
            </w:r>
            <w:r w:rsidRPr="00E26EF6">
              <w:t>rych mowa</w:t>
            </w:r>
            <w:r w:rsidR="00E26EF6" w:rsidRPr="00E26EF6">
              <w:t xml:space="preserve"> w art</w:t>
            </w:r>
            <w:r w:rsidRPr="00E26EF6">
              <w:t>.</w:t>
            </w:r>
            <w:r w:rsidR="00023409" w:rsidRPr="00E26EF6">
              <w:t> </w:t>
            </w:r>
            <w:r w:rsidRPr="00E26EF6">
              <w:t>219 CRR, traktuje się jak zabezpieczenie gotówkowe.</w:t>
            </w:r>
          </w:p>
          <w:p w14:paraId="6A0852CD" w14:textId="10CBD6BF" w:rsidR="00915077" w:rsidRPr="00E26EF6" w:rsidRDefault="00464F34">
            <w:pPr>
              <w:pStyle w:val="InstructionsText"/>
              <w:rPr>
                <w:highlight w:val="lightGray"/>
              </w:rPr>
            </w:pPr>
            <w:r w:rsidRPr="00E26EF6">
              <w:t>Efekt zabezpieczenia wynikający</w:t>
            </w:r>
            <w:r w:rsidR="00E26EF6" w:rsidRPr="00E26EF6">
              <w:t xml:space="preserve"> z kom</w:t>
            </w:r>
            <w:r w:rsidRPr="00E26EF6">
              <w:t>pleksowej metody ujmowania zabezpieczeń finansowych zastosowanej</w:t>
            </w:r>
            <w:r w:rsidR="00E26EF6" w:rsidRPr="00E26EF6">
              <w:t xml:space="preserve"> w odn</w:t>
            </w:r>
            <w:r w:rsidRPr="00E26EF6">
              <w:t>iesieniu do ekspozycji, która jest zabezpieczona uznanym zabezpieczeniem finansowym, oblicza się zgodnie</w:t>
            </w:r>
            <w:r w:rsidR="00E26EF6" w:rsidRPr="00E26EF6">
              <w:t xml:space="preserve"> z art</w:t>
            </w:r>
            <w:r w:rsidRPr="00E26EF6">
              <w:t>.</w:t>
            </w:r>
            <w:r w:rsidR="00023409" w:rsidRPr="00E26EF6">
              <w:t> </w:t>
            </w:r>
            <w:r w:rsidRPr="00E26EF6">
              <w:t xml:space="preserve">223–228 CRR. </w:t>
            </w:r>
          </w:p>
        </w:tc>
      </w:tr>
      <w:tr w:rsidR="00915077" w:rsidRPr="00E26EF6" w14:paraId="1A2DAD1A" w14:textId="77777777" w:rsidTr="00672D2A">
        <w:tc>
          <w:tcPr>
            <w:tcW w:w="1188" w:type="dxa"/>
          </w:tcPr>
          <w:p w14:paraId="0862AFEE" w14:textId="77777777" w:rsidR="00915077" w:rsidRPr="00E26EF6" w:rsidRDefault="00464F34">
            <w:pPr>
              <w:pStyle w:val="InstructionsText"/>
              <w:rPr>
                <w:highlight w:val="lightGray"/>
              </w:rPr>
            </w:pPr>
            <w:r w:rsidRPr="00E26EF6">
              <w:t>120</w:t>
            </w:r>
          </w:p>
        </w:tc>
        <w:tc>
          <w:tcPr>
            <w:tcW w:w="8640" w:type="dxa"/>
          </w:tcPr>
          <w:p w14:paraId="4D04017F" w14:textId="3C1D44E8"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Korekta</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zmienności ekspozycji</w:t>
            </w:r>
          </w:p>
          <w:p w14:paraId="2DBA3C48" w14:textId="6C5ADAE2" w:rsidR="00915077" w:rsidRPr="00E26EF6" w:rsidRDefault="00167619">
            <w:pPr>
              <w:pStyle w:val="InstructionsText"/>
            </w:pPr>
            <w:r w:rsidRPr="00E26EF6">
              <w:t>Art. 223 ust.</w:t>
            </w:r>
            <w:r w:rsidR="00023409" w:rsidRPr="00E26EF6">
              <w:t> </w:t>
            </w:r>
            <w:r w:rsidRPr="00E26EF6">
              <w:t>2</w:t>
            </w:r>
            <w:r w:rsidR="00E26EF6" w:rsidRPr="00E26EF6">
              <w:t xml:space="preserve"> i 3</w:t>
            </w:r>
            <w:r w:rsidRPr="00E26EF6">
              <w:t xml:space="preserve"> CRR.</w:t>
            </w:r>
          </w:p>
          <w:p w14:paraId="5CA75325" w14:textId="63428331" w:rsidR="00915077" w:rsidRPr="00E26EF6" w:rsidRDefault="00464F34">
            <w:pPr>
              <w:pStyle w:val="InstructionsText"/>
              <w:rPr>
                <w:highlight w:val="lightGray"/>
              </w:rPr>
            </w:pPr>
            <w:r w:rsidRPr="00E26EF6">
              <w:t>Kwotą, którą należy zgłosić, jest skutek korekty</w:t>
            </w:r>
            <w:r w:rsidR="00E26EF6" w:rsidRPr="00E26EF6">
              <w:t xml:space="preserve"> z tyt</w:t>
            </w:r>
            <w:r w:rsidRPr="00E26EF6">
              <w:t>ułu zmienności ekspozycji (Eva-E) = E*He.</w:t>
            </w:r>
          </w:p>
        </w:tc>
      </w:tr>
      <w:tr w:rsidR="00915077" w:rsidRPr="00E26EF6" w14:paraId="1328FEEF" w14:textId="77777777" w:rsidTr="00672D2A">
        <w:tc>
          <w:tcPr>
            <w:tcW w:w="1188" w:type="dxa"/>
          </w:tcPr>
          <w:p w14:paraId="65567F2E" w14:textId="77777777" w:rsidR="00915077" w:rsidRPr="00E26EF6" w:rsidRDefault="00464F34">
            <w:pPr>
              <w:pStyle w:val="InstructionsText"/>
              <w:rPr>
                <w:highlight w:val="lightGray"/>
              </w:rPr>
            </w:pPr>
            <w:r w:rsidRPr="00E26EF6">
              <w:t>130</w:t>
            </w:r>
          </w:p>
        </w:tc>
        <w:tc>
          <w:tcPr>
            <w:tcW w:w="8640" w:type="dxa"/>
          </w:tcPr>
          <w:p w14:paraId="425A0584"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 Zabezpieczenie finansowe: wartość skorygowana (Cvam)</w:t>
            </w:r>
          </w:p>
          <w:p w14:paraId="129271D2" w14:textId="787113F7" w:rsidR="00915077" w:rsidRPr="00E26EF6" w:rsidRDefault="00464F34">
            <w:pPr>
              <w:pStyle w:val="InstructionsText"/>
            </w:pPr>
            <w:r w:rsidRPr="00E26EF6">
              <w:t>Art. 239 ust.</w:t>
            </w:r>
            <w:r w:rsidR="00023409" w:rsidRPr="00E26EF6">
              <w:t> </w:t>
            </w:r>
            <w:r w:rsidRPr="00E26EF6">
              <w:t>2 CRR</w:t>
            </w:r>
          </w:p>
          <w:p w14:paraId="1725491A" w14:textId="5C8239B0" w:rsidR="00915077" w:rsidRPr="00E26EF6" w:rsidRDefault="00464F34">
            <w:pPr>
              <w:pStyle w:val="InstructionsText"/>
            </w:pPr>
            <w:r w:rsidRPr="00E26EF6">
              <w:t>W przypadku operacji portfela handlowego uwzględnia się zabezpieczenie finansowe</w:t>
            </w:r>
            <w:r w:rsidR="00E26EF6" w:rsidRPr="00E26EF6">
              <w:t xml:space="preserve"> i tow</w:t>
            </w:r>
            <w:r w:rsidRPr="00E26EF6">
              <w:t>ary kwalifikujące się do ekspozycji zaliczanych do portfela handlowego zgodnie</w:t>
            </w:r>
            <w:r w:rsidR="00E26EF6" w:rsidRPr="00E26EF6">
              <w:t xml:space="preserve"> z art</w:t>
            </w:r>
            <w:r w:rsidRPr="00E26EF6">
              <w:t>.</w:t>
            </w:r>
            <w:r w:rsidR="00023409" w:rsidRPr="00E26EF6">
              <w:t> </w:t>
            </w:r>
            <w:r w:rsidRPr="00E26EF6">
              <w:t>299 ust.</w:t>
            </w:r>
            <w:r w:rsidR="00023409" w:rsidRPr="00E26EF6">
              <w:t> </w:t>
            </w:r>
            <w:r w:rsidRPr="00E26EF6">
              <w:t>2 lit.</w:t>
            </w:r>
            <w:r w:rsidR="00023409" w:rsidRPr="00E26EF6">
              <w:t> </w:t>
            </w:r>
            <w:r w:rsidRPr="00E26EF6">
              <w:t>c</w:t>
            </w:r>
            <w:proofErr w:type="gramStart"/>
            <w:r w:rsidRPr="00E26EF6">
              <w:t>)–f</w:t>
            </w:r>
            <w:proofErr w:type="gramEnd"/>
            <w:r w:rsidRPr="00E26EF6">
              <w:t xml:space="preserve">) CRR. </w:t>
            </w:r>
          </w:p>
          <w:p w14:paraId="0C722CAF" w14:textId="0BE66369" w:rsidR="00915077" w:rsidRPr="00E26EF6" w:rsidRDefault="00464F34">
            <w:pPr>
              <w:pStyle w:val="InstructionsText"/>
              <w:rPr>
                <w:highlight w:val="lightGray"/>
              </w:rPr>
            </w:pPr>
            <w:r w:rsidRPr="00E26EF6">
              <w:t>Kwota, którą należy zgłosić, odpowiada Cvam = C*(1-Hc-Hfx</w:t>
            </w:r>
            <w:proofErr w:type="gramStart"/>
            <w:r w:rsidRPr="00E26EF6">
              <w:t>)*(t-t</w:t>
            </w:r>
            <w:proofErr w:type="gramEnd"/>
            <w:r w:rsidRPr="00E26EF6">
              <w:t>*)/(T-t*). Definicje C, Hc, Hfx, t, T i t* znajdują się</w:t>
            </w:r>
            <w:r w:rsidR="00E26EF6" w:rsidRPr="00E26EF6">
              <w:t xml:space="preserve"> w czę</w:t>
            </w:r>
            <w:r w:rsidRPr="00E26EF6">
              <w:t>ści trzeciej tytuł II rozdział 4 sekcje 4</w:t>
            </w:r>
            <w:r w:rsidR="00E26EF6" w:rsidRPr="00E26EF6">
              <w:t xml:space="preserve"> i 5</w:t>
            </w:r>
            <w:r w:rsidRPr="00E26EF6">
              <w:t xml:space="preserve"> CRR.</w:t>
            </w:r>
          </w:p>
        </w:tc>
      </w:tr>
      <w:tr w:rsidR="00915077" w:rsidRPr="00E26EF6" w14:paraId="6DDB92B8" w14:textId="77777777" w:rsidTr="00672D2A">
        <w:tc>
          <w:tcPr>
            <w:tcW w:w="1188" w:type="dxa"/>
          </w:tcPr>
          <w:p w14:paraId="26C8C3A2" w14:textId="77777777" w:rsidR="00915077" w:rsidRPr="00E26EF6" w:rsidRDefault="00464F34">
            <w:pPr>
              <w:pStyle w:val="InstructionsText"/>
              <w:rPr>
                <w:highlight w:val="lightGray"/>
              </w:rPr>
            </w:pPr>
            <w:r w:rsidRPr="00E26EF6">
              <w:t>140</w:t>
            </w:r>
          </w:p>
        </w:tc>
        <w:tc>
          <w:tcPr>
            <w:tcW w:w="8640" w:type="dxa"/>
          </w:tcPr>
          <w:p w14:paraId="7F05E927" w14:textId="333B44C2" w:rsidR="00915077" w:rsidRPr="00E26EF6" w:rsidRDefault="008932B5">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 W tym: korekty</w:t>
            </w:r>
            <w:r w:rsidR="00E26EF6" w:rsidRPr="00E26EF6">
              <w:rPr>
                <w:rStyle w:val="InstructionsTabelleberschrift"/>
                <w:rFonts w:ascii="Times New Roman" w:hAnsi="Times New Roman"/>
                <w:sz w:val="24"/>
              </w:rPr>
              <w:t xml:space="preserve"> z tyt</w:t>
            </w:r>
            <w:r w:rsidRPr="00E26EF6">
              <w:rPr>
                <w:rStyle w:val="InstructionsTabelleberschrift"/>
                <w:rFonts w:ascii="Times New Roman" w:hAnsi="Times New Roman"/>
                <w:sz w:val="24"/>
              </w:rPr>
              <w:t>ułu zmienności</w:t>
            </w:r>
            <w:r w:rsidR="00E26EF6" w:rsidRPr="00E26EF6">
              <w:rPr>
                <w:rStyle w:val="InstructionsTabelleberschrift"/>
                <w:rFonts w:ascii="Times New Roman" w:hAnsi="Times New Roman"/>
                <w:sz w:val="24"/>
              </w:rPr>
              <w:t xml:space="preserve"> i kor</w:t>
            </w:r>
            <w:r w:rsidRPr="00E26EF6">
              <w:rPr>
                <w:rStyle w:val="InstructionsTabelleberschrift"/>
                <w:rFonts w:ascii="Times New Roman" w:hAnsi="Times New Roman"/>
                <w:sz w:val="24"/>
              </w:rPr>
              <w:t>ekty terminu zapadalności</w:t>
            </w:r>
          </w:p>
          <w:p w14:paraId="20CE6C10" w14:textId="3CE933C5" w:rsidR="00915077" w:rsidRPr="00E26EF6" w:rsidRDefault="00464F34">
            <w:pPr>
              <w:pStyle w:val="InstructionsText"/>
            </w:pPr>
            <w:r w:rsidRPr="00E26EF6">
              <w:t>Art. 223 ust.</w:t>
            </w:r>
            <w:r w:rsidR="00023409" w:rsidRPr="00E26EF6">
              <w:t> </w:t>
            </w:r>
            <w:r w:rsidRPr="00E26EF6">
              <w:t>1 CRR</w:t>
            </w:r>
            <w:r w:rsidR="00E26EF6" w:rsidRPr="00E26EF6">
              <w:t xml:space="preserve"> i art</w:t>
            </w:r>
            <w:r w:rsidRPr="00E26EF6">
              <w:t>.</w:t>
            </w:r>
            <w:r w:rsidR="00023409" w:rsidRPr="00E26EF6">
              <w:t> </w:t>
            </w:r>
            <w:r w:rsidRPr="00E26EF6">
              <w:t>239 ust.</w:t>
            </w:r>
            <w:r w:rsidR="00023409" w:rsidRPr="00E26EF6">
              <w:t> </w:t>
            </w:r>
            <w:r w:rsidRPr="00E26EF6">
              <w:t xml:space="preserve">2 CRR. </w:t>
            </w:r>
          </w:p>
          <w:p w14:paraId="2A14750F" w14:textId="27EA8711" w:rsidR="00915077" w:rsidRPr="00E26EF6" w:rsidRDefault="00464F34">
            <w:pPr>
              <w:pStyle w:val="InstructionsText"/>
              <w:rPr>
                <w:highlight w:val="lightGray"/>
              </w:rPr>
            </w:pPr>
            <w:r w:rsidRPr="00E26EF6">
              <w:t>Kwotą, którą należy zgłosić, jest łączny skutek korekt</w:t>
            </w:r>
            <w:r w:rsidR="00E26EF6" w:rsidRPr="00E26EF6">
              <w:t xml:space="preserve"> z tyt</w:t>
            </w:r>
            <w:r w:rsidRPr="00E26EF6">
              <w:t>ułu zmienności</w:t>
            </w:r>
            <w:r w:rsidR="00E26EF6" w:rsidRPr="00E26EF6">
              <w:t xml:space="preserve"> i kor</w:t>
            </w:r>
            <w:r w:rsidRPr="00E26EF6">
              <w:t>ekt terminu zapadalności (Cvam-C) = C*[(1-Hc-Hfx</w:t>
            </w:r>
            <w:proofErr w:type="gramStart"/>
            <w:r w:rsidRPr="00E26EF6">
              <w:t>)*(t-t</w:t>
            </w:r>
            <w:proofErr w:type="gramEnd"/>
            <w:r w:rsidRPr="00E26EF6">
              <w:t>*)/(T-t*)-1], gdzie skutek korekt</w:t>
            </w:r>
            <w:r w:rsidR="00E26EF6" w:rsidRPr="00E26EF6">
              <w:t xml:space="preserve"> z tyt</w:t>
            </w:r>
            <w:r w:rsidRPr="00E26EF6">
              <w:t>ułu zmienności to (Cva-C) = C*[(1-Hc-Hfx)-1],</w:t>
            </w:r>
            <w:r w:rsidR="00E26EF6" w:rsidRPr="00E26EF6">
              <w:t xml:space="preserve"> a sku</w:t>
            </w:r>
            <w:r w:rsidRPr="00E26EF6">
              <w:t>tek korekt terminu zapadalności to (Cvam-Cva) = C*(1-Hc-Hfx)*[(t-t*)/(T-t*)-1].</w:t>
            </w:r>
          </w:p>
        </w:tc>
      </w:tr>
      <w:tr w:rsidR="00915077" w:rsidRPr="00E26EF6" w14:paraId="5AC27CBC" w14:textId="77777777" w:rsidTr="00672D2A">
        <w:tc>
          <w:tcPr>
            <w:tcW w:w="1188" w:type="dxa"/>
          </w:tcPr>
          <w:p w14:paraId="1B98879E" w14:textId="77777777" w:rsidR="00915077" w:rsidRPr="00E26EF6" w:rsidRDefault="00464F34">
            <w:pPr>
              <w:pStyle w:val="InstructionsText"/>
              <w:rPr>
                <w:highlight w:val="lightGray"/>
              </w:rPr>
            </w:pPr>
            <w:r w:rsidRPr="00E26EF6">
              <w:t>150</w:t>
            </w:r>
          </w:p>
        </w:tc>
        <w:tc>
          <w:tcPr>
            <w:tcW w:w="8640" w:type="dxa"/>
          </w:tcPr>
          <w:p w14:paraId="45978C18" w14:textId="77777777" w:rsidR="00915077" w:rsidRPr="00E26EF6" w:rsidRDefault="00464F34">
            <w:pPr>
              <w:pStyle w:val="InstructionsText"/>
            </w:pPr>
            <w:r w:rsidRPr="00E26EF6">
              <w:rPr>
                <w:rStyle w:val="InstructionsTabelleberschrift"/>
                <w:rFonts w:ascii="Times New Roman" w:hAnsi="Times New Roman"/>
                <w:sz w:val="24"/>
              </w:rPr>
              <w:t>W pełni skorygowana wartość ekspozycji (E*)</w:t>
            </w:r>
          </w:p>
          <w:p w14:paraId="61E64A6F" w14:textId="6FDD6233" w:rsidR="00915077" w:rsidRPr="00E26EF6" w:rsidRDefault="00464F34">
            <w:pPr>
              <w:pStyle w:val="InstructionsText"/>
              <w:rPr>
                <w:b/>
                <w:highlight w:val="lightGray"/>
                <w:u w:val="single"/>
              </w:rPr>
            </w:pPr>
            <w:r w:rsidRPr="00E26EF6">
              <w:t>Art. 220 ust.</w:t>
            </w:r>
            <w:r w:rsidR="00023409" w:rsidRPr="00E26EF6">
              <w:t> </w:t>
            </w:r>
            <w:r w:rsidRPr="00E26EF6">
              <w:t>4, art.</w:t>
            </w:r>
            <w:r w:rsidR="00023409" w:rsidRPr="00E26EF6">
              <w:t> </w:t>
            </w:r>
            <w:r w:rsidRPr="00E26EF6">
              <w:t>223 ust.</w:t>
            </w:r>
            <w:r w:rsidR="00023409" w:rsidRPr="00E26EF6">
              <w:t> </w:t>
            </w:r>
            <w:r w:rsidRPr="00E26EF6">
              <w:t>2–5</w:t>
            </w:r>
            <w:r w:rsidR="00E26EF6" w:rsidRPr="00E26EF6">
              <w:t xml:space="preserve"> i art</w:t>
            </w:r>
            <w:r w:rsidRPr="00E26EF6">
              <w:t>.</w:t>
            </w:r>
            <w:r w:rsidR="00023409" w:rsidRPr="00E26EF6">
              <w:t> </w:t>
            </w:r>
            <w:r w:rsidRPr="00E26EF6">
              <w:t>228 ust.</w:t>
            </w:r>
            <w:r w:rsidR="00023409" w:rsidRPr="00E26EF6">
              <w:t> </w:t>
            </w:r>
            <w:r w:rsidRPr="00E26EF6">
              <w:t>1 CRR.</w:t>
            </w:r>
          </w:p>
        </w:tc>
      </w:tr>
      <w:tr w:rsidR="00915077" w:rsidRPr="00E26EF6" w14:paraId="1C43E57B" w14:textId="77777777" w:rsidTr="00672D2A">
        <w:tc>
          <w:tcPr>
            <w:tcW w:w="1188" w:type="dxa"/>
          </w:tcPr>
          <w:p w14:paraId="72380E29" w14:textId="77777777" w:rsidR="00915077" w:rsidRPr="00E26EF6" w:rsidRDefault="00464F34">
            <w:pPr>
              <w:pStyle w:val="InstructionsText"/>
              <w:rPr>
                <w:highlight w:val="lightGray"/>
              </w:rPr>
            </w:pPr>
            <w:r w:rsidRPr="00E26EF6">
              <w:t>160–190</w:t>
            </w:r>
          </w:p>
        </w:tc>
        <w:tc>
          <w:tcPr>
            <w:tcW w:w="8640" w:type="dxa"/>
          </w:tcPr>
          <w:p w14:paraId="6B84413D" w14:textId="2F612DAC"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Podział</w:t>
            </w:r>
            <w:r w:rsidR="00E26EF6" w:rsidRPr="00E26EF6">
              <w:rPr>
                <w:rStyle w:val="InstructionsTabelleberschrift"/>
                <w:rFonts w:ascii="Times New Roman" w:hAnsi="Times New Roman"/>
                <w:sz w:val="24"/>
              </w:rPr>
              <w:t xml:space="preserve"> w peł</w:t>
            </w:r>
            <w:r w:rsidRPr="00E26EF6">
              <w:rPr>
                <w:rStyle w:val="InstructionsTabelleberschrift"/>
                <w:rFonts w:ascii="Times New Roman" w:hAnsi="Times New Roman"/>
                <w:sz w:val="24"/>
              </w:rPr>
              <w:t>ni skorygowanej wartości ekspozycji</w:t>
            </w:r>
            <w:r w:rsidR="00E26EF6" w:rsidRPr="00E26EF6">
              <w:rPr>
                <w:rStyle w:val="InstructionsTabelleberschrift"/>
                <w:rFonts w:ascii="Times New Roman" w:hAnsi="Times New Roman"/>
                <w:sz w:val="24"/>
              </w:rPr>
              <w:t xml:space="preserve"> w poz</w:t>
            </w:r>
            <w:r w:rsidRPr="00E26EF6">
              <w:rPr>
                <w:rStyle w:val="InstructionsTabelleberschrift"/>
                <w:rFonts w:ascii="Times New Roman" w:hAnsi="Times New Roman"/>
                <w:sz w:val="24"/>
              </w:rPr>
              <w:t>ycjach pozabilansowych według współczynników konwersji</w:t>
            </w:r>
          </w:p>
          <w:p w14:paraId="4BC7B539" w14:textId="4491FDFC" w:rsidR="00915077" w:rsidRPr="00E26EF6" w:rsidRDefault="00464F34">
            <w:pPr>
              <w:pStyle w:val="InstructionsText"/>
            </w:pPr>
            <w:r w:rsidRPr="00E26EF6">
              <w:lastRenderedPageBreak/>
              <w:t>Art. 111 ust.</w:t>
            </w:r>
            <w:r w:rsidR="00023409" w:rsidRPr="00E26EF6">
              <w:t> </w:t>
            </w:r>
            <w:r w:rsidRPr="00E26EF6">
              <w:t>1 oraz art.</w:t>
            </w:r>
            <w:r w:rsidR="00023409" w:rsidRPr="00E26EF6">
              <w:t> </w:t>
            </w:r>
            <w:r w:rsidRPr="00E26EF6">
              <w:t>4 ust.</w:t>
            </w:r>
            <w:r w:rsidR="00023409" w:rsidRPr="00E26EF6">
              <w:t> </w:t>
            </w:r>
            <w:r w:rsidRPr="00E26EF6">
              <w:t>1 pkt</w:t>
            </w:r>
            <w:r w:rsidR="00023409" w:rsidRPr="00E26EF6">
              <w:t> </w:t>
            </w:r>
            <w:r w:rsidRPr="00E26EF6">
              <w:t>56 CRR Zob. także art.</w:t>
            </w:r>
            <w:r w:rsidR="00023409" w:rsidRPr="00E26EF6">
              <w:t> </w:t>
            </w:r>
            <w:r w:rsidRPr="00E26EF6">
              <w:t>222 ust.</w:t>
            </w:r>
            <w:r w:rsidR="00023409" w:rsidRPr="00E26EF6">
              <w:t> </w:t>
            </w:r>
            <w:r w:rsidRPr="00E26EF6">
              <w:t>3</w:t>
            </w:r>
            <w:r w:rsidR="00E26EF6" w:rsidRPr="00E26EF6">
              <w:t xml:space="preserve"> i art</w:t>
            </w:r>
            <w:r w:rsidRPr="00E26EF6">
              <w:t>.</w:t>
            </w:r>
            <w:r w:rsidR="00023409" w:rsidRPr="00E26EF6">
              <w:t> </w:t>
            </w:r>
            <w:r w:rsidRPr="00E26EF6">
              <w:t>228 ust.</w:t>
            </w:r>
            <w:r w:rsidR="00023409" w:rsidRPr="00E26EF6">
              <w:t> </w:t>
            </w:r>
            <w:r w:rsidRPr="00E26EF6">
              <w:t>1 CRR.</w:t>
            </w:r>
          </w:p>
          <w:p w14:paraId="4780337C" w14:textId="3EB972BF" w:rsidR="00915077" w:rsidRPr="00E26EF6" w:rsidRDefault="000A4C10">
            <w:pPr>
              <w:pStyle w:val="InstructionsText"/>
              <w:rPr>
                <w:b/>
                <w:highlight w:val="lightGray"/>
                <w:u w:val="single"/>
              </w:rPr>
            </w:pPr>
            <w:r w:rsidRPr="00E26EF6">
              <w:t>Zgłaszać należy</w:t>
            </w:r>
            <w:r w:rsidR="00E26EF6" w:rsidRPr="00E26EF6">
              <w:t xml:space="preserve"> w peł</w:t>
            </w:r>
            <w:r w:rsidRPr="00E26EF6">
              <w:t>ni skorygowane wartości ekspozycji przed zastosowaniem współczynnika konwersji.</w:t>
            </w:r>
          </w:p>
        </w:tc>
      </w:tr>
      <w:tr w:rsidR="00915077" w:rsidRPr="00E26EF6" w14:paraId="2134E394" w14:textId="77777777" w:rsidTr="00672D2A">
        <w:tc>
          <w:tcPr>
            <w:tcW w:w="1188" w:type="dxa"/>
          </w:tcPr>
          <w:p w14:paraId="73C75375" w14:textId="77777777" w:rsidR="00915077" w:rsidRPr="00E26EF6" w:rsidRDefault="00464F34">
            <w:pPr>
              <w:pStyle w:val="InstructionsText"/>
              <w:rPr>
                <w:highlight w:val="lightGray"/>
              </w:rPr>
            </w:pPr>
            <w:r w:rsidRPr="00E26EF6">
              <w:lastRenderedPageBreak/>
              <w:t>200</w:t>
            </w:r>
          </w:p>
        </w:tc>
        <w:tc>
          <w:tcPr>
            <w:tcW w:w="8640" w:type="dxa"/>
          </w:tcPr>
          <w:p w14:paraId="40D99D0D" w14:textId="77777777" w:rsidR="00915077" w:rsidRPr="00E26EF6" w:rsidRDefault="00464F34">
            <w:pPr>
              <w:pStyle w:val="InstructionsText"/>
            </w:pPr>
            <w:r w:rsidRPr="00E26EF6">
              <w:rPr>
                <w:rStyle w:val="InstructionsTabelleberschrift"/>
                <w:rFonts w:ascii="Times New Roman" w:hAnsi="Times New Roman"/>
                <w:sz w:val="24"/>
              </w:rPr>
              <w:t>Wartość ekspozycji</w:t>
            </w:r>
          </w:p>
          <w:p w14:paraId="776AC4C6" w14:textId="31C0FD65" w:rsidR="00915077" w:rsidRPr="00E26EF6" w:rsidRDefault="00531FC9">
            <w:pPr>
              <w:pStyle w:val="InstructionsText"/>
            </w:pPr>
            <w:r w:rsidRPr="00E26EF6">
              <w:t>Art. 111 CRR</w:t>
            </w:r>
            <w:r w:rsidR="00E26EF6" w:rsidRPr="00E26EF6">
              <w:t xml:space="preserve"> i czę</w:t>
            </w:r>
            <w:r w:rsidRPr="00E26EF6">
              <w:t>ść trzecia tytuł II rozdział 4 sekcja 4 CRR.</w:t>
            </w:r>
          </w:p>
          <w:p w14:paraId="560BE3F4" w14:textId="7AC2C249" w:rsidR="00915077" w:rsidRPr="00E26EF6" w:rsidRDefault="00464F34">
            <w:pPr>
              <w:pStyle w:val="InstructionsText"/>
              <w:rPr>
                <w:highlight w:val="lightGray"/>
              </w:rPr>
            </w:pPr>
            <w:r w:rsidRPr="00E26EF6">
              <w:t>Wartość ekspozycji po uwzględnieniu korekty wartości, wszystkich środków ograniczania ryzyka kredytowego</w:t>
            </w:r>
            <w:r w:rsidR="00E26EF6" w:rsidRPr="00E26EF6">
              <w:t xml:space="preserve"> i wsp</w:t>
            </w:r>
            <w:r w:rsidRPr="00E26EF6">
              <w:t>ółczynników konwersji kredytowej, którą to wartość należy przypisać wagom ryzyka zgodnie</w:t>
            </w:r>
            <w:r w:rsidR="00E26EF6" w:rsidRPr="00E26EF6">
              <w:t xml:space="preserve"> z art</w:t>
            </w:r>
            <w:r w:rsidRPr="00E26EF6">
              <w:t>.</w:t>
            </w:r>
            <w:r w:rsidR="00023409" w:rsidRPr="00E26EF6">
              <w:t> </w:t>
            </w:r>
            <w:r w:rsidRPr="00E26EF6">
              <w:t>113 oraz częścią trzecią tytuł II rozdział 2 sekcja 2 CRR.</w:t>
            </w:r>
          </w:p>
        </w:tc>
      </w:tr>
      <w:tr w:rsidR="00915077" w:rsidRPr="00E26EF6" w14:paraId="31B06F73" w14:textId="77777777" w:rsidTr="00672D2A">
        <w:tc>
          <w:tcPr>
            <w:tcW w:w="1188" w:type="dxa"/>
          </w:tcPr>
          <w:p w14:paraId="050B79BD" w14:textId="77777777" w:rsidR="00915077" w:rsidRPr="00E26EF6" w:rsidRDefault="00464F34">
            <w:pPr>
              <w:pStyle w:val="InstructionsText"/>
              <w:rPr>
                <w:highlight w:val="lightGray"/>
              </w:rPr>
            </w:pPr>
            <w:r w:rsidRPr="00E26EF6">
              <w:t>210</w:t>
            </w:r>
          </w:p>
        </w:tc>
        <w:tc>
          <w:tcPr>
            <w:tcW w:w="8640" w:type="dxa"/>
          </w:tcPr>
          <w:p w14:paraId="2449FA63" w14:textId="3FC64760"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wynikająca</w:t>
            </w:r>
            <w:r w:rsidR="00E26EF6" w:rsidRPr="00E26EF6">
              <w:rPr>
                <w:rStyle w:val="InstructionsTabelleberschrift"/>
                <w:rFonts w:ascii="Times New Roman" w:hAnsi="Times New Roman"/>
                <w:sz w:val="24"/>
              </w:rPr>
              <w:t xml:space="preserve"> z ryz</w:t>
            </w:r>
            <w:r w:rsidRPr="00E26EF6">
              <w:rPr>
                <w:rStyle w:val="InstructionsTabelleberschrift"/>
                <w:rFonts w:ascii="Times New Roman" w:hAnsi="Times New Roman"/>
                <w:sz w:val="24"/>
              </w:rPr>
              <w:t>yka kredytowego kontrahenta</w:t>
            </w:r>
          </w:p>
          <w:p w14:paraId="451780AE" w14:textId="6FD6198A" w:rsidR="00915077" w:rsidRPr="00E26EF6" w:rsidRDefault="00464F34">
            <w:pPr>
              <w:pStyle w:val="InstructionsText"/>
              <w:rPr>
                <w:b/>
                <w:highlight w:val="lightGray"/>
                <w:u w:val="single"/>
              </w:rPr>
            </w:pPr>
            <w:r w:rsidRPr="00E26EF6">
              <w:t>W przypadku instrumentów pochodnych, transakcji</w:t>
            </w:r>
            <w:r w:rsidR="00E26EF6" w:rsidRPr="00E26EF6">
              <w:t xml:space="preserve"> z udz</w:t>
            </w:r>
            <w:r w:rsidRPr="00E26EF6">
              <w:t>ielonym przyrzeczeniem odkupu, transakcji udzielania</w:t>
            </w:r>
            <w:r w:rsidR="00E26EF6" w:rsidRPr="00E26EF6">
              <w:t xml:space="preserve"> i zac</w:t>
            </w:r>
            <w:r w:rsidRPr="00E26EF6">
              <w:t>iągania pożyczek papierów wartościowych lub towarów, transakcji</w:t>
            </w:r>
            <w:r w:rsidR="00E26EF6" w:rsidRPr="00E26EF6">
              <w:t xml:space="preserve"> z dłu</w:t>
            </w:r>
            <w:r w:rsidRPr="00E26EF6">
              <w:t>gim terminem rozliczenia oraz transakcji</w:t>
            </w:r>
            <w:r w:rsidR="00E26EF6" w:rsidRPr="00E26EF6">
              <w:t xml:space="preserve"> z obo</w:t>
            </w:r>
            <w:r w:rsidRPr="00E26EF6">
              <w:t>wiązkiem uzupełnienia zabezpieczenia kredytowego</w:t>
            </w:r>
            <w:r w:rsidR="00E26EF6" w:rsidRPr="00E26EF6">
              <w:t xml:space="preserve"> z zas</w:t>
            </w:r>
            <w:r w:rsidRPr="00E26EF6">
              <w:t>trzeżeniem części trzeciej tytuł II rozdział 6 CRR pierwotna ekspozycja odpowiada wartości ekspozycji na ryzyko kredytowe kontrahenta obliczonej zgodnie</w:t>
            </w:r>
            <w:r w:rsidR="00E26EF6" w:rsidRPr="00E26EF6">
              <w:t xml:space="preserve"> z met</w:t>
            </w:r>
            <w:r w:rsidRPr="00E26EF6">
              <w:t>odami określonymi</w:t>
            </w:r>
            <w:r w:rsidR="00E26EF6" w:rsidRPr="00E26EF6">
              <w:t xml:space="preserve"> w czę</w:t>
            </w:r>
            <w:r w:rsidRPr="00E26EF6">
              <w:t>ści trzeciej tytuł II rozdział 6 sekcje 2–5 CRR.</w:t>
            </w:r>
          </w:p>
        </w:tc>
      </w:tr>
      <w:tr w:rsidR="00915077" w:rsidRPr="00E26EF6" w14:paraId="61787D1E" w14:textId="77777777" w:rsidTr="00672D2A">
        <w:tc>
          <w:tcPr>
            <w:tcW w:w="1188" w:type="dxa"/>
          </w:tcPr>
          <w:p w14:paraId="58B05941" w14:textId="77777777" w:rsidR="00915077" w:rsidRPr="00E26EF6" w:rsidRDefault="00464F34">
            <w:pPr>
              <w:pStyle w:val="InstructionsText"/>
              <w:rPr>
                <w:highlight w:val="lightGray"/>
              </w:rPr>
            </w:pPr>
            <w:r w:rsidRPr="00E26EF6">
              <w:t>215</w:t>
            </w:r>
          </w:p>
        </w:tc>
        <w:tc>
          <w:tcPr>
            <w:tcW w:w="8640" w:type="dxa"/>
          </w:tcPr>
          <w:p w14:paraId="005D0196"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Kwota ekspozycji ważonej ryzykiem przed uwzględnieniem współczynnika wsparcia MŚP</w:t>
            </w:r>
          </w:p>
          <w:p w14:paraId="0B128B59" w14:textId="1C9270F9" w:rsidR="00915077" w:rsidRPr="00E26EF6" w:rsidRDefault="00167619">
            <w:pPr>
              <w:pStyle w:val="InstructionsText"/>
              <w:rPr>
                <w:b/>
                <w:highlight w:val="lightGray"/>
                <w:u w:val="single"/>
              </w:rPr>
            </w:pPr>
            <w:r w:rsidRPr="00E26EF6">
              <w:t>Art. 113 ust.</w:t>
            </w:r>
            <w:r w:rsidR="00023409" w:rsidRPr="00E26EF6">
              <w:t> </w:t>
            </w:r>
            <w:r w:rsidRPr="00E26EF6">
              <w:t>1–5 CRR bez uwzględniania współczynnika wsparcia MŚP zgodnie</w:t>
            </w:r>
            <w:r w:rsidR="00E26EF6" w:rsidRPr="00E26EF6">
              <w:t xml:space="preserve"> z art</w:t>
            </w:r>
            <w:r w:rsidRPr="00E26EF6">
              <w:t>.</w:t>
            </w:r>
            <w:r w:rsidR="00023409" w:rsidRPr="00E26EF6">
              <w:t> </w:t>
            </w:r>
            <w:r w:rsidRPr="00E26EF6">
              <w:t>501 CRR.</w:t>
            </w:r>
          </w:p>
        </w:tc>
      </w:tr>
      <w:tr w:rsidR="00915077" w:rsidRPr="00E26EF6" w14:paraId="119C4055" w14:textId="77777777" w:rsidTr="00672D2A">
        <w:tc>
          <w:tcPr>
            <w:tcW w:w="1188" w:type="dxa"/>
          </w:tcPr>
          <w:p w14:paraId="6664E16C" w14:textId="77777777" w:rsidR="00915077" w:rsidRPr="00E26EF6" w:rsidRDefault="00464F34">
            <w:pPr>
              <w:pStyle w:val="InstructionsText"/>
              <w:rPr>
                <w:highlight w:val="lightGray"/>
              </w:rPr>
            </w:pPr>
            <w:r w:rsidRPr="00E26EF6">
              <w:t>220</w:t>
            </w:r>
          </w:p>
        </w:tc>
        <w:tc>
          <w:tcPr>
            <w:tcW w:w="8640" w:type="dxa"/>
          </w:tcPr>
          <w:p w14:paraId="4728CE9D"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Kwota ekspozycji ważonej ryzykiem po uwzględnieniu współczynnika wsparcia MŚP</w:t>
            </w:r>
          </w:p>
          <w:p w14:paraId="038B49D6" w14:textId="0ADCCDD1" w:rsidR="00915077" w:rsidRPr="00E26EF6" w:rsidRDefault="00167619">
            <w:pPr>
              <w:pStyle w:val="InstructionsText"/>
              <w:rPr>
                <w:b/>
                <w:highlight w:val="lightGray"/>
                <w:u w:val="single"/>
              </w:rPr>
            </w:pPr>
            <w:r w:rsidRPr="00E26EF6">
              <w:t>Art. 113 ust.</w:t>
            </w:r>
            <w:r w:rsidR="00023409" w:rsidRPr="00E26EF6">
              <w:t> </w:t>
            </w:r>
            <w:r w:rsidRPr="00E26EF6">
              <w:t>1–5 CRR</w:t>
            </w:r>
            <w:r w:rsidR="00E26EF6" w:rsidRPr="00E26EF6">
              <w:t xml:space="preserve"> z uwz</w:t>
            </w:r>
            <w:r w:rsidRPr="00E26EF6">
              <w:t>ględnieniem współczynnika wsparcia MŚP zgodnie</w:t>
            </w:r>
            <w:r w:rsidR="00E26EF6" w:rsidRPr="00E26EF6">
              <w:t xml:space="preserve"> z art</w:t>
            </w:r>
            <w:r w:rsidRPr="00E26EF6">
              <w:t>.</w:t>
            </w:r>
            <w:r w:rsidR="00023409" w:rsidRPr="00E26EF6">
              <w:t> </w:t>
            </w:r>
            <w:r w:rsidRPr="00E26EF6">
              <w:t>501 CRR.</w:t>
            </w:r>
          </w:p>
        </w:tc>
      </w:tr>
      <w:tr w:rsidR="00915077" w:rsidRPr="00E26EF6" w14:paraId="1ADA61B6" w14:textId="77777777" w:rsidTr="00672D2A">
        <w:tc>
          <w:tcPr>
            <w:tcW w:w="1188" w:type="dxa"/>
            <w:shd w:val="clear" w:color="auto" w:fill="auto"/>
          </w:tcPr>
          <w:p w14:paraId="325CA916" w14:textId="77777777" w:rsidR="00915077" w:rsidRPr="00E26EF6" w:rsidRDefault="00464F34">
            <w:pPr>
              <w:pStyle w:val="InstructionsText"/>
              <w:rPr>
                <w:highlight w:val="lightGray"/>
              </w:rPr>
            </w:pPr>
            <w:r w:rsidRPr="00E26EF6">
              <w:t>230</w:t>
            </w:r>
          </w:p>
        </w:tc>
        <w:tc>
          <w:tcPr>
            <w:tcW w:w="8640" w:type="dxa"/>
            <w:shd w:val="clear" w:color="auto" w:fill="auto"/>
          </w:tcPr>
          <w:p w14:paraId="27CF9147" w14:textId="4688E63F"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w:t>
            </w:r>
            <w:r w:rsidR="00E26EF6" w:rsidRPr="00E26EF6">
              <w:rPr>
                <w:rStyle w:val="InstructionsTabelleberschrift"/>
                <w:rFonts w:ascii="Times New Roman" w:hAnsi="Times New Roman"/>
                <w:sz w:val="24"/>
              </w:rPr>
              <w:t xml:space="preserve"> z uwz</w:t>
            </w:r>
            <w:r w:rsidRPr="00E26EF6">
              <w:rPr>
                <w:rStyle w:val="InstructionsTabelleberschrift"/>
                <w:rFonts w:ascii="Times New Roman" w:hAnsi="Times New Roman"/>
                <w:sz w:val="24"/>
              </w:rPr>
              <w:t>ględnieniem oceny kredytowej sporządzonej przez wyznaczoną ECAI</w:t>
            </w:r>
          </w:p>
          <w:p w14:paraId="610513ED" w14:textId="222603EE" w:rsidR="00915077" w:rsidRPr="00E26EF6" w:rsidRDefault="00D21B29">
            <w:pPr>
              <w:pStyle w:val="InstructionsText"/>
              <w:rPr>
                <w:highlight w:val="lightGray"/>
              </w:rPr>
            </w:pPr>
            <w:r w:rsidRPr="00E26EF6">
              <w:t>Art. 112 lit.</w:t>
            </w:r>
            <w:r w:rsidR="00023409" w:rsidRPr="00E26EF6">
              <w:t> </w:t>
            </w:r>
            <w:r w:rsidRPr="00E26EF6">
              <w:t>a</w:t>
            </w:r>
            <w:proofErr w:type="gramStart"/>
            <w:r w:rsidRPr="00E26EF6">
              <w:t>)–d</w:t>
            </w:r>
            <w:proofErr w:type="gramEnd"/>
            <w:r w:rsidRPr="00E26EF6">
              <w:t>), f), g), l), n) o) i q) CRR.</w:t>
            </w:r>
          </w:p>
        </w:tc>
      </w:tr>
      <w:tr w:rsidR="00915077" w:rsidRPr="00E26EF6" w14:paraId="65863454" w14:textId="77777777" w:rsidTr="00672D2A">
        <w:tc>
          <w:tcPr>
            <w:tcW w:w="1188" w:type="dxa"/>
            <w:shd w:val="clear" w:color="auto" w:fill="auto"/>
          </w:tcPr>
          <w:p w14:paraId="46E34B33" w14:textId="77777777" w:rsidR="00915077" w:rsidRPr="00E26EF6" w:rsidRDefault="00464F34">
            <w:pPr>
              <w:pStyle w:val="InstructionsText"/>
              <w:rPr>
                <w:highlight w:val="lightGray"/>
              </w:rPr>
            </w:pPr>
            <w:r w:rsidRPr="00E26EF6">
              <w:t>240</w:t>
            </w:r>
          </w:p>
        </w:tc>
        <w:tc>
          <w:tcPr>
            <w:tcW w:w="8640" w:type="dxa"/>
            <w:shd w:val="clear" w:color="auto" w:fill="auto"/>
          </w:tcPr>
          <w:p w14:paraId="18C8B354" w14:textId="69B1E26F"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w:t>
            </w:r>
            <w:r w:rsidR="00E26EF6" w:rsidRPr="00E26EF6">
              <w:rPr>
                <w:rStyle w:val="InstructionsTabelleberschrift"/>
                <w:rFonts w:ascii="Times New Roman" w:hAnsi="Times New Roman"/>
                <w:sz w:val="24"/>
              </w:rPr>
              <w:t xml:space="preserve"> z uwz</w:t>
            </w:r>
            <w:r w:rsidRPr="00E26EF6">
              <w:rPr>
                <w:rStyle w:val="InstructionsTabelleberschrift"/>
                <w:rFonts w:ascii="Times New Roman" w:hAnsi="Times New Roman"/>
                <w:sz w:val="24"/>
              </w:rPr>
              <w:t>ględnieniem oceny kredytowej uzyskanej od rządu centralnego</w:t>
            </w:r>
          </w:p>
          <w:p w14:paraId="66946226" w14:textId="4BE41035" w:rsidR="00915077" w:rsidRPr="00E26EF6" w:rsidRDefault="00D21B29">
            <w:pPr>
              <w:pStyle w:val="InstructionsText"/>
            </w:pPr>
            <w:r w:rsidRPr="00E26EF6">
              <w:t>Art. 112 lit.</w:t>
            </w:r>
            <w:r w:rsidR="00023409" w:rsidRPr="00E26EF6">
              <w:t> </w:t>
            </w:r>
            <w:r w:rsidRPr="00E26EF6">
              <w:t>b</w:t>
            </w:r>
            <w:proofErr w:type="gramStart"/>
            <w:r w:rsidRPr="00E26EF6">
              <w:t>)–d</w:t>
            </w:r>
            <w:proofErr w:type="gramEnd"/>
            <w:r w:rsidRPr="00E26EF6">
              <w:t>), f), g), l), i o) CRR.</w:t>
            </w:r>
          </w:p>
        </w:tc>
      </w:tr>
    </w:tbl>
    <w:p w14:paraId="68926343" w14:textId="77777777" w:rsidR="00915077" w:rsidRPr="00E26EF6" w:rsidRDefault="00915077">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915077" w:rsidRPr="00E26EF6" w14:paraId="0E4351BB" w14:textId="77777777" w:rsidTr="00672D2A">
        <w:tc>
          <w:tcPr>
            <w:tcW w:w="1188" w:type="dxa"/>
            <w:shd w:val="clear" w:color="auto" w:fill="CCCCCC"/>
          </w:tcPr>
          <w:p w14:paraId="52F6FEFE" w14:textId="77777777" w:rsidR="00915077" w:rsidRPr="00E26EF6" w:rsidRDefault="007106FB">
            <w:pPr>
              <w:pStyle w:val="InstructionsText"/>
            </w:pPr>
            <w:r w:rsidRPr="00E26EF6">
              <w:t>Wiersze</w:t>
            </w:r>
          </w:p>
        </w:tc>
        <w:tc>
          <w:tcPr>
            <w:tcW w:w="8701" w:type="dxa"/>
            <w:shd w:val="clear" w:color="auto" w:fill="CCCCCC"/>
          </w:tcPr>
          <w:p w14:paraId="68A14790" w14:textId="77777777" w:rsidR="00915077" w:rsidRPr="00E26EF6" w:rsidRDefault="00464F34">
            <w:pPr>
              <w:pStyle w:val="InstructionsText"/>
              <w:rPr>
                <w:highlight w:val="lightGray"/>
              </w:rPr>
            </w:pPr>
            <w:r w:rsidRPr="00E26EF6">
              <w:t>Instrukcje</w:t>
            </w:r>
          </w:p>
        </w:tc>
      </w:tr>
      <w:tr w:rsidR="00915077" w:rsidRPr="00E26EF6" w14:paraId="4B0F93DE" w14:textId="77777777" w:rsidTr="00672D2A">
        <w:tc>
          <w:tcPr>
            <w:tcW w:w="1188" w:type="dxa"/>
          </w:tcPr>
          <w:p w14:paraId="47A3346C" w14:textId="77777777" w:rsidR="00915077" w:rsidRPr="00E26EF6" w:rsidRDefault="00464F34">
            <w:pPr>
              <w:pStyle w:val="InstructionsText"/>
              <w:rPr>
                <w:highlight w:val="lightGray"/>
              </w:rPr>
            </w:pPr>
            <w:r w:rsidRPr="00E26EF6">
              <w:t>010</w:t>
            </w:r>
          </w:p>
        </w:tc>
        <w:tc>
          <w:tcPr>
            <w:tcW w:w="8701" w:type="dxa"/>
          </w:tcPr>
          <w:p w14:paraId="5B1EE3A2" w14:textId="77777777" w:rsidR="00915077" w:rsidRPr="00E26EF6" w:rsidRDefault="00464F34">
            <w:pPr>
              <w:pStyle w:val="InstructionsText"/>
              <w:rPr>
                <w:highlight w:val="lightGray"/>
              </w:rPr>
            </w:pPr>
            <w:r w:rsidRPr="00E26EF6">
              <w:rPr>
                <w:rStyle w:val="InstructionsTabelleberschrift"/>
                <w:rFonts w:ascii="Times New Roman" w:hAnsi="Times New Roman"/>
                <w:sz w:val="24"/>
              </w:rPr>
              <w:t>Ekspozycje całkowite</w:t>
            </w:r>
          </w:p>
        </w:tc>
      </w:tr>
      <w:tr w:rsidR="00915077" w:rsidRPr="00E26EF6" w14:paraId="6FB1CA8B" w14:textId="77777777" w:rsidTr="00672D2A">
        <w:tc>
          <w:tcPr>
            <w:tcW w:w="1188" w:type="dxa"/>
          </w:tcPr>
          <w:p w14:paraId="2FA89992" w14:textId="77777777" w:rsidR="00915077" w:rsidRPr="00E26EF6" w:rsidRDefault="00610B56">
            <w:pPr>
              <w:pStyle w:val="InstructionsText"/>
              <w:rPr>
                <w:highlight w:val="lightGray"/>
              </w:rPr>
            </w:pPr>
            <w:r w:rsidRPr="00E26EF6">
              <w:t>015</w:t>
            </w:r>
          </w:p>
        </w:tc>
        <w:tc>
          <w:tcPr>
            <w:tcW w:w="8701" w:type="dxa"/>
          </w:tcPr>
          <w:p w14:paraId="72183B6C" w14:textId="29B77192" w:rsidR="00915077" w:rsidRPr="00E26EF6" w:rsidRDefault="00F5132F">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ekspozycje, których dotyczy niewykonanie zobowiązania,</w:t>
            </w:r>
            <w:r w:rsidR="00E26EF6" w:rsidRPr="00E26EF6">
              <w:rPr>
                <w:rStyle w:val="InstructionsTabelleberschrift"/>
                <w:rFonts w:ascii="Times New Roman" w:hAnsi="Times New Roman"/>
                <w:sz w:val="24"/>
              </w:rPr>
              <w:t xml:space="preserve"> w kat</w:t>
            </w:r>
            <w:r w:rsidRPr="00E26EF6">
              <w:rPr>
                <w:rStyle w:val="InstructionsTabelleberschrift"/>
                <w:rFonts w:ascii="Times New Roman" w:hAnsi="Times New Roman"/>
                <w:sz w:val="24"/>
              </w:rPr>
              <w:t>egoriach ekspozycji „Pozycje związane ze szczególnie wysokim ryzykiem” i „Ekspozycje kapitałowe”.</w:t>
            </w:r>
          </w:p>
          <w:p w14:paraId="26AC7FB8" w14:textId="77777777" w:rsidR="00915077" w:rsidRPr="00E26EF6" w:rsidRDefault="00610B56">
            <w:pPr>
              <w:pStyle w:val="InstructionsText"/>
            </w:pPr>
            <w:r w:rsidRPr="00E26EF6">
              <w:t>Art. 127 CRR</w:t>
            </w:r>
          </w:p>
          <w:p w14:paraId="42AC7575" w14:textId="77777777" w:rsidR="00915077" w:rsidRPr="00E26EF6" w:rsidRDefault="00610B56">
            <w:pPr>
              <w:pStyle w:val="InstructionsText"/>
            </w:pPr>
            <w:r w:rsidRPr="00E26EF6">
              <w:t>Zawartość tego wiersza należy zgłaszać wyłącznie dla kategorii ekspozycji „Pozycje związane ze szczególnie wysokim ryzykiem” i „Ekspozycje kapitałowe”.</w:t>
            </w:r>
          </w:p>
          <w:p w14:paraId="6D22EB82" w14:textId="1F9A3D0B" w:rsidR="00915077" w:rsidRPr="00E26EF6" w:rsidRDefault="00167619">
            <w:pPr>
              <w:pStyle w:val="InstructionsText"/>
              <w:rPr>
                <w:highlight w:val="lightGray"/>
              </w:rPr>
            </w:pPr>
            <w:r w:rsidRPr="00E26EF6">
              <w:t>Ekspozycję, która jest wymieniona</w:t>
            </w:r>
            <w:r w:rsidR="00E26EF6" w:rsidRPr="00E26EF6">
              <w:t xml:space="preserve"> w art</w:t>
            </w:r>
            <w:r w:rsidRPr="00E26EF6">
              <w:t>.</w:t>
            </w:r>
            <w:r w:rsidR="00023409" w:rsidRPr="00E26EF6">
              <w:t> </w:t>
            </w:r>
            <w:r w:rsidRPr="00E26EF6">
              <w:t>128 ust.</w:t>
            </w:r>
            <w:r w:rsidR="00023409" w:rsidRPr="00E26EF6">
              <w:t> </w:t>
            </w:r>
            <w:r w:rsidRPr="00E26EF6">
              <w:t>2 CRR albo która spełnia kryteria określone</w:t>
            </w:r>
            <w:r w:rsidR="00E26EF6" w:rsidRPr="00E26EF6">
              <w:t xml:space="preserve"> w art</w:t>
            </w:r>
            <w:r w:rsidRPr="00E26EF6">
              <w:t>.</w:t>
            </w:r>
            <w:r w:rsidR="00023409" w:rsidRPr="00E26EF6">
              <w:t> </w:t>
            </w:r>
            <w:r w:rsidRPr="00E26EF6">
              <w:t>128 ust.</w:t>
            </w:r>
            <w:r w:rsidR="00023409" w:rsidRPr="00E26EF6">
              <w:t> </w:t>
            </w:r>
            <w:r w:rsidRPr="00E26EF6">
              <w:t>3 lub art.</w:t>
            </w:r>
            <w:r w:rsidR="00023409" w:rsidRPr="00E26EF6">
              <w:t> </w:t>
            </w:r>
            <w:r w:rsidRPr="00E26EF6">
              <w:t>133 CRR, przypisuje się do kategorii ekspozycji „Pozycje związane ze szczególnie wysokim ryzykiem” lub „Ekspozycje kapitałowe”</w:t>
            </w:r>
            <w:r w:rsidR="00E26EF6" w:rsidRPr="00E26EF6">
              <w:t>. W zwi</w:t>
            </w:r>
            <w:r w:rsidRPr="00E26EF6">
              <w:t>ązku</w:t>
            </w:r>
            <w:r w:rsidR="00E26EF6" w:rsidRPr="00E26EF6">
              <w:t xml:space="preserve"> z tym</w:t>
            </w:r>
            <w:r w:rsidRPr="00E26EF6">
              <w:t xml:space="preserve"> ekspozycji nie przypisuje się do żadnej innej kategorii, nawet</w:t>
            </w:r>
            <w:r w:rsidR="00E26EF6" w:rsidRPr="00E26EF6">
              <w:t xml:space="preserve"> w prz</w:t>
            </w:r>
            <w:r w:rsidRPr="00E26EF6">
              <w:t>ypadku ekspozycji, której dotyczy niewykonanie zobowiązania, zgodnie</w:t>
            </w:r>
            <w:r w:rsidR="00E26EF6" w:rsidRPr="00E26EF6">
              <w:t xml:space="preserve"> z art</w:t>
            </w:r>
            <w:r w:rsidRPr="00E26EF6">
              <w:t>.</w:t>
            </w:r>
            <w:r w:rsidR="00023409" w:rsidRPr="00E26EF6">
              <w:t> </w:t>
            </w:r>
            <w:r w:rsidRPr="00E26EF6">
              <w:t>127 CRR.</w:t>
            </w:r>
          </w:p>
        </w:tc>
      </w:tr>
      <w:tr w:rsidR="00915077" w:rsidRPr="00E26EF6" w14:paraId="288A445F" w14:textId="77777777" w:rsidTr="00672D2A">
        <w:tc>
          <w:tcPr>
            <w:tcW w:w="1188" w:type="dxa"/>
            <w:shd w:val="clear" w:color="auto" w:fill="auto"/>
          </w:tcPr>
          <w:p w14:paraId="12B41B21" w14:textId="77777777" w:rsidR="00915077" w:rsidRPr="00E26EF6" w:rsidRDefault="00462BAB">
            <w:pPr>
              <w:pStyle w:val="InstructionsText"/>
              <w:rPr>
                <w:highlight w:val="lightGray"/>
              </w:rPr>
            </w:pPr>
            <w:r w:rsidRPr="00E26EF6">
              <w:lastRenderedPageBreak/>
              <w:t>020</w:t>
            </w:r>
          </w:p>
        </w:tc>
        <w:tc>
          <w:tcPr>
            <w:tcW w:w="8701" w:type="dxa"/>
            <w:shd w:val="clear" w:color="auto" w:fill="auto"/>
          </w:tcPr>
          <w:p w14:paraId="2281725E"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ekspozycje wobec MŚP</w:t>
            </w:r>
          </w:p>
          <w:p w14:paraId="5B0D4E86" w14:textId="77777777" w:rsidR="00915077" w:rsidRPr="00E26EF6" w:rsidRDefault="00464F34">
            <w:pPr>
              <w:pStyle w:val="InstructionsText"/>
              <w:rPr>
                <w:highlight w:val="lightGray"/>
              </w:rPr>
            </w:pPr>
            <w:r w:rsidRPr="00E26EF6">
              <w:t xml:space="preserve">W tym miejscu zgłasza się wszystkie ekspozycje wobec MŚP. </w:t>
            </w:r>
          </w:p>
        </w:tc>
      </w:tr>
      <w:tr w:rsidR="00915077" w:rsidRPr="00E26EF6" w14:paraId="18A6138B" w14:textId="77777777" w:rsidTr="00672D2A">
        <w:tc>
          <w:tcPr>
            <w:tcW w:w="1188" w:type="dxa"/>
            <w:shd w:val="clear" w:color="auto" w:fill="auto"/>
          </w:tcPr>
          <w:p w14:paraId="5B6DB43F" w14:textId="77777777" w:rsidR="00915077" w:rsidRPr="00E26EF6" w:rsidRDefault="00462BAB">
            <w:pPr>
              <w:pStyle w:val="InstructionsText"/>
              <w:rPr>
                <w:highlight w:val="lightGray"/>
              </w:rPr>
            </w:pPr>
            <w:r w:rsidRPr="00E26EF6">
              <w:t>030</w:t>
            </w:r>
          </w:p>
        </w:tc>
        <w:tc>
          <w:tcPr>
            <w:tcW w:w="8701" w:type="dxa"/>
            <w:shd w:val="clear" w:color="auto" w:fill="auto"/>
          </w:tcPr>
          <w:p w14:paraId="1AA8B685"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ekspozycje podlegające współczynnikowi wsparcia MŚP</w:t>
            </w:r>
          </w:p>
          <w:p w14:paraId="556ED9CB" w14:textId="456FA2C9" w:rsidR="00915077" w:rsidRPr="00E26EF6" w:rsidRDefault="00464F34">
            <w:pPr>
              <w:pStyle w:val="InstructionsText"/>
              <w:rPr>
                <w:highlight w:val="lightGray"/>
              </w:rPr>
            </w:pPr>
            <w:r w:rsidRPr="00E26EF6">
              <w:t>W tym miejscu zgłasza się wyłącznie ekspozycje, które spełniają wymogi określone</w:t>
            </w:r>
            <w:r w:rsidR="00E26EF6" w:rsidRPr="00E26EF6">
              <w:t xml:space="preserve"> w art</w:t>
            </w:r>
            <w:r w:rsidRPr="00E26EF6">
              <w:t>.</w:t>
            </w:r>
            <w:r w:rsidR="00023409" w:rsidRPr="00E26EF6">
              <w:t> </w:t>
            </w:r>
            <w:r w:rsidRPr="00E26EF6">
              <w:t xml:space="preserve">501 CRR. </w:t>
            </w:r>
          </w:p>
        </w:tc>
      </w:tr>
      <w:tr w:rsidR="00915077" w:rsidRPr="00E26EF6" w14:paraId="3D1028AB" w14:textId="77777777" w:rsidTr="00672D2A">
        <w:tc>
          <w:tcPr>
            <w:tcW w:w="1188" w:type="dxa"/>
            <w:shd w:val="clear" w:color="auto" w:fill="auto"/>
          </w:tcPr>
          <w:p w14:paraId="36488A52" w14:textId="77777777" w:rsidR="00915077" w:rsidRPr="00E26EF6" w:rsidRDefault="00462BAB">
            <w:pPr>
              <w:pStyle w:val="InstructionsText"/>
              <w:rPr>
                <w:highlight w:val="lightGray"/>
              </w:rPr>
            </w:pPr>
            <w:r w:rsidRPr="00E26EF6">
              <w:t>040</w:t>
            </w:r>
          </w:p>
        </w:tc>
        <w:tc>
          <w:tcPr>
            <w:tcW w:w="8701" w:type="dxa"/>
            <w:shd w:val="clear" w:color="auto" w:fill="auto"/>
          </w:tcPr>
          <w:p w14:paraId="17EF48ED"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ekspozycje zabezpieczone hipotekami na nieruchomościach – nieruchomości mieszkalne</w:t>
            </w:r>
          </w:p>
          <w:p w14:paraId="51CD7D78" w14:textId="6631FB20" w:rsidR="00915077" w:rsidRPr="00E26EF6" w:rsidRDefault="00464F34">
            <w:pPr>
              <w:pStyle w:val="InstructionsText"/>
            </w:pPr>
            <w:r w:rsidRPr="00E26EF6">
              <w:t>Art. 125 CRR</w:t>
            </w:r>
          </w:p>
          <w:p w14:paraId="53534879" w14:textId="2B883A90" w:rsidR="00915077" w:rsidRPr="00E26EF6" w:rsidRDefault="00464F34">
            <w:pPr>
              <w:pStyle w:val="InstructionsText"/>
              <w:rPr>
                <w:b/>
                <w:highlight w:val="lightGray"/>
                <w:u w:val="single"/>
              </w:rPr>
            </w:pPr>
            <w:r w:rsidRPr="00E26EF6">
              <w:t>Wyłącznie ekspozycje zgłoszone</w:t>
            </w:r>
            <w:r w:rsidR="00E26EF6" w:rsidRPr="00E26EF6">
              <w:t xml:space="preserve"> w kat</w:t>
            </w:r>
            <w:r w:rsidRPr="00E26EF6">
              <w:t>egorii „ekspozycje zabezpieczone hipotekami na nieruchomościach”</w:t>
            </w:r>
          </w:p>
        </w:tc>
      </w:tr>
      <w:tr w:rsidR="00915077" w:rsidRPr="00E26EF6" w14:paraId="273F4B3B" w14:textId="77777777" w:rsidTr="00672D2A">
        <w:tc>
          <w:tcPr>
            <w:tcW w:w="1188" w:type="dxa"/>
            <w:shd w:val="clear" w:color="auto" w:fill="auto"/>
          </w:tcPr>
          <w:p w14:paraId="2FF4F260" w14:textId="77777777" w:rsidR="00915077" w:rsidRPr="00E26EF6" w:rsidRDefault="00462BAB">
            <w:pPr>
              <w:pStyle w:val="InstructionsText"/>
              <w:rPr>
                <w:highlight w:val="lightGray"/>
              </w:rPr>
            </w:pPr>
            <w:r w:rsidRPr="00E26EF6">
              <w:t>050</w:t>
            </w:r>
          </w:p>
        </w:tc>
        <w:tc>
          <w:tcPr>
            <w:tcW w:w="8701" w:type="dxa"/>
            <w:shd w:val="clear" w:color="auto" w:fill="auto"/>
          </w:tcPr>
          <w:p w14:paraId="630326F0" w14:textId="6372DB1B"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ekspozycje podlegające stałemu stosowaniu metody standardowej</w:t>
            </w:r>
            <w:r w:rsidR="00E26EF6" w:rsidRPr="00E26EF6">
              <w:rPr>
                <w:rStyle w:val="InstructionsTabelleberschrift"/>
                <w:rFonts w:ascii="Times New Roman" w:hAnsi="Times New Roman"/>
                <w:sz w:val="24"/>
              </w:rPr>
              <w:t xml:space="preserve"> w nie</w:t>
            </w:r>
            <w:r w:rsidRPr="00E26EF6">
              <w:rPr>
                <w:rStyle w:val="InstructionsTabelleberschrift"/>
                <w:rFonts w:ascii="Times New Roman" w:hAnsi="Times New Roman"/>
                <w:sz w:val="24"/>
              </w:rPr>
              <w:t>pełnym zakresie,</w:t>
            </w:r>
          </w:p>
          <w:p w14:paraId="0AF9ABC5" w14:textId="03B2AB7C" w:rsidR="00915077" w:rsidRPr="00E26EF6" w:rsidRDefault="00464F34">
            <w:pPr>
              <w:pStyle w:val="InstructionsText"/>
              <w:rPr>
                <w:highlight w:val="lightGray"/>
              </w:rPr>
            </w:pPr>
            <w:proofErr w:type="gramStart"/>
            <w:r w:rsidRPr="00E26EF6">
              <w:t>ekspozycje</w:t>
            </w:r>
            <w:proofErr w:type="gramEnd"/>
            <w:r w:rsidRPr="00E26EF6">
              <w:t>, do których zastosowano metodę standardową, zgodnie</w:t>
            </w:r>
            <w:r w:rsidR="00E26EF6" w:rsidRPr="00E26EF6">
              <w:t xml:space="preserve"> z art</w:t>
            </w:r>
            <w:r w:rsidRPr="00E26EF6">
              <w:t>.</w:t>
            </w:r>
            <w:r w:rsidR="00023409" w:rsidRPr="00E26EF6">
              <w:t> </w:t>
            </w:r>
            <w:r w:rsidRPr="00E26EF6">
              <w:t>150 ust.</w:t>
            </w:r>
            <w:r w:rsidR="00023409" w:rsidRPr="00E26EF6">
              <w:t> </w:t>
            </w:r>
            <w:r w:rsidRPr="00E26EF6">
              <w:t>1 CRR.</w:t>
            </w:r>
          </w:p>
        </w:tc>
      </w:tr>
      <w:tr w:rsidR="00915077" w:rsidRPr="00E26EF6" w14:paraId="48E7C094" w14:textId="77777777" w:rsidTr="00672D2A">
        <w:tc>
          <w:tcPr>
            <w:tcW w:w="1188" w:type="dxa"/>
            <w:shd w:val="clear" w:color="auto" w:fill="auto"/>
          </w:tcPr>
          <w:p w14:paraId="4235E5C8" w14:textId="77777777" w:rsidR="00915077" w:rsidRPr="00E26EF6" w:rsidRDefault="00462BAB">
            <w:pPr>
              <w:pStyle w:val="InstructionsText"/>
              <w:rPr>
                <w:highlight w:val="lightGray"/>
              </w:rPr>
            </w:pPr>
            <w:r w:rsidRPr="00E26EF6">
              <w:t>060</w:t>
            </w:r>
          </w:p>
        </w:tc>
        <w:tc>
          <w:tcPr>
            <w:tcW w:w="8701" w:type="dxa"/>
            <w:shd w:val="clear" w:color="auto" w:fill="auto"/>
          </w:tcPr>
          <w:p w14:paraId="28BD1135" w14:textId="101E4F33"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ekspozycje podlegające metodzie standardowej</w:t>
            </w:r>
            <w:r w:rsidR="00E26EF6" w:rsidRPr="00E26EF6">
              <w:rPr>
                <w:rStyle w:val="InstructionsTabelleberschrift"/>
                <w:rFonts w:ascii="Times New Roman" w:hAnsi="Times New Roman"/>
                <w:sz w:val="24"/>
              </w:rPr>
              <w:t xml:space="preserve"> z uzy</w:t>
            </w:r>
            <w:r w:rsidRPr="00E26EF6">
              <w:rPr>
                <w:rStyle w:val="InstructionsTabelleberschrift"/>
                <w:rFonts w:ascii="Times New Roman" w:hAnsi="Times New Roman"/>
                <w:sz w:val="24"/>
              </w:rPr>
              <w:t>skaniem uprzedniego zezwolenia nadzorczego na stopniowe wdrożenie metody IRB</w:t>
            </w:r>
          </w:p>
          <w:p w14:paraId="7849F924" w14:textId="0710D6C0" w:rsidR="00915077" w:rsidRPr="00E26EF6" w:rsidRDefault="00464F34">
            <w:pPr>
              <w:pStyle w:val="InstructionsText"/>
              <w:rPr>
                <w:highlight w:val="lightGray"/>
              </w:rPr>
            </w:pPr>
            <w:r w:rsidRPr="00E26EF6">
              <w:t xml:space="preserve">Art. 148 ust. 1 CRR </w:t>
            </w:r>
          </w:p>
        </w:tc>
      </w:tr>
      <w:tr w:rsidR="00915077" w:rsidRPr="00E26EF6" w14:paraId="20C71889" w14:textId="77777777" w:rsidTr="00672D2A">
        <w:tc>
          <w:tcPr>
            <w:tcW w:w="1188" w:type="dxa"/>
          </w:tcPr>
          <w:p w14:paraId="7DD3DA2F" w14:textId="77777777" w:rsidR="00915077" w:rsidRPr="00E26EF6" w:rsidRDefault="00462BAB">
            <w:pPr>
              <w:pStyle w:val="InstructionsText"/>
              <w:rPr>
                <w:highlight w:val="lightGray"/>
              </w:rPr>
            </w:pPr>
            <w:r w:rsidRPr="00E26EF6">
              <w:t>070–130</w:t>
            </w:r>
          </w:p>
        </w:tc>
        <w:tc>
          <w:tcPr>
            <w:tcW w:w="8701" w:type="dxa"/>
          </w:tcPr>
          <w:p w14:paraId="436636E8"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PODZIAŁ EKSPOZYCJI CAŁKOWITYCH WEDŁUG RODZAJÓW EKSPOZYCJI</w:t>
            </w:r>
          </w:p>
          <w:p w14:paraId="4355499C" w14:textId="22AADD36" w:rsidR="00915077" w:rsidRPr="00E26EF6" w:rsidRDefault="00464F34">
            <w:pPr>
              <w:pStyle w:val="InstructionsText"/>
            </w:pPr>
            <w:r w:rsidRPr="00E26EF6">
              <w:t>Pozycje zawarte</w:t>
            </w:r>
            <w:r w:rsidR="00E26EF6" w:rsidRPr="00E26EF6">
              <w:t xml:space="preserve"> w por</w:t>
            </w:r>
            <w:r w:rsidRPr="00E26EF6">
              <w:t>tfelu bankowym instytucji sprawozdającej dzieli się zgodnie</w:t>
            </w:r>
            <w:r w:rsidR="00E26EF6" w:rsidRPr="00E26EF6">
              <w:t xml:space="preserve"> z pon</w:t>
            </w:r>
            <w:r w:rsidRPr="00E26EF6">
              <w:t xml:space="preserve">iższymi kryteriami na ekspozycje bilansowe podlegające ryzyku kredytowemu, ekspozycje pozabilansowe podlegające ryzyku kredytowemu oraz ekspozycje podlegające ryzyku kredytowemu kontrahenta. </w:t>
            </w:r>
          </w:p>
          <w:p w14:paraId="39F5ABA8" w14:textId="7B2F2DCF" w:rsidR="00915077" w:rsidRPr="00E26EF6" w:rsidRDefault="009F45B7">
            <w:pPr>
              <w:pStyle w:val="InstructionsText"/>
              <w:rPr>
                <w:highlight w:val="lightGray"/>
              </w:rPr>
            </w:pPr>
            <w:r w:rsidRPr="00E26EF6">
              <w:t>Ekspozycje</w:t>
            </w:r>
            <w:r w:rsidR="00E26EF6" w:rsidRPr="00E26EF6">
              <w:t xml:space="preserve"> z tyt</w:t>
            </w:r>
            <w:r w:rsidRPr="00E26EF6">
              <w:t>ułu ryzyka kredytowego kontrahenta wynikającego</w:t>
            </w:r>
            <w:r w:rsidR="00E26EF6" w:rsidRPr="00E26EF6">
              <w:t xml:space="preserve"> z dzi</w:t>
            </w:r>
            <w:r w:rsidRPr="00E26EF6">
              <w:t>ałalności zaliczanej do portfela handlowego danej instytucji,</w:t>
            </w:r>
            <w:r w:rsidR="00E26EF6" w:rsidRPr="00E26EF6">
              <w:t xml:space="preserve"> o któ</w:t>
            </w:r>
            <w:r w:rsidRPr="00E26EF6">
              <w:t>rych mowa</w:t>
            </w:r>
            <w:r w:rsidR="00E26EF6" w:rsidRPr="00E26EF6">
              <w:t xml:space="preserve"> w art</w:t>
            </w:r>
            <w:r w:rsidRPr="00E26EF6">
              <w:t>.</w:t>
            </w:r>
            <w:r w:rsidR="00023409" w:rsidRPr="00E26EF6">
              <w:t> </w:t>
            </w:r>
            <w:r w:rsidRPr="00E26EF6">
              <w:t>92 ust.</w:t>
            </w:r>
            <w:r w:rsidR="00023409" w:rsidRPr="00E26EF6">
              <w:t> </w:t>
            </w:r>
            <w:r w:rsidRPr="00E26EF6">
              <w:t>3 lit.</w:t>
            </w:r>
            <w:r w:rsidR="00023409" w:rsidRPr="00E26EF6">
              <w:t> </w:t>
            </w:r>
            <w:r w:rsidRPr="00E26EF6">
              <w:t>f) oraz</w:t>
            </w:r>
            <w:r w:rsidR="00E26EF6" w:rsidRPr="00E26EF6">
              <w:t xml:space="preserve"> w art</w:t>
            </w:r>
            <w:r w:rsidRPr="00E26EF6">
              <w:t>.</w:t>
            </w:r>
            <w:r w:rsidR="00023409" w:rsidRPr="00E26EF6">
              <w:t> </w:t>
            </w:r>
            <w:r w:rsidRPr="00E26EF6">
              <w:t>299 ust.</w:t>
            </w:r>
            <w:r w:rsidR="00023409" w:rsidRPr="00E26EF6">
              <w:t> </w:t>
            </w:r>
            <w:r w:rsidRPr="00E26EF6">
              <w:t>2 CRR, przypisuje się do ekspozycji podlegających ryzyku kredytowemu kontrahenta. Instytucje stosujące przepisy art.</w:t>
            </w:r>
            <w:r w:rsidR="00023409" w:rsidRPr="00E26EF6">
              <w:t> </w:t>
            </w:r>
            <w:r w:rsidRPr="00E26EF6">
              <w:t>94 ust.</w:t>
            </w:r>
            <w:r w:rsidR="00023409" w:rsidRPr="00E26EF6">
              <w:t> </w:t>
            </w:r>
            <w:r w:rsidRPr="00E26EF6">
              <w:t>1 CRR również dzielą swoje pozycje zawarte</w:t>
            </w:r>
            <w:r w:rsidR="00E26EF6" w:rsidRPr="00E26EF6">
              <w:t xml:space="preserve"> w por</w:t>
            </w:r>
            <w:r w:rsidRPr="00E26EF6">
              <w:t>tfelu handlowym zgodnie</w:t>
            </w:r>
            <w:r w:rsidR="00E26EF6" w:rsidRPr="00E26EF6">
              <w:t xml:space="preserve"> z pon</w:t>
            </w:r>
            <w:r w:rsidRPr="00E26EF6">
              <w:t>iższymi kryteriami na ekspozycje bilansowe podlegające ryzyku kredytowemu, ekspozycje pozabilansowe podlegające ryzyku kredytowemu oraz ekspozycje podlegające ryzyku kredytowemu kontrahenta.</w:t>
            </w:r>
          </w:p>
        </w:tc>
      </w:tr>
      <w:tr w:rsidR="00915077" w:rsidRPr="00E26EF6" w14:paraId="62D92739" w14:textId="77777777" w:rsidTr="00672D2A">
        <w:tc>
          <w:tcPr>
            <w:tcW w:w="1188" w:type="dxa"/>
          </w:tcPr>
          <w:p w14:paraId="110504B5" w14:textId="77777777" w:rsidR="00915077" w:rsidRPr="00E26EF6" w:rsidRDefault="00462BAB">
            <w:pPr>
              <w:pStyle w:val="InstructionsText"/>
              <w:rPr>
                <w:highlight w:val="lightGray"/>
              </w:rPr>
            </w:pPr>
            <w:r w:rsidRPr="00E26EF6">
              <w:t>070</w:t>
            </w:r>
          </w:p>
        </w:tc>
        <w:tc>
          <w:tcPr>
            <w:tcW w:w="8701" w:type="dxa"/>
          </w:tcPr>
          <w:p w14:paraId="08924B6E"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 xml:space="preserve">Ekspozycje bilansowe podlegające ryzyku kredytowemu </w:t>
            </w:r>
          </w:p>
          <w:p w14:paraId="6F646CDC" w14:textId="1B91A4FC" w:rsidR="00915077" w:rsidRPr="00E26EF6" w:rsidRDefault="00464F34">
            <w:pPr>
              <w:pStyle w:val="InstructionsText"/>
            </w:pPr>
            <w:r w:rsidRPr="00E26EF6">
              <w:t>Aktywa,</w:t>
            </w:r>
            <w:r w:rsidR="00E26EF6" w:rsidRPr="00E26EF6">
              <w:t xml:space="preserve"> o któ</w:t>
            </w:r>
            <w:r w:rsidRPr="00E26EF6">
              <w:t>rych mowa</w:t>
            </w:r>
            <w:r w:rsidR="00E26EF6" w:rsidRPr="00E26EF6">
              <w:t xml:space="preserve"> w art</w:t>
            </w:r>
            <w:r w:rsidRPr="00E26EF6">
              <w:t>.</w:t>
            </w:r>
            <w:r w:rsidR="00023409" w:rsidRPr="00E26EF6">
              <w:t> </w:t>
            </w:r>
            <w:r w:rsidRPr="00E26EF6">
              <w:t>24 CRR, nieujęte</w:t>
            </w:r>
            <w:r w:rsidR="00E26EF6" w:rsidRPr="00E26EF6">
              <w:t xml:space="preserve"> w żad</w:t>
            </w:r>
            <w:r w:rsidRPr="00E26EF6">
              <w:t>nej innej kategorii.</w:t>
            </w:r>
          </w:p>
          <w:p w14:paraId="7AB13312" w14:textId="110D5BBF" w:rsidR="00915077" w:rsidRPr="00E26EF6" w:rsidRDefault="00464F34">
            <w:pPr>
              <w:pStyle w:val="InstructionsText"/>
            </w:pPr>
            <w:r w:rsidRPr="00E26EF6">
              <w:t>Ekspozycje, które są pozycjami bilansowymi</w:t>
            </w:r>
            <w:r w:rsidR="00E26EF6" w:rsidRPr="00E26EF6">
              <w:t xml:space="preserve"> i któ</w:t>
            </w:r>
            <w:r w:rsidRPr="00E26EF6">
              <w:t>re są uwzględnione jako transakcje finansowane</w:t>
            </w:r>
            <w:r w:rsidR="00E26EF6" w:rsidRPr="00E26EF6">
              <w:t xml:space="preserve"> z uży</w:t>
            </w:r>
            <w:r w:rsidRPr="00E26EF6">
              <w:t>ciem papierów wartościowych, instrumenty pochodne oraz transakcje</w:t>
            </w:r>
            <w:r w:rsidR="00E26EF6" w:rsidRPr="00E26EF6">
              <w:t xml:space="preserve"> z dłu</w:t>
            </w:r>
            <w:r w:rsidRPr="00E26EF6">
              <w:t>gim terminem rozliczenia lub wynikają</w:t>
            </w:r>
            <w:r w:rsidR="00E26EF6" w:rsidRPr="00E26EF6">
              <w:t xml:space="preserve"> z umo</w:t>
            </w:r>
            <w:r w:rsidRPr="00E26EF6">
              <w:t>wy</w:t>
            </w:r>
            <w:r w:rsidR="00E26EF6" w:rsidRPr="00E26EF6">
              <w:t xml:space="preserve"> o kom</w:t>
            </w:r>
            <w:r w:rsidRPr="00E26EF6">
              <w:t>pensowaniu międzyproduktowym zgłaszane są</w:t>
            </w:r>
            <w:r w:rsidR="00E26EF6" w:rsidRPr="00E26EF6">
              <w:t xml:space="preserve"> w wie</w:t>
            </w:r>
            <w:r w:rsidRPr="00E26EF6">
              <w:t>rszach 090, 110</w:t>
            </w:r>
            <w:r w:rsidR="00E26EF6" w:rsidRPr="00E26EF6">
              <w:t xml:space="preserve"> i 1</w:t>
            </w:r>
            <w:r w:rsidRPr="00E26EF6">
              <w:t>30,</w:t>
            </w:r>
            <w:r w:rsidR="00E26EF6" w:rsidRPr="00E26EF6">
              <w:t xml:space="preserve"> a tym</w:t>
            </w:r>
            <w:r w:rsidRPr="00E26EF6">
              <w:t xml:space="preserve"> samym nie zgłasza się ich</w:t>
            </w:r>
            <w:r w:rsidR="00E26EF6" w:rsidRPr="00E26EF6">
              <w:t xml:space="preserve"> w tym</w:t>
            </w:r>
            <w:r w:rsidRPr="00E26EF6">
              <w:t xml:space="preserve"> wierszu.</w:t>
            </w:r>
          </w:p>
          <w:p w14:paraId="7B01432E" w14:textId="618728F7" w:rsidR="00915077" w:rsidRPr="00E26EF6" w:rsidRDefault="00464F34">
            <w:pPr>
              <w:pStyle w:val="InstructionsText"/>
            </w:pPr>
            <w:r w:rsidRPr="00E26EF6">
              <w:t>Dostawy</w:t>
            </w:r>
            <w:r w:rsidR="00E26EF6" w:rsidRPr="00E26EF6">
              <w:t xml:space="preserve"> z póź</w:t>
            </w:r>
            <w:r w:rsidRPr="00E26EF6">
              <w:t>niejszym terminem rozliczenia zgodnie</w:t>
            </w:r>
            <w:r w:rsidR="00E26EF6" w:rsidRPr="00E26EF6">
              <w:t xml:space="preserve"> z art</w:t>
            </w:r>
            <w:r w:rsidRPr="00E26EF6">
              <w:t>.</w:t>
            </w:r>
            <w:r w:rsidR="00023409" w:rsidRPr="00E26EF6">
              <w:t> </w:t>
            </w:r>
            <w:r w:rsidRPr="00E26EF6">
              <w:t>379 ust.</w:t>
            </w:r>
            <w:r w:rsidR="00023409" w:rsidRPr="00E26EF6">
              <w:t> </w:t>
            </w:r>
            <w:r w:rsidRPr="00E26EF6">
              <w:t>1 CRR (jeżeli nie zostały odliczone) nie są pozycjami bilansowymi, jednak zgłaszane są</w:t>
            </w:r>
            <w:r w:rsidR="00E26EF6" w:rsidRPr="00E26EF6">
              <w:t xml:space="preserve"> w tym</w:t>
            </w:r>
            <w:r w:rsidRPr="00E26EF6">
              <w:t xml:space="preserve"> wierszu.</w:t>
            </w:r>
          </w:p>
          <w:p w14:paraId="7A7B2F79" w14:textId="414A66CB" w:rsidR="00915077" w:rsidRPr="00E26EF6" w:rsidRDefault="00464F34">
            <w:pPr>
              <w:pStyle w:val="InstructionsText"/>
              <w:rPr>
                <w:b/>
                <w:highlight w:val="lightGray"/>
                <w:u w:val="single"/>
              </w:rPr>
            </w:pPr>
            <w:r w:rsidRPr="00E26EF6">
              <w:t>Uwzględnia się ekspozycje wynikające</w:t>
            </w:r>
            <w:r w:rsidR="00E26EF6" w:rsidRPr="00E26EF6">
              <w:t xml:space="preserve"> z prz</w:t>
            </w:r>
            <w:r w:rsidRPr="00E26EF6">
              <w:t>ekazania aktywów kontrahentowi centralnemu jako zabezpieczenia, zgodnie</w:t>
            </w:r>
            <w:r w:rsidR="00E26EF6" w:rsidRPr="00E26EF6">
              <w:t xml:space="preserve"> z def</w:t>
            </w:r>
            <w:r w:rsidRPr="00E26EF6">
              <w:t>inicją zawartą</w:t>
            </w:r>
            <w:r w:rsidR="00E26EF6" w:rsidRPr="00E26EF6">
              <w:t xml:space="preserve"> w art</w:t>
            </w:r>
            <w:r w:rsidRPr="00E26EF6">
              <w:t>.</w:t>
            </w:r>
            <w:r w:rsidR="00023409" w:rsidRPr="00E26EF6">
              <w:t> </w:t>
            </w:r>
            <w:r w:rsidRPr="00E26EF6">
              <w:t>4 ust.</w:t>
            </w:r>
            <w:r w:rsidR="00023409" w:rsidRPr="00E26EF6">
              <w:t> </w:t>
            </w:r>
            <w:r w:rsidRPr="00E26EF6">
              <w:t>1 pkt</w:t>
            </w:r>
            <w:r w:rsidR="00023409" w:rsidRPr="00E26EF6">
              <w:t> </w:t>
            </w:r>
            <w:r w:rsidRPr="00E26EF6">
              <w:t>90 CRR, jeżeli nie zgłoszono ich</w:t>
            </w:r>
            <w:r w:rsidR="00E26EF6" w:rsidRPr="00E26EF6">
              <w:t xml:space="preserve"> w wie</w:t>
            </w:r>
            <w:r w:rsidRPr="00E26EF6">
              <w:t xml:space="preserve">rszu 080. </w:t>
            </w:r>
          </w:p>
        </w:tc>
      </w:tr>
      <w:tr w:rsidR="00915077" w:rsidRPr="00E26EF6" w14:paraId="73DA2F80" w14:textId="77777777" w:rsidTr="00672D2A">
        <w:tc>
          <w:tcPr>
            <w:tcW w:w="1188" w:type="dxa"/>
          </w:tcPr>
          <w:p w14:paraId="3FC28FB2" w14:textId="77777777" w:rsidR="00915077" w:rsidRPr="00E26EF6" w:rsidRDefault="00462BAB">
            <w:pPr>
              <w:pStyle w:val="InstructionsText"/>
              <w:rPr>
                <w:highlight w:val="lightGray"/>
              </w:rPr>
            </w:pPr>
            <w:r w:rsidRPr="00E26EF6">
              <w:t>080</w:t>
            </w:r>
          </w:p>
        </w:tc>
        <w:tc>
          <w:tcPr>
            <w:tcW w:w="8701" w:type="dxa"/>
          </w:tcPr>
          <w:p w14:paraId="260F7F46"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Ekspozycje pozabilansowe podlegające ryzyku kredytowemu</w:t>
            </w:r>
          </w:p>
          <w:p w14:paraId="3B927194" w14:textId="182E38E3" w:rsidR="00915077" w:rsidRPr="00E26EF6" w:rsidRDefault="00464F34">
            <w:pPr>
              <w:pStyle w:val="InstructionsText"/>
            </w:pPr>
            <w:r w:rsidRPr="00E26EF6">
              <w:t>Pozycje pozabilansowe zawierają elementy wymienione</w:t>
            </w:r>
            <w:r w:rsidR="00E26EF6" w:rsidRPr="00E26EF6">
              <w:t xml:space="preserve"> w zał</w:t>
            </w:r>
            <w:r w:rsidRPr="00E26EF6">
              <w:t>ączniku I do CRR.</w:t>
            </w:r>
          </w:p>
          <w:p w14:paraId="7C1C09BD" w14:textId="6F92C395" w:rsidR="00915077" w:rsidRPr="00E26EF6" w:rsidRDefault="00464F34">
            <w:pPr>
              <w:pStyle w:val="InstructionsText"/>
            </w:pPr>
            <w:r w:rsidRPr="00E26EF6">
              <w:lastRenderedPageBreak/>
              <w:t>Ekspozycje, które są pozycjami pozabilansowymi</w:t>
            </w:r>
            <w:r w:rsidR="00E26EF6" w:rsidRPr="00E26EF6">
              <w:t xml:space="preserve"> i któ</w:t>
            </w:r>
            <w:r w:rsidRPr="00E26EF6">
              <w:t>re są uwzględnione jako transakcje finansowane</w:t>
            </w:r>
            <w:r w:rsidR="00E26EF6" w:rsidRPr="00E26EF6">
              <w:t xml:space="preserve"> z uży</w:t>
            </w:r>
            <w:r w:rsidRPr="00E26EF6">
              <w:t>ciem papierów wartościowych, instrumenty pochodne oraz transakcje</w:t>
            </w:r>
            <w:r w:rsidR="00E26EF6" w:rsidRPr="00E26EF6">
              <w:t xml:space="preserve"> z dłu</w:t>
            </w:r>
            <w:r w:rsidRPr="00E26EF6">
              <w:t>gim terminem rozliczenia lub wynikają</w:t>
            </w:r>
            <w:r w:rsidR="00E26EF6" w:rsidRPr="00E26EF6">
              <w:t xml:space="preserve"> z umo</w:t>
            </w:r>
            <w:r w:rsidRPr="00E26EF6">
              <w:t>wy</w:t>
            </w:r>
            <w:r w:rsidR="00E26EF6" w:rsidRPr="00E26EF6">
              <w:t xml:space="preserve"> o kom</w:t>
            </w:r>
            <w:r w:rsidRPr="00E26EF6">
              <w:t>pensowaniu międzyproduktowym zgłaszane są</w:t>
            </w:r>
            <w:r w:rsidR="00E26EF6" w:rsidRPr="00E26EF6">
              <w:t xml:space="preserve"> w wie</w:t>
            </w:r>
            <w:r w:rsidRPr="00E26EF6">
              <w:t>rszach 090, 110</w:t>
            </w:r>
            <w:r w:rsidR="00E26EF6" w:rsidRPr="00E26EF6">
              <w:t xml:space="preserve"> i 1</w:t>
            </w:r>
            <w:r w:rsidRPr="00E26EF6">
              <w:t>30,</w:t>
            </w:r>
            <w:r w:rsidR="00E26EF6" w:rsidRPr="00E26EF6">
              <w:t xml:space="preserve"> a tym</w:t>
            </w:r>
            <w:r w:rsidRPr="00E26EF6">
              <w:t xml:space="preserve"> samym nie zgłasza się ich</w:t>
            </w:r>
            <w:r w:rsidR="00E26EF6" w:rsidRPr="00E26EF6">
              <w:t xml:space="preserve"> w tym</w:t>
            </w:r>
            <w:r w:rsidRPr="00E26EF6">
              <w:t xml:space="preserve"> wierszu.</w:t>
            </w:r>
          </w:p>
          <w:p w14:paraId="5AAE82BB" w14:textId="2AAFD850" w:rsidR="00915077" w:rsidRPr="00E26EF6" w:rsidRDefault="00464F34">
            <w:pPr>
              <w:pStyle w:val="InstructionsText"/>
              <w:rPr>
                <w:b/>
                <w:highlight w:val="lightGray"/>
                <w:u w:val="single"/>
              </w:rPr>
            </w:pPr>
            <w:r w:rsidRPr="00E26EF6">
              <w:t>Uwzględnia się ekspozycje wynikające</w:t>
            </w:r>
            <w:r w:rsidR="00E26EF6" w:rsidRPr="00E26EF6">
              <w:t xml:space="preserve"> z prz</w:t>
            </w:r>
            <w:r w:rsidRPr="00E26EF6">
              <w:t>ekazania aktywów kontrahentowi centralnemu jako zabezpieczenia, zgodnie</w:t>
            </w:r>
            <w:r w:rsidR="00E26EF6" w:rsidRPr="00E26EF6">
              <w:t xml:space="preserve"> z def</w:t>
            </w:r>
            <w:r w:rsidRPr="00E26EF6">
              <w:t>inicją zawartą</w:t>
            </w:r>
            <w:r w:rsidR="00E26EF6" w:rsidRPr="00E26EF6">
              <w:t xml:space="preserve"> w art</w:t>
            </w:r>
            <w:r w:rsidRPr="00E26EF6">
              <w:t>.</w:t>
            </w:r>
            <w:r w:rsidR="00023409" w:rsidRPr="00E26EF6">
              <w:t> </w:t>
            </w:r>
            <w:r w:rsidRPr="00E26EF6">
              <w:t>4 ust.</w:t>
            </w:r>
            <w:r w:rsidR="00023409" w:rsidRPr="00E26EF6">
              <w:t> </w:t>
            </w:r>
            <w:r w:rsidRPr="00E26EF6">
              <w:t>1 pkt</w:t>
            </w:r>
            <w:r w:rsidR="00023409" w:rsidRPr="00E26EF6">
              <w:t> </w:t>
            </w:r>
            <w:r w:rsidRPr="00E26EF6">
              <w:t>90 CRR, jeżeli uznaje się je za pozycje pozabilansowe.</w:t>
            </w:r>
          </w:p>
        </w:tc>
      </w:tr>
      <w:tr w:rsidR="00915077" w:rsidRPr="00E26EF6"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915077" w:rsidRPr="00E26EF6" w:rsidRDefault="003C3168">
            <w:pPr>
              <w:pStyle w:val="InstructionsText"/>
              <w:rPr>
                <w:highlight w:val="lightGray"/>
              </w:rPr>
            </w:pPr>
            <w:r w:rsidRPr="00E26EF6">
              <w:lastRenderedPageBreak/>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915077" w:rsidRPr="00E26EF6" w:rsidRDefault="003C3168">
            <w:pPr>
              <w:pStyle w:val="InstructionsText"/>
              <w:rPr>
                <w:highlight w:val="lightGray"/>
              </w:rPr>
            </w:pPr>
            <w:r w:rsidRPr="00E26EF6">
              <w:rPr>
                <w:rStyle w:val="InstructionsTabelleberschrift"/>
                <w:rFonts w:ascii="Times New Roman" w:hAnsi="Times New Roman"/>
                <w:sz w:val="24"/>
              </w:rPr>
              <w:t>Ekspozycje / transakcje podlegające ryzyku kredytowemu kontrahenta</w:t>
            </w:r>
          </w:p>
        </w:tc>
      </w:tr>
      <w:tr w:rsidR="00915077" w:rsidRPr="00E26EF6" w14:paraId="498A4859" w14:textId="77777777" w:rsidTr="00672D2A">
        <w:tc>
          <w:tcPr>
            <w:tcW w:w="1188" w:type="dxa"/>
          </w:tcPr>
          <w:p w14:paraId="23B5FC5B" w14:textId="77777777" w:rsidR="00915077" w:rsidRPr="00E26EF6" w:rsidRDefault="00462BAB">
            <w:pPr>
              <w:pStyle w:val="InstructionsText"/>
              <w:rPr>
                <w:highlight w:val="lightGray"/>
              </w:rPr>
            </w:pPr>
            <w:r w:rsidRPr="00E26EF6">
              <w:t>090</w:t>
            </w:r>
          </w:p>
        </w:tc>
        <w:tc>
          <w:tcPr>
            <w:tcW w:w="8701" w:type="dxa"/>
          </w:tcPr>
          <w:p w14:paraId="179F042E" w14:textId="1922399E" w:rsidR="00915077" w:rsidRPr="00E26EF6" w:rsidRDefault="00464F34">
            <w:pPr>
              <w:pStyle w:val="InstructionsText"/>
            </w:pPr>
            <w:r w:rsidRPr="00E26EF6">
              <w:rPr>
                <w:rStyle w:val="InstructionsTabelleberschrift"/>
                <w:rFonts w:ascii="Times New Roman" w:hAnsi="Times New Roman"/>
                <w:sz w:val="24"/>
              </w:rPr>
              <w:t>Transakcje finansowane</w:t>
            </w:r>
            <w:r w:rsidR="00E26EF6" w:rsidRPr="00E26EF6">
              <w:rPr>
                <w:rStyle w:val="InstructionsTabelleberschrift"/>
                <w:rFonts w:ascii="Times New Roman" w:hAnsi="Times New Roman"/>
                <w:sz w:val="24"/>
              </w:rPr>
              <w:t xml:space="preserve"> z uży</w:t>
            </w:r>
            <w:r w:rsidRPr="00E26EF6">
              <w:rPr>
                <w:rStyle w:val="InstructionsTabelleberschrift"/>
                <w:rFonts w:ascii="Times New Roman" w:hAnsi="Times New Roman"/>
                <w:sz w:val="24"/>
              </w:rPr>
              <w:t xml:space="preserve">ciem papierów wartościowych </w:t>
            </w:r>
          </w:p>
          <w:p w14:paraId="4A701960" w14:textId="278E9DA3" w:rsidR="00915077" w:rsidRPr="00E26EF6" w:rsidRDefault="00464F34">
            <w:pPr>
              <w:pStyle w:val="InstructionsText"/>
              <w:rPr>
                <w:highlight w:val="lightGray"/>
              </w:rPr>
            </w:pPr>
            <w:r w:rsidRPr="00E26EF6">
              <w:t>Transakcje finansowane</w:t>
            </w:r>
            <w:r w:rsidR="00E26EF6" w:rsidRPr="00E26EF6">
              <w:t xml:space="preserve"> z uży</w:t>
            </w:r>
            <w:r w:rsidRPr="00E26EF6">
              <w:t>ciem papierów wartościowych zgodnie</w:t>
            </w:r>
            <w:r w:rsidR="00E26EF6" w:rsidRPr="00E26EF6">
              <w:t xml:space="preserve"> z def</w:t>
            </w:r>
            <w:r w:rsidRPr="00E26EF6">
              <w:t>inicją zawartą</w:t>
            </w:r>
            <w:r w:rsidR="00E26EF6" w:rsidRPr="00E26EF6">
              <w:t xml:space="preserve"> w ust</w:t>
            </w:r>
            <w:r w:rsidRPr="00E26EF6">
              <w:t>.</w:t>
            </w:r>
            <w:r w:rsidR="00023409" w:rsidRPr="00E26EF6">
              <w:t> </w:t>
            </w:r>
            <w:r w:rsidRPr="00E26EF6">
              <w:t>17 dokumentu Bazylejskiego Komitetu Nadzoru Bankowego „The Application of Basel II to Trading Activities and the Treatment of Double Default Effects” obejmują: (i) umowy</w:t>
            </w:r>
            <w:r w:rsidR="00E26EF6" w:rsidRPr="00E26EF6">
              <w:t xml:space="preserve"> z udz</w:t>
            </w:r>
            <w:r w:rsidRPr="00E26EF6">
              <w:t>ielonym przyrzeczeniem odkupu</w:t>
            </w:r>
            <w:r w:rsidR="00E26EF6" w:rsidRPr="00E26EF6">
              <w:t xml:space="preserve"> i umo</w:t>
            </w:r>
            <w:r w:rsidRPr="00E26EF6">
              <w:t>wy</w:t>
            </w:r>
            <w:r w:rsidR="00E26EF6" w:rsidRPr="00E26EF6">
              <w:t xml:space="preserve"> z otr</w:t>
            </w:r>
            <w:r w:rsidRPr="00E26EF6">
              <w:t>zymanym przyrzeczeniem odkupu zdefiniowane</w:t>
            </w:r>
            <w:r w:rsidR="00E26EF6" w:rsidRPr="00E26EF6">
              <w:t xml:space="preserve"> w art</w:t>
            </w:r>
            <w:r w:rsidRPr="00E26EF6">
              <w:t>.</w:t>
            </w:r>
            <w:r w:rsidR="00023409" w:rsidRPr="00E26EF6">
              <w:t> </w:t>
            </w:r>
            <w:r w:rsidRPr="00E26EF6">
              <w:t>4 ust.</w:t>
            </w:r>
            <w:r w:rsidR="00023409" w:rsidRPr="00E26EF6">
              <w:t> </w:t>
            </w:r>
            <w:r w:rsidRPr="00E26EF6">
              <w:t>1 pkt</w:t>
            </w:r>
            <w:r w:rsidR="00023409" w:rsidRPr="00E26EF6">
              <w:t> </w:t>
            </w:r>
            <w:r w:rsidRPr="00E26EF6">
              <w:t>82 CRR,</w:t>
            </w:r>
            <w:r w:rsidR="00E26EF6" w:rsidRPr="00E26EF6">
              <w:t xml:space="preserve"> a tak</w:t>
            </w:r>
            <w:r w:rsidRPr="00E26EF6">
              <w:t>że transakcje udzielania</w:t>
            </w:r>
            <w:r w:rsidR="00E26EF6" w:rsidRPr="00E26EF6">
              <w:t xml:space="preserve"> i zac</w:t>
            </w:r>
            <w:r w:rsidRPr="00E26EF6">
              <w:t>iągania pożyczek papierów wartościowych</w:t>
            </w:r>
            <w:r w:rsidR="00E26EF6" w:rsidRPr="00E26EF6">
              <w:t xml:space="preserve"> i tow</w:t>
            </w:r>
            <w:r w:rsidRPr="00E26EF6">
              <w:t>arów; (ii) transakcje</w:t>
            </w:r>
            <w:r w:rsidR="00E26EF6" w:rsidRPr="00E26EF6">
              <w:t xml:space="preserve"> z obo</w:t>
            </w:r>
            <w:r w:rsidRPr="00E26EF6">
              <w:t>wiązkiem uzupełnienia zabezpieczenia kredytowego zdefiniowane</w:t>
            </w:r>
            <w:r w:rsidR="00E26EF6" w:rsidRPr="00E26EF6">
              <w:t xml:space="preserve"> w art</w:t>
            </w:r>
            <w:r w:rsidRPr="00E26EF6">
              <w:t>.</w:t>
            </w:r>
            <w:r w:rsidR="00023409" w:rsidRPr="00E26EF6">
              <w:t> </w:t>
            </w:r>
            <w:r w:rsidRPr="00E26EF6">
              <w:t>272 pkt</w:t>
            </w:r>
            <w:r w:rsidR="00023409" w:rsidRPr="00E26EF6">
              <w:t> </w:t>
            </w:r>
            <w:r w:rsidRPr="00E26EF6">
              <w:t>3 CRR.</w:t>
            </w:r>
          </w:p>
        </w:tc>
      </w:tr>
      <w:tr w:rsidR="00915077" w:rsidRPr="00E26EF6" w14:paraId="2DDF541E" w14:textId="77777777" w:rsidTr="00672D2A">
        <w:tc>
          <w:tcPr>
            <w:tcW w:w="1188" w:type="dxa"/>
          </w:tcPr>
          <w:p w14:paraId="59065B51" w14:textId="77777777" w:rsidR="00915077" w:rsidRPr="00E26EF6" w:rsidRDefault="00462BAB">
            <w:pPr>
              <w:pStyle w:val="InstructionsText"/>
              <w:rPr>
                <w:highlight w:val="lightGray"/>
              </w:rPr>
            </w:pPr>
            <w:r w:rsidRPr="00E26EF6">
              <w:t>100</w:t>
            </w:r>
          </w:p>
        </w:tc>
        <w:tc>
          <w:tcPr>
            <w:tcW w:w="8701" w:type="dxa"/>
          </w:tcPr>
          <w:p w14:paraId="63EA1C39"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 tym: rozliczane centralnie przez kwalifikujących się kontrahentów centralnych</w:t>
            </w:r>
          </w:p>
          <w:p w14:paraId="2749A2D5" w14:textId="5415C5CC" w:rsidR="00915077" w:rsidRPr="00E26EF6" w:rsidRDefault="00464F34">
            <w:pPr>
              <w:pStyle w:val="InstructionsText"/>
            </w:pPr>
            <w:r w:rsidRPr="00E26EF6">
              <w:t>Art. 306 CRR</w:t>
            </w:r>
            <w:r w:rsidR="00E26EF6" w:rsidRPr="00E26EF6">
              <w:t xml:space="preserve"> w odn</w:t>
            </w:r>
            <w:r w:rsidRPr="00E26EF6">
              <w:t>iesieniu do kwalifikujących się kontrahentów centralnych zdefiniowanych</w:t>
            </w:r>
            <w:r w:rsidR="00E26EF6" w:rsidRPr="00E26EF6">
              <w:t xml:space="preserve"> w art</w:t>
            </w:r>
            <w:r w:rsidRPr="00E26EF6">
              <w:t>.</w:t>
            </w:r>
            <w:r w:rsidR="00023409" w:rsidRPr="00E26EF6">
              <w:t> </w:t>
            </w:r>
            <w:r w:rsidRPr="00E26EF6">
              <w:t>4 ust.</w:t>
            </w:r>
            <w:r w:rsidR="00023409" w:rsidRPr="00E26EF6">
              <w:t> </w:t>
            </w:r>
            <w:r w:rsidRPr="00E26EF6">
              <w:t>1 pkt</w:t>
            </w:r>
            <w:r w:rsidR="00023409" w:rsidRPr="00E26EF6">
              <w:t> </w:t>
            </w:r>
            <w:r w:rsidRPr="00E26EF6">
              <w:t>88 CRR zgodnie</w:t>
            </w:r>
            <w:r w:rsidR="00E26EF6" w:rsidRPr="00E26EF6">
              <w:t xml:space="preserve"> z art</w:t>
            </w:r>
            <w:r w:rsidRPr="00E26EF6">
              <w:t>.</w:t>
            </w:r>
            <w:r w:rsidR="00023409" w:rsidRPr="00E26EF6">
              <w:t> </w:t>
            </w:r>
            <w:r w:rsidRPr="00E26EF6">
              <w:t>301 ust.</w:t>
            </w:r>
            <w:r w:rsidR="00023409" w:rsidRPr="00E26EF6">
              <w:t> </w:t>
            </w:r>
            <w:r w:rsidRPr="00E26EF6">
              <w:t>2 CRR.</w:t>
            </w:r>
          </w:p>
          <w:p w14:paraId="4EF87CFA" w14:textId="0D26A8F0" w:rsidR="00915077" w:rsidRPr="00E26EF6" w:rsidRDefault="00D02E89">
            <w:pPr>
              <w:pStyle w:val="InstructionsText"/>
              <w:rPr>
                <w:highlight w:val="lightGray"/>
              </w:rPr>
            </w:pPr>
            <w:r w:rsidRPr="00E26EF6">
              <w:t>Ekspozycje</w:t>
            </w:r>
            <w:r w:rsidR="00E26EF6" w:rsidRPr="00E26EF6">
              <w:t xml:space="preserve"> z tyt</w:t>
            </w:r>
            <w:r w:rsidRPr="00E26EF6">
              <w:t>ułu transakcji zdefiniowane</w:t>
            </w:r>
            <w:r w:rsidR="00E26EF6" w:rsidRPr="00E26EF6">
              <w:t xml:space="preserve"> w art</w:t>
            </w:r>
            <w:r w:rsidRPr="00E26EF6">
              <w:t>.</w:t>
            </w:r>
            <w:r w:rsidR="00023409" w:rsidRPr="00E26EF6">
              <w:t> </w:t>
            </w:r>
            <w:r w:rsidRPr="00E26EF6">
              <w:t>4 ust.</w:t>
            </w:r>
            <w:r w:rsidR="00023409" w:rsidRPr="00E26EF6">
              <w:t> </w:t>
            </w:r>
            <w:r w:rsidRPr="00E26EF6">
              <w:t>1 pkt</w:t>
            </w:r>
            <w:r w:rsidR="00023409" w:rsidRPr="00E26EF6">
              <w:t> </w:t>
            </w:r>
            <w:r w:rsidRPr="00E26EF6">
              <w:t>91 CRR wobec kontrahenta centralnego.</w:t>
            </w:r>
          </w:p>
        </w:tc>
      </w:tr>
      <w:tr w:rsidR="00915077" w:rsidRPr="00E26EF6" w14:paraId="25C82359" w14:textId="77777777" w:rsidTr="00672D2A">
        <w:tc>
          <w:tcPr>
            <w:tcW w:w="1188" w:type="dxa"/>
          </w:tcPr>
          <w:p w14:paraId="6BAADFCF" w14:textId="77777777" w:rsidR="00915077" w:rsidRPr="00E26EF6" w:rsidRDefault="00462BAB">
            <w:pPr>
              <w:pStyle w:val="InstructionsText"/>
              <w:rPr>
                <w:highlight w:val="lightGray"/>
              </w:rPr>
            </w:pPr>
            <w:r w:rsidRPr="00E26EF6">
              <w:t>110</w:t>
            </w:r>
          </w:p>
        </w:tc>
        <w:tc>
          <w:tcPr>
            <w:tcW w:w="8701" w:type="dxa"/>
          </w:tcPr>
          <w:p w14:paraId="1558EB08" w14:textId="5EF7AF5E"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Instrumenty pochodne oraz transakcje</w:t>
            </w:r>
            <w:r w:rsidR="00E26EF6" w:rsidRPr="00E26EF6">
              <w:rPr>
                <w:rStyle w:val="InstructionsTabelleberschrift"/>
                <w:rFonts w:ascii="Times New Roman" w:hAnsi="Times New Roman"/>
                <w:sz w:val="24"/>
              </w:rPr>
              <w:t xml:space="preserve"> z dłu</w:t>
            </w:r>
            <w:r w:rsidRPr="00E26EF6">
              <w:rPr>
                <w:rStyle w:val="InstructionsTabelleberschrift"/>
                <w:rFonts w:ascii="Times New Roman" w:hAnsi="Times New Roman"/>
                <w:sz w:val="24"/>
              </w:rPr>
              <w:t xml:space="preserve">gim terminem rozliczenia </w:t>
            </w:r>
          </w:p>
          <w:p w14:paraId="0F3D5BDD" w14:textId="7E71B348" w:rsidR="00915077" w:rsidRPr="00E26EF6" w:rsidRDefault="00464F34">
            <w:pPr>
              <w:pStyle w:val="InstructionsText"/>
            </w:pPr>
            <w:r w:rsidRPr="00E26EF6">
              <w:t>Instrumenty pochodne obejmują umowy wymienione</w:t>
            </w:r>
            <w:r w:rsidR="00E26EF6" w:rsidRPr="00E26EF6">
              <w:t xml:space="preserve"> w zał</w:t>
            </w:r>
            <w:r w:rsidRPr="00E26EF6">
              <w:t>ączniku II do CRR.</w:t>
            </w:r>
          </w:p>
          <w:p w14:paraId="3FF9EB7A" w14:textId="4669F0F3" w:rsidR="00915077" w:rsidRPr="00E26EF6" w:rsidRDefault="00464F34">
            <w:pPr>
              <w:pStyle w:val="InstructionsText"/>
            </w:pPr>
            <w:r w:rsidRPr="00E26EF6">
              <w:t>Transakcje</w:t>
            </w:r>
            <w:r w:rsidR="00E26EF6" w:rsidRPr="00E26EF6">
              <w:t xml:space="preserve"> z dłu</w:t>
            </w:r>
            <w:r w:rsidRPr="00E26EF6">
              <w:t>gim terminem rozliczenia zdefiniowane</w:t>
            </w:r>
            <w:r w:rsidR="00E26EF6" w:rsidRPr="00E26EF6">
              <w:t xml:space="preserve"> w art</w:t>
            </w:r>
            <w:r w:rsidRPr="00E26EF6">
              <w:t>.</w:t>
            </w:r>
            <w:r w:rsidR="00023409" w:rsidRPr="00E26EF6">
              <w:t> </w:t>
            </w:r>
            <w:r w:rsidRPr="00E26EF6">
              <w:t>272 pkt</w:t>
            </w:r>
            <w:r w:rsidR="00023409" w:rsidRPr="00E26EF6">
              <w:t> </w:t>
            </w:r>
            <w:r w:rsidRPr="00E26EF6">
              <w:t>2 CRR.</w:t>
            </w:r>
          </w:p>
          <w:p w14:paraId="71CB7804" w14:textId="40B93CCE" w:rsidR="00915077" w:rsidRPr="00E26EF6" w:rsidRDefault="00464F34">
            <w:pPr>
              <w:pStyle w:val="InstructionsText"/>
              <w:rPr>
                <w:highlight w:val="lightGray"/>
              </w:rPr>
            </w:pPr>
            <w:r w:rsidRPr="00E26EF6">
              <w:t>W wierszu tym nie zgłasza się instrumentów pochodnych oraz transakcji</w:t>
            </w:r>
            <w:r w:rsidR="00E26EF6" w:rsidRPr="00E26EF6">
              <w:t xml:space="preserve"> z dłu</w:t>
            </w:r>
            <w:r w:rsidRPr="00E26EF6">
              <w:t>gim terminem rozliczenia, które są uwzględnione</w:t>
            </w:r>
            <w:r w:rsidR="00E26EF6" w:rsidRPr="00E26EF6">
              <w:t xml:space="preserve"> w kom</w:t>
            </w:r>
            <w:r w:rsidRPr="00E26EF6">
              <w:t>pensowaniu międzyproduktowym</w:t>
            </w:r>
            <w:r w:rsidR="00E26EF6" w:rsidRPr="00E26EF6">
              <w:t xml:space="preserve"> i w zwi</w:t>
            </w:r>
            <w:r w:rsidRPr="00E26EF6">
              <w:t>ązku</w:t>
            </w:r>
            <w:r w:rsidR="00E26EF6" w:rsidRPr="00E26EF6">
              <w:t xml:space="preserve"> z tym</w:t>
            </w:r>
            <w:r w:rsidRPr="00E26EF6">
              <w:t xml:space="preserve"> są zgłoszone</w:t>
            </w:r>
            <w:r w:rsidR="00E26EF6" w:rsidRPr="00E26EF6">
              <w:t xml:space="preserve"> w wie</w:t>
            </w:r>
            <w:r w:rsidRPr="00E26EF6">
              <w:t>rszu 130.</w:t>
            </w:r>
          </w:p>
        </w:tc>
      </w:tr>
      <w:tr w:rsidR="00915077" w:rsidRPr="00E26EF6" w14:paraId="400D6268" w14:textId="77777777" w:rsidTr="00672D2A">
        <w:tc>
          <w:tcPr>
            <w:tcW w:w="1188" w:type="dxa"/>
          </w:tcPr>
          <w:p w14:paraId="0A00C468" w14:textId="77777777" w:rsidR="00915077" w:rsidRPr="00E26EF6" w:rsidRDefault="00462BAB">
            <w:pPr>
              <w:pStyle w:val="InstructionsText"/>
              <w:rPr>
                <w:highlight w:val="lightGray"/>
              </w:rPr>
            </w:pPr>
            <w:r w:rsidRPr="00E26EF6">
              <w:t>120</w:t>
            </w:r>
          </w:p>
        </w:tc>
        <w:tc>
          <w:tcPr>
            <w:tcW w:w="8701" w:type="dxa"/>
          </w:tcPr>
          <w:p w14:paraId="5A7B90AA" w14:textId="77777777" w:rsidR="00915077" w:rsidRPr="00E26EF6" w:rsidRDefault="00464F34">
            <w:pPr>
              <w:pStyle w:val="InstructionsText"/>
            </w:pPr>
            <w:r w:rsidRPr="00E26EF6">
              <w:rPr>
                <w:rStyle w:val="InstructionsTabelleberschrift"/>
                <w:rFonts w:ascii="Times New Roman" w:hAnsi="Times New Roman"/>
                <w:sz w:val="24"/>
              </w:rPr>
              <w:t>W tym: rozliczane centralnie przez kwalifikujących się kontrahentów centralnych</w:t>
            </w:r>
          </w:p>
          <w:p w14:paraId="51699D27" w14:textId="2B32F7F2" w:rsidR="00915077" w:rsidRPr="00E26EF6" w:rsidRDefault="00464F34">
            <w:pPr>
              <w:pStyle w:val="InstructionsText"/>
            </w:pPr>
            <w:r w:rsidRPr="00E26EF6">
              <w:t>Art. 306 CRR</w:t>
            </w:r>
            <w:r w:rsidR="00E26EF6" w:rsidRPr="00E26EF6">
              <w:t xml:space="preserve"> w odn</w:t>
            </w:r>
            <w:r w:rsidRPr="00E26EF6">
              <w:t>iesieniu do kwalifikujących się kontrahentów centralnych zdefiniowanych</w:t>
            </w:r>
            <w:r w:rsidR="00E26EF6" w:rsidRPr="00E26EF6">
              <w:t xml:space="preserve"> w art</w:t>
            </w:r>
            <w:r w:rsidRPr="00E26EF6">
              <w:t>.</w:t>
            </w:r>
            <w:r w:rsidR="00023409" w:rsidRPr="00E26EF6">
              <w:t> </w:t>
            </w:r>
            <w:r w:rsidRPr="00E26EF6">
              <w:t>4 ust.</w:t>
            </w:r>
            <w:r w:rsidR="00023409" w:rsidRPr="00E26EF6">
              <w:t> </w:t>
            </w:r>
            <w:r w:rsidRPr="00E26EF6">
              <w:t>1 pkt</w:t>
            </w:r>
            <w:r w:rsidR="00023409" w:rsidRPr="00E26EF6">
              <w:t> </w:t>
            </w:r>
            <w:r w:rsidRPr="00E26EF6">
              <w:t>88 CRR zgodnie</w:t>
            </w:r>
            <w:r w:rsidR="00E26EF6" w:rsidRPr="00E26EF6">
              <w:t xml:space="preserve"> z art</w:t>
            </w:r>
            <w:r w:rsidRPr="00E26EF6">
              <w:t>.</w:t>
            </w:r>
            <w:r w:rsidR="00023409" w:rsidRPr="00E26EF6">
              <w:t> </w:t>
            </w:r>
            <w:r w:rsidRPr="00E26EF6">
              <w:t>301 ust.</w:t>
            </w:r>
            <w:r w:rsidR="00023409" w:rsidRPr="00E26EF6">
              <w:t> </w:t>
            </w:r>
            <w:r w:rsidRPr="00E26EF6">
              <w:t>2 CRR.</w:t>
            </w:r>
          </w:p>
          <w:p w14:paraId="5BBEC160" w14:textId="6EE4B070" w:rsidR="00915077" w:rsidRPr="00E26EF6" w:rsidRDefault="00770830">
            <w:pPr>
              <w:pStyle w:val="InstructionsText"/>
              <w:rPr>
                <w:b/>
                <w:highlight w:val="lightGray"/>
                <w:u w:val="single"/>
              </w:rPr>
            </w:pPr>
            <w:r w:rsidRPr="00E26EF6">
              <w:t>Ekspozycje</w:t>
            </w:r>
            <w:r w:rsidR="00E26EF6" w:rsidRPr="00E26EF6">
              <w:t xml:space="preserve"> z tyt</w:t>
            </w:r>
            <w:r w:rsidRPr="00E26EF6">
              <w:t>ułu transakcji zdefiniowane</w:t>
            </w:r>
            <w:r w:rsidR="00E26EF6" w:rsidRPr="00E26EF6">
              <w:t xml:space="preserve"> w art</w:t>
            </w:r>
            <w:r w:rsidRPr="00E26EF6">
              <w:t>.</w:t>
            </w:r>
            <w:r w:rsidR="00023409" w:rsidRPr="00E26EF6">
              <w:t> </w:t>
            </w:r>
            <w:r w:rsidRPr="00E26EF6">
              <w:t>4 ust.</w:t>
            </w:r>
            <w:r w:rsidR="00023409" w:rsidRPr="00E26EF6">
              <w:t> </w:t>
            </w:r>
            <w:r w:rsidRPr="00E26EF6">
              <w:t>1 pkt</w:t>
            </w:r>
            <w:r w:rsidR="00023409" w:rsidRPr="00E26EF6">
              <w:t> </w:t>
            </w:r>
            <w:r w:rsidRPr="00E26EF6">
              <w:t>91 CRR wobec kontrahenta centralnego.</w:t>
            </w:r>
          </w:p>
        </w:tc>
      </w:tr>
      <w:tr w:rsidR="00915077" w:rsidRPr="00E26EF6" w14:paraId="0594C4E8" w14:textId="77777777" w:rsidTr="00672D2A">
        <w:tc>
          <w:tcPr>
            <w:tcW w:w="1188" w:type="dxa"/>
          </w:tcPr>
          <w:p w14:paraId="5C850426" w14:textId="77777777" w:rsidR="00915077" w:rsidRPr="00E26EF6" w:rsidRDefault="00462BAB">
            <w:pPr>
              <w:pStyle w:val="InstructionsText"/>
              <w:rPr>
                <w:highlight w:val="lightGray"/>
              </w:rPr>
            </w:pPr>
            <w:r w:rsidRPr="00E26EF6">
              <w:t>130</w:t>
            </w:r>
          </w:p>
        </w:tc>
        <w:tc>
          <w:tcPr>
            <w:tcW w:w="8701" w:type="dxa"/>
          </w:tcPr>
          <w:p w14:paraId="75FD13DF" w14:textId="2509D89D"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Wynikające</w:t>
            </w:r>
            <w:r w:rsidR="00E26EF6" w:rsidRPr="00E26EF6">
              <w:rPr>
                <w:rStyle w:val="InstructionsTabelleberschrift"/>
                <w:rFonts w:ascii="Times New Roman" w:hAnsi="Times New Roman"/>
                <w:sz w:val="24"/>
              </w:rPr>
              <w:t xml:space="preserve"> z umo</w:t>
            </w:r>
            <w:r w:rsidRPr="00E26EF6">
              <w:rPr>
                <w:rStyle w:val="InstructionsTabelleberschrift"/>
                <w:rFonts w:ascii="Times New Roman" w:hAnsi="Times New Roman"/>
                <w:sz w:val="24"/>
              </w:rPr>
              <w:t>wy</w:t>
            </w:r>
            <w:r w:rsidR="00E26EF6" w:rsidRPr="00E26EF6">
              <w:rPr>
                <w:rStyle w:val="InstructionsTabelleberschrift"/>
                <w:rFonts w:ascii="Times New Roman" w:hAnsi="Times New Roman"/>
                <w:sz w:val="24"/>
              </w:rPr>
              <w:t xml:space="preserve"> o kom</w:t>
            </w:r>
            <w:r w:rsidRPr="00E26EF6">
              <w:rPr>
                <w:rStyle w:val="InstructionsTabelleberschrift"/>
                <w:rFonts w:ascii="Times New Roman" w:hAnsi="Times New Roman"/>
                <w:sz w:val="24"/>
              </w:rPr>
              <w:t>pensowaniu międzyproduktowym</w:t>
            </w:r>
          </w:p>
          <w:p w14:paraId="08F04BB3" w14:textId="08EA690D" w:rsidR="00915077" w:rsidRPr="00E26EF6" w:rsidRDefault="00464F34">
            <w:pPr>
              <w:pStyle w:val="InstructionsText"/>
              <w:rPr>
                <w:highlight w:val="lightGray"/>
              </w:rPr>
            </w:pPr>
            <w:r w:rsidRPr="00E26EF6">
              <w:t>W wierszu tym uwzględnia się ekspozycje, których</w:t>
            </w:r>
            <w:r w:rsidR="00E26EF6" w:rsidRPr="00E26EF6">
              <w:t xml:space="preserve"> w wyn</w:t>
            </w:r>
            <w:r w:rsidRPr="00E26EF6">
              <w:t>iku istnienia umowy</w:t>
            </w:r>
            <w:r w:rsidR="00E26EF6" w:rsidRPr="00E26EF6">
              <w:t xml:space="preserve"> o kom</w:t>
            </w:r>
            <w:r w:rsidRPr="00E26EF6">
              <w:t>pensowaniu międzyproduktowym (zgodnie</w:t>
            </w:r>
            <w:r w:rsidR="00E26EF6" w:rsidRPr="00E26EF6">
              <w:t xml:space="preserve"> z def</w:t>
            </w:r>
            <w:r w:rsidRPr="00E26EF6">
              <w:t>inicją zawartą</w:t>
            </w:r>
            <w:r w:rsidR="00E26EF6" w:rsidRPr="00E26EF6">
              <w:t xml:space="preserve"> w art</w:t>
            </w:r>
            <w:r w:rsidRPr="00E26EF6">
              <w:t>.</w:t>
            </w:r>
            <w:r w:rsidR="00023409" w:rsidRPr="00E26EF6">
              <w:t> </w:t>
            </w:r>
            <w:r w:rsidRPr="00E26EF6">
              <w:t>272 pkt</w:t>
            </w:r>
            <w:r w:rsidR="00023409" w:rsidRPr="00E26EF6">
              <w:t> </w:t>
            </w:r>
            <w:r w:rsidRPr="00E26EF6">
              <w:t>11 CRR) nie można przypisać do instrumentów pochodnych oraz transakcji</w:t>
            </w:r>
            <w:r w:rsidR="00E26EF6" w:rsidRPr="00E26EF6">
              <w:t xml:space="preserve"> z dłu</w:t>
            </w:r>
            <w:r w:rsidRPr="00E26EF6">
              <w:t>gim terminem rozliczenia albo do transakcji finansowanych</w:t>
            </w:r>
            <w:r w:rsidR="00E26EF6" w:rsidRPr="00E26EF6">
              <w:t xml:space="preserve"> z uży</w:t>
            </w:r>
            <w:r w:rsidRPr="00E26EF6">
              <w:t>ciem papierów wartościowych.</w:t>
            </w:r>
          </w:p>
        </w:tc>
      </w:tr>
      <w:tr w:rsidR="00915077" w:rsidRPr="00E26EF6" w14:paraId="5DD9B910" w14:textId="77777777" w:rsidTr="00672D2A">
        <w:tc>
          <w:tcPr>
            <w:tcW w:w="1188" w:type="dxa"/>
          </w:tcPr>
          <w:p w14:paraId="3752B892" w14:textId="77777777" w:rsidR="00915077" w:rsidRPr="00E26EF6" w:rsidRDefault="00462BAB">
            <w:pPr>
              <w:pStyle w:val="InstructionsText"/>
              <w:rPr>
                <w:highlight w:val="lightGray"/>
              </w:rPr>
            </w:pPr>
            <w:r w:rsidRPr="00E26EF6">
              <w:t>140–280</w:t>
            </w:r>
          </w:p>
        </w:tc>
        <w:tc>
          <w:tcPr>
            <w:tcW w:w="8701" w:type="dxa"/>
          </w:tcPr>
          <w:p w14:paraId="7B7F8D08"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PODZIAŁ EKSPOZYCJI CAŁKOWITYCH WEDŁUG WAG RYZYKA</w:t>
            </w:r>
          </w:p>
          <w:p w14:paraId="67525D7F" w14:textId="77777777" w:rsidR="00915077" w:rsidRPr="00E26EF6" w:rsidRDefault="00915077">
            <w:pPr>
              <w:pStyle w:val="InstructionsText"/>
              <w:rPr>
                <w:highlight w:val="lightGray"/>
              </w:rPr>
            </w:pPr>
          </w:p>
        </w:tc>
      </w:tr>
      <w:tr w:rsidR="00915077" w:rsidRPr="00E26EF6" w14:paraId="7D31A42B" w14:textId="77777777" w:rsidTr="00672D2A">
        <w:tc>
          <w:tcPr>
            <w:tcW w:w="1188" w:type="dxa"/>
            <w:shd w:val="clear" w:color="auto" w:fill="auto"/>
          </w:tcPr>
          <w:p w14:paraId="049D722F" w14:textId="77777777" w:rsidR="00915077" w:rsidRPr="00E26EF6" w:rsidRDefault="00462BAB">
            <w:pPr>
              <w:pStyle w:val="InstructionsText"/>
              <w:rPr>
                <w:highlight w:val="lightGray"/>
              </w:rPr>
            </w:pPr>
            <w:r w:rsidRPr="00E26EF6">
              <w:t>140</w:t>
            </w:r>
          </w:p>
        </w:tc>
        <w:tc>
          <w:tcPr>
            <w:tcW w:w="8701" w:type="dxa"/>
            <w:shd w:val="clear" w:color="auto" w:fill="auto"/>
          </w:tcPr>
          <w:p w14:paraId="2732209C" w14:textId="4BD79162"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4919C89A" w14:textId="77777777" w:rsidR="00915077" w:rsidRPr="00E26EF6" w:rsidRDefault="00915077">
            <w:pPr>
              <w:pStyle w:val="InstructionsText"/>
              <w:rPr>
                <w:highlight w:val="lightGray"/>
              </w:rPr>
            </w:pPr>
          </w:p>
        </w:tc>
      </w:tr>
      <w:tr w:rsidR="00915077" w:rsidRPr="00E26EF6" w14:paraId="13E4B14C" w14:textId="77777777" w:rsidTr="00672D2A">
        <w:tc>
          <w:tcPr>
            <w:tcW w:w="1188" w:type="dxa"/>
            <w:shd w:val="clear" w:color="auto" w:fill="auto"/>
          </w:tcPr>
          <w:p w14:paraId="7473F8DC" w14:textId="77777777" w:rsidR="00915077" w:rsidRPr="00E26EF6" w:rsidRDefault="00462BAB">
            <w:pPr>
              <w:pStyle w:val="InstructionsText"/>
              <w:rPr>
                <w:highlight w:val="lightGray"/>
              </w:rPr>
            </w:pPr>
            <w:r w:rsidRPr="00E26EF6">
              <w:lastRenderedPageBreak/>
              <w:t>150</w:t>
            </w:r>
          </w:p>
        </w:tc>
        <w:tc>
          <w:tcPr>
            <w:tcW w:w="8701" w:type="dxa"/>
            <w:shd w:val="clear" w:color="auto" w:fill="auto"/>
          </w:tcPr>
          <w:p w14:paraId="201EF7DA" w14:textId="77777777" w:rsidR="00915077" w:rsidRPr="00E26EF6" w:rsidRDefault="00464F34">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2 %</w:t>
            </w:r>
          </w:p>
          <w:p w14:paraId="5F171746" w14:textId="1821A69B" w:rsidR="00915077" w:rsidRPr="00E26EF6" w:rsidRDefault="00464F34">
            <w:pPr>
              <w:pStyle w:val="InstructionsText"/>
              <w:rPr>
                <w:b/>
                <w:highlight w:val="lightGray"/>
              </w:rPr>
            </w:pPr>
            <w:r w:rsidRPr="00E26EF6">
              <w:t>Art. 306 ust. 1 CRR</w:t>
            </w:r>
          </w:p>
        </w:tc>
      </w:tr>
      <w:tr w:rsidR="00915077" w:rsidRPr="00E26EF6" w14:paraId="6EB8AC3B" w14:textId="77777777" w:rsidTr="00672D2A">
        <w:tc>
          <w:tcPr>
            <w:tcW w:w="1188" w:type="dxa"/>
            <w:shd w:val="clear" w:color="auto" w:fill="auto"/>
          </w:tcPr>
          <w:p w14:paraId="4772746B" w14:textId="77777777" w:rsidR="00915077" w:rsidRPr="00E26EF6" w:rsidRDefault="00462BAB">
            <w:pPr>
              <w:pStyle w:val="InstructionsText"/>
              <w:rPr>
                <w:highlight w:val="lightGray"/>
              </w:rPr>
            </w:pPr>
            <w:r w:rsidRPr="00E26EF6">
              <w:t>160</w:t>
            </w:r>
          </w:p>
        </w:tc>
        <w:tc>
          <w:tcPr>
            <w:tcW w:w="8701" w:type="dxa"/>
            <w:shd w:val="clear" w:color="auto" w:fill="auto"/>
          </w:tcPr>
          <w:p w14:paraId="0CE91579" w14:textId="77777777"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4 %</w:t>
            </w:r>
          </w:p>
          <w:p w14:paraId="64E98C4F" w14:textId="72286B20" w:rsidR="00915077" w:rsidRPr="00E26EF6" w:rsidRDefault="00462BAB">
            <w:pPr>
              <w:pStyle w:val="InstructionsText"/>
              <w:rPr>
                <w:b/>
                <w:highlight w:val="lightGray"/>
                <w:u w:val="single"/>
              </w:rPr>
            </w:pPr>
            <w:r w:rsidRPr="00E26EF6">
              <w:t>Art. 305 ust. 3 CRR</w:t>
            </w:r>
          </w:p>
        </w:tc>
      </w:tr>
      <w:tr w:rsidR="00915077" w:rsidRPr="00E26EF6" w14:paraId="6DD4D856" w14:textId="77777777" w:rsidTr="00672D2A">
        <w:tc>
          <w:tcPr>
            <w:tcW w:w="1188" w:type="dxa"/>
            <w:shd w:val="clear" w:color="auto" w:fill="auto"/>
          </w:tcPr>
          <w:p w14:paraId="3DB4451A" w14:textId="77777777" w:rsidR="00915077" w:rsidRPr="00E26EF6" w:rsidRDefault="00462BAB">
            <w:pPr>
              <w:pStyle w:val="InstructionsText"/>
              <w:rPr>
                <w:highlight w:val="lightGray"/>
              </w:rPr>
            </w:pPr>
            <w:r w:rsidRPr="00E26EF6">
              <w:t>170</w:t>
            </w:r>
          </w:p>
        </w:tc>
        <w:tc>
          <w:tcPr>
            <w:tcW w:w="8701" w:type="dxa"/>
            <w:shd w:val="clear" w:color="auto" w:fill="auto"/>
          </w:tcPr>
          <w:p w14:paraId="47CBBF0D" w14:textId="6BC81E76"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6E6D2FEF" w14:textId="77777777" w:rsidR="00915077" w:rsidRPr="00E26EF6" w:rsidRDefault="00915077">
            <w:pPr>
              <w:pStyle w:val="InstructionsText"/>
              <w:rPr>
                <w:highlight w:val="lightGray"/>
              </w:rPr>
            </w:pPr>
          </w:p>
        </w:tc>
      </w:tr>
      <w:tr w:rsidR="00915077" w:rsidRPr="00E26EF6" w14:paraId="06D0C5F2" w14:textId="77777777" w:rsidTr="00672D2A">
        <w:tc>
          <w:tcPr>
            <w:tcW w:w="1188" w:type="dxa"/>
            <w:shd w:val="clear" w:color="auto" w:fill="auto"/>
          </w:tcPr>
          <w:p w14:paraId="197C4678" w14:textId="77777777" w:rsidR="00915077" w:rsidRPr="00E26EF6" w:rsidRDefault="00462BAB">
            <w:pPr>
              <w:pStyle w:val="InstructionsText"/>
              <w:rPr>
                <w:highlight w:val="lightGray"/>
              </w:rPr>
            </w:pPr>
            <w:r w:rsidRPr="00E26EF6">
              <w:t>180</w:t>
            </w:r>
          </w:p>
        </w:tc>
        <w:tc>
          <w:tcPr>
            <w:tcW w:w="8701" w:type="dxa"/>
            <w:shd w:val="clear" w:color="auto" w:fill="auto"/>
          </w:tcPr>
          <w:p w14:paraId="4FA81A5F" w14:textId="4227344A"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20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7F0891DD" w14:textId="77777777" w:rsidR="00915077" w:rsidRPr="00E26EF6" w:rsidRDefault="00915077">
            <w:pPr>
              <w:pStyle w:val="InstructionsText"/>
              <w:rPr>
                <w:highlight w:val="lightGray"/>
              </w:rPr>
            </w:pPr>
          </w:p>
        </w:tc>
      </w:tr>
      <w:tr w:rsidR="00915077" w:rsidRPr="00E26EF6" w14:paraId="3197C9A6" w14:textId="77777777" w:rsidTr="00672D2A">
        <w:tc>
          <w:tcPr>
            <w:tcW w:w="1188" w:type="dxa"/>
            <w:shd w:val="clear" w:color="auto" w:fill="auto"/>
          </w:tcPr>
          <w:p w14:paraId="124695BB" w14:textId="77777777" w:rsidR="00915077" w:rsidRPr="00E26EF6" w:rsidRDefault="00462BAB">
            <w:pPr>
              <w:pStyle w:val="InstructionsText"/>
              <w:rPr>
                <w:highlight w:val="lightGray"/>
              </w:rPr>
            </w:pPr>
            <w:r w:rsidRPr="00E26EF6">
              <w:t>190</w:t>
            </w:r>
          </w:p>
        </w:tc>
        <w:tc>
          <w:tcPr>
            <w:tcW w:w="8701" w:type="dxa"/>
            <w:shd w:val="clear" w:color="auto" w:fill="auto"/>
          </w:tcPr>
          <w:p w14:paraId="38EADEFB" w14:textId="2C8A2732"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35</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257917EE" w14:textId="77777777" w:rsidR="00915077" w:rsidRPr="00E26EF6" w:rsidRDefault="00915077">
            <w:pPr>
              <w:pStyle w:val="InstructionsText"/>
              <w:rPr>
                <w:highlight w:val="lightGray"/>
              </w:rPr>
            </w:pPr>
          </w:p>
        </w:tc>
      </w:tr>
      <w:tr w:rsidR="00915077" w:rsidRPr="00E26EF6" w14:paraId="04B675ED" w14:textId="77777777" w:rsidTr="00672D2A">
        <w:tc>
          <w:tcPr>
            <w:tcW w:w="1188" w:type="dxa"/>
            <w:shd w:val="clear" w:color="auto" w:fill="auto"/>
          </w:tcPr>
          <w:p w14:paraId="271FA406" w14:textId="77777777" w:rsidR="00915077" w:rsidRPr="00E26EF6" w:rsidRDefault="00462BAB">
            <w:pPr>
              <w:pStyle w:val="InstructionsText"/>
              <w:rPr>
                <w:highlight w:val="lightGray"/>
              </w:rPr>
            </w:pPr>
            <w:r w:rsidRPr="00E26EF6">
              <w:t>200</w:t>
            </w:r>
          </w:p>
        </w:tc>
        <w:tc>
          <w:tcPr>
            <w:tcW w:w="8701" w:type="dxa"/>
            <w:shd w:val="clear" w:color="auto" w:fill="auto"/>
          </w:tcPr>
          <w:p w14:paraId="03E42EEF" w14:textId="0218C4D7"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63E93581" w14:textId="77777777" w:rsidR="00915077" w:rsidRPr="00E26EF6" w:rsidRDefault="00915077">
            <w:pPr>
              <w:pStyle w:val="InstructionsText"/>
              <w:rPr>
                <w:highlight w:val="lightGray"/>
              </w:rPr>
            </w:pPr>
          </w:p>
        </w:tc>
      </w:tr>
      <w:tr w:rsidR="00915077" w:rsidRPr="00E26EF6" w14:paraId="36DCC047" w14:textId="77777777" w:rsidTr="00672D2A">
        <w:tc>
          <w:tcPr>
            <w:tcW w:w="1188" w:type="dxa"/>
            <w:shd w:val="clear" w:color="auto" w:fill="auto"/>
          </w:tcPr>
          <w:p w14:paraId="66D6B354" w14:textId="77777777" w:rsidR="00915077" w:rsidRPr="00E26EF6" w:rsidRDefault="00462BAB">
            <w:pPr>
              <w:pStyle w:val="InstructionsText"/>
              <w:rPr>
                <w:highlight w:val="lightGray"/>
              </w:rPr>
            </w:pPr>
            <w:r w:rsidRPr="00E26EF6">
              <w:t>210</w:t>
            </w:r>
          </w:p>
        </w:tc>
        <w:tc>
          <w:tcPr>
            <w:tcW w:w="8701" w:type="dxa"/>
            <w:shd w:val="clear" w:color="auto" w:fill="auto"/>
          </w:tcPr>
          <w:p w14:paraId="55AA7A20" w14:textId="4D9F3E45"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70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081C0AF3" w14:textId="275857DD" w:rsidR="00915077" w:rsidRPr="00E26EF6" w:rsidRDefault="00D21B29">
            <w:pPr>
              <w:pStyle w:val="InstructionsText"/>
              <w:rPr>
                <w:highlight w:val="lightGray"/>
              </w:rPr>
            </w:pPr>
            <w:r w:rsidRPr="00E26EF6">
              <w:t>Art. 232 ust.</w:t>
            </w:r>
            <w:r w:rsidR="00023409" w:rsidRPr="00E26EF6">
              <w:t> </w:t>
            </w:r>
            <w:r w:rsidRPr="00E26EF6">
              <w:t>3 lit.</w:t>
            </w:r>
            <w:r w:rsidR="00023409" w:rsidRPr="00E26EF6">
              <w:t> </w:t>
            </w:r>
            <w:r w:rsidRPr="00E26EF6">
              <w:t>c) CRR.</w:t>
            </w:r>
          </w:p>
        </w:tc>
      </w:tr>
      <w:tr w:rsidR="00915077" w:rsidRPr="00E26EF6" w14:paraId="5AB965D9" w14:textId="77777777" w:rsidTr="00672D2A">
        <w:tc>
          <w:tcPr>
            <w:tcW w:w="1188" w:type="dxa"/>
            <w:shd w:val="clear" w:color="auto" w:fill="auto"/>
          </w:tcPr>
          <w:p w14:paraId="4DC93FE1" w14:textId="77777777" w:rsidR="00915077" w:rsidRPr="00E26EF6" w:rsidRDefault="00462BAB">
            <w:pPr>
              <w:pStyle w:val="InstructionsText"/>
              <w:rPr>
                <w:highlight w:val="lightGray"/>
              </w:rPr>
            </w:pPr>
            <w:r w:rsidRPr="00E26EF6">
              <w:t>220</w:t>
            </w:r>
          </w:p>
        </w:tc>
        <w:tc>
          <w:tcPr>
            <w:tcW w:w="8701" w:type="dxa"/>
            <w:shd w:val="clear" w:color="auto" w:fill="auto"/>
          </w:tcPr>
          <w:p w14:paraId="3CA47DA5" w14:textId="520111BF"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75</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0D74F3CB" w14:textId="77777777" w:rsidR="00915077" w:rsidRPr="00E26EF6" w:rsidRDefault="00915077">
            <w:pPr>
              <w:pStyle w:val="InstructionsText"/>
              <w:rPr>
                <w:highlight w:val="lightGray"/>
              </w:rPr>
            </w:pPr>
          </w:p>
        </w:tc>
      </w:tr>
      <w:tr w:rsidR="00915077" w:rsidRPr="00E26EF6" w14:paraId="644D7D63" w14:textId="77777777" w:rsidTr="00672D2A">
        <w:tc>
          <w:tcPr>
            <w:tcW w:w="1188" w:type="dxa"/>
            <w:shd w:val="clear" w:color="auto" w:fill="auto"/>
          </w:tcPr>
          <w:p w14:paraId="15850B07" w14:textId="77777777" w:rsidR="00915077" w:rsidRPr="00E26EF6" w:rsidRDefault="00462BAB">
            <w:pPr>
              <w:pStyle w:val="InstructionsText"/>
              <w:rPr>
                <w:highlight w:val="lightGray"/>
              </w:rPr>
            </w:pPr>
            <w:r w:rsidRPr="00E26EF6">
              <w:t>230</w:t>
            </w:r>
          </w:p>
        </w:tc>
        <w:tc>
          <w:tcPr>
            <w:tcW w:w="8701" w:type="dxa"/>
            <w:shd w:val="clear" w:color="auto" w:fill="auto"/>
          </w:tcPr>
          <w:p w14:paraId="2C04D32D" w14:textId="7D6B9D23"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100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502631B3" w14:textId="77777777" w:rsidR="00915077" w:rsidRPr="00E26EF6" w:rsidRDefault="00915077">
            <w:pPr>
              <w:pStyle w:val="InstructionsText"/>
              <w:rPr>
                <w:highlight w:val="lightGray"/>
              </w:rPr>
            </w:pPr>
          </w:p>
        </w:tc>
      </w:tr>
      <w:tr w:rsidR="00915077" w:rsidRPr="00E26EF6" w14:paraId="61E4A948" w14:textId="77777777" w:rsidTr="00672D2A">
        <w:tc>
          <w:tcPr>
            <w:tcW w:w="1188" w:type="dxa"/>
            <w:shd w:val="clear" w:color="auto" w:fill="auto"/>
          </w:tcPr>
          <w:p w14:paraId="0BD0253F" w14:textId="77777777" w:rsidR="00915077" w:rsidRPr="00E26EF6" w:rsidRDefault="00462BAB">
            <w:pPr>
              <w:pStyle w:val="InstructionsText"/>
              <w:rPr>
                <w:highlight w:val="lightGray"/>
              </w:rPr>
            </w:pPr>
            <w:r w:rsidRPr="00E26EF6">
              <w:t>240</w:t>
            </w:r>
          </w:p>
        </w:tc>
        <w:tc>
          <w:tcPr>
            <w:tcW w:w="8701" w:type="dxa"/>
            <w:shd w:val="clear" w:color="auto" w:fill="auto"/>
          </w:tcPr>
          <w:p w14:paraId="4B31930A" w14:textId="351877F2"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47E2C677" w14:textId="77777777" w:rsidR="00915077" w:rsidRPr="00E26EF6" w:rsidRDefault="00915077">
            <w:pPr>
              <w:pStyle w:val="InstructionsText"/>
              <w:rPr>
                <w:highlight w:val="lightGray"/>
              </w:rPr>
            </w:pPr>
          </w:p>
        </w:tc>
      </w:tr>
      <w:tr w:rsidR="00915077" w:rsidRPr="00E26EF6" w14:paraId="1AD3E98B" w14:textId="77777777" w:rsidTr="00672D2A">
        <w:tc>
          <w:tcPr>
            <w:tcW w:w="1188" w:type="dxa"/>
            <w:shd w:val="clear" w:color="auto" w:fill="auto"/>
          </w:tcPr>
          <w:p w14:paraId="1C3F1822" w14:textId="77777777" w:rsidR="00915077" w:rsidRPr="00E26EF6" w:rsidRDefault="00462BAB">
            <w:pPr>
              <w:pStyle w:val="InstructionsText"/>
              <w:rPr>
                <w:highlight w:val="lightGray"/>
              </w:rPr>
            </w:pPr>
            <w:r w:rsidRPr="00E26EF6">
              <w:t>250</w:t>
            </w:r>
          </w:p>
        </w:tc>
        <w:tc>
          <w:tcPr>
            <w:tcW w:w="8701" w:type="dxa"/>
            <w:shd w:val="clear" w:color="auto" w:fill="auto"/>
          </w:tcPr>
          <w:p w14:paraId="3B8D962F" w14:textId="77777777"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250 %</w:t>
            </w:r>
          </w:p>
          <w:p w14:paraId="41C76E01" w14:textId="6062B57D" w:rsidR="00915077" w:rsidRPr="00E26EF6" w:rsidRDefault="00462BAB">
            <w:pPr>
              <w:pStyle w:val="InstructionsText"/>
              <w:rPr>
                <w:highlight w:val="lightGray"/>
              </w:rPr>
            </w:pPr>
            <w:r w:rsidRPr="00E26EF6">
              <w:t>Art. 133 ust.</w:t>
            </w:r>
            <w:r w:rsidR="00023409" w:rsidRPr="00E26EF6">
              <w:t> </w:t>
            </w:r>
            <w:r w:rsidRPr="00E26EF6">
              <w:t>2</w:t>
            </w:r>
            <w:r w:rsidR="00E26EF6" w:rsidRPr="00E26EF6">
              <w:t xml:space="preserve"> i art</w:t>
            </w:r>
            <w:r w:rsidRPr="00E26EF6">
              <w:t>.</w:t>
            </w:r>
            <w:r w:rsidR="00023409" w:rsidRPr="00E26EF6">
              <w:t> </w:t>
            </w:r>
            <w:r w:rsidRPr="00E26EF6">
              <w:t>48 ust.</w:t>
            </w:r>
            <w:r w:rsidR="00023409" w:rsidRPr="00E26EF6">
              <w:t> </w:t>
            </w:r>
            <w:r w:rsidRPr="00E26EF6">
              <w:t>4 CRR.</w:t>
            </w:r>
          </w:p>
        </w:tc>
      </w:tr>
      <w:tr w:rsidR="00915077" w:rsidRPr="00E26EF6" w14:paraId="2FC10DCB" w14:textId="77777777" w:rsidTr="00672D2A">
        <w:tc>
          <w:tcPr>
            <w:tcW w:w="1188" w:type="dxa"/>
            <w:shd w:val="clear" w:color="auto" w:fill="auto"/>
          </w:tcPr>
          <w:p w14:paraId="4EB3306B" w14:textId="77777777" w:rsidR="00915077" w:rsidRPr="00E26EF6" w:rsidRDefault="00462BAB">
            <w:pPr>
              <w:pStyle w:val="InstructionsText"/>
              <w:rPr>
                <w:highlight w:val="lightGray"/>
              </w:rPr>
            </w:pPr>
            <w:r w:rsidRPr="00E26EF6">
              <w:t>260</w:t>
            </w:r>
          </w:p>
        </w:tc>
        <w:tc>
          <w:tcPr>
            <w:tcW w:w="8701" w:type="dxa"/>
            <w:shd w:val="clear" w:color="auto" w:fill="auto"/>
          </w:tcPr>
          <w:p w14:paraId="4B55582E" w14:textId="77777777"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370 %</w:t>
            </w:r>
          </w:p>
          <w:p w14:paraId="2424B85A" w14:textId="07D58770" w:rsidR="00915077" w:rsidRPr="00E26EF6" w:rsidRDefault="00462BAB">
            <w:pPr>
              <w:pStyle w:val="InstructionsText"/>
              <w:rPr>
                <w:b/>
                <w:highlight w:val="lightGray"/>
                <w:u w:val="single"/>
              </w:rPr>
            </w:pPr>
            <w:r w:rsidRPr="00E26EF6">
              <w:t>Art. 471 CRR</w:t>
            </w:r>
          </w:p>
        </w:tc>
      </w:tr>
      <w:tr w:rsidR="00915077" w:rsidRPr="00E26EF6" w14:paraId="73D4C74B" w14:textId="77777777" w:rsidTr="00672D2A">
        <w:tc>
          <w:tcPr>
            <w:tcW w:w="1188" w:type="dxa"/>
            <w:shd w:val="clear" w:color="auto" w:fill="auto"/>
          </w:tcPr>
          <w:p w14:paraId="1C3AE7F6" w14:textId="77777777" w:rsidR="00915077" w:rsidRPr="00E26EF6" w:rsidRDefault="00462BAB">
            <w:pPr>
              <w:pStyle w:val="InstructionsText"/>
              <w:rPr>
                <w:highlight w:val="lightGray"/>
              </w:rPr>
            </w:pPr>
            <w:r w:rsidRPr="00E26EF6">
              <w:t>270</w:t>
            </w:r>
          </w:p>
        </w:tc>
        <w:tc>
          <w:tcPr>
            <w:tcW w:w="8701" w:type="dxa"/>
            <w:shd w:val="clear" w:color="auto" w:fill="auto"/>
          </w:tcPr>
          <w:p w14:paraId="1AE17939" w14:textId="62B99C3B"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1 250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56F443AA" w14:textId="67F49375" w:rsidR="00915077" w:rsidRPr="00E26EF6" w:rsidRDefault="00462BAB">
            <w:pPr>
              <w:pStyle w:val="InstructionsText"/>
              <w:rPr>
                <w:b/>
                <w:highlight w:val="lightGray"/>
                <w:u w:val="single"/>
              </w:rPr>
            </w:pPr>
            <w:r w:rsidRPr="00E26EF6">
              <w:t>Art. 133 ust.</w:t>
            </w:r>
            <w:r w:rsidR="00023409" w:rsidRPr="00E26EF6">
              <w:t> </w:t>
            </w:r>
            <w:r w:rsidRPr="00E26EF6">
              <w:t>2</w:t>
            </w:r>
            <w:r w:rsidR="00E26EF6" w:rsidRPr="00E26EF6">
              <w:t xml:space="preserve"> i art</w:t>
            </w:r>
            <w:r w:rsidRPr="00E26EF6">
              <w:t>.</w:t>
            </w:r>
            <w:r w:rsidR="00023409" w:rsidRPr="00E26EF6">
              <w:t> </w:t>
            </w:r>
            <w:r w:rsidRPr="00E26EF6">
              <w:t>379 CRR.</w:t>
            </w:r>
          </w:p>
        </w:tc>
      </w:tr>
      <w:tr w:rsidR="00915077" w:rsidRPr="00E26EF6" w14:paraId="5B803A89" w14:textId="77777777" w:rsidTr="00672D2A">
        <w:tc>
          <w:tcPr>
            <w:tcW w:w="1188" w:type="dxa"/>
            <w:shd w:val="clear" w:color="auto" w:fill="auto"/>
          </w:tcPr>
          <w:p w14:paraId="44EE6FB9" w14:textId="77777777" w:rsidR="00915077" w:rsidRPr="00E26EF6" w:rsidRDefault="00462BAB">
            <w:pPr>
              <w:pStyle w:val="InstructionsText"/>
              <w:rPr>
                <w:highlight w:val="lightGray"/>
              </w:rPr>
            </w:pPr>
            <w:r w:rsidRPr="00E26EF6">
              <w:t>280</w:t>
            </w:r>
          </w:p>
        </w:tc>
        <w:tc>
          <w:tcPr>
            <w:tcW w:w="8701" w:type="dxa"/>
            <w:shd w:val="clear" w:color="auto" w:fill="auto"/>
          </w:tcPr>
          <w:p w14:paraId="0A40E035" w14:textId="77777777"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Inne wagi ryzyka</w:t>
            </w:r>
          </w:p>
          <w:p w14:paraId="75E5F61E" w14:textId="5F4CFAC6" w:rsidR="00915077" w:rsidRPr="00E26EF6" w:rsidRDefault="00462BAB">
            <w:pPr>
              <w:pStyle w:val="InstructionsText"/>
            </w:pPr>
            <w:r w:rsidRPr="00E26EF6">
              <w:t>Ten wiersz jest niedostępny do celów zgłaszania kategorii ekspozycji wobec rządów, wobec przedsiębiorstw, wobec instytucji</w:t>
            </w:r>
            <w:r w:rsidR="00E26EF6" w:rsidRPr="00E26EF6">
              <w:t xml:space="preserve"> i eks</w:t>
            </w:r>
            <w:r w:rsidRPr="00E26EF6">
              <w:t>pozycji detalicznych.</w:t>
            </w:r>
          </w:p>
          <w:p w14:paraId="121FC4D4" w14:textId="77777777" w:rsidR="00915077" w:rsidRPr="00E26EF6" w:rsidRDefault="00915077">
            <w:pPr>
              <w:pStyle w:val="InstructionsText"/>
            </w:pPr>
          </w:p>
          <w:p w14:paraId="67CEAA17" w14:textId="77777777" w:rsidR="00915077" w:rsidRPr="00E26EF6" w:rsidRDefault="00462BAB">
            <w:pPr>
              <w:pStyle w:val="InstructionsText"/>
            </w:pPr>
            <w:r w:rsidRPr="00E26EF6">
              <w:t>Zgłaszanie tych ekspozycji nie podlega wagom ryzyka wymienionym we wzorze.</w:t>
            </w:r>
          </w:p>
          <w:p w14:paraId="7E603395" w14:textId="2244B9A9" w:rsidR="00915077" w:rsidRPr="00E26EF6" w:rsidRDefault="00167619">
            <w:pPr>
              <w:pStyle w:val="InstructionsText"/>
            </w:pPr>
            <w:r w:rsidRPr="00E26EF6">
              <w:t>Art. 113 ust.</w:t>
            </w:r>
            <w:r w:rsidR="00023409" w:rsidRPr="00E26EF6">
              <w:t> </w:t>
            </w:r>
            <w:r w:rsidRPr="00E26EF6">
              <w:t xml:space="preserve">1–5 CRR. </w:t>
            </w:r>
          </w:p>
          <w:p w14:paraId="4BA7C54D" w14:textId="77777777" w:rsidR="00915077" w:rsidRPr="00E26EF6" w:rsidRDefault="00915077">
            <w:pPr>
              <w:pStyle w:val="InstructionsText"/>
            </w:pPr>
          </w:p>
          <w:p w14:paraId="7E4903A5" w14:textId="38DC6093" w:rsidR="00915077" w:rsidRPr="00E26EF6" w:rsidRDefault="00462BAB">
            <w:pPr>
              <w:pStyle w:val="InstructionsText"/>
            </w:pPr>
            <w:r w:rsidRPr="00E26EF6">
              <w:t>Kredytowe instrumenty pochodne uruchamiane n-tym niewykonaniem zobowiązania bez ratingu zgodnie</w:t>
            </w:r>
            <w:r w:rsidR="00E26EF6" w:rsidRPr="00E26EF6">
              <w:t xml:space="preserve"> z met</w:t>
            </w:r>
            <w:r w:rsidRPr="00E26EF6">
              <w:t>odą standardową (art.</w:t>
            </w:r>
            <w:r w:rsidR="00023409" w:rsidRPr="00E26EF6">
              <w:t> </w:t>
            </w:r>
            <w:r w:rsidRPr="00E26EF6">
              <w:t>134 ust.</w:t>
            </w:r>
            <w:r w:rsidR="00023409" w:rsidRPr="00E26EF6">
              <w:t> </w:t>
            </w:r>
            <w:r w:rsidRPr="00E26EF6">
              <w:t>6 CRR) zgłaszane są</w:t>
            </w:r>
            <w:r w:rsidR="00E26EF6" w:rsidRPr="00E26EF6">
              <w:t xml:space="preserve"> w tym</w:t>
            </w:r>
            <w:r w:rsidRPr="00E26EF6">
              <w:t xml:space="preserve"> wierszu</w:t>
            </w:r>
            <w:r w:rsidR="00E26EF6" w:rsidRPr="00E26EF6">
              <w:t xml:space="preserve"> w kat</w:t>
            </w:r>
            <w:r w:rsidRPr="00E26EF6">
              <w:t>egorii ekspozycji „Inne pozycje”.</w:t>
            </w:r>
          </w:p>
          <w:p w14:paraId="521DC7A1" w14:textId="22EE2DE1" w:rsidR="00915077" w:rsidRPr="00E26EF6" w:rsidRDefault="00462BAB">
            <w:pPr>
              <w:pStyle w:val="InstructionsText"/>
              <w:rPr>
                <w:highlight w:val="lightGray"/>
              </w:rPr>
            </w:pPr>
            <w:r w:rsidRPr="00E26EF6">
              <w:t>Zob. także art.</w:t>
            </w:r>
            <w:r w:rsidR="00023409" w:rsidRPr="00E26EF6">
              <w:t> </w:t>
            </w:r>
            <w:r w:rsidRPr="00E26EF6">
              <w:t>124 ust.</w:t>
            </w:r>
            <w:r w:rsidR="00023409" w:rsidRPr="00E26EF6">
              <w:t> </w:t>
            </w:r>
            <w:r w:rsidRPr="00E26EF6">
              <w:t>2 oraz art.</w:t>
            </w:r>
            <w:r w:rsidR="00023409" w:rsidRPr="00E26EF6">
              <w:t> </w:t>
            </w:r>
            <w:r w:rsidRPr="00E26EF6">
              <w:t>152 ust.</w:t>
            </w:r>
            <w:r w:rsidR="00023409" w:rsidRPr="00E26EF6">
              <w:t> </w:t>
            </w:r>
            <w:r w:rsidRPr="00E26EF6">
              <w:t>2 lit.</w:t>
            </w:r>
            <w:r w:rsidR="00023409" w:rsidRPr="00E26EF6">
              <w:t> </w:t>
            </w:r>
            <w:r w:rsidRPr="00E26EF6">
              <w:t xml:space="preserve">b) CRR. </w:t>
            </w:r>
          </w:p>
        </w:tc>
      </w:tr>
      <w:tr w:rsidR="00915077" w:rsidRPr="00E26EF6" w14:paraId="69F88F23" w14:textId="77777777" w:rsidTr="00672D2A">
        <w:tc>
          <w:tcPr>
            <w:tcW w:w="1188" w:type="dxa"/>
            <w:shd w:val="clear" w:color="auto" w:fill="auto"/>
          </w:tcPr>
          <w:p w14:paraId="61528BCF" w14:textId="77777777" w:rsidR="00915077" w:rsidRPr="00E26EF6" w:rsidRDefault="00462BAB">
            <w:pPr>
              <w:pStyle w:val="InstructionsText"/>
              <w:rPr>
                <w:highlight w:val="lightGray"/>
              </w:rPr>
            </w:pPr>
            <w:r w:rsidRPr="00E26EF6">
              <w:lastRenderedPageBreak/>
              <w:t>290–320</w:t>
            </w:r>
          </w:p>
        </w:tc>
        <w:tc>
          <w:tcPr>
            <w:tcW w:w="8701" w:type="dxa"/>
            <w:shd w:val="clear" w:color="auto" w:fill="auto"/>
          </w:tcPr>
          <w:p w14:paraId="36CA6F93" w14:textId="77777777"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Pozycje uzupełniające</w:t>
            </w:r>
          </w:p>
          <w:p w14:paraId="0F27190C" w14:textId="57A4975E" w:rsidR="00915077" w:rsidRPr="00E26EF6" w:rsidRDefault="00462BAB">
            <w:pPr>
              <w:pStyle w:val="InstructionsText"/>
              <w:rPr>
                <w:b/>
                <w:highlight w:val="lightGray"/>
                <w:u w:val="single"/>
              </w:rPr>
            </w:pPr>
            <w:r w:rsidRPr="00E26EF6">
              <w:t>Zob. także wyjaśnienie celu pozycji uzupełniających zawarte</w:t>
            </w:r>
            <w:r w:rsidR="00E26EF6" w:rsidRPr="00E26EF6">
              <w:t xml:space="preserve"> w sek</w:t>
            </w:r>
            <w:r w:rsidRPr="00E26EF6">
              <w:t>cji ogólnej wzoru CR SA.</w:t>
            </w:r>
          </w:p>
        </w:tc>
      </w:tr>
      <w:tr w:rsidR="00915077" w:rsidRPr="00E26EF6" w14:paraId="5258B59B" w14:textId="77777777" w:rsidTr="00672D2A">
        <w:tc>
          <w:tcPr>
            <w:tcW w:w="1188" w:type="dxa"/>
            <w:shd w:val="clear" w:color="auto" w:fill="auto"/>
          </w:tcPr>
          <w:p w14:paraId="7F98313D" w14:textId="77777777" w:rsidR="00915077" w:rsidRPr="00E26EF6" w:rsidRDefault="00462BAB">
            <w:pPr>
              <w:pStyle w:val="InstructionsText"/>
            </w:pPr>
            <w:r w:rsidRPr="00E26EF6">
              <w:t>290</w:t>
            </w:r>
          </w:p>
          <w:p w14:paraId="0CA5F736" w14:textId="77777777" w:rsidR="00915077" w:rsidRPr="00E26EF6" w:rsidRDefault="00915077">
            <w:pPr>
              <w:pStyle w:val="InstructionsText"/>
              <w:rPr>
                <w:highlight w:val="lightGray"/>
              </w:rPr>
            </w:pPr>
          </w:p>
        </w:tc>
        <w:tc>
          <w:tcPr>
            <w:tcW w:w="8701" w:type="dxa"/>
            <w:shd w:val="clear" w:color="auto" w:fill="auto"/>
          </w:tcPr>
          <w:p w14:paraId="56098472" w14:textId="77777777"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Ekspozycje zabezpieczone hipotekami na nieruchomościach komercyjnych</w:t>
            </w:r>
          </w:p>
          <w:p w14:paraId="462ADB3C" w14:textId="38FF61C5" w:rsidR="00915077" w:rsidRPr="00E26EF6" w:rsidRDefault="00D21B29">
            <w:pPr>
              <w:pStyle w:val="InstructionsText"/>
            </w:pPr>
            <w:r w:rsidRPr="00E26EF6">
              <w:t>Art. 112 lit.</w:t>
            </w:r>
            <w:r w:rsidR="00023409" w:rsidRPr="00E26EF6">
              <w:t> </w:t>
            </w:r>
            <w:r w:rsidRPr="00E26EF6">
              <w:t>i) CRR.</w:t>
            </w:r>
          </w:p>
          <w:p w14:paraId="7529741F" w14:textId="5B683868" w:rsidR="00915077" w:rsidRPr="00E26EF6" w:rsidRDefault="00462BAB">
            <w:pPr>
              <w:pStyle w:val="InstructionsText"/>
              <w:rPr>
                <w:highlight w:val="lightGray"/>
              </w:rPr>
            </w:pPr>
            <w:r w:rsidRPr="00E26EF6">
              <w:t>Jest to wyłącznie pozycja uzupełniająca. Niezależnie od obliczania kwot ekspozycji na ryzyko</w:t>
            </w:r>
            <w:r w:rsidR="00E26EF6" w:rsidRPr="00E26EF6">
              <w:t xml:space="preserve"> z tyt</w:t>
            </w:r>
            <w:r w:rsidRPr="00E26EF6">
              <w:t>ułu ekspozycji zabezpieczonych nieruchomościami komercyjnymi zgodnie</w:t>
            </w:r>
            <w:r w:rsidR="00E26EF6" w:rsidRPr="00E26EF6">
              <w:t xml:space="preserve"> z art</w:t>
            </w:r>
            <w:r w:rsidRPr="00E26EF6">
              <w:t>.</w:t>
            </w:r>
            <w:r w:rsidR="00023409" w:rsidRPr="00E26EF6">
              <w:t> </w:t>
            </w:r>
            <w:r w:rsidRPr="00E26EF6">
              <w:t>124</w:t>
            </w:r>
            <w:r w:rsidR="00E26EF6" w:rsidRPr="00E26EF6">
              <w:t xml:space="preserve"> i 1</w:t>
            </w:r>
            <w:r w:rsidRPr="00E26EF6">
              <w:t>26 CRR ekspozycje są dzielone</w:t>
            </w:r>
            <w:r w:rsidR="00E26EF6" w:rsidRPr="00E26EF6">
              <w:t xml:space="preserve"> i zgł</w:t>
            </w:r>
            <w:r w:rsidRPr="00E26EF6">
              <w:t>aszane</w:t>
            </w:r>
            <w:r w:rsidR="00E26EF6" w:rsidRPr="00E26EF6">
              <w:t xml:space="preserve"> w tym</w:t>
            </w:r>
            <w:r w:rsidRPr="00E26EF6">
              <w:t xml:space="preserve"> wierszu, jeżeli ekspozycje zabezpieczone są przez nieruchomości komercyjne.</w:t>
            </w:r>
          </w:p>
        </w:tc>
      </w:tr>
      <w:tr w:rsidR="00915077" w:rsidRPr="00E26EF6" w14:paraId="0ECA48B5" w14:textId="77777777" w:rsidTr="00672D2A">
        <w:tc>
          <w:tcPr>
            <w:tcW w:w="1188" w:type="dxa"/>
            <w:shd w:val="clear" w:color="auto" w:fill="auto"/>
          </w:tcPr>
          <w:p w14:paraId="303BEE53" w14:textId="77777777" w:rsidR="00915077" w:rsidRPr="00E26EF6" w:rsidRDefault="00462BAB">
            <w:pPr>
              <w:pStyle w:val="InstructionsText"/>
              <w:rPr>
                <w:highlight w:val="lightGray"/>
              </w:rPr>
            </w:pPr>
            <w:r w:rsidRPr="00E26EF6">
              <w:t>300</w:t>
            </w:r>
          </w:p>
        </w:tc>
        <w:tc>
          <w:tcPr>
            <w:tcW w:w="8701" w:type="dxa"/>
            <w:shd w:val="clear" w:color="auto" w:fill="auto"/>
          </w:tcPr>
          <w:p w14:paraId="0632B907" w14:textId="5BEE797C"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Ekspozycje, których dotyczy niewykonanie zobowiązania, podlegające wadze ryzyka równej 100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62F0F0F9" w14:textId="2568A2AA" w:rsidR="00915077" w:rsidRPr="00E26EF6" w:rsidRDefault="00D21B29">
            <w:pPr>
              <w:pStyle w:val="InstructionsText"/>
            </w:pPr>
            <w:r w:rsidRPr="00E26EF6">
              <w:t>Art. 112 lit.</w:t>
            </w:r>
            <w:r w:rsidR="00023409" w:rsidRPr="00E26EF6">
              <w:t> </w:t>
            </w:r>
            <w:r w:rsidRPr="00E26EF6">
              <w:t>j) CRR.</w:t>
            </w:r>
          </w:p>
          <w:p w14:paraId="50595979" w14:textId="62399E7B" w:rsidR="00915077" w:rsidRPr="00E26EF6" w:rsidRDefault="00462BAB">
            <w:pPr>
              <w:pStyle w:val="InstructionsText"/>
              <w:rPr>
                <w:highlight w:val="lightGray"/>
              </w:rPr>
            </w:pPr>
            <w:r w:rsidRPr="00E26EF6">
              <w:t>Ekspozycje ujęte</w:t>
            </w:r>
            <w:r w:rsidR="00E26EF6" w:rsidRPr="00E26EF6">
              <w:t xml:space="preserve"> w kat</w:t>
            </w:r>
            <w:r w:rsidRPr="00E26EF6">
              <w:t>egorii ekspozycji „ekspozycje, których dotyczy niewykonanie zobowiązania”, które uwzględnia się</w:t>
            </w:r>
            <w:r w:rsidR="00E26EF6" w:rsidRPr="00E26EF6">
              <w:t xml:space="preserve"> w tej</w:t>
            </w:r>
            <w:r w:rsidRPr="00E26EF6">
              <w:t xml:space="preserve"> kategorii ekspozycji, jeżeli nie dotyczyło ich niewykonanie zobowiązania.</w:t>
            </w:r>
          </w:p>
        </w:tc>
      </w:tr>
      <w:tr w:rsidR="00915077" w:rsidRPr="00E26EF6" w14:paraId="4F3B943B" w14:textId="77777777" w:rsidTr="00672D2A">
        <w:tc>
          <w:tcPr>
            <w:tcW w:w="1188" w:type="dxa"/>
            <w:shd w:val="clear" w:color="auto" w:fill="auto"/>
          </w:tcPr>
          <w:p w14:paraId="015401C1" w14:textId="77777777" w:rsidR="00915077" w:rsidRPr="00E26EF6" w:rsidRDefault="00462BAB">
            <w:pPr>
              <w:pStyle w:val="InstructionsText"/>
              <w:rPr>
                <w:highlight w:val="lightGray"/>
              </w:rPr>
            </w:pPr>
            <w:r w:rsidRPr="00E26EF6">
              <w:t>310</w:t>
            </w:r>
          </w:p>
        </w:tc>
        <w:tc>
          <w:tcPr>
            <w:tcW w:w="8701" w:type="dxa"/>
            <w:shd w:val="clear" w:color="auto" w:fill="auto"/>
          </w:tcPr>
          <w:p w14:paraId="0ED3ECDB" w14:textId="77777777"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 xml:space="preserve">Ekspozycje zabezpieczone hipotekami na nieruchomościach mieszkalnych </w:t>
            </w:r>
          </w:p>
          <w:p w14:paraId="733259AF" w14:textId="2109E776" w:rsidR="00915077" w:rsidRPr="00E26EF6" w:rsidRDefault="00D21B29">
            <w:pPr>
              <w:pStyle w:val="InstructionsText"/>
            </w:pPr>
            <w:r w:rsidRPr="00E26EF6">
              <w:t>Art. 112 lit.</w:t>
            </w:r>
            <w:r w:rsidR="00023409" w:rsidRPr="00E26EF6">
              <w:t> </w:t>
            </w:r>
            <w:r w:rsidRPr="00E26EF6">
              <w:t>i) CRR.</w:t>
            </w:r>
          </w:p>
          <w:p w14:paraId="6DA788E4" w14:textId="0F9DC744" w:rsidR="00915077" w:rsidRPr="00E26EF6" w:rsidRDefault="00462BAB">
            <w:pPr>
              <w:pStyle w:val="InstructionsText"/>
              <w:rPr>
                <w:b/>
                <w:highlight w:val="lightGray"/>
                <w:u w:val="single"/>
              </w:rPr>
            </w:pPr>
            <w:r w:rsidRPr="00E26EF6">
              <w:t>Jest to wyłącznie pozycja uzupełniająca. Niezależnie od obliczania kwot ekspozycji na ryzyko</w:t>
            </w:r>
            <w:r w:rsidR="00E26EF6" w:rsidRPr="00E26EF6">
              <w:t xml:space="preserve"> z tyt</w:t>
            </w:r>
            <w:r w:rsidRPr="00E26EF6">
              <w:t>ułu ekspozycji zabezpieczonych nieruchomościami mieszkalnymi zgodnie</w:t>
            </w:r>
            <w:r w:rsidR="00E26EF6" w:rsidRPr="00E26EF6">
              <w:t xml:space="preserve"> z art</w:t>
            </w:r>
            <w:r w:rsidRPr="00E26EF6">
              <w:t>.</w:t>
            </w:r>
            <w:r w:rsidR="00023409" w:rsidRPr="00E26EF6">
              <w:t> </w:t>
            </w:r>
            <w:r w:rsidRPr="00E26EF6">
              <w:t>124</w:t>
            </w:r>
            <w:r w:rsidR="00E26EF6" w:rsidRPr="00E26EF6">
              <w:t xml:space="preserve"> i 1</w:t>
            </w:r>
            <w:r w:rsidRPr="00E26EF6">
              <w:t>25 CRR ekspozycje są dzielone</w:t>
            </w:r>
            <w:r w:rsidR="00E26EF6" w:rsidRPr="00E26EF6">
              <w:t xml:space="preserve"> i zgł</w:t>
            </w:r>
            <w:r w:rsidRPr="00E26EF6">
              <w:t>aszane</w:t>
            </w:r>
            <w:r w:rsidR="00E26EF6" w:rsidRPr="00E26EF6">
              <w:t xml:space="preserve"> w tym</w:t>
            </w:r>
            <w:r w:rsidRPr="00E26EF6">
              <w:t xml:space="preserve"> wierszu, jeżeli ekspozycje zabezpieczone są przez nieruchomości.</w:t>
            </w:r>
          </w:p>
        </w:tc>
      </w:tr>
      <w:tr w:rsidR="00915077" w:rsidRPr="00E26EF6" w14:paraId="7BF1F948" w14:textId="77777777" w:rsidTr="00672D2A">
        <w:tc>
          <w:tcPr>
            <w:tcW w:w="1188" w:type="dxa"/>
            <w:shd w:val="clear" w:color="auto" w:fill="auto"/>
          </w:tcPr>
          <w:p w14:paraId="3BB26996" w14:textId="77777777" w:rsidR="00915077" w:rsidRPr="00E26EF6" w:rsidRDefault="00462BAB">
            <w:pPr>
              <w:pStyle w:val="InstructionsText"/>
              <w:rPr>
                <w:highlight w:val="lightGray"/>
              </w:rPr>
            </w:pPr>
            <w:r w:rsidRPr="00E26EF6">
              <w:t>320</w:t>
            </w:r>
          </w:p>
        </w:tc>
        <w:tc>
          <w:tcPr>
            <w:tcW w:w="8701" w:type="dxa"/>
            <w:shd w:val="clear" w:color="auto" w:fill="auto"/>
          </w:tcPr>
          <w:p w14:paraId="46896447" w14:textId="77777777" w:rsidR="00915077" w:rsidRPr="00E26EF6" w:rsidRDefault="00462BAB">
            <w:pPr>
              <w:pStyle w:val="InstructionsText"/>
              <w:rPr>
                <w:rStyle w:val="InstructionsTabelleberschrift"/>
                <w:rFonts w:ascii="Times New Roman" w:hAnsi="Times New Roman"/>
                <w:sz w:val="24"/>
              </w:rPr>
            </w:pPr>
            <w:r w:rsidRPr="00E26EF6">
              <w:rPr>
                <w:rStyle w:val="InstructionsTabelleberschrift"/>
                <w:rFonts w:ascii="Times New Roman" w:hAnsi="Times New Roman"/>
                <w:sz w:val="24"/>
              </w:rPr>
              <w:t xml:space="preserve">Ekspozycje, których dotyczy niewykonanie zobowiązania, podlegające wadze ryzyka równej 150 % </w:t>
            </w:r>
          </w:p>
          <w:p w14:paraId="1FD8C7E5" w14:textId="6B4422CC" w:rsidR="00915077" w:rsidRPr="00E26EF6" w:rsidRDefault="00D21B29">
            <w:pPr>
              <w:pStyle w:val="InstructionsText"/>
            </w:pPr>
            <w:r w:rsidRPr="00E26EF6">
              <w:t>Art. 112 lit.</w:t>
            </w:r>
            <w:r w:rsidR="00023409" w:rsidRPr="00E26EF6">
              <w:t> </w:t>
            </w:r>
            <w:r w:rsidRPr="00E26EF6">
              <w:t>j) CRR.</w:t>
            </w:r>
          </w:p>
          <w:p w14:paraId="5A795656" w14:textId="6D5485FE" w:rsidR="00915077" w:rsidRPr="00E26EF6" w:rsidRDefault="00462BAB">
            <w:pPr>
              <w:pStyle w:val="InstructionsText"/>
            </w:pPr>
            <w:r w:rsidRPr="00E26EF6">
              <w:t>Ekspozycje ujęte</w:t>
            </w:r>
            <w:r w:rsidR="00E26EF6" w:rsidRPr="00E26EF6">
              <w:t xml:space="preserve"> w kat</w:t>
            </w:r>
            <w:r w:rsidRPr="00E26EF6">
              <w:t>egorii ekspozycji „ekspozycje, których dotyczy niewykonanie zobowiązania”, które uwzględnia się</w:t>
            </w:r>
            <w:r w:rsidR="00E26EF6" w:rsidRPr="00E26EF6">
              <w:t xml:space="preserve"> w tej</w:t>
            </w:r>
            <w:r w:rsidRPr="00E26EF6">
              <w:t xml:space="preserve"> kategorii ekspozycji, jeżeli nie dotyczyło ich niewykonanie zobowiązania.</w:t>
            </w:r>
          </w:p>
        </w:tc>
      </w:tr>
    </w:tbl>
    <w:p w14:paraId="0CF52968" w14:textId="77777777" w:rsidR="00915077" w:rsidRPr="00E26EF6" w:rsidRDefault="00915077">
      <w:pPr>
        <w:spacing w:before="0" w:after="0"/>
        <w:jc w:val="left"/>
        <w:rPr>
          <w:rFonts w:ascii="Times New Roman" w:hAnsi="Times New Roman"/>
          <w:bCs/>
          <w:sz w:val="24"/>
        </w:rPr>
      </w:pPr>
    </w:p>
    <w:p w14:paraId="34424423" w14:textId="09DAAA46" w:rsidR="00915077" w:rsidRPr="00E26EF6" w:rsidRDefault="00125707">
      <w:pPr>
        <w:pStyle w:val="Instructionsberschrift2"/>
        <w:numPr>
          <w:ilvl w:val="0"/>
          <w:numId w:val="0"/>
        </w:numPr>
        <w:ind w:left="357" w:hanging="357"/>
        <w:rPr>
          <w:rFonts w:ascii="Times New Roman" w:hAnsi="Times New Roman" w:cs="Times New Roman"/>
          <w:sz w:val="24"/>
        </w:rPr>
      </w:pPr>
      <w:bookmarkStart w:id="42" w:name="_Toc31014340"/>
      <w:r w:rsidRPr="00E26EF6">
        <w:rPr>
          <w:rFonts w:ascii="Times New Roman" w:hAnsi="Times New Roman"/>
          <w:sz w:val="24"/>
          <w:u w:val="none"/>
        </w:rPr>
        <w:t>3.3.</w:t>
      </w:r>
      <w:r w:rsidRPr="00E26EF6">
        <w:rPr>
          <w:rFonts w:ascii="Times New Roman" w:hAnsi="Times New Roman"/>
          <w:sz w:val="24"/>
          <w:u w:val="none"/>
        </w:rPr>
        <w:tab/>
      </w:r>
      <w:r w:rsidRPr="00E26EF6">
        <w:rPr>
          <w:rFonts w:ascii="Times New Roman" w:hAnsi="Times New Roman"/>
          <w:sz w:val="24"/>
        </w:rPr>
        <w:t>Ryzyko kredytowe</w:t>
      </w:r>
      <w:r w:rsidR="00E26EF6" w:rsidRPr="00E26EF6">
        <w:rPr>
          <w:rFonts w:ascii="Times New Roman" w:hAnsi="Times New Roman"/>
          <w:sz w:val="24"/>
        </w:rPr>
        <w:t xml:space="preserve"> i ryz</w:t>
      </w:r>
      <w:r w:rsidRPr="00E26EF6">
        <w:rPr>
          <w:rFonts w:ascii="Times New Roman" w:hAnsi="Times New Roman"/>
          <w:sz w:val="24"/>
        </w:rPr>
        <w:t>yko kredytowe kontrahenta oraz dostawy</w:t>
      </w:r>
      <w:r w:rsidR="00E26EF6" w:rsidRPr="00E26EF6">
        <w:rPr>
          <w:rFonts w:ascii="Times New Roman" w:hAnsi="Times New Roman"/>
          <w:sz w:val="24"/>
        </w:rPr>
        <w:t xml:space="preserve"> z póź</w:t>
      </w:r>
      <w:r w:rsidRPr="00E26EF6">
        <w:rPr>
          <w:rFonts w:ascii="Times New Roman" w:hAnsi="Times New Roman"/>
          <w:sz w:val="24"/>
        </w:rPr>
        <w:t>niejszym terminem rozliczenia: wymogi</w:t>
      </w:r>
      <w:r w:rsidR="00E26EF6" w:rsidRPr="00E26EF6">
        <w:rPr>
          <w:rFonts w:ascii="Times New Roman" w:hAnsi="Times New Roman"/>
          <w:sz w:val="24"/>
        </w:rPr>
        <w:t xml:space="preserve"> w zak</w:t>
      </w:r>
      <w:r w:rsidRPr="00E26EF6">
        <w:rPr>
          <w:rFonts w:ascii="Times New Roman" w:hAnsi="Times New Roman"/>
          <w:sz w:val="24"/>
        </w:rPr>
        <w:t>resie funduszy własnych według metody IRB (CR IRB).</w:t>
      </w:r>
      <w:bookmarkEnd w:id="42"/>
    </w:p>
    <w:p w14:paraId="6D3CC5E2"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43" w:name="_Toc31014341"/>
      <w:r w:rsidRPr="00E26EF6">
        <w:rPr>
          <w:rFonts w:ascii="Times New Roman" w:hAnsi="Times New Roman"/>
          <w:sz w:val="24"/>
          <w:u w:val="none"/>
        </w:rPr>
        <w:t>3.3.1.</w:t>
      </w:r>
      <w:r w:rsidRPr="00E26EF6">
        <w:rPr>
          <w:rFonts w:ascii="Times New Roman" w:hAnsi="Times New Roman"/>
          <w:sz w:val="24"/>
          <w:u w:val="none"/>
        </w:rPr>
        <w:tab/>
      </w:r>
      <w:r w:rsidRPr="00E26EF6">
        <w:rPr>
          <w:rFonts w:ascii="Times New Roman" w:hAnsi="Times New Roman"/>
          <w:sz w:val="24"/>
        </w:rPr>
        <w:t>Zakres wzoru CR IRB</w:t>
      </w:r>
      <w:bookmarkEnd w:id="43"/>
    </w:p>
    <w:p w14:paraId="4F8060C4" w14:textId="58D495B1" w:rsidR="00915077" w:rsidRPr="00E26EF6" w:rsidRDefault="00125707">
      <w:pPr>
        <w:pStyle w:val="InstructionsText2"/>
        <w:numPr>
          <w:ilvl w:val="0"/>
          <w:numId w:val="0"/>
        </w:numPr>
        <w:ind w:left="993"/>
      </w:pPr>
      <w:r w:rsidRPr="00E26EF6">
        <w:t>74.</w:t>
      </w:r>
      <w:r w:rsidRPr="00E26EF6">
        <w:tab/>
        <w:t>Zakres wzoru CR IRB obejmuje wymogi</w:t>
      </w:r>
      <w:r w:rsidR="00E26EF6" w:rsidRPr="00E26EF6">
        <w:t xml:space="preserve"> w zak</w:t>
      </w:r>
      <w:r w:rsidRPr="00E26EF6">
        <w:t>resie funduszy własnych</w:t>
      </w:r>
      <w:r w:rsidR="00E26EF6" w:rsidRPr="00E26EF6">
        <w:t xml:space="preserve"> z tyt</w:t>
      </w:r>
      <w:r w:rsidRPr="00E26EF6">
        <w:t>ułu:</w:t>
      </w:r>
    </w:p>
    <w:p w14:paraId="0B0D2E2D" w14:textId="4D73CBB7" w:rsidR="00915077" w:rsidRPr="00E26EF6" w:rsidRDefault="00125707">
      <w:pPr>
        <w:pStyle w:val="InstructionsText2"/>
        <w:numPr>
          <w:ilvl w:val="0"/>
          <w:numId w:val="0"/>
        </w:numPr>
        <w:ind w:left="993"/>
      </w:pPr>
      <w:proofErr w:type="gramStart"/>
      <w:r w:rsidRPr="00E26EF6">
        <w:t>i</w:t>
      </w:r>
      <w:proofErr w:type="gramEnd"/>
      <w:r w:rsidRPr="00E26EF6">
        <w:t>.</w:t>
      </w:r>
      <w:r w:rsidRPr="00E26EF6">
        <w:tab/>
      </w:r>
      <w:proofErr w:type="gramStart"/>
      <w:r w:rsidRPr="00E26EF6">
        <w:t>ryzyka</w:t>
      </w:r>
      <w:proofErr w:type="gramEnd"/>
      <w:r w:rsidRPr="00E26EF6">
        <w:t xml:space="preserve"> kredytowego</w:t>
      </w:r>
      <w:r w:rsidR="00E26EF6" w:rsidRPr="00E26EF6">
        <w:t xml:space="preserve"> w por</w:t>
      </w:r>
      <w:r w:rsidRPr="00E26EF6">
        <w:t>tfelu bankowym,</w:t>
      </w:r>
      <w:r w:rsidR="00E26EF6" w:rsidRPr="00E26EF6">
        <w:t xml:space="preserve"> w tym</w:t>
      </w:r>
      <w:r w:rsidRPr="00E26EF6">
        <w:t>:</w:t>
      </w:r>
    </w:p>
    <w:p w14:paraId="13B12833" w14:textId="6B34D9A0" w:rsidR="00915077" w:rsidRPr="00E26EF6"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E26EF6">
        <w:rPr>
          <w:rFonts w:ascii="Wingdings" w:hAnsi="Wingdings"/>
          <w:sz w:val="24"/>
        </w:rPr>
        <w:t></w:t>
      </w:r>
      <w:r w:rsidRPr="00E26EF6">
        <w:rPr>
          <w:rFonts w:ascii="Wingdings" w:hAnsi="Wingdings"/>
          <w:sz w:val="24"/>
        </w:rPr>
        <w:tab/>
      </w:r>
      <w:r w:rsidRPr="00E26EF6">
        <w:rPr>
          <w:rFonts w:ascii="Times New Roman" w:hAnsi="Times New Roman"/>
          <w:sz w:val="24"/>
        </w:rPr>
        <w:t>ryzyka kredytowego kontrahenta</w:t>
      </w:r>
      <w:r w:rsidR="00E26EF6" w:rsidRPr="00E26EF6">
        <w:rPr>
          <w:rFonts w:ascii="Times New Roman" w:hAnsi="Times New Roman"/>
          <w:sz w:val="24"/>
        </w:rPr>
        <w:t xml:space="preserve"> w por</w:t>
      </w:r>
      <w:r w:rsidRPr="00E26EF6">
        <w:rPr>
          <w:rFonts w:ascii="Times New Roman" w:hAnsi="Times New Roman"/>
          <w:sz w:val="24"/>
        </w:rPr>
        <w:t>tfelu bankowym;</w:t>
      </w:r>
    </w:p>
    <w:p w14:paraId="0E5FFAAE" w14:textId="77777777" w:rsidR="00915077" w:rsidRPr="00E26EF6"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E26EF6">
        <w:rPr>
          <w:rFonts w:ascii="Wingdings" w:hAnsi="Wingdings"/>
          <w:sz w:val="24"/>
        </w:rPr>
        <w:t></w:t>
      </w:r>
      <w:r w:rsidRPr="00E26EF6">
        <w:rPr>
          <w:rFonts w:ascii="Wingdings" w:hAnsi="Wingdings"/>
          <w:sz w:val="24"/>
        </w:rPr>
        <w:tab/>
      </w:r>
      <w:r w:rsidRPr="00E26EF6">
        <w:rPr>
          <w:rFonts w:ascii="Times New Roman" w:hAnsi="Times New Roman"/>
          <w:sz w:val="24"/>
        </w:rPr>
        <w:t>ryzyka rozmycia dotyczącego nabytych wierzytelności;</w:t>
      </w:r>
    </w:p>
    <w:p w14:paraId="1320AA00" w14:textId="508BD678" w:rsidR="00915077" w:rsidRPr="00E26EF6" w:rsidRDefault="00125707">
      <w:pPr>
        <w:pStyle w:val="InstructionsText2"/>
        <w:numPr>
          <w:ilvl w:val="0"/>
          <w:numId w:val="0"/>
        </w:numPr>
        <w:ind w:left="993"/>
      </w:pPr>
      <w:proofErr w:type="gramStart"/>
      <w:r w:rsidRPr="00E26EF6">
        <w:t>ii</w:t>
      </w:r>
      <w:proofErr w:type="gramEnd"/>
      <w:r w:rsidRPr="00E26EF6">
        <w:t>.</w:t>
      </w:r>
      <w:r w:rsidRPr="00E26EF6">
        <w:tab/>
      </w:r>
      <w:proofErr w:type="gramStart"/>
      <w:r w:rsidRPr="00E26EF6">
        <w:t>ryzyka</w:t>
      </w:r>
      <w:proofErr w:type="gramEnd"/>
      <w:r w:rsidRPr="00E26EF6">
        <w:t xml:space="preserve"> kredytowego kontrahenta</w:t>
      </w:r>
      <w:r w:rsidR="00E26EF6" w:rsidRPr="00E26EF6">
        <w:t xml:space="preserve"> w por</w:t>
      </w:r>
      <w:r w:rsidRPr="00E26EF6">
        <w:t>tfelu handlowym;</w:t>
      </w:r>
    </w:p>
    <w:p w14:paraId="67266BBC" w14:textId="0FC9FCBF" w:rsidR="00915077" w:rsidRPr="00E26EF6" w:rsidRDefault="00125707">
      <w:pPr>
        <w:pStyle w:val="InstructionsText2"/>
        <w:numPr>
          <w:ilvl w:val="0"/>
          <w:numId w:val="0"/>
        </w:numPr>
        <w:ind w:left="993"/>
      </w:pPr>
      <w:proofErr w:type="gramStart"/>
      <w:r w:rsidRPr="00E26EF6">
        <w:t>iii</w:t>
      </w:r>
      <w:proofErr w:type="gramEnd"/>
      <w:r w:rsidRPr="00E26EF6">
        <w:t>.</w:t>
      </w:r>
      <w:r w:rsidRPr="00E26EF6">
        <w:tab/>
      </w:r>
      <w:proofErr w:type="gramStart"/>
      <w:r w:rsidRPr="00E26EF6">
        <w:t>dostaw</w:t>
      </w:r>
      <w:proofErr w:type="gramEnd"/>
      <w:r w:rsidR="00E26EF6" w:rsidRPr="00E26EF6">
        <w:t xml:space="preserve"> z póź</w:t>
      </w:r>
      <w:r w:rsidRPr="00E26EF6">
        <w:t>niejszym terminem rozliczenia wynikających</w:t>
      </w:r>
      <w:r w:rsidR="00E26EF6" w:rsidRPr="00E26EF6">
        <w:t xml:space="preserve"> z cał</w:t>
      </w:r>
      <w:r w:rsidRPr="00E26EF6">
        <w:t>ej działalności gospodarczej.</w:t>
      </w:r>
    </w:p>
    <w:p w14:paraId="47FFEBCE" w14:textId="2AE1C676" w:rsidR="00915077" w:rsidRPr="00E26EF6" w:rsidRDefault="00125707">
      <w:pPr>
        <w:pStyle w:val="InstructionsText2"/>
        <w:numPr>
          <w:ilvl w:val="0"/>
          <w:numId w:val="0"/>
        </w:numPr>
        <w:ind w:left="993"/>
      </w:pPr>
      <w:r w:rsidRPr="00E26EF6">
        <w:lastRenderedPageBreak/>
        <w:t>75.</w:t>
      </w:r>
      <w:r w:rsidRPr="00E26EF6">
        <w:tab/>
        <w:t>Zakres tego wzoru odnosi się do ekspozycji,</w:t>
      </w:r>
      <w:r w:rsidR="00E26EF6" w:rsidRPr="00E26EF6">
        <w:t xml:space="preserve"> w odn</w:t>
      </w:r>
      <w:r w:rsidRPr="00E26EF6">
        <w:t>iesieniu do których kwoty ekspozycji ważonych ryzykiem oblicza się zgodnie</w:t>
      </w:r>
      <w:r w:rsidR="00E26EF6" w:rsidRPr="00E26EF6">
        <w:t xml:space="preserve"> z art</w:t>
      </w:r>
      <w:r w:rsidRPr="00E26EF6">
        <w:t>.</w:t>
      </w:r>
      <w:r w:rsidR="00023409" w:rsidRPr="00E26EF6">
        <w:t> </w:t>
      </w:r>
      <w:r w:rsidRPr="00E26EF6">
        <w:t xml:space="preserve">151–157 części trzeciej tytuł II rozdział 3 CRR (podejście IRB). </w:t>
      </w:r>
    </w:p>
    <w:p w14:paraId="400615E1" w14:textId="77777777" w:rsidR="00915077" w:rsidRPr="00E26EF6" w:rsidRDefault="00125707">
      <w:pPr>
        <w:pStyle w:val="InstructionsText2"/>
        <w:numPr>
          <w:ilvl w:val="0"/>
          <w:numId w:val="0"/>
        </w:numPr>
        <w:ind w:left="993"/>
      </w:pPr>
      <w:r w:rsidRPr="00E26EF6">
        <w:t>76.</w:t>
      </w:r>
      <w:r w:rsidRPr="00E26EF6">
        <w:tab/>
        <w:t xml:space="preserve">Wzór CR IRB nie obejmuje następujących danych: </w:t>
      </w:r>
    </w:p>
    <w:p w14:paraId="44821CA0" w14:textId="77777777" w:rsidR="00915077" w:rsidRPr="00E26EF6" w:rsidRDefault="00125707">
      <w:pPr>
        <w:pStyle w:val="InstructionsText2"/>
        <w:numPr>
          <w:ilvl w:val="0"/>
          <w:numId w:val="0"/>
        </w:numPr>
        <w:ind w:left="993"/>
      </w:pPr>
      <w:proofErr w:type="gramStart"/>
      <w:r w:rsidRPr="00E26EF6">
        <w:t>i</w:t>
      </w:r>
      <w:proofErr w:type="gramEnd"/>
      <w:r w:rsidRPr="00E26EF6">
        <w:t>.</w:t>
      </w:r>
      <w:r w:rsidRPr="00E26EF6">
        <w:tab/>
      </w:r>
      <w:proofErr w:type="gramStart"/>
      <w:r w:rsidRPr="00E26EF6">
        <w:t>ekspozycji</w:t>
      </w:r>
      <w:proofErr w:type="gramEnd"/>
      <w:r w:rsidRPr="00E26EF6">
        <w:t xml:space="preserve"> kapitałowych, które zgłasza się we wzorze CR EQU IRB; </w:t>
      </w:r>
    </w:p>
    <w:p w14:paraId="4E90EF54" w14:textId="77777777" w:rsidR="00915077" w:rsidRPr="00E26EF6" w:rsidRDefault="00125707">
      <w:pPr>
        <w:pStyle w:val="InstructionsText2"/>
        <w:numPr>
          <w:ilvl w:val="0"/>
          <w:numId w:val="0"/>
        </w:numPr>
        <w:ind w:left="993"/>
      </w:pPr>
      <w:proofErr w:type="gramStart"/>
      <w:r w:rsidRPr="00E26EF6">
        <w:t>ii</w:t>
      </w:r>
      <w:proofErr w:type="gramEnd"/>
      <w:r w:rsidRPr="00E26EF6">
        <w:t>.</w:t>
      </w:r>
      <w:r w:rsidRPr="00E26EF6">
        <w:tab/>
      </w:r>
      <w:proofErr w:type="gramStart"/>
      <w:r w:rsidRPr="00E26EF6">
        <w:t>pozycji</w:t>
      </w:r>
      <w:proofErr w:type="gramEnd"/>
      <w:r w:rsidRPr="00E26EF6">
        <w:t xml:space="preserve"> sekurytyzacyjnych, które zgłasza się we wzorach CE SEC lub CR SEC Szczegóły;</w:t>
      </w:r>
    </w:p>
    <w:p w14:paraId="293A551D" w14:textId="3ED7D46D" w:rsidR="00915077" w:rsidRPr="00E26EF6" w:rsidRDefault="00125707">
      <w:pPr>
        <w:pStyle w:val="InstructionsText2"/>
        <w:numPr>
          <w:ilvl w:val="0"/>
          <w:numId w:val="0"/>
        </w:numPr>
        <w:ind w:left="993"/>
      </w:pPr>
      <w:proofErr w:type="gramStart"/>
      <w:r w:rsidRPr="00E26EF6">
        <w:t>iii</w:t>
      </w:r>
      <w:proofErr w:type="gramEnd"/>
      <w:r w:rsidRPr="00E26EF6">
        <w:t>.</w:t>
      </w:r>
      <w:r w:rsidRPr="00E26EF6">
        <w:tab/>
        <w:t xml:space="preserve"> „</w:t>
      </w:r>
      <w:proofErr w:type="gramStart"/>
      <w:r w:rsidRPr="00E26EF6">
        <w:t>innych</w:t>
      </w:r>
      <w:proofErr w:type="gramEnd"/>
      <w:r w:rsidRPr="00E26EF6">
        <w:t xml:space="preserve"> aktywów niegenerujących zobowiązania kredytowego”,</w:t>
      </w:r>
      <w:r w:rsidR="00E26EF6" w:rsidRPr="00E26EF6">
        <w:t xml:space="preserve"> o któ</w:t>
      </w:r>
      <w:r w:rsidRPr="00E26EF6">
        <w:t>rych mowa</w:t>
      </w:r>
      <w:r w:rsidR="00E26EF6" w:rsidRPr="00E26EF6">
        <w:t xml:space="preserve"> w art</w:t>
      </w:r>
      <w:r w:rsidRPr="00E26EF6">
        <w:t>.</w:t>
      </w:r>
      <w:r w:rsidR="00023409" w:rsidRPr="00E26EF6">
        <w:t> </w:t>
      </w:r>
      <w:r w:rsidRPr="00E26EF6">
        <w:t>147 ust.</w:t>
      </w:r>
      <w:r w:rsidR="00023409" w:rsidRPr="00E26EF6">
        <w:t> </w:t>
      </w:r>
      <w:r w:rsidRPr="00E26EF6">
        <w:t>2 lit.</w:t>
      </w:r>
      <w:r w:rsidR="00023409" w:rsidRPr="00E26EF6">
        <w:t> </w:t>
      </w:r>
      <w:r w:rsidRPr="00E26EF6">
        <w:t>g) CRR. Waga ryzyka dla tej kategorii ekspozycji musi zawsze wynosić 100</w:t>
      </w:r>
      <w:r w:rsidR="00023409" w:rsidRPr="00E26EF6">
        <w:t> </w:t>
      </w:r>
      <w:r w:rsidRPr="00E26EF6">
        <w:t>%,</w:t>
      </w:r>
      <w:r w:rsidR="00E26EF6" w:rsidRPr="00E26EF6">
        <w:t xml:space="preserve"> z wyj</w:t>
      </w:r>
      <w:r w:rsidRPr="00E26EF6">
        <w:t>ątkiem środków pieniężnych</w:t>
      </w:r>
      <w:r w:rsidR="00E26EF6" w:rsidRPr="00E26EF6">
        <w:t xml:space="preserve"> w kas</w:t>
      </w:r>
      <w:r w:rsidRPr="00E26EF6">
        <w:t>ie, równoważnych pozycji pieniężnych oraz ekspozycji, które stanowią rezydualną wartość aktywów będących przedmiotem leasingu, zgodnie</w:t>
      </w:r>
      <w:r w:rsidR="00E26EF6" w:rsidRPr="00E26EF6">
        <w:t xml:space="preserve"> z art</w:t>
      </w:r>
      <w:r w:rsidRPr="00E26EF6">
        <w:t>.</w:t>
      </w:r>
      <w:r w:rsidR="00023409" w:rsidRPr="00E26EF6">
        <w:t> </w:t>
      </w:r>
      <w:r w:rsidRPr="00E26EF6">
        <w:t>156 CRR. Kwoty ekspozycji ważonych ryzykiem dla tej kategorii ekspozycji zgłasza się bezpośrednio we wzorze CA;</w:t>
      </w:r>
    </w:p>
    <w:p w14:paraId="3DE00D15" w14:textId="1555E57C" w:rsidR="00915077" w:rsidRPr="00E26EF6" w:rsidRDefault="00125707">
      <w:pPr>
        <w:pStyle w:val="InstructionsText2"/>
        <w:numPr>
          <w:ilvl w:val="0"/>
          <w:numId w:val="0"/>
        </w:numPr>
        <w:ind w:left="993"/>
      </w:pPr>
      <w:proofErr w:type="gramStart"/>
      <w:r w:rsidRPr="00E26EF6">
        <w:t>iv</w:t>
      </w:r>
      <w:proofErr w:type="gramEnd"/>
      <w:r w:rsidRPr="00E26EF6">
        <w:t>.</w:t>
      </w:r>
      <w:r w:rsidRPr="00E26EF6">
        <w:tab/>
      </w:r>
      <w:proofErr w:type="gramStart"/>
      <w:r w:rsidRPr="00E26EF6">
        <w:t>ryzyka</w:t>
      </w:r>
      <w:proofErr w:type="gramEnd"/>
      <w:r w:rsidRPr="00E26EF6">
        <w:t xml:space="preserve"> związanego</w:t>
      </w:r>
      <w:r w:rsidR="00E26EF6" w:rsidRPr="00E26EF6">
        <w:t xml:space="preserve"> z kor</w:t>
      </w:r>
      <w:r w:rsidRPr="00E26EF6">
        <w:t>ektą wyceny kredytowej, które zgłasza się we wzorze dotyczącym ryzyka związanego z CVA.</w:t>
      </w:r>
    </w:p>
    <w:p w14:paraId="5762A669" w14:textId="2C2934B6" w:rsidR="00915077" w:rsidRPr="00E26EF6" w:rsidRDefault="001C7AB7">
      <w:pPr>
        <w:autoSpaceDE w:val="0"/>
        <w:autoSpaceDN w:val="0"/>
        <w:adjustRightInd w:val="0"/>
        <w:spacing w:before="0" w:after="240"/>
        <w:ind w:left="1440"/>
        <w:jc w:val="left"/>
        <w:rPr>
          <w:rFonts w:ascii="Times New Roman" w:hAnsi="Times New Roman"/>
          <w:sz w:val="24"/>
        </w:rPr>
      </w:pPr>
      <w:r w:rsidRPr="00E26EF6">
        <w:rPr>
          <w:rFonts w:ascii="Times New Roman" w:hAnsi="Times New Roman"/>
          <w:sz w:val="24"/>
        </w:rPr>
        <w:t xml:space="preserve">Wzór CR IRB nie wymaga podziału ekspozycji według metody IRB pod względem geograficznym według siedziby kontrahenta. Podział ten zgłasza się we wzorze CR GB. </w:t>
      </w:r>
    </w:p>
    <w:p w14:paraId="7E96E46E" w14:textId="22800C91" w:rsidR="00915077" w:rsidRPr="00E26EF6" w:rsidRDefault="00125707">
      <w:pPr>
        <w:pStyle w:val="InstructionsText2"/>
        <w:numPr>
          <w:ilvl w:val="0"/>
          <w:numId w:val="0"/>
        </w:numPr>
        <w:ind w:left="993"/>
      </w:pPr>
      <w:r w:rsidRPr="00E26EF6">
        <w:t>77.</w:t>
      </w:r>
      <w:r w:rsidRPr="00E26EF6">
        <w:tab/>
        <w:t>Aby wyjaśnić, czy instytucja korzysta ze swoich własnych oszacowań LGD lub współczynników konwersji kredytowej,</w:t>
      </w:r>
      <w:r w:rsidR="00E26EF6" w:rsidRPr="00E26EF6">
        <w:t xml:space="preserve"> w odn</w:t>
      </w:r>
      <w:r w:rsidRPr="00E26EF6">
        <w:t>iesieniu do każdej kategorii ekspozycji podaje się następujące informacje:</w:t>
      </w:r>
    </w:p>
    <w:p w14:paraId="7DC64B70" w14:textId="17B30ACC" w:rsidR="00915077" w:rsidRPr="00E26EF6" w:rsidRDefault="001C7AB7">
      <w:pPr>
        <w:autoSpaceDE w:val="0"/>
        <w:autoSpaceDN w:val="0"/>
        <w:adjustRightInd w:val="0"/>
        <w:spacing w:before="0" w:after="240"/>
        <w:ind w:left="993"/>
        <w:jc w:val="left"/>
        <w:rPr>
          <w:rFonts w:ascii="Times New Roman" w:hAnsi="Times New Roman"/>
          <w:sz w:val="24"/>
        </w:rPr>
      </w:pPr>
      <w:r w:rsidRPr="00E26EF6">
        <w:rPr>
          <w:rFonts w:ascii="Times New Roman" w:hAnsi="Times New Roman"/>
          <w:sz w:val="24"/>
        </w:rPr>
        <w:t>„NIE” =</w:t>
      </w:r>
      <w:r w:rsidR="00E26EF6" w:rsidRPr="00E26EF6">
        <w:rPr>
          <w:rFonts w:ascii="Times New Roman" w:hAnsi="Times New Roman"/>
          <w:sz w:val="24"/>
        </w:rPr>
        <w:t xml:space="preserve"> w prz</w:t>
      </w:r>
      <w:r w:rsidRPr="00E26EF6">
        <w:rPr>
          <w:rFonts w:ascii="Times New Roman" w:hAnsi="Times New Roman"/>
          <w:sz w:val="24"/>
        </w:rPr>
        <w:t>ypadku stosowania oszacowań LGD według metody nadzorczej oraz współczynników konwersji kredytowej (podstawowa metoda IRB)</w:t>
      </w:r>
    </w:p>
    <w:p w14:paraId="3B491514" w14:textId="46664847" w:rsidR="00915077" w:rsidRPr="00E26EF6" w:rsidRDefault="001C7AB7">
      <w:pPr>
        <w:autoSpaceDE w:val="0"/>
        <w:autoSpaceDN w:val="0"/>
        <w:adjustRightInd w:val="0"/>
        <w:spacing w:before="0" w:after="240"/>
        <w:ind w:left="993"/>
        <w:jc w:val="left"/>
        <w:rPr>
          <w:rFonts w:ascii="Times New Roman" w:hAnsi="Times New Roman"/>
          <w:sz w:val="24"/>
        </w:rPr>
      </w:pPr>
      <w:r w:rsidRPr="00E26EF6">
        <w:rPr>
          <w:rFonts w:ascii="Times New Roman" w:hAnsi="Times New Roman"/>
          <w:sz w:val="24"/>
        </w:rPr>
        <w:t>„TAK” =</w:t>
      </w:r>
      <w:r w:rsidR="00E26EF6" w:rsidRPr="00E26EF6">
        <w:rPr>
          <w:rFonts w:ascii="Times New Roman" w:hAnsi="Times New Roman"/>
          <w:sz w:val="24"/>
        </w:rPr>
        <w:t xml:space="preserve"> w prz</w:t>
      </w:r>
      <w:r w:rsidRPr="00E26EF6">
        <w:rPr>
          <w:rFonts w:ascii="Times New Roman" w:hAnsi="Times New Roman"/>
          <w:sz w:val="24"/>
        </w:rPr>
        <w:t xml:space="preserve">ypadku niestosowania oszacowań LGD według metody nadzorczej oraz współczynników konwersji kredytowej (zaawansowana metoda IRB) </w:t>
      </w:r>
    </w:p>
    <w:p w14:paraId="7DBA70CF" w14:textId="307F056B" w:rsidR="00915077" w:rsidRPr="00E26EF6" w:rsidRDefault="001C7AB7">
      <w:pPr>
        <w:autoSpaceDE w:val="0"/>
        <w:autoSpaceDN w:val="0"/>
        <w:adjustRightInd w:val="0"/>
        <w:spacing w:before="0" w:after="240"/>
        <w:ind w:left="993"/>
        <w:jc w:val="left"/>
        <w:rPr>
          <w:rFonts w:ascii="Times New Roman" w:hAnsi="Times New Roman"/>
          <w:sz w:val="24"/>
        </w:rPr>
      </w:pPr>
      <w:r w:rsidRPr="00E26EF6">
        <w:rPr>
          <w:rFonts w:ascii="Times New Roman" w:hAnsi="Times New Roman"/>
          <w:sz w:val="24"/>
        </w:rPr>
        <w:t>W każdym przypadku</w:t>
      </w:r>
      <w:r w:rsidR="00E26EF6" w:rsidRPr="00E26EF6">
        <w:rPr>
          <w:rFonts w:ascii="Times New Roman" w:hAnsi="Times New Roman"/>
          <w:sz w:val="24"/>
        </w:rPr>
        <w:t xml:space="preserve"> w odn</w:t>
      </w:r>
      <w:r w:rsidRPr="00E26EF6">
        <w:rPr>
          <w:rFonts w:ascii="Times New Roman" w:hAnsi="Times New Roman"/>
          <w:sz w:val="24"/>
        </w:rPr>
        <w:t>iesieniu do portfela ekspozycji detalicznych należy zgłosić „TAK”.</w:t>
      </w:r>
    </w:p>
    <w:p w14:paraId="7486BF84" w14:textId="3B15958C" w:rsidR="00915077" w:rsidRPr="00E26EF6" w:rsidRDefault="001C7AB7">
      <w:pPr>
        <w:autoSpaceDE w:val="0"/>
        <w:autoSpaceDN w:val="0"/>
        <w:adjustRightInd w:val="0"/>
        <w:spacing w:before="0" w:after="240"/>
        <w:ind w:left="993"/>
        <w:jc w:val="left"/>
        <w:rPr>
          <w:rFonts w:ascii="Times New Roman" w:hAnsi="Times New Roman"/>
          <w:sz w:val="24"/>
        </w:rPr>
      </w:pPr>
      <w:r w:rsidRPr="00E26EF6">
        <w:rPr>
          <w:rFonts w:ascii="Times New Roman" w:hAnsi="Times New Roman"/>
          <w:sz w:val="24"/>
        </w:rPr>
        <w:t>Jeżeli</w:t>
      </w:r>
      <w:r w:rsidR="00E26EF6" w:rsidRPr="00E26EF6">
        <w:rPr>
          <w:rFonts w:ascii="Times New Roman" w:hAnsi="Times New Roman"/>
          <w:sz w:val="24"/>
        </w:rPr>
        <w:t xml:space="preserve"> w prz</w:t>
      </w:r>
      <w:r w:rsidRPr="00E26EF6">
        <w:rPr>
          <w:rFonts w:ascii="Times New Roman" w:hAnsi="Times New Roman"/>
          <w:sz w:val="24"/>
        </w:rPr>
        <w:t>ypadku części swoich ekspozycji według metody IRB instytucja korzysta</w:t>
      </w:r>
      <w:r w:rsidR="00E26EF6" w:rsidRPr="00E26EF6">
        <w:rPr>
          <w:rFonts w:ascii="Times New Roman" w:hAnsi="Times New Roman"/>
          <w:sz w:val="24"/>
        </w:rPr>
        <w:t xml:space="preserve"> z wła</w:t>
      </w:r>
      <w:r w:rsidRPr="00E26EF6">
        <w:rPr>
          <w:rFonts w:ascii="Times New Roman" w:hAnsi="Times New Roman"/>
          <w:sz w:val="24"/>
        </w:rPr>
        <w:t xml:space="preserve">snych oszacowań LGD do obliczenia </w:t>
      </w:r>
      <w:r w:rsidRPr="00E26EF6">
        <w:rPr>
          <w:rStyle w:val="InstructionsTabelleText"/>
          <w:rFonts w:ascii="Times New Roman" w:hAnsi="Times New Roman"/>
          <w:sz w:val="24"/>
        </w:rPr>
        <w:t>kwot ekspozycji ważonych ryzykiem</w:t>
      </w:r>
      <w:r w:rsidRPr="00E26EF6">
        <w:rPr>
          <w:rFonts w:ascii="Times New Roman" w:hAnsi="Times New Roman"/>
          <w:sz w:val="24"/>
        </w:rPr>
        <w:t>,</w:t>
      </w:r>
      <w:r w:rsidR="00E26EF6" w:rsidRPr="00E26EF6">
        <w:rPr>
          <w:rFonts w:ascii="Times New Roman" w:hAnsi="Times New Roman"/>
          <w:sz w:val="24"/>
        </w:rPr>
        <w:t xml:space="preserve"> a tak</w:t>
      </w:r>
      <w:r w:rsidRPr="00E26EF6">
        <w:rPr>
          <w:rFonts w:ascii="Times New Roman" w:hAnsi="Times New Roman"/>
          <w:sz w:val="24"/>
        </w:rPr>
        <w:t>że</w:t>
      </w:r>
      <w:r w:rsidR="00E26EF6" w:rsidRPr="00E26EF6">
        <w:rPr>
          <w:rFonts w:ascii="Times New Roman" w:hAnsi="Times New Roman"/>
          <w:sz w:val="24"/>
        </w:rPr>
        <w:t xml:space="preserve"> z osz</w:t>
      </w:r>
      <w:r w:rsidRPr="00E26EF6">
        <w:rPr>
          <w:rFonts w:ascii="Times New Roman" w:hAnsi="Times New Roman"/>
          <w:sz w:val="24"/>
        </w:rPr>
        <w:t>acowań LGD według metody nadzorczej</w:t>
      </w:r>
      <w:r w:rsidR="00E26EF6" w:rsidRPr="00E26EF6">
        <w:rPr>
          <w:rFonts w:ascii="Times New Roman" w:hAnsi="Times New Roman"/>
          <w:sz w:val="24"/>
        </w:rPr>
        <w:t xml:space="preserve"> w cel</w:t>
      </w:r>
      <w:r w:rsidRPr="00E26EF6">
        <w:rPr>
          <w:rFonts w:ascii="Times New Roman" w:hAnsi="Times New Roman"/>
          <w:sz w:val="24"/>
        </w:rPr>
        <w:t xml:space="preserve">u obliczenia </w:t>
      </w:r>
      <w:r w:rsidRPr="00E26EF6">
        <w:rPr>
          <w:rStyle w:val="InstructionsTabelleText"/>
          <w:rFonts w:ascii="Times New Roman" w:hAnsi="Times New Roman"/>
          <w:sz w:val="24"/>
        </w:rPr>
        <w:t>kwot ekspozycji ważonych ryzykiem</w:t>
      </w:r>
      <w:r w:rsidR="00E26EF6" w:rsidRPr="00E26EF6">
        <w:rPr>
          <w:rFonts w:ascii="Times New Roman" w:hAnsi="Times New Roman"/>
          <w:sz w:val="24"/>
        </w:rPr>
        <w:t xml:space="preserve"> w odn</w:t>
      </w:r>
      <w:r w:rsidRPr="00E26EF6">
        <w:rPr>
          <w:rFonts w:ascii="Times New Roman" w:hAnsi="Times New Roman"/>
          <w:sz w:val="24"/>
        </w:rPr>
        <w:t>iesieniu do innej części swoich ekspozycji według metody IRB, należy zgłosić wartość ekspozycji całkowitej we wzorze CR IRB dla pozycji F-IRB oraz dla pozycji A-IRB.</w:t>
      </w:r>
    </w:p>
    <w:p w14:paraId="706E10C7"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44" w:name="_Toc31014342"/>
      <w:r w:rsidRPr="00E26EF6">
        <w:rPr>
          <w:rFonts w:ascii="Times New Roman" w:hAnsi="Times New Roman"/>
          <w:sz w:val="24"/>
          <w:u w:val="none"/>
        </w:rPr>
        <w:t>3.3.2.</w:t>
      </w:r>
      <w:r w:rsidRPr="00E26EF6">
        <w:rPr>
          <w:rFonts w:ascii="Times New Roman" w:hAnsi="Times New Roman"/>
          <w:sz w:val="24"/>
          <w:u w:val="none"/>
        </w:rPr>
        <w:tab/>
      </w:r>
      <w:r w:rsidRPr="00E26EF6">
        <w:rPr>
          <w:rFonts w:ascii="Times New Roman" w:hAnsi="Times New Roman"/>
          <w:sz w:val="24"/>
        </w:rPr>
        <w:t>Podział wzoru CR IRB</w:t>
      </w:r>
      <w:bookmarkEnd w:id="44"/>
    </w:p>
    <w:p w14:paraId="49869CCD" w14:textId="0404461A" w:rsidR="00915077" w:rsidRPr="00E26EF6" w:rsidRDefault="00125707">
      <w:pPr>
        <w:pStyle w:val="InstructionsText2"/>
        <w:numPr>
          <w:ilvl w:val="0"/>
          <w:numId w:val="0"/>
        </w:numPr>
        <w:ind w:left="993"/>
      </w:pPr>
      <w:r w:rsidRPr="00E26EF6">
        <w:t>78.</w:t>
      </w:r>
      <w:r w:rsidRPr="00E26EF6">
        <w:tab/>
        <w:t>Wzór CR IRB składa się</w:t>
      </w:r>
      <w:r w:rsidR="00E26EF6" w:rsidRPr="00E26EF6">
        <w:t xml:space="preserve"> z dwó</w:t>
      </w:r>
      <w:r w:rsidRPr="00E26EF6">
        <w:t>ch wzorów. Wzór CR IRB 1 zawiera ogólny przegląd ekspozycji według metody IRB</w:t>
      </w:r>
      <w:r w:rsidR="00E26EF6" w:rsidRPr="00E26EF6">
        <w:t xml:space="preserve"> i róż</w:t>
      </w:r>
      <w:r w:rsidRPr="00E26EF6">
        <w:t>nych metod obliczania łącznych kwot ekspozycji na ryzyko,</w:t>
      </w:r>
      <w:r w:rsidR="00E26EF6" w:rsidRPr="00E26EF6">
        <w:t xml:space="preserve"> a tak</w:t>
      </w:r>
      <w:r w:rsidRPr="00E26EF6">
        <w:t>że podział ekspozycji całkowitych według rodzajów ekspozycji. Wzór CR IRB 2 zawiera podział ekspozycji całkowitych przypisanych klasom jakości lub pulom dłużników. Wzory CR IRB 1 i CR IRB 2 zgłasza się oddzielnie</w:t>
      </w:r>
      <w:r w:rsidR="00E26EF6" w:rsidRPr="00E26EF6">
        <w:t xml:space="preserve"> w odn</w:t>
      </w:r>
      <w:r w:rsidRPr="00E26EF6">
        <w:t>iesieniu do następujących kategorii ekspozycji lub subekspozycji:</w:t>
      </w:r>
    </w:p>
    <w:p w14:paraId="4C3A3DB6" w14:textId="77777777" w:rsidR="00915077" w:rsidRPr="00E26EF6" w:rsidRDefault="001C7AB7">
      <w:pPr>
        <w:autoSpaceDE w:val="0"/>
        <w:autoSpaceDN w:val="0"/>
        <w:adjustRightInd w:val="0"/>
        <w:spacing w:before="0" w:after="0"/>
        <w:ind w:left="1428" w:hanging="720"/>
        <w:jc w:val="left"/>
        <w:rPr>
          <w:rFonts w:ascii="Times New Roman" w:hAnsi="Times New Roman"/>
          <w:sz w:val="24"/>
        </w:rPr>
      </w:pPr>
      <w:proofErr w:type="gramStart"/>
      <w:r w:rsidRPr="00E26EF6">
        <w:rPr>
          <w:rFonts w:ascii="Times New Roman" w:hAnsi="Times New Roman"/>
          <w:sz w:val="24"/>
        </w:rPr>
        <w:t>1)</w:t>
      </w:r>
      <w:r w:rsidRPr="00E26EF6">
        <w:rPr>
          <w:rFonts w:ascii="Times New Roman" w:hAnsi="Times New Roman"/>
          <w:sz w:val="24"/>
        </w:rPr>
        <w:tab/>
        <w:t>razem</w:t>
      </w:r>
      <w:proofErr w:type="gramEnd"/>
    </w:p>
    <w:p w14:paraId="715E55C4" w14:textId="3A77D5F3" w:rsidR="00915077" w:rsidRPr="00E26EF6" w:rsidRDefault="001C7AB7">
      <w:pPr>
        <w:autoSpaceDE w:val="0"/>
        <w:autoSpaceDN w:val="0"/>
        <w:adjustRightInd w:val="0"/>
        <w:spacing w:before="0" w:after="0"/>
        <w:ind w:left="1428" w:hanging="720"/>
        <w:jc w:val="left"/>
        <w:rPr>
          <w:rFonts w:ascii="Times New Roman" w:hAnsi="Times New Roman"/>
          <w:sz w:val="24"/>
        </w:rPr>
      </w:pPr>
      <w:r w:rsidRPr="00E26EF6">
        <w:rPr>
          <w:rFonts w:ascii="Times New Roman" w:hAnsi="Times New Roman"/>
          <w:sz w:val="24"/>
        </w:rPr>
        <w:tab/>
        <w:t>(wzór dotyczący wartości całkowitych należy zgłaszać</w:t>
      </w:r>
      <w:r w:rsidR="00E26EF6" w:rsidRPr="00E26EF6">
        <w:rPr>
          <w:rFonts w:ascii="Times New Roman" w:hAnsi="Times New Roman"/>
          <w:sz w:val="24"/>
        </w:rPr>
        <w:t xml:space="preserve"> w odn</w:t>
      </w:r>
      <w:r w:rsidRPr="00E26EF6">
        <w:rPr>
          <w:rFonts w:ascii="Times New Roman" w:hAnsi="Times New Roman"/>
          <w:sz w:val="24"/>
        </w:rPr>
        <w:t>iesieniu do podstawowej metody IRB oraz oddzielnie</w:t>
      </w:r>
      <w:r w:rsidR="00E26EF6" w:rsidRPr="00E26EF6">
        <w:rPr>
          <w:rFonts w:ascii="Times New Roman" w:hAnsi="Times New Roman"/>
          <w:sz w:val="24"/>
        </w:rPr>
        <w:t xml:space="preserve"> w prz</w:t>
      </w:r>
      <w:r w:rsidRPr="00E26EF6">
        <w:rPr>
          <w:rFonts w:ascii="Times New Roman" w:hAnsi="Times New Roman"/>
          <w:sz w:val="24"/>
        </w:rPr>
        <w:t>ypadku zaawansowanej metody IRB);</w:t>
      </w:r>
    </w:p>
    <w:p w14:paraId="4B0D3A90" w14:textId="7F4AC523" w:rsidR="00915077" w:rsidRPr="00E26EF6" w:rsidRDefault="001C7AB7">
      <w:pPr>
        <w:autoSpaceDE w:val="0"/>
        <w:autoSpaceDN w:val="0"/>
        <w:adjustRightInd w:val="0"/>
        <w:spacing w:before="0" w:after="0"/>
        <w:ind w:left="1428" w:hanging="720"/>
        <w:jc w:val="left"/>
        <w:rPr>
          <w:rFonts w:ascii="Times New Roman" w:hAnsi="Times New Roman"/>
          <w:sz w:val="24"/>
        </w:rPr>
      </w:pPr>
      <w:proofErr w:type="gramStart"/>
      <w:r w:rsidRPr="00E26EF6">
        <w:rPr>
          <w:rFonts w:ascii="Times New Roman" w:hAnsi="Times New Roman"/>
          <w:sz w:val="24"/>
        </w:rPr>
        <w:t>2)</w:t>
      </w:r>
      <w:r w:rsidRPr="00E26EF6">
        <w:rPr>
          <w:rFonts w:ascii="Times New Roman" w:hAnsi="Times New Roman"/>
          <w:sz w:val="24"/>
        </w:rPr>
        <w:tab/>
        <w:t>ekspozycje</w:t>
      </w:r>
      <w:proofErr w:type="gramEnd"/>
      <w:r w:rsidRPr="00E26EF6">
        <w:rPr>
          <w:rFonts w:ascii="Times New Roman" w:hAnsi="Times New Roman"/>
          <w:sz w:val="24"/>
        </w:rPr>
        <w:t xml:space="preserve"> wobec rządów centralnych</w:t>
      </w:r>
      <w:r w:rsidR="00E26EF6" w:rsidRPr="00E26EF6">
        <w:rPr>
          <w:rFonts w:ascii="Times New Roman" w:hAnsi="Times New Roman"/>
          <w:sz w:val="24"/>
        </w:rPr>
        <w:t xml:space="preserve"> i ban</w:t>
      </w:r>
      <w:r w:rsidRPr="00E26EF6">
        <w:rPr>
          <w:rFonts w:ascii="Times New Roman" w:hAnsi="Times New Roman"/>
          <w:sz w:val="24"/>
        </w:rPr>
        <w:t xml:space="preserve">ków centralnych </w:t>
      </w:r>
    </w:p>
    <w:p w14:paraId="558C719D" w14:textId="529C8617" w:rsidR="00915077" w:rsidRPr="00E26EF6" w:rsidRDefault="001C7AB7">
      <w:pPr>
        <w:autoSpaceDE w:val="0"/>
        <w:autoSpaceDN w:val="0"/>
        <w:adjustRightInd w:val="0"/>
        <w:spacing w:before="0" w:after="0"/>
        <w:ind w:left="1428"/>
        <w:jc w:val="left"/>
        <w:rPr>
          <w:rFonts w:ascii="Times New Roman" w:hAnsi="Times New Roman"/>
          <w:sz w:val="24"/>
        </w:rPr>
      </w:pPr>
      <w:r w:rsidRPr="00E26EF6">
        <w:rPr>
          <w:rFonts w:ascii="Times New Roman" w:hAnsi="Times New Roman"/>
          <w:sz w:val="24"/>
        </w:rPr>
        <w:lastRenderedPageBreak/>
        <w:t>(art.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CRR);</w:t>
      </w:r>
    </w:p>
    <w:p w14:paraId="07EF82EF" w14:textId="77777777" w:rsidR="00915077" w:rsidRPr="00E26EF6" w:rsidRDefault="001C7AB7">
      <w:pPr>
        <w:autoSpaceDE w:val="0"/>
        <w:autoSpaceDN w:val="0"/>
        <w:adjustRightInd w:val="0"/>
        <w:spacing w:before="0" w:after="0"/>
        <w:ind w:left="708"/>
        <w:rPr>
          <w:rFonts w:ascii="Times New Roman" w:hAnsi="Times New Roman"/>
          <w:sz w:val="24"/>
        </w:rPr>
      </w:pPr>
      <w:proofErr w:type="gramStart"/>
      <w:r w:rsidRPr="00E26EF6">
        <w:rPr>
          <w:rFonts w:ascii="Times New Roman" w:hAnsi="Times New Roman"/>
          <w:sz w:val="24"/>
        </w:rPr>
        <w:t>3)</w:t>
      </w:r>
      <w:r w:rsidRPr="00E26EF6">
        <w:rPr>
          <w:rFonts w:ascii="Times New Roman" w:hAnsi="Times New Roman"/>
          <w:sz w:val="24"/>
        </w:rPr>
        <w:tab/>
        <w:t>ekspozycje</w:t>
      </w:r>
      <w:proofErr w:type="gramEnd"/>
      <w:r w:rsidRPr="00E26EF6">
        <w:rPr>
          <w:rFonts w:ascii="Times New Roman" w:hAnsi="Times New Roman"/>
          <w:sz w:val="24"/>
        </w:rPr>
        <w:t xml:space="preserve"> wobec instytucji</w:t>
      </w:r>
    </w:p>
    <w:p w14:paraId="0A7EB7B6" w14:textId="1362B53B" w:rsidR="00915077" w:rsidRPr="00E26EF6" w:rsidRDefault="001C7AB7">
      <w:pPr>
        <w:autoSpaceDE w:val="0"/>
        <w:autoSpaceDN w:val="0"/>
        <w:adjustRightInd w:val="0"/>
        <w:spacing w:before="0" w:after="0"/>
        <w:ind w:left="708" w:firstLine="720"/>
        <w:rPr>
          <w:rFonts w:ascii="Times New Roman" w:hAnsi="Times New Roman"/>
          <w:sz w:val="24"/>
        </w:rPr>
      </w:pPr>
      <w:r w:rsidRPr="00E26EF6">
        <w:rPr>
          <w:rFonts w:ascii="Times New Roman" w:hAnsi="Times New Roman"/>
          <w:sz w:val="24"/>
        </w:rPr>
        <w:t>(art.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CRR);</w:t>
      </w:r>
    </w:p>
    <w:p w14:paraId="3A5A6D07" w14:textId="77777777" w:rsidR="00915077" w:rsidRPr="00E26EF6" w:rsidRDefault="001C7AB7">
      <w:pPr>
        <w:autoSpaceDE w:val="0"/>
        <w:autoSpaceDN w:val="0"/>
        <w:adjustRightInd w:val="0"/>
        <w:spacing w:before="0" w:after="0"/>
        <w:ind w:left="1428" w:hanging="720"/>
        <w:jc w:val="left"/>
        <w:rPr>
          <w:rFonts w:ascii="Times New Roman" w:hAnsi="Times New Roman"/>
          <w:sz w:val="24"/>
        </w:rPr>
      </w:pPr>
      <w:r w:rsidRPr="00E26EF6">
        <w:rPr>
          <w:rFonts w:ascii="Times New Roman" w:hAnsi="Times New Roman"/>
          <w:sz w:val="24"/>
        </w:rPr>
        <w:t>4.1)</w:t>
      </w:r>
      <w:r w:rsidRPr="00E26EF6">
        <w:rPr>
          <w:rFonts w:ascii="Times New Roman" w:hAnsi="Times New Roman"/>
          <w:sz w:val="24"/>
        </w:rPr>
        <w:tab/>
      </w:r>
      <w:proofErr w:type="gramStart"/>
      <w:r w:rsidRPr="00E26EF6">
        <w:rPr>
          <w:rFonts w:ascii="Times New Roman" w:hAnsi="Times New Roman"/>
          <w:sz w:val="24"/>
        </w:rPr>
        <w:t>ekspozycje</w:t>
      </w:r>
      <w:proofErr w:type="gramEnd"/>
      <w:r w:rsidRPr="00E26EF6">
        <w:rPr>
          <w:rFonts w:ascii="Times New Roman" w:hAnsi="Times New Roman"/>
          <w:sz w:val="24"/>
        </w:rPr>
        <w:t xml:space="preserve"> wobec przedsiębiorstw – MŚP</w:t>
      </w:r>
    </w:p>
    <w:p w14:paraId="3A1569F4" w14:textId="2407DDC3" w:rsidR="00915077" w:rsidRPr="00E26EF6" w:rsidRDefault="001C7AB7">
      <w:pPr>
        <w:autoSpaceDE w:val="0"/>
        <w:autoSpaceDN w:val="0"/>
        <w:adjustRightInd w:val="0"/>
        <w:spacing w:before="0" w:after="0"/>
        <w:ind w:left="1428"/>
        <w:jc w:val="left"/>
        <w:rPr>
          <w:rFonts w:ascii="Times New Roman" w:hAnsi="Times New Roman"/>
          <w:sz w:val="24"/>
        </w:rPr>
      </w:pPr>
      <w:r w:rsidRPr="00E26EF6">
        <w:rPr>
          <w:rFonts w:ascii="Times New Roman" w:hAnsi="Times New Roman"/>
          <w:sz w:val="24"/>
        </w:rPr>
        <w:t>(art.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 xml:space="preserve">c) CRR); </w:t>
      </w:r>
    </w:p>
    <w:p w14:paraId="628E8942" w14:textId="77777777" w:rsidR="00915077" w:rsidRPr="00E26EF6" w:rsidRDefault="001C7AB7">
      <w:pPr>
        <w:autoSpaceDE w:val="0"/>
        <w:autoSpaceDN w:val="0"/>
        <w:adjustRightInd w:val="0"/>
        <w:spacing w:before="0" w:after="0"/>
        <w:ind w:left="708"/>
        <w:jc w:val="left"/>
        <w:rPr>
          <w:rFonts w:ascii="Times New Roman" w:hAnsi="Times New Roman"/>
          <w:sz w:val="24"/>
        </w:rPr>
      </w:pPr>
      <w:r w:rsidRPr="00E26EF6">
        <w:rPr>
          <w:rFonts w:ascii="Times New Roman" w:hAnsi="Times New Roman"/>
          <w:sz w:val="24"/>
        </w:rPr>
        <w:t>4.2)</w:t>
      </w:r>
      <w:r w:rsidRPr="00E26EF6">
        <w:rPr>
          <w:rFonts w:ascii="Times New Roman" w:hAnsi="Times New Roman"/>
          <w:sz w:val="24"/>
        </w:rPr>
        <w:tab/>
      </w:r>
      <w:proofErr w:type="gramStart"/>
      <w:r w:rsidRPr="00E26EF6">
        <w:rPr>
          <w:rFonts w:ascii="Times New Roman" w:hAnsi="Times New Roman"/>
          <w:sz w:val="24"/>
        </w:rPr>
        <w:t>ekspozycje</w:t>
      </w:r>
      <w:proofErr w:type="gramEnd"/>
      <w:r w:rsidRPr="00E26EF6">
        <w:rPr>
          <w:rFonts w:ascii="Times New Roman" w:hAnsi="Times New Roman"/>
          <w:sz w:val="24"/>
        </w:rPr>
        <w:t xml:space="preserve"> wobec przedsiębiorstw – kredytowanie specjalistyczne</w:t>
      </w:r>
    </w:p>
    <w:p w14:paraId="11349E18" w14:textId="4B550C8F" w:rsidR="00915077" w:rsidRPr="00E26EF6" w:rsidRDefault="001C7AB7">
      <w:pPr>
        <w:autoSpaceDE w:val="0"/>
        <w:autoSpaceDN w:val="0"/>
        <w:adjustRightInd w:val="0"/>
        <w:spacing w:before="0" w:after="0"/>
        <w:ind w:left="1428"/>
        <w:jc w:val="left"/>
        <w:rPr>
          <w:rFonts w:ascii="Times New Roman" w:hAnsi="Times New Roman"/>
          <w:sz w:val="24"/>
        </w:rPr>
      </w:pPr>
      <w:r w:rsidRPr="00E26EF6">
        <w:rPr>
          <w:rFonts w:ascii="Times New Roman" w:hAnsi="Times New Roman"/>
          <w:sz w:val="24"/>
        </w:rPr>
        <w:t>(art.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8) CRR);</w:t>
      </w:r>
    </w:p>
    <w:p w14:paraId="2AA1AE86" w14:textId="77777777" w:rsidR="00915077" w:rsidRPr="00E26EF6" w:rsidRDefault="001C7AB7">
      <w:pPr>
        <w:autoSpaceDE w:val="0"/>
        <w:autoSpaceDN w:val="0"/>
        <w:adjustRightInd w:val="0"/>
        <w:spacing w:before="0" w:after="0"/>
        <w:ind w:left="708"/>
        <w:jc w:val="left"/>
        <w:rPr>
          <w:rFonts w:ascii="Times New Roman" w:hAnsi="Times New Roman"/>
          <w:sz w:val="24"/>
        </w:rPr>
      </w:pPr>
      <w:r w:rsidRPr="00E26EF6">
        <w:rPr>
          <w:rFonts w:ascii="Times New Roman" w:hAnsi="Times New Roman"/>
          <w:sz w:val="24"/>
        </w:rPr>
        <w:t>4.3)</w:t>
      </w:r>
      <w:r w:rsidRPr="00E26EF6">
        <w:rPr>
          <w:rFonts w:ascii="Times New Roman" w:hAnsi="Times New Roman"/>
          <w:sz w:val="24"/>
        </w:rPr>
        <w:tab/>
      </w:r>
      <w:proofErr w:type="gramStart"/>
      <w:r w:rsidRPr="00E26EF6">
        <w:rPr>
          <w:rFonts w:ascii="Times New Roman" w:hAnsi="Times New Roman"/>
          <w:sz w:val="24"/>
        </w:rPr>
        <w:t>ekspozycje</w:t>
      </w:r>
      <w:proofErr w:type="gramEnd"/>
      <w:r w:rsidRPr="00E26EF6">
        <w:rPr>
          <w:rFonts w:ascii="Times New Roman" w:hAnsi="Times New Roman"/>
          <w:sz w:val="24"/>
        </w:rPr>
        <w:t xml:space="preserve"> wobec przedsiębiorstw – inne </w:t>
      </w:r>
    </w:p>
    <w:p w14:paraId="17B1202D" w14:textId="77DA0D59" w:rsidR="00915077" w:rsidRPr="00E26EF6" w:rsidRDefault="001C7AB7">
      <w:pPr>
        <w:autoSpaceDE w:val="0"/>
        <w:autoSpaceDN w:val="0"/>
        <w:adjustRightInd w:val="0"/>
        <w:spacing w:before="0" w:after="0"/>
        <w:ind w:left="1428"/>
        <w:jc w:val="left"/>
        <w:rPr>
          <w:rFonts w:ascii="Times New Roman" w:hAnsi="Times New Roman"/>
          <w:sz w:val="24"/>
        </w:rPr>
      </w:pPr>
      <w:r w:rsidRPr="00E26EF6">
        <w:rPr>
          <w:rFonts w:ascii="Times New Roman" w:hAnsi="Times New Roman"/>
          <w:sz w:val="24"/>
        </w:rPr>
        <w:t>(wszystkie ekspozycje wobec przedsiębiorstw,</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c) CRR, niezgłoszone</w:t>
      </w:r>
      <w:r w:rsidR="00E26EF6" w:rsidRPr="00E26EF6">
        <w:rPr>
          <w:rFonts w:ascii="Times New Roman" w:hAnsi="Times New Roman"/>
          <w:sz w:val="24"/>
        </w:rPr>
        <w:t xml:space="preserve"> w poz</w:t>
      </w:r>
      <w:r w:rsidRPr="00E26EF6">
        <w:rPr>
          <w:rFonts w:ascii="Times New Roman" w:hAnsi="Times New Roman"/>
          <w:sz w:val="24"/>
        </w:rPr>
        <w:t>ycji 4.1</w:t>
      </w:r>
      <w:r w:rsidR="00E26EF6" w:rsidRPr="00E26EF6">
        <w:rPr>
          <w:rFonts w:ascii="Times New Roman" w:hAnsi="Times New Roman"/>
          <w:sz w:val="24"/>
        </w:rPr>
        <w:t xml:space="preserve"> </w:t>
      </w:r>
      <w:proofErr w:type="gramStart"/>
      <w:r w:rsidR="00E26EF6" w:rsidRPr="00E26EF6">
        <w:rPr>
          <w:rFonts w:ascii="Times New Roman" w:hAnsi="Times New Roman"/>
          <w:sz w:val="24"/>
        </w:rPr>
        <w:t>i</w:t>
      </w:r>
      <w:proofErr w:type="gramEnd"/>
      <w:r w:rsidR="00E26EF6" w:rsidRPr="00E26EF6">
        <w:rPr>
          <w:rFonts w:ascii="Times New Roman" w:hAnsi="Times New Roman"/>
          <w:sz w:val="24"/>
        </w:rPr>
        <w:t> 4</w:t>
      </w:r>
      <w:r w:rsidRPr="00E26EF6">
        <w:rPr>
          <w:rFonts w:ascii="Times New Roman" w:hAnsi="Times New Roman"/>
          <w:sz w:val="24"/>
        </w:rPr>
        <w:t>.2);</w:t>
      </w:r>
    </w:p>
    <w:p w14:paraId="012C1B7E" w14:textId="77777777" w:rsidR="00915077" w:rsidRPr="00E26EF6" w:rsidRDefault="001C7AB7">
      <w:pPr>
        <w:autoSpaceDE w:val="0"/>
        <w:autoSpaceDN w:val="0"/>
        <w:adjustRightInd w:val="0"/>
        <w:spacing w:before="0" w:after="0"/>
        <w:ind w:left="708"/>
        <w:jc w:val="left"/>
        <w:rPr>
          <w:rFonts w:ascii="Times New Roman" w:hAnsi="Times New Roman"/>
          <w:sz w:val="24"/>
        </w:rPr>
      </w:pPr>
      <w:r w:rsidRPr="00E26EF6">
        <w:rPr>
          <w:rFonts w:ascii="Times New Roman" w:hAnsi="Times New Roman"/>
          <w:sz w:val="24"/>
        </w:rPr>
        <w:t>5.1)</w:t>
      </w:r>
      <w:r w:rsidRPr="00E26EF6">
        <w:rPr>
          <w:rFonts w:ascii="Times New Roman" w:hAnsi="Times New Roman"/>
          <w:sz w:val="24"/>
        </w:rPr>
        <w:tab/>
      </w:r>
      <w:proofErr w:type="gramStart"/>
      <w:r w:rsidRPr="00E26EF6">
        <w:rPr>
          <w:rFonts w:ascii="Times New Roman" w:hAnsi="Times New Roman"/>
          <w:sz w:val="24"/>
        </w:rPr>
        <w:t>ekspozycje</w:t>
      </w:r>
      <w:proofErr w:type="gramEnd"/>
      <w:r w:rsidRPr="00E26EF6">
        <w:rPr>
          <w:rFonts w:ascii="Times New Roman" w:hAnsi="Times New Roman"/>
          <w:sz w:val="24"/>
        </w:rPr>
        <w:t xml:space="preserve"> detaliczne – wobec MŚP zabezpieczone nieruchomością</w:t>
      </w:r>
    </w:p>
    <w:p w14:paraId="14276CA5" w14:textId="56E15DE2" w:rsidR="00915077" w:rsidRPr="00E26EF6" w:rsidRDefault="001C7AB7">
      <w:pPr>
        <w:autoSpaceDE w:val="0"/>
        <w:autoSpaceDN w:val="0"/>
        <w:adjustRightInd w:val="0"/>
        <w:spacing w:before="0" w:after="0"/>
        <w:ind w:left="1428"/>
        <w:jc w:val="left"/>
        <w:rPr>
          <w:rFonts w:ascii="Times New Roman" w:hAnsi="Times New Roman"/>
          <w:sz w:val="24"/>
        </w:rPr>
      </w:pPr>
      <w:r w:rsidRPr="00E26EF6">
        <w:rPr>
          <w:rFonts w:ascii="Times New Roman" w:hAnsi="Times New Roman"/>
          <w:sz w:val="24"/>
        </w:rPr>
        <w:t>(ekspozycje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154 ust.</w:t>
      </w:r>
      <w:r w:rsidR="00023409" w:rsidRPr="00E26EF6">
        <w:rPr>
          <w:rFonts w:ascii="Times New Roman" w:hAnsi="Times New Roman"/>
          <w:sz w:val="24"/>
        </w:rPr>
        <w:t> </w:t>
      </w:r>
      <w:r w:rsidRPr="00E26EF6">
        <w:rPr>
          <w:rFonts w:ascii="Times New Roman" w:hAnsi="Times New Roman"/>
          <w:sz w:val="24"/>
        </w:rPr>
        <w:t>3 CRR, które są zabezpieczone nieruchomością);</w:t>
      </w:r>
    </w:p>
    <w:p w14:paraId="477FAE70" w14:textId="77777777" w:rsidR="00915077" w:rsidRPr="00E26EF6" w:rsidRDefault="001C7AB7">
      <w:pPr>
        <w:autoSpaceDE w:val="0"/>
        <w:autoSpaceDN w:val="0"/>
        <w:adjustRightInd w:val="0"/>
        <w:spacing w:before="0" w:after="0"/>
        <w:ind w:left="708"/>
        <w:jc w:val="left"/>
        <w:rPr>
          <w:rFonts w:ascii="Times New Roman" w:hAnsi="Times New Roman"/>
          <w:sz w:val="24"/>
        </w:rPr>
      </w:pPr>
      <w:r w:rsidRPr="00E26EF6">
        <w:rPr>
          <w:rFonts w:ascii="Times New Roman" w:hAnsi="Times New Roman"/>
          <w:sz w:val="24"/>
        </w:rPr>
        <w:t>5.2)</w:t>
      </w:r>
      <w:r w:rsidRPr="00E26EF6">
        <w:rPr>
          <w:rFonts w:ascii="Times New Roman" w:hAnsi="Times New Roman"/>
          <w:sz w:val="24"/>
        </w:rPr>
        <w:tab/>
      </w:r>
      <w:proofErr w:type="gramStart"/>
      <w:r w:rsidRPr="00E26EF6">
        <w:rPr>
          <w:rFonts w:ascii="Times New Roman" w:hAnsi="Times New Roman"/>
          <w:sz w:val="24"/>
        </w:rPr>
        <w:t>ekspozycje</w:t>
      </w:r>
      <w:proofErr w:type="gramEnd"/>
      <w:r w:rsidRPr="00E26EF6">
        <w:rPr>
          <w:rFonts w:ascii="Times New Roman" w:hAnsi="Times New Roman"/>
          <w:sz w:val="24"/>
        </w:rPr>
        <w:t xml:space="preserve"> detaliczne – wobec przedsiębiorstw niebędących MŚP zabezpieczone nieruchomością</w:t>
      </w:r>
    </w:p>
    <w:p w14:paraId="0853E262" w14:textId="617E8EED" w:rsidR="00915077" w:rsidRPr="00E26EF6" w:rsidRDefault="001C7AB7">
      <w:pPr>
        <w:autoSpaceDE w:val="0"/>
        <w:autoSpaceDN w:val="0"/>
        <w:adjustRightInd w:val="0"/>
        <w:spacing w:before="0" w:after="0"/>
        <w:ind w:left="1428"/>
        <w:jc w:val="left"/>
        <w:rPr>
          <w:rFonts w:ascii="Times New Roman" w:hAnsi="Times New Roman"/>
          <w:sz w:val="24"/>
        </w:rPr>
      </w:pPr>
      <w:r w:rsidRPr="00E26EF6">
        <w:rPr>
          <w:rFonts w:ascii="Times New Roman" w:hAnsi="Times New Roman"/>
          <w:sz w:val="24"/>
        </w:rPr>
        <w:t>(ekspozycje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 które zabezpieczone są nieruchomością</w:t>
      </w:r>
      <w:r w:rsidR="00E26EF6" w:rsidRPr="00E26EF6">
        <w:rPr>
          <w:rFonts w:ascii="Times New Roman" w:hAnsi="Times New Roman"/>
          <w:sz w:val="24"/>
        </w:rPr>
        <w:t xml:space="preserve"> i nie</w:t>
      </w:r>
      <w:r w:rsidRPr="00E26EF6">
        <w:rPr>
          <w:rFonts w:ascii="Times New Roman" w:hAnsi="Times New Roman"/>
          <w:sz w:val="24"/>
        </w:rPr>
        <w:t xml:space="preserve"> są zgłoszone</w:t>
      </w:r>
      <w:r w:rsidR="00E26EF6" w:rsidRPr="00E26EF6">
        <w:rPr>
          <w:rFonts w:ascii="Times New Roman" w:hAnsi="Times New Roman"/>
          <w:sz w:val="24"/>
        </w:rPr>
        <w:t xml:space="preserve"> w poz</w:t>
      </w:r>
      <w:r w:rsidRPr="00E26EF6">
        <w:rPr>
          <w:rFonts w:ascii="Times New Roman" w:hAnsi="Times New Roman"/>
          <w:sz w:val="24"/>
        </w:rPr>
        <w:t>ycji 5.1);</w:t>
      </w:r>
    </w:p>
    <w:p w14:paraId="152083C0" w14:textId="77777777" w:rsidR="00915077" w:rsidRPr="00E26EF6" w:rsidRDefault="001C7AB7">
      <w:pPr>
        <w:autoSpaceDE w:val="0"/>
        <w:autoSpaceDN w:val="0"/>
        <w:adjustRightInd w:val="0"/>
        <w:spacing w:before="0" w:after="0"/>
        <w:ind w:left="708"/>
        <w:jc w:val="left"/>
        <w:rPr>
          <w:rFonts w:ascii="Times New Roman" w:hAnsi="Times New Roman"/>
          <w:sz w:val="24"/>
        </w:rPr>
      </w:pPr>
      <w:r w:rsidRPr="00E26EF6">
        <w:rPr>
          <w:rFonts w:ascii="Times New Roman" w:hAnsi="Times New Roman"/>
          <w:sz w:val="24"/>
        </w:rPr>
        <w:t>5.3)</w:t>
      </w:r>
      <w:r w:rsidRPr="00E26EF6">
        <w:rPr>
          <w:rFonts w:ascii="Times New Roman" w:hAnsi="Times New Roman"/>
          <w:sz w:val="24"/>
        </w:rPr>
        <w:tab/>
      </w:r>
      <w:proofErr w:type="gramStart"/>
      <w:r w:rsidRPr="00E26EF6">
        <w:rPr>
          <w:rFonts w:ascii="Times New Roman" w:hAnsi="Times New Roman"/>
          <w:sz w:val="24"/>
        </w:rPr>
        <w:t>kwalifikowane</w:t>
      </w:r>
      <w:proofErr w:type="gramEnd"/>
      <w:r w:rsidRPr="00E26EF6">
        <w:rPr>
          <w:rFonts w:ascii="Times New Roman" w:hAnsi="Times New Roman"/>
          <w:sz w:val="24"/>
        </w:rPr>
        <w:t xml:space="preserve"> odnawialne ekspozycje detaliczne</w:t>
      </w:r>
    </w:p>
    <w:p w14:paraId="1B6B0E6E" w14:textId="6A705D9F" w:rsidR="00915077" w:rsidRPr="00E26EF6" w:rsidRDefault="001C7AB7">
      <w:pPr>
        <w:autoSpaceDE w:val="0"/>
        <w:autoSpaceDN w:val="0"/>
        <w:adjustRightInd w:val="0"/>
        <w:spacing w:before="0" w:after="0"/>
        <w:ind w:left="1428"/>
        <w:jc w:val="left"/>
        <w:rPr>
          <w:rFonts w:ascii="Times New Roman" w:hAnsi="Times New Roman"/>
          <w:sz w:val="24"/>
        </w:rPr>
      </w:pPr>
      <w:r w:rsidRPr="00E26EF6">
        <w:rPr>
          <w:rFonts w:ascii="Times New Roman" w:hAnsi="Times New Roman"/>
          <w:sz w:val="24"/>
        </w:rPr>
        <w:t>(ekspozycje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154 ust.</w:t>
      </w:r>
      <w:r w:rsidR="00023409" w:rsidRPr="00E26EF6">
        <w:rPr>
          <w:rFonts w:ascii="Times New Roman" w:hAnsi="Times New Roman"/>
          <w:sz w:val="24"/>
        </w:rPr>
        <w:t> </w:t>
      </w:r>
      <w:r w:rsidRPr="00E26EF6">
        <w:rPr>
          <w:rFonts w:ascii="Times New Roman" w:hAnsi="Times New Roman"/>
          <w:sz w:val="24"/>
        </w:rPr>
        <w:t xml:space="preserve">4 CRR); </w:t>
      </w:r>
    </w:p>
    <w:p w14:paraId="751555D8" w14:textId="77777777" w:rsidR="00915077" w:rsidRPr="00E26EF6" w:rsidRDefault="001C7AB7">
      <w:pPr>
        <w:autoSpaceDE w:val="0"/>
        <w:autoSpaceDN w:val="0"/>
        <w:adjustRightInd w:val="0"/>
        <w:spacing w:before="0" w:after="0"/>
        <w:ind w:left="708"/>
        <w:jc w:val="left"/>
        <w:rPr>
          <w:rFonts w:ascii="Times New Roman" w:hAnsi="Times New Roman"/>
          <w:sz w:val="24"/>
        </w:rPr>
      </w:pPr>
      <w:r w:rsidRPr="00E26EF6">
        <w:rPr>
          <w:rFonts w:ascii="Times New Roman" w:hAnsi="Times New Roman"/>
          <w:sz w:val="24"/>
        </w:rPr>
        <w:t>5.4)</w:t>
      </w:r>
      <w:r w:rsidRPr="00E26EF6">
        <w:rPr>
          <w:rFonts w:ascii="Times New Roman" w:hAnsi="Times New Roman"/>
          <w:sz w:val="24"/>
        </w:rPr>
        <w:tab/>
      </w:r>
      <w:proofErr w:type="gramStart"/>
      <w:r w:rsidRPr="00E26EF6">
        <w:rPr>
          <w:rFonts w:ascii="Times New Roman" w:hAnsi="Times New Roman"/>
          <w:sz w:val="24"/>
        </w:rPr>
        <w:t>ekspozycje</w:t>
      </w:r>
      <w:proofErr w:type="gramEnd"/>
      <w:r w:rsidRPr="00E26EF6">
        <w:rPr>
          <w:rFonts w:ascii="Times New Roman" w:hAnsi="Times New Roman"/>
          <w:sz w:val="24"/>
        </w:rPr>
        <w:t xml:space="preserve"> detaliczne – inne ekspozycje wobec MŚP</w:t>
      </w:r>
    </w:p>
    <w:p w14:paraId="4E8B2F09" w14:textId="6A8ECC91" w:rsidR="00915077" w:rsidRPr="00E26EF6" w:rsidRDefault="001C7AB7">
      <w:pPr>
        <w:autoSpaceDE w:val="0"/>
        <w:autoSpaceDN w:val="0"/>
        <w:adjustRightInd w:val="0"/>
        <w:spacing w:before="0" w:after="0"/>
        <w:ind w:left="1428"/>
        <w:jc w:val="left"/>
        <w:rPr>
          <w:rFonts w:ascii="Times New Roman" w:hAnsi="Times New Roman"/>
          <w:sz w:val="24"/>
        </w:rPr>
      </w:pPr>
      <w:r w:rsidRPr="00E26EF6">
        <w:rPr>
          <w:rFonts w:ascii="Times New Roman" w:hAnsi="Times New Roman"/>
          <w:sz w:val="24"/>
        </w:rPr>
        <w:t>(ekspozycje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 niezgłoszone</w:t>
      </w:r>
      <w:r w:rsidR="00E26EF6" w:rsidRPr="00E26EF6">
        <w:rPr>
          <w:rFonts w:ascii="Times New Roman" w:hAnsi="Times New Roman"/>
          <w:sz w:val="24"/>
        </w:rPr>
        <w:t xml:space="preserve"> w poz</w:t>
      </w:r>
      <w:r w:rsidRPr="00E26EF6">
        <w:rPr>
          <w:rFonts w:ascii="Times New Roman" w:hAnsi="Times New Roman"/>
          <w:sz w:val="24"/>
        </w:rPr>
        <w:t>ycji 5.1</w:t>
      </w:r>
      <w:r w:rsidR="00E26EF6" w:rsidRPr="00E26EF6">
        <w:rPr>
          <w:rFonts w:ascii="Times New Roman" w:hAnsi="Times New Roman"/>
          <w:sz w:val="24"/>
        </w:rPr>
        <w:t xml:space="preserve"> </w:t>
      </w:r>
      <w:proofErr w:type="gramStart"/>
      <w:r w:rsidR="00E26EF6" w:rsidRPr="00E26EF6">
        <w:rPr>
          <w:rFonts w:ascii="Times New Roman" w:hAnsi="Times New Roman"/>
          <w:sz w:val="24"/>
        </w:rPr>
        <w:t>i</w:t>
      </w:r>
      <w:proofErr w:type="gramEnd"/>
      <w:r w:rsidR="00E26EF6" w:rsidRPr="00E26EF6">
        <w:rPr>
          <w:rFonts w:ascii="Times New Roman" w:hAnsi="Times New Roman"/>
          <w:sz w:val="24"/>
        </w:rPr>
        <w:t> 5</w:t>
      </w:r>
      <w:r w:rsidRPr="00E26EF6">
        <w:rPr>
          <w:rFonts w:ascii="Times New Roman" w:hAnsi="Times New Roman"/>
          <w:sz w:val="24"/>
        </w:rPr>
        <w:t>.3);</w:t>
      </w:r>
    </w:p>
    <w:p w14:paraId="4C9857F1" w14:textId="77777777" w:rsidR="00915077" w:rsidRPr="00E26EF6" w:rsidRDefault="00125707">
      <w:pPr>
        <w:pStyle w:val="ListParagraph1"/>
        <w:autoSpaceDE w:val="0"/>
        <w:autoSpaceDN w:val="0"/>
        <w:adjustRightInd w:val="0"/>
        <w:spacing w:before="0" w:after="0"/>
        <w:ind w:left="1428" w:hanging="720"/>
        <w:jc w:val="left"/>
        <w:rPr>
          <w:rFonts w:ascii="Times New Roman" w:hAnsi="Times New Roman"/>
          <w:sz w:val="24"/>
        </w:rPr>
      </w:pPr>
      <w:r w:rsidRPr="00E26EF6">
        <w:rPr>
          <w:rFonts w:ascii="Times New Roman" w:hAnsi="Times New Roman"/>
          <w:sz w:val="24"/>
        </w:rPr>
        <w:t>5.5)</w:t>
      </w:r>
      <w:r w:rsidRPr="00E26EF6">
        <w:rPr>
          <w:rFonts w:ascii="Times New Roman" w:hAnsi="Times New Roman"/>
          <w:sz w:val="24"/>
        </w:rPr>
        <w:tab/>
      </w:r>
      <w:proofErr w:type="gramStart"/>
      <w:r w:rsidRPr="00E26EF6">
        <w:rPr>
          <w:rFonts w:ascii="Times New Roman" w:hAnsi="Times New Roman"/>
          <w:sz w:val="24"/>
        </w:rPr>
        <w:t>ekspozycje</w:t>
      </w:r>
      <w:proofErr w:type="gramEnd"/>
      <w:r w:rsidRPr="00E26EF6">
        <w:rPr>
          <w:rFonts w:ascii="Times New Roman" w:hAnsi="Times New Roman"/>
          <w:sz w:val="24"/>
        </w:rPr>
        <w:t xml:space="preserve"> detaliczne – inne ekspozycje wobec przedsiębiorstw niebędących MŚP</w:t>
      </w:r>
    </w:p>
    <w:p w14:paraId="0B729311" w14:textId="78BABF32" w:rsidR="00915077" w:rsidRPr="00E26EF6" w:rsidRDefault="001C7AB7">
      <w:pPr>
        <w:autoSpaceDE w:val="0"/>
        <w:autoSpaceDN w:val="0"/>
        <w:adjustRightInd w:val="0"/>
        <w:spacing w:before="0" w:after="0"/>
        <w:ind w:left="1428"/>
        <w:jc w:val="left"/>
        <w:rPr>
          <w:rFonts w:ascii="Times New Roman" w:hAnsi="Times New Roman"/>
          <w:sz w:val="24"/>
        </w:rPr>
      </w:pPr>
      <w:r w:rsidRPr="00E26EF6">
        <w:rPr>
          <w:rFonts w:ascii="Times New Roman" w:hAnsi="Times New Roman"/>
          <w:sz w:val="24"/>
        </w:rPr>
        <w:t>(ekspozycje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 których nie zgłoszono</w:t>
      </w:r>
      <w:r w:rsidR="00E26EF6" w:rsidRPr="00E26EF6">
        <w:rPr>
          <w:rFonts w:ascii="Times New Roman" w:hAnsi="Times New Roman"/>
          <w:sz w:val="24"/>
        </w:rPr>
        <w:t xml:space="preserve"> w poz</w:t>
      </w:r>
      <w:r w:rsidRPr="00E26EF6">
        <w:rPr>
          <w:rFonts w:ascii="Times New Roman" w:hAnsi="Times New Roman"/>
          <w:sz w:val="24"/>
        </w:rPr>
        <w:t>ycji 5.2</w:t>
      </w:r>
      <w:r w:rsidR="00E26EF6" w:rsidRPr="00E26EF6">
        <w:rPr>
          <w:rFonts w:ascii="Times New Roman" w:hAnsi="Times New Roman"/>
          <w:sz w:val="24"/>
        </w:rPr>
        <w:t xml:space="preserve"> </w:t>
      </w:r>
      <w:proofErr w:type="gramStart"/>
      <w:r w:rsidR="00E26EF6" w:rsidRPr="00E26EF6">
        <w:rPr>
          <w:rFonts w:ascii="Times New Roman" w:hAnsi="Times New Roman"/>
          <w:sz w:val="24"/>
        </w:rPr>
        <w:t>i</w:t>
      </w:r>
      <w:proofErr w:type="gramEnd"/>
      <w:r w:rsidR="00E26EF6" w:rsidRPr="00E26EF6">
        <w:rPr>
          <w:rFonts w:ascii="Times New Roman" w:hAnsi="Times New Roman"/>
          <w:sz w:val="24"/>
        </w:rPr>
        <w:t> 5</w:t>
      </w:r>
      <w:r w:rsidRPr="00E26EF6">
        <w:rPr>
          <w:rFonts w:ascii="Times New Roman" w:hAnsi="Times New Roman"/>
          <w:sz w:val="24"/>
        </w:rPr>
        <w:t>.3).</w:t>
      </w:r>
    </w:p>
    <w:p w14:paraId="4580B6D6" w14:textId="77777777" w:rsidR="00915077" w:rsidRPr="00E26EF6" w:rsidRDefault="00915077">
      <w:pPr>
        <w:autoSpaceDE w:val="0"/>
        <w:autoSpaceDN w:val="0"/>
        <w:adjustRightInd w:val="0"/>
        <w:spacing w:before="0" w:after="240"/>
        <w:jc w:val="left"/>
        <w:rPr>
          <w:rFonts w:ascii="Times New Roman" w:hAnsi="Times New Roman"/>
          <w:sz w:val="24"/>
        </w:rPr>
      </w:pPr>
    </w:p>
    <w:p w14:paraId="75F30A67" w14:textId="736A4D99" w:rsidR="00915077" w:rsidRPr="00E26EF6" w:rsidRDefault="00125707">
      <w:pPr>
        <w:pStyle w:val="Instructionsberschrift2"/>
        <w:numPr>
          <w:ilvl w:val="0"/>
          <w:numId w:val="0"/>
        </w:numPr>
        <w:ind w:left="357" w:hanging="357"/>
        <w:rPr>
          <w:rFonts w:ascii="Times New Roman" w:hAnsi="Times New Roman" w:cs="Times New Roman"/>
          <w:sz w:val="24"/>
        </w:rPr>
      </w:pPr>
      <w:bookmarkStart w:id="45" w:name="_Toc31014343"/>
      <w:r w:rsidRPr="00E26EF6">
        <w:rPr>
          <w:rFonts w:ascii="Times New Roman" w:hAnsi="Times New Roman"/>
          <w:sz w:val="24"/>
          <w:u w:val="none"/>
        </w:rPr>
        <w:t>3.3.3.</w:t>
      </w:r>
      <w:r w:rsidRPr="00E26EF6">
        <w:rPr>
          <w:rFonts w:ascii="Times New Roman" w:hAnsi="Times New Roman"/>
          <w:sz w:val="24"/>
          <w:u w:val="none"/>
        </w:rPr>
        <w:tab/>
      </w:r>
      <w:r w:rsidRPr="00E26EF6">
        <w:rPr>
          <w:rFonts w:ascii="Times New Roman" w:hAnsi="Times New Roman"/>
          <w:sz w:val="24"/>
        </w:rPr>
        <w:t>C 08.01 – Ryzyko kredytowe</w:t>
      </w:r>
      <w:r w:rsidR="00E26EF6" w:rsidRPr="00E26EF6">
        <w:rPr>
          <w:rFonts w:ascii="Times New Roman" w:hAnsi="Times New Roman"/>
          <w:sz w:val="24"/>
        </w:rPr>
        <w:t xml:space="preserve"> i ryz</w:t>
      </w:r>
      <w:r w:rsidRPr="00E26EF6">
        <w:rPr>
          <w:rFonts w:ascii="Times New Roman" w:hAnsi="Times New Roman"/>
          <w:sz w:val="24"/>
        </w:rPr>
        <w:t>yko kredytowe kontrahenta oraz dostawy</w:t>
      </w:r>
      <w:r w:rsidR="00E26EF6" w:rsidRPr="00E26EF6">
        <w:rPr>
          <w:rFonts w:ascii="Times New Roman" w:hAnsi="Times New Roman"/>
          <w:sz w:val="24"/>
        </w:rPr>
        <w:t xml:space="preserve"> z póź</w:t>
      </w:r>
      <w:r w:rsidRPr="00E26EF6">
        <w:rPr>
          <w:rFonts w:ascii="Times New Roman" w:hAnsi="Times New Roman"/>
          <w:sz w:val="24"/>
        </w:rPr>
        <w:t>niejszym terminem rozliczenia: wymogi kapitałowe według metody IRB (CR IRB 1)</w:t>
      </w:r>
      <w:bookmarkEnd w:id="45"/>
    </w:p>
    <w:p w14:paraId="07E30962" w14:textId="77777777" w:rsidR="00915077" w:rsidRPr="00E26EF6" w:rsidRDefault="00125707">
      <w:pPr>
        <w:pStyle w:val="Instructionsberschrift2"/>
        <w:numPr>
          <w:ilvl w:val="0"/>
          <w:numId w:val="0"/>
        </w:numPr>
        <w:ind w:left="709" w:hanging="720"/>
        <w:rPr>
          <w:rFonts w:ascii="Times New Roman" w:hAnsi="Times New Roman" w:cs="Times New Roman"/>
          <w:sz w:val="24"/>
        </w:rPr>
      </w:pPr>
      <w:bookmarkStart w:id="46" w:name="_Toc31014344"/>
      <w:r w:rsidRPr="00E26EF6">
        <w:rPr>
          <w:rFonts w:ascii="Times New Roman" w:hAnsi="Times New Roman"/>
          <w:sz w:val="24"/>
          <w:u w:val="none"/>
        </w:rPr>
        <w:t>3.3.3.1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4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915077" w:rsidRPr="00E26EF6" w14:paraId="60E9BF4A" w14:textId="77777777" w:rsidTr="00672D2A">
        <w:tc>
          <w:tcPr>
            <w:tcW w:w="1188" w:type="dxa"/>
            <w:shd w:val="clear" w:color="auto" w:fill="CCCCCC"/>
          </w:tcPr>
          <w:p w14:paraId="2BEBA0BC" w14:textId="77777777" w:rsidR="00915077" w:rsidRPr="00E26EF6" w:rsidRDefault="001C7AB7">
            <w:pPr>
              <w:rPr>
                <w:rFonts w:ascii="Times New Roman" w:hAnsi="Times New Roman"/>
                <w:sz w:val="24"/>
                <w:highlight w:val="lightGray"/>
              </w:rPr>
            </w:pPr>
            <w:r w:rsidRPr="00E26EF6">
              <w:rPr>
                <w:rFonts w:ascii="Times New Roman" w:hAnsi="Times New Roman"/>
                <w:sz w:val="24"/>
              </w:rPr>
              <w:t>Kolumny</w:t>
            </w:r>
          </w:p>
        </w:tc>
        <w:tc>
          <w:tcPr>
            <w:tcW w:w="8843" w:type="dxa"/>
            <w:shd w:val="clear" w:color="auto" w:fill="CCCCCC"/>
          </w:tcPr>
          <w:p w14:paraId="0982259D" w14:textId="77777777" w:rsidR="00915077" w:rsidRPr="00E26EF6" w:rsidRDefault="001C7AB7">
            <w:pPr>
              <w:rPr>
                <w:rFonts w:ascii="Times New Roman" w:hAnsi="Times New Roman"/>
                <w:sz w:val="24"/>
                <w:highlight w:val="lightGray"/>
              </w:rPr>
            </w:pPr>
            <w:r w:rsidRPr="00E26EF6">
              <w:rPr>
                <w:rFonts w:ascii="Times New Roman" w:hAnsi="Times New Roman"/>
                <w:sz w:val="24"/>
              </w:rPr>
              <w:t>Instrukcje</w:t>
            </w:r>
          </w:p>
        </w:tc>
      </w:tr>
      <w:tr w:rsidR="00915077" w:rsidRPr="00E26EF6" w14:paraId="6BE64C9B" w14:textId="77777777" w:rsidTr="00672D2A">
        <w:tc>
          <w:tcPr>
            <w:tcW w:w="1188" w:type="dxa"/>
          </w:tcPr>
          <w:p w14:paraId="025C7020" w14:textId="77777777" w:rsidR="00915077" w:rsidRPr="00E26EF6" w:rsidRDefault="001C7AB7">
            <w:pPr>
              <w:rPr>
                <w:rFonts w:ascii="Times New Roman" w:hAnsi="Times New Roman"/>
                <w:sz w:val="24"/>
                <w:highlight w:val="lightGray"/>
              </w:rPr>
            </w:pPr>
            <w:r w:rsidRPr="00E26EF6">
              <w:rPr>
                <w:rFonts w:ascii="Times New Roman" w:hAnsi="Times New Roman"/>
                <w:sz w:val="24"/>
              </w:rPr>
              <w:t>010</w:t>
            </w:r>
          </w:p>
        </w:tc>
        <w:tc>
          <w:tcPr>
            <w:tcW w:w="8843" w:type="dxa"/>
          </w:tcPr>
          <w:p w14:paraId="2F4620DE" w14:textId="77777777" w:rsidR="00915077" w:rsidRPr="00E26EF6" w:rsidRDefault="001C7AB7">
            <w:pPr>
              <w:rPr>
                <w:rStyle w:val="InstructionsTabelleberschrift"/>
                <w:rFonts w:ascii="Times New Roman" w:hAnsi="Times New Roman"/>
                <w:sz w:val="24"/>
              </w:rPr>
            </w:pPr>
            <w:r w:rsidRPr="00E26EF6">
              <w:rPr>
                <w:rStyle w:val="InstructionsTabelleberschrift"/>
                <w:rFonts w:ascii="Times New Roman" w:hAnsi="Times New Roman"/>
                <w:sz w:val="24"/>
              </w:rPr>
              <w:t>SYSTEM RATINGU WEWNĘTRZNEGO / PD PRZYPISANE KLASIE JAKOŚCI LUB PULI DŁUŻNIKA (%)</w:t>
            </w:r>
          </w:p>
          <w:p w14:paraId="3067A2B1" w14:textId="35E86620" w:rsidR="00915077" w:rsidRPr="00E26EF6" w:rsidRDefault="001C7AB7">
            <w:pPr>
              <w:rPr>
                <w:rFonts w:ascii="Times New Roman" w:hAnsi="Times New Roman"/>
                <w:sz w:val="24"/>
              </w:rPr>
            </w:pPr>
            <w:r w:rsidRPr="00E26EF6">
              <w:rPr>
                <w:rStyle w:val="InstructionsTabelleText"/>
                <w:rFonts w:ascii="Times New Roman" w:hAnsi="Times New Roman"/>
                <w:sz w:val="24"/>
              </w:rPr>
              <w:t>PD przypisane klasie jakości lub puli dłużnika, które należy zgłosić, oparte są na przepisach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180 CRR. Dla każdej indywidualnej klasy jakości lub puli dłużnika zgłasza się PD przypisane określonej klasie jakości lub puli dłużnika</w:t>
            </w:r>
            <w:r w:rsidR="00E26EF6" w:rsidRPr="00E26EF6">
              <w:rPr>
                <w:rStyle w:val="InstructionsTabelleText"/>
                <w:rFonts w:ascii="Times New Roman" w:hAnsi="Times New Roman"/>
                <w:sz w:val="24"/>
              </w:rPr>
              <w:t>. W prz</w:t>
            </w:r>
            <w:r w:rsidRPr="00E26EF6">
              <w:rPr>
                <w:rStyle w:val="InstructionsTabelleText"/>
                <w:rFonts w:ascii="Times New Roman" w:hAnsi="Times New Roman"/>
                <w:sz w:val="24"/>
              </w:rPr>
              <w:t>ypadku danych liczbowych odpowiadających zagregowaniu klas jakości lub pul dłużnika (np. „ekspozycje całkowite”) zgłasza się średnią wartość PD ważoną ekspozycją, która to wartość jest przypisana zagregowanym klasom jakości lub pulom dłużnika. Wartość ekspozycji (kolumna 110) wykorzystuje się do obliczenia średniej wartości PD ważonej ekspozycją</w:t>
            </w:r>
            <w:r w:rsidRPr="00E26EF6">
              <w:rPr>
                <w:rFonts w:ascii="Times New Roman" w:hAnsi="Times New Roman"/>
                <w:sz w:val="24"/>
              </w:rPr>
              <w:t>.</w:t>
            </w:r>
          </w:p>
          <w:p w14:paraId="12D93A11" w14:textId="56A3C642"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Dla każdej indywidualnej klasy jakości lub puli dłużnika zgłasza się PD przypisane określonej klasie jakości lub puli dłużnika. Wszystkie zgłoszone parametry ryzyka są oparte na parametrach ryzyka wykorzystywanych</w:t>
            </w:r>
            <w:r w:rsidR="00E26EF6" w:rsidRPr="00E26EF6">
              <w:rPr>
                <w:rStyle w:val="InstructionsTabelleText"/>
                <w:rFonts w:ascii="Times New Roman" w:hAnsi="Times New Roman"/>
                <w:sz w:val="24"/>
              </w:rPr>
              <w:t xml:space="preserve"> w sys</w:t>
            </w:r>
            <w:r w:rsidRPr="00E26EF6">
              <w:rPr>
                <w:rStyle w:val="InstructionsTabelleText"/>
                <w:rFonts w:ascii="Times New Roman" w:hAnsi="Times New Roman"/>
                <w:sz w:val="24"/>
              </w:rPr>
              <w:t>temie ratingu wewnętrznego zatwierdzonym przez właściwy organ.</w:t>
            </w:r>
          </w:p>
          <w:p w14:paraId="329568E1" w14:textId="70B10080"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Posiadanie wzorca nadzoru nie jest ani zamierzone, ani pożądane. Jeżeli instytucja sprawozdająca stosuje niepowtarzalny system ratingu lub ma możliwość zgłaszania danych zgodnie</w:t>
            </w:r>
            <w:r w:rsidR="00E26EF6" w:rsidRPr="00E26EF6">
              <w:rPr>
                <w:rStyle w:val="InstructionsTabelleText"/>
                <w:rFonts w:ascii="Times New Roman" w:hAnsi="Times New Roman"/>
                <w:sz w:val="24"/>
              </w:rPr>
              <w:t xml:space="preserve"> z wew</w:t>
            </w:r>
            <w:r w:rsidRPr="00E26EF6">
              <w:rPr>
                <w:rStyle w:val="InstructionsTabelleText"/>
                <w:rFonts w:ascii="Times New Roman" w:hAnsi="Times New Roman"/>
                <w:sz w:val="24"/>
              </w:rPr>
              <w:t xml:space="preserve">nętrznym wzorcem, wówczas wykorzystuje się ten wzorzec. </w:t>
            </w:r>
          </w:p>
          <w:p w14:paraId="28E55D40" w14:textId="40F16566"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W innym przypadku łączy się różne systemy ratingu</w:t>
            </w:r>
            <w:r w:rsidR="00E26EF6" w:rsidRPr="00E26EF6">
              <w:rPr>
                <w:rStyle w:val="InstructionsTabelleText"/>
                <w:rFonts w:ascii="Times New Roman" w:hAnsi="Times New Roman"/>
                <w:sz w:val="24"/>
              </w:rPr>
              <w:t xml:space="preserve"> i sze</w:t>
            </w:r>
            <w:r w:rsidRPr="00E26EF6">
              <w:rPr>
                <w:rStyle w:val="InstructionsTabelleText"/>
                <w:rFonts w:ascii="Times New Roman" w:hAnsi="Times New Roman"/>
                <w:sz w:val="24"/>
              </w:rPr>
              <w:t>reguje je zgodnie</w:t>
            </w:r>
            <w:r w:rsidR="00E26EF6" w:rsidRPr="00E26EF6">
              <w:rPr>
                <w:rStyle w:val="InstructionsTabelleText"/>
                <w:rFonts w:ascii="Times New Roman" w:hAnsi="Times New Roman"/>
                <w:sz w:val="24"/>
              </w:rPr>
              <w:t xml:space="preserve"> z nas</w:t>
            </w:r>
            <w:r w:rsidRPr="00E26EF6">
              <w:rPr>
                <w:rStyle w:val="InstructionsTabelleText"/>
                <w:rFonts w:ascii="Times New Roman" w:hAnsi="Times New Roman"/>
                <w:sz w:val="24"/>
              </w:rPr>
              <w:t>tępującymi kryteriami: klasy jakości dłużnika</w:t>
            </w:r>
            <w:r w:rsidR="00E26EF6" w:rsidRPr="00E26EF6">
              <w:rPr>
                <w:rStyle w:val="InstructionsTabelleText"/>
                <w:rFonts w:ascii="Times New Roman" w:hAnsi="Times New Roman"/>
                <w:sz w:val="24"/>
              </w:rPr>
              <w:t xml:space="preserve"> z róż</w:t>
            </w:r>
            <w:r w:rsidRPr="00E26EF6">
              <w:rPr>
                <w:rStyle w:val="InstructionsTabelleText"/>
                <w:rFonts w:ascii="Times New Roman" w:hAnsi="Times New Roman"/>
                <w:sz w:val="24"/>
              </w:rPr>
              <w:t>nych systemów ratingu łączy się</w:t>
            </w:r>
            <w:r w:rsidR="00E26EF6" w:rsidRPr="00E26EF6">
              <w:rPr>
                <w:rStyle w:val="InstructionsTabelleText"/>
                <w:rFonts w:ascii="Times New Roman" w:hAnsi="Times New Roman"/>
                <w:sz w:val="24"/>
              </w:rPr>
              <w:t xml:space="preserve"> i sze</w:t>
            </w:r>
            <w:r w:rsidRPr="00E26EF6">
              <w:rPr>
                <w:rStyle w:val="InstructionsTabelleText"/>
                <w:rFonts w:ascii="Times New Roman" w:hAnsi="Times New Roman"/>
                <w:sz w:val="24"/>
              </w:rPr>
              <w:t>reguje od najniższego PD przypisanego każdej klasie jakości dłużnika do najwyższego. Jeżeli instytucja stosuje dużą liczbę klas jakości</w:t>
            </w:r>
            <w:r w:rsidR="00E26EF6" w:rsidRPr="00E26EF6">
              <w:rPr>
                <w:rStyle w:val="InstructionsTabelleText"/>
                <w:rFonts w:ascii="Times New Roman" w:hAnsi="Times New Roman"/>
                <w:sz w:val="24"/>
              </w:rPr>
              <w:t xml:space="preserve"> i pul</w:t>
            </w:r>
            <w:r w:rsidRPr="00E26EF6">
              <w:rPr>
                <w:rStyle w:val="InstructionsTabelleText"/>
                <w:rFonts w:ascii="Times New Roman" w:hAnsi="Times New Roman"/>
                <w:sz w:val="24"/>
              </w:rPr>
              <w:t>, może uzgodnić</w:t>
            </w:r>
            <w:r w:rsidR="00E26EF6" w:rsidRPr="00E26EF6">
              <w:rPr>
                <w:rStyle w:val="InstructionsTabelleText"/>
                <w:rFonts w:ascii="Times New Roman" w:hAnsi="Times New Roman"/>
                <w:sz w:val="24"/>
              </w:rPr>
              <w:t xml:space="preserve"> z wła</w:t>
            </w:r>
            <w:r w:rsidRPr="00E26EF6">
              <w:rPr>
                <w:rStyle w:val="InstructionsTabelleText"/>
                <w:rFonts w:ascii="Times New Roman" w:hAnsi="Times New Roman"/>
                <w:sz w:val="24"/>
              </w:rPr>
              <w:t>ściwym organem zgłaszanie ograniczonej liczby klas</w:t>
            </w:r>
            <w:r w:rsidR="00E26EF6" w:rsidRPr="00E26EF6">
              <w:rPr>
                <w:rStyle w:val="InstructionsTabelleText"/>
                <w:rFonts w:ascii="Times New Roman" w:hAnsi="Times New Roman"/>
                <w:sz w:val="24"/>
              </w:rPr>
              <w:t xml:space="preserve"> i pul</w:t>
            </w:r>
            <w:r w:rsidRPr="00E26EF6">
              <w:rPr>
                <w:rStyle w:val="InstructionsTabelleText"/>
                <w:rFonts w:ascii="Times New Roman" w:hAnsi="Times New Roman"/>
                <w:sz w:val="24"/>
              </w:rPr>
              <w:t>.</w:t>
            </w:r>
          </w:p>
          <w:p w14:paraId="02372E1B" w14:textId="75DA8218"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Jeżeli instytucje chcą zgłaszać inną liczbę klas jakości niż stosowana na poziomie wewnętrznym, wcześniej kontaktują się</w:t>
            </w:r>
            <w:r w:rsidR="00E26EF6" w:rsidRPr="00E26EF6">
              <w:rPr>
                <w:rStyle w:val="InstructionsTabelleText"/>
                <w:rFonts w:ascii="Times New Roman" w:hAnsi="Times New Roman"/>
                <w:sz w:val="24"/>
              </w:rPr>
              <w:t xml:space="preserve"> w tej</w:t>
            </w:r>
            <w:r w:rsidRPr="00E26EF6">
              <w:rPr>
                <w:rStyle w:val="InstructionsTabelleText"/>
                <w:rFonts w:ascii="Times New Roman" w:hAnsi="Times New Roman"/>
                <w:sz w:val="24"/>
              </w:rPr>
              <w:t xml:space="preserve"> kwestii</w:t>
            </w:r>
            <w:r w:rsidR="00E26EF6" w:rsidRPr="00E26EF6">
              <w:rPr>
                <w:rStyle w:val="InstructionsTabelleText"/>
                <w:rFonts w:ascii="Times New Roman" w:hAnsi="Times New Roman"/>
                <w:sz w:val="24"/>
              </w:rPr>
              <w:t xml:space="preserve"> z wła</w:t>
            </w:r>
            <w:r w:rsidRPr="00E26EF6">
              <w:rPr>
                <w:rStyle w:val="InstructionsTabelleText"/>
                <w:rFonts w:ascii="Times New Roman" w:hAnsi="Times New Roman"/>
                <w:sz w:val="24"/>
              </w:rPr>
              <w:t>ściwym organem.</w:t>
            </w:r>
          </w:p>
          <w:p w14:paraId="19F06AB9" w14:textId="6E3FC3ED"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lastRenderedPageBreak/>
              <w:t>Do celów ważenia średniej wartości PD wykorzystuje się wartość ekspozycji zgłoszoną</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110</w:t>
            </w:r>
            <w:r w:rsidR="00E26EF6" w:rsidRPr="00E26EF6">
              <w:rPr>
                <w:rStyle w:val="InstructionsTabelleText"/>
                <w:rFonts w:ascii="Times New Roman" w:hAnsi="Times New Roman"/>
                <w:sz w:val="24"/>
              </w:rPr>
              <w:t>. W cel</w:t>
            </w:r>
            <w:r w:rsidRPr="00E26EF6">
              <w:rPr>
                <w:rStyle w:val="InstructionsTabelleText"/>
                <w:rFonts w:ascii="Times New Roman" w:hAnsi="Times New Roman"/>
                <w:sz w:val="24"/>
              </w:rPr>
              <w:t>u obliczenia średniej wartości PD ważonej ekspozycją (np. dla „całkowitej ekspozycji”) należy wziąć pod uwagę wszystkie ekspozycje,</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ekspozycje, których dotyczy niewykonanie zobowiązania. Ekspozycje, których dotyczy niewykonanie zobowiązania, są ekspozycjami przypisanymi ostatnim klasom jakości przy PD wynoszącym 100</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w:t>
            </w:r>
          </w:p>
          <w:p w14:paraId="373AF56E" w14:textId="77777777" w:rsidR="00915077" w:rsidRPr="00E26EF6" w:rsidRDefault="00915077">
            <w:pPr>
              <w:rPr>
                <w:rFonts w:ascii="Times New Roman" w:hAnsi="Times New Roman"/>
                <w:sz w:val="24"/>
                <w:highlight w:val="lightGray"/>
              </w:rPr>
            </w:pPr>
          </w:p>
        </w:tc>
      </w:tr>
      <w:tr w:rsidR="00915077" w:rsidRPr="00E26EF6" w14:paraId="3B380EDD" w14:textId="77777777" w:rsidTr="00672D2A">
        <w:tc>
          <w:tcPr>
            <w:tcW w:w="1188" w:type="dxa"/>
          </w:tcPr>
          <w:p w14:paraId="7D15D9BB" w14:textId="77777777" w:rsidR="00915077" w:rsidRPr="00E26EF6" w:rsidRDefault="001C7AB7">
            <w:pPr>
              <w:rPr>
                <w:rFonts w:ascii="Times New Roman" w:hAnsi="Times New Roman"/>
                <w:sz w:val="24"/>
                <w:highlight w:val="lightGray"/>
              </w:rPr>
            </w:pPr>
            <w:r w:rsidRPr="00E26EF6">
              <w:rPr>
                <w:rFonts w:ascii="Times New Roman" w:hAnsi="Times New Roman"/>
                <w:sz w:val="24"/>
              </w:rPr>
              <w:lastRenderedPageBreak/>
              <w:t>020</w:t>
            </w:r>
          </w:p>
        </w:tc>
        <w:tc>
          <w:tcPr>
            <w:tcW w:w="8843" w:type="dxa"/>
          </w:tcPr>
          <w:p w14:paraId="4A4ECBDA" w14:textId="1BCAD522" w:rsidR="00915077" w:rsidRPr="00E26EF6" w:rsidRDefault="001C7AB7">
            <w:pPr>
              <w:rPr>
                <w:rFonts w:ascii="Times New Roman" w:hAnsi="Times New Roman"/>
                <w:b/>
                <w:sz w:val="24"/>
                <w:u w:val="single"/>
              </w:rPr>
            </w:pPr>
            <w:r w:rsidRPr="00E26EF6">
              <w:rPr>
                <w:rFonts w:ascii="Times New Roman" w:hAnsi="Times New Roman"/>
                <w:b/>
                <w:sz w:val="24"/>
                <w:u w:val="single"/>
              </w:rPr>
              <w:t>PIERWOTNA EKSPOZYCJA PRZED UWZGLĘDNIENIEM WSPÓŁCZYNNIKÓW KONWERSJI</w:t>
            </w:r>
          </w:p>
          <w:p w14:paraId="4BEF39D8" w14:textId="77777777" w:rsidR="00915077" w:rsidRPr="00E26EF6" w:rsidRDefault="001C7AB7">
            <w:pPr>
              <w:rPr>
                <w:rFonts w:ascii="Times New Roman" w:hAnsi="Times New Roman"/>
                <w:sz w:val="24"/>
              </w:rPr>
            </w:pPr>
            <w:r w:rsidRPr="00E26EF6">
              <w:rPr>
                <w:rFonts w:ascii="Times New Roman" w:hAnsi="Times New Roman"/>
                <w:sz w:val="24"/>
              </w:rPr>
              <w:t xml:space="preserve">Instytucje zgłaszają wartość ekspozycji przed uwzględnieniem korekt wartości, rezerw, efektów technik ograniczania ryzyka kredytowego lub współczynników konwersji kredytowej. </w:t>
            </w:r>
          </w:p>
          <w:p w14:paraId="338AF088" w14:textId="7AAB2115" w:rsidR="00915077" w:rsidRPr="00E26EF6" w:rsidRDefault="001C7AB7">
            <w:pPr>
              <w:rPr>
                <w:rFonts w:ascii="Times New Roman" w:hAnsi="Times New Roman"/>
                <w:sz w:val="24"/>
              </w:rPr>
            </w:pPr>
            <w:r w:rsidRPr="00E26EF6">
              <w:rPr>
                <w:rFonts w:ascii="Times New Roman" w:hAnsi="Times New Roman"/>
                <w:sz w:val="24"/>
              </w:rPr>
              <w:t>Wartość pierwotnej ekspozycji zgłaszana jest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 CRR oraz</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166 ust.</w:t>
            </w:r>
            <w:r w:rsidR="00023409" w:rsidRPr="00E26EF6">
              <w:rPr>
                <w:rFonts w:ascii="Times New Roman" w:hAnsi="Times New Roman"/>
                <w:sz w:val="24"/>
              </w:rPr>
              <w:t> </w:t>
            </w:r>
            <w:r w:rsidRPr="00E26EF6">
              <w:rPr>
                <w:rFonts w:ascii="Times New Roman" w:hAnsi="Times New Roman"/>
                <w:sz w:val="24"/>
              </w:rPr>
              <w:t>1, 2, 4, 5, 6</w:t>
            </w:r>
            <w:r w:rsidR="00E26EF6" w:rsidRPr="00E26EF6">
              <w:rPr>
                <w:rFonts w:ascii="Times New Roman" w:hAnsi="Times New Roman"/>
                <w:sz w:val="24"/>
              </w:rPr>
              <w:t xml:space="preserve"> i 7</w:t>
            </w:r>
            <w:r w:rsidRPr="00E26EF6">
              <w:rPr>
                <w:rFonts w:ascii="Times New Roman" w:hAnsi="Times New Roman"/>
                <w:sz w:val="24"/>
              </w:rPr>
              <w:t xml:space="preserve"> CRR.</w:t>
            </w:r>
          </w:p>
          <w:p w14:paraId="743A5BCF" w14:textId="72C78C3D" w:rsidR="00915077" w:rsidRPr="00E26EF6" w:rsidRDefault="001C7AB7">
            <w:pPr>
              <w:rPr>
                <w:rFonts w:ascii="Times New Roman" w:hAnsi="Times New Roman"/>
                <w:sz w:val="24"/>
              </w:rPr>
            </w:pPr>
            <w:r w:rsidRPr="00E26EF6">
              <w:rPr>
                <w:rFonts w:ascii="Times New Roman" w:hAnsi="Times New Roman"/>
                <w:sz w:val="24"/>
              </w:rPr>
              <w:t>Efekty wynikające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166 ust.</w:t>
            </w:r>
            <w:r w:rsidR="00023409" w:rsidRPr="00E26EF6">
              <w:rPr>
                <w:rFonts w:ascii="Times New Roman" w:hAnsi="Times New Roman"/>
                <w:sz w:val="24"/>
              </w:rPr>
              <w:t> </w:t>
            </w:r>
            <w:r w:rsidRPr="00E26EF6">
              <w:rPr>
                <w:rFonts w:ascii="Times New Roman" w:hAnsi="Times New Roman"/>
                <w:sz w:val="24"/>
              </w:rPr>
              <w:t>3 CRR (efekty umów</w:t>
            </w:r>
            <w:r w:rsidR="00E26EF6" w:rsidRPr="00E26EF6">
              <w:rPr>
                <w:rFonts w:ascii="Times New Roman" w:hAnsi="Times New Roman"/>
                <w:sz w:val="24"/>
              </w:rPr>
              <w:t xml:space="preserve"> o kom</w:t>
            </w:r>
            <w:r w:rsidRPr="00E26EF6">
              <w:rPr>
                <w:rFonts w:ascii="Times New Roman" w:hAnsi="Times New Roman"/>
                <w:sz w:val="24"/>
              </w:rPr>
              <w:t>pensowaniu pozycji bilansowych obejmujących kredyty</w:t>
            </w:r>
            <w:r w:rsidR="00E26EF6" w:rsidRPr="00E26EF6">
              <w:rPr>
                <w:rFonts w:ascii="Times New Roman" w:hAnsi="Times New Roman"/>
                <w:sz w:val="24"/>
              </w:rPr>
              <w:t xml:space="preserve"> i dep</w:t>
            </w:r>
            <w:r w:rsidRPr="00E26EF6">
              <w:rPr>
                <w:rFonts w:ascii="Times New Roman" w:hAnsi="Times New Roman"/>
                <w:sz w:val="24"/>
              </w:rPr>
              <w:t>ozyty) zgłasza się oddzielnie jako ochronę kredytową rzeczywistą,</w:t>
            </w:r>
            <w:r w:rsidR="00E26EF6" w:rsidRPr="00E26EF6">
              <w:rPr>
                <w:rFonts w:ascii="Times New Roman" w:hAnsi="Times New Roman"/>
                <w:sz w:val="24"/>
              </w:rPr>
              <w:t xml:space="preserve"> a tym</w:t>
            </w:r>
            <w:r w:rsidRPr="00E26EF6">
              <w:rPr>
                <w:rFonts w:ascii="Times New Roman" w:hAnsi="Times New Roman"/>
                <w:sz w:val="24"/>
              </w:rPr>
              <w:t xml:space="preserve"> samym nie obniżają one pierwotnej ekspozycji. </w:t>
            </w:r>
          </w:p>
          <w:p w14:paraId="7DE0FC32" w14:textId="77777777" w:rsidR="00915077" w:rsidRPr="00E26EF6" w:rsidRDefault="00915077">
            <w:pPr>
              <w:rPr>
                <w:rFonts w:ascii="Times New Roman" w:hAnsi="Times New Roman"/>
                <w:sz w:val="24"/>
                <w:highlight w:val="lightGray"/>
              </w:rPr>
            </w:pPr>
          </w:p>
        </w:tc>
      </w:tr>
      <w:tr w:rsidR="00915077" w:rsidRPr="00E26EF6" w14:paraId="61052186" w14:textId="77777777" w:rsidTr="00672D2A">
        <w:tc>
          <w:tcPr>
            <w:tcW w:w="1188" w:type="dxa"/>
          </w:tcPr>
          <w:p w14:paraId="709F0222" w14:textId="77777777" w:rsidR="00915077" w:rsidRPr="00E26EF6" w:rsidRDefault="001C7AB7">
            <w:pPr>
              <w:rPr>
                <w:rFonts w:ascii="Times New Roman" w:hAnsi="Times New Roman"/>
                <w:sz w:val="24"/>
                <w:highlight w:val="lightGray"/>
              </w:rPr>
            </w:pPr>
            <w:r w:rsidRPr="00E26EF6">
              <w:rPr>
                <w:rFonts w:ascii="Times New Roman" w:hAnsi="Times New Roman"/>
                <w:sz w:val="24"/>
              </w:rPr>
              <w:t>030</w:t>
            </w:r>
          </w:p>
        </w:tc>
        <w:tc>
          <w:tcPr>
            <w:tcW w:w="8843" w:type="dxa"/>
          </w:tcPr>
          <w:p w14:paraId="1F21C7FE"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W TYM: DUŻE PODMIOTY SEKTORA FINANSOWEGO ORAZ NIEREGULOWANE PODMIOTY FINANSOWE</w:t>
            </w:r>
          </w:p>
          <w:p w14:paraId="6E0215A4" w14:textId="08E8AB55" w:rsidR="00915077" w:rsidRPr="00E26EF6" w:rsidRDefault="001C7AB7">
            <w:pPr>
              <w:rPr>
                <w:rFonts w:ascii="Times New Roman" w:hAnsi="Times New Roman"/>
                <w:b/>
                <w:sz w:val="24"/>
                <w:highlight w:val="lightGray"/>
                <w:u w:val="single"/>
              </w:rPr>
            </w:pPr>
            <w:r w:rsidRPr="00E26EF6">
              <w:rPr>
                <w:rFonts w:ascii="Times New Roman" w:hAnsi="Times New Roman"/>
                <w:sz w:val="24"/>
              </w:rPr>
              <w:t>Podział pierwotnej ekspozycji przed uwzględnieniem współczynników konwersji</w:t>
            </w:r>
            <w:r w:rsidR="00E26EF6" w:rsidRPr="00E26EF6">
              <w:rPr>
                <w:rFonts w:ascii="Times New Roman" w:hAnsi="Times New Roman"/>
                <w:sz w:val="24"/>
              </w:rPr>
              <w:t xml:space="preserve"> w odn</w:t>
            </w:r>
            <w:r w:rsidRPr="00E26EF6">
              <w:rPr>
                <w:rFonts w:ascii="Times New Roman" w:hAnsi="Times New Roman"/>
                <w:sz w:val="24"/>
              </w:rPr>
              <w:t>iesieniu do wszystkich ekspozycji podmiotów,</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142 pkt</w:t>
            </w:r>
            <w:r w:rsidR="00023409" w:rsidRPr="00E26EF6">
              <w:rPr>
                <w:rFonts w:ascii="Times New Roman" w:hAnsi="Times New Roman"/>
                <w:sz w:val="24"/>
              </w:rPr>
              <w:t> </w:t>
            </w:r>
            <w:r w:rsidRPr="00E26EF6">
              <w:rPr>
                <w:rFonts w:ascii="Times New Roman" w:hAnsi="Times New Roman"/>
                <w:sz w:val="24"/>
              </w:rPr>
              <w:t>4</w:t>
            </w:r>
            <w:r w:rsidR="00E26EF6" w:rsidRPr="00E26EF6">
              <w:rPr>
                <w:rFonts w:ascii="Times New Roman" w:hAnsi="Times New Roman"/>
                <w:sz w:val="24"/>
              </w:rPr>
              <w:t xml:space="preserve"> i 5</w:t>
            </w:r>
            <w:r w:rsidRPr="00E26EF6">
              <w:rPr>
                <w:rFonts w:ascii="Times New Roman" w:hAnsi="Times New Roman"/>
                <w:sz w:val="24"/>
              </w:rPr>
              <w:t xml:space="preserve"> CRR,</w:t>
            </w:r>
            <w:r w:rsidR="00E26EF6" w:rsidRPr="00E26EF6">
              <w:rPr>
                <w:rFonts w:ascii="Times New Roman" w:hAnsi="Times New Roman"/>
                <w:sz w:val="24"/>
              </w:rPr>
              <w:t xml:space="preserve"> z zas</w:t>
            </w:r>
            <w:r w:rsidRPr="00E26EF6">
              <w:rPr>
                <w:rFonts w:ascii="Times New Roman" w:hAnsi="Times New Roman"/>
                <w:sz w:val="24"/>
              </w:rPr>
              <w:t>trzeżeniem wyższej korelacji określonej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2 CRR.</w:t>
            </w:r>
          </w:p>
        </w:tc>
      </w:tr>
      <w:tr w:rsidR="00915077" w:rsidRPr="00E26EF6" w14:paraId="087C15D1" w14:textId="77777777" w:rsidTr="00672D2A">
        <w:tc>
          <w:tcPr>
            <w:tcW w:w="1188" w:type="dxa"/>
          </w:tcPr>
          <w:p w14:paraId="1CE3EFB8" w14:textId="77777777" w:rsidR="00915077" w:rsidRPr="00E26EF6" w:rsidRDefault="001C7AB7">
            <w:pPr>
              <w:rPr>
                <w:rFonts w:ascii="Times New Roman" w:hAnsi="Times New Roman"/>
                <w:sz w:val="24"/>
                <w:highlight w:val="lightGray"/>
              </w:rPr>
            </w:pPr>
            <w:r w:rsidRPr="00E26EF6">
              <w:rPr>
                <w:rFonts w:ascii="Times New Roman" w:hAnsi="Times New Roman"/>
                <w:sz w:val="24"/>
              </w:rPr>
              <w:t>040–080</w:t>
            </w:r>
          </w:p>
        </w:tc>
        <w:tc>
          <w:tcPr>
            <w:tcW w:w="8843" w:type="dxa"/>
          </w:tcPr>
          <w:p w14:paraId="6F7017BE"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TECHNIKI OGRANICZANIA RYZYKA KREDYTOWEGO Z UWZGLĘDNIENIEM EFEKTÓW SUBSTYTUCYJNYCH W ODNIESIENIU DO EKSPOZYCJI</w:t>
            </w:r>
          </w:p>
          <w:p w14:paraId="3A4BD32D" w14:textId="305CDC97" w:rsidR="00915077" w:rsidRPr="00E26EF6" w:rsidRDefault="001C7AB7">
            <w:pPr>
              <w:rPr>
                <w:rFonts w:ascii="Times New Roman" w:hAnsi="Times New Roman"/>
                <w:sz w:val="24"/>
              </w:rPr>
            </w:pPr>
            <w:r w:rsidRPr="00E26EF6">
              <w:rPr>
                <w:rFonts w:ascii="Times New Roman" w:hAnsi="Times New Roman"/>
                <w:sz w:val="24"/>
              </w:rPr>
              <w:t>Ograniczanie ryzyka kredytowego zdefiniowane</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57 CRR, które zmniejsza ryzyko kredytowe</w:t>
            </w:r>
            <w:r w:rsidR="00E26EF6" w:rsidRPr="00E26EF6">
              <w:rPr>
                <w:rFonts w:ascii="Times New Roman" w:hAnsi="Times New Roman"/>
                <w:sz w:val="24"/>
              </w:rPr>
              <w:t xml:space="preserve"> z tyt</w:t>
            </w:r>
            <w:r w:rsidRPr="00E26EF6">
              <w:rPr>
                <w:rFonts w:ascii="Times New Roman" w:hAnsi="Times New Roman"/>
                <w:sz w:val="24"/>
              </w:rPr>
              <w:t>ułu ekspozycji poprzez substytucję ekspozycji określonych poniżej</w:t>
            </w:r>
            <w:r w:rsidR="00E26EF6" w:rsidRPr="00E26EF6">
              <w:rPr>
                <w:rFonts w:ascii="Times New Roman" w:hAnsi="Times New Roman"/>
                <w:sz w:val="24"/>
              </w:rPr>
              <w:t xml:space="preserve"> w poz</w:t>
            </w:r>
            <w:r w:rsidRPr="00E26EF6">
              <w:rPr>
                <w:rFonts w:ascii="Times New Roman" w:hAnsi="Times New Roman"/>
                <w:sz w:val="24"/>
              </w:rPr>
              <w:t>ycji „SUBSTYTUCJA EKSPOZYCJI W WYNIKU OGRANICZANIA RYZYKA KREDYTOWEGO”.</w:t>
            </w:r>
          </w:p>
          <w:p w14:paraId="09F148A2"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4FE2A744" w14:textId="77777777" w:rsidTr="00672D2A">
        <w:tc>
          <w:tcPr>
            <w:tcW w:w="1188" w:type="dxa"/>
          </w:tcPr>
          <w:p w14:paraId="1B5DB7CA" w14:textId="77777777" w:rsidR="00915077" w:rsidRPr="00E26EF6" w:rsidRDefault="001C7AB7">
            <w:pPr>
              <w:rPr>
                <w:rFonts w:ascii="Times New Roman" w:hAnsi="Times New Roman"/>
                <w:sz w:val="24"/>
                <w:highlight w:val="lightGray"/>
              </w:rPr>
            </w:pPr>
            <w:r w:rsidRPr="00E26EF6">
              <w:rPr>
                <w:rFonts w:ascii="Times New Roman" w:hAnsi="Times New Roman"/>
                <w:sz w:val="24"/>
              </w:rPr>
              <w:t>040-050</w:t>
            </w:r>
          </w:p>
        </w:tc>
        <w:tc>
          <w:tcPr>
            <w:tcW w:w="8843" w:type="dxa"/>
          </w:tcPr>
          <w:p w14:paraId="75607115"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OCHRONA KREDYTOWA NIERZECZYWISTA</w:t>
            </w:r>
          </w:p>
          <w:p w14:paraId="0FDF3562" w14:textId="50FEA448"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Nierzeczywista ochrona kredytowa zdefiniowana</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59 CRR.</w:t>
            </w:r>
          </w:p>
          <w:p w14:paraId="010FA2BC" w14:textId="74F4133B" w:rsidR="00915077" w:rsidRPr="00E26EF6" w:rsidRDefault="00BD6DB9">
            <w:pPr>
              <w:rPr>
                <w:rFonts w:ascii="Times New Roman" w:hAnsi="Times New Roman"/>
                <w:sz w:val="24"/>
                <w:highlight w:val="lightGray"/>
              </w:rPr>
            </w:pPr>
            <w:r w:rsidRPr="00E26EF6">
              <w:rPr>
                <w:rFonts w:ascii="Times New Roman" w:hAnsi="Times New Roman"/>
                <w:sz w:val="24"/>
              </w:rPr>
              <w:t>Zabezpieczenie, które ma wpływ na ekspozycję (np. stosowane do celów technik ograniczania ryzyka kredytowego</w:t>
            </w:r>
            <w:r w:rsidR="00E26EF6" w:rsidRPr="00E26EF6">
              <w:rPr>
                <w:rFonts w:ascii="Times New Roman" w:hAnsi="Times New Roman"/>
                <w:sz w:val="24"/>
              </w:rPr>
              <w:t xml:space="preserve"> z uwz</w:t>
            </w:r>
            <w:r w:rsidRPr="00E26EF6">
              <w:rPr>
                <w:rFonts w:ascii="Times New Roman" w:hAnsi="Times New Roman"/>
                <w:sz w:val="24"/>
              </w:rPr>
              <w:t>ględnieniem efektów substytucyjnych</w:t>
            </w:r>
            <w:r w:rsidR="00E26EF6" w:rsidRPr="00E26EF6">
              <w:rPr>
                <w:rFonts w:ascii="Times New Roman" w:hAnsi="Times New Roman"/>
                <w:sz w:val="24"/>
              </w:rPr>
              <w:t xml:space="preserve"> w odn</w:t>
            </w:r>
            <w:r w:rsidRPr="00E26EF6">
              <w:rPr>
                <w:rFonts w:ascii="Times New Roman" w:hAnsi="Times New Roman"/>
                <w:sz w:val="24"/>
              </w:rPr>
              <w:t>iesieniu do ekspozycji), jest ograniczone do wartości ekspozycji.</w:t>
            </w:r>
          </w:p>
        </w:tc>
      </w:tr>
      <w:tr w:rsidR="00915077" w:rsidRPr="00E26EF6" w14:paraId="15FEA964" w14:textId="77777777" w:rsidTr="00672D2A">
        <w:tc>
          <w:tcPr>
            <w:tcW w:w="1188" w:type="dxa"/>
          </w:tcPr>
          <w:p w14:paraId="4537B28C" w14:textId="77777777" w:rsidR="00915077" w:rsidRPr="00E26EF6" w:rsidRDefault="001C7AB7">
            <w:pPr>
              <w:rPr>
                <w:rFonts w:ascii="Times New Roman" w:hAnsi="Times New Roman"/>
                <w:sz w:val="24"/>
                <w:highlight w:val="lightGray"/>
              </w:rPr>
            </w:pPr>
            <w:r w:rsidRPr="00E26EF6">
              <w:rPr>
                <w:rFonts w:ascii="Times New Roman" w:hAnsi="Times New Roman"/>
                <w:sz w:val="24"/>
              </w:rPr>
              <w:t>040</w:t>
            </w:r>
          </w:p>
        </w:tc>
        <w:tc>
          <w:tcPr>
            <w:tcW w:w="8843" w:type="dxa"/>
          </w:tcPr>
          <w:p w14:paraId="04C977CF" w14:textId="77777777" w:rsidR="00915077" w:rsidRPr="00E26EF6" w:rsidRDefault="001C7AB7">
            <w:pPr>
              <w:jc w:val="left"/>
              <w:rPr>
                <w:rStyle w:val="InstructionsTabelleberschrift"/>
                <w:rFonts w:ascii="Times New Roman" w:hAnsi="Times New Roman"/>
                <w:sz w:val="24"/>
              </w:rPr>
            </w:pPr>
            <w:r w:rsidRPr="00E26EF6">
              <w:rPr>
                <w:rStyle w:val="InstructionsTabelleberschrift"/>
                <w:rFonts w:ascii="Times New Roman" w:hAnsi="Times New Roman"/>
                <w:sz w:val="24"/>
              </w:rPr>
              <w:t>GWARANCJE:</w:t>
            </w:r>
          </w:p>
          <w:p w14:paraId="4005F699" w14:textId="46371576" w:rsidR="00915077" w:rsidRPr="00E26EF6" w:rsidRDefault="001C7AB7">
            <w:pPr>
              <w:jc w:val="left"/>
              <w:rPr>
                <w:rFonts w:ascii="Times New Roman" w:hAnsi="Times New Roman"/>
                <w:sz w:val="24"/>
              </w:rPr>
            </w:pPr>
            <w:r w:rsidRPr="00E26EF6">
              <w:rPr>
                <w:rFonts w:ascii="Times New Roman" w:hAnsi="Times New Roman"/>
                <w:sz w:val="24"/>
              </w:rPr>
              <w:t>W przypadku niestosowania własnych oszacowań LGD przedstawia się wartość skorygowaną (G</w:t>
            </w:r>
            <w:r w:rsidRPr="00E26EF6">
              <w:rPr>
                <w:rFonts w:ascii="Times New Roman" w:hAnsi="Times New Roman"/>
                <w:sz w:val="24"/>
                <w:vertAlign w:val="subscript"/>
              </w:rPr>
              <w:t>A</w:t>
            </w:r>
            <w:r w:rsidRPr="00E26EF6">
              <w:rPr>
                <w:rFonts w:ascii="Times New Roman" w:hAnsi="Times New Roman"/>
                <w:sz w:val="24"/>
              </w:rPr>
              <w:t>) zdefiniowaną</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236 ust.</w:t>
            </w:r>
            <w:r w:rsidR="00023409" w:rsidRPr="00E26EF6">
              <w:rPr>
                <w:rFonts w:ascii="Times New Roman" w:hAnsi="Times New Roman"/>
                <w:sz w:val="24"/>
              </w:rPr>
              <w:t> </w:t>
            </w:r>
            <w:r w:rsidRPr="00E26EF6">
              <w:rPr>
                <w:rFonts w:ascii="Times New Roman" w:hAnsi="Times New Roman"/>
                <w:sz w:val="24"/>
              </w:rPr>
              <w:t>3 CRR.</w:t>
            </w:r>
          </w:p>
          <w:p w14:paraId="3FD2207A" w14:textId="7400721D" w:rsidR="00915077" w:rsidRPr="00E26EF6" w:rsidRDefault="001C7AB7">
            <w:pPr>
              <w:jc w:val="left"/>
              <w:rPr>
                <w:rFonts w:ascii="Times New Roman" w:hAnsi="Times New Roman"/>
                <w:sz w:val="24"/>
              </w:rPr>
            </w:pPr>
            <w:r w:rsidRPr="00E26EF6">
              <w:rPr>
                <w:rFonts w:ascii="Times New Roman" w:hAnsi="Times New Roman"/>
                <w:sz w:val="24"/>
              </w:rPr>
              <w:t>W przypadku stosowania własnych oszacowań LGD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183 CRR) należy zgłosić odpowiednią wartość wykorzystaną</w:t>
            </w:r>
            <w:r w:rsidR="00E26EF6" w:rsidRPr="00E26EF6">
              <w:rPr>
                <w:rFonts w:ascii="Times New Roman" w:hAnsi="Times New Roman"/>
                <w:sz w:val="24"/>
              </w:rPr>
              <w:t xml:space="preserve"> w mod</w:t>
            </w:r>
            <w:r w:rsidRPr="00E26EF6">
              <w:rPr>
                <w:rFonts w:ascii="Times New Roman" w:hAnsi="Times New Roman"/>
                <w:sz w:val="24"/>
              </w:rPr>
              <w:t xml:space="preserve">elu wewnętrznym. </w:t>
            </w:r>
          </w:p>
          <w:p w14:paraId="7B34BA70" w14:textId="490A2559" w:rsidR="00915077" w:rsidRPr="00E26EF6" w:rsidRDefault="001C7AB7">
            <w:pPr>
              <w:jc w:val="left"/>
              <w:rPr>
                <w:rFonts w:ascii="Times New Roman" w:hAnsi="Times New Roman"/>
                <w:sz w:val="24"/>
              </w:rPr>
            </w:pPr>
            <w:r w:rsidRPr="00E26EF6">
              <w:rPr>
                <w:rFonts w:ascii="Times New Roman" w:hAnsi="Times New Roman"/>
                <w:sz w:val="24"/>
              </w:rPr>
              <w:t>Gwarancje zgłasza się</w:t>
            </w:r>
            <w:r w:rsidR="00E26EF6" w:rsidRPr="00E26EF6">
              <w:rPr>
                <w:rFonts w:ascii="Times New Roman" w:hAnsi="Times New Roman"/>
                <w:sz w:val="24"/>
              </w:rPr>
              <w:t xml:space="preserve"> w kol</w:t>
            </w:r>
            <w:r w:rsidRPr="00E26EF6">
              <w:rPr>
                <w:rFonts w:ascii="Times New Roman" w:hAnsi="Times New Roman"/>
                <w:sz w:val="24"/>
              </w:rPr>
              <w:t>umnie 040, jeżeli nie dokonano korekty LGD</w:t>
            </w:r>
            <w:r w:rsidR="00E26EF6" w:rsidRPr="00E26EF6">
              <w:rPr>
                <w:rFonts w:ascii="Times New Roman" w:hAnsi="Times New Roman"/>
                <w:sz w:val="24"/>
              </w:rPr>
              <w:t>. W prz</w:t>
            </w:r>
            <w:r w:rsidRPr="00E26EF6">
              <w:rPr>
                <w:rFonts w:ascii="Times New Roman" w:hAnsi="Times New Roman"/>
                <w:sz w:val="24"/>
              </w:rPr>
              <w:t>ypadku dokonania korekty LGD kwotę gwarancji zgłasza się</w:t>
            </w:r>
            <w:r w:rsidR="00E26EF6" w:rsidRPr="00E26EF6">
              <w:rPr>
                <w:rFonts w:ascii="Times New Roman" w:hAnsi="Times New Roman"/>
                <w:sz w:val="24"/>
              </w:rPr>
              <w:t xml:space="preserve"> w kol</w:t>
            </w:r>
            <w:r w:rsidRPr="00E26EF6">
              <w:rPr>
                <w:rFonts w:ascii="Times New Roman" w:hAnsi="Times New Roman"/>
                <w:sz w:val="24"/>
              </w:rPr>
              <w:t>umnie 150.</w:t>
            </w:r>
          </w:p>
          <w:p w14:paraId="30E15DE3" w14:textId="03FF1ECF" w:rsidR="00915077" w:rsidRPr="00E26EF6" w:rsidRDefault="00785F3E">
            <w:pPr>
              <w:jc w:val="left"/>
              <w:rPr>
                <w:rFonts w:ascii="Times New Roman" w:hAnsi="Times New Roman"/>
                <w:sz w:val="24"/>
              </w:rPr>
            </w:pPr>
            <w:r w:rsidRPr="00E26EF6">
              <w:rPr>
                <w:rFonts w:ascii="Times New Roman" w:hAnsi="Times New Roman"/>
                <w:sz w:val="24"/>
              </w:rPr>
              <w:t>W odniesieniu do ekspozycji</w:t>
            </w:r>
            <w:r w:rsidR="00E26EF6" w:rsidRPr="00E26EF6">
              <w:rPr>
                <w:rFonts w:ascii="Times New Roman" w:hAnsi="Times New Roman"/>
                <w:sz w:val="24"/>
              </w:rPr>
              <w:t xml:space="preserve"> z uwz</w:t>
            </w:r>
            <w:r w:rsidRPr="00E26EF6">
              <w:rPr>
                <w:rFonts w:ascii="Times New Roman" w:hAnsi="Times New Roman"/>
                <w:sz w:val="24"/>
              </w:rPr>
              <w:t>ględnieniem ujęcia podwójnego niewykonania zobowiązania wartość ochrony kredytowej nierzeczywistej zgłaszana jest</w:t>
            </w:r>
            <w:r w:rsidR="00E26EF6" w:rsidRPr="00E26EF6">
              <w:rPr>
                <w:rFonts w:ascii="Times New Roman" w:hAnsi="Times New Roman"/>
                <w:sz w:val="24"/>
              </w:rPr>
              <w:t xml:space="preserve"> w kol</w:t>
            </w:r>
            <w:r w:rsidRPr="00E26EF6">
              <w:rPr>
                <w:rFonts w:ascii="Times New Roman" w:hAnsi="Times New Roman"/>
                <w:sz w:val="24"/>
              </w:rPr>
              <w:t>umnie 220.</w:t>
            </w:r>
          </w:p>
          <w:p w14:paraId="50DBA967" w14:textId="77777777" w:rsidR="00915077" w:rsidRPr="00E26EF6" w:rsidRDefault="00915077">
            <w:pPr>
              <w:jc w:val="left"/>
              <w:rPr>
                <w:rFonts w:ascii="Times New Roman" w:hAnsi="Times New Roman"/>
                <w:sz w:val="24"/>
                <w:highlight w:val="lightGray"/>
              </w:rPr>
            </w:pPr>
          </w:p>
        </w:tc>
      </w:tr>
      <w:tr w:rsidR="00915077" w:rsidRPr="00E26EF6" w14:paraId="66F1FEC3" w14:textId="77777777" w:rsidTr="00672D2A">
        <w:tc>
          <w:tcPr>
            <w:tcW w:w="1188" w:type="dxa"/>
          </w:tcPr>
          <w:p w14:paraId="65B5140D" w14:textId="77777777" w:rsidR="00915077" w:rsidRPr="00E26EF6" w:rsidRDefault="001C7AB7">
            <w:pPr>
              <w:rPr>
                <w:rFonts w:ascii="Times New Roman" w:hAnsi="Times New Roman"/>
                <w:sz w:val="24"/>
                <w:highlight w:val="lightGray"/>
              </w:rPr>
            </w:pPr>
            <w:r w:rsidRPr="00E26EF6">
              <w:rPr>
                <w:rFonts w:ascii="Times New Roman" w:hAnsi="Times New Roman"/>
                <w:sz w:val="24"/>
              </w:rPr>
              <w:t>050</w:t>
            </w:r>
          </w:p>
        </w:tc>
        <w:tc>
          <w:tcPr>
            <w:tcW w:w="8843" w:type="dxa"/>
          </w:tcPr>
          <w:p w14:paraId="6ECF35CC"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KREDYTOWE INSTRUMENTY POCHODNE:</w:t>
            </w:r>
          </w:p>
          <w:p w14:paraId="1E4FD5B6" w14:textId="75EE57DC" w:rsidR="00915077" w:rsidRPr="00E26EF6" w:rsidRDefault="001C7AB7">
            <w:pPr>
              <w:rPr>
                <w:rFonts w:ascii="Times New Roman" w:hAnsi="Times New Roman"/>
                <w:sz w:val="24"/>
              </w:rPr>
            </w:pPr>
            <w:r w:rsidRPr="00E26EF6">
              <w:rPr>
                <w:rFonts w:ascii="Times New Roman" w:hAnsi="Times New Roman"/>
                <w:sz w:val="24"/>
              </w:rPr>
              <w:t>W przypadku niestosowania własnych oszacowań LGD przedstawia się wartość skorygowaną (G</w:t>
            </w:r>
            <w:r w:rsidRPr="00E26EF6">
              <w:rPr>
                <w:rFonts w:ascii="Times New Roman" w:hAnsi="Times New Roman"/>
                <w:sz w:val="24"/>
                <w:vertAlign w:val="subscript"/>
              </w:rPr>
              <w:t>A</w:t>
            </w:r>
            <w:r w:rsidRPr="00E26EF6">
              <w:rPr>
                <w:rFonts w:ascii="Times New Roman" w:hAnsi="Times New Roman"/>
                <w:sz w:val="24"/>
              </w:rPr>
              <w:t>) zdefiniowaną</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236 ust.</w:t>
            </w:r>
            <w:r w:rsidR="00023409" w:rsidRPr="00E26EF6">
              <w:rPr>
                <w:rFonts w:ascii="Times New Roman" w:hAnsi="Times New Roman"/>
                <w:sz w:val="24"/>
              </w:rPr>
              <w:t> </w:t>
            </w:r>
            <w:r w:rsidRPr="00E26EF6">
              <w:rPr>
                <w:rFonts w:ascii="Times New Roman" w:hAnsi="Times New Roman"/>
                <w:sz w:val="24"/>
              </w:rPr>
              <w:t xml:space="preserve">3 CRR. </w:t>
            </w:r>
          </w:p>
          <w:p w14:paraId="77C671AB" w14:textId="30205EFD" w:rsidR="00915077" w:rsidRPr="00E26EF6" w:rsidRDefault="00785F3E">
            <w:pPr>
              <w:rPr>
                <w:rFonts w:ascii="Times New Roman" w:hAnsi="Times New Roman"/>
                <w:sz w:val="24"/>
              </w:rPr>
            </w:pPr>
            <w:r w:rsidRPr="00E26EF6">
              <w:rPr>
                <w:rFonts w:ascii="Times New Roman" w:hAnsi="Times New Roman"/>
                <w:sz w:val="24"/>
              </w:rPr>
              <w:lastRenderedPageBreak/>
              <w:t>W przypadku stosowania własnych oszacowań LGD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183 CRR) należy zgłosić odpowiednią wartość wykorzystaną</w:t>
            </w:r>
            <w:r w:rsidR="00E26EF6" w:rsidRPr="00E26EF6">
              <w:rPr>
                <w:rFonts w:ascii="Times New Roman" w:hAnsi="Times New Roman"/>
                <w:sz w:val="24"/>
              </w:rPr>
              <w:t xml:space="preserve"> w mod</w:t>
            </w:r>
            <w:r w:rsidRPr="00E26EF6">
              <w:rPr>
                <w:rFonts w:ascii="Times New Roman" w:hAnsi="Times New Roman"/>
                <w:sz w:val="24"/>
              </w:rPr>
              <w:t>elu wewnętrznym.</w:t>
            </w:r>
          </w:p>
          <w:p w14:paraId="1303A310" w14:textId="7B41C7EE" w:rsidR="00915077" w:rsidRPr="00E26EF6" w:rsidRDefault="001C7AB7">
            <w:pPr>
              <w:rPr>
                <w:rFonts w:ascii="Times New Roman" w:hAnsi="Times New Roman"/>
                <w:sz w:val="24"/>
              </w:rPr>
            </w:pPr>
            <w:r w:rsidRPr="00E26EF6">
              <w:rPr>
                <w:rFonts w:ascii="Times New Roman" w:hAnsi="Times New Roman"/>
                <w:sz w:val="24"/>
              </w:rPr>
              <w:t>W przypadku dokonania korekty LGD kwotę kredytowych instrumentów pochodnych zgłasza się</w:t>
            </w:r>
            <w:r w:rsidR="00E26EF6" w:rsidRPr="00E26EF6">
              <w:rPr>
                <w:rFonts w:ascii="Times New Roman" w:hAnsi="Times New Roman"/>
                <w:sz w:val="24"/>
              </w:rPr>
              <w:t xml:space="preserve"> w kol</w:t>
            </w:r>
            <w:r w:rsidRPr="00E26EF6">
              <w:rPr>
                <w:rFonts w:ascii="Times New Roman" w:hAnsi="Times New Roman"/>
                <w:sz w:val="24"/>
              </w:rPr>
              <w:t>umnie 160.</w:t>
            </w:r>
          </w:p>
          <w:p w14:paraId="0D934CB2" w14:textId="202D7258" w:rsidR="00915077" w:rsidRPr="00E26EF6" w:rsidRDefault="001C7AB7">
            <w:pPr>
              <w:jc w:val="left"/>
              <w:rPr>
                <w:rFonts w:ascii="Times New Roman" w:hAnsi="Times New Roman"/>
                <w:sz w:val="24"/>
                <w:highlight w:val="lightGray"/>
              </w:rPr>
            </w:pPr>
            <w:r w:rsidRPr="00E26EF6">
              <w:rPr>
                <w:rFonts w:ascii="Times New Roman" w:hAnsi="Times New Roman"/>
                <w:sz w:val="24"/>
              </w:rPr>
              <w:t>W odniesieniu do ekspozycji</w:t>
            </w:r>
            <w:r w:rsidR="00E26EF6" w:rsidRPr="00E26EF6">
              <w:rPr>
                <w:rFonts w:ascii="Times New Roman" w:hAnsi="Times New Roman"/>
                <w:sz w:val="24"/>
              </w:rPr>
              <w:t xml:space="preserve"> z uwz</w:t>
            </w:r>
            <w:r w:rsidRPr="00E26EF6">
              <w:rPr>
                <w:rFonts w:ascii="Times New Roman" w:hAnsi="Times New Roman"/>
                <w:sz w:val="24"/>
              </w:rPr>
              <w:t>ględnieniem ujęcia podwójnego niewykonania zobowiązania wartość ochrony kredytowej nierzeczywistej zgłaszana jest</w:t>
            </w:r>
            <w:r w:rsidR="00E26EF6" w:rsidRPr="00E26EF6">
              <w:rPr>
                <w:rFonts w:ascii="Times New Roman" w:hAnsi="Times New Roman"/>
                <w:sz w:val="24"/>
              </w:rPr>
              <w:t xml:space="preserve"> w kol</w:t>
            </w:r>
            <w:r w:rsidRPr="00E26EF6">
              <w:rPr>
                <w:rFonts w:ascii="Times New Roman" w:hAnsi="Times New Roman"/>
                <w:sz w:val="24"/>
              </w:rPr>
              <w:t>umnie 220.</w:t>
            </w:r>
          </w:p>
        </w:tc>
      </w:tr>
      <w:tr w:rsidR="00915077" w:rsidRPr="00E26EF6" w14:paraId="11BD9CAC" w14:textId="77777777" w:rsidTr="00672D2A">
        <w:tc>
          <w:tcPr>
            <w:tcW w:w="1188" w:type="dxa"/>
          </w:tcPr>
          <w:p w14:paraId="6CC75E39" w14:textId="77777777" w:rsidR="00915077" w:rsidRPr="00E26EF6" w:rsidRDefault="001C7AB7">
            <w:pPr>
              <w:rPr>
                <w:rFonts w:ascii="Times New Roman" w:hAnsi="Times New Roman"/>
                <w:sz w:val="24"/>
                <w:highlight w:val="lightGray"/>
              </w:rPr>
            </w:pPr>
            <w:r w:rsidRPr="00E26EF6">
              <w:rPr>
                <w:rFonts w:ascii="Times New Roman" w:hAnsi="Times New Roman"/>
                <w:sz w:val="24"/>
              </w:rPr>
              <w:lastRenderedPageBreak/>
              <w:t>060</w:t>
            </w:r>
          </w:p>
        </w:tc>
        <w:tc>
          <w:tcPr>
            <w:tcW w:w="8843" w:type="dxa"/>
          </w:tcPr>
          <w:p w14:paraId="37769350"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INNE RODZAJE OCHRONY KREDYTOWEJ RZECZYWISTEJ</w:t>
            </w:r>
          </w:p>
          <w:p w14:paraId="5AFE3F66" w14:textId="202DBEEF" w:rsidR="00915077" w:rsidRPr="00E26EF6" w:rsidRDefault="00BD6DB9">
            <w:pPr>
              <w:rPr>
                <w:rStyle w:val="InstructionsTabelleText"/>
                <w:rFonts w:ascii="Times New Roman" w:hAnsi="Times New Roman"/>
                <w:sz w:val="24"/>
              </w:rPr>
            </w:pPr>
            <w:r w:rsidRPr="00E26EF6">
              <w:rPr>
                <w:rStyle w:val="InstructionsTabelleText"/>
                <w:rFonts w:ascii="Times New Roman" w:hAnsi="Times New Roman"/>
                <w:sz w:val="24"/>
              </w:rPr>
              <w:t>Zabezpieczenie, które ma wpływ na ekspozycję (np. jeżeli jest stosowane do celów technik ograniczania ryzyka kredytowego</w:t>
            </w:r>
            <w:r w:rsidR="00E26EF6" w:rsidRPr="00E26EF6">
              <w:rPr>
                <w:rStyle w:val="InstructionsTabelleText"/>
                <w:rFonts w:ascii="Times New Roman" w:hAnsi="Times New Roman"/>
                <w:sz w:val="24"/>
              </w:rPr>
              <w:t xml:space="preserve"> z uwz</w:t>
            </w:r>
            <w:r w:rsidRPr="00E26EF6">
              <w:rPr>
                <w:rStyle w:val="InstructionsTabelleText"/>
                <w:rFonts w:ascii="Times New Roman" w:hAnsi="Times New Roman"/>
                <w:sz w:val="24"/>
              </w:rPr>
              <w:t>ględnieniem efektów substytucyjnych dla ekspozycji), jest ograniczone do wartości ekspozycji.</w:t>
            </w:r>
          </w:p>
          <w:p w14:paraId="66D31600" w14:textId="55DD99F5"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W przypadku niestosowania własnych oszacowań LGD zastosowanie ma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232 CRR.</w:t>
            </w:r>
          </w:p>
          <w:p w14:paraId="4AFFF80F" w14:textId="6AE68208"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W przypadku stosowania własnych oszacowań LGD zgłasza się ograniczanie ryzyka kredytowego, które jest zgodne</w:t>
            </w:r>
            <w:r w:rsidR="00E26EF6" w:rsidRPr="00E26EF6">
              <w:rPr>
                <w:rStyle w:val="InstructionsTabelleText"/>
                <w:rFonts w:ascii="Times New Roman" w:hAnsi="Times New Roman"/>
                <w:sz w:val="24"/>
              </w:rPr>
              <w:t xml:space="preserve"> z war</w:t>
            </w:r>
            <w:r w:rsidRPr="00E26EF6">
              <w:rPr>
                <w:rStyle w:val="InstructionsTabelleText"/>
                <w:rFonts w:ascii="Times New Roman" w:hAnsi="Times New Roman"/>
                <w:sz w:val="24"/>
              </w:rPr>
              <w:t>unkami określonymi</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212 CRR. Zgłasza się odpowiednią wartość wykorzystaną</w:t>
            </w:r>
            <w:r w:rsidR="00E26EF6" w:rsidRPr="00E26EF6">
              <w:rPr>
                <w:rStyle w:val="InstructionsTabelleText"/>
                <w:rFonts w:ascii="Times New Roman" w:hAnsi="Times New Roman"/>
                <w:sz w:val="24"/>
              </w:rPr>
              <w:t xml:space="preserve"> w mod</w:t>
            </w:r>
            <w:r w:rsidRPr="00E26EF6">
              <w:rPr>
                <w:rStyle w:val="InstructionsTabelleText"/>
                <w:rFonts w:ascii="Times New Roman" w:hAnsi="Times New Roman"/>
                <w:sz w:val="24"/>
              </w:rPr>
              <w:t>elu wewnętrznym instytucji.</w:t>
            </w:r>
          </w:p>
          <w:p w14:paraId="58DC2D2A" w14:textId="3F711592" w:rsidR="00915077" w:rsidRPr="00E26EF6" w:rsidRDefault="00A94F5F">
            <w:pPr>
              <w:rPr>
                <w:rFonts w:ascii="Times New Roman" w:hAnsi="Times New Roman"/>
                <w:sz w:val="24"/>
                <w:highlight w:val="lightGray"/>
              </w:rPr>
            </w:pPr>
            <w:r w:rsidRPr="00E26EF6">
              <w:rPr>
                <w:rStyle w:val="InstructionsTabelleText"/>
                <w:rFonts w:ascii="Times New Roman" w:hAnsi="Times New Roman"/>
                <w:sz w:val="24"/>
              </w:rPr>
              <w:t>Kwotę zgłasza się</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jeżeli nie dokonano korekty LGD</w:t>
            </w:r>
            <w:r w:rsidR="00E26EF6" w:rsidRPr="00E26EF6">
              <w:rPr>
                <w:rStyle w:val="InstructionsTabelleText"/>
                <w:rFonts w:ascii="Times New Roman" w:hAnsi="Times New Roman"/>
                <w:sz w:val="24"/>
              </w:rPr>
              <w:t>. W prz</w:t>
            </w:r>
            <w:r w:rsidRPr="00E26EF6">
              <w:rPr>
                <w:rStyle w:val="InstructionsTabelleText"/>
                <w:rFonts w:ascii="Times New Roman" w:hAnsi="Times New Roman"/>
                <w:sz w:val="24"/>
              </w:rPr>
              <w:t>ypadku dokonania korekty LGD kwotę tę zgłasza się</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170.</w:t>
            </w:r>
          </w:p>
        </w:tc>
      </w:tr>
      <w:tr w:rsidR="00915077" w:rsidRPr="00E26EF6" w14:paraId="75D7E7B4" w14:textId="77777777" w:rsidTr="00672D2A">
        <w:tc>
          <w:tcPr>
            <w:tcW w:w="1188" w:type="dxa"/>
          </w:tcPr>
          <w:p w14:paraId="323021FD" w14:textId="77777777" w:rsidR="00915077" w:rsidRPr="00E26EF6" w:rsidRDefault="001C7AB7">
            <w:pPr>
              <w:rPr>
                <w:rFonts w:ascii="Times New Roman" w:hAnsi="Times New Roman"/>
                <w:sz w:val="24"/>
                <w:highlight w:val="lightGray"/>
              </w:rPr>
            </w:pPr>
            <w:r w:rsidRPr="00E26EF6">
              <w:rPr>
                <w:rFonts w:ascii="Times New Roman" w:hAnsi="Times New Roman"/>
                <w:sz w:val="24"/>
              </w:rPr>
              <w:t>070-080</w:t>
            </w:r>
          </w:p>
        </w:tc>
        <w:tc>
          <w:tcPr>
            <w:tcW w:w="8843" w:type="dxa"/>
          </w:tcPr>
          <w:p w14:paraId="7B94C6E4"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SUBSTYTUCJA EKSPOZYCJI W WYNIKU OGRANICZANIA RYZYKA KREDYTOWEGO</w:t>
            </w:r>
          </w:p>
          <w:p w14:paraId="159F0CD2" w14:textId="1CF74CEB" w:rsidR="00915077" w:rsidRPr="00E26EF6" w:rsidRDefault="001C7AB7">
            <w:pPr>
              <w:rPr>
                <w:rFonts w:ascii="Times New Roman" w:hAnsi="Times New Roman"/>
                <w:sz w:val="24"/>
              </w:rPr>
            </w:pPr>
            <w:r w:rsidRPr="00E26EF6">
              <w:rPr>
                <w:rFonts w:ascii="Times New Roman" w:hAnsi="Times New Roman"/>
                <w:sz w:val="24"/>
              </w:rPr>
              <w:t>Wypływy odpowiadają zabezpieczonej części pierwotnej ekspozycji przed uwzględnieniem współczynników konwersji, którą to część odlicza się od kategorii ekspozycji dłużnika i,</w:t>
            </w:r>
            <w:r w:rsidR="00E26EF6" w:rsidRPr="00E26EF6">
              <w:rPr>
                <w:rFonts w:ascii="Times New Roman" w:hAnsi="Times New Roman"/>
                <w:sz w:val="24"/>
              </w:rPr>
              <w:t xml:space="preserve"> w sto</w:t>
            </w:r>
            <w:r w:rsidRPr="00E26EF6">
              <w:rPr>
                <w:rFonts w:ascii="Times New Roman" w:hAnsi="Times New Roman"/>
                <w:sz w:val="24"/>
              </w:rPr>
              <w:t>sownych przypadkach, od klasy jakości lub puli dłużnika,</w:t>
            </w:r>
            <w:r w:rsidR="00E26EF6" w:rsidRPr="00E26EF6">
              <w:rPr>
                <w:rFonts w:ascii="Times New Roman" w:hAnsi="Times New Roman"/>
                <w:sz w:val="24"/>
              </w:rPr>
              <w:t xml:space="preserve"> a nas</w:t>
            </w:r>
            <w:r w:rsidRPr="00E26EF6">
              <w:rPr>
                <w:rFonts w:ascii="Times New Roman" w:hAnsi="Times New Roman"/>
                <w:sz w:val="24"/>
              </w:rPr>
              <w:t>tępnie przypisuje kategorii ekspozycji dostawcy ochrony kredytowej i,</w:t>
            </w:r>
            <w:r w:rsidR="00E26EF6" w:rsidRPr="00E26EF6">
              <w:rPr>
                <w:rFonts w:ascii="Times New Roman" w:hAnsi="Times New Roman"/>
                <w:sz w:val="24"/>
              </w:rPr>
              <w:t xml:space="preserve"> w sto</w:t>
            </w:r>
            <w:r w:rsidRPr="00E26EF6">
              <w:rPr>
                <w:rFonts w:ascii="Times New Roman" w:hAnsi="Times New Roman"/>
                <w:sz w:val="24"/>
              </w:rPr>
              <w:t>sownych przypadkach, klasie jakości lub puli dłużnika. Kwotę tę uznaje się za wpływ do kategorii ekspozycji dostawcy ochrony kredytowej i,</w:t>
            </w:r>
            <w:r w:rsidR="00E26EF6" w:rsidRPr="00E26EF6">
              <w:rPr>
                <w:rFonts w:ascii="Times New Roman" w:hAnsi="Times New Roman"/>
                <w:sz w:val="24"/>
              </w:rPr>
              <w:t xml:space="preserve"> w sto</w:t>
            </w:r>
            <w:r w:rsidRPr="00E26EF6">
              <w:rPr>
                <w:rFonts w:ascii="Times New Roman" w:hAnsi="Times New Roman"/>
                <w:sz w:val="24"/>
              </w:rPr>
              <w:t>sownych przypadkach, do klas jakości lub pul dłużnika.</w:t>
            </w:r>
          </w:p>
          <w:p w14:paraId="11BB8EA9" w14:textId="739BB533" w:rsidR="00915077" w:rsidRPr="00E26EF6" w:rsidRDefault="001C7AB7">
            <w:pPr>
              <w:rPr>
                <w:rFonts w:ascii="Times New Roman" w:hAnsi="Times New Roman"/>
                <w:b/>
                <w:sz w:val="24"/>
              </w:rPr>
            </w:pPr>
            <w:r w:rsidRPr="00E26EF6">
              <w:rPr>
                <w:rFonts w:ascii="Times New Roman" w:hAnsi="Times New Roman"/>
                <w:sz w:val="24"/>
              </w:rPr>
              <w:t>Uwzględnia się również wpływy</w:t>
            </w:r>
            <w:r w:rsidR="00E26EF6" w:rsidRPr="00E26EF6">
              <w:rPr>
                <w:rFonts w:ascii="Times New Roman" w:hAnsi="Times New Roman"/>
                <w:sz w:val="24"/>
              </w:rPr>
              <w:t xml:space="preserve"> i wyp</w:t>
            </w:r>
            <w:r w:rsidRPr="00E26EF6">
              <w:rPr>
                <w:rFonts w:ascii="Times New Roman" w:hAnsi="Times New Roman"/>
                <w:sz w:val="24"/>
              </w:rPr>
              <w:t>ływy</w:t>
            </w:r>
            <w:r w:rsidR="00E26EF6" w:rsidRPr="00E26EF6">
              <w:rPr>
                <w:rFonts w:ascii="Times New Roman" w:hAnsi="Times New Roman"/>
                <w:sz w:val="24"/>
              </w:rPr>
              <w:t xml:space="preserve"> w obr</w:t>
            </w:r>
            <w:r w:rsidRPr="00E26EF6">
              <w:rPr>
                <w:rFonts w:ascii="Times New Roman" w:hAnsi="Times New Roman"/>
                <w:sz w:val="24"/>
              </w:rPr>
              <w:t>ębie tych samych kategorii ekspozycji i,</w:t>
            </w:r>
            <w:r w:rsidR="00E26EF6" w:rsidRPr="00E26EF6">
              <w:rPr>
                <w:rFonts w:ascii="Times New Roman" w:hAnsi="Times New Roman"/>
                <w:sz w:val="24"/>
              </w:rPr>
              <w:t xml:space="preserve"> w sto</w:t>
            </w:r>
            <w:r w:rsidRPr="00E26EF6">
              <w:rPr>
                <w:rFonts w:ascii="Times New Roman" w:hAnsi="Times New Roman"/>
                <w:sz w:val="24"/>
              </w:rPr>
              <w:t>sownych przypadkach, klas jakości lub pul dłużnika.</w:t>
            </w:r>
          </w:p>
          <w:p w14:paraId="635CAFFA" w14:textId="556B64CF" w:rsidR="00915077" w:rsidRPr="00E26EF6" w:rsidRDefault="001C7AB7">
            <w:pPr>
              <w:rPr>
                <w:rFonts w:ascii="Times New Roman" w:hAnsi="Times New Roman"/>
                <w:sz w:val="24"/>
                <w:highlight w:val="lightGray"/>
              </w:rPr>
            </w:pPr>
            <w:r w:rsidRPr="00E26EF6">
              <w:rPr>
                <w:rFonts w:ascii="Times New Roman" w:hAnsi="Times New Roman"/>
                <w:sz w:val="24"/>
              </w:rPr>
              <w:t>Uwzględnia się ekspozycje wynikające</w:t>
            </w:r>
            <w:r w:rsidR="00E26EF6" w:rsidRPr="00E26EF6">
              <w:rPr>
                <w:rFonts w:ascii="Times New Roman" w:hAnsi="Times New Roman"/>
                <w:sz w:val="24"/>
              </w:rPr>
              <w:t xml:space="preserve"> z ewe</w:t>
            </w:r>
            <w:r w:rsidRPr="00E26EF6">
              <w:rPr>
                <w:rFonts w:ascii="Times New Roman" w:hAnsi="Times New Roman"/>
                <w:sz w:val="24"/>
              </w:rPr>
              <w:t>ntualnych wpływów</w:t>
            </w:r>
            <w:r w:rsidR="00E26EF6" w:rsidRPr="00E26EF6">
              <w:rPr>
                <w:rFonts w:ascii="Times New Roman" w:hAnsi="Times New Roman"/>
                <w:sz w:val="24"/>
              </w:rPr>
              <w:t xml:space="preserve"> i wyp</w:t>
            </w:r>
            <w:r w:rsidRPr="00E26EF6">
              <w:rPr>
                <w:rFonts w:ascii="Times New Roman" w:hAnsi="Times New Roman"/>
                <w:sz w:val="24"/>
              </w:rPr>
              <w:t>ływów</w:t>
            </w:r>
            <w:r w:rsidR="00E26EF6" w:rsidRPr="00E26EF6">
              <w:rPr>
                <w:rFonts w:ascii="Times New Roman" w:hAnsi="Times New Roman"/>
                <w:sz w:val="24"/>
              </w:rPr>
              <w:t xml:space="preserve"> w odn</w:t>
            </w:r>
            <w:r w:rsidRPr="00E26EF6">
              <w:rPr>
                <w:rFonts w:ascii="Times New Roman" w:hAnsi="Times New Roman"/>
                <w:sz w:val="24"/>
              </w:rPr>
              <w:t>iesieniu do innych wzorów.</w:t>
            </w:r>
          </w:p>
        </w:tc>
      </w:tr>
      <w:tr w:rsidR="00915077" w:rsidRPr="00E26EF6" w14:paraId="39BE7878" w14:textId="77777777" w:rsidTr="00672D2A">
        <w:tc>
          <w:tcPr>
            <w:tcW w:w="1188" w:type="dxa"/>
          </w:tcPr>
          <w:p w14:paraId="76E0D514" w14:textId="77777777" w:rsidR="00915077" w:rsidRPr="00E26EF6" w:rsidRDefault="001C7AB7">
            <w:pPr>
              <w:rPr>
                <w:rFonts w:ascii="Times New Roman" w:hAnsi="Times New Roman"/>
                <w:sz w:val="24"/>
                <w:highlight w:val="lightGray"/>
              </w:rPr>
            </w:pPr>
            <w:r w:rsidRPr="00E26EF6">
              <w:rPr>
                <w:rFonts w:ascii="Times New Roman" w:hAnsi="Times New Roman"/>
                <w:sz w:val="24"/>
              </w:rPr>
              <w:t>090</w:t>
            </w:r>
          </w:p>
        </w:tc>
        <w:tc>
          <w:tcPr>
            <w:tcW w:w="8843" w:type="dxa"/>
          </w:tcPr>
          <w:p w14:paraId="2A5B67AA" w14:textId="42DFA058" w:rsidR="00915077" w:rsidRPr="00E26EF6" w:rsidRDefault="001C7AB7">
            <w:pPr>
              <w:rPr>
                <w:rFonts w:ascii="Times New Roman" w:hAnsi="Times New Roman"/>
                <w:b/>
                <w:sz w:val="24"/>
                <w:u w:val="single"/>
              </w:rPr>
            </w:pPr>
            <w:r w:rsidRPr="00E26EF6">
              <w:rPr>
                <w:rFonts w:ascii="Times New Roman" w:hAnsi="Times New Roman"/>
                <w:b/>
                <w:sz w:val="24"/>
                <w:u w:val="single"/>
              </w:rPr>
              <w:t>EKSPOZYCJA PO UWZGLĘDNIENIU EFEKTÓW SUBSTYTUCYJNYCH ZWIĄZANYCH Z OGRANICZANIEM RYZYKA KREDYTOWEGO PRZED UWZGLĘDNIENIEM WSPÓŁCZYNNIKÓW KONWERSJI</w:t>
            </w:r>
          </w:p>
          <w:p w14:paraId="0FA4A0EE" w14:textId="2112A7CF" w:rsidR="00915077" w:rsidRPr="00E26EF6" w:rsidRDefault="001C7AB7">
            <w:pPr>
              <w:rPr>
                <w:rFonts w:ascii="Times New Roman" w:hAnsi="Times New Roman"/>
                <w:sz w:val="24"/>
                <w:highlight w:val="lightGray"/>
              </w:rPr>
            </w:pPr>
            <w:r w:rsidRPr="00E26EF6">
              <w:rPr>
                <w:rFonts w:ascii="Times New Roman" w:hAnsi="Times New Roman"/>
                <w:sz w:val="24"/>
              </w:rPr>
              <w:t>Ekspozycja przypisana do odpowiadającej jej klasy jakości lub puli dłużnika oraz kategoria ekspozycji po uwzględnieniu wypływów</w:t>
            </w:r>
            <w:r w:rsidR="00E26EF6" w:rsidRPr="00E26EF6">
              <w:rPr>
                <w:rFonts w:ascii="Times New Roman" w:hAnsi="Times New Roman"/>
                <w:sz w:val="24"/>
              </w:rPr>
              <w:t xml:space="preserve"> i wpł</w:t>
            </w:r>
            <w:r w:rsidRPr="00E26EF6">
              <w:rPr>
                <w:rFonts w:ascii="Times New Roman" w:hAnsi="Times New Roman"/>
                <w:sz w:val="24"/>
              </w:rPr>
              <w:t>ywów wynikających</w:t>
            </w:r>
            <w:r w:rsidR="00E26EF6" w:rsidRPr="00E26EF6">
              <w:rPr>
                <w:rFonts w:ascii="Times New Roman" w:hAnsi="Times New Roman"/>
                <w:sz w:val="24"/>
              </w:rPr>
              <w:t xml:space="preserve"> z tec</w:t>
            </w:r>
            <w:r w:rsidRPr="00E26EF6">
              <w:rPr>
                <w:rFonts w:ascii="Times New Roman" w:hAnsi="Times New Roman"/>
                <w:sz w:val="24"/>
              </w:rPr>
              <w:t>hnik ograniczania ryzyka kredytowego</w:t>
            </w:r>
            <w:r w:rsidR="00E26EF6" w:rsidRPr="00E26EF6">
              <w:rPr>
                <w:rFonts w:ascii="Times New Roman" w:hAnsi="Times New Roman"/>
                <w:sz w:val="24"/>
              </w:rPr>
              <w:t xml:space="preserve"> z uwz</w:t>
            </w:r>
            <w:r w:rsidRPr="00E26EF6">
              <w:rPr>
                <w:rFonts w:ascii="Times New Roman" w:hAnsi="Times New Roman"/>
                <w:sz w:val="24"/>
              </w:rPr>
              <w:t>ględnieniem efektów substytucyjnych</w:t>
            </w:r>
            <w:r w:rsidR="00E26EF6" w:rsidRPr="00E26EF6">
              <w:rPr>
                <w:rFonts w:ascii="Times New Roman" w:hAnsi="Times New Roman"/>
                <w:sz w:val="24"/>
              </w:rPr>
              <w:t xml:space="preserve"> w odn</w:t>
            </w:r>
            <w:r w:rsidRPr="00E26EF6">
              <w:rPr>
                <w:rFonts w:ascii="Times New Roman" w:hAnsi="Times New Roman"/>
                <w:sz w:val="24"/>
              </w:rPr>
              <w:t>iesieniu do ekspozycji.</w:t>
            </w:r>
          </w:p>
        </w:tc>
      </w:tr>
      <w:tr w:rsidR="00915077" w:rsidRPr="00E26EF6" w14:paraId="3BA745B3" w14:textId="77777777" w:rsidTr="00672D2A">
        <w:tc>
          <w:tcPr>
            <w:tcW w:w="1188" w:type="dxa"/>
          </w:tcPr>
          <w:p w14:paraId="5B205B4C" w14:textId="77777777" w:rsidR="00915077" w:rsidRPr="00E26EF6" w:rsidRDefault="001C7AB7">
            <w:pPr>
              <w:rPr>
                <w:rFonts w:ascii="Times New Roman" w:hAnsi="Times New Roman"/>
                <w:sz w:val="24"/>
                <w:highlight w:val="lightGray"/>
              </w:rPr>
            </w:pPr>
            <w:r w:rsidRPr="00E26EF6">
              <w:rPr>
                <w:rFonts w:ascii="Times New Roman" w:hAnsi="Times New Roman"/>
                <w:sz w:val="24"/>
              </w:rPr>
              <w:t>100, 120</w:t>
            </w:r>
          </w:p>
        </w:tc>
        <w:tc>
          <w:tcPr>
            <w:tcW w:w="8843" w:type="dxa"/>
          </w:tcPr>
          <w:p w14:paraId="035B6C4C" w14:textId="77777777" w:rsidR="00915077" w:rsidRPr="00E26EF6" w:rsidRDefault="001C7AB7">
            <w:pPr>
              <w:rPr>
                <w:rStyle w:val="InstructionsTabelleberschrift"/>
                <w:rFonts w:ascii="Times New Roman" w:hAnsi="Times New Roman"/>
                <w:sz w:val="24"/>
              </w:rPr>
            </w:pPr>
            <w:r w:rsidRPr="00E26EF6">
              <w:rPr>
                <w:rStyle w:val="InstructionsTabelleberschrift"/>
                <w:rFonts w:ascii="Times New Roman" w:hAnsi="Times New Roman"/>
                <w:sz w:val="24"/>
              </w:rPr>
              <w:t xml:space="preserve">W tym: pozycje pozabilansowe </w:t>
            </w:r>
          </w:p>
          <w:p w14:paraId="6556527C" w14:textId="77777777" w:rsidR="00915077" w:rsidRPr="00E26EF6" w:rsidRDefault="001C7AB7">
            <w:pPr>
              <w:rPr>
                <w:rFonts w:ascii="Times New Roman" w:hAnsi="Times New Roman"/>
                <w:sz w:val="24"/>
                <w:highlight w:val="lightGray"/>
              </w:rPr>
            </w:pPr>
            <w:r w:rsidRPr="00E26EF6">
              <w:rPr>
                <w:rFonts w:ascii="Times New Roman" w:hAnsi="Times New Roman"/>
                <w:sz w:val="24"/>
              </w:rPr>
              <w:t>Zob. instrukcje dotyczące wzoru CR-SA</w:t>
            </w:r>
          </w:p>
        </w:tc>
      </w:tr>
      <w:tr w:rsidR="00915077" w:rsidRPr="00E26EF6" w14:paraId="062B60D4" w14:textId="77777777" w:rsidTr="00672D2A">
        <w:tc>
          <w:tcPr>
            <w:tcW w:w="1188" w:type="dxa"/>
          </w:tcPr>
          <w:p w14:paraId="1B29B806" w14:textId="77777777" w:rsidR="00915077" w:rsidRPr="00E26EF6" w:rsidRDefault="001C7AB7">
            <w:pPr>
              <w:rPr>
                <w:rFonts w:ascii="Times New Roman" w:hAnsi="Times New Roman"/>
                <w:sz w:val="24"/>
                <w:highlight w:val="lightGray"/>
              </w:rPr>
            </w:pPr>
            <w:r w:rsidRPr="00E26EF6">
              <w:rPr>
                <w:rFonts w:ascii="Times New Roman" w:hAnsi="Times New Roman"/>
                <w:sz w:val="24"/>
              </w:rPr>
              <w:t>110</w:t>
            </w:r>
          </w:p>
        </w:tc>
        <w:tc>
          <w:tcPr>
            <w:tcW w:w="8843" w:type="dxa"/>
          </w:tcPr>
          <w:p w14:paraId="2A858969"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WARTOŚĆ EKSPOZYCJI</w:t>
            </w:r>
          </w:p>
          <w:p w14:paraId="5FF542B5" w14:textId="1CC07B54" w:rsidR="00915077" w:rsidRPr="00E26EF6" w:rsidRDefault="001C7AB7">
            <w:pPr>
              <w:rPr>
                <w:rFonts w:ascii="Times New Roman" w:hAnsi="Times New Roman"/>
                <w:sz w:val="24"/>
              </w:rPr>
            </w:pPr>
            <w:r w:rsidRPr="00E26EF6">
              <w:rPr>
                <w:rFonts w:ascii="Times New Roman" w:hAnsi="Times New Roman"/>
                <w:sz w:val="24"/>
              </w:rPr>
              <w:t>Zgłasza się wartość ekspozycji określoną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166 CRR oraz</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230 ust.</w:t>
            </w:r>
            <w:r w:rsidR="00023409" w:rsidRPr="00E26EF6">
              <w:rPr>
                <w:rFonts w:ascii="Times New Roman" w:hAnsi="Times New Roman"/>
                <w:sz w:val="24"/>
              </w:rPr>
              <w:t> </w:t>
            </w:r>
            <w:r w:rsidRPr="00E26EF6">
              <w:rPr>
                <w:rFonts w:ascii="Times New Roman" w:hAnsi="Times New Roman"/>
                <w:sz w:val="24"/>
              </w:rPr>
              <w:t>1 zdanie drugie CRR.</w:t>
            </w:r>
          </w:p>
          <w:p w14:paraId="5F0CF11E" w14:textId="2C30B6D5" w:rsidR="00915077" w:rsidRPr="00E26EF6" w:rsidRDefault="001C7AB7">
            <w:pPr>
              <w:rPr>
                <w:rFonts w:ascii="Times New Roman" w:hAnsi="Times New Roman"/>
                <w:sz w:val="24"/>
              </w:rPr>
            </w:pPr>
            <w:r w:rsidRPr="00E26EF6">
              <w:rPr>
                <w:rFonts w:ascii="Times New Roman" w:hAnsi="Times New Roman"/>
                <w:sz w:val="24"/>
              </w:rPr>
              <w:t>W odniesieniu do instrumentów,</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zał</w:t>
            </w:r>
            <w:r w:rsidRPr="00E26EF6">
              <w:rPr>
                <w:rFonts w:ascii="Times New Roman" w:hAnsi="Times New Roman"/>
                <w:sz w:val="24"/>
              </w:rPr>
              <w:t>ączniku I, stosuje się współczynniki konwersji kredytowej (art.</w:t>
            </w:r>
            <w:r w:rsidR="00023409" w:rsidRPr="00E26EF6">
              <w:rPr>
                <w:rFonts w:ascii="Times New Roman" w:hAnsi="Times New Roman"/>
                <w:sz w:val="24"/>
              </w:rPr>
              <w:t> </w:t>
            </w:r>
            <w:r w:rsidRPr="00E26EF6">
              <w:rPr>
                <w:rFonts w:ascii="Times New Roman" w:hAnsi="Times New Roman"/>
                <w:sz w:val="24"/>
              </w:rPr>
              <w:t>166 ust.</w:t>
            </w:r>
            <w:r w:rsidR="00023409" w:rsidRPr="00E26EF6">
              <w:rPr>
                <w:rFonts w:ascii="Times New Roman" w:hAnsi="Times New Roman"/>
                <w:sz w:val="24"/>
              </w:rPr>
              <w:t> </w:t>
            </w:r>
            <w:r w:rsidRPr="00E26EF6">
              <w:rPr>
                <w:rFonts w:ascii="Times New Roman" w:hAnsi="Times New Roman"/>
                <w:sz w:val="24"/>
              </w:rPr>
              <w:t>8, 9</w:t>
            </w:r>
            <w:r w:rsidR="00E26EF6" w:rsidRPr="00E26EF6">
              <w:rPr>
                <w:rFonts w:ascii="Times New Roman" w:hAnsi="Times New Roman"/>
                <w:sz w:val="24"/>
              </w:rPr>
              <w:t xml:space="preserve"> i 1</w:t>
            </w:r>
            <w:r w:rsidRPr="00E26EF6">
              <w:rPr>
                <w:rFonts w:ascii="Times New Roman" w:hAnsi="Times New Roman"/>
                <w:sz w:val="24"/>
              </w:rPr>
              <w:t>0 CRR) niezależnie od metody wybranej przez instytucję.</w:t>
            </w:r>
          </w:p>
          <w:p w14:paraId="0E8B0429" w14:textId="4496DFA0" w:rsidR="00915077" w:rsidRPr="00E26EF6" w:rsidRDefault="001C7AB7">
            <w:pPr>
              <w:rPr>
                <w:rFonts w:ascii="Times New Roman" w:hAnsi="Times New Roman"/>
                <w:sz w:val="24"/>
                <w:highlight w:val="lightGray"/>
              </w:rPr>
            </w:pPr>
            <w:r w:rsidRPr="00E26EF6">
              <w:rPr>
                <w:rStyle w:val="InstructionsTabelleText"/>
                <w:rFonts w:ascii="Times New Roman" w:hAnsi="Times New Roman"/>
                <w:sz w:val="24"/>
              </w:rPr>
              <w:t>W przypadku wierszy 040–060 (transakcje finansowane</w:t>
            </w:r>
            <w:r w:rsidR="00E26EF6" w:rsidRPr="00E26EF6">
              <w:rPr>
                <w:rStyle w:val="InstructionsTabelleText"/>
                <w:rFonts w:ascii="Times New Roman" w:hAnsi="Times New Roman"/>
                <w:sz w:val="24"/>
              </w:rPr>
              <w:t xml:space="preserve"> z uży</w:t>
            </w:r>
            <w:r w:rsidRPr="00E26EF6">
              <w:rPr>
                <w:rStyle w:val="InstructionsTabelleText"/>
                <w:rFonts w:ascii="Times New Roman" w:hAnsi="Times New Roman"/>
                <w:sz w:val="24"/>
              </w:rPr>
              <w:t>ciem papierów wartościowych, instrumenty pochodne</w:t>
            </w:r>
            <w:r w:rsidR="00E26EF6" w:rsidRPr="00E26EF6">
              <w:rPr>
                <w:rStyle w:val="InstructionsTabelleText"/>
                <w:rFonts w:ascii="Times New Roman" w:hAnsi="Times New Roman"/>
                <w:sz w:val="24"/>
              </w:rPr>
              <w:t xml:space="preserve"> i tra</w:t>
            </w:r>
            <w:r w:rsidRPr="00E26EF6">
              <w:rPr>
                <w:rStyle w:val="InstructionsTabelleText"/>
                <w:rFonts w:ascii="Times New Roman" w:hAnsi="Times New Roman"/>
                <w:sz w:val="24"/>
              </w:rPr>
              <w:t>nsakcje</w:t>
            </w:r>
            <w:r w:rsidR="00E26EF6" w:rsidRPr="00E26EF6">
              <w:rPr>
                <w:rStyle w:val="InstructionsTabelleText"/>
                <w:rFonts w:ascii="Times New Roman" w:hAnsi="Times New Roman"/>
                <w:sz w:val="24"/>
              </w:rPr>
              <w:t xml:space="preserve"> z dłu</w:t>
            </w:r>
            <w:r w:rsidRPr="00E26EF6">
              <w:rPr>
                <w:rStyle w:val="InstructionsTabelleText"/>
                <w:rFonts w:ascii="Times New Roman" w:hAnsi="Times New Roman"/>
                <w:sz w:val="24"/>
              </w:rPr>
              <w:t>gim terminem rozliczenia oraz ekspozycje wynikające</w:t>
            </w:r>
            <w:r w:rsidR="00E26EF6" w:rsidRPr="00E26EF6">
              <w:rPr>
                <w:rStyle w:val="InstructionsTabelleText"/>
                <w:rFonts w:ascii="Times New Roman" w:hAnsi="Times New Roman"/>
                <w:sz w:val="24"/>
              </w:rPr>
              <w:t xml:space="preserve"> z umo</w:t>
            </w:r>
            <w:r w:rsidRPr="00E26EF6">
              <w:rPr>
                <w:rStyle w:val="InstructionsTabelleText"/>
                <w:rFonts w:ascii="Times New Roman" w:hAnsi="Times New Roman"/>
                <w:sz w:val="24"/>
              </w:rPr>
              <w:t>wy</w:t>
            </w:r>
            <w:r w:rsidR="00E26EF6" w:rsidRPr="00E26EF6">
              <w:rPr>
                <w:rStyle w:val="InstructionsTabelleText"/>
                <w:rFonts w:ascii="Times New Roman" w:hAnsi="Times New Roman"/>
                <w:sz w:val="24"/>
              </w:rPr>
              <w:t xml:space="preserve"> o kom</w:t>
            </w:r>
            <w:r w:rsidRPr="00E26EF6">
              <w:rPr>
                <w:rStyle w:val="InstructionsTabelleText"/>
                <w:rFonts w:ascii="Times New Roman" w:hAnsi="Times New Roman"/>
                <w:sz w:val="24"/>
              </w:rPr>
              <w:t>pensowaniu międzyproduktowym),</w:t>
            </w:r>
            <w:r w:rsidR="00E26EF6" w:rsidRPr="00E26EF6">
              <w:rPr>
                <w:rStyle w:val="InstructionsTabelleText"/>
                <w:rFonts w:ascii="Times New Roman" w:hAnsi="Times New Roman"/>
                <w:sz w:val="24"/>
              </w:rPr>
              <w:t xml:space="preserve"> z zas</w:t>
            </w:r>
            <w:r w:rsidRPr="00E26EF6">
              <w:rPr>
                <w:rStyle w:val="InstructionsTabelleText"/>
                <w:rFonts w:ascii="Times New Roman" w:hAnsi="Times New Roman"/>
                <w:sz w:val="24"/>
              </w:rPr>
              <w:t>trzeżeniem części trzeciej tytuł II rozdział 6 CRR, wartość ekspozycji jest równa wartości ryzyka kredytowego kontrahenta obliczonej zgodnie</w:t>
            </w:r>
            <w:r w:rsidR="00E26EF6" w:rsidRPr="00E26EF6">
              <w:rPr>
                <w:rStyle w:val="InstructionsTabelleText"/>
                <w:rFonts w:ascii="Times New Roman" w:hAnsi="Times New Roman"/>
                <w:sz w:val="24"/>
              </w:rPr>
              <w:t xml:space="preserve"> z czę</w:t>
            </w:r>
            <w:r w:rsidRPr="00E26EF6">
              <w:rPr>
                <w:rStyle w:val="InstructionsTabelleText"/>
                <w:rFonts w:ascii="Times New Roman" w:hAnsi="Times New Roman"/>
                <w:sz w:val="24"/>
              </w:rPr>
              <w:t>ścią trzecią tytuł II rozdział 6 sekcje 3–7 CRR. Wartości te zgłasza się</w:t>
            </w:r>
            <w:r w:rsidR="00E26EF6" w:rsidRPr="00E26EF6">
              <w:rPr>
                <w:rStyle w:val="InstructionsTabelleText"/>
                <w:rFonts w:ascii="Times New Roman" w:hAnsi="Times New Roman"/>
                <w:sz w:val="24"/>
              </w:rPr>
              <w:t xml:space="preserve"> w tej</w:t>
            </w:r>
            <w:r w:rsidRPr="00E26EF6">
              <w:rPr>
                <w:rStyle w:val="InstructionsTabelleText"/>
                <w:rFonts w:ascii="Times New Roman" w:hAnsi="Times New Roman"/>
                <w:sz w:val="24"/>
              </w:rPr>
              <w:t xml:space="preserve"> kolumnie,</w:t>
            </w:r>
            <w:r w:rsidR="00E26EF6" w:rsidRPr="00E26EF6">
              <w:rPr>
                <w:rStyle w:val="InstructionsTabelleText"/>
                <w:rFonts w:ascii="Times New Roman" w:hAnsi="Times New Roman"/>
                <w:sz w:val="24"/>
              </w:rPr>
              <w:t xml:space="preserve"> a nie w kol</w:t>
            </w:r>
            <w:r w:rsidRPr="00E26EF6">
              <w:rPr>
                <w:rStyle w:val="InstructionsTabelleText"/>
                <w:rFonts w:ascii="Times New Roman" w:hAnsi="Times New Roman"/>
                <w:sz w:val="24"/>
              </w:rPr>
              <w:t>umnie 130 „W tym: wynikająca</w:t>
            </w:r>
            <w:r w:rsidR="00E26EF6" w:rsidRPr="00E26EF6">
              <w:rPr>
                <w:rStyle w:val="InstructionsTabelleText"/>
                <w:rFonts w:ascii="Times New Roman" w:hAnsi="Times New Roman"/>
                <w:sz w:val="24"/>
              </w:rPr>
              <w:t xml:space="preserve"> z ryz</w:t>
            </w:r>
            <w:r w:rsidRPr="00E26EF6">
              <w:rPr>
                <w:rStyle w:val="InstructionsTabelleText"/>
                <w:rFonts w:ascii="Times New Roman" w:hAnsi="Times New Roman"/>
                <w:sz w:val="24"/>
              </w:rPr>
              <w:t>yka kredytowego kontrahenta”.</w:t>
            </w:r>
          </w:p>
        </w:tc>
      </w:tr>
      <w:tr w:rsidR="00915077" w:rsidRPr="00E26EF6" w14:paraId="4A4D8CFE" w14:textId="77777777" w:rsidTr="00672D2A">
        <w:tc>
          <w:tcPr>
            <w:tcW w:w="1188" w:type="dxa"/>
          </w:tcPr>
          <w:p w14:paraId="492E66E1" w14:textId="77777777" w:rsidR="00915077" w:rsidRPr="00E26EF6" w:rsidRDefault="001C7AB7">
            <w:pPr>
              <w:rPr>
                <w:rFonts w:ascii="Times New Roman" w:hAnsi="Times New Roman"/>
                <w:sz w:val="24"/>
                <w:highlight w:val="lightGray"/>
              </w:rPr>
            </w:pPr>
            <w:r w:rsidRPr="00E26EF6">
              <w:rPr>
                <w:rFonts w:ascii="Times New Roman" w:hAnsi="Times New Roman"/>
                <w:sz w:val="24"/>
              </w:rPr>
              <w:t>130</w:t>
            </w:r>
          </w:p>
        </w:tc>
        <w:tc>
          <w:tcPr>
            <w:tcW w:w="8843" w:type="dxa"/>
          </w:tcPr>
          <w:p w14:paraId="142D929E" w14:textId="125445A1" w:rsidR="00915077" w:rsidRPr="00E26EF6" w:rsidRDefault="001C7AB7">
            <w:pPr>
              <w:rPr>
                <w:rStyle w:val="InstructionsTabelleberschrift"/>
                <w:rFonts w:ascii="Times New Roman" w:hAnsi="Times New Roman"/>
                <w:sz w:val="24"/>
              </w:rPr>
            </w:pPr>
            <w:r w:rsidRPr="00E26EF6">
              <w:rPr>
                <w:rStyle w:val="InstructionsTabelleberschrift"/>
                <w:rFonts w:ascii="Times New Roman" w:hAnsi="Times New Roman"/>
                <w:sz w:val="24"/>
              </w:rPr>
              <w:t>W tym: wynikająca</w:t>
            </w:r>
            <w:r w:rsidR="00E26EF6" w:rsidRPr="00E26EF6">
              <w:rPr>
                <w:rStyle w:val="InstructionsTabelleberschrift"/>
                <w:rFonts w:ascii="Times New Roman" w:hAnsi="Times New Roman"/>
                <w:sz w:val="24"/>
              </w:rPr>
              <w:t xml:space="preserve"> z ryz</w:t>
            </w:r>
            <w:r w:rsidRPr="00E26EF6">
              <w:rPr>
                <w:rStyle w:val="InstructionsTabelleberschrift"/>
                <w:rFonts w:ascii="Times New Roman" w:hAnsi="Times New Roman"/>
                <w:sz w:val="24"/>
              </w:rPr>
              <w:t xml:space="preserve">yka kredytowego kontrahenta </w:t>
            </w:r>
          </w:p>
          <w:p w14:paraId="335E78D0" w14:textId="77777777" w:rsidR="00915077" w:rsidRPr="00E26EF6" w:rsidRDefault="001C7AB7">
            <w:pPr>
              <w:rPr>
                <w:rFonts w:ascii="Times New Roman" w:hAnsi="Times New Roman"/>
                <w:sz w:val="24"/>
                <w:highlight w:val="lightGray"/>
              </w:rPr>
            </w:pPr>
            <w:r w:rsidRPr="00E26EF6">
              <w:rPr>
                <w:rFonts w:ascii="Times New Roman" w:hAnsi="Times New Roman"/>
                <w:sz w:val="24"/>
              </w:rPr>
              <w:lastRenderedPageBreak/>
              <w:t>Zob. instrukcje dotyczące wzoru CR SA.</w:t>
            </w:r>
            <w:r w:rsidRPr="00E26EF6">
              <w:rPr>
                <w:rStyle w:val="InstructionsTabelleText"/>
                <w:rFonts w:ascii="Times New Roman" w:hAnsi="Times New Roman"/>
                <w:sz w:val="24"/>
              </w:rPr>
              <w:t xml:space="preserve"> </w:t>
            </w:r>
          </w:p>
        </w:tc>
      </w:tr>
      <w:tr w:rsidR="00915077" w:rsidRPr="00E26EF6" w14:paraId="60CE02FA" w14:textId="77777777" w:rsidTr="00672D2A">
        <w:tc>
          <w:tcPr>
            <w:tcW w:w="1188" w:type="dxa"/>
          </w:tcPr>
          <w:p w14:paraId="1C26C66A" w14:textId="77777777" w:rsidR="00915077" w:rsidRPr="00E26EF6" w:rsidRDefault="001C7AB7">
            <w:pPr>
              <w:rPr>
                <w:rFonts w:ascii="Times New Roman" w:hAnsi="Times New Roman"/>
                <w:sz w:val="24"/>
                <w:highlight w:val="lightGray"/>
              </w:rPr>
            </w:pPr>
            <w:r w:rsidRPr="00E26EF6">
              <w:rPr>
                <w:rFonts w:ascii="Times New Roman" w:hAnsi="Times New Roman"/>
                <w:sz w:val="24"/>
              </w:rPr>
              <w:lastRenderedPageBreak/>
              <w:t>140</w:t>
            </w:r>
          </w:p>
        </w:tc>
        <w:tc>
          <w:tcPr>
            <w:tcW w:w="8843" w:type="dxa"/>
          </w:tcPr>
          <w:p w14:paraId="169697B1"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W TYM: DUŻE PODMIOTY SEKTORA FINANSOWEGO ORAZ NIEREGULOWANE PODMIOTY FINANSOWE</w:t>
            </w:r>
          </w:p>
          <w:p w14:paraId="2A462A35" w14:textId="2690A442" w:rsidR="00915077" w:rsidRPr="00E26EF6" w:rsidRDefault="001C7AB7">
            <w:pPr>
              <w:rPr>
                <w:rFonts w:ascii="Times New Roman" w:hAnsi="Times New Roman"/>
                <w:b/>
                <w:sz w:val="24"/>
                <w:highlight w:val="lightGray"/>
                <w:u w:val="single"/>
              </w:rPr>
            </w:pPr>
            <w:r w:rsidRPr="00E26EF6">
              <w:rPr>
                <w:rFonts w:ascii="Times New Roman" w:hAnsi="Times New Roman"/>
                <w:sz w:val="24"/>
              </w:rPr>
              <w:t>Podział wartości ekspozycji</w:t>
            </w:r>
            <w:r w:rsidR="00E26EF6" w:rsidRPr="00E26EF6">
              <w:rPr>
                <w:rFonts w:ascii="Times New Roman" w:hAnsi="Times New Roman"/>
                <w:sz w:val="24"/>
              </w:rPr>
              <w:t xml:space="preserve"> w odn</w:t>
            </w:r>
            <w:r w:rsidRPr="00E26EF6">
              <w:rPr>
                <w:rFonts w:ascii="Times New Roman" w:hAnsi="Times New Roman"/>
                <w:sz w:val="24"/>
              </w:rPr>
              <w:t>iesieniu do wszystkich ekspozycji wobec podmiotów,</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142 ust.</w:t>
            </w:r>
            <w:r w:rsidR="00023409" w:rsidRPr="00E26EF6">
              <w:rPr>
                <w:rFonts w:ascii="Times New Roman" w:hAnsi="Times New Roman"/>
                <w:sz w:val="24"/>
              </w:rPr>
              <w:t> </w:t>
            </w:r>
            <w:r w:rsidRPr="00E26EF6">
              <w:rPr>
                <w:rFonts w:ascii="Times New Roman" w:hAnsi="Times New Roman"/>
                <w:sz w:val="24"/>
              </w:rPr>
              <w:t>4</w:t>
            </w:r>
            <w:r w:rsidR="00E26EF6" w:rsidRPr="00E26EF6">
              <w:rPr>
                <w:rFonts w:ascii="Times New Roman" w:hAnsi="Times New Roman"/>
                <w:sz w:val="24"/>
              </w:rPr>
              <w:t xml:space="preserve"> i 5</w:t>
            </w:r>
            <w:r w:rsidRPr="00E26EF6">
              <w:rPr>
                <w:rFonts w:ascii="Times New Roman" w:hAnsi="Times New Roman"/>
                <w:sz w:val="24"/>
              </w:rPr>
              <w:t xml:space="preserve"> CRR,</w:t>
            </w:r>
            <w:r w:rsidR="00E26EF6" w:rsidRPr="00E26EF6">
              <w:rPr>
                <w:rFonts w:ascii="Times New Roman" w:hAnsi="Times New Roman"/>
                <w:sz w:val="24"/>
              </w:rPr>
              <w:t xml:space="preserve"> z zas</w:t>
            </w:r>
            <w:r w:rsidRPr="00E26EF6">
              <w:rPr>
                <w:rFonts w:ascii="Times New Roman" w:hAnsi="Times New Roman"/>
                <w:sz w:val="24"/>
              </w:rPr>
              <w:t>trzeżeniem wyższej korelacji określonej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2 CRR.</w:t>
            </w:r>
          </w:p>
        </w:tc>
      </w:tr>
      <w:tr w:rsidR="00915077" w:rsidRPr="00E26EF6" w14:paraId="4918FA04" w14:textId="77777777" w:rsidTr="00672D2A">
        <w:trPr>
          <w:trHeight w:val="2109"/>
        </w:trPr>
        <w:tc>
          <w:tcPr>
            <w:tcW w:w="1188" w:type="dxa"/>
          </w:tcPr>
          <w:p w14:paraId="5A5514D9" w14:textId="77777777" w:rsidR="00915077" w:rsidRPr="00E26EF6" w:rsidDel="001D4BE0" w:rsidRDefault="001C7AB7">
            <w:pPr>
              <w:rPr>
                <w:rFonts w:ascii="Times New Roman" w:hAnsi="Times New Roman"/>
                <w:sz w:val="24"/>
                <w:highlight w:val="lightGray"/>
              </w:rPr>
            </w:pPr>
            <w:r w:rsidRPr="00E26EF6">
              <w:rPr>
                <w:rFonts w:ascii="Times New Roman" w:hAnsi="Times New Roman"/>
                <w:sz w:val="24"/>
              </w:rPr>
              <w:t>150–210</w:t>
            </w:r>
          </w:p>
        </w:tc>
        <w:tc>
          <w:tcPr>
            <w:tcW w:w="8843" w:type="dxa"/>
          </w:tcPr>
          <w:p w14:paraId="0D0DB57B"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TECHNIKI OGRANICZANIA RYZYKA KREDYTOWEGO UWZGLĘDNIANE W OSZACOWANIACH LGD BEZ UJĘCIA PODWÓJNEGO NIEWYKONANIA ZOBOWIĄZANIA</w:t>
            </w:r>
          </w:p>
          <w:p w14:paraId="61F7F1B2" w14:textId="01B32DB3" w:rsidR="00915077" w:rsidRPr="00E26EF6" w:rsidRDefault="001C7AB7">
            <w:pPr>
              <w:rPr>
                <w:rFonts w:ascii="Times New Roman" w:hAnsi="Times New Roman"/>
                <w:sz w:val="24"/>
              </w:rPr>
            </w:pPr>
            <w:r w:rsidRPr="00E26EF6">
              <w:rPr>
                <w:rFonts w:ascii="Times New Roman" w:hAnsi="Times New Roman"/>
                <w:sz w:val="24"/>
              </w:rPr>
              <w:t>W kolumnach tych nie ujmuje się technik ograniczania ryzyka kredytowego, które mają wpływ na LGD</w:t>
            </w:r>
            <w:r w:rsidR="00E26EF6" w:rsidRPr="00E26EF6">
              <w:rPr>
                <w:rFonts w:ascii="Times New Roman" w:hAnsi="Times New Roman"/>
                <w:sz w:val="24"/>
              </w:rPr>
              <w:t xml:space="preserve"> w wyn</w:t>
            </w:r>
            <w:r w:rsidRPr="00E26EF6">
              <w:rPr>
                <w:rFonts w:ascii="Times New Roman" w:hAnsi="Times New Roman"/>
                <w:sz w:val="24"/>
              </w:rPr>
              <w:t>iku efektu substytucyjnego tych technik.</w:t>
            </w:r>
          </w:p>
          <w:p w14:paraId="0000147B" w14:textId="3F009EBB" w:rsidR="00915077" w:rsidRPr="00E26EF6" w:rsidRDefault="00C61FF5">
            <w:pPr>
              <w:rPr>
                <w:rFonts w:ascii="Times New Roman" w:hAnsi="Times New Roman"/>
                <w:sz w:val="24"/>
              </w:rPr>
            </w:pPr>
            <w:r w:rsidRPr="00E26EF6">
              <w:rPr>
                <w:rFonts w:ascii="Times New Roman" w:hAnsi="Times New Roman"/>
                <w:sz w:val="24"/>
              </w:rPr>
              <w:t>W przypadku niestosowania własnych oszacowań LGD uwzględnia się art.</w:t>
            </w:r>
            <w:r w:rsidR="00023409" w:rsidRPr="00E26EF6">
              <w:rPr>
                <w:rFonts w:ascii="Times New Roman" w:hAnsi="Times New Roman"/>
                <w:sz w:val="24"/>
              </w:rPr>
              <w:t> </w:t>
            </w:r>
            <w:r w:rsidRPr="00E26EF6">
              <w:rPr>
                <w:rFonts w:ascii="Times New Roman" w:hAnsi="Times New Roman"/>
                <w:sz w:val="24"/>
              </w:rPr>
              <w:t>228 ust.</w:t>
            </w:r>
            <w:r w:rsidR="00023409" w:rsidRPr="00E26EF6">
              <w:rPr>
                <w:rFonts w:ascii="Times New Roman" w:hAnsi="Times New Roman"/>
                <w:sz w:val="24"/>
              </w:rPr>
              <w:t> </w:t>
            </w:r>
            <w:r w:rsidRPr="00E26EF6">
              <w:rPr>
                <w:rFonts w:ascii="Times New Roman" w:hAnsi="Times New Roman"/>
                <w:sz w:val="24"/>
              </w:rPr>
              <w:t>2, art.</w:t>
            </w:r>
            <w:r w:rsidR="00023409" w:rsidRPr="00E26EF6">
              <w:rPr>
                <w:rFonts w:ascii="Times New Roman" w:hAnsi="Times New Roman"/>
                <w:sz w:val="24"/>
              </w:rPr>
              <w:t> </w:t>
            </w:r>
            <w:r w:rsidRPr="00E26EF6">
              <w:rPr>
                <w:rFonts w:ascii="Times New Roman" w:hAnsi="Times New Roman"/>
                <w:sz w:val="24"/>
              </w:rPr>
              <w:t>230 ust.</w:t>
            </w:r>
            <w:r w:rsidR="00023409" w:rsidRPr="00E26EF6">
              <w:rPr>
                <w:rFonts w:ascii="Times New Roman" w:hAnsi="Times New Roman"/>
                <w:sz w:val="24"/>
              </w:rPr>
              <w:t> </w:t>
            </w:r>
            <w:r w:rsidRPr="00E26EF6">
              <w:rPr>
                <w:rFonts w:ascii="Times New Roman" w:hAnsi="Times New Roman"/>
                <w:sz w:val="24"/>
              </w:rPr>
              <w:t>1</w:t>
            </w:r>
            <w:r w:rsidR="00E26EF6" w:rsidRPr="00E26EF6">
              <w:rPr>
                <w:rFonts w:ascii="Times New Roman" w:hAnsi="Times New Roman"/>
                <w:sz w:val="24"/>
              </w:rPr>
              <w:t xml:space="preserve"> i 2</w:t>
            </w:r>
            <w:r w:rsidRPr="00E26EF6">
              <w:rPr>
                <w:rFonts w:ascii="Times New Roman" w:hAnsi="Times New Roman"/>
                <w:sz w:val="24"/>
              </w:rPr>
              <w:t xml:space="preserve"> oraz art.</w:t>
            </w:r>
            <w:r w:rsidR="00023409" w:rsidRPr="00E26EF6">
              <w:rPr>
                <w:rFonts w:ascii="Times New Roman" w:hAnsi="Times New Roman"/>
                <w:sz w:val="24"/>
              </w:rPr>
              <w:t> </w:t>
            </w:r>
            <w:r w:rsidRPr="00E26EF6">
              <w:rPr>
                <w:rFonts w:ascii="Times New Roman" w:hAnsi="Times New Roman"/>
                <w:sz w:val="24"/>
              </w:rPr>
              <w:t>231 CRR.</w:t>
            </w:r>
          </w:p>
          <w:p w14:paraId="1E1E6BDB" w14:textId="77777777" w:rsidR="00915077" w:rsidRPr="00E26EF6" w:rsidRDefault="00C61FF5">
            <w:pPr>
              <w:rPr>
                <w:rFonts w:ascii="Times New Roman" w:hAnsi="Times New Roman"/>
                <w:sz w:val="24"/>
              </w:rPr>
            </w:pPr>
            <w:r w:rsidRPr="00E26EF6">
              <w:rPr>
                <w:rFonts w:ascii="Times New Roman" w:hAnsi="Times New Roman"/>
                <w:sz w:val="24"/>
              </w:rPr>
              <w:t xml:space="preserve">W przypadku stosowania własnych oszacowań LGD: </w:t>
            </w:r>
          </w:p>
          <w:p w14:paraId="101C7ABE" w14:textId="3C322A42" w:rsidR="00915077" w:rsidRPr="00E26EF6" w:rsidRDefault="001C7AB7">
            <w:pPr>
              <w:rPr>
                <w:rFonts w:ascii="Times New Roman" w:hAnsi="Times New Roman"/>
                <w:sz w:val="24"/>
              </w:rPr>
            </w:pPr>
            <w:r w:rsidRPr="00E26EF6">
              <w:rPr>
                <w:rFonts w:ascii="Times New Roman" w:hAnsi="Times New Roman"/>
                <w:sz w:val="24"/>
              </w:rPr>
              <w:t>-</w:t>
            </w:r>
            <w:r w:rsidR="00E26EF6" w:rsidRPr="00E26EF6">
              <w:rPr>
                <w:rFonts w:ascii="Times New Roman" w:hAnsi="Times New Roman"/>
                <w:sz w:val="24"/>
              </w:rPr>
              <w:t xml:space="preserve"> w odn</w:t>
            </w:r>
            <w:r w:rsidRPr="00E26EF6">
              <w:rPr>
                <w:rFonts w:ascii="Times New Roman" w:hAnsi="Times New Roman"/>
                <w:sz w:val="24"/>
              </w:rPr>
              <w:t>iesieniu do ochrony kredytowej nierzeczywistej dla ekspozycji wobec rządów centralnych, banków centralnych, instytucji</w:t>
            </w:r>
            <w:r w:rsidR="00E26EF6" w:rsidRPr="00E26EF6">
              <w:rPr>
                <w:rFonts w:ascii="Times New Roman" w:hAnsi="Times New Roman"/>
                <w:sz w:val="24"/>
              </w:rPr>
              <w:t xml:space="preserve"> i prz</w:t>
            </w:r>
            <w:r w:rsidRPr="00E26EF6">
              <w:rPr>
                <w:rFonts w:ascii="Times New Roman" w:hAnsi="Times New Roman"/>
                <w:sz w:val="24"/>
              </w:rPr>
              <w:t>edsiębiorstw uwzględnia się art.</w:t>
            </w:r>
            <w:r w:rsidR="00023409" w:rsidRPr="00E26EF6">
              <w:rPr>
                <w:rFonts w:ascii="Times New Roman" w:hAnsi="Times New Roman"/>
                <w:sz w:val="24"/>
              </w:rPr>
              <w:t> </w:t>
            </w:r>
            <w:r w:rsidRPr="00E26EF6">
              <w:rPr>
                <w:rFonts w:ascii="Times New Roman" w:hAnsi="Times New Roman"/>
                <w:sz w:val="24"/>
              </w:rPr>
              <w:t>161 ust.</w:t>
            </w:r>
            <w:r w:rsidR="00023409" w:rsidRPr="00E26EF6">
              <w:rPr>
                <w:rFonts w:ascii="Times New Roman" w:hAnsi="Times New Roman"/>
                <w:sz w:val="24"/>
              </w:rPr>
              <w:t> </w:t>
            </w:r>
            <w:r w:rsidRPr="00E26EF6">
              <w:rPr>
                <w:rFonts w:ascii="Times New Roman" w:hAnsi="Times New Roman"/>
                <w:sz w:val="24"/>
              </w:rPr>
              <w:t>3 CRR</w:t>
            </w:r>
            <w:r w:rsidR="00E26EF6" w:rsidRPr="00E26EF6">
              <w:rPr>
                <w:rFonts w:ascii="Times New Roman" w:hAnsi="Times New Roman"/>
                <w:sz w:val="24"/>
              </w:rPr>
              <w:t>. W odn</w:t>
            </w:r>
            <w:r w:rsidRPr="00E26EF6">
              <w:rPr>
                <w:rFonts w:ascii="Times New Roman" w:hAnsi="Times New Roman"/>
                <w:sz w:val="24"/>
              </w:rPr>
              <w:t>iesieniu do ekspozycji detalicznych uwzględnia się art.</w:t>
            </w:r>
            <w:r w:rsidR="00023409" w:rsidRPr="00E26EF6">
              <w:rPr>
                <w:rFonts w:ascii="Times New Roman" w:hAnsi="Times New Roman"/>
                <w:sz w:val="24"/>
              </w:rPr>
              <w:t> </w:t>
            </w:r>
            <w:r w:rsidRPr="00E26EF6">
              <w:rPr>
                <w:rFonts w:ascii="Times New Roman" w:hAnsi="Times New Roman"/>
                <w:sz w:val="24"/>
              </w:rPr>
              <w:t>164 ust.</w:t>
            </w:r>
            <w:r w:rsidR="00023409" w:rsidRPr="00E26EF6">
              <w:rPr>
                <w:rFonts w:ascii="Times New Roman" w:hAnsi="Times New Roman"/>
                <w:sz w:val="24"/>
              </w:rPr>
              <w:t> </w:t>
            </w:r>
            <w:r w:rsidRPr="00E26EF6">
              <w:rPr>
                <w:rFonts w:ascii="Times New Roman" w:hAnsi="Times New Roman"/>
                <w:sz w:val="24"/>
              </w:rPr>
              <w:t>2 CRR.</w:t>
            </w:r>
          </w:p>
          <w:p w14:paraId="2F9D858B" w14:textId="0A89C08E" w:rsidR="00915077" w:rsidRPr="00E26EF6" w:rsidRDefault="001C7AB7">
            <w:pPr>
              <w:rPr>
                <w:rFonts w:ascii="Times New Roman" w:hAnsi="Times New Roman"/>
                <w:b/>
                <w:sz w:val="24"/>
                <w:highlight w:val="lightGray"/>
                <w:u w:val="single"/>
              </w:rPr>
            </w:pPr>
            <w:r w:rsidRPr="00E26EF6">
              <w:rPr>
                <w:rFonts w:ascii="Times New Roman" w:hAnsi="Times New Roman"/>
                <w:sz w:val="24"/>
              </w:rPr>
              <w:t>- W odniesieniu do ochrony kredytowej rzeczywistej zabezpieczenie uwzględnia się</w:t>
            </w:r>
            <w:r w:rsidR="00E26EF6" w:rsidRPr="00E26EF6">
              <w:rPr>
                <w:rFonts w:ascii="Times New Roman" w:hAnsi="Times New Roman"/>
                <w:sz w:val="24"/>
              </w:rPr>
              <w:t xml:space="preserve"> w osz</w:t>
            </w:r>
            <w:r w:rsidRPr="00E26EF6">
              <w:rPr>
                <w:rFonts w:ascii="Times New Roman" w:hAnsi="Times New Roman"/>
                <w:sz w:val="24"/>
              </w:rPr>
              <w:t>acowaniach LGD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181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e) i f) CRR.</w:t>
            </w:r>
          </w:p>
        </w:tc>
      </w:tr>
      <w:tr w:rsidR="00915077" w:rsidRPr="00E26EF6" w14:paraId="2B9CA2B6" w14:textId="77777777" w:rsidTr="00672D2A">
        <w:trPr>
          <w:trHeight w:val="957"/>
        </w:trPr>
        <w:tc>
          <w:tcPr>
            <w:tcW w:w="1188" w:type="dxa"/>
          </w:tcPr>
          <w:p w14:paraId="5E3C4118" w14:textId="77777777" w:rsidR="00915077" w:rsidRPr="00E26EF6" w:rsidRDefault="001C7AB7">
            <w:pPr>
              <w:rPr>
                <w:rFonts w:ascii="Times New Roman" w:hAnsi="Times New Roman"/>
                <w:sz w:val="24"/>
                <w:highlight w:val="lightGray"/>
              </w:rPr>
            </w:pPr>
            <w:r w:rsidRPr="00E26EF6">
              <w:rPr>
                <w:rFonts w:ascii="Times New Roman" w:hAnsi="Times New Roman"/>
                <w:sz w:val="24"/>
              </w:rPr>
              <w:t>150</w:t>
            </w:r>
          </w:p>
        </w:tc>
        <w:tc>
          <w:tcPr>
            <w:tcW w:w="8843" w:type="dxa"/>
          </w:tcPr>
          <w:p w14:paraId="489A2729"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 xml:space="preserve">GWARANCJE </w:t>
            </w:r>
          </w:p>
          <w:p w14:paraId="5CDD29E2" w14:textId="77777777" w:rsidR="00915077" w:rsidRPr="00E26EF6" w:rsidRDefault="001C7AB7">
            <w:pPr>
              <w:jc w:val="left"/>
              <w:rPr>
                <w:rFonts w:ascii="Times New Roman" w:hAnsi="Times New Roman"/>
                <w:b/>
                <w:sz w:val="24"/>
                <w:highlight w:val="lightGray"/>
                <w:u w:val="single"/>
              </w:rPr>
            </w:pPr>
            <w:r w:rsidRPr="00E26EF6">
              <w:rPr>
                <w:rFonts w:ascii="Times New Roman" w:hAnsi="Times New Roman"/>
                <w:sz w:val="24"/>
              </w:rPr>
              <w:t>Zob. instrukcje dla kolumny 040.</w:t>
            </w:r>
          </w:p>
        </w:tc>
      </w:tr>
      <w:tr w:rsidR="00915077" w:rsidRPr="00E26EF6" w14:paraId="6B562DDD" w14:textId="77777777" w:rsidTr="00672D2A">
        <w:tc>
          <w:tcPr>
            <w:tcW w:w="1188" w:type="dxa"/>
          </w:tcPr>
          <w:p w14:paraId="331AF144" w14:textId="77777777" w:rsidR="00915077" w:rsidRPr="00E26EF6" w:rsidRDefault="001C7AB7">
            <w:pPr>
              <w:rPr>
                <w:rFonts w:ascii="Times New Roman" w:hAnsi="Times New Roman"/>
                <w:sz w:val="24"/>
                <w:highlight w:val="lightGray"/>
              </w:rPr>
            </w:pPr>
            <w:r w:rsidRPr="00E26EF6">
              <w:rPr>
                <w:rFonts w:ascii="Times New Roman" w:hAnsi="Times New Roman"/>
                <w:sz w:val="24"/>
              </w:rPr>
              <w:t>160</w:t>
            </w:r>
          </w:p>
        </w:tc>
        <w:tc>
          <w:tcPr>
            <w:tcW w:w="8843" w:type="dxa"/>
          </w:tcPr>
          <w:p w14:paraId="2BA68CAE"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 xml:space="preserve">KREDYTOWE INSTRUMENTY POCHODNE </w:t>
            </w:r>
          </w:p>
          <w:p w14:paraId="2F6FB3EC" w14:textId="77777777" w:rsidR="00915077" w:rsidRPr="00E26EF6" w:rsidRDefault="001C7AB7">
            <w:pPr>
              <w:rPr>
                <w:rFonts w:ascii="Times New Roman" w:hAnsi="Times New Roman"/>
                <w:sz w:val="24"/>
                <w:highlight w:val="lightGray"/>
              </w:rPr>
            </w:pPr>
            <w:r w:rsidRPr="00E26EF6">
              <w:rPr>
                <w:rFonts w:ascii="Times New Roman" w:hAnsi="Times New Roman"/>
                <w:sz w:val="24"/>
              </w:rPr>
              <w:t>Zob. instrukcje dla kolumny 050.</w:t>
            </w:r>
          </w:p>
        </w:tc>
      </w:tr>
      <w:tr w:rsidR="00915077" w:rsidRPr="00E26EF6" w14:paraId="5F49DF29" w14:textId="77777777" w:rsidTr="00672D2A">
        <w:tc>
          <w:tcPr>
            <w:tcW w:w="1188" w:type="dxa"/>
          </w:tcPr>
          <w:p w14:paraId="642A5BE9" w14:textId="77777777" w:rsidR="00915077" w:rsidRPr="00E26EF6" w:rsidRDefault="001C7AB7">
            <w:pPr>
              <w:rPr>
                <w:rFonts w:ascii="Times New Roman" w:hAnsi="Times New Roman"/>
                <w:sz w:val="24"/>
                <w:highlight w:val="lightGray"/>
              </w:rPr>
            </w:pPr>
            <w:r w:rsidRPr="00E26EF6">
              <w:rPr>
                <w:rFonts w:ascii="Times New Roman" w:hAnsi="Times New Roman"/>
                <w:sz w:val="24"/>
              </w:rPr>
              <w:t>170</w:t>
            </w:r>
          </w:p>
        </w:tc>
        <w:tc>
          <w:tcPr>
            <w:tcW w:w="8843" w:type="dxa"/>
          </w:tcPr>
          <w:p w14:paraId="4814F7C0"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 xml:space="preserve">ZASTOSOWANE WŁASNE OSZACOWANIA LGD: INNE RODZAJE OCHRONY KREDYTOWEJ RZECZYWISTEJ </w:t>
            </w:r>
          </w:p>
          <w:p w14:paraId="67714F1F" w14:textId="56E0BFB5"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Odpowiednia wartość wykorzystana</w:t>
            </w:r>
            <w:r w:rsidR="00E26EF6" w:rsidRPr="00E26EF6">
              <w:rPr>
                <w:rStyle w:val="InstructionsTabelleText"/>
                <w:rFonts w:ascii="Times New Roman" w:hAnsi="Times New Roman"/>
                <w:sz w:val="24"/>
              </w:rPr>
              <w:t xml:space="preserve"> w mod</w:t>
            </w:r>
            <w:r w:rsidRPr="00E26EF6">
              <w:rPr>
                <w:rStyle w:val="InstructionsTabelleText"/>
                <w:rFonts w:ascii="Times New Roman" w:hAnsi="Times New Roman"/>
                <w:sz w:val="24"/>
              </w:rPr>
              <w:t>elu wewnętrznym instytucji.</w:t>
            </w:r>
          </w:p>
          <w:p w14:paraId="00F55851" w14:textId="54491657" w:rsidR="00915077" w:rsidRPr="00E26EF6" w:rsidRDefault="001C7AB7">
            <w:pPr>
              <w:rPr>
                <w:rFonts w:ascii="Times New Roman" w:hAnsi="Times New Roman"/>
                <w:sz w:val="24"/>
                <w:highlight w:val="lightGray"/>
              </w:rPr>
            </w:pPr>
            <w:r w:rsidRPr="00E26EF6">
              <w:rPr>
                <w:rFonts w:ascii="Times New Roman" w:hAnsi="Times New Roman"/>
                <w:sz w:val="24"/>
              </w:rPr>
              <w:t>Środki ograniczania ryzyka kredytowego, które są zgodne</w:t>
            </w:r>
            <w:r w:rsidR="00E26EF6" w:rsidRPr="00E26EF6">
              <w:rPr>
                <w:rFonts w:ascii="Times New Roman" w:hAnsi="Times New Roman"/>
                <w:sz w:val="24"/>
              </w:rPr>
              <w:t xml:space="preserve"> z kry</w:t>
            </w:r>
            <w:r w:rsidRPr="00E26EF6">
              <w:rPr>
                <w:rFonts w:ascii="Times New Roman" w:hAnsi="Times New Roman"/>
                <w:sz w:val="24"/>
              </w:rPr>
              <w:t>teriami określonymi</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212 CRR. </w:t>
            </w:r>
          </w:p>
        </w:tc>
      </w:tr>
      <w:tr w:rsidR="00915077" w:rsidRPr="00E26EF6" w14:paraId="2B6B5990" w14:textId="77777777" w:rsidTr="00672D2A">
        <w:tc>
          <w:tcPr>
            <w:tcW w:w="1188" w:type="dxa"/>
          </w:tcPr>
          <w:p w14:paraId="30030987" w14:textId="77777777" w:rsidR="00915077" w:rsidRPr="00E26EF6" w:rsidRDefault="001C7AB7">
            <w:pPr>
              <w:rPr>
                <w:rFonts w:ascii="Times New Roman" w:hAnsi="Times New Roman"/>
                <w:sz w:val="24"/>
                <w:highlight w:val="lightGray"/>
              </w:rPr>
            </w:pPr>
            <w:r w:rsidRPr="00E26EF6">
              <w:rPr>
                <w:rFonts w:ascii="Times New Roman" w:hAnsi="Times New Roman"/>
                <w:sz w:val="24"/>
              </w:rPr>
              <w:t>180</w:t>
            </w:r>
          </w:p>
        </w:tc>
        <w:tc>
          <w:tcPr>
            <w:tcW w:w="8843" w:type="dxa"/>
          </w:tcPr>
          <w:p w14:paraId="7F9158FB"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UZNANE ZABEZPIECZENIE FINANSOWE</w:t>
            </w:r>
          </w:p>
          <w:p w14:paraId="060F8654" w14:textId="522B9E4F" w:rsidR="00915077" w:rsidRPr="00E26EF6" w:rsidRDefault="001C7AB7">
            <w:pPr>
              <w:rPr>
                <w:rFonts w:ascii="Times New Roman" w:hAnsi="Times New Roman"/>
                <w:sz w:val="24"/>
              </w:rPr>
            </w:pPr>
            <w:r w:rsidRPr="00E26EF6">
              <w:rPr>
                <w:rFonts w:ascii="Times New Roman" w:hAnsi="Times New Roman"/>
                <w:sz w:val="24"/>
              </w:rPr>
              <w:t>W przypadku operacji portfela handlowego uwzględnia się instrumenty finansowe</w:t>
            </w:r>
            <w:r w:rsidR="00E26EF6" w:rsidRPr="00E26EF6">
              <w:rPr>
                <w:rFonts w:ascii="Times New Roman" w:hAnsi="Times New Roman"/>
                <w:sz w:val="24"/>
              </w:rPr>
              <w:t xml:space="preserve"> i tow</w:t>
            </w:r>
            <w:r w:rsidRPr="00E26EF6">
              <w:rPr>
                <w:rFonts w:ascii="Times New Roman" w:hAnsi="Times New Roman"/>
                <w:sz w:val="24"/>
              </w:rPr>
              <w:t>ary kwalifikujące się do ekspozycji zaliczanych do portfela handlowego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299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c</w:t>
            </w:r>
            <w:proofErr w:type="gramStart"/>
            <w:r w:rsidRPr="00E26EF6">
              <w:rPr>
                <w:rFonts w:ascii="Times New Roman" w:hAnsi="Times New Roman"/>
                <w:sz w:val="24"/>
              </w:rPr>
              <w:t>)–f</w:t>
            </w:r>
            <w:proofErr w:type="gramEnd"/>
            <w:r w:rsidRPr="00E26EF6">
              <w:rPr>
                <w:rFonts w:ascii="Times New Roman" w:hAnsi="Times New Roman"/>
                <w:sz w:val="24"/>
              </w:rPr>
              <w:t>) CRR. Obligacje powiązane</w:t>
            </w:r>
            <w:r w:rsidR="00E26EF6" w:rsidRPr="00E26EF6">
              <w:rPr>
                <w:rFonts w:ascii="Times New Roman" w:hAnsi="Times New Roman"/>
                <w:sz w:val="24"/>
              </w:rPr>
              <w:t xml:space="preserve"> z ryz</w:t>
            </w:r>
            <w:r w:rsidRPr="00E26EF6">
              <w:rPr>
                <w:rFonts w:ascii="Times New Roman" w:hAnsi="Times New Roman"/>
                <w:sz w:val="24"/>
              </w:rPr>
              <w:t>ykiem kredytowym oraz kompensowanie pozycji bilansowych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 4 sekcja 4 CRR traktuje się jak zabezpieczenie gotówkowe.</w:t>
            </w:r>
          </w:p>
          <w:p w14:paraId="1CA102C9" w14:textId="16EA922A" w:rsidR="00915077" w:rsidRPr="00E26EF6" w:rsidRDefault="001C7AB7">
            <w:pPr>
              <w:rPr>
                <w:rFonts w:ascii="Times New Roman" w:hAnsi="Times New Roman"/>
                <w:sz w:val="24"/>
              </w:rPr>
            </w:pPr>
            <w:r w:rsidRPr="00E26EF6">
              <w:rPr>
                <w:rFonts w:ascii="Times New Roman" w:hAnsi="Times New Roman"/>
                <w:sz w:val="24"/>
              </w:rPr>
              <w:t>W przypadku niestosowania własnych oszacowań LGD wartości określa się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193 ust.</w:t>
            </w:r>
            <w:r w:rsidR="00023409" w:rsidRPr="00E26EF6">
              <w:rPr>
                <w:rFonts w:ascii="Times New Roman" w:hAnsi="Times New Roman"/>
                <w:sz w:val="24"/>
              </w:rPr>
              <w:t> </w:t>
            </w:r>
            <w:r w:rsidRPr="00E26EF6">
              <w:rPr>
                <w:rFonts w:ascii="Times New Roman" w:hAnsi="Times New Roman"/>
                <w:sz w:val="24"/>
              </w:rPr>
              <w:t>1–4 oraz art.</w:t>
            </w:r>
            <w:r w:rsidR="00023409" w:rsidRPr="00E26EF6">
              <w:rPr>
                <w:rFonts w:ascii="Times New Roman" w:hAnsi="Times New Roman"/>
                <w:sz w:val="24"/>
              </w:rPr>
              <w:t> </w:t>
            </w:r>
            <w:r w:rsidRPr="00E26EF6">
              <w:rPr>
                <w:rFonts w:ascii="Times New Roman" w:hAnsi="Times New Roman"/>
                <w:sz w:val="24"/>
              </w:rPr>
              <w:t>194 ust.</w:t>
            </w:r>
            <w:r w:rsidR="00023409" w:rsidRPr="00E26EF6">
              <w:rPr>
                <w:rFonts w:ascii="Times New Roman" w:hAnsi="Times New Roman"/>
                <w:sz w:val="24"/>
              </w:rPr>
              <w:t> </w:t>
            </w:r>
            <w:r w:rsidRPr="00E26EF6">
              <w:rPr>
                <w:rFonts w:ascii="Times New Roman" w:hAnsi="Times New Roman"/>
                <w:sz w:val="24"/>
              </w:rPr>
              <w:t>1 CRR. Zgłasza się skorygowaną wartość (Cvam) określoną</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223 ust.</w:t>
            </w:r>
            <w:r w:rsidR="00023409" w:rsidRPr="00E26EF6">
              <w:rPr>
                <w:rFonts w:ascii="Times New Roman" w:hAnsi="Times New Roman"/>
                <w:sz w:val="24"/>
              </w:rPr>
              <w:t> </w:t>
            </w:r>
            <w:r w:rsidRPr="00E26EF6">
              <w:rPr>
                <w:rFonts w:ascii="Times New Roman" w:hAnsi="Times New Roman"/>
                <w:sz w:val="24"/>
              </w:rPr>
              <w:t>2 CRR.</w:t>
            </w:r>
          </w:p>
          <w:p w14:paraId="67F48A52" w14:textId="66F5C79A" w:rsidR="00915077" w:rsidRPr="00E26EF6" w:rsidRDefault="001C7AB7">
            <w:pPr>
              <w:rPr>
                <w:rFonts w:ascii="Times New Roman" w:hAnsi="Times New Roman"/>
                <w:b/>
                <w:sz w:val="24"/>
                <w:highlight w:val="lightGray"/>
                <w:u w:val="single"/>
              </w:rPr>
            </w:pPr>
            <w:r w:rsidRPr="00E26EF6">
              <w:rPr>
                <w:rFonts w:ascii="Times New Roman" w:hAnsi="Times New Roman"/>
                <w:sz w:val="24"/>
              </w:rPr>
              <w:t>W przypadku stosowania własnych oszacowań LGD zabezpieczenie finansowe uwzględnia się</w:t>
            </w:r>
            <w:r w:rsidR="00E26EF6" w:rsidRPr="00E26EF6">
              <w:rPr>
                <w:rFonts w:ascii="Times New Roman" w:hAnsi="Times New Roman"/>
                <w:sz w:val="24"/>
              </w:rPr>
              <w:t xml:space="preserve"> w osz</w:t>
            </w:r>
            <w:r w:rsidRPr="00E26EF6">
              <w:rPr>
                <w:rFonts w:ascii="Times New Roman" w:hAnsi="Times New Roman"/>
                <w:sz w:val="24"/>
              </w:rPr>
              <w:t>acowaniach LGD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181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e) i f) CRR. Kwotą, którą należy zgłosić, jest szacunkowa wartość rynkowa zabezpieczenia.</w:t>
            </w:r>
          </w:p>
        </w:tc>
      </w:tr>
      <w:tr w:rsidR="00915077" w:rsidRPr="00E26EF6" w14:paraId="457D2C2B" w14:textId="77777777" w:rsidTr="00672D2A">
        <w:tc>
          <w:tcPr>
            <w:tcW w:w="1188" w:type="dxa"/>
          </w:tcPr>
          <w:p w14:paraId="5057A0C2" w14:textId="77777777" w:rsidR="00915077" w:rsidRPr="00E26EF6" w:rsidDel="001D4BE0" w:rsidRDefault="001C7AB7">
            <w:pPr>
              <w:rPr>
                <w:rFonts w:ascii="Times New Roman" w:hAnsi="Times New Roman"/>
                <w:sz w:val="24"/>
                <w:highlight w:val="lightGray"/>
              </w:rPr>
            </w:pPr>
            <w:r w:rsidRPr="00E26EF6">
              <w:rPr>
                <w:rFonts w:ascii="Times New Roman" w:hAnsi="Times New Roman"/>
                <w:sz w:val="24"/>
              </w:rPr>
              <w:t>190–210</w:t>
            </w:r>
          </w:p>
        </w:tc>
        <w:tc>
          <w:tcPr>
            <w:tcW w:w="8843" w:type="dxa"/>
          </w:tcPr>
          <w:p w14:paraId="4CBF1C33"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INNE UZNANE ZABEZPIECZENIE</w:t>
            </w:r>
          </w:p>
          <w:p w14:paraId="5AA9B5AE" w14:textId="6FB4E97E" w:rsidR="00915077" w:rsidRPr="00E26EF6" w:rsidRDefault="00C61FF5">
            <w:pPr>
              <w:rPr>
                <w:rFonts w:ascii="Times New Roman" w:hAnsi="Times New Roman"/>
                <w:sz w:val="24"/>
              </w:rPr>
            </w:pPr>
            <w:r w:rsidRPr="00E26EF6">
              <w:rPr>
                <w:rFonts w:ascii="Times New Roman" w:hAnsi="Times New Roman"/>
                <w:sz w:val="24"/>
              </w:rPr>
              <w:t>W przypadku niestosowania własnych oszacowań LGD wartości określa się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199 ust.</w:t>
            </w:r>
            <w:r w:rsidR="00023409" w:rsidRPr="00E26EF6">
              <w:rPr>
                <w:rFonts w:ascii="Times New Roman" w:hAnsi="Times New Roman"/>
                <w:sz w:val="24"/>
              </w:rPr>
              <w:t> </w:t>
            </w:r>
            <w:r w:rsidRPr="00E26EF6">
              <w:rPr>
                <w:rFonts w:ascii="Times New Roman" w:hAnsi="Times New Roman"/>
                <w:sz w:val="24"/>
              </w:rPr>
              <w:t>1–8 oraz art.</w:t>
            </w:r>
            <w:r w:rsidR="00023409" w:rsidRPr="00E26EF6">
              <w:rPr>
                <w:rFonts w:ascii="Times New Roman" w:hAnsi="Times New Roman"/>
                <w:sz w:val="24"/>
              </w:rPr>
              <w:t> </w:t>
            </w:r>
            <w:r w:rsidRPr="00E26EF6">
              <w:rPr>
                <w:rFonts w:ascii="Times New Roman" w:hAnsi="Times New Roman"/>
                <w:sz w:val="24"/>
              </w:rPr>
              <w:t>229 CRR.</w:t>
            </w:r>
          </w:p>
          <w:p w14:paraId="3BABB64B" w14:textId="1BEFB80F" w:rsidR="00915077" w:rsidRPr="00E26EF6" w:rsidRDefault="00C61FF5">
            <w:pPr>
              <w:rPr>
                <w:rFonts w:ascii="Times New Roman" w:hAnsi="Times New Roman"/>
                <w:b/>
                <w:sz w:val="24"/>
                <w:highlight w:val="lightGray"/>
                <w:u w:val="single"/>
              </w:rPr>
            </w:pPr>
            <w:r w:rsidRPr="00E26EF6">
              <w:rPr>
                <w:rFonts w:ascii="Times New Roman" w:hAnsi="Times New Roman"/>
                <w:sz w:val="24"/>
              </w:rPr>
              <w:t>W przypadku stosowania własnych oszacowań LGD</w:t>
            </w:r>
            <w:r w:rsidR="00E26EF6" w:rsidRPr="00E26EF6">
              <w:rPr>
                <w:rFonts w:ascii="Times New Roman" w:hAnsi="Times New Roman"/>
                <w:sz w:val="24"/>
              </w:rPr>
              <w:t xml:space="preserve"> w osz</w:t>
            </w:r>
            <w:r w:rsidRPr="00E26EF6">
              <w:rPr>
                <w:rFonts w:ascii="Times New Roman" w:hAnsi="Times New Roman"/>
                <w:sz w:val="24"/>
              </w:rPr>
              <w:t>acowaniach LGD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181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e) i f) CRR uwzględnia się inne zabezpieczenie.</w:t>
            </w:r>
          </w:p>
        </w:tc>
      </w:tr>
      <w:tr w:rsidR="00915077" w:rsidRPr="00E26EF6" w14:paraId="0539FC4A" w14:textId="77777777" w:rsidTr="00672D2A">
        <w:tc>
          <w:tcPr>
            <w:tcW w:w="1188" w:type="dxa"/>
          </w:tcPr>
          <w:p w14:paraId="6E144E0D" w14:textId="77777777" w:rsidR="00915077" w:rsidRPr="00E26EF6" w:rsidRDefault="001C7AB7">
            <w:pPr>
              <w:spacing w:line="240" w:lineRule="exact"/>
              <w:rPr>
                <w:rFonts w:ascii="Times New Roman" w:hAnsi="Times New Roman"/>
                <w:sz w:val="24"/>
                <w:highlight w:val="lightGray"/>
              </w:rPr>
            </w:pPr>
            <w:r w:rsidRPr="00E26EF6">
              <w:rPr>
                <w:rFonts w:ascii="Times New Roman" w:hAnsi="Times New Roman"/>
                <w:sz w:val="24"/>
              </w:rPr>
              <w:t>190</w:t>
            </w:r>
          </w:p>
        </w:tc>
        <w:tc>
          <w:tcPr>
            <w:tcW w:w="8843" w:type="dxa"/>
          </w:tcPr>
          <w:p w14:paraId="1C034029" w14:textId="77777777" w:rsidR="00915077" w:rsidRPr="00E26EF6" w:rsidRDefault="001C7AB7">
            <w:pPr>
              <w:spacing w:line="240" w:lineRule="exact"/>
              <w:rPr>
                <w:rFonts w:ascii="Times New Roman" w:hAnsi="Times New Roman"/>
                <w:sz w:val="24"/>
              </w:rPr>
            </w:pPr>
            <w:r w:rsidRPr="00E26EF6">
              <w:rPr>
                <w:rFonts w:ascii="Times New Roman" w:hAnsi="Times New Roman"/>
                <w:b/>
                <w:sz w:val="24"/>
                <w:u w:val="single"/>
              </w:rPr>
              <w:t>NIERUCHOMOŚCI</w:t>
            </w:r>
          </w:p>
          <w:p w14:paraId="43C12D0D" w14:textId="1BE01B7D" w:rsidR="00915077" w:rsidRPr="00E26EF6" w:rsidRDefault="00C61FF5">
            <w:pPr>
              <w:spacing w:line="240" w:lineRule="exact"/>
              <w:rPr>
                <w:rFonts w:ascii="Times New Roman" w:hAnsi="Times New Roman"/>
                <w:sz w:val="24"/>
              </w:rPr>
            </w:pPr>
            <w:r w:rsidRPr="00E26EF6">
              <w:rPr>
                <w:rFonts w:ascii="Times New Roman" w:hAnsi="Times New Roman"/>
                <w:sz w:val="24"/>
              </w:rPr>
              <w:lastRenderedPageBreak/>
              <w:t>W przypadku niestosowania własnych oszacowań LGD wartości określa się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199 ust.</w:t>
            </w:r>
            <w:r w:rsidR="00023409" w:rsidRPr="00E26EF6">
              <w:rPr>
                <w:rFonts w:ascii="Times New Roman" w:hAnsi="Times New Roman"/>
                <w:sz w:val="24"/>
              </w:rPr>
              <w:t> </w:t>
            </w:r>
            <w:r w:rsidRPr="00E26EF6">
              <w:rPr>
                <w:rFonts w:ascii="Times New Roman" w:hAnsi="Times New Roman"/>
                <w:sz w:val="24"/>
              </w:rPr>
              <w:t>2, 3</w:t>
            </w:r>
            <w:r w:rsidR="00E26EF6" w:rsidRPr="00E26EF6">
              <w:rPr>
                <w:rFonts w:ascii="Times New Roman" w:hAnsi="Times New Roman"/>
                <w:sz w:val="24"/>
              </w:rPr>
              <w:t xml:space="preserve"> i 4</w:t>
            </w:r>
            <w:r w:rsidRPr="00E26EF6">
              <w:rPr>
                <w:rFonts w:ascii="Times New Roman" w:hAnsi="Times New Roman"/>
                <w:sz w:val="24"/>
              </w:rPr>
              <w:t xml:space="preserve"> CRR</w:t>
            </w:r>
            <w:r w:rsidR="00E26EF6" w:rsidRPr="00E26EF6">
              <w:rPr>
                <w:rFonts w:ascii="Times New Roman" w:hAnsi="Times New Roman"/>
                <w:sz w:val="24"/>
              </w:rPr>
              <w:t xml:space="preserve"> i zgł</w:t>
            </w:r>
            <w:r w:rsidRPr="00E26EF6">
              <w:rPr>
                <w:rFonts w:ascii="Times New Roman" w:hAnsi="Times New Roman"/>
                <w:sz w:val="24"/>
              </w:rPr>
              <w:t>asza</w:t>
            </w:r>
            <w:r w:rsidR="00E26EF6" w:rsidRPr="00E26EF6">
              <w:rPr>
                <w:rFonts w:ascii="Times New Roman" w:hAnsi="Times New Roman"/>
                <w:sz w:val="24"/>
              </w:rPr>
              <w:t xml:space="preserve"> w tej</w:t>
            </w:r>
            <w:r w:rsidRPr="00E26EF6">
              <w:rPr>
                <w:rFonts w:ascii="Times New Roman" w:hAnsi="Times New Roman"/>
                <w:sz w:val="24"/>
              </w:rPr>
              <w:t xml:space="preserve"> kolumnie. Uwzględnia się również leasing nieruchomości (zob. art.</w:t>
            </w:r>
            <w:r w:rsidR="00023409" w:rsidRPr="00E26EF6">
              <w:rPr>
                <w:rFonts w:ascii="Times New Roman" w:hAnsi="Times New Roman"/>
                <w:sz w:val="24"/>
              </w:rPr>
              <w:t> </w:t>
            </w:r>
            <w:r w:rsidRPr="00E26EF6">
              <w:rPr>
                <w:rFonts w:ascii="Times New Roman" w:hAnsi="Times New Roman"/>
                <w:sz w:val="24"/>
              </w:rPr>
              <w:t>199 ust.</w:t>
            </w:r>
            <w:r w:rsidR="00023409" w:rsidRPr="00E26EF6">
              <w:rPr>
                <w:rFonts w:ascii="Times New Roman" w:hAnsi="Times New Roman"/>
                <w:sz w:val="24"/>
              </w:rPr>
              <w:t> </w:t>
            </w:r>
            <w:r w:rsidRPr="00E26EF6">
              <w:rPr>
                <w:rFonts w:ascii="Times New Roman" w:hAnsi="Times New Roman"/>
                <w:sz w:val="24"/>
              </w:rPr>
              <w:t>7 CRR). Zob. także art.</w:t>
            </w:r>
            <w:r w:rsidR="00023409" w:rsidRPr="00E26EF6">
              <w:rPr>
                <w:rFonts w:ascii="Times New Roman" w:hAnsi="Times New Roman"/>
                <w:sz w:val="24"/>
              </w:rPr>
              <w:t> </w:t>
            </w:r>
            <w:r w:rsidRPr="00E26EF6">
              <w:rPr>
                <w:rFonts w:ascii="Times New Roman" w:hAnsi="Times New Roman"/>
                <w:sz w:val="24"/>
              </w:rPr>
              <w:t>229 CRR.</w:t>
            </w:r>
          </w:p>
          <w:p w14:paraId="64EA227D" w14:textId="61CD192C" w:rsidR="00915077" w:rsidRPr="00E26EF6" w:rsidRDefault="001C7AB7">
            <w:pPr>
              <w:spacing w:line="240" w:lineRule="exact"/>
              <w:rPr>
                <w:rFonts w:ascii="Times New Roman" w:hAnsi="Times New Roman"/>
                <w:sz w:val="24"/>
                <w:highlight w:val="lightGray"/>
              </w:rPr>
            </w:pPr>
            <w:r w:rsidRPr="00E26EF6">
              <w:rPr>
                <w:rFonts w:ascii="Times New Roman" w:hAnsi="Times New Roman"/>
                <w:sz w:val="24"/>
              </w:rPr>
              <w:t>W przypadku stosowania własnych oszacowań LGD kwotą, którą należy zgłosić, jest szacunkowa wartość rynkowa.</w:t>
            </w:r>
          </w:p>
        </w:tc>
      </w:tr>
      <w:tr w:rsidR="00915077" w:rsidRPr="00E26EF6" w14:paraId="52B2ECF9" w14:textId="77777777" w:rsidTr="00672D2A">
        <w:tc>
          <w:tcPr>
            <w:tcW w:w="1188" w:type="dxa"/>
          </w:tcPr>
          <w:p w14:paraId="1C90656C" w14:textId="77777777" w:rsidR="00915077" w:rsidRPr="00E26EF6" w:rsidRDefault="001C7AB7">
            <w:pPr>
              <w:rPr>
                <w:rFonts w:ascii="Times New Roman" w:hAnsi="Times New Roman"/>
                <w:sz w:val="24"/>
                <w:highlight w:val="lightGray"/>
              </w:rPr>
            </w:pPr>
            <w:r w:rsidRPr="00E26EF6">
              <w:rPr>
                <w:rFonts w:ascii="Times New Roman" w:hAnsi="Times New Roman"/>
                <w:sz w:val="24"/>
              </w:rPr>
              <w:lastRenderedPageBreak/>
              <w:t>200</w:t>
            </w:r>
          </w:p>
        </w:tc>
        <w:tc>
          <w:tcPr>
            <w:tcW w:w="8843" w:type="dxa"/>
          </w:tcPr>
          <w:p w14:paraId="6A8F9F19"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INNE ZABEZPIECZENIE RZECZOWE</w:t>
            </w:r>
          </w:p>
          <w:p w14:paraId="22D76B22" w14:textId="394BC29A" w:rsidR="00915077" w:rsidRPr="00E26EF6" w:rsidRDefault="00C61FF5">
            <w:pPr>
              <w:rPr>
                <w:rFonts w:ascii="Times New Roman" w:hAnsi="Times New Roman"/>
                <w:sz w:val="24"/>
              </w:rPr>
            </w:pPr>
            <w:r w:rsidRPr="00E26EF6">
              <w:rPr>
                <w:rFonts w:ascii="Times New Roman" w:hAnsi="Times New Roman"/>
                <w:sz w:val="24"/>
              </w:rPr>
              <w:t>W przypadku niestosowania własnych oszacowań LGD wartości określa się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199 ust.</w:t>
            </w:r>
            <w:r w:rsidR="00023409" w:rsidRPr="00E26EF6">
              <w:rPr>
                <w:rFonts w:ascii="Times New Roman" w:hAnsi="Times New Roman"/>
                <w:sz w:val="24"/>
              </w:rPr>
              <w:t> </w:t>
            </w:r>
            <w:r w:rsidRPr="00E26EF6">
              <w:rPr>
                <w:rFonts w:ascii="Times New Roman" w:hAnsi="Times New Roman"/>
                <w:sz w:val="24"/>
              </w:rPr>
              <w:t>6</w:t>
            </w:r>
            <w:r w:rsidR="00E26EF6" w:rsidRPr="00E26EF6">
              <w:rPr>
                <w:rFonts w:ascii="Times New Roman" w:hAnsi="Times New Roman"/>
                <w:sz w:val="24"/>
              </w:rPr>
              <w:t xml:space="preserve"> i 8</w:t>
            </w:r>
            <w:r w:rsidRPr="00E26EF6">
              <w:rPr>
                <w:rFonts w:ascii="Times New Roman" w:hAnsi="Times New Roman"/>
                <w:sz w:val="24"/>
              </w:rPr>
              <w:t xml:space="preserve"> CRR</w:t>
            </w:r>
            <w:r w:rsidR="00E26EF6" w:rsidRPr="00E26EF6">
              <w:rPr>
                <w:rFonts w:ascii="Times New Roman" w:hAnsi="Times New Roman"/>
                <w:sz w:val="24"/>
              </w:rPr>
              <w:t xml:space="preserve"> i zgł</w:t>
            </w:r>
            <w:r w:rsidRPr="00E26EF6">
              <w:rPr>
                <w:rFonts w:ascii="Times New Roman" w:hAnsi="Times New Roman"/>
                <w:sz w:val="24"/>
              </w:rPr>
              <w:t>asza</w:t>
            </w:r>
            <w:r w:rsidR="00E26EF6" w:rsidRPr="00E26EF6">
              <w:rPr>
                <w:rFonts w:ascii="Times New Roman" w:hAnsi="Times New Roman"/>
                <w:sz w:val="24"/>
              </w:rPr>
              <w:t xml:space="preserve"> w tej</w:t>
            </w:r>
            <w:r w:rsidRPr="00E26EF6">
              <w:rPr>
                <w:rFonts w:ascii="Times New Roman" w:hAnsi="Times New Roman"/>
                <w:sz w:val="24"/>
              </w:rPr>
              <w:t xml:space="preserve"> kolumnie. Uwzględnia się również leasing własności innej niż nieruchomości (zob. art.</w:t>
            </w:r>
            <w:r w:rsidR="00023409" w:rsidRPr="00E26EF6">
              <w:rPr>
                <w:rFonts w:ascii="Times New Roman" w:hAnsi="Times New Roman"/>
                <w:sz w:val="24"/>
              </w:rPr>
              <w:t> </w:t>
            </w:r>
            <w:r w:rsidRPr="00E26EF6">
              <w:rPr>
                <w:rFonts w:ascii="Times New Roman" w:hAnsi="Times New Roman"/>
                <w:sz w:val="24"/>
              </w:rPr>
              <w:t>199 ust.</w:t>
            </w:r>
            <w:r w:rsidR="00023409" w:rsidRPr="00E26EF6">
              <w:rPr>
                <w:rFonts w:ascii="Times New Roman" w:hAnsi="Times New Roman"/>
                <w:sz w:val="24"/>
              </w:rPr>
              <w:t> </w:t>
            </w:r>
            <w:r w:rsidRPr="00E26EF6">
              <w:rPr>
                <w:rFonts w:ascii="Times New Roman" w:hAnsi="Times New Roman"/>
                <w:sz w:val="24"/>
              </w:rPr>
              <w:t>7 CRR). Zob. także art.</w:t>
            </w:r>
            <w:r w:rsidR="00023409" w:rsidRPr="00E26EF6">
              <w:rPr>
                <w:rFonts w:ascii="Times New Roman" w:hAnsi="Times New Roman"/>
                <w:sz w:val="24"/>
              </w:rPr>
              <w:t> </w:t>
            </w:r>
            <w:r w:rsidRPr="00E26EF6">
              <w:rPr>
                <w:rFonts w:ascii="Times New Roman" w:hAnsi="Times New Roman"/>
                <w:sz w:val="24"/>
              </w:rPr>
              <w:t>229 ust.</w:t>
            </w:r>
            <w:r w:rsidR="00023409" w:rsidRPr="00E26EF6">
              <w:rPr>
                <w:rFonts w:ascii="Times New Roman" w:hAnsi="Times New Roman"/>
                <w:sz w:val="24"/>
              </w:rPr>
              <w:t> </w:t>
            </w:r>
            <w:r w:rsidRPr="00E26EF6">
              <w:rPr>
                <w:rFonts w:ascii="Times New Roman" w:hAnsi="Times New Roman"/>
                <w:sz w:val="24"/>
              </w:rPr>
              <w:t xml:space="preserve">3 CRR. </w:t>
            </w:r>
          </w:p>
          <w:p w14:paraId="3D35C427" w14:textId="77777777" w:rsidR="00915077" w:rsidRPr="00E26EF6" w:rsidRDefault="00C61FF5">
            <w:pPr>
              <w:rPr>
                <w:rFonts w:ascii="Times New Roman" w:hAnsi="Times New Roman"/>
                <w:b/>
                <w:sz w:val="24"/>
                <w:highlight w:val="lightGray"/>
                <w:u w:val="single"/>
              </w:rPr>
            </w:pPr>
            <w:r w:rsidRPr="00E26EF6">
              <w:rPr>
                <w:rFonts w:ascii="Times New Roman" w:hAnsi="Times New Roman"/>
                <w:sz w:val="24"/>
              </w:rPr>
              <w:t>W przypadku stosowania własnych oszacowań LGD kwotą, którą należy zgłosić, jest szacunkowa wartość rynkowa zabezpieczenia.</w:t>
            </w:r>
          </w:p>
        </w:tc>
      </w:tr>
      <w:tr w:rsidR="00915077" w:rsidRPr="00E26EF6" w14:paraId="7266AB27" w14:textId="77777777" w:rsidTr="00672D2A">
        <w:tc>
          <w:tcPr>
            <w:tcW w:w="1188" w:type="dxa"/>
          </w:tcPr>
          <w:p w14:paraId="353A005F" w14:textId="77777777" w:rsidR="00915077" w:rsidRPr="00E26EF6" w:rsidRDefault="001C7AB7">
            <w:pPr>
              <w:rPr>
                <w:rFonts w:ascii="Times New Roman" w:hAnsi="Times New Roman"/>
                <w:sz w:val="24"/>
                <w:highlight w:val="lightGray"/>
              </w:rPr>
            </w:pPr>
            <w:r w:rsidRPr="00E26EF6">
              <w:rPr>
                <w:rFonts w:ascii="Times New Roman" w:hAnsi="Times New Roman"/>
                <w:sz w:val="24"/>
              </w:rPr>
              <w:t>210</w:t>
            </w:r>
          </w:p>
        </w:tc>
        <w:tc>
          <w:tcPr>
            <w:tcW w:w="8843" w:type="dxa"/>
          </w:tcPr>
          <w:p w14:paraId="0D2D1647"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WIERZYTELNOŚCI</w:t>
            </w:r>
          </w:p>
          <w:p w14:paraId="15BC6C80" w14:textId="4E44D708" w:rsidR="00915077" w:rsidRPr="00E26EF6" w:rsidRDefault="001C7AB7">
            <w:pPr>
              <w:rPr>
                <w:rFonts w:ascii="Times New Roman" w:hAnsi="Times New Roman"/>
                <w:sz w:val="24"/>
              </w:rPr>
            </w:pPr>
            <w:r w:rsidRPr="00E26EF6">
              <w:rPr>
                <w:rFonts w:ascii="Times New Roman" w:hAnsi="Times New Roman"/>
                <w:sz w:val="24"/>
              </w:rPr>
              <w:t>W przypadku niestosowania własnych oszacowań LGD wartości określa się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199 ust.</w:t>
            </w:r>
            <w:r w:rsidR="00023409" w:rsidRPr="00E26EF6">
              <w:rPr>
                <w:rFonts w:ascii="Times New Roman" w:hAnsi="Times New Roman"/>
                <w:sz w:val="24"/>
              </w:rPr>
              <w:t> </w:t>
            </w:r>
            <w:r w:rsidRPr="00E26EF6">
              <w:rPr>
                <w:rFonts w:ascii="Times New Roman" w:hAnsi="Times New Roman"/>
                <w:sz w:val="24"/>
              </w:rPr>
              <w:t>5 CRR oraz art.</w:t>
            </w:r>
            <w:r w:rsidR="00023409" w:rsidRPr="00E26EF6">
              <w:rPr>
                <w:rFonts w:ascii="Times New Roman" w:hAnsi="Times New Roman"/>
                <w:sz w:val="24"/>
              </w:rPr>
              <w:t> </w:t>
            </w:r>
            <w:r w:rsidRPr="00E26EF6">
              <w:rPr>
                <w:rFonts w:ascii="Times New Roman" w:hAnsi="Times New Roman"/>
                <w:sz w:val="24"/>
              </w:rPr>
              <w:t>229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zgł</w:t>
            </w:r>
            <w:r w:rsidRPr="00E26EF6">
              <w:rPr>
                <w:rFonts w:ascii="Times New Roman" w:hAnsi="Times New Roman"/>
                <w:sz w:val="24"/>
              </w:rPr>
              <w:t>asza</w:t>
            </w:r>
            <w:r w:rsidR="00E26EF6" w:rsidRPr="00E26EF6">
              <w:rPr>
                <w:rFonts w:ascii="Times New Roman" w:hAnsi="Times New Roman"/>
                <w:sz w:val="24"/>
              </w:rPr>
              <w:t xml:space="preserve"> w tej</w:t>
            </w:r>
            <w:r w:rsidRPr="00E26EF6">
              <w:rPr>
                <w:rFonts w:ascii="Times New Roman" w:hAnsi="Times New Roman"/>
                <w:sz w:val="24"/>
              </w:rPr>
              <w:t xml:space="preserve"> kolumnie.</w:t>
            </w:r>
          </w:p>
          <w:p w14:paraId="789B21A5" w14:textId="4E85E5B3" w:rsidR="00915077" w:rsidRPr="00E26EF6" w:rsidRDefault="001C7AB7">
            <w:pPr>
              <w:rPr>
                <w:rFonts w:ascii="Times New Roman" w:hAnsi="Times New Roman"/>
                <w:b/>
                <w:sz w:val="24"/>
                <w:highlight w:val="lightGray"/>
                <w:u w:val="single"/>
              </w:rPr>
            </w:pPr>
            <w:r w:rsidRPr="00E26EF6">
              <w:rPr>
                <w:rFonts w:ascii="Times New Roman" w:hAnsi="Times New Roman"/>
                <w:sz w:val="24"/>
              </w:rPr>
              <w:t>W przypadku stosowania własnych oszacowań LGD kwotą, którą należy zgłosić, jest szacunkowa wartość rynkowa zabezpieczenia.</w:t>
            </w:r>
          </w:p>
        </w:tc>
      </w:tr>
      <w:tr w:rsidR="00915077" w:rsidRPr="00E26EF6" w14:paraId="160BD61D" w14:textId="77777777" w:rsidTr="00672D2A">
        <w:tc>
          <w:tcPr>
            <w:tcW w:w="1188" w:type="dxa"/>
          </w:tcPr>
          <w:p w14:paraId="67C0ECE1" w14:textId="77777777" w:rsidR="00915077" w:rsidRPr="00E26EF6" w:rsidRDefault="001C7AB7">
            <w:pPr>
              <w:rPr>
                <w:rFonts w:ascii="Times New Roman" w:hAnsi="Times New Roman"/>
                <w:sz w:val="24"/>
                <w:highlight w:val="lightGray"/>
              </w:rPr>
            </w:pPr>
            <w:r w:rsidRPr="00E26EF6">
              <w:rPr>
                <w:rFonts w:ascii="Times New Roman" w:hAnsi="Times New Roman"/>
                <w:sz w:val="24"/>
              </w:rPr>
              <w:t>220</w:t>
            </w:r>
          </w:p>
        </w:tc>
        <w:tc>
          <w:tcPr>
            <w:tcW w:w="8843" w:type="dxa"/>
          </w:tcPr>
          <w:p w14:paraId="6F4C5B5D"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Z UWZGLĘDNIENIEM UJĘCIA PODWÓJNEGO NIEWYKONANIA ZOBOWIĄZANIA: OCHRONA KREDYTOWA NIERZECZYWISTA</w:t>
            </w:r>
          </w:p>
          <w:p w14:paraId="5F59E0A4" w14:textId="66556DEA" w:rsidR="00915077" w:rsidRPr="00E26EF6" w:rsidRDefault="001C7AB7">
            <w:pPr>
              <w:rPr>
                <w:rFonts w:ascii="Times New Roman" w:hAnsi="Times New Roman"/>
                <w:b/>
                <w:sz w:val="24"/>
                <w:highlight w:val="lightGray"/>
                <w:u w:val="single"/>
              </w:rPr>
            </w:pPr>
            <w:r w:rsidRPr="00E26EF6">
              <w:rPr>
                <w:rFonts w:ascii="Times New Roman" w:hAnsi="Times New Roman"/>
                <w:sz w:val="24"/>
              </w:rPr>
              <w:t>Gwarancje</w:t>
            </w:r>
            <w:r w:rsidR="00E26EF6" w:rsidRPr="00E26EF6">
              <w:rPr>
                <w:rFonts w:ascii="Times New Roman" w:hAnsi="Times New Roman"/>
                <w:sz w:val="24"/>
              </w:rPr>
              <w:t xml:space="preserve"> i kre</w:t>
            </w:r>
            <w:r w:rsidRPr="00E26EF6">
              <w:rPr>
                <w:rFonts w:ascii="Times New Roman" w:hAnsi="Times New Roman"/>
                <w:sz w:val="24"/>
              </w:rPr>
              <w:t>dytowe instrumenty pochodne zabezpieczające ekspozycje</w:t>
            </w:r>
            <w:r w:rsidR="00E26EF6" w:rsidRPr="00E26EF6">
              <w:rPr>
                <w:rFonts w:ascii="Times New Roman" w:hAnsi="Times New Roman"/>
                <w:sz w:val="24"/>
              </w:rPr>
              <w:t xml:space="preserve"> z uwz</w:t>
            </w:r>
            <w:r w:rsidRPr="00E26EF6">
              <w:rPr>
                <w:rFonts w:ascii="Times New Roman" w:hAnsi="Times New Roman"/>
                <w:sz w:val="24"/>
              </w:rPr>
              <w:t>ględnieniem ujęcia podwójnego niewykonania zobowiązania</w:t>
            </w:r>
            <w:r w:rsidR="00E26EF6" w:rsidRPr="00E26EF6">
              <w:rPr>
                <w:rFonts w:ascii="Times New Roman" w:hAnsi="Times New Roman"/>
                <w:sz w:val="24"/>
              </w:rPr>
              <w:t xml:space="preserve"> i uwz</w:t>
            </w:r>
            <w:r w:rsidRPr="00E26EF6">
              <w:rPr>
                <w:rFonts w:ascii="Times New Roman" w:hAnsi="Times New Roman"/>
                <w:sz w:val="24"/>
              </w:rPr>
              <w:t>ględniające art.</w:t>
            </w:r>
            <w:r w:rsidR="00023409" w:rsidRPr="00E26EF6">
              <w:rPr>
                <w:rFonts w:ascii="Times New Roman" w:hAnsi="Times New Roman"/>
                <w:sz w:val="24"/>
              </w:rPr>
              <w:t> </w:t>
            </w:r>
            <w:r w:rsidRPr="00E26EF6">
              <w:rPr>
                <w:rFonts w:ascii="Times New Roman" w:hAnsi="Times New Roman"/>
                <w:sz w:val="24"/>
              </w:rPr>
              <w:t>202</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217 ust.</w:t>
            </w:r>
            <w:r w:rsidR="00023409" w:rsidRPr="00E26EF6">
              <w:rPr>
                <w:rFonts w:ascii="Times New Roman" w:hAnsi="Times New Roman"/>
                <w:sz w:val="24"/>
              </w:rPr>
              <w:t> </w:t>
            </w:r>
            <w:r w:rsidRPr="00E26EF6">
              <w:rPr>
                <w:rFonts w:ascii="Times New Roman" w:hAnsi="Times New Roman"/>
                <w:sz w:val="24"/>
              </w:rPr>
              <w:t>1 CRR. Zob. także kolumny 040 „Gwarancje”</w:t>
            </w:r>
            <w:r w:rsidR="00E26EF6" w:rsidRPr="00E26EF6">
              <w:rPr>
                <w:rFonts w:ascii="Times New Roman" w:hAnsi="Times New Roman"/>
                <w:sz w:val="24"/>
              </w:rPr>
              <w:t xml:space="preserve"> i 0</w:t>
            </w:r>
            <w:r w:rsidRPr="00E26EF6">
              <w:rPr>
                <w:rFonts w:ascii="Times New Roman" w:hAnsi="Times New Roman"/>
                <w:sz w:val="24"/>
              </w:rPr>
              <w:t xml:space="preserve">50 „Kredytowe instrumenty pochodne”. </w:t>
            </w:r>
          </w:p>
        </w:tc>
      </w:tr>
      <w:tr w:rsidR="00915077" w:rsidRPr="00E26EF6" w14:paraId="764740C6" w14:textId="77777777" w:rsidTr="00672D2A">
        <w:tc>
          <w:tcPr>
            <w:tcW w:w="1188" w:type="dxa"/>
          </w:tcPr>
          <w:p w14:paraId="5F21C48A" w14:textId="77777777" w:rsidR="00915077" w:rsidRPr="00E26EF6" w:rsidRDefault="001C7AB7">
            <w:pPr>
              <w:rPr>
                <w:rFonts w:ascii="Times New Roman" w:hAnsi="Times New Roman"/>
                <w:sz w:val="24"/>
                <w:highlight w:val="lightGray"/>
              </w:rPr>
            </w:pPr>
            <w:r w:rsidRPr="00E26EF6">
              <w:rPr>
                <w:rFonts w:ascii="Times New Roman" w:hAnsi="Times New Roman"/>
                <w:sz w:val="24"/>
              </w:rPr>
              <w:t>230</w:t>
            </w:r>
          </w:p>
        </w:tc>
        <w:tc>
          <w:tcPr>
            <w:tcW w:w="8843" w:type="dxa"/>
          </w:tcPr>
          <w:p w14:paraId="2D7DD034"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ŚREDNIA WARTOŚĆ LGD WAŻONA EKSPOZYCJĄ (%)</w:t>
            </w:r>
          </w:p>
          <w:p w14:paraId="4EA92E36" w14:textId="778C7AF3" w:rsidR="00915077" w:rsidRPr="00E26EF6" w:rsidRDefault="001C7AB7">
            <w:pPr>
              <w:rPr>
                <w:rFonts w:ascii="Times New Roman" w:hAnsi="Times New Roman"/>
                <w:sz w:val="24"/>
              </w:rPr>
            </w:pPr>
            <w:r w:rsidRPr="00E26EF6">
              <w:rPr>
                <w:rFonts w:ascii="Times New Roman" w:hAnsi="Times New Roman"/>
                <w:sz w:val="24"/>
              </w:rPr>
              <w:t>Uwzględnia się wszystkie efekty technik ograniczania ryzyka kredytowego dla LGD określonych</w:t>
            </w:r>
            <w:r w:rsidR="00E26EF6" w:rsidRPr="00E26EF6">
              <w:rPr>
                <w:rFonts w:ascii="Times New Roman" w:hAnsi="Times New Roman"/>
                <w:sz w:val="24"/>
              </w:rPr>
              <w:t xml:space="preserve"> w czę</w:t>
            </w:r>
            <w:r w:rsidRPr="00E26EF6">
              <w:rPr>
                <w:rFonts w:ascii="Times New Roman" w:hAnsi="Times New Roman"/>
                <w:sz w:val="24"/>
              </w:rPr>
              <w:t>ści trzeciej tytuł II rozdziały 3</w:t>
            </w:r>
            <w:r w:rsidR="00E26EF6" w:rsidRPr="00E26EF6">
              <w:rPr>
                <w:rFonts w:ascii="Times New Roman" w:hAnsi="Times New Roman"/>
                <w:sz w:val="24"/>
              </w:rPr>
              <w:t xml:space="preserve"> i 4</w:t>
            </w:r>
            <w:r w:rsidRPr="00E26EF6">
              <w:rPr>
                <w:rFonts w:ascii="Times New Roman" w:hAnsi="Times New Roman"/>
                <w:sz w:val="24"/>
              </w:rPr>
              <w:t xml:space="preserve"> CRR</w:t>
            </w:r>
            <w:r w:rsidR="00E26EF6" w:rsidRPr="00E26EF6">
              <w:rPr>
                <w:rFonts w:ascii="Times New Roman" w:hAnsi="Times New Roman"/>
                <w:sz w:val="24"/>
              </w:rPr>
              <w:t>. W prz</w:t>
            </w:r>
            <w:r w:rsidRPr="00E26EF6">
              <w:rPr>
                <w:rFonts w:ascii="Times New Roman" w:hAnsi="Times New Roman"/>
                <w:sz w:val="24"/>
              </w:rPr>
              <w:t>ypadku ekspozycji</w:t>
            </w:r>
            <w:r w:rsidR="00E26EF6" w:rsidRPr="00E26EF6">
              <w:rPr>
                <w:rFonts w:ascii="Times New Roman" w:hAnsi="Times New Roman"/>
                <w:sz w:val="24"/>
              </w:rPr>
              <w:t xml:space="preserve"> z uwz</w:t>
            </w:r>
            <w:r w:rsidRPr="00E26EF6">
              <w:rPr>
                <w:rFonts w:ascii="Times New Roman" w:hAnsi="Times New Roman"/>
                <w:sz w:val="24"/>
              </w:rPr>
              <w:t>ględnieniem ujęcia podwójnego niewykonania zobowiązania LGD, które należy zgłosić, odpowiada temu wybranemu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161 ust.</w:t>
            </w:r>
            <w:r w:rsidR="00023409" w:rsidRPr="00E26EF6">
              <w:rPr>
                <w:rFonts w:ascii="Times New Roman" w:hAnsi="Times New Roman"/>
                <w:sz w:val="24"/>
              </w:rPr>
              <w:t> </w:t>
            </w:r>
            <w:r w:rsidRPr="00E26EF6">
              <w:rPr>
                <w:rFonts w:ascii="Times New Roman" w:hAnsi="Times New Roman"/>
                <w:sz w:val="24"/>
              </w:rPr>
              <w:t>4 CRR.</w:t>
            </w:r>
          </w:p>
          <w:p w14:paraId="4B5EA6DB" w14:textId="0D02382C" w:rsidR="00915077" w:rsidRPr="00E26EF6" w:rsidRDefault="001C7AB7">
            <w:pPr>
              <w:rPr>
                <w:rFonts w:ascii="Times New Roman" w:hAnsi="Times New Roman"/>
                <w:sz w:val="24"/>
              </w:rPr>
            </w:pPr>
            <w:r w:rsidRPr="00E26EF6">
              <w:rPr>
                <w:rFonts w:ascii="Times New Roman" w:hAnsi="Times New Roman"/>
                <w:sz w:val="24"/>
              </w:rPr>
              <w:t>W odniesieniu do ekspozycji, których dotyczy niewykonanie zobowiązania, uwzględnia się przepisy określone</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181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h) CRR.</w:t>
            </w:r>
          </w:p>
          <w:p w14:paraId="09340637" w14:textId="5E8D1CCC" w:rsidR="00915077" w:rsidRPr="00E26EF6" w:rsidRDefault="001C7AB7">
            <w:pPr>
              <w:rPr>
                <w:rFonts w:ascii="Times New Roman" w:hAnsi="Times New Roman"/>
                <w:sz w:val="24"/>
              </w:rPr>
            </w:pPr>
            <w:r w:rsidRPr="00E26EF6">
              <w:rPr>
                <w:rFonts w:ascii="Times New Roman" w:hAnsi="Times New Roman"/>
                <w:sz w:val="24"/>
              </w:rPr>
              <w:t>Wartość ekspozycji,</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kol</w:t>
            </w:r>
            <w:r w:rsidRPr="00E26EF6">
              <w:rPr>
                <w:rFonts w:ascii="Times New Roman" w:hAnsi="Times New Roman"/>
                <w:sz w:val="24"/>
              </w:rPr>
              <w:t>umnie 110, wykorzystuje się do obliczenia średnich wartości ważonych ekspozycją.</w:t>
            </w:r>
          </w:p>
          <w:p w14:paraId="2BDF199D" w14:textId="25289FC8" w:rsidR="00915077" w:rsidRPr="00E26EF6" w:rsidRDefault="001C7AB7">
            <w:pPr>
              <w:rPr>
                <w:rFonts w:ascii="Times New Roman" w:hAnsi="Times New Roman"/>
                <w:sz w:val="24"/>
              </w:rPr>
            </w:pPr>
            <w:r w:rsidRPr="00E26EF6">
              <w:rPr>
                <w:rFonts w:ascii="Times New Roman" w:hAnsi="Times New Roman"/>
                <w:sz w:val="24"/>
              </w:rPr>
              <w:t>Uwzględnia się wszystkie efekty (tak więc</w:t>
            </w:r>
            <w:r w:rsidR="00E26EF6" w:rsidRPr="00E26EF6">
              <w:rPr>
                <w:rFonts w:ascii="Times New Roman" w:hAnsi="Times New Roman"/>
                <w:sz w:val="24"/>
              </w:rPr>
              <w:t xml:space="preserve"> w spr</w:t>
            </w:r>
            <w:r w:rsidRPr="00E26EF6">
              <w:rPr>
                <w:rFonts w:ascii="Times New Roman" w:hAnsi="Times New Roman"/>
                <w:sz w:val="24"/>
              </w:rPr>
              <w:t>awozdawczości ujmuje się dolną granicę mającą zastosowanie do kredytów hipotecznych).</w:t>
            </w:r>
          </w:p>
          <w:p w14:paraId="28E66744" w14:textId="4C983C3B" w:rsidR="00915077" w:rsidRPr="00E26EF6" w:rsidRDefault="001C7AB7">
            <w:pPr>
              <w:rPr>
                <w:rFonts w:ascii="Times New Roman" w:hAnsi="Times New Roman"/>
                <w:sz w:val="24"/>
              </w:rPr>
            </w:pPr>
            <w:r w:rsidRPr="00E26EF6">
              <w:rPr>
                <w:rFonts w:ascii="Times New Roman" w:hAnsi="Times New Roman"/>
                <w:sz w:val="24"/>
              </w:rPr>
              <w:t>W przypadku instytucji stosujących metodę IRB, ale niestosujących własnych oszacowań LGD, efekty technik ograniczania ryzyka wynikające</w:t>
            </w:r>
            <w:r w:rsidR="00E26EF6" w:rsidRPr="00E26EF6">
              <w:rPr>
                <w:rFonts w:ascii="Times New Roman" w:hAnsi="Times New Roman"/>
                <w:sz w:val="24"/>
              </w:rPr>
              <w:t xml:space="preserve"> z zab</w:t>
            </w:r>
            <w:r w:rsidRPr="00E26EF6">
              <w:rPr>
                <w:rFonts w:ascii="Times New Roman" w:hAnsi="Times New Roman"/>
                <w:sz w:val="24"/>
              </w:rPr>
              <w:t>ezpieczenia finansowego są odzwierciedlone w E* –</w:t>
            </w:r>
            <w:r w:rsidR="00E26EF6" w:rsidRPr="00E26EF6">
              <w:rPr>
                <w:rFonts w:ascii="Times New Roman" w:hAnsi="Times New Roman"/>
                <w:sz w:val="24"/>
              </w:rPr>
              <w:t xml:space="preserve"> w peł</w:t>
            </w:r>
            <w:r w:rsidRPr="00E26EF6">
              <w:rPr>
                <w:rFonts w:ascii="Times New Roman" w:hAnsi="Times New Roman"/>
                <w:sz w:val="24"/>
              </w:rPr>
              <w:t>ni skorygowanej wartości ekspozycji –</w:t>
            </w:r>
            <w:r w:rsidR="00E26EF6" w:rsidRPr="00E26EF6">
              <w:rPr>
                <w:rFonts w:ascii="Times New Roman" w:hAnsi="Times New Roman"/>
                <w:sz w:val="24"/>
              </w:rPr>
              <w:t xml:space="preserve"> a nas</w:t>
            </w:r>
            <w:r w:rsidRPr="00E26EF6">
              <w:rPr>
                <w:rFonts w:ascii="Times New Roman" w:hAnsi="Times New Roman"/>
                <w:sz w:val="24"/>
              </w:rPr>
              <w:t>tępnie odzwierciedlane w LGD*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228 ust.</w:t>
            </w:r>
            <w:r w:rsidR="00023409" w:rsidRPr="00E26EF6">
              <w:rPr>
                <w:rFonts w:ascii="Times New Roman" w:hAnsi="Times New Roman"/>
                <w:sz w:val="24"/>
              </w:rPr>
              <w:t> </w:t>
            </w:r>
            <w:r w:rsidRPr="00E26EF6">
              <w:rPr>
                <w:rFonts w:ascii="Times New Roman" w:hAnsi="Times New Roman"/>
                <w:sz w:val="24"/>
              </w:rPr>
              <w:t>2 CRR.</w:t>
            </w:r>
          </w:p>
          <w:p w14:paraId="2A145D44" w14:textId="714A6856" w:rsidR="00915077" w:rsidRPr="00E26EF6" w:rsidRDefault="001C7AB7">
            <w:pPr>
              <w:rPr>
                <w:rFonts w:ascii="Times New Roman" w:hAnsi="Times New Roman"/>
                <w:sz w:val="24"/>
              </w:rPr>
            </w:pPr>
            <w:r w:rsidRPr="00E26EF6">
              <w:rPr>
                <w:rFonts w:ascii="Times New Roman" w:hAnsi="Times New Roman"/>
                <w:sz w:val="24"/>
              </w:rPr>
              <w:t>Średnia wartość LGD ważona ekspozycją związana</w:t>
            </w:r>
            <w:r w:rsidR="00E26EF6" w:rsidRPr="00E26EF6">
              <w:rPr>
                <w:rFonts w:ascii="Times New Roman" w:hAnsi="Times New Roman"/>
                <w:sz w:val="24"/>
              </w:rPr>
              <w:t xml:space="preserve"> z każ</w:t>
            </w:r>
            <w:r w:rsidRPr="00E26EF6">
              <w:rPr>
                <w:rFonts w:ascii="Times New Roman" w:hAnsi="Times New Roman"/>
                <w:sz w:val="24"/>
              </w:rPr>
              <w:t>dą „klasą jakości lub pulą dłużnika” PD wynika ze średniej ostrożnościowych wartości LGD przypisanych do ekspozycji tej klasy jakości/puli PD, ważonych stosownymi wartościami ekspozycji</w:t>
            </w:r>
            <w:r w:rsidR="00E26EF6" w:rsidRPr="00E26EF6">
              <w:rPr>
                <w:rFonts w:ascii="Times New Roman" w:hAnsi="Times New Roman"/>
                <w:sz w:val="24"/>
              </w:rPr>
              <w:t xml:space="preserve"> z kol</w:t>
            </w:r>
            <w:r w:rsidRPr="00E26EF6">
              <w:rPr>
                <w:rFonts w:ascii="Times New Roman" w:hAnsi="Times New Roman"/>
                <w:sz w:val="24"/>
              </w:rPr>
              <w:t>umny 110.</w:t>
            </w:r>
          </w:p>
          <w:p w14:paraId="6A4AD111" w14:textId="272AC64F" w:rsidR="00915077" w:rsidRPr="00E26EF6" w:rsidRDefault="00BD6DB9">
            <w:pPr>
              <w:rPr>
                <w:rFonts w:ascii="Times New Roman" w:hAnsi="Times New Roman"/>
                <w:sz w:val="24"/>
              </w:rPr>
            </w:pPr>
            <w:r w:rsidRPr="00E26EF6">
              <w:rPr>
                <w:rFonts w:ascii="Times New Roman" w:hAnsi="Times New Roman"/>
                <w:sz w:val="24"/>
              </w:rPr>
              <w:t>W przypadku stosowania własnych oszacowań LGD uwzględnia się art.</w:t>
            </w:r>
            <w:r w:rsidR="00023409" w:rsidRPr="00E26EF6">
              <w:rPr>
                <w:rFonts w:ascii="Times New Roman" w:hAnsi="Times New Roman"/>
                <w:sz w:val="24"/>
              </w:rPr>
              <w:t> </w:t>
            </w:r>
            <w:r w:rsidRPr="00E26EF6">
              <w:rPr>
                <w:rFonts w:ascii="Times New Roman" w:hAnsi="Times New Roman"/>
                <w:sz w:val="24"/>
              </w:rPr>
              <w:t>175 oraz art.</w:t>
            </w:r>
            <w:r w:rsidR="00023409" w:rsidRPr="00E26EF6">
              <w:rPr>
                <w:rFonts w:ascii="Times New Roman" w:hAnsi="Times New Roman"/>
                <w:sz w:val="24"/>
              </w:rPr>
              <w:t> </w:t>
            </w:r>
            <w:r w:rsidRPr="00E26EF6">
              <w:rPr>
                <w:rFonts w:ascii="Times New Roman" w:hAnsi="Times New Roman"/>
                <w:sz w:val="24"/>
              </w:rPr>
              <w:t>181 ust.</w:t>
            </w:r>
            <w:r w:rsidR="00023409" w:rsidRPr="00E26EF6">
              <w:rPr>
                <w:rFonts w:ascii="Times New Roman" w:hAnsi="Times New Roman"/>
                <w:sz w:val="24"/>
              </w:rPr>
              <w:t> </w:t>
            </w:r>
            <w:r w:rsidRPr="00E26EF6">
              <w:rPr>
                <w:rFonts w:ascii="Times New Roman" w:hAnsi="Times New Roman"/>
                <w:sz w:val="24"/>
              </w:rPr>
              <w:t>1</w:t>
            </w:r>
            <w:r w:rsidR="00E26EF6" w:rsidRPr="00E26EF6">
              <w:rPr>
                <w:rFonts w:ascii="Times New Roman" w:hAnsi="Times New Roman"/>
                <w:sz w:val="24"/>
              </w:rPr>
              <w:t xml:space="preserve"> i 2</w:t>
            </w:r>
            <w:r w:rsidRPr="00E26EF6">
              <w:rPr>
                <w:rFonts w:ascii="Times New Roman" w:hAnsi="Times New Roman"/>
                <w:sz w:val="24"/>
              </w:rPr>
              <w:t xml:space="preserve"> CRR.</w:t>
            </w:r>
          </w:p>
          <w:p w14:paraId="5343716F" w14:textId="1148E16C" w:rsidR="00915077" w:rsidRPr="00E26EF6" w:rsidRDefault="001C7AB7">
            <w:pPr>
              <w:rPr>
                <w:rFonts w:ascii="Times New Roman" w:hAnsi="Times New Roman"/>
                <w:sz w:val="24"/>
              </w:rPr>
            </w:pPr>
            <w:r w:rsidRPr="00E26EF6">
              <w:rPr>
                <w:rFonts w:ascii="Times New Roman" w:hAnsi="Times New Roman"/>
                <w:sz w:val="24"/>
              </w:rPr>
              <w:t>W przypadku ekspozycji</w:t>
            </w:r>
            <w:r w:rsidR="00E26EF6" w:rsidRPr="00E26EF6">
              <w:rPr>
                <w:rFonts w:ascii="Times New Roman" w:hAnsi="Times New Roman"/>
                <w:sz w:val="24"/>
              </w:rPr>
              <w:t xml:space="preserve"> z uwz</w:t>
            </w:r>
            <w:r w:rsidRPr="00E26EF6">
              <w:rPr>
                <w:rFonts w:ascii="Times New Roman" w:hAnsi="Times New Roman"/>
                <w:sz w:val="24"/>
              </w:rPr>
              <w:t>ględnieniem ujęcia podwójnego niewykonania zobowiązania LGD, które należy zgłosić, odpowiada temu wybranemu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161 ust.</w:t>
            </w:r>
            <w:r w:rsidR="00023409" w:rsidRPr="00E26EF6">
              <w:rPr>
                <w:rFonts w:ascii="Times New Roman" w:hAnsi="Times New Roman"/>
                <w:sz w:val="24"/>
              </w:rPr>
              <w:t> </w:t>
            </w:r>
            <w:r w:rsidRPr="00E26EF6">
              <w:rPr>
                <w:rFonts w:ascii="Times New Roman" w:hAnsi="Times New Roman"/>
                <w:sz w:val="24"/>
              </w:rPr>
              <w:t>4 CRR.</w:t>
            </w:r>
          </w:p>
          <w:p w14:paraId="5D639D9E" w14:textId="087FAA51" w:rsidR="00915077" w:rsidRPr="00E26EF6" w:rsidRDefault="001C7AB7">
            <w:pPr>
              <w:rPr>
                <w:rFonts w:ascii="Times New Roman" w:hAnsi="Times New Roman"/>
                <w:sz w:val="24"/>
              </w:rPr>
            </w:pPr>
            <w:r w:rsidRPr="00E26EF6">
              <w:rPr>
                <w:rFonts w:ascii="Times New Roman" w:hAnsi="Times New Roman"/>
                <w:sz w:val="24"/>
              </w:rPr>
              <w:t>Obliczanie średniej wartości LGD ważonej ekspozycją jest oparte na parametrach ryzyka rzeczywiście wykorzystywanych</w:t>
            </w:r>
            <w:r w:rsidR="00E26EF6" w:rsidRPr="00E26EF6">
              <w:rPr>
                <w:rFonts w:ascii="Times New Roman" w:hAnsi="Times New Roman"/>
                <w:sz w:val="24"/>
              </w:rPr>
              <w:t xml:space="preserve"> w sys</w:t>
            </w:r>
            <w:r w:rsidRPr="00E26EF6">
              <w:rPr>
                <w:rFonts w:ascii="Times New Roman" w:hAnsi="Times New Roman"/>
                <w:sz w:val="24"/>
              </w:rPr>
              <w:t>temie ratingu wewnętrznego zatwierdzonym przez właściwy organ.</w:t>
            </w:r>
          </w:p>
          <w:p w14:paraId="51A29E9F" w14:textId="68649C97" w:rsidR="00915077" w:rsidRPr="00E26EF6" w:rsidRDefault="00224FE5">
            <w:pPr>
              <w:rPr>
                <w:rFonts w:ascii="Times New Roman" w:hAnsi="Times New Roman"/>
                <w:sz w:val="24"/>
              </w:rPr>
            </w:pPr>
            <w:r w:rsidRPr="00E26EF6">
              <w:rPr>
                <w:rFonts w:ascii="Times New Roman" w:hAnsi="Times New Roman"/>
                <w:sz w:val="24"/>
              </w:rPr>
              <w:t>Nie zgłasza się danych dotyczących ekspozycji związanych</w:t>
            </w:r>
            <w:r w:rsidR="00E26EF6" w:rsidRPr="00E26EF6">
              <w:rPr>
                <w:rFonts w:ascii="Times New Roman" w:hAnsi="Times New Roman"/>
                <w:sz w:val="24"/>
              </w:rPr>
              <w:t xml:space="preserve"> z kre</w:t>
            </w:r>
            <w:r w:rsidRPr="00E26EF6">
              <w:rPr>
                <w:rFonts w:ascii="Times New Roman" w:hAnsi="Times New Roman"/>
                <w:sz w:val="24"/>
              </w:rPr>
              <w:t>dytowaniem specjalistycznym,</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5.</w:t>
            </w:r>
          </w:p>
          <w:p w14:paraId="66AC2D00" w14:textId="4FF1474E" w:rsidR="00915077" w:rsidRPr="00E26EF6" w:rsidRDefault="001C7AB7">
            <w:pPr>
              <w:rPr>
                <w:rFonts w:ascii="Times New Roman" w:hAnsi="Times New Roman"/>
                <w:sz w:val="24"/>
                <w:highlight w:val="lightGray"/>
              </w:rPr>
            </w:pPr>
            <w:r w:rsidRPr="00E26EF6">
              <w:rPr>
                <w:rFonts w:ascii="Times New Roman" w:hAnsi="Times New Roman"/>
                <w:sz w:val="24"/>
              </w:rPr>
              <w:lastRenderedPageBreak/>
              <w:t>Ekspozycji</w:t>
            </w:r>
            <w:r w:rsidR="00E26EF6" w:rsidRPr="00E26EF6">
              <w:rPr>
                <w:rFonts w:ascii="Times New Roman" w:hAnsi="Times New Roman"/>
                <w:sz w:val="24"/>
              </w:rPr>
              <w:t xml:space="preserve"> i odp</w:t>
            </w:r>
            <w:r w:rsidRPr="00E26EF6">
              <w:rPr>
                <w:rFonts w:ascii="Times New Roman" w:hAnsi="Times New Roman"/>
                <w:sz w:val="24"/>
              </w:rPr>
              <w:t>owiednich wartości LGD dotyczących regulowanych dużych podmiotów sektora finansowego oraz nieregulowanych podmiotów finansowych nie uwzględnia się</w:t>
            </w:r>
            <w:r w:rsidR="00E26EF6" w:rsidRPr="00E26EF6">
              <w:rPr>
                <w:rFonts w:ascii="Times New Roman" w:hAnsi="Times New Roman"/>
                <w:sz w:val="24"/>
              </w:rPr>
              <w:t xml:space="preserve"> w obl</w:t>
            </w:r>
            <w:r w:rsidRPr="00E26EF6">
              <w:rPr>
                <w:rFonts w:ascii="Times New Roman" w:hAnsi="Times New Roman"/>
                <w:sz w:val="24"/>
              </w:rPr>
              <w:t>iczeniach na potrzeby kolumny 230, ale wyłącznie</w:t>
            </w:r>
            <w:r w:rsidR="00E26EF6" w:rsidRPr="00E26EF6">
              <w:rPr>
                <w:rFonts w:ascii="Times New Roman" w:hAnsi="Times New Roman"/>
                <w:sz w:val="24"/>
              </w:rPr>
              <w:t xml:space="preserve"> w obl</w:t>
            </w:r>
            <w:r w:rsidRPr="00E26EF6">
              <w:rPr>
                <w:rFonts w:ascii="Times New Roman" w:hAnsi="Times New Roman"/>
                <w:sz w:val="24"/>
              </w:rPr>
              <w:t xml:space="preserve">iczeniach dla celów kolumny 240. </w:t>
            </w:r>
          </w:p>
        </w:tc>
      </w:tr>
      <w:tr w:rsidR="00915077" w:rsidRPr="00E26EF6" w14:paraId="1525CBDC" w14:textId="77777777" w:rsidTr="00672D2A">
        <w:tc>
          <w:tcPr>
            <w:tcW w:w="1188" w:type="dxa"/>
          </w:tcPr>
          <w:p w14:paraId="268CDBB9" w14:textId="77777777" w:rsidR="00915077" w:rsidRPr="00E26EF6" w:rsidRDefault="001C7AB7">
            <w:pPr>
              <w:rPr>
                <w:rFonts w:ascii="Times New Roman" w:hAnsi="Times New Roman"/>
                <w:sz w:val="24"/>
                <w:highlight w:val="lightGray"/>
              </w:rPr>
            </w:pPr>
            <w:r w:rsidRPr="00E26EF6">
              <w:rPr>
                <w:rFonts w:ascii="Times New Roman" w:hAnsi="Times New Roman"/>
                <w:sz w:val="24"/>
              </w:rPr>
              <w:lastRenderedPageBreak/>
              <w:t>240</w:t>
            </w:r>
          </w:p>
        </w:tc>
        <w:tc>
          <w:tcPr>
            <w:tcW w:w="8843" w:type="dxa"/>
          </w:tcPr>
          <w:p w14:paraId="04D6225A"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ŚREDNIA WARTOŚĆ LGD WAŻONA EKSPOZYCJĄ (%) W ODNIESIENIU DO DUŻYCH PODMIOTÓW SEKTORA FINANSOWEGO ORAZ NIEREGULOWANYCH PODMIOTÓW FINANSOWYCH</w:t>
            </w:r>
          </w:p>
          <w:p w14:paraId="25F07784" w14:textId="0D9F00A6" w:rsidR="00915077" w:rsidRPr="00E26EF6" w:rsidRDefault="001C7AB7">
            <w:pPr>
              <w:rPr>
                <w:rFonts w:ascii="Times New Roman" w:hAnsi="Times New Roman"/>
                <w:sz w:val="24"/>
                <w:highlight w:val="lightGray"/>
              </w:rPr>
            </w:pPr>
            <w:r w:rsidRPr="00E26EF6">
              <w:rPr>
                <w:rFonts w:ascii="Times New Roman" w:hAnsi="Times New Roman"/>
                <w:sz w:val="24"/>
              </w:rPr>
              <w:t>Średnia wartość LGD ważona ekspozycją (%) dla wszystkich ekspozycji wobec dużych podmiotów sektora finansowego zdefiniowanych</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142 ust.</w:t>
            </w:r>
            <w:r w:rsidR="00023409" w:rsidRPr="00E26EF6">
              <w:rPr>
                <w:rFonts w:ascii="Times New Roman" w:hAnsi="Times New Roman"/>
                <w:sz w:val="24"/>
              </w:rPr>
              <w:t> </w:t>
            </w:r>
            <w:r w:rsidRPr="00E26EF6">
              <w:rPr>
                <w:rFonts w:ascii="Times New Roman" w:hAnsi="Times New Roman"/>
                <w:sz w:val="24"/>
              </w:rPr>
              <w:t>4 CRR oraz wobec nieregulowanych podmiotów sektora finansowego zdefiniowanych</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142 ust.</w:t>
            </w:r>
            <w:r w:rsidR="00023409" w:rsidRPr="00E26EF6">
              <w:rPr>
                <w:rFonts w:ascii="Times New Roman" w:hAnsi="Times New Roman"/>
                <w:sz w:val="24"/>
              </w:rPr>
              <w:t> </w:t>
            </w:r>
            <w:r w:rsidRPr="00E26EF6">
              <w:rPr>
                <w:rFonts w:ascii="Times New Roman" w:hAnsi="Times New Roman"/>
                <w:sz w:val="24"/>
              </w:rPr>
              <w:t>5 CRR</w:t>
            </w:r>
            <w:r w:rsidR="00E26EF6" w:rsidRPr="00E26EF6">
              <w:rPr>
                <w:rFonts w:ascii="Times New Roman" w:hAnsi="Times New Roman"/>
                <w:sz w:val="24"/>
              </w:rPr>
              <w:t xml:space="preserve"> z zas</w:t>
            </w:r>
            <w:r w:rsidRPr="00E26EF6">
              <w:rPr>
                <w:rFonts w:ascii="Times New Roman" w:hAnsi="Times New Roman"/>
                <w:sz w:val="24"/>
              </w:rPr>
              <w:t>trzeżeniem wyższej korelacji określonej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2 CRR.</w:t>
            </w:r>
          </w:p>
        </w:tc>
      </w:tr>
      <w:tr w:rsidR="00915077" w:rsidRPr="00E26EF6" w14:paraId="72416014" w14:textId="77777777" w:rsidTr="00672D2A">
        <w:tc>
          <w:tcPr>
            <w:tcW w:w="1188" w:type="dxa"/>
          </w:tcPr>
          <w:p w14:paraId="660A86A5" w14:textId="77777777" w:rsidR="00915077" w:rsidRPr="00E26EF6" w:rsidRDefault="001C7AB7">
            <w:pPr>
              <w:rPr>
                <w:rFonts w:ascii="Times New Roman" w:hAnsi="Times New Roman"/>
                <w:sz w:val="24"/>
                <w:highlight w:val="lightGray"/>
              </w:rPr>
            </w:pPr>
            <w:r w:rsidRPr="00E26EF6">
              <w:rPr>
                <w:rFonts w:ascii="Times New Roman" w:hAnsi="Times New Roman"/>
                <w:sz w:val="24"/>
              </w:rPr>
              <w:t>250</w:t>
            </w:r>
          </w:p>
        </w:tc>
        <w:tc>
          <w:tcPr>
            <w:tcW w:w="8843" w:type="dxa"/>
          </w:tcPr>
          <w:p w14:paraId="3CDC4BF9"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ŚREDNI TERMIN ZAPADALNOŚCI WAŻONY EKSPOZYCJĄ (W DNIACH)</w:t>
            </w:r>
          </w:p>
          <w:p w14:paraId="6A5B55BD" w14:textId="3AEEC80A" w:rsidR="00915077" w:rsidRPr="00E26EF6" w:rsidRDefault="001C7AB7">
            <w:pPr>
              <w:rPr>
                <w:rFonts w:ascii="Times New Roman" w:hAnsi="Times New Roman"/>
                <w:sz w:val="24"/>
              </w:rPr>
            </w:pPr>
            <w:r w:rsidRPr="00E26EF6">
              <w:rPr>
                <w:rFonts w:ascii="Times New Roman" w:hAnsi="Times New Roman"/>
                <w:sz w:val="24"/>
              </w:rPr>
              <w:t>Zgłaszaną wartość określa się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162 CRR. Wartość ekspozycji (kolumna 110) wykorzystuje się do obliczenia średnich wartości ważonych ekspozycją. Średni termin zapadalności podawany jest jako liczba dni.</w:t>
            </w:r>
          </w:p>
          <w:p w14:paraId="4CF51C09" w14:textId="2FD8DC8A" w:rsidR="00915077" w:rsidRPr="00E26EF6" w:rsidRDefault="001C7AB7">
            <w:pPr>
              <w:rPr>
                <w:rFonts w:ascii="Times New Roman" w:hAnsi="Times New Roman"/>
                <w:sz w:val="24"/>
                <w:highlight w:val="lightGray"/>
              </w:rPr>
            </w:pPr>
            <w:r w:rsidRPr="00E26EF6">
              <w:rPr>
                <w:rFonts w:ascii="Times New Roman" w:hAnsi="Times New Roman"/>
                <w:sz w:val="24"/>
              </w:rPr>
              <w:t>Dane te nie są zgłaszane</w:t>
            </w:r>
            <w:r w:rsidR="00E26EF6" w:rsidRPr="00E26EF6">
              <w:rPr>
                <w:rFonts w:ascii="Times New Roman" w:hAnsi="Times New Roman"/>
                <w:sz w:val="24"/>
              </w:rPr>
              <w:t xml:space="preserve"> w odn</w:t>
            </w:r>
            <w:r w:rsidRPr="00E26EF6">
              <w:rPr>
                <w:rFonts w:ascii="Times New Roman" w:hAnsi="Times New Roman"/>
                <w:sz w:val="24"/>
              </w:rPr>
              <w:t>iesieniu do wartości ekspozycji, dla których zapadalność nie jest elementem obliczeń kwot ekspozycji ważonych ryzykiem. Oznacza to, że kolumna ta nie zostanie wypełniona</w:t>
            </w:r>
            <w:r w:rsidR="00E26EF6" w:rsidRPr="00E26EF6">
              <w:rPr>
                <w:rFonts w:ascii="Times New Roman" w:hAnsi="Times New Roman"/>
                <w:sz w:val="24"/>
              </w:rPr>
              <w:t xml:space="preserve"> w prz</w:t>
            </w:r>
            <w:r w:rsidRPr="00E26EF6">
              <w:rPr>
                <w:rFonts w:ascii="Times New Roman" w:hAnsi="Times New Roman"/>
                <w:sz w:val="24"/>
              </w:rPr>
              <w:t>ypadku kategorii ekspozycji „ekspozycje detaliczne”.</w:t>
            </w:r>
          </w:p>
        </w:tc>
      </w:tr>
      <w:tr w:rsidR="00915077" w:rsidRPr="00E26EF6" w14:paraId="173F47EB" w14:textId="77777777" w:rsidTr="00672D2A">
        <w:tc>
          <w:tcPr>
            <w:tcW w:w="1188" w:type="dxa"/>
          </w:tcPr>
          <w:p w14:paraId="510FE529" w14:textId="77777777" w:rsidR="00915077" w:rsidRPr="00E26EF6" w:rsidRDefault="001C7AB7">
            <w:pPr>
              <w:rPr>
                <w:rFonts w:ascii="Times New Roman" w:hAnsi="Times New Roman"/>
                <w:sz w:val="24"/>
                <w:highlight w:val="lightGray"/>
              </w:rPr>
            </w:pPr>
            <w:r w:rsidRPr="00E26EF6">
              <w:rPr>
                <w:rFonts w:ascii="Times New Roman" w:hAnsi="Times New Roman"/>
                <w:sz w:val="24"/>
              </w:rPr>
              <w:t>255</w:t>
            </w:r>
          </w:p>
        </w:tc>
        <w:tc>
          <w:tcPr>
            <w:tcW w:w="8843" w:type="dxa"/>
          </w:tcPr>
          <w:p w14:paraId="69D74682"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KWOTA EKSPOZYCJI WAŻONEJ RYZYKIEM PRZED UWZGLĘDNIENIEM WSPÓŁCZYNNIKA WSPARCIA MŚP</w:t>
            </w:r>
          </w:p>
          <w:p w14:paraId="02B8E9A8" w14:textId="5AE5E79A" w:rsidR="00915077" w:rsidRPr="00E26EF6" w:rsidRDefault="001C7AB7">
            <w:pPr>
              <w:rPr>
                <w:rFonts w:ascii="Times New Roman" w:hAnsi="Times New Roman"/>
                <w:sz w:val="24"/>
              </w:rPr>
            </w:pPr>
            <w:r w:rsidRPr="00E26EF6">
              <w:rPr>
                <w:rFonts w:ascii="Times New Roman" w:hAnsi="Times New Roman"/>
                <w:sz w:val="24"/>
              </w:rPr>
              <w:t>W przypadku ekspozycji wobec rządów centralnych</w:t>
            </w:r>
            <w:r w:rsidR="00E26EF6" w:rsidRPr="00E26EF6">
              <w:rPr>
                <w:rFonts w:ascii="Times New Roman" w:hAnsi="Times New Roman"/>
                <w:sz w:val="24"/>
              </w:rPr>
              <w:t xml:space="preserve"> i ban</w:t>
            </w:r>
            <w:r w:rsidRPr="00E26EF6">
              <w:rPr>
                <w:rFonts w:ascii="Times New Roman" w:hAnsi="Times New Roman"/>
                <w:sz w:val="24"/>
              </w:rPr>
              <w:t>ków centralnych oraz wobec przedsiębiorstw</w:t>
            </w:r>
            <w:r w:rsidR="00E26EF6" w:rsidRPr="00E26EF6">
              <w:rPr>
                <w:rFonts w:ascii="Times New Roman" w:hAnsi="Times New Roman"/>
                <w:sz w:val="24"/>
              </w:rPr>
              <w:t xml:space="preserve"> i ins</w:t>
            </w:r>
            <w:r w:rsidRPr="00E26EF6">
              <w:rPr>
                <w:rFonts w:ascii="Times New Roman" w:hAnsi="Times New Roman"/>
                <w:sz w:val="24"/>
              </w:rPr>
              <w:t>tytucji zob. art.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1</w:t>
            </w:r>
            <w:r w:rsidR="00E26EF6" w:rsidRPr="00E26EF6">
              <w:rPr>
                <w:rFonts w:ascii="Times New Roman" w:hAnsi="Times New Roman"/>
                <w:sz w:val="24"/>
              </w:rPr>
              <w:t xml:space="preserve"> i 3</w:t>
            </w:r>
            <w:r w:rsidRPr="00E26EF6">
              <w:rPr>
                <w:rFonts w:ascii="Times New Roman" w:hAnsi="Times New Roman"/>
                <w:sz w:val="24"/>
              </w:rPr>
              <w:t xml:space="preserve"> CRR</w:t>
            </w:r>
            <w:r w:rsidR="00E26EF6" w:rsidRPr="00E26EF6">
              <w:rPr>
                <w:rFonts w:ascii="Times New Roman" w:hAnsi="Times New Roman"/>
                <w:sz w:val="24"/>
              </w:rPr>
              <w:t>. W odn</w:t>
            </w:r>
            <w:r w:rsidRPr="00E26EF6">
              <w:rPr>
                <w:rFonts w:ascii="Times New Roman" w:hAnsi="Times New Roman"/>
                <w:sz w:val="24"/>
              </w:rPr>
              <w:t>iesieniu do ekspozycji detalicznych zob. art.</w:t>
            </w:r>
            <w:r w:rsidR="00023409" w:rsidRPr="00E26EF6">
              <w:rPr>
                <w:rFonts w:ascii="Times New Roman" w:hAnsi="Times New Roman"/>
                <w:sz w:val="24"/>
              </w:rPr>
              <w:t> </w:t>
            </w:r>
            <w:r w:rsidRPr="00E26EF6">
              <w:rPr>
                <w:rFonts w:ascii="Times New Roman" w:hAnsi="Times New Roman"/>
                <w:sz w:val="24"/>
              </w:rPr>
              <w:t>154 ust.</w:t>
            </w:r>
            <w:r w:rsidR="00023409" w:rsidRPr="00E26EF6">
              <w:rPr>
                <w:rFonts w:ascii="Times New Roman" w:hAnsi="Times New Roman"/>
                <w:sz w:val="24"/>
              </w:rPr>
              <w:t> </w:t>
            </w:r>
            <w:r w:rsidRPr="00E26EF6">
              <w:rPr>
                <w:rFonts w:ascii="Times New Roman" w:hAnsi="Times New Roman"/>
                <w:sz w:val="24"/>
              </w:rPr>
              <w:t xml:space="preserve">1 CRR. </w:t>
            </w:r>
          </w:p>
          <w:p w14:paraId="0AE89240" w14:textId="7D2A9487" w:rsidR="00915077" w:rsidRPr="00E26EF6" w:rsidRDefault="001C7AB7">
            <w:pPr>
              <w:rPr>
                <w:rFonts w:ascii="Times New Roman" w:hAnsi="Times New Roman"/>
                <w:b/>
                <w:sz w:val="24"/>
                <w:highlight w:val="lightGray"/>
                <w:u w:val="single"/>
              </w:rPr>
            </w:pPr>
            <w:r w:rsidRPr="00E26EF6">
              <w:rPr>
                <w:rFonts w:ascii="Times New Roman" w:hAnsi="Times New Roman"/>
                <w:sz w:val="24"/>
              </w:rPr>
              <w:t>Nie bierze się pod uwagę współczynnika wsparcia MŚP,</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501 ust.</w:t>
            </w:r>
            <w:r w:rsidR="00023409" w:rsidRPr="00E26EF6">
              <w:rPr>
                <w:rFonts w:ascii="Times New Roman" w:hAnsi="Times New Roman"/>
                <w:sz w:val="24"/>
              </w:rPr>
              <w:t> </w:t>
            </w:r>
            <w:r w:rsidRPr="00E26EF6">
              <w:rPr>
                <w:rFonts w:ascii="Times New Roman" w:hAnsi="Times New Roman"/>
                <w:sz w:val="24"/>
              </w:rPr>
              <w:t>1 CRR.</w:t>
            </w:r>
          </w:p>
        </w:tc>
      </w:tr>
      <w:tr w:rsidR="00915077" w:rsidRPr="00E26EF6" w14:paraId="72EE3687" w14:textId="77777777" w:rsidTr="00672D2A">
        <w:tc>
          <w:tcPr>
            <w:tcW w:w="1188" w:type="dxa"/>
            <w:shd w:val="clear" w:color="auto" w:fill="auto"/>
          </w:tcPr>
          <w:p w14:paraId="71B6C259" w14:textId="77777777" w:rsidR="00915077" w:rsidRPr="00E26EF6" w:rsidRDefault="001C7AB7">
            <w:pPr>
              <w:rPr>
                <w:rFonts w:ascii="Times New Roman" w:hAnsi="Times New Roman"/>
                <w:sz w:val="24"/>
                <w:highlight w:val="lightGray"/>
              </w:rPr>
            </w:pPr>
            <w:r w:rsidRPr="00E26EF6">
              <w:rPr>
                <w:rFonts w:ascii="Times New Roman" w:hAnsi="Times New Roman"/>
                <w:sz w:val="24"/>
              </w:rPr>
              <w:t>260</w:t>
            </w:r>
          </w:p>
        </w:tc>
        <w:tc>
          <w:tcPr>
            <w:tcW w:w="8843" w:type="dxa"/>
            <w:shd w:val="clear" w:color="auto" w:fill="auto"/>
          </w:tcPr>
          <w:p w14:paraId="0B4AC5EF"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KWOTA EKSPOZYCJI WAŻONEJ RYZYKIEM PO UWZGLĘDNIENIU WSPÓŁCZYNNIKA WSPARCIA MŚP</w:t>
            </w:r>
          </w:p>
          <w:p w14:paraId="4E982BC7" w14:textId="71FDAADC" w:rsidR="00915077" w:rsidRPr="00E26EF6" w:rsidRDefault="001C7AB7">
            <w:pPr>
              <w:rPr>
                <w:rFonts w:ascii="Times New Roman" w:hAnsi="Times New Roman"/>
                <w:sz w:val="24"/>
              </w:rPr>
            </w:pPr>
            <w:r w:rsidRPr="00E26EF6">
              <w:rPr>
                <w:rFonts w:ascii="Times New Roman" w:hAnsi="Times New Roman"/>
                <w:sz w:val="24"/>
              </w:rPr>
              <w:t>W przypadku ekspozycji wobec rządów centralnych</w:t>
            </w:r>
            <w:r w:rsidR="00E26EF6" w:rsidRPr="00E26EF6">
              <w:rPr>
                <w:rFonts w:ascii="Times New Roman" w:hAnsi="Times New Roman"/>
                <w:sz w:val="24"/>
              </w:rPr>
              <w:t xml:space="preserve"> i ban</w:t>
            </w:r>
            <w:r w:rsidRPr="00E26EF6">
              <w:rPr>
                <w:rFonts w:ascii="Times New Roman" w:hAnsi="Times New Roman"/>
                <w:sz w:val="24"/>
              </w:rPr>
              <w:t>ków centralnych oraz wobec przedsiębiorstw</w:t>
            </w:r>
            <w:r w:rsidR="00E26EF6" w:rsidRPr="00E26EF6">
              <w:rPr>
                <w:rFonts w:ascii="Times New Roman" w:hAnsi="Times New Roman"/>
                <w:sz w:val="24"/>
              </w:rPr>
              <w:t xml:space="preserve"> i ins</w:t>
            </w:r>
            <w:r w:rsidRPr="00E26EF6">
              <w:rPr>
                <w:rFonts w:ascii="Times New Roman" w:hAnsi="Times New Roman"/>
                <w:sz w:val="24"/>
              </w:rPr>
              <w:t>tytucji zob. art.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1</w:t>
            </w:r>
            <w:r w:rsidR="00E26EF6" w:rsidRPr="00E26EF6">
              <w:rPr>
                <w:rFonts w:ascii="Times New Roman" w:hAnsi="Times New Roman"/>
                <w:sz w:val="24"/>
              </w:rPr>
              <w:t xml:space="preserve"> i 3</w:t>
            </w:r>
            <w:r w:rsidRPr="00E26EF6">
              <w:rPr>
                <w:rFonts w:ascii="Times New Roman" w:hAnsi="Times New Roman"/>
                <w:sz w:val="24"/>
              </w:rPr>
              <w:t xml:space="preserve"> CRR</w:t>
            </w:r>
            <w:r w:rsidR="00E26EF6" w:rsidRPr="00E26EF6">
              <w:rPr>
                <w:rFonts w:ascii="Times New Roman" w:hAnsi="Times New Roman"/>
                <w:sz w:val="24"/>
              </w:rPr>
              <w:t>. W odn</w:t>
            </w:r>
            <w:r w:rsidRPr="00E26EF6">
              <w:rPr>
                <w:rFonts w:ascii="Times New Roman" w:hAnsi="Times New Roman"/>
                <w:sz w:val="24"/>
              </w:rPr>
              <w:t>iesieniu do ekspozycji detalicznych zob. art.</w:t>
            </w:r>
            <w:r w:rsidR="00023409" w:rsidRPr="00E26EF6">
              <w:rPr>
                <w:rFonts w:ascii="Times New Roman" w:hAnsi="Times New Roman"/>
                <w:sz w:val="24"/>
              </w:rPr>
              <w:t> </w:t>
            </w:r>
            <w:r w:rsidRPr="00E26EF6">
              <w:rPr>
                <w:rFonts w:ascii="Times New Roman" w:hAnsi="Times New Roman"/>
                <w:sz w:val="24"/>
              </w:rPr>
              <w:t>154 ust.</w:t>
            </w:r>
            <w:r w:rsidR="00023409" w:rsidRPr="00E26EF6">
              <w:rPr>
                <w:rFonts w:ascii="Times New Roman" w:hAnsi="Times New Roman"/>
                <w:sz w:val="24"/>
              </w:rPr>
              <w:t> </w:t>
            </w:r>
            <w:r w:rsidRPr="00E26EF6">
              <w:rPr>
                <w:rFonts w:ascii="Times New Roman" w:hAnsi="Times New Roman"/>
                <w:sz w:val="24"/>
              </w:rPr>
              <w:t>1 CRR.</w:t>
            </w:r>
          </w:p>
          <w:p w14:paraId="3ED455D9" w14:textId="113C06E2" w:rsidR="00915077" w:rsidRPr="00E26EF6" w:rsidRDefault="001C7AB7">
            <w:pPr>
              <w:rPr>
                <w:rFonts w:ascii="Times New Roman" w:hAnsi="Times New Roman"/>
                <w:b/>
                <w:sz w:val="24"/>
                <w:highlight w:val="lightGray"/>
                <w:u w:val="single"/>
              </w:rPr>
            </w:pPr>
            <w:r w:rsidRPr="00E26EF6">
              <w:rPr>
                <w:rFonts w:ascii="Times New Roman" w:hAnsi="Times New Roman"/>
                <w:sz w:val="24"/>
              </w:rPr>
              <w:t>Bierze się pod uwagę współczynnik wsparcia MŚP,</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501 ust.</w:t>
            </w:r>
            <w:r w:rsidR="00023409" w:rsidRPr="00E26EF6">
              <w:rPr>
                <w:rFonts w:ascii="Times New Roman" w:hAnsi="Times New Roman"/>
                <w:sz w:val="24"/>
              </w:rPr>
              <w:t> </w:t>
            </w:r>
            <w:r w:rsidRPr="00E26EF6">
              <w:rPr>
                <w:rFonts w:ascii="Times New Roman" w:hAnsi="Times New Roman"/>
                <w:sz w:val="24"/>
              </w:rPr>
              <w:t>1 CRR.</w:t>
            </w:r>
          </w:p>
        </w:tc>
      </w:tr>
      <w:tr w:rsidR="00915077" w:rsidRPr="00E26EF6" w14:paraId="134DDB1B" w14:textId="77777777" w:rsidTr="00672D2A">
        <w:tc>
          <w:tcPr>
            <w:tcW w:w="1188" w:type="dxa"/>
            <w:shd w:val="clear" w:color="auto" w:fill="auto"/>
          </w:tcPr>
          <w:p w14:paraId="37AECAEF" w14:textId="77777777" w:rsidR="00915077" w:rsidRPr="00E26EF6" w:rsidRDefault="001C7AB7">
            <w:pPr>
              <w:rPr>
                <w:rFonts w:ascii="Times New Roman" w:hAnsi="Times New Roman"/>
                <w:sz w:val="24"/>
                <w:highlight w:val="lightGray"/>
              </w:rPr>
            </w:pPr>
            <w:r w:rsidRPr="00E26EF6">
              <w:rPr>
                <w:rFonts w:ascii="Times New Roman" w:hAnsi="Times New Roman"/>
                <w:sz w:val="24"/>
              </w:rPr>
              <w:t>270</w:t>
            </w:r>
          </w:p>
        </w:tc>
        <w:tc>
          <w:tcPr>
            <w:tcW w:w="8843" w:type="dxa"/>
            <w:shd w:val="clear" w:color="auto" w:fill="auto"/>
          </w:tcPr>
          <w:p w14:paraId="47AC1042"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W TYM: DUŻE PODMIOTY SEKTORA FINANSOWEGO ORAZ NIEREGULOWANE PODMIOTY FINANSOWE</w:t>
            </w:r>
          </w:p>
          <w:p w14:paraId="2EF8A139" w14:textId="3991219B" w:rsidR="00915077" w:rsidRPr="00E26EF6" w:rsidDel="005A2363" w:rsidRDefault="001C7AB7">
            <w:pPr>
              <w:rPr>
                <w:rFonts w:ascii="Times New Roman" w:hAnsi="Times New Roman"/>
                <w:sz w:val="24"/>
                <w:highlight w:val="lightGray"/>
              </w:rPr>
            </w:pPr>
            <w:r w:rsidRPr="00E26EF6">
              <w:rPr>
                <w:rFonts w:ascii="Times New Roman" w:hAnsi="Times New Roman"/>
                <w:sz w:val="24"/>
              </w:rPr>
              <w:t>Podział kwoty ekspozycji ważonej ryzykiem po uwzględnieniu współczynnika wsparcia MŚP dla wszystkich ekspozycji wobec dużych podmiotów sektora finansowego zdefiniowanych</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142 ust.</w:t>
            </w:r>
            <w:r w:rsidR="00023409" w:rsidRPr="00E26EF6">
              <w:rPr>
                <w:rFonts w:ascii="Times New Roman" w:hAnsi="Times New Roman"/>
                <w:sz w:val="24"/>
              </w:rPr>
              <w:t> </w:t>
            </w:r>
            <w:r w:rsidRPr="00E26EF6">
              <w:rPr>
                <w:rFonts w:ascii="Times New Roman" w:hAnsi="Times New Roman"/>
                <w:sz w:val="24"/>
              </w:rPr>
              <w:t>4 CRR oraz wobec nieregulowanych podmiotów sektora finansowego zdefiniowanych</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142 ust.</w:t>
            </w:r>
            <w:r w:rsidR="00023409" w:rsidRPr="00E26EF6">
              <w:rPr>
                <w:rFonts w:ascii="Times New Roman" w:hAnsi="Times New Roman"/>
                <w:sz w:val="24"/>
              </w:rPr>
              <w:t> </w:t>
            </w:r>
            <w:r w:rsidRPr="00E26EF6">
              <w:rPr>
                <w:rFonts w:ascii="Times New Roman" w:hAnsi="Times New Roman"/>
                <w:sz w:val="24"/>
              </w:rPr>
              <w:t>5 CRR</w:t>
            </w:r>
            <w:r w:rsidR="00E26EF6" w:rsidRPr="00E26EF6">
              <w:rPr>
                <w:rFonts w:ascii="Times New Roman" w:hAnsi="Times New Roman"/>
                <w:sz w:val="24"/>
              </w:rPr>
              <w:t xml:space="preserve"> z zas</w:t>
            </w:r>
            <w:r w:rsidRPr="00E26EF6">
              <w:rPr>
                <w:rFonts w:ascii="Times New Roman" w:hAnsi="Times New Roman"/>
                <w:sz w:val="24"/>
              </w:rPr>
              <w:t>trzeżeniem wyższej korelacji określonej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2 CRR.</w:t>
            </w:r>
          </w:p>
        </w:tc>
      </w:tr>
      <w:tr w:rsidR="00915077" w:rsidRPr="00E26EF6" w14:paraId="16206C6A" w14:textId="77777777" w:rsidTr="00672D2A">
        <w:tc>
          <w:tcPr>
            <w:tcW w:w="1188" w:type="dxa"/>
          </w:tcPr>
          <w:p w14:paraId="2CDB54A8" w14:textId="77777777" w:rsidR="00915077" w:rsidRPr="00E26EF6" w:rsidRDefault="001C7AB7">
            <w:pPr>
              <w:rPr>
                <w:rFonts w:ascii="Times New Roman" w:hAnsi="Times New Roman"/>
                <w:sz w:val="24"/>
                <w:highlight w:val="lightGray"/>
              </w:rPr>
            </w:pPr>
            <w:r w:rsidRPr="00E26EF6">
              <w:rPr>
                <w:rFonts w:ascii="Times New Roman" w:hAnsi="Times New Roman"/>
                <w:sz w:val="24"/>
              </w:rPr>
              <w:t>280</w:t>
            </w:r>
          </w:p>
        </w:tc>
        <w:tc>
          <w:tcPr>
            <w:tcW w:w="8843" w:type="dxa"/>
          </w:tcPr>
          <w:p w14:paraId="754B6D32"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KWOTA OCZEKIWANEJ STRATY</w:t>
            </w:r>
          </w:p>
          <w:p w14:paraId="69A911E5" w14:textId="764E9DDA" w:rsidR="00915077" w:rsidRPr="00E26EF6" w:rsidRDefault="001C7AB7">
            <w:pPr>
              <w:jc w:val="left"/>
              <w:rPr>
                <w:rFonts w:ascii="Times New Roman" w:hAnsi="Times New Roman"/>
                <w:sz w:val="24"/>
                <w:highlight w:val="lightGray"/>
              </w:rPr>
            </w:pPr>
            <w:r w:rsidRPr="00E26EF6">
              <w:rPr>
                <w:rFonts w:ascii="Times New Roman" w:hAnsi="Times New Roman"/>
                <w:sz w:val="24"/>
              </w:rPr>
              <w:t>Definicja oczekiwanej straty – zob. art.</w:t>
            </w:r>
            <w:r w:rsidR="00023409" w:rsidRPr="00E26EF6">
              <w:rPr>
                <w:rFonts w:ascii="Times New Roman" w:hAnsi="Times New Roman"/>
                <w:sz w:val="24"/>
              </w:rPr>
              <w:t> </w:t>
            </w:r>
            <w:r w:rsidRPr="00E26EF6">
              <w:rPr>
                <w:rFonts w:ascii="Times New Roman" w:hAnsi="Times New Roman"/>
                <w:sz w:val="24"/>
              </w:rPr>
              <w:t>5 pkt</w:t>
            </w:r>
            <w:r w:rsidR="00023409" w:rsidRPr="00E26EF6">
              <w:rPr>
                <w:rFonts w:ascii="Times New Roman" w:hAnsi="Times New Roman"/>
                <w:sz w:val="24"/>
              </w:rPr>
              <w:t> </w:t>
            </w:r>
            <w:r w:rsidRPr="00E26EF6">
              <w:rPr>
                <w:rFonts w:ascii="Times New Roman" w:hAnsi="Times New Roman"/>
                <w:sz w:val="24"/>
              </w:rPr>
              <w:t>3 CRR; obliczanie kwoty oczekiwanej straty – zob. art.</w:t>
            </w:r>
            <w:r w:rsidR="00023409" w:rsidRPr="00E26EF6">
              <w:rPr>
                <w:rFonts w:ascii="Times New Roman" w:hAnsi="Times New Roman"/>
                <w:sz w:val="24"/>
              </w:rPr>
              <w:t> </w:t>
            </w:r>
            <w:r w:rsidRPr="00E26EF6">
              <w:rPr>
                <w:rFonts w:ascii="Times New Roman" w:hAnsi="Times New Roman"/>
                <w:sz w:val="24"/>
              </w:rPr>
              <w:t>158 CRR. Kwota oczekiwanej straty, którą należy zgłosić, opiera się na parametrach ryzyka rzeczywiście wykorzystywanych</w:t>
            </w:r>
            <w:r w:rsidR="00E26EF6" w:rsidRPr="00E26EF6">
              <w:rPr>
                <w:rFonts w:ascii="Times New Roman" w:hAnsi="Times New Roman"/>
                <w:sz w:val="24"/>
              </w:rPr>
              <w:t xml:space="preserve"> w sys</w:t>
            </w:r>
            <w:r w:rsidRPr="00E26EF6">
              <w:rPr>
                <w:rFonts w:ascii="Times New Roman" w:hAnsi="Times New Roman"/>
                <w:sz w:val="24"/>
              </w:rPr>
              <w:t>temie ratingu wewnętrznego zatwierdzonym przez właściwy organ.</w:t>
            </w:r>
          </w:p>
        </w:tc>
      </w:tr>
      <w:tr w:rsidR="00915077" w:rsidRPr="00E26EF6" w14:paraId="040F1978" w14:textId="77777777" w:rsidTr="00672D2A">
        <w:tc>
          <w:tcPr>
            <w:tcW w:w="1188" w:type="dxa"/>
          </w:tcPr>
          <w:p w14:paraId="74EBD966" w14:textId="77777777" w:rsidR="00915077" w:rsidRPr="00E26EF6" w:rsidRDefault="001C7AB7">
            <w:pPr>
              <w:rPr>
                <w:rFonts w:ascii="Times New Roman" w:hAnsi="Times New Roman"/>
                <w:sz w:val="24"/>
                <w:highlight w:val="lightGray"/>
              </w:rPr>
            </w:pPr>
            <w:r w:rsidRPr="00E26EF6">
              <w:rPr>
                <w:rFonts w:ascii="Times New Roman" w:hAnsi="Times New Roman"/>
                <w:sz w:val="24"/>
              </w:rPr>
              <w:t>290</w:t>
            </w:r>
          </w:p>
        </w:tc>
        <w:tc>
          <w:tcPr>
            <w:tcW w:w="8843" w:type="dxa"/>
          </w:tcPr>
          <w:p w14:paraId="1700156B"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 KOREKTY WARTOŚCI I REZERWY</w:t>
            </w:r>
          </w:p>
          <w:p w14:paraId="79426AFB" w14:textId="4E006CD5" w:rsidR="00915077" w:rsidRPr="00E26EF6" w:rsidRDefault="001C7AB7">
            <w:pPr>
              <w:rPr>
                <w:rFonts w:ascii="Times New Roman" w:hAnsi="Times New Roman"/>
                <w:sz w:val="24"/>
                <w:highlight w:val="lightGray"/>
              </w:rPr>
            </w:pPr>
            <w:r w:rsidRPr="00E26EF6">
              <w:rPr>
                <w:rFonts w:ascii="Times New Roman" w:hAnsi="Times New Roman"/>
                <w:sz w:val="24"/>
              </w:rPr>
              <w:t>Zgłasza się korekty wartości oraz korekty</w:t>
            </w:r>
            <w:r w:rsidR="00E26EF6" w:rsidRPr="00E26EF6">
              <w:rPr>
                <w:rFonts w:ascii="Times New Roman" w:hAnsi="Times New Roman"/>
                <w:sz w:val="24"/>
              </w:rPr>
              <w:t xml:space="preserve"> z tyt</w:t>
            </w:r>
            <w:r w:rsidRPr="00E26EF6">
              <w:rPr>
                <w:rFonts w:ascii="Times New Roman" w:hAnsi="Times New Roman"/>
                <w:sz w:val="24"/>
              </w:rPr>
              <w:t>ułu szczególnego</w:t>
            </w:r>
            <w:r w:rsidR="00E26EF6" w:rsidRPr="00E26EF6">
              <w:rPr>
                <w:rFonts w:ascii="Times New Roman" w:hAnsi="Times New Roman"/>
                <w:sz w:val="24"/>
              </w:rPr>
              <w:t xml:space="preserve"> i ogó</w:t>
            </w:r>
            <w:r w:rsidRPr="00E26EF6">
              <w:rPr>
                <w:rFonts w:ascii="Times New Roman" w:hAnsi="Times New Roman"/>
                <w:sz w:val="24"/>
              </w:rPr>
              <w:t>lnego ryzyka kredytowego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159 CRR. Korekty</w:t>
            </w:r>
            <w:r w:rsidR="00E26EF6" w:rsidRPr="00E26EF6">
              <w:rPr>
                <w:rFonts w:ascii="Times New Roman" w:hAnsi="Times New Roman"/>
                <w:sz w:val="24"/>
              </w:rPr>
              <w:t xml:space="preserve"> z tyt</w:t>
            </w:r>
            <w:r w:rsidRPr="00E26EF6">
              <w:rPr>
                <w:rFonts w:ascii="Times New Roman" w:hAnsi="Times New Roman"/>
                <w:sz w:val="24"/>
              </w:rPr>
              <w:t>ułu ogólnego ryzyka kredytowego</w:t>
            </w:r>
            <w:r w:rsidRPr="00E26EF6">
              <w:rPr>
                <w:rFonts w:ascii="Times New Roman" w:hAnsi="Times New Roman"/>
                <w:b/>
                <w:bCs/>
                <w:i/>
                <w:iCs/>
                <w:sz w:val="24"/>
              </w:rPr>
              <w:t xml:space="preserve"> </w:t>
            </w:r>
            <w:r w:rsidRPr="00E26EF6">
              <w:rPr>
                <w:rFonts w:ascii="Times New Roman" w:hAnsi="Times New Roman"/>
                <w:sz w:val="24"/>
              </w:rPr>
              <w:t>zgłasza się poprzez przypisanie kwoty proporcjonalnej na podstawie oczekiwanej straty</w:t>
            </w:r>
            <w:r w:rsidR="00E26EF6" w:rsidRPr="00E26EF6">
              <w:rPr>
                <w:rFonts w:ascii="Times New Roman" w:hAnsi="Times New Roman"/>
                <w:sz w:val="24"/>
              </w:rPr>
              <w:t xml:space="preserve"> w róż</w:t>
            </w:r>
            <w:r w:rsidRPr="00E26EF6">
              <w:rPr>
                <w:rFonts w:ascii="Times New Roman" w:hAnsi="Times New Roman"/>
                <w:sz w:val="24"/>
              </w:rPr>
              <w:t>nych klasach jakości dłużnika.</w:t>
            </w:r>
          </w:p>
        </w:tc>
      </w:tr>
      <w:tr w:rsidR="00915077" w:rsidRPr="00E26EF6" w14:paraId="7AF7ED08" w14:textId="77777777" w:rsidTr="00672D2A">
        <w:tc>
          <w:tcPr>
            <w:tcW w:w="1188" w:type="dxa"/>
          </w:tcPr>
          <w:p w14:paraId="5250D4DA" w14:textId="77777777" w:rsidR="00915077" w:rsidRPr="00E26EF6" w:rsidRDefault="001C7AB7">
            <w:pPr>
              <w:ind w:right="-288"/>
              <w:rPr>
                <w:rFonts w:ascii="Times New Roman" w:hAnsi="Times New Roman"/>
                <w:sz w:val="24"/>
                <w:highlight w:val="lightGray"/>
              </w:rPr>
            </w:pPr>
            <w:r w:rsidRPr="00E26EF6">
              <w:rPr>
                <w:rFonts w:ascii="Times New Roman" w:hAnsi="Times New Roman"/>
                <w:sz w:val="24"/>
              </w:rPr>
              <w:t>300</w:t>
            </w:r>
          </w:p>
        </w:tc>
        <w:tc>
          <w:tcPr>
            <w:tcW w:w="8843" w:type="dxa"/>
          </w:tcPr>
          <w:p w14:paraId="02029B3F" w14:textId="77777777" w:rsidR="00915077" w:rsidRPr="00E26EF6" w:rsidRDefault="001C7AB7">
            <w:pPr>
              <w:ind w:right="-288"/>
              <w:rPr>
                <w:rFonts w:ascii="Times New Roman" w:hAnsi="Times New Roman"/>
                <w:b/>
                <w:sz w:val="24"/>
                <w:u w:val="single"/>
              </w:rPr>
            </w:pPr>
            <w:r w:rsidRPr="00E26EF6">
              <w:rPr>
                <w:rFonts w:ascii="Times New Roman" w:hAnsi="Times New Roman"/>
                <w:b/>
                <w:sz w:val="24"/>
                <w:u w:val="single"/>
              </w:rPr>
              <w:t>LICZBA DŁUŻNIKÓW</w:t>
            </w:r>
          </w:p>
          <w:p w14:paraId="390A7084" w14:textId="1ADB5A01" w:rsidR="00915077" w:rsidRPr="00E26EF6" w:rsidRDefault="00BD6DB9">
            <w:pPr>
              <w:rPr>
                <w:rFonts w:ascii="Times New Roman" w:hAnsi="Times New Roman"/>
                <w:sz w:val="24"/>
              </w:rPr>
            </w:pPr>
            <w:r w:rsidRPr="00E26EF6">
              <w:rPr>
                <w:rFonts w:ascii="Times New Roman" w:hAnsi="Times New Roman"/>
                <w:sz w:val="24"/>
              </w:rPr>
              <w:t>Art. 172 ust.</w:t>
            </w:r>
            <w:r w:rsidR="00023409" w:rsidRPr="00E26EF6">
              <w:rPr>
                <w:rFonts w:ascii="Times New Roman" w:hAnsi="Times New Roman"/>
                <w:sz w:val="24"/>
              </w:rPr>
              <w:t> </w:t>
            </w:r>
            <w:r w:rsidRPr="00E26EF6">
              <w:rPr>
                <w:rFonts w:ascii="Times New Roman" w:hAnsi="Times New Roman"/>
                <w:sz w:val="24"/>
              </w:rPr>
              <w:t>1</w:t>
            </w:r>
            <w:r w:rsidR="00E26EF6" w:rsidRPr="00E26EF6">
              <w:rPr>
                <w:rFonts w:ascii="Times New Roman" w:hAnsi="Times New Roman"/>
                <w:sz w:val="24"/>
              </w:rPr>
              <w:t xml:space="preserve"> i 2</w:t>
            </w:r>
            <w:r w:rsidRPr="00E26EF6">
              <w:rPr>
                <w:rFonts w:ascii="Times New Roman" w:hAnsi="Times New Roman"/>
                <w:sz w:val="24"/>
              </w:rPr>
              <w:t xml:space="preserve"> CRR.</w:t>
            </w:r>
          </w:p>
          <w:p w14:paraId="608B4D5F" w14:textId="1C137DA7" w:rsidR="00915077" w:rsidRPr="00E26EF6" w:rsidRDefault="001C7AB7">
            <w:pPr>
              <w:rPr>
                <w:rFonts w:ascii="Times New Roman" w:hAnsi="Times New Roman"/>
                <w:sz w:val="24"/>
              </w:rPr>
            </w:pPr>
            <w:r w:rsidRPr="00E26EF6">
              <w:rPr>
                <w:rFonts w:ascii="Times New Roman" w:hAnsi="Times New Roman"/>
                <w:sz w:val="24"/>
              </w:rPr>
              <w:lastRenderedPageBreak/>
              <w:t>Dla wszystkich kategorii ekspozycji,</w:t>
            </w:r>
            <w:r w:rsidR="00E26EF6" w:rsidRPr="00E26EF6">
              <w:rPr>
                <w:rFonts w:ascii="Times New Roman" w:hAnsi="Times New Roman"/>
                <w:sz w:val="24"/>
              </w:rPr>
              <w:t xml:space="preserve"> z wyj</w:t>
            </w:r>
            <w:r w:rsidRPr="00E26EF6">
              <w:rPr>
                <w:rFonts w:ascii="Times New Roman" w:hAnsi="Times New Roman"/>
                <w:sz w:val="24"/>
              </w:rPr>
              <w:t>ątkiem kategorii ekspozycji detalicznych</w:t>
            </w:r>
            <w:r w:rsidR="00E26EF6" w:rsidRPr="00E26EF6">
              <w:rPr>
                <w:rFonts w:ascii="Times New Roman" w:hAnsi="Times New Roman"/>
                <w:sz w:val="24"/>
              </w:rPr>
              <w:t xml:space="preserve"> i prz</w:t>
            </w:r>
            <w:r w:rsidRPr="00E26EF6">
              <w:rPr>
                <w:rFonts w:ascii="Times New Roman" w:hAnsi="Times New Roman"/>
                <w:sz w:val="24"/>
              </w:rPr>
              <w:t>ypadków wymienionych</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172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 xml:space="preserve">e) zdanie drugie CRR, instytucje zgłaszają liczbę podmiotów prawnych/dłużników, których oceniono oddzielnie, niezależnie od liczby różnych przyznanych pożyczek lub ekspozycji. </w:t>
            </w:r>
          </w:p>
          <w:p w14:paraId="5B24290D" w14:textId="6832A1D1" w:rsidR="00915077" w:rsidRPr="00E26EF6" w:rsidRDefault="001C7AB7">
            <w:pPr>
              <w:rPr>
                <w:rFonts w:ascii="Times New Roman" w:hAnsi="Times New Roman"/>
                <w:sz w:val="24"/>
              </w:rPr>
            </w:pPr>
            <w:r w:rsidRPr="00E26EF6">
              <w:rPr>
                <w:rFonts w:ascii="Times New Roman" w:hAnsi="Times New Roman"/>
                <w:sz w:val="24"/>
              </w:rPr>
              <w:t>W obrębie kategorii ekspozycji detalicznych lub jeżeli odrębne ekspozycje wobec tego samego dłużnika są przypisane do różnych klas jakości dłużnika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172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e) zdanie drugie CRR</w:t>
            </w:r>
            <w:r w:rsidR="00E26EF6" w:rsidRPr="00E26EF6">
              <w:rPr>
                <w:rFonts w:ascii="Times New Roman" w:hAnsi="Times New Roman"/>
                <w:sz w:val="24"/>
              </w:rPr>
              <w:t xml:space="preserve"> w inn</w:t>
            </w:r>
            <w:r w:rsidRPr="00E26EF6">
              <w:rPr>
                <w:rFonts w:ascii="Times New Roman" w:hAnsi="Times New Roman"/>
                <w:sz w:val="24"/>
              </w:rPr>
              <w:t>ych kategoriach ekspozycji, instytucje zgłaszają liczbę ekspozycji, które zostały oddzielnie przypisane do określonej klasy jakości lub puli. Jeżeli art.</w:t>
            </w:r>
            <w:r w:rsidR="00023409" w:rsidRPr="00E26EF6">
              <w:rPr>
                <w:rFonts w:ascii="Times New Roman" w:hAnsi="Times New Roman"/>
                <w:sz w:val="24"/>
              </w:rPr>
              <w:t> </w:t>
            </w:r>
            <w:r w:rsidRPr="00E26EF6">
              <w:rPr>
                <w:rFonts w:ascii="Times New Roman" w:hAnsi="Times New Roman"/>
                <w:sz w:val="24"/>
              </w:rPr>
              <w:t>172 ust.</w:t>
            </w:r>
            <w:r w:rsidR="00023409" w:rsidRPr="00E26EF6">
              <w:rPr>
                <w:rFonts w:ascii="Times New Roman" w:hAnsi="Times New Roman"/>
                <w:sz w:val="24"/>
              </w:rPr>
              <w:t> </w:t>
            </w:r>
            <w:r w:rsidRPr="00E26EF6">
              <w:rPr>
                <w:rFonts w:ascii="Times New Roman" w:hAnsi="Times New Roman"/>
                <w:sz w:val="24"/>
              </w:rPr>
              <w:t>2 CRR ma zastosowanie, dłużnik może zostać uwzględniony</w:t>
            </w:r>
            <w:r w:rsidR="00E26EF6" w:rsidRPr="00E26EF6">
              <w:rPr>
                <w:rFonts w:ascii="Times New Roman" w:hAnsi="Times New Roman"/>
                <w:sz w:val="24"/>
              </w:rPr>
              <w:t xml:space="preserve"> w wię</w:t>
            </w:r>
            <w:r w:rsidRPr="00E26EF6">
              <w:rPr>
                <w:rFonts w:ascii="Times New Roman" w:hAnsi="Times New Roman"/>
                <w:sz w:val="24"/>
              </w:rPr>
              <w:t>cej niż jednej klasie jakości.</w:t>
            </w:r>
          </w:p>
          <w:p w14:paraId="1547B503" w14:textId="16C026F4" w:rsidR="00915077" w:rsidRPr="00E26EF6" w:rsidRDefault="001C7AB7">
            <w:pPr>
              <w:rPr>
                <w:rFonts w:ascii="Times New Roman" w:hAnsi="Times New Roman"/>
                <w:sz w:val="24"/>
              </w:rPr>
            </w:pPr>
            <w:r w:rsidRPr="00E26EF6">
              <w:rPr>
                <w:rStyle w:val="InstructionsTabelleText"/>
                <w:rFonts w:ascii="Times New Roman" w:hAnsi="Times New Roman"/>
                <w:sz w:val="24"/>
              </w:rPr>
              <w:t>Jako że kolumna ta dotyczy elementu struktury systemu ratingu, odnosi się do pierwotnej ekspozycji przed uwzględnieniem współczynników konwersji przypisanych do każdej klasy jakości lub puli dłużnika bez brania pod uwagę efektu technik ograniczania ryzyka kredytowego (w szczególności efektów redystrybucji).</w:t>
            </w:r>
          </w:p>
        </w:tc>
      </w:tr>
    </w:tbl>
    <w:p w14:paraId="144D4DE9" w14:textId="77777777" w:rsidR="00915077" w:rsidRPr="00E26EF6" w:rsidRDefault="0091507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915077" w:rsidRPr="00E26EF6" w14:paraId="67A7870D" w14:textId="77777777" w:rsidTr="00672D2A">
        <w:tc>
          <w:tcPr>
            <w:tcW w:w="1242" w:type="dxa"/>
            <w:shd w:val="clear" w:color="auto" w:fill="CCCCCC"/>
          </w:tcPr>
          <w:p w14:paraId="74B29CD0" w14:textId="77777777" w:rsidR="00915077" w:rsidRPr="00E26EF6" w:rsidRDefault="001C7AB7">
            <w:pPr>
              <w:rPr>
                <w:rFonts w:ascii="Times New Roman" w:hAnsi="Times New Roman"/>
                <w:sz w:val="24"/>
                <w:highlight w:val="lightGray"/>
              </w:rPr>
            </w:pPr>
            <w:r w:rsidRPr="00E26EF6">
              <w:rPr>
                <w:rFonts w:ascii="Times New Roman" w:hAnsi="Times New Roman"/>
                <w:sz w:val="24"/>
              </w:rPr>
              <w:t>Wiersze</w:t>
            </w:r>
          </w:p>
        </w:tc>
        <w:tc>
          <w:tcPr>
            <w:tcW w:w="8789" w:type="dxa"/>
            <w:shd w:val="clear" w:color="auto" w:fill="CCCCCC"/>
          </w:tcPr>
          <w:p w14:paraId="0336C81C" w14:textId="77777777" w:rsidR="00915077" w:rsidRPr="00E26EF6" w:rsidRDefault="001C7AB7">
            <w:pPr>
              <w:ind w:left="72"/>
              <w:rPr>
                <w:rFonts w:ascii="Times New Roman" w:hAnsi="Times New Roman"/>
                <w:sz w:val="24"/>
                <w:highlight w:val="lightGray"/>
              </w:rPr>
            </w:pPr>
            <w:r w:rsidRPr="00E26EF6">
              <w:rPr>
                <w:rFonts w:ascii="Times New Roman" w:hAnsi="Times New Roman"/>
                <w:sz w:val="24"/>
              </w:rPr>
              <w:t>Instrukcje</w:t>
            </w:r>
          </w:p>
        </w:tc>
      </w:tr>
      <w:tr w:rsidR="00915077" w:rsidRPr="00E26EF6" w14:paraId="2C25964C" w14:textId="77777777" w:rsidTr="00672D2A">
        <w:tc>
          <w:tcPr>
            <w:tcW w:w="1242" w:type="dxa"/>
          </w:tcPr>
          <w:p w14:paraId="20F4F65D" w14:textId="77777777" w:rsidR="00915077" w:rsidRPr="00E26EF6" w:rsidRDefault="001C7AB7">
            <w:pPr>
              <w:rPr>
                <w:rFonts w:ascii="Times New Roman" w:hAnsi="Times New Roman"/>
                <w:sz w:val="24"/>
                <w:highlight w:val="lightGray"/>
              </w:rPr>
            </w:pPr>
            <w:r w:rsidRPr="00E26EF6">
              <w:rPr>
                <w:rFonts w:ascii="Times New Roman" w:hAnsi="Times New Roman"/>
                <w:sz w:val="24"/>
              </w:rPr>
              <w:t>010</w:t>
            </w:r>
          </w:p>
        </w:tc>
        <w:tc>
          <w:tcPr>
            <w:tcW w:w="8789" w:type="dxa"/>
          </w:tcPr>
          <w:p w14:paraId="709C02D5" w14:textId="77777777" w:rsidR="00915077" w:rsidRPr="00E26EF6" w:rsidRDefault="001C7AB7">
            <w:pPr>
              <w:rPr>
                <w:rFonts w:ascii="Times New Roman" w:hAnsi="Times New Roman"/>
                <w:sz w:val="24"/>
                <w:highlight w:val="lightGray"/>
              </w:rPr>
            </w:pPr>
            <w:r w:rsidRPr="00E26EF6">
              <w:rPr>
                <w:rFonts w:ascii="Times New Roman" w:hAnsi="Times New Roman"/>
                <w:b/>
                <w:sz w:val="24"/>
                <w:u w:val="single"/>
              </w:rPr>
              <w:t>EKSPOZYCJE CAŁKOWITE</w:t>
            </w:r>
          </w:p>
        </w:tc>
      </w:tr>
      <w:tr w:rsidR="00915077" w:rsidRPr="00E26EF6" w14:paraId="00F02146" w14:textId="77777777" w:rsidTr="00672D2A">
        <w:tc>
          <w:tcPr>
            <w:tcW w:w="1242" w:type="dxa"/>
          </w:tcPr>
          <w:p w14:paraId="3903B142" w14:textId="77777777" w:rsidR="00915077" w:rsidRPr="00E26EF6" w:rsidRDefault="003C3168">
            <w:pPr>
              <w:rPr>
                <w:rFonts w:ascii="Times New Roman" w:hAnsi="Times New Roman"/>
                <w:sz w:val="24"/>
                <w:highlight w:val="lightGray"/>
              </w:rPr>
            </w:pPr>
            <w:r w:rsidRPr="00E26EF6">
              <w:rPr>
                <w:rFonts w:ascii="Times New Roman" w:hAnsi="Times New Roman"/>
                <w:sz w:val="24"/>
              </w:rPr>
              <w:t>015</w:t>
            </w:r>
          </w:p>
        </w:tc>
        <w:tc>
          <w:tcPr>
            <w:tcW w:w="8789" w:type="dxa"/>
          </w:tcPr>
          <w:p w14:paraId="5DB40E09" w14:textId="77777777" w:rsidR="00915077" w:rsidRPr="00E26EF6" w:rsidRDefault="00785F3E">
            <w:pPr>
              <w:rPr>
                <w:rFonts w:ascii="Times New Roman" w:hAnsi="Times New Roman"/>
                <w:b/>
                <w:sz w:val="24"/>
                <w:u w:val="single"/>
              </w:rPr>
            </w:pPr>
            <w:r w:rsidRPr="00E26EF6">
              <w:rPr>
                <w:rFonts w:ascii="Times New Roman" w:hAnsi="Times New Roman"/>
                <w:b/>
                <w:sz w:val="24"/>
                <w:u w:val="single"/>
              </w:rPr>
              <w:t>W tym: ekspozycje podlegające współczynnikowi wsparcia MŚP</w:t>
            </w:r>
          </w:p>
          <w:p w14:paraId="5F8B6009" w14:textId="6745C042" w:rsidR="00915077" w:rsidRPr="00E26EF6" w:rsidRDefault="00785F3E">
            <w:pPr>
              <w:rPr>
                <w:rFonts w:ascii="Times New Roman" w:hAnsi="Times New Roman"/>
                <w:sz w:val="24"/>
                <w:highlight w:val="lightGray"/>
              </w:rPr>
            </w:pPr>
            <w:r w:rsidRPr="00E26EF6">
              <w:rPr>
                <w:rFonts w:ascii="Times New Roman" w:hAnsi="Times New Roman"/>
                <w:sz w:val="24"/>
              </w:rPr>
              <w:t>W tym miejscu zgłasza się wyłącznie ekspozycje, które spełniają wymogi określone</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501 ust.</w:t>
            </w:r>
            <w:r w:rsidR="00023409" w:rsidRPr="00E26EF6">
              <w:rPr>
                <w:rFonts w:ascii="Times New Roman" w:hAnsi="Times New Roman"/>
                <w:sz w:val="24"/>
              </w:rPr>
              <w:t> </w:t>
            </w:r>
            <w:r w:rsidRPr="00E26EF6">
              <w:rPr>
                <w:rFonts w:ascii="Times New Roman" w:hAnsi="Times New Roman"/>
                <w:sz w:val="24"/>
              </w:rPr>
              <w:t>2 CRR.</w:t>
            </w:r>
          </w:p>
        </w:tc>
      </w:tr>
      <w:tr w:rsidR="00915077" w:rsidRPr="00E26EF6" w14:paraId="6936BCF8" w14:textId="77777777" w:rsidTr="00672D2A">
        <w:tc>
          <w:tcPr>
            <w:tcW w:w="1242" w:type="dxa"/>
          </w:tcPr>
          <w:p w14:paraId="17393267" w14:textId="77777777" w:rsidR="00915077" w:rsidRPr="00E26EF6" w:rsidRDefault="001C7AB7">
            <w:pPr>
              <w:rPr>
                <w:rFonts w:ascii="Times New Roman" w:hAnsi="Times New Roman"/>
                <w:sz w:val="24"/>
                <w:highlight w:val="lightGray"/>
              </w:rPr>
            </w:pPr>
            <w:r w:rsidRPr="00E26EF6">
              <w:rPr>
                <w:rFonts w:ascii="Times New Roman" w:hAnsi="Times New Roman"/>
                <w:sz w:val="24"/>
              </w:rPr>
              <w:t>020-060</w:t>
            </w:r>
          </w:p>
        </w:tc>
        <w:tc>
          <w:tcPr>
            <w:tcW w:w="8789" w:type="dxa"/>
          </w:tcPr>
          <w:p w14:paraId="084F6733" w14:textId="77777777" w:rsidR="00915077" w:rsidRPr="00E26EF6" w:rsidRDefault="001C7AB7">
            <w:pPr>
              <w:rPr>
                <w:rFonts w:ascii="Times New Roman" w:hAnsi="Times New Roman"/>
                <w:sz w:val="24"/>
                <w:highlight w:val="lightGray"/>
              </w:rPr>
            </w:pPr>
            <w:r w:rsidRPr="00E26EF6">
              <w:rPr>
                <w:rFonts w:ascii="Times New Roman" w:hAnsi="Times New Roman"/>
                <w:sz w:val="24"/>
              </w:rPr>
              <w:t>PODZIAŁ EKSPOZYCJI CAŁKOWITYCH WEDŁUG RODZAJÓW EKSPOZYCJI:</w:t>
            </w:r>
          </w:p>
        </w:tc>
      </w:tr>
      <w:tr w:rsidR="00915077" w:rsidRPr="00E26EF6" w14:paraId="0C7A79BA" w14:textId="77777777" w:rsidTr="00672D2A">
        <w:tc>
          <w:tcPr>
            <w:tcW w:w="1242" w:type="dxa"/>
          </w:tcPr>
          <w:p w14:paraId="73FC6971" w14:textId="77777777" w:rsidR="00915077" w:rsidRPr="00E26EF6" w:rsidRDefault="001C7AB7">
            <w:pPr>
              <w:rPr>
                <w:rFonts w:ascii="Times New Roman" w:hAnsi="Times New Roman"/>
                <w:sz w:val="24"/>
                <w:highlight w:val="lightGray"/>
              </w:rPr>
            </w:pPr>
            <w:r w:rsidRPr="00E26EF6">
              <w:rPr>
                <w:rFonts w:ascii="Times New Roman" w:hAnsi="Times New Roman"/>
                <w:sz w:val="24"/>
              </w:rPr>
              <w:t>020</w:t>
            </w:r>
          </w:p>
        </w:tc>
        <w:tc>
          <w:tcPr>
            <w:tcW w:w="8789" w:type="dxa"/>
          </w:tcPr>
          <w:p w14:paraId="3566196D"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 xml:space="preserve">Pozycje bilansowe podlegające ryzyku kredytowemu </w:t>
            </w:r>
          </w:p>
          <w:p w14:paraId="28EA2A5D" w14:textId="0D432AE0"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Aktywów,</w:t>
            </w:r>
            <w:r w:rsidR="00E26EF6" w:rsidRPr="00E26EF6">
              <w:rPr>
                <w:rStyle w:val="InstructionsTabelleText"/>
                <w:rFonts w:ascii="Times New Roman" w:hAnsi="Times New Roman"/>
                <w:sz w:val="24"/>
              </w:rPr>
              <w:t xml:space="preserve"> o któ</w:t>
            </w:r>
            <w:r w:rsidRPr="00E26EF6">
              <w:rPr>
                <w:rStyle w:val="InstructionsTabelleText"/>
                <w:rFonts w:ascii="Times New Roman" w:hAnsi="Times New Roman"/>
                <w:sz w:val="24"/>
              </w:rPr>
              <w:t>rych mowa</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24 CRR, nie ujmuje się</w:t>
            </w:r>
            <w:r w:rsidR="00E26EF6" w:rsidRPr="00E26EF6">
              <w:rPr>
                <w:rStyle w:val="InstructionsTabelleText"/>
                <w:rFonts w:ascii="Times New Roman" w:hAnsi="Times New Roman"/>
                <w:sz w:val="24"/>
              </w:rPr>
              <w:t xml:space="preserve"> w żad</w:t>
            </w:r>
            <w:r w:rsidRPr="00E26EF6">
              <w:rPr>
                <w:rStyle w:val="InstructionsTabelleText"/>
                <w:rFonts w:ascii="Times New Roman" w:hAnsi="Times New Roman"/>
                <w:sz w:val="24"/>
              </w:rPr>
              <w:t>nej innej kategorii.</w:t>
            </w:r>
          </w:p>
          <w:p w14:paraId="3A67FB5E" w14:textId="3CE56270"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Ekspozycje, które są pozycjami bilansowymi</w:t>
            </w:r>
            <w:r w:rsidR="00E26EF6" w:rsidRPr="00E26EF6">
              <w:rPr>
                <w:rStyle w:val="InstructionsTabelleText"/>
                <w:rFonts w:ascii="Times New Roman" w:hAnsi="Times New Roman"/>
                <w:sz w:val="24"/>
              </w:rPr>
              <w:t xml:space="preserve"> i któ</w:t>
            </w:r>
            <w:r w:rsidRPr="00E26EF6">
              <w:rPr>
                <w:rStyle w:val="InstructionsTabelleText"/>
                <w:rFonts w:ascii="Times New Roman" w:hAnsi="Times New Roman"/>
                <w:sz w:val="24"/>
              </w:rPr>
              <w:t>re zostały uwzględnione jako transakcje finansowane</w:t>
            </w:r>
            <w:r w:rsidR="00E26EF6" w:rsidRPr="00E26EF6">
              <w:rPr>
                <w:rStyle w:val="InstructionsTabelleText"/>
                <w:rFonts w:ascii="Times New Roman" w:hAnsi="Times New Roman"/>
                <w:sz w:val="24"/>
              </w:rPr>
              <w:t xml:space="preserve"> z uży</w:t>
            </w:r>
            <w:r w:rsidRPr="00E26EF6">
              <w:rPr>
                <w:rStyle w:val="InstructionsTabelleText"/>
                <w:rFonts w:ascii="Times New Roman" w:hAnsi="Times New Roman"/>
                <w:sz w:val="24"/>
              </w:rPr>
              <w:t>ciem papierów wartościowych, instrumenty pochodne oraz transakcje</w:t>
            </w:r>
            <w:r w:rsidR="00E26EF6" w:rsidRPr="00E26EF6">
              <w:rPr>
                <w:rStyle w:val="InstructionsTabelleText"/>
                <w:rFonts w:ascii="Times New Roman" w:hAnsi="Times New Roman"/>
                <w:sz w:val="24"/>
              </w:rPr>
              <w:t xml:space="preserve"> z dłu</w:t>
            </w:r>
            <w:r w:rsidRPr="00E26EF6">
              <w:rPr>
                <w:rStyle w:val="InstructionsTabelleText"/>
                <w:rFonts w:ascii="Times New Roman" w:hAnsi="Times New Roman"/>
                <w:sz w:val="24"/>
              </w:rPr>
              <w:t>gim terminem rozliczenia lub wynikają</w:t>
            </w:r>
            <w:r w:rsidR="00E26EF6" w:rsidRPr="00E26EF6">
              <w:rPr>
                <w:rStyle w:val="InstructionsTabelleText"/>
                <w:rFonts w:ascii="Times New Roman" w:hAnsi="Times New Roman"/>
                <w:sz w:val="24"/>
              </w:rPr>
              <w:t xml:space="preserve"> z umo</w:t>
            </w:r>
            <w:r w:rsidRPr="00E26EF6">
              <w:rPr>
                <w:rStyle w:val="InstructionsTabelleText"/>
                <w:rFonts w:ascii="Times New Roman" w:hAnsi="Times New Roman"/>
                <w:sz w:val="24"/>
              </w:rPr>
              <w:t>wy</w:t>
            </w:r>
            <w:r w:rsidR="00E26EF6" w:rsidRPr="00E26EF6">
              <w:rPr>
                <w:rStyle w:val="InstructionsTabelleText"/>
                <w:rFonts w:ascii="Times New Roman" w:hAnsi="Times New Roman"/>
                <w:sz w:val="24"/>
              </w:rPr>
              <w:t xml:space="preserve"> o kom</w:t>
            </w:r>
            <w:r w:rsidRPr="00E26EF6">
              <w:rPr>
                <w:rStyle w:val="InstructionsTabelleText"/>
                <w:rFonts w:ascii="Times New Roman" w:hAnsi="Times New Roman"/>
                <w:sz w:val="24"/>
              </w:rPr>
              <w:t>pensowaniu międzyproduktowym zgłaszane są</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rszach 040–060,</w:t>
            </w:r>
            <w:r w:rsidR="00E26EF6" w:rsidRPr="00E26EF6">
              <w:rPr>
                <w:rStyle w:val="InstructionsTabelleText"/>
                <w:rFonts w:ascii="Times New Roman" w:hAnsi="Times New Roman"/>
                <w:sz w:val="24"/>
              </w:rPr>
              <w:t xml:space="preserve"> a tym</w:t>
            </w:r>
            <w:r w:rsidRPr="00E26EF6">
              <w:rPr>
                <w:rStyle w:val="InstructionsTabelleText"/>
                <w:rFonts w:ascii="Times New Roman" w:hAnsi="Times New Roman"/>
                <w:sz w:val="24"/>
              </w:rPr>
              <w:t xml:space="preserve"> samym nie są zgłaszane</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wierszu.</w:t>
            </w:r>
          </w:p>
          <w:p w14:paraId="422306DC" w14:textId="5F2FBC8D"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Dostawy</w:t>
            </w:r>
            <w:r w:rsidR="00E26EF6" w:rsidRPr="00E26EF6">
              <w:rPr>
                <w:rStyle w:val="InstructionsTabelleText"/>
                <w:rFonts w:ascii="Times New Roman" w:hAnsi="Times New Roman"/>
                <w:sz w:val="24"/>
              </w:rPr>
              <w:t xml:space="preserve"> z póź</w:t>
            </w:r>
            <w:r w:rsidRPr="00E26EF6">
              <w:rPr>
                <w:rStyle w:val="InstructionsTabelleText"/>
                <w:rFonts w:ascii="Times New Roman" w:hAnsi="Times New Roman"/>
                <w:sz w:val="24"/>
              </w:rPr>
              <w:t>niejszym terminem rozliczenia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379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CRR (jeżeli nie zostały odliczone) nie są pozycjami bilansowymi, jednak zgłaszane są</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wierszu.</w:t>
            </w:r>
          </w:p>
          <w:p w14:paraId="54CB0B39" w14:textId="01BE819A" w:rsidR="00915077" w:rsidRPr="00E26EF6" w:rsidRDefault="001C7AB7">
            <w:pPr>
              <w:rPr>
                <w:rFonts w:ascii="Times New Roman" w:hAnsi="Times New Roman"/>
                <w:sz w:val="24"/>
                <w:highlight w:val="lightGray"/>
              </w:rPr>
            </w:pPr>
            <w:r w:rsidRPr="00E26EF6">
              <w:rPr>
                <w:rStyle w:val="InstructionsTabelleText"/>
                <w:rFonts w:ascii="Times New Roman" w:hAnsi="Times New Roman"/>
                <w:sz w:val="24"/>
              </w:rPr>
              <w:t>Uwzględnia się ekspozycje wynikające</w:t>
            </w:r>
            <w:r w:rsidR="00E26EF6" w:rsidRPr="00E26EF6">
              <w:rPr>
                <w:rStyle w:val="InstructionsTabelleText"/>
                <w:rFonts w:ascii="Times New Roman" w:hAnsi="Times New Roman"/>
                <w:sz w:val="24"/>
              </w:rPr>
              <w:t xml:space="preserve"> z prz</w:t>
            </w:r>
            <w:r w:rsidRPr="00E26EF6">
              <w:rPr>
                <w:rStyle w:val="InstructionsTabelleText"/>
                <w:rFonts w:ascii="Times New Roman" w:hAnsi="Times New Roman"/>
                <w:sz w:val="24"/>
              </w:rPr>
              <w:t>ekazania aktywów kontrahentowi centralnemu jako zabezpieczenia, zgodnie</w:t>
            </w:r>
            <w:r w:rsidR="00E26EF6" w:rsidRPr="00E26EF6">
              <w:rPr>
                <w:rStyle w:val="InstructionsTabelleText"/>
                <w:rFonts w:ascii="Times New Roman" w:hAnsi="Times New Roman"/>
                <w:sz w:val="24"/>
              </w:rPr>
              <w:t xml:space="preserve"> z def</w:t>
            </w:r>
            <w:r w:rsidRPr="00E26EF6">
              <w:rPr>
                <w:rStyle w:val="InstructionsTabelleText"/>
                <w:rFonts w:ascii="Times New Roman" w:hAnsi="Times New Roman"/>
                <w:sz w:val="24"/>
              </w:rPr>
              <w:t>inicją zawartą</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91 CRR, jeżeli nie zgłoszono ich</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 xml:space="preserve">rszu 030. </w:t>
            </w:r>
          </w:p>
        </w:tc>
      </w:tr>
      <w:tr w:rsidR="00915077" w:rsidRPr="00E26EF6" w14:paraId="6E8A95CE" w14:textId="77777777" w:rsidTr="00672D2A">
        <w:tc>
          <w:tcPr>
            <w:tcW w:w="1242" w:type="dxa"/>
          </w:tcPr>
          <w:p w14:paraId="519C9D40" w14:textId="77777777" w:rsidR="00915077" w:rsidRPr="00E26EF6" w:rsidRDefault="001C7AB7">
            <w:pPr>
              <w:rPr>
                <w:rFonts w:ascii="Times New Roman" w:hAnsi="Times New Roman"/>
                <w:sz w:val="24"/>
                <w:highlight w:val="lightGray"/>
              </w:rPr>
            </w:pPr>
            <w:r w:rsidRPr="00E26EF6">
              <w:rPr>
                <w:rFonts w:ascii="Times New Roman" w:hAnsi="Times New Roman"/>
                <w:sz w:val="24"/>
              </w:rPr>
              <w:t>030</w:t>
            </w:r>
          </w:p>
        </w:tc>
        <w:tc>
          <w:tcPr>
            <w:tcW w:w="8789" w:type="dxa"/>
          </w:tcPr>
          <w:p w14:paraId="00498170"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Pozycje pozabilansowe podlegające ryzyku kredytowemu</w:t>
            </w:r>
          </w:p>
          <w:p w14:paraId="1EF7495B" w14:textId="060DE2FC"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Pozycje pozabilansowe zawierają elementy wymienione</w:t>
            </w:r>
            <w:r w:rsidR="00E26EF6" w:rsidRPr="00E26EF6">
              <w:rPr>
                <w:rStyle w:val="InstructionsTabelleText"/>
                <w:rFonts w:ascii="Times New Roman" w:hAnsi="Times New Roman"/>
                <w:sz w:val="24"/>
              </w:rPr>
              <w:t xml:space="preserve"> w zał</w:t>
            </w:r>
            <w:r w:rsidRPr="00E26EF6">
              <w:rPr>
                <w:rStyle w:val="InstructionsTabelleText"/>
                <w:rFonts w:ascii="Times New Roman" w:hAnsi="Times New Roman"/>
                <w:sz w:val="24"/>
              </w:rPr>
              <w:t>ączniku I do CRR.</w:t>
            </w:r>
          </w:p>
          <w:p w14:paraId="0FC5ED39" w14:textId="362E00DE" w:rsidR="00915077" w:rsidRPr="00E26EF6" w:rsidRDefault="001C7AB7">
            <w:pPr>
              <w:rPr>
                <w:rStyle w:val="InstructionsTabelleText"/>
                <w:rFonts w:ascii="Times New Roman" w:hAnsi="Times New Roman"/>
                <w:sz w:val="24"/>
              </w:rPr>
            </w:pPr>
            <w:r w:rsidRPr="00E26EF6">
              <w:rPr>
                <w:rStyle w:val="InstructionsTabelleText"/>
                <w:rFonts w:ascii="Times New Roman" w:hAnsi="Times New Roman"/>
                <w:sz w:val="24"/>
              </w:rPr>
              <w:t>Ekspozycje, które są pozycjami pozabilansowymi</w:t>
            </w:r>
            <w:r w:rsidR="00E26EF6" w:rsidRPr="00E26EF6">
              <w:rPr>
                <w:rStyle w:val="InstructionsTabelleText"/>
                <w:rFonts w:ascii="Times New Roman" w:hAnsi="Times New Roman"/>
                <w:sz w:val="24"/>
              </w:rPr>
              <w:t xml:space="preserve"> i któ</w:t>
            </w:r>
            <w:r w:rsidRPr="00E26EF6">
              <w:rPr>
                <w:rStyle w:val="InstructionsTabelleText"/>
                <w:rFonts w:ascii="Times New Roman" w:hAnsi="Times New Roman"/>
                <w:sz w:val="24"/>
              </w:rPr>
              <w:t>re są uwzględnione jako transakcje finansowane</w:t>
            </w:r>
            <w:r w:rsidR="00E26EF6" w:rsidRPr="00E26EF6">
              <w:rPr>
                <w:rStyle w:val="InstructionsTabelleText"/>
                <w:rFonts w:ascii="Times New Roman" w:hAnsi="Times New Roman"/>
                <w:sz w:val="24"/>
              </w:rPr>
              <w:t xml:space="preserve"> z uży</w:t>
            </w:r>
            <w:r w:rsidRPr="00E26EF6">
              <w:rPr>
                <w:rStyle w:val="InstructionsTabelleText"/>
                <w:rFonts w:ascii="Times New Roman" w:hAnsi="Times New Roman"/>
                <w:sz w:val="24"/>
              </w:rPr>
              <w:t>ciem papierów wartościowych, instrumenty pochodne oraz transakcje</w:t>
            </w:r>
            <w:r w:rsidR="00E26EF6" w:rsidRPr="00E26EF6">
              <w:rPr>
                <w:rStyle w:val="InstructionsTabelleText"/>
                <w:rFonts w:ascii="Times New Roman" w:hAnsi="Times New Roman"/>
                <w:sz w:val="24"/>
              </w:rPr>
              <w:t xml:space="preserve"> z dłu</w:t>
            </w:r>
            <w:r w:rsidRPr="00E26EF6">
              <w:rPr>
                <w:rStyle w:val="InstructionsTabelleText"/>
                <w:rFonts w:ascii="Times New Roman" w:hAnsi="Times New Roman"/>
                <w:sz w:val="24"/>
              </w:rPr>
              <w:t>gim terminem rozliczenia lub wynikają</w:t>
            </w:r>
            <w:r w:rsidR="00E26EF6" w:rsidRPr="00E26EF6">
              <w:rPr>
                <w:rStyle w:val="InstructionsTabelleText"/>
                <w:rFonts w:ascii="Times New Roman" w:hAnsi="Times New Roman"/>
                <w:sz w:val="24"/>
              </w:rPr>
              <w:t xml:space="preserve"> z umo</w:t>
            </w:r>
            <w:r w:rsidRPr="00E26EF6">
              <w:rPr>
                <w:rStyle w:val="InstructionsTabelleText"/>
                <w:rFonts w:ascii="Times New Roman" w:hAnsi="Times New Roman"/>
                <w:sz w:val="24"/>
              </w:rPr>
              <w:t>wy</w:t>
            </w:r>
            <w:r w:rsidR="00E26EF6" w:rsidRPr="00E26EF6">
              <w:rPr>
                <w:rStyle w:val="InstructionsTabelleText"/>
                <w:rFonts w:ascii="Times New Roman" w:hAnsi="Times New Roman"/>
                <w:sz w:val="24"/>
              </w:rPr>
              <w:t xml:space="preserve"> o kom</w:t>
            </w:r>
            <w:r w:rsidRPr="00E26EF6">
              <w:rPr>
                <w:rStyle w:val="InstructionsTabelleText"/>
                <w:rFonts w:ascii="Times New Roman" w:hAnsi="Times New Roman"/>
                <w:sz w:val="24"/>
              </w:rPr>
              <w:t>pensowaniu międzyproduktowym zgłaszane są</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rszach 040–060,</w:t>
            </w:r>
            <w:r w:rsidR="00E26EF6" w:rsidRPr="00E26EF6">
              <w:rPr>
                <w:rStyle w:val="InstructionsTabelleText"/>
                <w:rFonts w:ascii="Times New Roman" w:hAnsi="Times New Roman"/>
                <w:sz w:val="24"/>
              </w:rPr>
              <w:t xml:space="preserve"> a tym</w:t>
            </w:r>
            <w:r w:rsidRPr="00E26EF6">
              <w:rPr>
                <w:rStyle w:val="InstructionsTabelleText"/>
                <w:rFonts w:ascii="Times New Roman" w:hAnsi="Times New Roman"/>
                <w:sz w:val="24"/>
              </w:rPr>
              <w:t xml:space="preserve"> samym nie są zgłaszane</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wierszu.</w:t>
            </w:r>
          </w:p>
          <w:p w14:paraId="372A584F" w14:textId="7946B07E" w:rsidR="00915077" w:rsidRPr="00E26EF6" w:rsidRDefault="001C7AB7">
            <w:pPr>
              <w:rPr>
                <w:rFonts w:ascii="Times New Roman" w:hAnsi="Times New Roman"/>
                <w:sz w:val="24"/>
                <w:highlight w:val="lightGray"/>
              </w:rPr>
            </w:pPr>
            <w:r w:rsidRPr="00E26EF6">
              <w:rPr>
                <w:rStyle w:val="InstructionsTabelleText"/>
                <w:rFonts w:ascii="Times New Roman" w:hAnsi="Times New Roman"/>
                <w:sz w:val="24"/>
              </w:rPr>
              <w:t>Uwzględnia się ekspozycje wynikające</w:t>
            </w:r>
            <w:r w:rsidR="00E26EF6" w:rsidRPr="00E26EF6">
              <w:rPr>
                <w:rStyle w:val="InstructionsTabelleText"/>
                <w:rFonts w:ascii="Times New Roman" w:hAnsi="Times New Roman"/>
                <w:sz w:val="24"/>
              </w:rPr>
              <w:t xml:space="preserve"> z prz</w:t>
            </w:r>
            <w:r w:rsidRPr="00E26EF6">
              <w:rPr>
                <w:rStyle w:val="InstructionsTabelleText"/>
                <w:rFonts w:ascii="Times New Roman" w:hAnsi="Times New Roman"/>
                <w:sz w:val="24"/>
              </w:rPr>
              <w:t>ekazania aktywów kontrahentowi centralnemu jako zabezpieczenia, zgodnie</w:t>
            </w:r>
            <w:r w:rsidR="00E26EF6" w:rsidRPr="00E26EF6">
              <w:rPr>
                <w:rStyle w:val="InstructionsTabelleText"/>
                <w:rFonts w:ascii="Times New Roman" w:hAnsi="Times New Roman"/>
                <w:sz w:val="24"/>
              </w:rPr>
              <w:t xml:space="preserve"> z def</w:t>
            </w:r>
            <w:r w:rsidRPr="00E26EF6">
              <w:rPr>
                <w:rStyle w:val="InstructionsTabelleText"/>
                <w:rFonts w:ascii="Times New Roman" w:hAnsi="Times New Roman"/>
                <w:sz w:val="24"/>
              </w:rPr>
              <w:t>inicją zawartą</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91 CRR, jeżeli uznaje się je za pozycje pozabilansowe.</w:t>
            </w:r>
          </w:p>
        </w:tc>
      </w:tr>
      <w:tr w:rsidR="00915077" w:rsidRPr="00E26EF6" w14:paraId="7BC6039A" w14:textId="77777777" w:rsidTr="00672D2A">
        <w:tc>
          <w:tcPr>
            <w:tcW w:w="1242" w:type="dxa"/>
          </w:tcPr>
          <w:p w14:paraId="55A1E823" w14:textId="77777777" w:rsidR="00915077" w:rsidRPr="00E26EF6" w:rsidRDefault="001C7AB7">
            <w:pPr>
              <w:rPr>
                <w:rFonts w:ascii="Times New Roman" w:hAnsi="Times New Roman"/>
                <w:sz w:val="24"/>
                <w:highlight w:val="lightGray"/>
              </w:rPr>
            </w:pPr>
            <w:r w:rsidRPr="00E26EF6">
              <w:rPr>
                <w:rStyle w:val="InstructionsTabelleText"/>
                <w:rFonts w:ascii="Times New Roman" w:hAnsi="Times New Roman"/>
                <w:sz w:val="24"/>
              </w:rPr>
              <w:t>040-060</w:t>
            </w:r>
          </w:p>
        </w:tc>
        <w:tc>
          <w:tcPr>
            <w:tcW w:w="8789" w:type="dxa"/>
          </w:tcPr>
          <w:p w14:paraId="3F535A8F" w14:textId="77777777" w:rsidR="00915077" w:rsidRPr="00E26EF6" w:rsidRDefault="001C7AB7">
            <w:pPr>
              <w:rPr>
                <w:rFonts w:ascii="Times New Roman" w:hAnsi="Times New Roman"/>
                <w:b/>
                <w:sz w:val="24"/>
                <w:highlight w:val="lightGray"/>
                <w:u w:val="single"/>
              </w:rPr>
            </w:pPr>
            <w:r w:rsidRPr="00E26EF6">
              <w:rPr>
                <w:rStyle w:val="InstructionsTabelleberschrift"/>
                <w:rFonts w:ascii="Times New Roman" w:hAnsi="Times New Roman"/>
                <w:sz w:val="24"/>
              </w:rPr>
              <w:t>Ekspozycje / transakcje podlegające ryzyku kredytowemu kontrahenta</w:t>
            </w:r>
          </w:p>
        </w:tc>
      </w:tr>
      <w:tr w:rsidR="00915077" w:rsidRPr="00E26EF6" w14:paraId="664A63CB" w14:textId="77777777" w:rsidTr="00672D2A">
        <w:tc>
          <w:tcPr>
            <w:tcW w:w="1242" w:type="dxa"/>
          </w:tcPr>
          <w:p w14:paraId="76851B1C" w14:textId="77777777" w:rsidR="00915077" w:rsidRPr="00E26EF6" w:rsidRDefault="001C7AB7">
            <w:pPr>
              <w:rPr>
                <w:rFonts w:ascii="Times New Roman" w:hAnsi="Times New Roman"/>
                <w:sz w:val="24"/>
                <w:highlight w:val="lightGray"/>
              </w:rPr>
            </w:pPr>
            <w:r w:rsidRPr="00E26EF6">
              <w:rPr>
                <w:rFonts w:ascii="Times New Roman" w:hAnsi="Times New Roman"/>
                <w:sz w:val="24"/>
              </w:rPr>
              <w:t>040</w:t>
            </w:r>
          </w:p>
        </w:tc>
        <w:tc>
          <w:tcPr>
            <w:tcW w:w="8789" w:type="dxa"/>
          </w:tcPr>
          <w:p w14:paraId="6B6DFE3A" w14:textId="33696C3E" w:rsidR="00915077" w:rsidRPr="00E26EF6" w:rsidRDefault="001C7AB7">
            <w:pPr>
              <w:ind w:left="72"/>
              <w:rPr>
                <w:rStyle w:val="InstructionsTabelleberschrift"/>
                <w:rFonts w:ascii="Times New Roman" w:hAnsi="Times New Roman"/>
                <w:sz w:val="24"/>
              </w:rPr>
            </w:pPr>
            <w:r w:rsidRPr="00E26EF6">
              <w:rPr>
                <w:rStyle w:val="InstructionsTabelleberschrift"/>
                <w:rFonts w:ascii="Times New Roman" w:hAnsi="Times New Roman"/>
                <w:sz w:val="24"/>
              </w:rPr>
              <w:t>Transakcje finansowane</w:t>
            </w:r>
            <w:r w:rsidR="00E26EF6" w:rsidRPr="00E26EF6">
              <w:rPr>
                <w:rStyle w:val="InstructionsTabelleberschrift"/>
                <w:rFonts w:ascii="Times New Roman" w:hAnsi="Times New Roman"/>
                <w:sz w:val="24"/>
              </w:rPr>
              <w:t xml:space="preserve"> z uży</w:t>
            </w:r>
            <w:r w:rsidRPr="00E26EF6">
              <w:rPr>
                <w:rStyle w:val="InstructionsTabelleberschrift"/>
                <w:rFonts w:ascii="Times New Roman" w:hAnsi="Times New Roman"/>
                <w:sz w:val="24"/>
              </w:rPr>
              <w:t xml:space="preserve">ciem papierów wartościowych </w:t>
            </w:r>
          </w:p>
          <w:p w14:paraId="75BED70D" w14:textId="755F9726" w:rsidR="00915077" w:rsidRPr="00E26EF6" w:rsidRDefault="001C7AB7">
            <w:pPr>
              <w:ind w:left="72"/>
              <w:rPr>
                <w:rStyle w:val="InstructionsTabelleText"/>
                <w:rFonts w:ascii="Times New Roman" w:hAnsi="Times New Roman"/>
                <w:sz w:val="24"/>
              </w:rPr>
            </w:pPr>
            <w:r w:rsidRPr="00E26EF6">
              <w:rPr>
                <w:rStyle w:val="InstructionsTabelleText"/>
                <w:rFonts w:ascii="Times New Roman" w:hAnsi="Times New Roman"/>
                <w:sz w:val="24"/>
              </w:rPr>
              <w:t>Transakcje finansowane</w:t>
            </w:r>
            <w:r w:rsidR="00E26EF6" w:rsidRPr="00E26EF6">
              <w:rPr>
                <w:rStyle w:val="InstructionsTabelleText"/>
                <w:rFonts w:ascii="Times New Roman" w:hAnsi="Times New Roman"/>
                <w:sz w:val="24"/>
              </w:rPr>
              <w:t xml:space="preserve"> z uży</w:t>
            </w:r>
            <w:r w:rsidRPr="00E26EF6">
              <w:rPr>
                <w:rStyle w:val="InstructionsTabelleText"/>
                <w:rFonts w:ascii="Times New Roman" w:hAnsi="Times New Roman"/>
                <w:sz w:val="24"/>
              </w:rPr>
              <w:t>ciem papierów wartościowych zgodnie</w:t>
            </w:r>
            <w:r w:rsidR="00E26EF6" w:rsidRPr="00E26EF6">
              <w:rPr>
                <w:rStyle w:val="InstructionsTabelleText"/>
                <w:rFonts w:ascii="Times New Roman" w:hAnsi="Times New Roman"/>
                <w:sz w:val="24"/>
              </w:rPr>
              <w:t xml:space="preserve"> z def</w:t>
            </w:r>
            <w:r w:rsidRPr="00E26EF6">
              <w:rPr>
                <w:rStyle w:val="InstructionsTabelleText"/>
                <w:rFonts w:ascii="Times New Roman" w:hAnsi="Times New Roman"/>
                <w:sz w:val="24"/>
              </w:rPr>
              <w:t>inicją zawartą</w:t>
            </w:r>
            <w:r w:rsidR="00E26EF6" w:rsidRPr="00E26EF6">
              <w:rPr>
                <w:rStyle w:val="InstructionsTabelleText"/>
                <w:rFonts w:ascii="Times New Roman" w:hAnsi="Times New Roman"/>
                <w:sz w:val="24"/>
              </w:rPr>
              <w:t xml:space="preserve"> w ust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17 dokumentu Bazylejskiego Komitetu Nadzoru Bankowego „The Application of Basel II to Trading Activities and the Treatment of Double Default Effects” obejmują: (i) umowy</w:t>
            </w:r>
            <w:r w:rsidR="00E26EF6" w:rsidRPr="00E26EF6">
              <w:rPr>
                <w:rStyle w:val="InstructionsTabelleText"/>
                <w:rFonts w:ascii="Times New Roman" w:hAnsi="Times New Roman"/>
                <w:sz w:val="24"/>
              </w:rPr>
              <w:t xml:space="preserve"> z udz</w:t>
            </w:r>
            <w:r w:rsidRPr="00E26EF6">
              <w:rPr>
                <w:rStyle w:val="InstructionsTabelleText"/>
                <w:rFonts w:ascii="Times New Roman" w:hAnsi="Times New Roman"/>
                <w:sz w:val="24"/>
              </w:rPr>
              <w:t>ielonym przyrzeczeniem odkupu</w:t>
            </w:r>
            <w:r w:rsidR="00E26EF6" w:rsidRPr="00E26EF6">
              <w:rPr>
                <w:rStyle w:val="InstructionsTabelleText"/>
                <w:rFonts w:ascii="Times New Roman" w:hAnsi="Times New Roman"/>
                <w:sz w:val="24"/>
              </w:rPr>
              <w:t xml:space="preserve"> i umo</w:t>
            </w:r>
            <w:r w:rsidRPr="00E26EF6">
              <w:rPr>
                <w:rStyle w:val="InstructionsTabelleText"/>
                <w:rFonts w:ascii="Times New Roman" w:hAnsi="Times New Roman"/>
                <w:sz w:val="24"/>
              </w:rPr>
              <w:t>wy</w:t>
            </w:r>
            <w:r w:rsidR="00E26EF6" w:rsidRPr="00E26EF6">
              <w:rPr>
                <w:rStyle w:val="InstructionsTabelleText"/>
                <w:rFonts w:ascii="Times New Roman" w:hAnsi="Times New Roman"/>
                <w:sz w:val="24"/>
              </w:rPr>
              <w:t xml:space="preserve"> z otr</w:t>
            </w:r>
            <w:r w:rsidRPr="00E26EF6">
              <w:rPr>
                <w:rStyle w:val="InstructionsTabelleText"/>
                <w:rFonts w:ascii="Times New Roman" w:hAnsi="Times New Roman"/>
                <w:sz w:val="24"/>
              </w:rPr>
              <w:t>zymanym przyrzeczeniem odkupu zdefiniowane</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82 CRR,</w:t>
            </w:r>
            <w:r w:rsidR="00E26EF6" w:rsidRPr="00E26EF6">
              <w:rPr>
                <w:rStyle w:val="InstructionsTabelleText"/>
                <w:rFonts w:ascii="Times New Roman" w:hAnsi="Times New Roman"/>
                <w:sz w:val="24"/>
              </w:rPr>
              <w:t xml:space="preserve"> a tak</w:t>
            </w:r>
            <w:r w:rsidRPr="00E26EF6">
              <w:rPr>
                <w:rStyle w:val="InstructionsTabelleText"/>
                <w:rFonts w:ascii="Times New Roman" w:hAnsi="Times New Roman"/>
                <w:sz w:val="24"/>
              </w:rPr>
              <w:t>że transakcje udzielania</w:t>
            </w:r>
            <w:r w:rsidR="00E26EF6" w:rsidRPr="00E26EF6">
              <w:rPr>
                <w:rStyle w:val="InstructionsTabelleText"/>
                <w:rFonts w:ascii="Times New Roman" w:hAnsi="Times New Roman"/>
                <w:sz w:val="24"/>
              </w:rPr>
              <w:t xml:space="preserve"> i zac</w:t>
            </w:r>
            <w:r w:rsidRPr="00E26EF6">
              <w:rPr>
                <w:rStyle w:val="InstructionsTabelleText"/>
                <w:rFonts w:ascii="Times New Roman" w:hAnsi="Times New Roman"/>
                <w:sz w:val="24"/>
              </w:rPr>
              <w:t>iągania pożyczek papierów wartościowych</w:t>
            </w:r>
            <w:r w:rsidR="00E26EF6" w:rsidRPr="00E26EF6">
              <w:rPr>
                <w:rStyle w:val="InstructionsTabelleText"/>
                <w:rFonts w:ascii="Times New Roman" w:hAnsi="Times New Roman"/>
                <w:sz w:val="24"/>
              </w:rPr>
              <w:t xml:space="preserve"> i tow</w:t>
            </w:r>
            <w:r w:rsidRPr="00E26EF6">
              <w:rPr>
                <w:rStyle w:val="InstructionsTabelleText"/>
                <w:rFonts w:ascii="Times New Roman" w:hAnsi="Times New Roman"/>
                <w:sz w:val="24"/>
              </w:rPr>
              <w:t>arów oraz (ii) transakcje</w:t>
            </w:r>
            <w:r w:rsidR="00E26EF6" w:rsidRPr="00E26EF6">
              <w:rPr>
                <w:rStyle w:val="InstructionsTabelleText"/>
                <w:rFonts w:ascii="Times New Roman" w:hAnsi="Times New Roman"/>
                <w:sz w:val="24"/>
              </w:rPr>
              <w:t xml:space="preserve"> z obo</w:t>
            </w:r>
            <w:r w:rsidRPr="00E26EF6">
              <w:rPr>
                <w:rStyle w:val="InstructionsTabelleText"/>
                <w:rFonts w:ascii="Times New Roman" w:hAnsi="Times New Roman"/>
                <w:sz w:val="24"/>
              </w:rPr>
              <w:t>wiązkiem uzupełnienia zabezpieczenia kredytowego zdefiniowane</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272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w:t>
            </w:r>
          </w:p>
          <w:p w14:paraId="354D01CA" w14:textId="4EA662D5" w:rsidR="00915077" w:rsidRPr="00E26EF6" w:rsidRDefault="001C7AB7">
            <w:pPr>
              <w:rPr>
                <w:rFonts w:ascii="Times New Roman" w:hAnsi="Times New Roman"/>
                <w:sz w:val="24"/>
                <w:highlight w:val="lightGray"/>
              </w:rPr>
            </w:pPr>
            <w:r w:rsidRPr="00E26EF6">
              <w:rPr>
                <w:rStyle w:val="InstructionsTabelleText"/>
                <w:rFonts w:ascii="Times New Roman" w:hAnsi="Times New Roman"/>
                <w:sz w:val="24"/>
              </w:rPr>
              <w:lastRenderedPageBreak/>
              <w:t>W wierszu tym nie zgłasza się transakcji finansowanych</w:t>
            </w:r>
            <w:r w:rsidR="00E26EF6" w:rsidRPr="00E26EF6">
              <w:rPr>
                <w:rStyle w:val="InstructionsTabelleText"/>
                <w:rFonts w:ascii="Times New Roman" w:hAnsi="Times New Roman"/>
                <w:sz w:val="24"/>
              </w:rPr>
              <w:t xml:space="preserve"> z uży</w:t>
            </w:r>
            <w:r w:rsidRPr="00E26EF6">
              <w:rPr>
                <w:rStyle w:val="InstructionsTabelleText"/>
                <w:rFonts w:ascii="Times New Roman" w:hAnsi="Times New Roman"/>
                <w:sz w:val="24"/>
              </w:rPr>
              <w:t>ciem papierów wartościowych, które są uwzględnione</w:t>
            </w:r>
            <w:r w:rsidR="00E26EF6" w:rsidRPr="00E26EF6">
              <w:rPr>
                <w:rStyle w:val="InstructionsTabelleText"/>
                <w:rFonts w:ascii="Times New Roman" w:hAnsi="Times New Roman"/>
                <w:sz w:val="24"/>
              </w:rPr>
              <w:t xml:space="preserve"> w kom</w:t>
            </w:r>
            <w:r w:rsidRPr="00E26EF6">
              <w:rPr>
                <w:rStyle w:val="InstructionsTabelleText"/>
                <w:rFonts w:ascii="Times New Roman" w:hAnsi="Times New Roman"/>
                <w:sz w:val="24"/>
              </w:rPr>
              <w:t>pensowaniu międzyproduktowym,</w:t>
            </w:r>
            <w:r w:rsidR="00E26EF6" w:rsidRPr="00E26EF6">
              <w:rPr>
                <w:rStyle w:val="InstructionsTabelleText"/>
                <w:rFonts w:ascii="Times New Roman" w:hAnsi="Times New Roman"/>
                <w:sz w:val="24"/>
              </w:rPr>
              <w:t xml:space="preserve"> i dla</w:t>
            </w:r>
            <w:r w:rsidRPr="00E26EF6">
              <w:rPr>
                <w:rStyle w:val="InstructionsTabelleText"/>
                <w:rFonts w:ascii="Times New Roman" w:hAnsi="Times New Roman"/>
                <w:sz w:val="24"/>
              </w:rPr>
              <w:t>tego są zgłoszone</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rszu 060.</w:t>
            </w:r>
          </w:p>
        </w:tc>
      </w:tr>
      <w:tr w:rsidR="00915077" w:rsidRPr="00E26EF6" w14:paraId="25EC65F2" w14:textId="77777777" w:rsidTr="00672D2A">
        <w:tc>
          <w:tcPr>
            <w:tcW w:w="1242" w:type="dxa"/>
          </w:tcPr>
          <w:p w14:paraId="4EE3528A" w14:textId="77777777" w:rsidR="00915077" w:rsidRPr="00E26EF6" w:rsidRDefault="001C7AB7">
            <w:pPr>
              <w:rPr>
                <w:rFonts w:ascii="Times New Roman" w:hAnsi="Times New Roman"/>
                <w:sz w:val="24"/>
                <w:highlight w:val="lightGray"/>
              </w:rPr>
            </w:pPr>
            <w:r w:rsidRPr="00E26EF6">
              <w:rPr>
                <w:rFonts w:ascii="Times New Roman" w:hAnsi="Times New Roman"/>
                <w:sz w:val="24"/>
              </w:rPr>
              <w:lastRenderedPageBreak/>
              <w:t>050</w:t>
            </w:r>
          </w:p>
        </w:tc>
        <w:tc>
          <w:tcPr>
            <w:tcW w:w="8789" w:type="dxa"/>
          </w:tcPr>
          <w:p w14:paraId="01E25247" w14:textId="29BE986C" w:rsidR="00915077" w:rsidRPr="00E26EF6" w:rsidRDefault="001C7AB7">
            <w:pPr>
              <w:rPr>
                <w:rFonts w:ascii="Times New Roman" w:hAnsi="Times New Roman"/>
                <w:b/>
                <w:sz w:val="24"/>
                <w:u w:val="single"/>
              </w:rPr>
            </w:pPr>
            <w:r w:rsidRPr="00E26EF6">
              <w:rPr>
                <w:rFonts w:ascii="Times New Roman" w:hAnsi="Times New Roman"/>
                <w:b/>
                <w:sz w:val="24"/>
                <w:u w:val="single"/>
              </w:rPr>
              <w:t xml:space="preserve">Instrumenty pochodne </w:t>
            </w:r>
            <w:r w:rsidRPr="00E26EF6">
              <w:rPr>
                <w:rStyle w:val="InstructionsTabelleberschrift"/>
                <w:rFonts w:ascii="Times New Roman" w:hAnsi="Times New Roman"/>
                <w:sz w:val="24"/>
              </w:rPr>
              <w:t>oraz transakcje</w:t>
            </w:r>
            <w:r w:rsidR="00E26EF6" w:rsidRPr="00E26EF6">
              <w:rPr>
                <w:rStyle w:val="InstructionsTabelleberschrift"/>
                <w:rFonts w:ascii="Times New Roman" w:hAnsi="Times New Roman"/>
                <w:sz w:val="24"/>
              </w:rPr>
              <w:t xml:space="preserve"> z dłu</w:t>
            </w:r>
            <w:r w:rsidRPr="00E26EF6">
              <w:rPr>
                <w:rStyle w:val="InstructionsTabelleberschrift"/>
                <w:rFonts w:ascii="Times New Roman" w:hAnsi="Times New Roman"/>
                <w:sz w:val="24"/>
              </w:rPr>
              <w:t>gim terminem rozliczenia</w:t>
            </w:r>
          </w:p>
          <w:p w14:paraId="627B0E9C" w14:textId="55073165" w:rsidR="00915077" w:rsidRPr="00E26EF6" w:rsidRDefault="001C7AB7">
            <w:pPr>
              <w:ind w:left="72"/>
              <w:rPr>
                <w:rFonts w:ascii="Times New Roman" w:hAnsi="Times New Roman"/>
                <w:sz w:val="24"/>
                <w:highlight w:val="lightGray"/>
              </w:rPr>
            </w:pPr>
            <w:r w:rsidRPr="00E26EF6">
              <w:rPr>
                <w:rStyle w:val="InstructionsTabelleText"/>
                <w:rFonts w:ascii="Times New Roman" w:hAnsi="Times New Roman"/>
                <w:sz w:val="24"/>
              </w:rPr>
              <w:t>Instrumenty pochodne obejmują umowy wymienione</w:t>
            </w:r>
            <w:r w:rsidR="00E26EF6" w:rsidRPr="00E26EF6">
              <w:rPr>
                <w:rStyle w:val="InstructionsTabelleText"/>
                <w:rFonts w:ascii="Times New Roman" w:hAnsi="Times New Roman"/>
                <w:sz w:val="24"/>
              </w:rPr>
              <w:t xml:space="preserve"> w zał</w:t>
            </w:r>
            <w:r w:rsidRPr="00E26EF6">
              <w:rPr>
                <w:rStyle w:val="InstructionsTabelleText"/>
                <w:rFonts w:ascii="Times New Roman" w:hAnsi="Times New Roman"/>
                <w:sz w:val="24"/>
              </w:rPr>
              <w:t>ączniku II do CRR</w:t>
            </w:r>
            <w:r w:rsidR="00E26EF6" w:rsidRPr="00E26EF6">
              <w:rPr>
                <w:rStyle w:val="InstructionsTabelleText"/>
                <w:rFonts w:ascii="Times New Roman" w:hAnsi="Times New Roman"/>
                <w:sz w:val="24"/>
              </w:rPr>
              <w:t>. W wie</w:t>
            </w:r>
            <w:r w:rsidRPr="00E26EF6">
              <w:rPr>
                <w:rStyle w:val="InstructionsTabelleText"/>
                <w:rFonts w:ascii="Times New Roman" w:hAnsi="Times New Roman"/>
                <w:sz w:val="24"/>
              </w:rPr>
              <w:t>rszu tym nie zgłasza się instrumentów pochodnych oraz transakcji</w:t>
            </w:r>
            <w:r w:rsidR="00E26EF6" w:rsidRPr="00E26EF6">
              <w:rPr>
                <w:rStyle w:val="InstructionsTabelleText"/>
                <w:rFonts w:ascii="Times New Roman" w:hAnsi="Times New Roman"/>
                <w:sz w:val="24"/>
              </w:rPr>
              <w:t xml:space="preserve"> z dłu</w:t>
            </w:r>
            <w:r w:rsidRPr="00E26EF6">
              <w:rPr>
                <w:rStyle w:val="InstructionsTabelleText"/>
                <w:rFonts w:ascii="Times New Roman" w:hAnsi="Times New Roman"/>
                <w:sz w:val="24"/>
              </w:rPr>
              <w:t>gim terminem rozliczenia, które są uwzględnione</w:t>
            </w:r>
            <w:r w:rsidR="00E26EF6" w:rsidRPr="00E26EF6">
              <w:rPr>
                <w:rStyle w:val="InstructionsTabelleText"/>
                <w:rFonts w:ascii="Times New Roman" w:hAnsi="Times New Roman"/>
                <w:sz w:val="24"/>
              </w:rPr>
              <w:t xml:space="preserve"> w kom</w:t>
            </w:r>
            <w:r w:rsidRPr="00E26EF6">
              <w:rPr>
                <w:rStyle w:val="InstructionsTabelleText"/>
                <w:rFonts w:ascii="Times New Roman" w:hAnsi="Times New Roman"/>
                <w:sz w:val="24"/>
              </w:rPr>
              <w:t>pensowaniu międzyproduktowym,</w:t>
            </w:r>
            <w:r w:rsidR="00E26EF6" w:rsidRPr="00E26EF6">
              <w:rPr>
                <w:rStyle w:val="InstructionsTabelleText"/>
                <w:rFonts w:ascii="Times New Roman" w:hAnsi="Times New Roman"/>
                <w:sz w:val="24"/>
              </w:rPr>
              <w:t xml:space="preserve"> i dla</w:t>
            </w:r>
            <w:r w:rsidRPr="00E26EF6">
              <w:rPr>
                <w:rStyle w:val="InstructionsTabelleText"/>
                <w:rFonts w:ascii="Times New Roman" w:hAnsi="Times New Roman"/>
                <w:sz w:val="24"/>
              </w:rPr>
              <w:t>tego są zgłoszone</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rszu 060.</w:t>
            </w:r>
          </w:p>
        </w:tc>
      </w:tr>
      <w:tr w:rsidR="00915077" w:rsidRPr="00E26EF6" w14:paraId="20C1482C" w14:textId="77777777" w:rsidTr="00672D2A">
        <w:tc>
          <w:tcPr>
            <w:tcW w:w="1242" w:type="dxa"/>
          </w:tcPr>
          <w:p w14:paraId="790FB546" w14:textId="77777777" w:rsidR="00915077" w:rsidRPr="00E26EF6" w:rsidRDefault="001C7AB7">
            <w:pPr>
              <w:rPr>
                <w:rFonts w:ascii="Times New Roman" w:hAnsi="Times New Roman"/>
                <w:sz w:val="24"/>
                <w:highlight w:val="lightGray"/>
              </w:rPr>
            </w:pPr>
            <w:r w:rsidRPr="00E26EF6">
              <w:rPr>
                <w:rFonts w:ascii="Times New Roman" w:hAnsi="Times New Roman"/>
                <w:sz w:val="24"/>
              </w:rPr>
              <w:t>060</w:t>
            </w:r>
          </w:p>
        </w:tc>
        <w:tc>
          <w:tcPr>
            <w:tcW w:w="8789" w:type="dxa"/>
          </w:tcPr>
          <w:p w14:paraId="6AAA3FC1" w14:textId="217D90EB" w:rsidR="00915077" w:rsidRPr="00E26EF6" w:rsidRDefault="001C7AB7">
            <w:pPr>
              <w:rPr>
                <w:rFonts w:ascii="Times New Roman" w:hAnsi="Times New Roman"/>
                <w:b/>
                <w:sz w:val="24"/>
                <w:u w:val="single"/>
              </w:rPr>
            </w:pPr>
            <w:r w:rsidRPr="00E26EF6">
              <w:rPr>
                <w:rFonts w:ascii="Times New Roman" w:hAnsi="Times New Roman"/>
                <w:b/>
                <w:sz w:val="24"/>
                <w:u w:val="single"/>
              </w:rPr>
              <w:t>Wynikające</w:t>
            </w:r>
            <w:r w:rsidR="00E26EF6" w:rsidRPr="00E26EF6">
              <w:rPr>
                <w:rFonts w:ascii="Times New Roman" w:hAnsi="Times New Roman"/>
                <w:b/>
                <w:sz w:val="24"/>
                <w:u w:val="single"/>
              </w:rPr>
              <w:t xml:space="preserve"> z umo</w:t>
            </w:r>
            <w:r w:rsidRPr="00E26EF6">
              <w:rPr>
                <w:rFonts w:ascii="Times New Roman" w:hAnsi="Times New Roman"/>
                <w:b/>
                <w:sz w:val="24"/>
                <w:u w:val="single"/>
              </w:rPr>
              <w:t>wy</w:t>
            </w:r>
            <w:r w:rsidR="00E26EF6" w:rsidRPr="00E26EF6">
              <w:rPr>
                <w:rFonts w:ascii="Times New Roman" w:hAnsi="Times New Roman"/>
                <w:b/>
                <w:sz w:val="24"/>
                <w:u w:val="single"/>
              </w:rPr>
              <w:t xml:space="preserve"> o kom</w:t>
            </w:r>
            <w:r w:rsidRPr="00E26EF6">
              <w:rPr>
                <w:rFonts w:ascii="Times New Roman" w:hAnsi="Times New Roman"/>
                <w:b/>
                <w:sz w:val="24"/>
                <w:u w:val="single"/>
              </w:rPr>
              <w:t>pensowaniu międzyproduktowym</w:t>
            </w:r>
          </w:p>
          <w:p w14:paraId="205CBCBC" w14:textId="77777777" w:rsidR="00915077" w:rsidRPr="00E26EF6" w:rsidRDefault="00FD6CCB">
            <w:pPr>
              <w:rPr>
                <w:rFonts w:ascii="Times New Roman" w:hAnsi="Times New Roman"/>
                <w:sz w:val="24"/>
                <w:highlight w:val="lightGray"/>
              </w:rPr>
            </w:pPr>
            <w:r w:rsidRPr="00E26EF6">
              <w:rPr>
                <w:rFonts w:ascii="Times New Roman" w:hAnsi="Times New Roman"/>
                <w:sz w:val="24"/>
              </w:rPr>
              <w:t>Zob. instrukcje dotyczące wzoru CR SA</w:t>
            </w:r>
          </w:p>
        </w:tc>
      </w:tr>
      <w:tr w:rsidR="00915077" w:rsidRPr="00E26EF6" w14:paraId="4E7568B1" w14:textId="77777777" w:rsidTr="00672D2A">
        <w:tc>
          <w:tcPr>
            <w:tcW w:w="1242" w:type="dxa"/>
          </w:tcPr>
          <w:p w14:paraId="31FA8B97" w14:textId="77777777" w:rsidR="00915077" w:rsidRPr="00E26EF6" w:rsidRDefault="001C7AB7">
            <w:pPr>
              <w:rPr>
                <w:rFonts w:ascii="Times New Roman" w:hAnsi="Times New Roman"/>
                <w:sz w:val="24"/>
                <w:highlight w:val="lightGray"/>
              </w:rPr>
            </w:pPr>
            <w:r w:rsidRPr="00E26EF6">
              <w:rPr>
                <w:rFonts w:ascii="Times New Roman" w:hAnsi="Times New Roman"/>
                <w:sz w:val="24"/>
              </w:rPr>
              <w:t>070</w:t>
            </w:r>
          </w:p>
        </w:tc>
        <w:tc>
          <w:tcPr>
            <w:tcW w:w="8789" w:type="dxa"/>
          </w:tcPr>
          <w:p w14:paraId="73C9DDE5" w14:textId="77777777" w:rsidR="00915077" w:rsidRPr="00E26EF6" w:rsidRDefault="001C7AB7">
            <w:pPr>
              <w:rPr>
                <w:rFonts w:ascii="Times New Roman" w:hAnsi="Times New Roman"/>
                <w:b/>
                <w:sz w:val="24"/>
                <w:u w:val="single"/>
              </w:rPr>
            </w:pPr>
            <w:r w:rsidRPr="00E26EF6">
              <w:rPr>
                <w:rFonts w:ascii="Times New Roman" w:hAnsi="Times New Roman"/>
                <w:b/>
                <w:sz w:val="24"/>
                <w:u w:val="single"/>
              </w:rPr>
              <w:t>EKSPOZYCJE PRZYPISANE KLASOM JAKOŚCI LUB PULOM DŁUŻNIKÓW: RAZEM</w:t>
            </w:r>
          </w:p>
          <w:p w14:paraId="22528351" w14:textId="624F6EA8" w:rsidR="00915077" w:rsidRPr="00E26EF6" w:rsidRDefault="001C7AB7">
            <w:pPr>
              <w:rPr>
                <w:rFonts w:ascii="Times New Roman" w:hAnsi="Times New Roman"/>
                <w:sz w:val="24"/>
              </w:rPr>
            </w:pPr>
            <w:r w:rsidRPr="00E26EF6">
              <w:rPr>
                <w:rFonts w:ascii="Times New Roman" w:hAnsi="Times New Roman"/>
                <w:sz w:val="24"/>
              </w:rPr>
              <w:t>W odniesieniu do ekspozycji wobec przedsiębiorstw, instytucji oraz rządów centralnych</w:t>
            </w:r>
            <w:r w:rsidR="00E26EF6" w:rsidRPr="00E26EF6">
              <w:rPr>
                <w:rFonts w:ascii="Times New Roman" w:hAnsi="Times New Roman"/>
                <w:sz w:val="24"/>
              </w:rPr>
              <w:t xml:space="preserve"> i ban</w:t>
            </w:r>
            <w:r w:rsidRPr="00E26EF6">
              <w:rPr>
                <w:rFonts w:ascii="Times New Roman" w:hAnsi="Times New Roman"/>
                <w:sz w:val="24"/>
              </w:rPr>
              <w:t>ków centralnych zob. art.</w:t>
            </w:r>
            <w:r w:rsidR="00023409" w:rsidRPr="00E26EF6">
              <w:rPr>
                <w:rFonts w:ascii="Times New Roman" w:hAnsi="Times New Roman"/>
                <w:sz w:val="24"/>
              </w:rPr>
              <w:t> </w:t>
            </w:r>
            <w:r w:rsidRPr="00E26EF6">
              <w:rPr>
                <w:rFonts w:ascii="Times New Roman" w:hAnsi="Times New Roman"/>
                <w:sz w:val="24"/>
              </w:rPr>
              <w:t>142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6 oraz art.</w:t>
            </w:r>
            <w:r w:rsidR="00023409" w:rsidRPr="00E26EF6">
              <w:rPr>
                <w:rFonts w:ascii="Times New Roman" w:hAnsi="Times New Roman"/>
                <w:sz w:val="24"/>
              </w:rPr>
              <w:t> </w:t>
            </w:r>
            <w:r w:rsidRPr="00E26EF6">
              <w:rPr>
                <w:rFonts w:ascii="Times New Roman" w:hAnsi="Times New Roman"/>
                <w:sz w:val="24"/>
              </w:rPr>
              <w:t>170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 xml:space="preserve">c) CRR. </w:t>
            </w:r>
          </w:p>
          <w:p w14:paraId="52848E45" w14:textId="68B56AFD" w:rsidR="00915077" w:rsidRPr="00E26EF6" w:rsidRDefault="001C7AB7">
            <w:pPr>
              <w:rPr>
                <w:rFonts w:ascii="Times New Roman" w:hAnsi="Times New Roman"/>
                <w:sz w:val="24"/>
              </w:rPr>
            </w:pPr>
            <w:r w:rsidRPr="00E26EF6">
              <w:rPr>
                <w:rFonts w:ascii="Times New Roman" w:hAnsi="Times New Roman"/>
                <w:sz w:val="24"/>
              </w:rPr>
              <w:t>W odniesieniu do ekspozycji detalicznych zob. art.</w:t>
            </w:r>
            <w:r w:rsidR="00023409" w:rsidRPr="00E26EF6">
              <w:rPr>
                <w:rFonts w:ascii="Times New Roman" w:hAnsi="Times New Roman"/>
                <w:sz w:val="24"/>
              </w:rPr>
              <w:t> </w:t>
            </w:r>
            <w:r w:rsidRPr="00E26EF6">
              <w:rPr>
                <w:rFonts w:ascii="Times New Roman" w:hAnsi="Times New Roman"/>
                <w:sz w:val="24"/>
              </w:rPr>
              <w:t>170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w:t>
            </w:r>
            <w:r w:rsidR="00E26EF6" w:rsidRPr="00E26EF6">
              <w:rPr>
                <w:rFonts w:ascii="Times New Roman" w:hAnsi="Times New Roman"/>
                <w:sz w:val="24"/>
              </w:rPr>
              <w:t>. W odn</w:t>
            </w:r>
            <w:r w:rsidRPr="00E26EF6">
              <w:rPr>
                <w:rFonts w:ascii="Times New Roman" w:hAnsi="Times New Roman"/>
                <w:sz w:val="24"/>
              </w:rPr>
              <w:t>iesieniu do ekspozycji wynikających</w:t>
            </w:r>
            <w:r w:rsidR="00E26EF6" w:rsidRPr="00E26EF6">
              <w:rPr>
                <w:rFonts w:ascii="Times New Roman" w:hAnsi="Times New Roman"/>
                <w:sz w:val="24"/>
              </w:rPr>
              <w:t xml:space="preserve"> z nab</w:t>
            </w:r>
            <w:r w:rsidRPr="00E26EF6">
              <w:rPr>
                <w:rFonts w:ascii="Times New Roman" w:hAnsi="Times New Roman"/>
                <w:sz w:val="24"/>
              </w:rPr>
              <w:t>ytych wierzytelności zob. art.</w:t>
            </w:r>
            <w:r w:rsidR="00023409" w:rsidRPr="00E26EF6">
              <w:rPr>
                <w:rFonts w:ascii="Times New Roman" w:hAnsi="Times New Roman"/>
                <w:sz w:val="24"/>
              </w:rPr>
              <w:t> </w:t>
            </w:r>
            <w:r w:rsidRPr="00E26EF6">
              <w:rPr>
                <w:rFonts w:ascii="Times New Roman" w:hAnsi="Times New Roman"/>
                <w:sz w:val="24"/>
              </w:rPr>
              <w:t>166 ust.</w:t>
            </w:r>
            <w:r w:rsidR="00023409" w:rsidRPr="00E26EF6">
              <w:rPr>
                <w:rFonts w:ascii="Times New Roman" w:hAnsi="Times New Roman"/>
                <w:sz w:val="24"/>
              </w:rPr>
              <w:t> </w:t>
            </w:r>
            <w:r w:rsidRPr="00E26EF6">
              <w:rPr>
                <w:rFonts w:ascii="Times New Roman" w:hAnsi="Times New Roman"/>
                <w:sz w:val="24"/>
              </w:rPr>
              <w:t xml:space="preserve">6 CRR. </w:t>
            </w:r>
          </w:p>
          <w:p w14:paraId="4252D0B9" w14:textId="49319F11" w:rsidR="00915077" w:rsidRPr="00E26EF6" w:rsidRDefault="001C7AB7">
            <w:pPr>
              <w:rPr>
                <w:rFonts w:ascii="Times New Roman" w:hAnsi="Times New Roman"/>
                <w:sz w:val="24"/>
              </w:rPr>
            </w:pPr>
            <w:r w:rsidRPr="00E26EF6">
              <w:rPr>
                <w:rFonts w:ascii="Times New Roman" w:hAnsi="Times New Roman"/>
                <w:sz w:val="24"/>
              </w:rPr>
              <w:t>Ekspozycji wobec ryzyka rozmycia dotyczącego nabytych wierzytelności nie zgłasza się według klas jakości ani pul dłużnika; zgłasza się je</w:t>
            </w:r>
            <w:r w:rsidR="00E26EF6" w:rsidRPr="00E26EF6">
              <w:rPr>
                <w:rFonts w:ascii="Times New Roman" w:hAnsi="Times New Roman"/>
                <w:sz w:val="24"/>
              </w:rPr>
              <w:t xml:space="preserve"> w wie</w:t>
            </w:r>
            <w:r w:rsidRPr="00E26EF6">
              <w:rPr>
                <w:rFonts w:ascii="Times New Roman" w:hAnsi="Times New Roman"/>
                <w:sz w:val="24"/>
              </w:rPr>
              <w:t>rszu 180.</w:t>
            </w:r>
          </w:p>
          <w:p w14:paraId="7E1E1302" w14:textId="61E9F0B2" w:rsidR="00915077" w:rsidRPr="00E26EF6" w:rsidRDefault="001C7AB7">
            <w:pPr>
              <w:rPr>
                <w:rFonts w:ascii="Times New Roman" w:hAnsi="Times New Roman"/>
                <w:sz w:val="24"/>
              </w:rPr>
            </w:pPr>
            <w:r w:rsidRPr="00E26EF6">
              <w:rPr>
                <w:rFonts w:ascii="Times New Roman" w:hAnsi="Times New Roman"/>
                <w:sz w:val="24"/>
              </w:rPr>
              <w:t>Jeżeli instytucja stosuje dużą liczbę klas jakości</w:t>
            </w:r>
            <w:r w:rsidR="00E26EF6" w:rsidRPr="00E26EF6">
              <w:rPr>
                <w:rFonts w:ascii="Times New Roman" w:hAnsi="Times New Roman"/>
                <w:sz w:val="24"/>
              </w:rPr>
              <w:t xml:space="preserve"> i pul</w:t>
            </w:r>
            <w:r w:rsidRPr="00E26EF6">
              <w:rPr>
                <w:rFonts w:ascii="Times New Roman" w:hAnsi="Times New Roman"/>
                <w:sz w:val="24"/>
              </w:rPr>
              <w:t>, może uzgodnić</w:t>
            </w:r>
            <w:r w:rsidR="00E26EF6" w:rsidRPr="00E26EF6">
              <w:rPr>
                <w:rFonts w:ascii="Times New Roman" w:hAnsi="Times New Roman"/>
                <w:sz w:val="24"/>
              </w:rPr>
              <w:t xml:space="preserve"> z wła</w:t>
            </w:r>
            <w:r w:rsidRPr="00E26EF6">
              <w:rPr>
                <w:rFonts w:ascii="Times New Roman" w:hAnsi="Times New Roman"/>
                <w:sz w:val="24"/>
              </w:rPr>
              <w:t>ściwym organem zgłaszanie ograniczonej liczby klas</w:t>
            </w:r>
            <w:r w:rsidR="00E26EF6" w:rsidRPr="00E26EF6">
              <w:rPr>
                <w:rFonts w:ascii="Times New Roman" w:hAnsi="Times New Roman"/>
                <w:sz w:val="24"/>
              </w:rPr>
              <w:t xml:space="preserve"> i pul</w:t>
            </w:r>
            <w:r w:rsidRPr="00E26EF6">
              <w:rPr>
                <w:rFonts w:ascii="Times New Roman" w:hAnsi="Times New Roman"/>
                <w:sz w:val="24"/>
              </w:rPr>
              <w:t xml:space="preserve">. </w:t>
            </w:r>
          </w:p>
          <w:p w14:paraId="62CC30B5" w14:textId="6D7EBEB5" w:rsidR="00915077" w:rsidRPr="00E26EF6" w:rsidRDefault="00C93697">
            <w:pPr>
              <w:rPr>
                <w:rFonts w:ascii="Times New Roman" w:hAnsi="Times New Roman"/>
                <w:sz w:val="24"/>
                <w:highlight w:val="lightGray"/>
              </w:rPr>
            </w:pPr>
            <w:r w:rsidRPr="00E26EF6">
              <w:rPr>
                <w:rFonts w:ascii="Times New Roman" w:hAnsi="Times New Roman"/>
                <w:sz w:val="24"/>
              </w:rPr>
              <w:t>Nie stosuje się wzorca. Zamiast tego instytucje określają wzorzec,</w:t>
            </w:r>
            <w:r w:rsidR="00E26EF6" w:rsidRPr="00E26EF6">
              <w:rPr>
                <w:rFonts w:ascii="Times New Roman" w:hAnsi="Times New Roman"/>
                <w:sz w:val="24"/>
              </w:rPr>
              <w:t xml:space="preserve"> z któ</w:t>
            </w:r>
            <w:r w:rsidRPr="00E26EF6">
              <w:rPr>
                <w:rFonts w:ascii="Times New Roman" w:hAnsi="Times New Roman"/>
                <w:sz w:val="24"/>
              </w:rPr>
              <w:t xml:space="preserve">rego będą korzystać. </w:t>
            </w:r>
          </w:p>
        </w:tc>
      </w:tr>
      <w:tr w:rsidR="00915077" w:rsidRPr="00E26EF6" w14:paraId="5B21935D" w14:textId="77777777" w:rsidTr="00672D2A">
        <w:tc>
          <w:tcPr>
            <w:tcW w:w="1242" w:type="dxa"/>
          </w:tcPr>
          <w:p w14:paraId="093E3F72" w14:textId="77777777" w:rsidR="00915077" w:rsidRPr="00E26EF6" w:rsidRDefault="001C7AB7">
            <w:pPr>
              <w:rPr>
                <w:rFonts w:ascii="Times New Roman" w:hAnsi="Times New Roman"/>
                <w:sz w:val="24"/>
                <w:highlight w:val="lightGray"/>
              </w:rPr>
            </w:pPr>
            <w:r w:rsidRPr="00E26EF6">
              <w:rPr>
                <w:rFonts w:ascii="Times New Roman" w:hAnsi="Times New Roman"/>
                <w:sz w:val="24"/>
              </w:rPr>
              <w:t>080</w:t>
            </w:r>
          </w:p>
        </w:tc>
        <w:tc>
          <w:tcPr>
            <w:tcW w:w="8789" w:type="dxa"/>
          </w:tcPr>
          <w:p w14:paraId="3414B688" w14:textId="4C7F2219" w:rsidR="00915077" w:rsidRPr="00E26EF6" w:rsidRDefault="001C7AB7">
            <w:pPr>
              <w:rPr>
                <w:rFonts w:ascii="Times New Roman" w:hAnsi="Times New Roman"/>
                <w:sz w:val="24"/>
              </w:rPr>
            </w:pPr>
            <w:r w:rsidRPr="00E26EF6">
              <w:rPr>
                <w:rFonts w:ascii="Times New Roman" w:hAnsi="Times New Roman"/>
                <w:b/>
                <w:sz w:val="24"/>
                <w:u w:val="single"/>
              </w:rPr>
              <w:t>KRYTERIA KLASYFIKACJI KREDYTOWANIA SPECJALISTYCZNEGO: RAZEM</w:t>
            </w:r>
          </w:p>
          <w:p w14:paraId="19AB4923" w14:textId="1BEBC61B" w:rsidR="00915077" w:rsidRPr="00E26EF6" w:rsidRDefault="001C7AB7">
            <w:pPr>
              <w:rPr>
                <w:rFonts w:ascii="Times New Roman" w:hAnsi="Times New Roman"/>
                <w:sz w:val="24"/>
                <w:highlight w:val="lightGray"/>
              </w:rPr>
            </w:pPr>
            <w:r w:rsidRPr="00E26EF6">
              <w:rPr>
                <w:rFonts w:ascii="Times New Roman" w:hAnsi="Times New Roman"/>
                <w:sz w:val="24"/>
              </w:rPr>
              <w:t>Art. 153 ust.</w:t>
            </w:r>
            <w:r w:rsidR="00023409" w:rsidRPr="00E26EF6">
              <w:rPr>
                <w:rFonts w:ascii="Times New Roman" w:hAnsi="Times New Roman"/>
                <w:sz w:val="24"/>
              </w:rPr>
              <w:t> </w:t>
            </w:r>
            <w:r w:rsidRPr="00E26EF6">
              <w:rPr>
                <w:rFonts w:ascii="Times New Roman" w:hAnsi="Times New Roman"/>
                <w:sz w:val="24"/>
              </w:rPr>
              <w:t>5 CRR Ma to zastosowanie wyłącznie do klas ekspozycji wobec przedsiębiorstw, instytucji oraz rządów centralnych</w:t>
            </w:r>
            <w:r w:rsidR="00E26EF6" w:rsidRPr="00E26EF6">
              <w:rPr>
                <w:rFonts w:ascii="Times New Roman" w:hAnsi="Times New Roman"/>
                <w:sz w:val="24"/>
              </w:rPr>
              <w:t xml:space="preserve"> i ban</w:t>
            </w:r>
            <w:r w:rsidRPr="00E26EF6">
              <w:rPr>
                <w:rFonts w:ascii="Times New Roman" w:hAnsi="Times New Roman"/>
                <w:sz w:val="24"/>
              </w:rPr>
              <w:t xml:space="preserve">ków centralnych. </w:t>
            </w:r>
          </w:p>
        </w:tc>
      </w:tr>
      <w:tr w:rsidR="00915077" w:rsidRPr="00E26EF6" w14:paraId="246BA3CD" w14:textId="77777777" w:rsidTr="00672D2A">
        <w:tc>
          <w:tcPr>
            <w:tcW w:w="1242" w:type="dxa"/>
          </w:tcPr>
          <w:p w14:paraId="321F33D9" w14:textId="77777777" w:rsidR="00915077" w:rsidRPr="00E26EF6" w:rsidRDefault="001C7AB7">
            <w:pPr>
              <w:rPr>
                <w:rFonts w:ascii="Times New Roman" w:hAnsi="Times New Roman"/>
                <w:sz w:val="24"/>
                <w:highlight w:val="lightGray"/>
              </w:rPr>
            </w:pPr>
            <w:r w:rsidRPr="00E26EF6">
              <w:rPr>
                <w:rFonts w:ascii="Times New Roman" w:hAnsi="Times New Roman"/>
                <w:sz w:val="24"/>
              </w:rPr>
              <w:t>090–150</w:t>
            </w:r>
          </w:p>
        </w:tc>
        <w:tc>
          <w:tcPr>
            <w:tcW w:w="8789" w:type="dxa"/>
          </w:tcPr>
          <w:p w14:paraId="7214D63C" w14:textId="212ECF04" w:rsidR="00915077" w:rsidRPr="00E26EF6" w:rsidRDefault="001C7AB7">
            <w:pPr>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PODZIAŁ WEDŁUG WAG RYZYKA CAŁKOWITYCH EKSPOZYCJI ZGODNIE Z KRYTERIAMI KLASYFIKACJI KREDYTOWANIA SPECJALISTYCZNEGO:</w:t>
            </w:r>
          </w:p>
        </w:tc>
      </w:tr>
      <w:tr w:rsidR="00915077" w:rsidRPr="00E26EF6" w14:paraId="57FD0E83" w14:textId="77777777" w:rsidTr="00672D2A">
        <w:tc>
          <w:tcPr>
            <w:tcW w:w="1242" w:type="dxa"/>
          </w:tcPr>
          <w:p w14:paraId="5077A772" w14:textId="77777777" w:rsidR="00915077" w:rsidRPr="00E26EF6" w:rsidRDefault="001C7AB7">
            <w:pPr>
              <w:rPr>
                <w:rFonts w:ascii="Times New Roman" w:hAnsi="Times New Roman"/>
                <w:sz w:val="24"/>
                <w:highlight w:val="lightGray"/>
              </w:rPr>
            </w:pPr>
            <w:r w:rsidRPr="00E26EF6">
              <w:rPr>
                <w:rFonts w:ascii="Times New Roman" w:hAnsi="Times New Roman"/>
                <w:sz w:val="24"/>
              </w:rPr>
              <w:t>120</w:t>
            </w:r>
          </w:p>
        </w:tc>
        <w:tc>
          <w:tcPr>
            <w:tcW w:w="8789" w:type="dxa"/>
          </w:tcPr>
          <w:p w14:paraId="195F8E31" w14:textId="23A439A2" w:rsidR="00915077" w:rsidRPr="00E26EF6" w:rsidRDefault="001C7AB7">
            <w:pPr>
              <w:rPr>
                <w:rStyle w:val="InstructionsTabelleberschrift"/>
                <w:rFonts w:ascii="Times New Roman" w:hAnsi="Times New Roman"/>
                <w:sz w:val="24"/>
              </w:rPr>
            </w:pPr>
            <w:r w:rsidRPr="00E26EF6">
              <w:rPr>
                <w:rStyle w:val="InstructionsTabelleberschrift"/>
                <w:rFonts w:ascii="Times New Roman" w:hAnsi="Times New Roman"/>
                <w:sz w:val="24"/>
              </w:rPr>
              <w:t>W tym:</w:t>
            </w:r>
            <w:r w:rsidR="00E26EF6" w:rsidRPr="00E26EF6">
              <w:rPr>
                <w:rStyle w:val="InstructionsTabelleberschrift"/>
                <w:rFonts w:ascii="Times New Roman" w:hAnsi="Times New Roman"/>
                <w:sz w:val="24"/>
              </w:rPr>
              <w:t xml:space="preserve"> w kat</w:t>
            </w:r>
            <w:r w:rsidRPr="00E26EF6">
              <w:rPr>
                <w:rStyle w:val="InstructionsTabelleberschrift"/>
                <w:rFonts w:ascii="Times New Roman" w:hAnsi="Times New Roman"/>
                <w:sz w:val="24"/>
              </w:rPr>
              <w:t xml:space="preserve">egorii 1 </w:t>
            </w:r>
          </w:p>
          <w:p w14:paraId="01DEB61C" w14:textId="05CF4C0F" w:rsidR="00915077" w:rsidRPr="00E26EF6" w:rsidRDefault="00133396">
            <w:pPr>
              <w:rPr>
                <w:rFonts w:ascii="Times New Roman" w:hAnsi="Times New Roman"/>
                <w:sz w:val="24"/>
                <w:highlight w:val="lightGray"/>
              </w:rPr>
            </w:pPr>
            <w:r w:rsidRPr="00E26EF6">
              <w:rPr>
                <w:rFonts w:ascii="Times New Roman" w:hAnsi="Times New Roman"/>
                <w:sz w:val="24"/>
              </w:rPr>
              <w:t>Art. 153 ust.</w:t>
            </w:r>
            <w:r w:rsidR="00023409" w:rsidRPr="00E26EF6">
              <w:rPr>
                <w:rFonts w:ascii="Times New Roman" w:hAnsi="Times New Roman"/>
                <w:sz w:val="24"/>
              </w:rPr>
              <w:t> </w:t>
            </w:r>
            <w:r w:rsidRPr="00E26EF6">
              <w:rPr>
                <w:rFonts w:ascii="Times New Roman" w:hAnsi="Times New Roman"/>
                <w:sz w:val="24"/>
              </w:rPr>
              <w:t>5 CRR, tabela 1</w:t>
            </w:r>
          </w:p>
        </w:tc>
      </w:tr>
      <w:tr w:rsidR="00915077" w:rsidRPr="00E26EF6" w14:paraId="19A70C29" w14:textId="77777777" w:rsidTr="00672D2A">
        <w:tc>
          <w:tcPr>
            <w:tcW w:w="1242" w:type="dxa"/>
          </w:tcPr>
          <w:p w14:paraId="2222963B" w14:textId="77777777" w:rsidR="00915077" w:rsidRPr="00E26EF6" w:rsidRDefault="001C7AB7">
            <w:pPr>
              <w:rPr>
                <w:rFonts w:ascii="Times New Roman" w:hAnsi="Times New Roman"/>
                <w:sz w:val="24"/>
                <w:highlight w:val="lightGray"/>
              </w:rPr>
            </w:pPr>
            <w:r w:rsidRPr="00E26EF6">
              <w:rPr>
                <w:rFonts w:ascii="Times New Roman" w:hAnsi="Times New Roman"/>
                <w:sz w:val="24"/>
              </w:rPr>
              <w:t>160</w:t>
            </w:r>
          </w:p>
        </w:tc>
        <w:tc>
          <w:tcPr>
            <w:tcW w:w="8789" w:type="dxa"/>
          </w:tcPr>
          <w:p w14:paraId="23EA095C" w14:textId="77777777" w:rsidR="00915077" w:rsidRPr="00E26EF6" w:rsidRDefault="001C7AB7">
            <w:pPr>
              <w:rPr>
                <w:rStyle w:val="InstructionsTabelleberschrift"/>
                <w:rFonts w:ascii="Times New Roman" w:hAnsi="Times New Roman"/>
                <w:sz w:val="24"/>
              </w:rPr>
            </w:pPr>
            <w:r w:rsidRPr="00E26EF6">
              <w:rPr>
                <w:rStyle w:val="InstructionsTabelleberschrift"/>
                <w:rFonts w:ascii="Times New Roman" w:hAnsi="Times New Roman"/>
                <w:sz w:val="24"/>
              </w:rPr>
              <w:t>PODEJŚCIE ALTERNATYWNE: EKSPOZYCJE ZABEZPIECZONE NIERUCHOMOŚCIĄ</w:t>
            </w:r>
          </w:p>
          <w:p w14:paraId="6475E38A" w14:textId="0BF4F92E" w:rsidR="00915077" w:rsidRPr="00E26EF6" w:rsidRDefault="00BD6DB9">
            <w:pPr>
              <w:rPr>
                <w:rFonts w:ascii="Times New Roman" w:hAnsi="Times New Roman"/>
                <w:sz w:val="24"/>
                <w:highlight w:val="lightGray"/>
              </w:rPr>
            </w:pPr>
            <w:r w:rsidRPr="00E26EF6">
              <w:rPr>
                <w:rFonts w:ascii="Times New Roman" w:hAnsi="Times New Roman"/>
                <w:sz w:val="24"/>
              </w:rPr>
              <w:t>Art. 193 ust.</w:t>
            </w:r>
            <w:r w:rsidR="00023409" w:rsidRPr="00E26EF6">
              <w:rPr>
                <w:rFonts w:ascii="Times New Roman" w:hAnsi="Times New Roman"/>
                <w:sz w:val="24"/>
              </w:rPr>
              <w:t> </w:t>
            </w:r>
            <w:r w:rsidRPr="00E26EF6">
              <w:rPr>
                <w:rFonts w:ascii="Times New Roman" w:hAnsi="Times New Roman"/>
                <w:sz w:val="24"/>
              </w:rPr>
              <w:t>1</w:t>
            </w:r>
            <w:r w:rsidR="00E26EF6" w:rsidRPr="00E26EF6">
              <w:rPr>
                <w:rFonts w:ascii="Times New Roman" w:hAnsi="Times New Roman"/>
                <w:sz w:val="24"/>
              </w:rPr>
              <w:t xml:space="preserve"> i 2</w:t>
            </w:r>
            <w:r w:rsidRPr="00E26EF6">
              <w:rPr>
                <w:rFonts w:ascii="Times New Roman" w:hAnsi="Times New Roman"/>
                <w:sz w:val="24"/>
              </w:rPr>
              <w:t>, art.</w:t>
            </w:r>
            <w:r w:rsidR="00023409" w:rsidRPr="00E26EF6">
              <w:rPr>
                <w:rFonts w:ascii="Times New Roman" w:hAnsi="Times New Roman"/>
                <w:sz w:val="24"/>
              </w:rPr>
              <w:t> </w:t>
            </w:r>
            <w:r w:rsidRPr="00E26EF6">
              <w:rPr>
                <w:rFonts w:ascii="Times New Roman" w:hAnsi="Times New Roman"/>
                <w:sz w:val="24"/>
              </w:rPr>
              <w:t>194 ust.</w:t>
            </w:r>
            <w:r w:rsidR="00023409" w:rsidRPr="00E26EF6">
              <w:rPr>
                <w:rFonts w:ascii="Times New Roman" w:hAnsi="Times New Roman"/>
                <w:sz w:val="24"/>
              </w:rPr>
              <w:t> </w:t>
            </w:r>
            <w:r w:rsidRPr="00E26EF6">
              <w:rPr>
                <w:rFonts w:ascii="Times New Roman" w:hAnsi="Times New Roman"/>
                <w:sz w:val="24"/>
              </w:rPr>
              <w:t>1–7</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230 ust.</w:t>
            </w:r>
            <w:r w:rsidR="00023409" w:rsidRPr="00E26EF6">
              <w:rPr>
                <w:rFonts w:ascii="Times New Roman" w:hAnsi="Times New Roman"/>
                <w:sz w:val="24"/>
              </w:rPr>
              <w:t> </w:t>
            </w:r>
            <w:r w:rsidRPr="00E26EF6">
              <w:rPr>
                <w:rFonts w:ascii="Times New Roman" w:hAnsi="Times New Roman"/>
                <w:sz w:val="24"/>
              </w:rPr>
              <w:t>3 CRR</w:t>
            </w:r>
          </w:p>
        </w:tc>
      </w:tr>
      <w:tr w:rsidR="00915077" w:rsidRPr="00E26EF6" w14:paraId="0474B7EE" w14:textId="77777777" w:rsidTr="00672D2A">
        <w:tc>
          <w:tcPr>
            <w:tcW w:w="1242" w:type="dxa"/>
          </w:tcPr>
          <w:p w14:paraId="388A515E" w14:textId="77777777" w:rsidR="00915077" w:rsidRPr="00E26EF6" w:rsidRDefault="001C7AB7">
            <w:pPr>
              <w:rPr>
                <w:rFonts w:ascii="Times New Roman" w:hAnsi="Times New Roman"/>
                <w:sz w:val="24"/>
                <w:highlight w:val="lightGray"/>
              </w:rPr>
            </w:pPr>
            <w:r w:rsidRPr="00E26EF6">
              <w:rPr>
                <w:rFonts w:ascii="Times New Roman" w:hAnsi="Times New Roman"/>
                <w:sz w:val="24"/>
              </w:rPr>
              <w:t>170</w:t>
            </w:r>
          </w:p>
        </w:tc>
        <w:tc>
          <w:tcPr>
            <w:tcW w:w="8789" w:type="dxa"/>
          </w:tcPr>
          <w:p w14:paraId="2D606023" w14:textId="7BE09C49" w:rsidR="00915077" w:rsidRPr="00E26EF6" w:rsidRDefault="001C7AB7">
            <w:pPr>
              <w:rPr>
                <w:rStyle w:val="InstructionsTabelleberschrift"/>
                <w:rFonts w:ascii="Times New Roman" w:hAnsi="Times New Roman"/>
                <w:sz w:val="24"/>
              </w:rPr>
            </w:pPr>
            <w:r w:rsidRPr="00E26EF6">
              <w:rPr>
                <w:rStyle w:val="InstructionsTabelleberschrift"/>
                <w:rFonts w:ascii="Times New Roman" w:hAnsi="Times New Roman"/>
                <w:sz w:val="24"/>
              </w:rPr>
              <w:t>EKSPOZYCJE Z TYTUŁU DOSTAW Z PÓŹNIEJSZYM TERMINEM ROZLICZENIA, Z ZASTOSOWANIEM WAG RYZYKA ZGODNIE Z PODEJŚCIEM ALTERNATYWNYM LUB WAG RYZYKA W WYSOKOŚCI 100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 ORAZ INNE EKSPOZYCJE PODLEGAJĄCE WAGOM RYZYKA</w:t>
            </w:r>
          </w:p>
          <w:p w14:paraId="6554E226" w14:textId="07F8A663" w:rsidR="00915077" w:rsidRPr="00E26EF6" w:rsidRDefault="001C7AB7">
            <w:pPr>
              <w:rPr>
                <w:rFonts w:ascii="Times New Roman" w:hAnsi="Times New Roman"/>
                <w:sz w:val="24"/>
                <w:highlight w:val="lightGray"/>
              </w:rPr>
            </w:pPr>
            <w:r w:rsidRPr="00E26EF6">
              <w:rPr>
                <w:rFonts w:ascii="Times New Roman" w:hAnsi="Times New Roman"/>
                <w:sz w:val="24"/>
              </w:rPr>
              <w:t>Ekspozycje</w:t>
            </w:r>
            <w:r w:rsidR="00E26EF6" w:rsidRPr="00E26EF6">
              <w:rPr>
                <w:rFonts w:ascii="Times New Roman" w:hAnsi="Times New Roman"/>
                <w:sz w:val="24"/>
              </w:rPr>
              <w:t xml:space="preserve"> z tyt</w:t>
            </w:r>
            <w:r w:rsidRPr="00E26EF6">
              <w:rPr>
                <w:rFonts w:ascii="Times New Roman" w:hAnsi="Times New Roman"/>
                <w:sz w:val="24"/>
              </w:rPr>
              <w:t>ułu dostaw</w:t>
            </w:r>
            <w:r w:rsidR="00E26EF6" w:rsidRPr="00E26EF6">
              <w:rPr>
                <w:rFonts w:ascii="Times New Roman" w:hAnsi="Times New Roman"/>
                <w:sz w:val="24"/>
              </w:rPr>
              <w:t xml:space="preserve"> z póź</w:t>
            </w:r>
            <w:r w:rsidRPr="00E26EF6">
              <w:rPr>
                <w:rFonts w:ascii="Times New Roman" w:hAnsi="Times New Roman"/>
                <w:sz w:val="24"/>
              </w:rPr>
              <w:t>niejszym terminem rozliczenia, wobec których stosuje się podejście alternatywne,</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379 ust.</w:t>
            </w:r>
            <w:r w:rsidR="00023409" w:rsidRPr="00E26EF6">
              <w:rPr>
                <w:rFonts w:ascii="Times New Roman" w:hAnsi="Times New Roman"/>
                <w:sz w:val="24"/>
              </w:rPr>
              <w:t> </w:t>
            </w:r>
            <w:r w:rsidRPr="00E26EF6">
              <w:rPr>
                <w:rFonts w:ascii="Times New Roman" w:hAnsi="Times New Roman"/>
                <w:sz w:val="24"/>
              </w:rPr>
              <w:t>2 akapit pierwszy zdanie ostatnie CRR, lub wobec których stosuje się wagi ryzyka 100</w:t>
            </w:r>
            <w:r w:rsidR="00023409" w:rsidRPr="00E26EF6">
              <w:rPr>
                <w:rFonts w:ascii="Times New Roman" w:hAnsi="Times New Roman"/>
                <w:sz w:val="24"/>
              </w:rPr>
              <w:t> </w:t>
            </w:r>
            <w:r w:rsidRPr="00E26EF6">
              <w:rPr>
                <w:rFonts w:ascii="Times New Roman" w:hAnsi="Times New Roman"/>
                <w:sz w:val="24"/>
              </w:rPr>
              <w:t>%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379 ust.</w:t>
            </w:r>
            <w:r w:rsidR="00023409" w:rsidRPr="00E26EF6">
              <w:rPr>
                <w:rFonts w:ascii="Times New Roman" w:hAnsi="Times New Roman"/>
                <w:sz w:val="24"/>
              </w:rPr>
              <w:t> </w:t>
            </w:r>
            <w:r w:rsidRPr="00E26EF6">
              <w:rPr>
                <w:rFonts w:ascii="Times New Roman" w:hAnsi="Times New Roman"/>
                <w:sz w:val="24"/>
              </w:rPr>
              <w:t>2 akapit ostatni CRR</w:t>
            </w:r>
            <w:r w:rsidR="00E26EF6" w:rsidRPr="00E26EF6">
              <w:rPr>
                <w:rFonts w:ascii="Times New Roman" w:hAnsi="Times New Roman"/>
                <w:sz w:val="24"/>
              </w:rPr>
              <w:t>. W tym</w:t>
            </w:r>
            <w:r w:rsidRPr="00E26EF6">
              <w:rPr>
                <w:rFonts w:ascii="Times New Roman" w:hAnsi="Times New Roman"/>
                <w:sz w:val="24"/>
              </w:rPr>
              <w:t xml:space="preserve"> wierszu zgłasza się kredytowe instrumenty pochodne uruchamiane n-tym niewykonaniem zobowiązania bez ratingu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8 CRR oraz wszelkie inne ekspozycje podlegające wagom ryzyka nieujęte</w:t>
            </w:r>
            <w:r w:rsidR="00E26EF6" w:rsidRPr="00E26EF6">
              <w:rPr>
                <w:rFonts w:ascii="Times New Roman" w:hAnsi="Times New Roman"/>
                <w:sz w:val="24"/>
              </w:rPr>
              <w:t xml:space="preserve"> w żad</w:t>
            </w:r>
            <w:r w:rsidRPr="00E26EF6">
              <w:rPr>
                <w:rFonts w:ascii="Times New Roman" w:hAnsi="Times New Roman"/>
                <w:sz w:val="24"/>
              </w:rPr>
              <w:t>nym innym wierszu.</w:t>
            </w:r>
          </w:p>
        </w:tc>
      </w:tr>
      <w:tr w:rsidR="00915077" w:rsidRPr="00E26EF6" w14:paraId="239C4002" w14:textId="77777777" w:rsidTr="00672D2A">
        <w:tc>
          <w:tcPr>
            <w:tcW w:w="1242" w:type="dxa"/>
          </w:tcPr>
          <w:p w14:paraId="0CC0DD10" w14:textId="77777777" w:rsidR="00915077" w:rsidRPr="00E26EF6" w:rsidRDefault="001C7AB7">
            <w:pPr>
              <w:rPr>
                <w:rFonts w:ascii="Times New Roman" w:hAnsi="Times New Roman"/>
                <w:sz w:val="24"/>
                <w:highlight w:val="lightGray"/>
              </w:rPr>
            </w:pPr>
            <w:r w:rsidRPr="00E26EF6">
              <w:rPr>
                <w:rFonts w:ascii="Times New Roman" w:hAnsi="Times New Roman"/>
                <w:sz w:val="24"/>
              </w:rPr>
              <w:t>180</w:t>
            </w:r>
          </w:p>
        </w:tc>
        <w:tc>
          <w:tcPr>
            <w:tcW w:w="8789" w:type="dxa"/>
          </w:tcPr>
          <w:p w14:paraId="5DED59BF" w14:textId="77777777" w:rsidR="00915077" w:rsidRPr="00E26EF6" w:rsidRDefault="001C7AB7">
            <w:pPr>
              <w:rPr>
                <w:rStyle w:val="InstructionsTabelleberschrift"/>
                <w:rFonts w:ascii="Times New Roman" w:hAnsi="Times New Roman"/>
                <w:sz w:val="24"/>
              </w:rPr>
            </w:pPr>
            <w:r w:rsidRPr="00E26EF6">
              <w:rPr>
                <w:rStyle w:val="InstructionsTabelleberschrift"/>
                <w:rFonts w:ascii="Times New Roman" w:hAnsi="Times New Roman"/>
                <w:sz w:val="24"/>
              </w:rPr>
              <w:t>RYZYKO ROZMYCIA: NABYTE WIERZYTELNOŚCI RAZEM</w:t>
            </w:r>
          </w:p>
          <w:p w14:paraId="7598D14B" w14:textId="7CAEB383" w:rsidR="00915077" w:rsidRPr="00E26EF6" w:rsidRDefault="001C7AB7">
            <w:pPr>
              <w:rPr>
                <w:rFonts w:ascii="Times New Roman" w:hAnsi="Times New Roman"/>
                <w:sz w:val="24"/>
              </w:rPr>
            </w:pPr>
            <w:r w:rsidRPr="00E26EF6">
              <w:rPr>
                <w:rFonts w:ascii="Times New Roman" w:hAnsi="Times New Roman"/>
                <w:sz w:val="24"/>
              </w:rPr>
              <w:t>Definicja ryzyka rozmycia – zob. art.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53 CRR. Obliczanie wagi ryzyka dla ryzyka rozmycia – zob. art.</w:t>
            </w:r>
            <w:r w:rsidR="00023409" w:rsidRPr="00E26EF6">
              <w:rPr>
                <w:rFonts w:ascii="Times New Roman" w:hAnsi="Times New Roman"/>
                <w:sz w:val="24"/>
              </w:rPr>
              <w:t> </w:t>
            </w:r>
            <w:r w:rsidRPr="00E26EF6">
              <w:rPr>
                <w:rFonts w:ascii="Times New Roman" w:hAnsi="Times New Roman"/>
                <w:sz w:val="24"/>
              </w:rPr>
              <w:t>157 ust.</w:t>
            </w:r>
            <w:r w:rsidR="00023409" w:rsidRPr="00E26EF6">
              <w:rPr>
                <w:rFonts w:ascii="Times New Roman" w:hAnsi="Times New Roman"/>
                <w:sz w:val="24"/>
              </w:rPr>
              <w:t> </w:t>
            </w:r>
            <w:r w:rsidRPr="00E26EF6">
              <w:rPr>
                <w:rFonts w:ascii="Times New Roman" w:hAnsi="Times New Roman"/>
                <w:sz w:val="24"/>
              </w:rPr>
              <w:t>1 CRR.</w:t>
            </w:r>
          </w:p>
          <w:p w14:paraId="02A23372" w14:textId="13C061DE" w:rsidR="00915077" w:rsidRPr="00E26EF6" w:rsidRDefault="00BB22D4">
            <w:pPr>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166 ust.</w:t>
            </w:r>
            <w:r w:rsidR="00023409" w:rsidRPr="00E26EF6">
              <w:rPr>
                <w:rFonts w:ascii="Times New Roman" w:hAnsi="Times New Roman"/>
                <w:sz w:val="24"/>
              </w:rPr>
              <w:t> </w:t>
            </w:r>
            <w:r w:rsidRPr="00E26EF6">
              <w:rPr>
                <w:rFonts w:ascii="Times New Roman" w:hAnsi="Times New Roman"/>
                <w:sz w:val="24"/>
              </w:rPr>
              <w:t>6 CRR wartość ekspozycji nabytych wierzytelności stanowi kwota należna pomniejszona</w:t>
            </w:r>
            <w:r w:rsidR="00E26EF6" w:rsidRPr="00E26EF6">
              <w:rPr>
                <w:rFonts w:ascii="Times New Roman" w:hAnsi="Times New Roman"/>
                <w:sz w:val="24"/>
              </w:rPr>
              <w:t xml:space="preserve"> o </w:t>
            </w:r>
            <w:r w:rsidR="00E26EF6" w:rsidRPr="00E26EF6">
              <w:rPr>
                <w:rStyle w:val="InstructionsTabelleText"/>
                <w:rFonts w:ascii="Times New Roman" w:hAnsi="Times New Roman"/>
                <w:sz w:val="24"/>
              </w:rPr>
              <w:t>kwo</w:t>
            </w:r>
            <w:r w:rsidRPr="00E26EF6">
              <w:rPr>
                <w:rStyle w:val="InstructionsTabelleText"/>
                <w:rFonts w:ascii="Times New Roman" w:hAnsi="Times New Roman"/>
                <w:sz w:val="24"/>
              </w:rPr>
              <w:t>ty ekspozycji ważonej ryzykiem</w:t>
            </w:r>
            <w:r w:rsidR="00E26EF6" w:rsidRPr="00E26EF6">
              <w:rPr>
                <w:rFonts w:ascii="Times New Roman" w:hAnsi="Times New Roman"/>
                <w:sz w:val="24"/>
              </w:rPr>
              <w:t xml:space="preserve"> z tyt</w:t>
            </w:r>
            <w:r w:rsidRPr="00E26EF6">
              <w:rPr>
                <w:rFonts w:ascii="Times New Roman" w:hAnsi="Times New Roman"/>
                <w:sz w:val="24"/>
              </w:rPr>
              <w:t>ułu ryzyka rozmycia przed ograniczeniem ryzyka kredytowego.</w:t>
            </w:r>
          </w:p>
        </w:tc>
      </w:tr>
    </w:tbl>
    <w:p w14:paraId="3C504AEC" w14:textId="77777777" w:rsidR="00915077" w:rsidRPr="00E26EF6" w:rsidRDefault="00915077">
      <w:pPr>
        <w:autoSpaceDE w:val="0"/>
        <w:autoSpaceDN w:val="0"/>
        <w:adjustRightInd w:val="0"/>
        <w:spacing w:before="0" w:after="0"/>
        <w:ind w:left="284"/>
        <w:jc w:val="left"/>
        <w:rPr>
          <w:rFonts w:ascii="Times New Roman" w:hAnsi="Times New Roman"/>
          <w:sz w:val="24"/>
        </w:rPr>
      </w:pPr>
    </w:p>
    <w:p w14:paraId="6F570112" w14:textId="244D1D1F" w:rsidR="00915077" w:rsidRPr="00E26EF6" w:rsidRDefault="00125707">
      <w:pPr>
        <w:pStyle w:val="Instructionsberschrift2"/>
        <w:numPr>
          <w:ilvl w:val="0"/>
          <w:numId w:val="0"/>
        </w:numPr>
        <w:ind w:left="357" w:hanging="357"/>
        <w:rPr>
          <w:rFonts w:ascii="Times New Roman" w:hAnsi="Times New Roman" w:cs="Times New Roman"/>
          <w:sz w:val="24"/>
        </w:rPr>
      </w:pPr>
      <w:bookmarkStart w:id="47" w:name="_Toc31014345"/>
      <w:r w:rsidRPr="00E26EF6">
        <w:rPr>
          <w:rFonts w:ascii="Times New Roman" w:hAnsi="Times New Roman"/>
          <w:sz w:val="24"/>
          <w:u w:val="none"/>
        </w:rPr>
        <w:lastRenderedPageBreak/>
        <w:t>3.3.4.</w:t>
      </w:r>
      <w:r w:rsidRPr="00E26EF6">
        <w:rPr>
          <w:rFonts w:ascii="Times New Roman" w:hAnsi="Times New Roman"/>
          <w:sz w:val="24"/>
          <w:u w:val="none"/>
        </w:rPr>
        <w:tab/>
      </w:r>
      <w:r w:rsidRPr="00E26EF6">
        <w:rPr>
          <w:rFonts w:ascii="Times New Roman" w:hAnsi="Times New Roman"/>
          <w:sz w:val="24"/>
        </w:rPr>
        <w:t>C 08.02 – Ryzyko kredytowe</w:t>
      </w:r>
      <w:r w:rsidR="00E26EF6" w:rsidRPr="00E26EF6">
        <w:rPr>
          <w:rFonts w:ascii="Times New Roman" w:hAnsi="Times New Roman"/>
          <w:sz w:val="24"/>
        </w:rPr>
        <w:t xml:space="preserve"> i ryz</w:t>
      </w:r>
      <w:r w:rsidRPr="00E26EF6">
        <w:rPr>
          <w:rFonts w:ascii="Times New Roman" w:hAnsi="Times New Roman"/>
          <w:sz w:val="24"/>
        </w:rPr>
        <w:t>yko kredytowe kontrahenta oraz dostawy</w:t>
      </w:r>
      <w:r w:rsidR="00E26EF6" w:rsidRPr="00E26EF6">
        <w:rPr>
          <w:rFonts w:ascii="Times New Roman" w:hAnsi="Times New Roman"/>
          <w:sz w:val="24"/>
        </w:rPr>
        <w:t xml:space="preserve"> z póź</w:t>
      </w:r>
      <w:r w:rsidRPr="00E26EF6">
        <w:rPr>
          <w:rFonts w:ascii="Times New Roman" w:hAnsi="Times New Roman"/>
          <w:sz w:val="24"/>
        </w:rPr>
        <w:t>niejszym terminem rozliczenia: Wymogi kapitałowe według metody IRB: Podział według klas jakości lub puli dłużników (wzór CR IRB 2)</w:t>
      </w:r>
      <w:bookmarkEnd w:id="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915077" w:rsidRPr="00E26EF6" w14:paraId="508D011D" w14:textId="77777777" w:rsidTr="00672D2A">
        <w:tc>
          <w:tcPr>
            <w:tcW w:w="2024" w:type="dxa"/>
            <w:shd w:val="clear" w:color="auto" w:fill="BFBFBF"/>
          </w:tcPr>
          <w:p w14:paraId="77D0F85C" w14:textId="77777777" w:rsidR="00915077" w:rsidRPr="00E26EF6" w:rsidRDefault="001C7AB7">
            <w:pPr>
              <w:rPr>
                <w:rFonts w:ascii="Times New Roman" w:hAnsi="Times New Roman"/>
                <w:sz w:val="24"/>
                <w:highlight w:val="lightGray"/>
              </w:rPr>
            </w:pPr>
            <w:r w:rsidRPr="00E26EF6">
              <w:rPr>
                <w:rFonts w:ascii="Times New Roman" w:hAnsi="Times New Roman"/>
                <w:sz w:val="24"/>
              </w:rPr>
              <w:t>Kolumna</w:t>
            </w:r>
          </w:p>
        </w:tc>
        <w:tc>
          <w:tcPr>
            <w:tcW w:w="7804" w:type="dxa"/>
            <w:shd w:val="clear" w:color="auto" w:fill="BFBFBF"/>
          </w:tcPr>
          <w:p w14:paraId="26D4E61F" w14:textId="77777777" w:rsidR="00915077" w:rsidRPr="00E26EF6" w:rsidRDefault="001C7AB7">
            <w:pPr>
              <w:rPr>
                <w:rFonts w:ascii="Times New Roman" w:hAnsi="Times New Roman"/>
                <w:sz w:val="24"/>
                <w:highlight w:val="lightGray"/>
              </w:rPr>
            </w:pPr>
            <w:r w:rsidRPr="00E26EF6">
              <w:rPr>
                <w:rFonts w:ascii="Times New Roman" w:hAnsi="Times New Roman"/>
                <w:sz w:val="24"/>
              </w:rPr>
              <w:t>Instrukcje</w:t>
            </w:r>
          </w:p>
        </w:tc>
      </w:tr>
      <w:tr w:rsidR="00915077" w:rsidRPr="00E26EF6" w14:paraId="1F7ADBE3" w14:textId="77777777" w:rsidTr="00672D2A">
        <w:tc>
          <w:tcPr>
            <w:tcW w:w="2024" w:type="dxa"/>
          </w:tcPr>
          <w:p w14:paraId="4C7084CF" w14:textId="77777777" w:rsidR="00915077" w:rsidRPr="00E26EF6" w:rsidRDefault="00E97CD2">
            <w:pPr>
              <w:rPr>
                <w:rFonts w:ascii="Times New Roman" w:hAnsi="Times New Roman"/>
                <w:sz w:val="24"/>
                <w:highlight w:val="lightGray"/>
              </w:rPr>
            </w:pPr>
            <w:r w:rsidRPr="00E26EF6">
              <w:rPr>
                <w:rFonts w:ascii="Times New Roman" w:hAnsi="Times New Roman"/>
                <w:sz w:val="24"/>
              </w:rPr>
              <w:t>005</w:t>
            </w:r>
          </w:p>
        </w:tc>
        <w:tc>
          <w:tcPr>
            <w:tcW w:w="7804" w:type="dxa"/>
          </w:tcPr>
          <w:p w14:paraId="13A3D9C9" w14:textId="77777777" w:rsidR="00915077" w:rsidRPr="00E26EF6" w:rsidRDefault="00E97CD2">
            <w:pPr>
              <w:rPr>
                <w:rFonts w:ascii="Times New Roman" w:hAnsi="Times New Roman"/>
                <w:b/>
                <w:sz w:val="24"/>
                <w:u w:val="single"/>
              </w:rPr>
            </w:pPr>
            <w:r w:rsidRPr="00E26EF6">
              <w:rPr>
                <w:rFonts w:ascii="Times New Roman" w:hAnsi="Times New Roman"/>
                <w:b/>
                <w:sz w:val="24"/>
                <w:u w:val="single"/>
              </w:rPr>
              <w:t>Klasa jakości dłużnika (identyfikator wiersza)</w:t>
            </w:r>
          </w:p>
          <w:p w14:paraId="0FE6ACAB" w14:textId="4DBA1ADB" w:rsidR="00915077" w:rsidRPr="00E26EF6" w:rsidRDefault="00E97CD2">
            <w:pPr>
              <w:rPr>
                <w:rFonts w:ascii="Times New Roman" w:hAnsi="Times New Roman"/>
                <w:sz w:val="24"/>
                <w:highlight w:val="lightGray"/>
              </w:rPr>
            </w:pPr>
            <w:r w:rsidRPr="00E26EF6">
              <w:rPr>
                <w:rFonts w:ascii="Times New Roman" w:hAnsi="Times New Roman"/>
                <w:sz w:val="24"/>
              </w:rPr>
              <w:t>Jest to identyfikator wiersza, który jest niepowtarzalny dla każdego wiersza</w:t>
            </w:r>
            <w:r w:rsidR="00E26EF6" w:rsidRPr="00E26EF6">
              <w:rPr>
                <w:rFonts w:ascii="Times New Roman" w:hAnsi="Times New Roman"/>
                <w:sz w:val="24"/>
              </w:rPr>
              <w:t xml:space="preserve"> w dan</w:t>
            </w:r>
            <w:r w:rsidRPr="00E26EF6">
              <w:rPr>
                <w:rFonts w:ascii="Times New Roman" w:hAnsi="Times New Roman"/>
                <w:sz w:val="24"/>
              </w:rPr>
              <w:t>ym arkuszu wzoru. Numeracja następuje</w:t>
            </w:r>
            <w:r w:rsidR="00E26EF6" w:rsidRPr="00E26EF6">
              <w:rPr>
                <w:rFonts w:ascii="Times New Roman" w:hAnsi="Times New Roman"/>
                <w:sz w:val="24"/>
              </w:rPr>
              <w:t xml:space="preserve"> w kol</w:t>
            </w:r>
            <w:r w:rsidRPr="00E26EF6">
              <w:rPr>
                <w:rFonts w:ascii="Times New Roman" w:hAnsi="Times New Roman"/>
                <w:sz w:val="24"/>
              </w:rPr>
              <w:t>ejności numerycznej: 1, 2, 3 itd.</w:t>
            </w:r>
          </w:p>
        </w:tc>
      </w:tr>
      <w:tr w:rsidR="00915077" w:rsidRPr="00E26EF6" w14:paraId="49C132D8" w14:textId="77777777" w:rsidTr="00672D2A">
        <w:tc>
          <w:tcPr>
            <w:tcW w:w="2024" w:type="dxa"/>
          </w:tcPr>
          <w:p w14:paraId="47525D0B" w14:textId="77777777" w:rsidR="00915077" w:rsidRPr="00E26EF6" w:rsidRDefault="001C7AB7">
            <w:pPr>
              <w:rPr>
                <w:rFonts w:ascii="Times New Roman" w:hAnsi="Times New Roman"/>
                <w:sz w:val="24"/>
                <w:highlight w:val="lightGray"/>
              </w:rPr>
            </w:pPr>
            <w:r w:rsidRPr="00E26EF6">
              <w:rPr>
                <w:rFonts w:ascii="Times New Roman" w:hAnsi="Times New Roman"/>
                <w:sz w:val="24"/>
              </w:rPr>
              <w:t>010–300</w:t>
            </w:r>
          </w:p>
        </w:tc>
        <w:tc>
          <w:tcPr>
            <w:tcW w:w="7804" w:type="dxa"/>
          </w:tcPr>
          <w:p w14:paraId="3DC85712" w14:textId="6E805442" w:rsidR="00915077" w:rsidRPr="00E26EF6" w:rsidRDefault="001C7AB7">
            <w:pPr>
              <w:rPr>
                <w:rFonts w:ascii="Times New Roman" w:hAnsi="Times New Roman"/>
                <w:sz w:val="24"/>
              </w:rPr>
            </w:pPr>
            <w:r w:rsidRPr="00E26EF6">
              <w:rPr>
                <w:rFonts w:ascii="Times New Roman" w:hAnsi="Times New Roman"/>
                <w:sz w:val="24"/>
              </w:rPr>
              <w:t>Instrukcje dla każdej</w:t>
            </w:r>
            <w:r w:rsidR="00E26EF6" w:rsidRPr="00E26EF6">
              <w:rPr>
                <w:rFonts w:ascii="Times New Roman" w:hAnsi="Times New Roman"/>
                <w:sz w:val="24"/>
              </w:rPr>
              <w:t xml:space="preserve"> z tyc</w:t>
            </w:r>
            <w:r w:rsidRPr="00E26EF6">
              <w:rPr>
                <w:rFonts w:ascii="Times New Roman" w:hAnsi="Times New Roman"/>
                <w:sz w:val="24"/>
              </w:rPr>
              <w:t>h kolumn są takie same jak dla odpowiadających im numerami kolumn we wzorze CR IRB 1.</w:t>
            </w:r>
          </w:p>
        </w:tc>
      </w:tr>
    </w:tbl>
    <w:p w14:paraId="13C85220" w14:textId="77777777" w:rsidR="00915077" w:rsidRPr="00E26EF6" w:rsidRDefault="0091507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915077" w:rsidRPr="00E26EF6" w14:paraId="389E3359" w14:textId="77777777" w:rsidTr="00672D2A">
        <w:tc>
          <w:tcPr>
            <w:tcW w:w="2024" w:type="dxa"/>
            <w:shd w:val="pct25" w:color="auto" w:fill="auto"/>
          </w:tcPr>
          <w:p w14:paraId="07035E4F" w14:textId="77777777" w:rsidR="00915077" w:rsidRPr="00E26EF6" w:rsidRDefault="001C7AB7">
            <w:pPr>
              <w:rPr>
                <w:rFonts w:ascii="Times New Roman" w:hAnsi="Times New Roman"/>
                <w:sz w:val="24"/>
                <w:highlight w:val="lightGray"/>
              </w:rPr>
            </w:pPr>
            <w:r w:rsidRPr="00E26EF6">
              <w:rPr>
                <w:rFonts w:ascii="Times New Roman" w:hAnsi="Times New Roman"/>
                <w:sz w:val="24"/>
              </w:rPr>
              <w:t>Wiersz</w:t>
            </w:r>
          </w:p>
        </w:tc>
        <w:tc>
          <w:tcPr>
            <w:tcW w:w="7804" w:type="dxa"/>
            <w:shd w:val="pct25" w:color="auto" w:fill="auto"/>
          </w:tcPr>
          <w:p w14:paraId="2745B785" w14:textId="77777777" w:rsidR="00915077" w:rsidRPr="00E26EF6" w:rsidRDefault="001C7AB7">
            <w:pPr>
              <w:rPr>
                <w:rFonts w:ascii="Times New Roman" w:hAnsi="Times New Roman"/>
                <w:sz w:val="24"/>
                <w:highlight w:val="lightGray"/>
              </w:rPr>
            </w:pPr>
            <w:r w:rsidRPr="00E26EF6">
              <w:rPr>
                <w:rFonts w:ascii="Times New Roman" w:hAnsi="Times New Roman"/>
                <w:sz w:val="24"/>
              </w:rPr>
              <w:t>Instrukcje</w:t>
            </w:r>
          </w:p>
        </w:tc>
      </w:tr>
      <w:tr w:rsidR="00915077" w:rsidRPr="00E26EF6" w14:paraId="17CDB09A" w14:textId="77777777" w:rsidTr="00672D2A">
        <w:tc>
          <w:tcPr>
            <w:tcW w:w="2024" w:type="dxa"/>
          </w:tcPr>
          <w:p w14:paraId="2824A27E" w14:textId="77777777" w:rsidR="00915077" w:rsidRPr="00E26EF6" w:rsidRDefault="001C7AB7">
            <w:pPr>
              <w:rPr>
                <w:rFonts w:ascii="Times New Roman" w:hAnsi="Times New Roman"/>
                <w:sz w:val="24"/>
                <w:highlight w:val="lightGray"/>
              </w:rPr>
            </w:pPr>
            <w:r w:rsidRPr="00E26EF6">
              <w:rPr>
                <w:rFonts w:ascii="Times New Roman" w:hAnsi="Times New Roman"/>
                <w:sz w:val="24"/>
              </w:rPr>
              <w:t>010-001 – 010-NNN</w:t>
            </w:r>
          </w:p>
        </w:tc>
        <w:tc>
          <w:tcPr>
            <w:tcW w:w="7804" w:type="dxa"/>
          </w:tcPr>
          <w:p w14:paraId="207A885A" w14:textId="5475897A" w:rsidR="00915077" w:rsidRPr="00E26EF6" w:rsidRDefault="001C7AB7">
            <w:pPr>
              <w:rPr>
                <w:rFonts w:ascii="Times New Roman" w:hAnsi="Times New Roman"/>
                <w:sz w:val="24"/>
              </w:rPr>
            </w:pPr>
            <w:r w:rsidRPr="00E26EF6">
              <w:rPr>
                <w:rFonts w:ascii="Times New Roman" w:hAnsi="Times New Roman"/>
                <w:sz w:val="24"/>
              </w:rPr>
              <w:t>Wartości zgłoszone</w:t>
            </w:r>
            <w:r w:rsidR="00E26EF6" w:rsidRPr="00E26EF6">
              <w:rPr>
                <w:rFonts w:ascii="Times New Roman" w:hAnsi="Times New Roman"/>
                <w:sz w:val="24"/>
              </w:rPr>
              <w:t xml:space="preserve"> w tyc</w:t>
            </w:r>
            <w:r w:rsidRPr="00E26EF6">
              <w:rPr>
                <w:rFonts w:ascii="Times New Roman" w:hAnsi="Times New Roman"/>
                <w:sz w:val="24"/>
              </w:rPr>
              <w:t>h wierszach muszą być uporządkowane od najniższej do najwyższej zgodnie</w:t>
            </w:r>
            <w:r w:rsidR="00E26EF6" w:rsidRPr="00E26EF6">
              <w:rPr>
                <w:rFonts w:ascii="Times New Roman" w:hAnsi="Times New Roman"/>
                <w:sz w:val="24"/>
              </w:rPr>
              <w:t xml:space="preserve"> z war</w:t>
            </w:r>
            <w:r w:rsidRPr="00E26EF6">
              <w:rPr>
                <w:rFonts w:ascii="Times New Roman" w:hAnsi="Times New Roman"/>
                <w:sz w:val="24"/>
              </w:rPr>
              <w:t>tością PD przypisaną klasie jakości lub puli dłużnika. Wartość PD dla dłużników, którzy nie wykonali swoich zobowiązań, wynosi 100</w:t>
            </w:r>
            <w:r w:rsidR="00023409" w:rsidRPr="00E26EF6">
              <w:rPr>
                <w:rFonts w:ascii="Times New Roman" w:hAnsi="Times New Roman"/>
                <w:sz w:val="24"/>
              </w:rPr>
              <w:t> </w:t>
            </w:r>
            <w:r w:rsidRPr="00E26EF6">
              <w:rPr>
                <w:rFonts w:ascii="Times New Roman" w:hAnsi="Times New Roman"/>
                <w:sz w:val="24"/>
              </w:rPr>
              <w:t>%. Ekspozycje objęte podejściem alternatywnym</w:t>
            </w:r>
            <w:r w:rsidR="00E26EF6" w:rsidRPr="00E26EF6">
              <w:rPr>
                <w:rFonts w:ascii="Times New Roman" w:hAnsi="Times New Roman"/>
                <w:sz w:val="24"/>
              </w:rPr>
              <w:t xml:space="preserve"> w odn</w:t>
            </w:r>
            <w:r w:rsidRPr="00E26EF6">
              <w:rPr>
                <w:rFonts w:ascii="Times New Roman" w:hAnsi="Times New Roman"/>
                <w:sz w:val="24"/>
              </w:rPr>
              <w:t>iesieniu do zabezpieczeń</w:t>
            </w:r>
            <w:r w:rsidR="00E26EF6" w:rsidRPr="00E26EF6">
              <w:rPr>
                <w:rFonts w:ascii="Times New Roman" w:hAnsi="Times New Roman"/>
                <w:sz w:val="24"/>
              </w:rPr>
              <w:t xml:space="preserve"> w pos</w:t>
            </w:r>
            <w:r w:rsidRPr="00E26EF6">
              <w:rPr>
                <w:rFonts w:ascii="Times New Roman" w:hAnsi="Times New Roman"/>
                <w:sz w:val="24"/>
              </w:rPr>
              <w:t>taci nieruchomości (dostępne wyłącznie wówczas, gdy nie stosuje się własnych oszacowań LGD) nie są przypisywane zgodnie</w:t>
            </w:r>
            <w:r w:rsidR="00E26EF6" w:rsidRPr="00E26EF6">
              <w:rPr>
                <w:rFonts w:ascii="Times New Roman" w:hAnsi="Times New Roman"/>
                <w:sz w:val="24"/>
              </w:rPr>
              <w:t xml:space="preserve"> z war</w:t>
            </w:r>
            <w:r w:rsidRPr="00E26EF6">
              <w:rPr>
                <w:rFonts w:ascii="Times New Roman" w:hAnsi="Times New Roman"/>
                <w:sz w:val="24"/>
              </w:rPr>
              <w:t>tością PD dla dłużników</w:t>
            </w:r>
            <w:r w:rsidR="00E26EF6" w:rsidRPr="00E26EF6">
              <w:rPr>
                <w:rFonts w:ascii="Times New Roman" w:hAnsi="Times New Roman"/>
                <w:sz w:val="24"/>
              </w:rPr>
              <w:t xml:space="preserve"> i nie</w:t>
            </w:r>
            <w:r w:rsidRPr="00E26EF6">
              <w:rPr>
                <w:rFonts w:ascii="Times New Roman" w:hAnsi="Times New Roman"/>
                <w:sz w:val="24"/>
              </w:rPr>
              <w:t xml:space="preserve"> są zgłaszane</w:t>
            </w:r>
            <w:r w:rsidR="00E26EF6" w:rsidRPr="00E26EF6">
              <w:rPr>
                <w:rFonts w:ascii="Times New Roman" w:hAnsi="Times New Roman"/>
                <w:sz w:val="24"/>
              </w:rPr>
              <w:t xml:space="preserve"> w tym</w:t>
            </w:r>
            <w:r w:rsidRPr="00E26EF6">
              <w:rPr>
                <w:rFonts w:ascii="Times New Roman" w:hAnsi="Times New Roman"/>
                <w:sz w:val="24"/>
              </w:rPr>
              <w:t xml:space="preserve"> wzorze.</w:t>
            </w:r>
          </w:p>
        </w:tc>
      </w:tr>
    </w:tbl>
    <w:p w14:paraId="48FCB77F" w14:textId="77777777" w:rsidR="00915077" w:rsidRPr="00E26EF6" w:rsidRDefault="00915077">
      <w:pPr>
        <w:pStyle w:val="InstructionsText"/>
      </w:pPr>
    </w:p>
    <w:p w14:paraId="22185BC7" w14:textId="31DE4EC9" w:rsidR="00915077" w:rsidRPr="00E26EF6" w:rsidRDefault="00125707">
      <w:pPr>
        <w:pStyle w:val="Instructionsberschrift2"/>
        <w:numPr>
          <w:ilvl w:val="0"/>
          <w:numId w:val="0"/>
        </w:numPr>
        <w:ind w:left="357" w:hanging="357"/>
        <w:rPr>
          <w:rFonts w:ascii="Times New Roman" w:hAnsi="Times New Roman" w:cs="Times New Roman"/>
          <w:sz w:val="24"/>
        </w:rPr>
      </w:pPr>
      <w:bookmarkStart w:id="48" w:name="_Toc31014346"/>
      <w:r w:rsidRPr="00E26EF6">
        <w:rPr>
          <w:rFonts w:ascii="Times New Roman" w:hAnsi="Times New Roman"/>
          <w:sz w:val="24"/>
          <w:u w:val="none"/>
        </w:rPr>
        <w:t>3.4.</w:t>
      </w:r>
      <w:r w:rsidRPr="00E26EF6">
        <w:rPr>
          <w:rFonts w:ascii="Times New Roman" w:hAnsi="Times New Roman"/>
          <w:sz w:val="24"/>
          <w:u w:val="none"/>
        </w:rPr>
        <w:tab/>
      </w:r>
      <w:r w:rsidRPr="00E26EF6">
        <w:rPr>
          <w:rFonts w:ascii="Times New Roman" w:hAnsi="Times New Roman"/>
          <w:sz w:val="24"/>
        </w:rPr>
        <w:t>Ryzyko kredytowe</w:t>
      </w:r>
      <w:r w:rsidR="00E26EF6" w:rsidRPr="00E26EF6">
        <w:rPr>
          <w:rFonts w:ascii="Times New Roman" w:hAnsi="Times New Roman"/>
          <w:sz w:val="24"/>
        </w:rPr>
        <w:t xml:space="preserve"> i ryz</w:t>
      </w:r>
      <w:r w:rsidRPr="00E26EF6">
        <w:rPr>
          <w:rFonts w:ascii="Times New Roman" w:hAnsi="Times New Roman"/>
          <w:sz w:val="24"/>
        </w:rPr>
        <w:t>yko kredytowe kontrahenta oraz dostawy</w:t>
      </w:r>
      <w:r w:rsidR="00E26EF6" w:rsidRPr="00E26EF6">
        <w:rPr>
          <w:rFonts w:ascii="Times New Roman" w:hAnsi="Times New Roman"/>
          <w:sz w:val="24"/>
        </w:rPr>
        <w:t xml:space="preserve"> z póź</w:t>
      </w:r>
      <w:r w:rsidRPr="00E26EF6">
        <w:rPr>
          <w:rFonts w:ascii="Times New Roman" w:hAnsi="Times New Roman"/>
          <w:sz w:val="24"/>
        </w:rPr>
        <w:t>niejszym terminem rozliczenia: Informacje</w:t>
      </w:r>
      <w:r w:rsidR="00E26EF6" w:rsidRPr="00E26EF6">
        <w:rPr>
          <w:rFonts w:ascii="Times New Roman" w:hAnsi="Times New Roman"/>
          <w:sz w:val="24"/>
        </w:rPr>
        <w:t xml:space="preserve"> z pod</w:t>
      </w:r>
      <w:r w:rsidRPr="00E26EF6">
        <w:rPr>
          <w:rFonts w:ascii="Times New Roman" w:hAnsi="Times New Roman"/>
          <w:sz w:val="24"/>
        </w:rPr>
        <w:t>ziałem pod względem geograficznym</w:t>
      </w:r>
      <w:bookmarkEnd w:id="48"/>
    </w:p>
    <w:p w14:paraId="1B85B690" w14:textId="61E5E403" w:rsidR="00915077" w:rsidRPr="00E26EF6" w:rsidRDefault="00125707">
      <w:pPr>
        <w:pStyle w:val="InstructionsText2"/>
        <w:numPr>
          <w:ilvl w:val="0"/>
          <w:numId w:val="0"/>
        </w:numPr>
        <w:ind w:left="993"/>
      </w:pPr>
      <w:r w:rsidRPr="00E26EF6">
        <w:t>79.</w:t>
      </w:r>
      <w:r w:rsidRPr="00E26EF6">
        <w:tab/>
        <w:t>Wszystkie instytucje przedkładają informacje zagregowane na poziomie łącznym. Ponadto instytucje osiągające próg określony</w:t>
      </w:r>
      <w:r w:rsidR="00E26EF6" w:rsidRPr="00E26EF6">
        <w:t xml:space="preserve"> w art</w:t>
      </w:r>
      <w:r w:rsidRPr="00E26EF6">
        <w:t>.</w:t>
      </w:r>
      <w:r w:rsidR="00023409" w:rsidRPr="00E26EF6">
        <w:t> </w:t>
      </w:r>
      <w:r w:rsidRPr="00E26EF6">
        <w:t>5 lit.</w:t>
      </w:r>
      <w:r w:rsidR="00023409" w:rsidRPr="00E26EF6">
        <w:t> </w:t>
      </w:r>
      <w:r w:rsidRPr="00E26EF6">
        <w:t>a) pkt</w:t>
      </w:r>
      <w:r w:rsidR="00023409" w:rsidRPr="00E26EF6">
        <w:t> </w:t>
      </w:r>
      <w:r w:rsidRPr="00E26EF6">
        <w:t>4 niniejszego rozporządzenia wykonawczego przedkładają informacje według państw</w:t>
      </w:r>
      <w:r w:rsidR="00E26EF6" w:rsidRPr="00E26EF6">
        <w:t xml:space="preserve"> w odn</w:t>
      </w:r>
      <w:r w:rsidRPr="00E26EF6">
        <w:t>iesieniu do ekspozycji krajowych</w:t>
      </w:r>
      <w:r w:rsidR="00E26EF6" w:rsidRPr="00E26EF6">
        <w:t xml:space="preserve"> i zag</w:t>
      </w:r>
      <w:r w:rsidRPr="00E26EF6">
        <w:t>ranicznych. Próg należy uwzględniać wyłącznie</w:t>
      </w:r>
      <w:r w:rsidR="00E26EF6" w:rsidRPr="00E26EF6">
        <w:t xml:space="preserve"> w odn</w:t>
      </w:r>
      <w:r w:rsidRPr="00E26EF6">
        <w:t>iesieniu do wzorów CR GB 1 i CR GB 2. Ekspozycje wobec organizacji ponadnarodowych przypisuje się do obszaru geograficznego „Inne państwa”.</w:t>
      </w:r>
    </w:p>
    <w:p w14:paraId="73B980E9" w14:textId="3D0E358F" w:rsidR="00915077" w:rsidRPr="00E26EF6" w:rsidRDefault="00125707">
      <w:pPr>
        <w:pStyle w:val="InstructionsText2"/>
        <w:numPr>
          <w:ilvl w:val="0"/>
          <w:numId w:val="0"/>
        </w:numPr>
        <w:ind w:left="993"/>
      </w:pPr>
      <w:r w:rsidRPr="00E26EF6">
        <w:t>80.</w:t>
      </w:r>
      <w:r w:rsidRPr="00E26EF6">
        <w:tab/>
        <w:t>Pojęcie „siedziby dłużnika” odnosi się do państwa założenia dłużnika. Pojęcie to można stosować na zasadzie bezpośredniego dłużnika lub na zasadzie ostatecznego ryzyka. Tym samym techniki ograniczania ryzyka kredytowego</w:t>
      </w:r>
      <w:r w:rsidR="00E26EF6" w:rsidRPr="00E26EF6">
        <w:t xml:space="preserve"> z uwz</w:t>
      </w:r>
      <w:r w:rsidRPr="00E26EF6">
        <w:t>ględnieniem efektów substytucyjnych mogą zmienić przypisanie ekspozycji do państwa. Ekspozycje wobec organizacji ponadnarodowych nie są przypisywane do państwa siedziby instytucji, tylko do obszaru geograficznego „Inne państwa”, niezależnie od kategorii ekspozycji, do której przypisano daną ekspozycję wobec organizacji ponadnarodowej.</w:t>
      </w:r>
    </w:p>
    <w:p w14:paraId="2E93593D" w14:textId="2201E1C6" w:rsidR="00915077" w:rsidRPr="00E26EF6" w:rsidRDefault="00125707">
      <w:pPr>
        <w:pStyle w:val="InstructionsText2"/>
        <w:numPr>
          <w:ilvl w:val="0"/>
          <w:numId w:val="0"/>
        </w:numPr>
        <w:ind w:left="993"/>
      </w:pPr>
      <w:r w:rsidRPr="00E26EF6">
        <w:t>81.</w:t>
      </w:r>
      <w:r w:rsidRPr="00E26EF6">
        <w:tab/>
        <w:t>Dane dotyczące „pierwotnej ekspozycji przed uwzględnieniem współczynników konwersji” zgłaszane są</w:t>
      </w:r>
      <w:r w:rsidR="00E26EF6" w:rsidRPr="00E26EF6">
        <w:t xml:space="preserve"> z odw</w:t>
      </w:r>
      <w:r w:rsidRPr="00E26EF6">
        <w:t>ołaniem do państwa siedziby dłużnika bezpośredniego. Dane dotyczące „wartości ekspozycji” i „kwot ekspozycji ważonych ryzykiem” zgłaszane są</w:t>
      </w:r>
      <w:r w:rsidR="00E26EF6" w:rsidRPr="00E26EF6">
        <w:t xml:space="preserve"> w odn</w:t>
      </w:r>
      <w:r w:rsidRPr="00E26EF6">
        <w:t>iesieniu do państwa siedziby dłużnika ostatecznego.</w:t>
      </w:r>
    </w:p>
    <w:p w14:paraId="65D356E5"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49" w:name="_Toc31014347"/>
      <w:r w:rsidRPr="00E26EF6">
        <w:rPr>
          <w:rFonts w:ascii="Times New Roman" w:hAnsi="Times New Roman"/>
          <w:sz w:val="24"/>
          <w:u w:val="none"/>
        </w:rPr>
        <w:lastRenderedPageBreak/>
        <w:t>3.4.1.</w:t>
      </w:r>
      <w:r w:rsidRPr="00E26EF6">
        <w:rPr>
          <w:rFonts w:ascii="Times New Roman" w:hAnsi="Times New Roman"/>
          <w:sz w:val="24"/>
          <w:u w:val="none"/>
        </w:rPr>
        <w:tab/>
      </w:r>
      <w:r w:rsidRPr="00E26EF6">
        <w:rPr>
          <w:rFonts w:ascii="Times New Roman" w:hAnsi="Times New Roman"/>
          <w:sz w:val="24"/>
        </w:rPr>
        <w:t>C 09.01 – Podział ekspozycji pod względem geograficznym według siedziby dłużnika: ekspozycje według metody standardowej (CR GB 1)</w:t>
      </w:r>
      <w:bookmarkEnd w:id="49"/>
    </w:p>
    <w:p w14:paraId="77B971F2"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50" w:name="_Toc31014348"/>
      <w:r w:rsidRPr="00E26EF6">
        <w:rPr>
          <w:rFonts w:ascii="Times New Roman" w:hAnsi="Times New Roman"/>
          <w:sz w:val="24"/>
          <w:u w:val="none"/>
        </w:rPr>
        <w:t>3.4.1.1.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5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15077" w:rsidRPr="00E26EF6" w14:paraId="00A62539" w14:textId="77777777" w:rsidTr="00672D2A">
        <w:trPr>
          <w:trHeight w:val="581"/>
        </w:trPr>
        <w:tc>
          <w:tcPr>
            <w:tcW w:w="9828" w:type="dxa"/>
            <w:gridSpan w:val="2"/>
            <w:shd w:val="clear" w:color="auto" w:fill="CCCCCC"/>
          </w:tcPr>
          <w:p w14:paraId="20553A31" w14:textId="77777777" w:rsidR="00915077" w:rsidRPr="00E26EF6" w:rsidRDefault="004357B9">
            <w:pPr>
              <w:spacing w:after="0"/>
              <w:rPr>
                <w:rStyle w:val="InstructionsTabelleText"/>
                <w:rFonts w:ascii="Times New Roman" w:hAnsi="Times New Roman"/>
                <w:b/>
                <w:sz w:val="24"/>
                <w:highlight w:val="lightGray"/>
              </w:rPr>
            </w:pPr>
            <w:r w:rsidRPr="00E26EF6">
              <w:rPr>
                <w:rStyle w:val="InstructionsTabelleText"/>
                <w:rFonts w:ascii="Times New Roman" w:hAnsi="Times New Roman"/>
                <w:b/>
                <w:sz w:val="24"/>
              </w:rPr>
              <w:t>Kolumny</w:t>
            </w:r>
          </w:p>
        </w:tc>
      </w:tr>
      <w:tr w:rsidR="00915077" w:rsidRPr="00E26EF6" w14:paraId="326C18F6" w14:textId="77777777" w:rsidTr="00672D2A">
        <w:tc>
          <w:tcPr>
            <w:tcW w:w="1188" w:type="dxa"/>
          </w:tcPr>
          <w:p w14:paraId="00EEB0C3" w14:textId="77777777" w:rsidR="00915077" w:rsidRPr="00E26EF6" w:rsidRDefault="004357B9">
            <w:pPr>
              <w:rPr>
                <w:rStyle w:val="InstructionsTabelleText"/>
                <w:rFonts w:ascii="Times New Roman" w:hAnsi="Times New Roman"/>
                <w:sz w:val="24"/>
                <w:highlight w:val="lightGray"/>
              </w:rPr>
            </w:pPr>
            <w:r w:rsidRPr="00E26EF6">
              <w:rPr>
                <w:rStyle w:val="InstructionsTabelleText"/>
                <w:rFonts w:ascii="Times New Roman" w:hAnsi="Times New Roman"/>
                <w:sz w:val="24"/>
              </w:rPr>
              <w:t>010</w:t>
            </w:r>
          </w:p>
        </w:tc>
        <w:tc>
          <w:tcPr>
            <w:tcW w:w="8640" w:type="dxa"/>
          </w:tcPr>
          <w:p w14:paraId="5FFFCD08" w14:textId="30C14346" w:rsidR="00915077" w:rsidRPr="00E26EF6" w:rsidRDefault="004357B9">
            <w:pPr>
              <w:rPr>
                <w:rFonts w:ascii="Times New Roman" w:hAnsi="Times New Roman"/>
                <w:b/>
                <w:sz w:val="24"/>
                <w:u w:val="single"/>
              </w:rPr>
            </w:pPr>
            <w:r w:rsidRPr="00E26EF6">
              <w:rPr>
                <w:rFonts w:ascii="Times New Roman" w:hAnsi="Times New Roman"/>
                <w:b/>
                <w:sz w:val="24"/>
                <w:u w:val="single"/>
              </w:rPr>
              <w:t>PIERWOTNA EKSPOZYCJA PRZED UWZGLĘDNIENIEM WSPÓŁCZYNNIKÓW KONWERSJI</w:t>
            </w:r>
          </w:p>
          <w:p w14:paraId="736986FA" w14:textId="77777777" w:rsidR="00915077" w:rsidRPr="00E26EF6" w:rsidRDefault="004357B9">
            <w:pPr>
              <w:rPr>
                <w:rFonts w:ascii="Times New Roman" w:hAnsi="Times New Roman"/>
                <w:sz w:val="24"/>
                <w:highlight w:val="lightGray"/>
              </w:rPr>
            </w:pPr>
            <w:r w:rsidRPr="00E26EF6">
              <w:rPr>
                <w:rFonts w:ascii="Times New Roman" w:hAnsi="Times New Roman"/>
                <w:sz w:val="24"/>
              </w:rPr>
              <w:t>Definicja taka sama jak dla kolumny 010 wzoru CR SA</w:t>
            </w:r>
          </w:p>
        </w:tc>
      </w:tr>
      <w:tr w:rsidR="00915077" w:rsidRPr="00E26EF6" w14:paraId="29EDD32F" w14:textId="77777777" w:rsidTr="00672D2A">
        <w:tc>
          <w:tcPr>
            <w:tcW w:w="1188" w:type="dxa"/>
          </w:tcPr>
          <w:p w14:paraId="78065DD2" w14:textId="77777777" w:rsidR="00915077" w:rsidRPr="00E26EF6" w:rsidRDefault="004357B9">
            <w:pPr>
              <w:rPr>
                <w:rFonts w:ascii="Times New Roman" w:hAnsi="Times New Roman"/>
                <w:sz w:val="24"/>
                <w:highlight w:val="lightGray"/>
              </w:rPr>
            </w:pPr>
            <w:r w:rsidRPr="00E26EF6">
              <w:rPr>
                <w:rFonts w:ascii="Times New Roman" w:hAnsi="Times New Roman"/>
                <w:sz w:val="24"/>
              </w:rPr>
              <w:t>020</w:t>
            </w:r>
          </w:p>
        </w:tc>
        <w:tc>
          <w:tcPr>
            <w:tcW w:w="8640" w:type="dxa"/>
          </w:tcPr>
          <w:p w14:paraId="274A33EE" w14:textId="77777777" w:rsidR="00915077" w:rsidRPr="00E26EF6" w:rsidRDefault="00771E97">
            <w:pPr>
              <w:rPr>
                <w:rFonts w:ascii="Times New Roman" w:hAnsi="Times New Roman"/>
                <w:b/>
                <w:sz w:val="24"/>
                <w:u w:val="single"/>
              </w:rPr>
            </w:pPr>
            <w:proofErr w:type="gramStart"/>
            <w:r w:rsidRPr="00E26EF6">
              <w:rPr>
                <w:rFonts w:ascii="Times New Roman" w:hAnsi="Times New Roman"/>
                <w:b/>
                <w:sz w:val="24"/>
                <w:u w:val="single"/>
              </w:rPr>
              <w:t>ekspozycje</w:t>
            </w:r>
            <w:proofErr w:type="gramEnd"/>
            <w:r w:rsidRPr="00E26EF6">
              <w:rPr>
                <w:rFonts w:ascii="Times New Roman" w:hAnsi="Times New Roman"/>
                <w:b/>
                <w:sz w:val="24"/>
                <w:u w:val="single"/>
              </w:rPr>
              <w:t>, których dotyczy niewykonanie zobowiązania</w:t>
            </w:r>
          </w:p>
          <w:p w14:paraId="64B70800" w14:textId="0C7F2DF4" w:rsidR="00915077" w:rsidRPr="00E26EF6" w:rsidRDefault="004357B9">
            <w:pPr>
              <w:rPr>
                <w:rStyle w:val="InstructionsTabelleText"/>
                <w:rFonts w:ascii="Times New Roman" w:hAnsi="Times New Roman"/>
                <w:sz w:val="24"/>
              </w:rPr>
            </w:pPr>
            <w:r w:rsidRPr="00E26EF6">
              <w:rPr>
                <w:rStyle w:val="InstructionsTabelleText"/>
                <w:rFonts w:ascii="Times New Roman" w:hAnsi="Times New Roman"/>
                <w:sz w:val="24"/>
              </w:rPr>
              <w:t>Pierwotna ekspozycja przed uwzględnieniem współczynników konwersji</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tych ekspozycji, które zostały sklasyfikowane jako „ekspozycje, których dotyczy niewykonanie zobowiązania”, oraz</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tych ekspozycji, których dotyczy niewykonanie zobowiązania, które zostały przypisane do kategorii ekspozycji „ekspozycje związane ze szczególnie wysokim ryzykiem” lub „ekspozycje kapitałowe”.</w:t>
            </w:r>
          </w:p>
          <w:p w14:paraId="5CBAE055" w14:textId="2B5E866B" w:rsidR="00915077" w:rsidRPr="00E26EF6" w:rsidRDefault="004357B9">
            <w:pPr>
              <w:rPr>
                <w:rStyle w:val="InstructionsTabelleText"/>
                <w:rFonts w:ascii="Times New Roman" w:hAnsi="Times New Roman"/>
                <w:sz w:val="24"/>
              </w:rPr>
            </w:pPr>
            <w:r w:rsidRPr="00E26EF6">
              <w:rPr>
                <w:rStyle w:val="InstructionsTabelleText"/>
                <w:rFonts w:ascii="Times New Roman" w:hAnsi="Times New Roman"/>
                <w:sz w:val="24"/>
              </w:rPr>
              <w:t>Ta „pozycja uzupełniająca” zawiera dodatkowe informacje</w:t>
            </w:r>
            <w:r w:rsidR="00E26EF6" w:rsidRPr="00E26EF6">
              <w:rPr>
                <w:rStyle w:val="InstructionsTabelleText"/>
                <w:rFonts w:ascii="Times New Roman" w:hAnsi="Times New Roman"/>
                <w:sz w:val="24"/>
              </w:rPr>
              <w:t xml:space="preserve"> o str</w:t>
            </w:r>
            <w:r w:rsidRPr="00E26EF6">
              <w:rPr>
                <w:rStyle w:val="InstructionsTabelleText"/>
                <w:rFonts w:ascii="Times New Roman" w:hAnsi="Times New Roman"/>
                <w:sz w:val="24"/>
              </w:rPr>
              <w:t>ukturze dłużnika</w:t>
            </w:r>
            <w:r w:rsidR="00E26EF6" w:rsidRPr="00E26EF6">
              <w:rPr>
                <w:rStyle w:val="InstructionsTabelleText"/>
                <w:rFonts w:ascii="Times New Roman" w:hAnsi="Times New Roman"/>
                <w:sz w:val="24"/>
              </w:rPr>
              <w:t xml:space="preserve"> w prz</w:t>
            </w:r>
            <w:r w:rsidRPr="00E26EF6">
              <w:rPr>
                <w:rStyle w:val="InstructionsTabelleText"/>
                <w:rFonts w:ascii="Times New Roman" w:hAnsi="Times New Roman"/>
                <w:sz w:val="24"/>
              </w:rPr>
              <w:t>ypadku ekspozycji, których dotyczy niewykonanie zobowiązania. Ekspozycje sklasyfikowane jako „ekspozycje, których dotyczy niewykonanie zobowiązania”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112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j) CRR zgłasza się</w:t>
            </w:r>
            <w:r w:rsidR="00E26EF6" w:rsidRPr="00E26EF6">
              <w:rPr>
                <w:rStyle w:val="InstructionsTabelleText"/>
                <w:rFonts w:ascii="Times New Roman" w:hAnsi="Times New Roman"/>
                <w:sz w:val="24"/>
              </w:rPr>
              <w:t xml:space="preserve"> w prz</w:t>
            </w:r>
            <w:r w:rsidRPr="00E26EF6">
              <w:rPr>
                <w:rStyle w:val="InstructionsTabelleText"/>
                <w:rFonts w:ascii="Times New Roman" w:hAnsi="Times New Roman"/>
                <w:sz w:val="24"/>
              </w:rPr>
              <w:t xml:space="preserve">ypadku, gdy dłużnicy zostaliby </w:t>
            </w:r>
            <w:r w:rsidRPr="00E26EF6">
              <w:rPr>
                <w:rStyle w:val="InstructionsTabelleText"/>
                <w:rFonts w:ascii="Times New Roman" w:hAnsi="Times New Roman"/>
                <w:sz w:val="24"/>
              </w:rPr>
              <w:br/>
              <w:t xml:space="preserve">zgłoszeni, jeżeli ekspozycje te nie zostałyby przypisane do kategorii ekspozycji „ekspozycje, których dotyczy niewykonanie zobowiązania”. </w:t>
            </w:r>
          </w:p>
          <w:p w14:paraId="083D1225" w14:textId="341B5BE9" w:rsidR="00915077" w:rsidRPr="00E26EF6" w:rsidRDefault="004357B9">
            <w:pPr>
              <w:rPr>
                <w:rFonts w:ascii="Times New Roman" w:hAnsi="Times New Roman"/>
                <w:sz w:val="24"/>
                <w:highlight w:val="lightGray"/>
              </w:rPr>
            </w:pPr>
            <w:r w:rsidRPr="00E26EF6">
              <w:rPr>
                <w:rStyle w:val="InstructionsTabelleText"/>
                <w:rFonts w:ascii="Times New Roman" w:hAnsi="Times New Roman"/>
                <w:sz w:val="24"/>
              </w:rPr>
              <w:t>Informacja ta jest „pozycją uzupełniającą”, dlatego nie wpływa na obliczanie kwot ekspozycji ważonych ryzykiem dla kategorii ekspozycji „ekspozycje, których dotyczy niewykonanie zobowiązania”, „ekspozycje związane ze szczególnie wysokim ryzykiem” lub „ekspozycje kapitałowe”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112 odpowiednio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j), k) i p) CRR.</w:t>
            </w:r>
          </w:p>
        </w:tc>
      </w:tr>
      <w:tr w:rsidR="00915077" w:rsidRPr="00E26EF6" w14:paraId="2E3F251B" w14:textId="77777777" w:rsidTr="00672D2A">
        <w:tc>
          <w:tcPr>
            <w:tcW w:w="1188" w:type="dxa"/>
          </w:tcPr>
          <w:p w14:paraId="23CB7F54" w14:textId="77777777" w:rsidR="00915077" w:rsidRPr="00E26EF6" w:rsidRDefault="004357B9">
            <w:pPr>
              <w:rPr>
                <w:rFonts w:ascii="Times New Roman" w:hAnsi="Times New Roman"/>
                <w:sz w:val="24"/>
                <w:highlight w:val="lightGray"/>
              </w:rPr>
            </w:pPr>
            <w:r w:rsidRPr="00E26EF6">
              <w:rPr>
                <w:rFonts w:ascii="Times New Roman" w:hAnsi="Times New Roman"/>
                <w:sz w:val="24"/>
              </w:rPr>
              <w:t>040</w:t>
            </w:r>
          </w:p>
        </w:tc>
        <w:tc>
          <w:tcPr>
            <w:tcW w:w="8640" w:type="dxa"/>
          </w:tcPr>
          <w:p w14:paraId="50E07768" w14:textId="0AD25DA1" w:rsidR="00915077" w:rsidRPr="00E26EF6" w:rsidRDefault="004357B9">
            <w:pPr>
              <w:rPr>
                <w:rFonts w:ascii="Times New Roman" w:hAnsi="Times New Roman"/>
                <w:b/>
                <w:sz w:val="24"/>
                <w:u w:val="single"/>
              </w:rPr>
            </w:pPr>
            <w:r w:rsidRPr="00E26EF6">
              <w:rPr>
                <w:rFonts w:ascii="Times New Roman" w:hAnsi="Times New Roman"/>
                <w:b/>
                <w:sz w:val="24"/>
                <w:u w:val="single"/>
              </w:rPr>
              <w:t>Zaobserwowane</w:t>
            </w:r>
            <w:r w:rsidR="00E26EF6" w:rsidRPr="00E26EF6">
              <w:rPr>
                <w:rFonts w:ascii="Times New Roman" w:hAnsi="Times New Roman"/>
                <w:b/>
                <w:sz w:val="24"/>
                <w:u w:val="single"/>
              </w:rPr>
              <w:t xml:space="preserve"> w dan</w:t>
            </w:r>
            <w:r w:rsidRPr="00E26EF6">
              <w:rPr>
                <w:rFonts w:ascii="Times New Roman" w:hAnsi="Times New Roman"/>
                <w:b/>
                <w:sz w:val="24"/>
                <w:u w:val="single"/>
              </w:rPr>
              <w:t>ym okresie nowe przypadki niewykonania zobowiązania</w:t>
            </w:r>
          </w:p>
          <w:p w14:paraId="4E51ABF8" w14:textId="4C193374" w:rsidR="00915077" w:rsidRPr="00E26EF6" w:rsidRDefault="00DF70AE">
            <w:pPr>
              <w:rPr>
                <w:rFonts w:ascii="Times New Roman" w:hAnsi="Times New Roman"/>
                <w:b/>
                <w:sz w:val="24"/>
                <w:highlight w:val="lightGray"/>
                <w:u w:val="single"/>
              </w:rPr>
            </w:pPr>
            <w:r w:rsidRPr="00E26EF6">
              <w:rPr>
                <w:rStyle w:val="InstructionsTabelleText"/>
                <w:rFonts w:ascii="Times New Roman" w:hAnsi="Times New Roman"/>
                <w:sz w:val="24"/>
              </w:rPr>
              <w:t>Kwotę pierwotnych ekspozycji, które zostały przeniesione do kategorii „ekspozycji, których dotyczy niewykonanie zobowiązania”</w:t>
            </w:r>
            <w:r w:rsidR="00E26EF6" w:rsidRPr="00E26EF6">
              <w:rPr>
                <w:rStyle w:val="InstructionsTabelleText"/>
                <w:rFonts w:ascii="Times New Roman" w:hAnsi="Times New Roman"/>
                <w:sz w:val="24"/>
              </w:rPr>
              <w:t xml:space="preserve"> w okr</w:t>
            </w:r>
            <w:r w:rsidRPr="00E26EF6">
              <w:rPr>
                <w:rStyle w:val="InstructionsTabelleText"/>
                <w:rFonts w:ascii="Times New Roman" w:hAnsi="Times New Roman"/>
                <w:sz w:val="24"/>
              </w:rPr>
              <w:t>esie trzech miesięcy od ostatniego terminu przekazywania sprawozdania, zgłasza się</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kategorii ekspozycji, do której dłużnik należał pierwotnie.</w:t>
            </w:r>
          </w:p>
        </w:tc>
      </w:tr>
      <w:tr w:rsidR="00915077" w:rsidRPr="00E26EF6" w14:paraId="762DAFD3" w14:textId="77777777" w:rsidTr="00672D2A">
        <w:tc>
          <w:tcPr>
            <w:tcW w:w="1188" w:type="dxa"/>
          </w:tcPr>
          <w:p w14:paraId="477F58BF" w14:textId="77777777" w:rsidR="00915077" w:rsidRPr="00E26EF6" w:rsidRDefault="004357B9">
            <w:pPr>
              <w:rPr>
                <w:rFonts w:ascii="Times New Roman" w:hAnsi="Times New Roman"/>
                <w:sz w:val="24"/>
                <w:highlight w:val="lightGray"/>
              </w:rPr>
            </w:pPr>
            <w:r w:rsidRPr="00E26EF6">
              <w:rPr>
                <w:rFonts w:ascii="Times New Roman" w:hAnsi="Times New Roman"/>
                <w:sz w:val="24"/>
              </w:rPr>
              <w:t>050</w:t>
            </w:r>
          </w:p>
        </w:tc>
        <w:tc>
          <w:tcPr>
            <w:tcW w:w="8640" w:type="dxa"/>
          </w:tcPr>
          <w:p w14:paraId="7B7C6C5A" w14:textId="7F4929A8" w:rsidR="00915077" w:rsidRPr="00E26EF6" w:rsidRDefault="004357B9">
            <w:pPr>
              <w:rPr>
                <w:rFonts w:ascii="Times New Roman" w:hAnsi="Times New Roman"/>
                <w:b/>
                <w:sz w:val="24"/>
                <w:u w:val="single"/>
              </w:rPr>
            </w:pPr>
            <w:r w:rsidRPr="00E26EF6">
              <w:rPr>
                <w:rFonts w:ascii="Times New Roman" w:hAnsi="Times New Roman"/>
                <w:b/>
                <w:sz w:val="24"/>
                <w:u w:val="single"/>
              </w:rPr>
              <w:t>Korekty</w:t>
            </w:r>
            <w:r w:rsidR="00E26EF6" w:rsidRPr="00E26EF6">
              <w:rPr>
                <w:rFonts w:ascii="Times New Roman" w:hAnsi="Times New Roman"/>
                <w:b/>
                <w:sz w:val="24"/>
                <w:u w:val="single"/>
              </w:rPr>
              <w:t xml:space="preserve"> z tyt</w:t>
            </w:r>
            <w:r w:rsidRPr="00E26EF6">
              <w:rPr>
                <w:rFonts w:ascii="Times New Roman" w:hAnsi="Times New Roman"/>
                <w:b/>
                <w:sz w:val="24"/>
                <w:u w:val="single"/>
              </w:rPr>
              <w:t>ułu ogólnego ryzyka kredytowego</w:t>
            </w:r>
          </w:p>
          <w:p w14:paraId="6F55B825" w14:textId="22C875F9" w:rsidR="00915077" w:rsidRPr="00E26EF6" w:rsidRDefault="004357B9">
            <w:pPr>
              <w:rPr>
                <w:rFonts w:ascii="Times New Roman" w:hAnsi="Times New Roman"/>
                <w:sz w:val="24"/>
              </w:rPr>
            </w:pPr>
            <w:r w:rsidRPr="00E26EF6">
              <w:rPr>
                <w:rFonts w:ascii="Times New Roman" w:hAnsi="Times New Roman"/>
                <w:sz w:val="24"/>
              </w:rPr>
              <w:t>Korekty</w:t>
            </w:r>
            <w:r w:rsidR="00E26EF6" w:rsidRPr="00E26EF6">
              <w:rPr>
                <w:rFonts w:ascii="Times New Roman" w:hAnsi="Times New Roman"/>
                <w:sz w:val="24"/>
              </w:rPr>
              <w:t xml:space="preserve"> z tyt</w:t>
            </w:r>
            <w:r w:rsidRPr="00E26EF6">
              <w:rPr>
                <w:rFonts w:ascii="Times New Roman" w:hAnsi="Times New Roman"/>
                <w:sz w:val="24"/>
              </w:rPr>
              <w:t>ułu ryzyka kredytowego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110 CRR. </w:t>
            </w:r>
          </w:p>
          <w:p w14:paraId="46866298" w14:textId="70996C7D" w:rsidR="00915077" w:rsidRPr="00E26EF6" w:rsidRDefault="00D95045">
            <w:pPr>
              <w:rPr>
                <w:rFonts w:ascii="Times New Roman" w:hAnsi="Times New Roman"/>
                <w:sz w:val="24"/>
              </w:rPr>
            </w:pPr>
            <w:r w:rsidRPr="00E26EF6">
              <w:rPr>
                <w:rFonts w:ascii="Times New Roman" w:hAnsi="Times New Roman"/>
                <w:sz w:val="24"/>
              </w:rPr>
              <w:t>W pozycji tej uwzględnia się korekty</w:t>
            </w:r>
            <w:r w:rsidR="00E26EF6" w:rsidRPr="00E26EF6">
              <w:rPr>
                <w:rFonts w:ascii="Times New Roman" w:hAnsi="Times New Roman"/>
                <w:sz w:val="24"/>
              </w:rPr>
              <w:t xml:space="preserve"> z tyt</w:t>
            </w:r>
            <w:r w:rsidRPr="00E26EF6">
              <w:rPr>
                <w:rFonts w:ascii="Times New Roman" w:hAnsi="Times New Roman"/>
                <w:sz w:val="24"/>
              </w:rPr>
              <w:t>ułu ogólnego ryzyka kredytowego, które kwalifikują się do włączenia do kapitału Tier II, przed zastosowaniem pułapu,</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62 lit.</w:t>
            </w:r>
            <w:r w:rsidR="00023409" w:rsidRPr="00E26EF6">
              <w:rPr>
                <w:rFonts w:ascii="Times New Roman" w:hAnsi="Times New Roman"/>
                <w:sz w:val="24"/>
              </w:rPr>
              <w:t> </w:t>
            </w:r>
            <w:r w:rsidRPr="00E26EF6">
              <w:rPr>
                <w:rFonts w:ascii="Times New Roman" w:hAnsi="Times New Roman"/>
                <w:sz w:val="24"/>
              </w:rPr>
              <w:t>c) CRR.</w:t>
            </w:r>
          </w:p>
          <w:p w14:paraId="2C814480" w14:textId="77777777" w:rsidR="00915077" w:rsidRPr="00E26EF6" w:rsidRDefault="00D95045">
            <w:pPr>
              <w:rPr>
                <w:rFonts w:ascii="Times New Roman" w:hAnsi="Times New Roman"/>
                <w:b/>
                <w:sz w:val="24"/>
                <w:highlight w:val="lightGray"/>
                <w:u w:val="single"/>
              </w:rPr>
            </w:pPr>
            <w:r w:rsidRPr="00E26EF6">
              <w:rPr>
                <w:rFonts w:ascii="Times New Roman" w:hAnsi="Times New Roman"/>
                <w:sz w:val="24"/>
              </w:rPr>
              <w:t>Kwota, którą należy zgłosić, jest kwotą przed skutkami podatkowymi.</w:t>
            </w:r>
          </w:p>
        </w:tc>
      </w:tr>
      <w:tr w:rsidR="00915077" w:rsidRPr="00E26EF6" w14:paraId="7C2BFDFD" w14:textId="77777777" w:rsidTr="00672D2A">
        <w:tc>
          <w:tcPr>
            <w:tcW w:w="1188" w:type="dxa"/>
          </w:tcPr>
          <w:p w14:paraId="51BF1CE0" w14:textId="77777777" w:rsidR="00915077" w:rsidRPr="00E26EF6" w:rsidRDefault="004357B9">
            <w:pPr>
              <w:rPr>
                <w:rFonts w:ascii="Times New Roman" w:hAnsi="Times New Roman"/>
                <w:sz w:val="24"/>
                <w:highlight w:val="lightGray"/>
              </w:rPr>
            </w:pPr>
            <w:r w:rsidRPr="00E26EF6">
              <w:rPr>
                <w:rFonts w:ascii="Times New Roman" w:hAnsi="Times New Roman"/>
                <w:sz w:val="24"/>
              </w:rPr>
              <w:t>055</w:t>
            </w:r>
          </w:p>
        </w:tc>
        <w:tc>
          <w:tcPr>
            <w:tcW w:w="8640" w:type="dxa"/>
          </w:tcPr>
          <w:p w14:paraId="2BC39485" w14:textId="1A9508C4" w:rsidR="00915077" w:rsidRPr="00E26EF6" w:rsidRDefault="004357B9">
            <w:pPr>
              <w:rPr>
                <w:rFonts w:ascii="Times New Roman" w:hAnsi="Times New Roman"/>
                <w:b/>
                <w:sz w:val="24"/>
                <w:u w:val="single"/>
              </w:rPr>
            </w:pPr>
            <w:r w:rsidRPr="00E26EF6">
              <w:rPr>
                <w:rFonts w:ascii="Times New Roman" w:hAnsi="Times New Roman"/>
                <w:b/>
                <w:sz w:val="24"/>
                <w:u w:val="single"/>
              </w:rPr>
              <w:t>Korekty</w:t>
            </w:r>
            <w:r w:rsidR="00E26EF6" w:rsidRPr="00E26EF6">
              <w:rPr>
                <w:rFonts w:ascii="Times New Roman" w:hAnsi="Times New Roman"/>
                <w:b/>
                <w:sz w:val="24"/>
                <w:u w:val="single"/>
              </w:rPr>
              <w:t xml:space="preserve"> z tyt</w:t>
            </w:r>
            <w:r w:rsidRPr="00E26EF6">
              <w:rPr>
                <w:rFonts w:ascii="Times New Roman" w:hAnsi="Times New Roman"/>
                <w:b/>
                <w:sz w:val="24"/>
                <w:u w:val="single"/>
              </w:rPr>
              <w:t>ułu szczególnego ryzyka kredytowego</w:t>
            </w:r>
          </w:p>
          <w:p w14:paraId="09256F50" w14:textId="2AF38216" w:rsidR="00915077" w:rsidRPr="00E26EF6" w:rsidRDefault="004357B9">
            <w:pPr>
              <w:rPr>
                <w:rFonts w:ascii="Times New Roman" w:hAnsi="Times New Roman"/>
                <w:b/>
                <w:sz w:val="24"/>
                <w:highlight w:val="lightGray"/>
                <w:u w:val="single"/>
              </w:rPr>
            </w:pPr>
            <w:r w:rsidRPr="00E26EF6">
              <w:rPr>
                <w:rFonts w:ascii="Times New Roman" w:hAnsi="Times New Roman"/>
                <w:sz w:val="24"/>
              </w:rPr>
              <w:t>Korekty</w:t>
            </w:r>
            <w:r w:rsidR="00E26EF6" w:rsidRPr="00E26EF6">
              <w:rPr>
                <w:rFonts w:ascii="Times New Roman" w:hAnsi="Times New Roman"/>
                <w:sz w:val="24"/>
              </w:rPr>
              <w:t xml:space="preserve"> z tyt</w:t>
            </w:r>
            <w:r w:rsidRPr="00E26EF6">
              <w:rPr>
                <w:rFonts w:ascii="Times New Roman" w:hAnsi="Times New Roman"/>
                <w:sz w:val="24"/>
              </w:rPr>
              <w:t>ułu ryzyka kredytowego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110 CRR.</w:t>
            </w:r>
          </w:p>
        </w:tc>
      </w:tr>
      <w:tr w:rsidR="00915077" w:rsidRPr="00E26EF6" w14:paraId="7171770E" w14:textId="77777777" w:rsidTr="00672D2A">
        <w:tc>
          <w:tcPr>
            <w:tcW w:w="1188" w:type="dxa"/>
          </w:tcPr>
          <w:p w14:paraId="3EBBE060" w14:textId="77777777" w:rsidR="00915077" w:rsidRPr="00E26EF6" w:rsidRDefault="004357B9">
            <w:pPr>
              <w:rPr>
                <w:rFonts w:ascii="Times New Roman" w:hAnsi="Times New Roman"/>
                <w:sz w:val="24"/>
                <w:highlight w:val="lightGray"/>
              </w:rPr>
            </w:pPr>
            <w:r w:rsidRPr="00E26EF6">
              <w:rPr>
                <w:rFonts w:ascii="Times New Roman" w:hAnsi="Times New Roman"/>
                <w:sz w:val="24"/>
              </w:rPr>
              <w:t>060</w:t>
            </w:r>
          </w:p>
        </w:tc>
        <w:tc>
          <w:tcPr>
            <w:tcW w:w="8640" w:type="dxa"/>
          </w:tcPr>
          <w:p w14:paraId="489B9A51"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Spisania</w:t>
            </w:r>
          </w:p>
          <w:p w14:paraId="147BEE4B" w14:textId="7D7900F3"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Spisania obejmują zarówno zmniejszenia wartości bilansowej aktywów finansowych, które utraciły wartość, ujmowanych bezpośrednio</w:t>
            </w:r>
            <w:r w:rsidR="00E26EF6" w:rsidRPr="00E26EF6">
              <w:rPr>
                <w:rStyle w:val="InstructionsTabelleText"/>
                <w:rFonts w:ascii="Times New Roman" w:hAnsi="Times New Roman"/>
                <w:sz w:val="24"/>
              </w:rPr>
              <w:t xml:space="preserve"> w zys</w:t>
            </w:r>
            <w:r w:rsidRPr="00E26EF6">
              <w:rPr>
                <w:rStyle w:val="InstructionsTabelleText"/>
                <w:rFonts w:ascii="Times New Roman" w:hAnsi="Times New Roman"/>
                <w:sz w:val="24"/>
              </w:rPr>
              <w:t>ku lub stracie [MSSF 7.B5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d) ppkt (i)], jak również obniżenia kwot na koncie odpisów</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wartości bilansowej aktywów finansowych, które utraciły wartość [MSSF 7.B5. lit. d) ppkt (ii)].</w:t>
            </w:r>
          </w:p>
        </w:tc>
      </w:tr>
      <w:tr w:rsidR="00915077" w:rsidRPr="00E26EF6" w14:paraId="0ED5012D" w14:textId="77777777" w:rsidTr="00672D2A">
        <w:tc>
          <w:tcPr>
            <w:tcW w:w="1188" w:type="dxa"/>
          </w:tcPr>
          <w:p w14:paraId="28F13CB0" w14:textId="77777777" w:rsidR="00915077" w:rsidRPr="00E26EF6" w:rsidRDefault="004357B9">
            <w:pPr>
              <w:rPr>
                <w:rFonts w:ascii="Times New Roman" w:hAnsi="Times New Roman"/>
                <w:sz w:val="24"/>
                <w:highlight w:val="lightGray"/>
              </w:rPr>
            </w:pPr>
            <w:r w:rsidRPr="00E26EF6">
              <w:rPr>
                <w:rFonts w:ascii="Times New Roman" w:hAnsi="Times New Roman"/>
                <w:sz w:val="24"/>
              </w:rPr>
              <w:t>070</w:t>
            </w:r>
          </w:p>
        </w:tc>
        <w:tc>
          <w:tcPr>
            <w:tcW w:w="8640" w:type="dxa"/>
          </w:tcPr>
          <w:p w14:paraId="49B1F54B" w14:textId="573578EA" w:rsidR="00915077" w:rsidRPr="00E26EF6" w:rsidRDefault="004357B9">
            <w:pPr>
              <w:rPr>
                <w:rFonts w:ascii="Times New Roman" w:hAnsi="Times New Roman"/>
                <w:b/>
                <w:sz w:val="24"/>
                <w:u w:val="single"/>
              </w:rPr>
            </w:pPr>
            <w:r w:rsidRPr="00E26EF6">
              <w:rPr>
                <w:rFonts w:ascii="Times New Roman" w:hAnsi="Times New Roman"/>
                <w:b/>
                <w:sz w:val="24"/>
                <w:u w:val="single"/>
              </w:rPr>
              <w:t>Korekty</w:t>
            </w:r>
            <w:r w:rsidR="00E26EF6" w:rsidRPr="00E26EF6">
              <w:rPr>
                <w:rFonts w:ascii="Times New Roman" w:hAnsi="Times New Roman"/>
                <w:b/>
                <w:sz w:val="24"/>
                <w:u w:val="single"/>
              </w:rPr>
              <w:t xml:space="preserve"> z tyt</w:t>
            </w:r>
            <w:r w:rsidRPr="00E26EF6">
              <w:rPr>
                <w:rFonts w:ascii="Times New Roman" w:hAnsi="Times New Roman"/>
                <w:b/>
                <w:sz w:val="24"/>
                <w:u w:val="single"/>
              </w:rPr>
              <w:t>ułu ryzyka kredytowego/spisania</w:t>
            </w:r>
            <w:r w:rsidR="00E26EF6" w:rsidRPr="00E26EF6">
              <w:rPr>
                <w:rFonts w:ascii="Times New Roman" w:hAnsi="Times New Roman"/>
                <w:b/>
                <w:sz w:val="24"/>
                <w:u w:val="single"/>
              </w:rPr>
              <w:t xml:space="preserve"> w zak</w:t>
            </w:r>
            <w:r w:rsidRPr="00E26EF6">
              <w:rPr>
                <w:rFonts w:ascii="Times New Roman" w:hAnsi="Times New Roman"/>
                <w:b/>
                <w:sz w:val="24"/>
                <w:u w:val="single"/>
              </w:rPr>
              <w:t>resie zaobserwowanych nowych przypadków niewykonania zobowiązania</w:t>
            </w:r>
          </w:p>
          <w:p w14:paraId="4B1C116B" w14:textId="5260D7BA"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lastRenderedPageBreak/>
              <w:t>Suma korekt</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ryzyka kredytowego</w:t>
            </w:r>
            <w:r w:rsidR="00E26EF6" w:rsidRPr="00E26EF6">
              <w:rPr>
                <w:rStyle w:val="InstructionsTabelleText"/>
                <w:rFonts w:ascii="Times New Roman" w:hAnsi="Times New Roman"/>
                <w:sz w:val="24"/>
              </w:rPr>
              <w:t xml:space="preserve"> i spi</w:t>
            </w:r>
            <w:r w:rsidRPr="00E26EF6">
              <w:rPr>
                <w:rStyle w:val="InstructionsTabelleText"/>
                <w:rFonts w:ascii="Times New Roman" w:hAnsi="Times New Roman"/>
                <w:sz w:val="24"/>
              </w:rPr>
              <w:t>sań dla tych ekspozycji, które sklasyfikowano jako „ekspozycje, których dotyczy niewykonanie zobowiązania”</w:t>
            </w:r>
            <w:r w:rsidR="00E26EF6" w:rsidRPr="00E26EF6">
              <w:rPr>
                <w:rStyle w:val="InstructionsTabelleText"/>
                <w:rFonts w:ascii="Times New Roman" w:hAnsi="Times New Roman"/>
                <w:sz w:val="24"/>
              </w:rPr>
              <w:t xml:space="preserve"> w okr</w:t>
            </w:r>
            <w:r w:rsidRPr="00E26EF6">
              <w:rPr>
                <w:rStyle w:val="InstructionsTabelleText"/>
                <w:rFonts w:ascii="Times New Roman" w:hAnsi="Times New Roman"/>
                <w:sz w:val="24"/>
              </w:rPr>
              <w:t>esie trzech miesięcy od ostatniego terminu przekazywania sprawozdania.</w:t>
            </w:r>
          </w:p>
        </w:tc>
      </w:tr>
      <w:tr w:rsidR="00915077" w:rsidRPr="00E26EF6" w14:paraId="517526D9" w14:textId="77777777" w:rsidTr="00672D2A">
        <w:tc>
          <w:tcPr>
            <w:tcW w:w="1188" w:type="dxa"/>
          </w:tcPr>
          <w:p w14:paraId="1C9AE3E1" w14:textId="77777777" w:rsidR="00915077" w:rsidRPr="00E26EF6" w:rsidRDefault="004357B9">
            <w:pPr>
              <w:rPr>
                <w:rFonts w:ascii="Times New Roman" w:hAnsi="Times New Roman"/>
                <w:sz w:val="24"/>
                <w:highlight w:val="lightGray"/>
              </w:rPr>
            </w:pPr>
            <w:r w:rsidRPr="00E26EF6">
              <w:rPr>
                <w:rFonts w:ascii="Times New Roman" w:hAnsi="Times New Roman"/>
                <w:sz w:val="24"/>
              </w:rPr>
              <w:lastRenderedPageBreak/>
              <w:t>075</w:t>
            </w:r>
          </w:p>
        </w:tc>
        <w:tc>
          <w:tcPr>
            <w:tcW w:w="8640" w:type="dxa"/>
          </w:tcPr>
          <w:p w14:paraId="7D2501FB"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Wartość ekspozycji</w:t>
            </w:r>
          </w:p>
          <w:p w14:paraId="0FC9F2D2" w14:textId="77777777"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Definicja taka sama jak dla kolumny 200 wzoru CR SA</w:t>
            </w:r>
          </w:p>
        </w:tc>
      </w:tr>
      <w:tr w:rsidR="00915077" w:rsidRPr="00E26EF6" w14:paraId="1E6CBFD9" w14:textId="77777777" w:rsidTr="00672D2A">
        <w:tc>
          <w:tcPr>
            <w:tcW w:w="1188" w:type="dxa"/>
          </w:tcPr>
          <w:p w14:paraId="16603464" w14:textId="77777777" w:rsidR="00915077" w:rsidRPr="00E26EF6" w:rsidRDefault="004357B9">
            <w:pPr>
              <w:rPr>
                <w:rFonts w:ascii="Times New Roman" w:hAnsi="Times New Roman"/>
                <w:sz w:val="24"/>
                <w:highlight w:val="lightGray"/>
              </w:rPr>
            </w:pPr>
            <w:r w:rsidRPr="00E26EF6">
              <w:rPr>
                <w:rFonts w:ascii="Times New Roman" w:hAnsi="Times New Roman"/>
                <w:sz w:val="24"/>
              </w:rPr>
              <w:t>080</w:t>
            </w:r>
          </w:p>
        </w:tc>
        <w:tc>
          <w:tcPr>
            <w:tcW w:w="8640" w:type="dxa"/>
          </w:tcPr>
          <w:p w14:paraId="03C6A6D7"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KWOTA EKSPOZYCJI WAŻONEJ RYZYKIEM PRZED UWZGLĘDNIENIEM WSPÓŁCZYNNIKA WSPARCIA MŚP</w:t>
            </w:r>
          </w:p>
          <w:p w14:paraId="76FB36A8" w14:textId="77777777" w:rsidR="00915077" w:rsidRPr="00E26EF6" w:rsidRDefault="004357B9">
            <w:pPr>
              <w:rPr>
                <w:rFonts w:ascii="Times New Roman" w:hAnsi="Times New Roman"/>
                <w:b/>
                <w:sz w:val="24"/>
                <w:highlight w:val="lightGray"/>
                <w:u w:val="single"/>
              </w:rPr>
            </w:pPr>
            <w:r w:rsidRPr="00E26EF6">
              <w:rPr>
                <w:rFonts w:ascii="Times New Roman" w:hAnsi="Times New Roman"/>
                <w:sz w:val="24"/>
              </w:rPr>
              <w:t>Definicja taka sama jak dla kolumny 215 wzoru CR SA</w:t>
            </w:r>
          </w:p>
        </w:tc>
      </w:tr>
      <w:tr w:rsidR="00915077" w:rsidRPr="00E26EF6" w14:paraId="7637CECB" w14:textId="77777777" w:rsidTr="00672D2A">
        <w:tc>
          <w:tcPr>
            <w:tcW w:w="1188" w:type="dxa"/>
          </w:tcPr>
          <w:p w14:paraId="4D08A233" w14:textId="77777777" w:rsidR="00915077" w:rsidRPr="00E26EF6" w:rsidRDefault="004357B9">
            <w:pPr>
              <w:rPr>
                <w:rFonts w:ascii="Times New Roman" w:hAnsi="Times New Roman"/>
                <w:sz w:val="24"/>
                <w:highlight w:val="lightGray"/>
              </w:rPr>
            </w:pPr>
            <w:r w:rsidRPr="00E26EF6">
              <w:rPr>
                <w:rFonts w:ascii="Times New Roman" w:hAnsi="Times New Roman"/>
                <w:sz w:val="24"/>
              </w:rPr>
              <w:t>090</w:t>
            </w:r>
          </w:p>
        </w:tc>
        <w:tc>
          <w:tcPr>
            <w:tcW w:w="8640" w:type="dxa"/>
          </w:tcPr>
          <w:p w14:paraId="5F436B79"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KWOTA EKSPOZYCJI WAŻONEJ RYZYKIEM PO UWZGLĘDNIENIU WSPÓŁCZYNNIKA WSPARCIA MŚP</w:t>
            </w:r>
          </w:p>
          <w:p w14:paraId="387EDED8" w14:textId="77777777" w:rsidR="00915077" w:rsidRPr="00E26EF6" w:rsidRDefault="004357B9">
            <w:pPr>
              <w:rPr>
                <w:rFonts w:ascii="Times New Roman" w:hAnsi="Times New Roman"/>
                <w:b/>
                <w:sz w:val="24"/>
                <w:u w:val="single"/>
              </w:rPr>
            </w:pPr>
            <w:r w:rsidRPr="00E26EF6">
              <w:rPr>
                <w:rFonts w:ascii="Times New Roman" w:hAnsi="Times New Roman"/>
                <w:sz w:val="24"/>
              </w:rPr>
              <w:t>Definicja taka sama jak dla kolumny 220 wzoru CR SA</w:t>
            </w:r>
          </w:p>
        </w:tc>
      </w:tr>
    </w:tbl>
    <w:p w14:paraId="56054924" w14:textId="77777777" w:rsidR="00915077" w:rsidRPr="00E26EF6" w:rsidRDefault="00915077">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15077" w:rsidRPr="00E26EF6" w14:paraId="0F5D510B" w14:textId="77777777" w:rsidTr="00672D2A">
        <w:trPr>
          <w:gridAfter w:val="1"/>
          <w:wAfter w:w="61" w:type="dxa"/>
          <w:trHeight w:val="581"/>
        </w:trPr>
        <w:tc>
          <w:tcPr>
            <w:tcW w:w="9828" w:type="dxa"/>
            <w:gridSpan w:val="2"/>
            <w:shd w:val="clear" w:color="auto" w:fill="CCCCCC"/>
          </w:tcPr>
          <w:p w14:paraId="23D3CC9C" w14:textId="77777777" w:rsidR="00915077" w:rsidRPr="00E26EF6" w:rsidRDefault="004357B9">
            <w:pPr>
              <w:spacing w:after="0"/>
              <w:rPr>
                <w:rStyle w:val="InstructionsTabelleText"/>
                <w:rFonts w:ascii="Times New Roman" w:hAnsi="Times New Roman"/>
                <w:b/>
                <w:sz w:val="24"/>
                <w:highlight w:val="lightGray"/>
              </w:rPr>
            </w:pPr>
            <w:r w:rsidRPr="00E26EF6">
              <w:rPr>
                <w:rStyle w:val="InstructionsTabelleText"/>
                <w:rFonts w:ascii="Times New Roman" w:hAnsi="Times New Roman"/>
                <w:b/>
                <w:sz w:val="24"/>
              </w:rPr>
              <w:t>Wiersze</w:t>
            </w:r>
          </w:p>
        </w:tc>
      </w:tr>
      <w:tr w:rsidR="00915077" w:rsidRPr="00E26EF6" w14:paraId="2F593AC9" w14:textId="77777777" w:rsidTr="00672D2A">
        <w:tc>
          <w:tcPr>
            <w:tcW w:w="1188" w:type="dxa"/>
            <w:shd w:val="clear" w:color="auto" w:fill="FFFFFF"/>
          </w:tcPr>
          <w:p w14:paraId="09FADAB5" w14:textId="77777777" w:rsidR="00915077" w:rsidRPr="00E26EF6" w:rsidRDefault="004357B9">
            <w:pPr>
              <w:rPr>
                <w:rFonts w:ascii="Times New Roman" w:hAnsi="Times New Roman"/>
                <w:sz w:val="24"/>
                <w:highlight w:val="lightGray"/>
              </w:rPr>
            </w:pPr>
            <w:r w:rsidRPr="00E26EF6">
              <w:rPr>
                <w:rFonts w:ascii="Times New Roman" w:hAnsi="Times New Roman"/>
                <w:sz w:val="24"/>
              </w:rPr>
              <w:t>010</w:t>
            </w:r>
          </w:p>
        </w:tc>
        <w:tc>
          <w:tcPr>
            <w:tcW w:w="8701" w:type="dxa"/>
            <w:gridSpan w:val="2"/>
            <w:shd w:val="clear" w:color="auto" w:fill="FFFFFF"/>
          </w:tcPr>
          <w:p w14:paraId="77A4FEB5"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wobec rządów centralnych lub banków centralnych</w:t>
            </w:r>
          </w:p>
          <w:p w14:paraId="0FCC655C" w14:textId="1572EA7D" w:rsidR="00915077" w:rsidRPr="00E26EF6" w:rsidRDefault="00D21B29">
            <w:pPr>
              <w:ind w:left="72"/>
              <w:rPr>
                <w:rStyle w:val="InstructionsTabelleText"/>
                <w:rFonts w:ascii="Times New Roman" w:hAnsi="Times New Roman"/>
                <w:sz w:val="24"/>
                <w:highlight w:val="lightGray"/>
              </w:rPr>
            </w:pPr>
            <w:r w:rsidRPr="00E26EF6">
              <w:rPr>
                <w:rFonts w:ascii="Times New Roman" w:hAnsi="Times New Roman"/>
                <w:sz w:val="24"/>
              </w:rPr>
              <w:t>Art. 112 lit.</w:t>
            </w:r>
            <w:r w:rsidR="00023409" w:rsidRPr="00E26EF6">
              <w:rPr>
                <w:rFonts w:ascii="Times New Roman" w:hAnsi="Times New Roman"/>
                <w:sz w:val="24"/>
              </w:rPr>
              <w:t> </w:t>
            </w:r>
            <w:r w:rsidRPr="00E26EF6">
              <w:rPr>
                <w:rFonts w:ascii="Times New Roman" w:hAnsi="Times New Roman"/>
                <w:sz w:val="24"/>
              </w:rPr>
              <w:t>a) CRR</w:t>
            </w:r>
          </w:p>
        </w:tc>
      </w:tr>
      <w:tr w:rsidR="00915077" w:rsidRPr="00E26EF6" w14:paraId="5D6B04F0" w14:textId="77777777" w:rsidTr="00672D2A">
        <w:tc>
          <w:tcPr>
            <w:tcW w:w="1188" w:type="dxa"/>
            <w:shd w:val="clear" w:color="auto" w:fill="FFFFFF"/>
          </w:tcPr>
          <w:p w14:paraId="0D310BFC" w14:textId="77777777" w:rsidR="00915077" w:rsidRPr="00E26EF6" w:rsidRDefault="004357B9">
            <w:pPr>
              <w:rPr>
                <w:rFonts w:ascii="Times New Roman" w:hAnsi="Times New Roman"/>
                <w:sz w:val="24"/>
                <w:highlight w:val="lightGray"/>
              </w:rPr>
            </w:pPr>
            <w:r w:rsidRPr="00E26EF6">
              <w:rPr>
                <w:rFonts w:ascii="Times New Roman" w:hAnsi="Times New Roman"/>
                <w:sz w:val="24"/>
              </w:rPr>
              <w:t>020</w:t>
            </w:r>
          </w:p>
        </w:tc>
        <w:tc>
          <w:tcPr>
            <w:tcW w:w="8701" w:type="dxa"/>
            <w:gridSpan w:val="2"/>
            <w:shd w:val="clear" w:color="auto" w:fill="FFFFFF"/>
          </w:tcPr>
          <w:p w14:paraId="2DA589A8"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wobec samorządów regionalnych lub władz lokalnych</w:t>
            </w:r>
          </w:p>
          <w:p w14:paraId="429EB3F8" w14:textId="66F762F5"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Art. 112 lit.</w:t>
            </w:r>
            <w:r w:rsidR="00023409" w:rsidRPr="00E26EF6">
              <w:rPr>
                <w:rFonts w:ascii="Times New Roman" w:hAnsi="Times New Roman"/>
                <w:bCs/>
                <w:sz w:val="24"/>
              </w:rPr>
              <w:t> </w:t>
            </w:r>
            <w:r w:rsidRPr="00E26EF6">
              <w:rPr>
                <w:rFonts w:ascii="Times New Roman" w:hAnsi="Times New Roman"/>
                <w:bCs/>
                <w:sz w:val="24"/>
              </w:rPr>
              <w:t>b) CRR</w:t>
            </w:r>
          </w:p>
        </w:tc>
      </w:tr>
      <w:tr w:rsidR="00915077" w:rsidRPr="00E26EF6" w14:paraId="213DF72C" w14:textId="77777777" w:rsidTr="00672D2A">
        <w:tc>
          <w:tcPr>
            <w:tcW w:w="1188" w:type="dxa"/>
            <w:shd w:val="clear" w:color="auto" w:fill="FFFFFF"/>
          </w:tcPr>
          <w:p w14:paraId="6DA94ED7" w14:textId="77777777" w:rsidR="00915077" w:rsidRPr="00E26EF6" w:rsidRDefault="004357B9">
            <w:pPr>
              <w:rPr>
                <w:rFonts w:ascii="Times New Roman" w:hAnsi="Times New Roman"/>
                <w:sz w:val="24"/>
                <w:highlight w:val="lightGray"/>
              </w:rPr>
            </w:pPr>
            <w:r w:rsidRPr="00E26EF6">
              <w:rPr>
                <w:rFonts w:ascii="Times New Roman" w:hAnsi="Times New Roman"/>
                <w:sz w:val="24"/>
              </w:rPr>
              <w:t>030</w:t>
            </w:r>
          </w:p>
        </w:tc>
        <w:tc>
          <w:tcPr>
            <w:tcW w:w="8701" w:type="dxa"/>
            <w:gridSpan w:val="2"/>
            <w:shd w:val="clear" w:color="auto" w:fill="FFFFFF"/>
          </w:tcPr>
          <w:p w14:paraId="13427E47"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wobec podmiotów sektora publicznego</w:t>
            </w:r>
          </w:p>
          <w:p w14:paraId="78F31A1E" w14:textId="7596BEED"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Art. 112 lit.</w:t>
            </w:r>
            <w:r w:rsidR="00023409" w:rsidRPr="00E26EF6">
              <w:rPr>
                <w:rFonts w:ascii="Times New Roman" w:hAnsi="Times New Roman"/>
                <w:bCs/>
                <w:sz w:val="24"/>
              </w:rPr>
              <w:t> </w:t>
            </w:r>
            <w:r w:rsidRPr="00E26EF6">
              <w:rPr>
                <w:rFonts w:ascii="Times New Roman" w:hAnsi="Times New Roman"/>
                <w:bCs/>
                <w:sz w:val="24"/>
              </w:rPr>
              <w:t>c) CRR</w:t>
            </w:r>
          </w:p>
        </w:tc>
      </w:tr>
      <w:tr w:rsidR="00915077" w:rsidRPr="00E26EF6" w14:paraId="690BBFE3" w14:textId="77777777" w:rsidTr="00672D2A">
        <w:tc>
          <w:tcPr>
            <w:tcW w:w="1188" w:type="dxa"/>
            <w:shd w:val="clear" w:color="auto" w:fill="FFFFFF"/>
          </w:tcPr>
          <w:p w14:paraId="614019A4" w14:textId="77777777" w:rsidR="00915077" w:rsidRPr="00E26EF6" w:rsidRDefault="004357B9">
            <w:pPr>
              <w:rPr>
                <w:rFonts w:ascii="Times New Roman" w:hAnsi="Times New Roman"/>
                <w:sz w:val="24"/>
                <w:highlight w:val="lightGray"/>
              </w:rPr>
            </w:pPr>
            <w:r w:rsidRPr="00E26EF6">
              <w:rPr>
                <w:rFonts w:ascii="Times New Roman" w:hAnsi="Times New Roman"/>
                <w:sz w:val="24"/>
              </w:rPr>
              <w:t>040</w:t>
            </w:r>
          </w:p>
        </w:tc>
        <w:tc>
          <w:tcPr>
            <w:tcW w:w="8701" w:type="dxa"/>
            <w:gridSpan w:val="2"/>
            <w:shd w:val="clear" w:color="auto" w:fill="FFFFFF"/>
          </w:tcPr>
          <w:p w14:paraId="73248D6E"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wobec wielostronnych banków rozwoju</w:t>
            </w:r>
          </w:p>
          <w:p w14:paraId="5C52A188" w14:textId="0BC6E231"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 xml:space="preserve">Art. 112 </w:t>
            </w:r>
            <w:r w:rsidRPr="00E26EF6">
              <w:rPr>
                <w:rStyle w:val="InstructionsTabelleText"/>
                <w:rFonts w:ascii="Times New Roman" w:hAnsi="Times New Roman"/>
                <w:sz w:val="24"/>
              </w:rPr>
              <w:t>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d) </w:t>
            </w:r>
            <w:r w:rsidRPr="00E26EF6">
              <w:rPr>
                <w:rFonts w:ascii="Times New Roman" w:hAnsi="Times New Roman"/>
                <w:bCs/>
                <w:sz w:val="24"/>
              </w:rPr>
              <w:t>CRR</w:t>
            </w:r>
          </w:p>
        </w:tc>
      </w:tr>
      <w:tr w:rsidR="00915077" w:rsidRPr="00E26EF6" w14:paraId="4D7CF9C5" w14:textId="77777777" w:rsidTr="00672D2A">
        <w:tc>
          <w:tcPr>
            <w:tcW w:w="1188" w:type="dxa"/>
            <w:shd w:val="clear" w:color="auto" w:fill="FFFFFF"/>
          </w:tcPr>
          <w:p w14:paraId="02CD4D5F" w14:textId="77777777" w:rsidR="00915077" w:rsidRPr="00E26EF6" w:rsidRDefault="004357B9">
            <w:pPr>
              <w:rPr>
                <w:rFonts w:ascii="Times New Roman" w:hAnsi="Times New Roman"/>
                <w:sz w:val="24"/>
                <w:highlight w:val="lightGray"/>
              </w:rPr>
            </w:pPr>
            <w:r w:rsidRPr="00E26EF6">
              <w:rPr>
                <w:rFonts w:ascii="Times New Roman" w:hAnsi="Times New Roman"/>
                <w:sz w:val="24"/>
              </w:rPr>
              <w:t>050</w:t>
            </w:r>
          </w:p>
        </w:tc>
        <w:tc>
          <w:tcPr>
            <w:tcW w:w="8701" w:type="dxa"/>
            <w:gridSpan w:val="2"/>
            <w:shd w:val="clear" w:color="auto" w:fill="FFFFFF"/>
          </w:tcPr>
          <w:p w14:paraId="191DEA30"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wobec organizacji międzynarodowych</w:t>
            </w:r>
          </w:p>
          <w:p w14:paraId="2BAE0184" w14:textId="48737763"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Art. 112 ust. e) CRR</w:t>
            </w:r>
          </w:p>
        </w:tc>
      </w:tr>
      <w:tr w:rsidR="00915077" w:rsidRPr="00E26EF6" w14:paraId="38ABA1B5" w14:textId="77777777" w:rsidTr="00672D2A">
        <w:tc>
          <w:tcPr>
            <w:tcW w:w="1188" w:type="dxa"/>
            <w:shd w:val="clear" w:color="auto" w:fill="FFFFFF"/>
          </w:tcPr>
          <w:p w14:paraId="4E86EC15" w14:textId="77777777" w:rsidR="00915077" w:rsidRPr="00E26EF6" w:rsidRDefault="004357B9">
            <w:pPr>
              <w:rPr>
                <w:rFonts w:ascii="Times New Roman" w:hAnsi="Times New Roman"/>
                <w:sz w:val="24"/>
                <w:highlight w:val="lightGray"/>
              </w:rPr>
            </w:pPr>
            <w:r w:rsidRPr="00E26EF6">
              <w:rPr>
                <w:rFonts w:ascii="Times New Roman" w:hAnsi="Times New Roman"/>
                <w:sz w:val="24"/>
              </w:rPr>
              <w:t>060</w:t>
            </w:r>
          </w:p>
        </w:tc>
        <w:tc>
          <w:tcPr>
            <w:tcW w:w="8701" w:type="dxa"/>
            <w:gridSpan w:val="2"/>
            <w:shd w:val="clear" w:color="auto" w:fill="FFFFFF"/>
          </w:tcPr>
          <w:p w14:paraId="291BC296"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wobec instytucji</w:t>
            </w:r>
          </w:p>
          <w:p w14:paraId="2904CFFB" w14:textId="566A617B"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Art. 112 ust. f) CRR</w:t>
            </w:r>
          </w:p>
        </w:tc>
      </w:tr>
      <w:tr w:rsidR="00915077" w:rsidRPr="00E26EF6" w14:paraId="69E525A3" w14:textId="77777777" w:rsidTr="00672D2A">
        <w:tc>
          <w:tcPr>
            <w:tcW w:w="1188" w:type="dxa"/>
            <w:shd w:val="clear" w:color="auto" w:fill="FFFFFF"/>
          </w:tcPr>
          <w:p w14:paraId="2B676835" w14:textId="77777777" w:rsidR="00915077" w:rsidRPr="00E26EF6" w:rsidRDefault="004357B9">
            <w:pPr>
              <w:rPr>
                <w:rFonts w:ascii="Times New Roman" w:hAnsi="Times New Roman"/>
                <w:sz w:val="24"/>
                <w:highlight w:val="lightGray"/>
              </w:rPr>
            </w:pPr>
            <w:r w:rsidRPr="00E26EF6">
              <w:rPr>
                <w:rFonts w:ascii="Times New Roman" w:hAnsi="Times New Roman"/>
                <w:sz w:val="24"/>
              </w:rPr>
              <w:t>070</w:t>
            </w:r>
          </w:p>
        </w:tc>
        <w:tc>
          <w:tcPr>
            <w:tcW w:w="8701" w:type="dxa"/>
            <w:gridSpan w:val="2"/>
            <w:shd w:val="clear" w:color="auto" w:fill="FFFFFF"/>
          </w:tcPr>
          <w:p w14:paraId="39158FB9"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wobec przedsiębiorstw</w:t>
            </w:r>
          </w:p>
          <w:p w14:paraId="0B377737" w14:textId="4BFB5A58"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Art. 112 ust. g) CRR</w:t>
            </w:r>
          </w:p>
        </w:tc>
      </w:tr>
      <w:tr w:rsidR="00915077" w:rsidRPr="00E26EF6" w14:paraId="2F441EB7" w14:textId="77777777" w:rsidTr="00672D2A">
        <w:tc>
          <w:tcPr>
            <w:tcW w:w="1188" w:type="dxa"/>
            <w:shd w:val="clear" w:color="auto" w:fill="FFFFFF"/>
          </w:tcPr>
          <w:p w14:paraId="16E1C1F2" w14:textId="77777777" w:rsidR="00915077" w:rsidRPr="00E26EF6" w:rsidRDefault="004357B9">
            <w:pPr>
              <w:rPr>
                <w:rFonts w:ascii="Times New Roman" w:hAnsi="Times New Roman"/>
                <w:sz w:val="24"/>
                <w:highlight w:val="lightGray"/>
              </w:rPr>
            </w:pPr>
            <w:r w:rsidRPr="00E26EF6">
              <w:rPr>
                <w:rFonts w:ascii="Times New Roman" w:hAnsi="Times New Roman"/>
                <w:sz w:val="24"/>
              </w:rPr>
              <w:t>075</w:t>
            </w:r>
          </w:p>
        </w:tc>
        <w:tc>
          <w:tcPr>
            <w:tcW w:w="8701" w:type="dxa"/>
            <w:gridSpan w:val="2"/>
            <w:shd w:val="clear" w:color="auto" w:fill="FFFFFF"/>
          </w:tcPr>
          <w:p w14:paraId="6DDA31AF"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W tym: ekspozycje wobec MŚP</w:t>
            </w:r>
          </w:p>
          <w:p w14:paraId="66B0FF6E" w14:textId="77777777" w:rsidR="00915077" w:rsidRPr="00E26EF6" w:rsidRDefault="004357B9">
            <w:pPr>
              <w:ind w:left="72"/>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Definicja taka sama jak dla wiersza 020 wzoru CR SA</w:t>
            </w:r>
          </w:p>
        </w:tc>
      </w:tr>
      <w:tr w:rsidR="00915077" w:rsidRPr="00E26EF6" w14:paraId="61F699C5" w14:textId="77777777" w:rsidTr="00672D2A">
        <w:tc>
          <w:tcPr>
            <w:tcW w:w="1188" w:type="dxa"/>
            <w:shd w:val="clear" w:color="auto" w:fill="FFFFFF"/>
          </w:tcPr>
          <w:p w14:paraId="635B20B4" w14:textId="77777777" w:rsidR="00915077" w:rsidRPr="00E26EF6" w:rsidRDefault="004357B9">
            <w:pPr>
              <w:rPr>
                <w:rFonts w:ascii="Times New Roman" w:hAnsi="Times New Roman"/>
                <w:sz w:val="24"/>
                <w:highlight w:val="lightGray"/>
              </w:rPr>
            </w:pPr>
            <w:r w:rsidRPr="00E26EF6">
              <w:rPr>
                <w:rFonts w:ascii="Times New Roman" w:hAnsi="Times New Roman"/>
                <w:sz w:val="24"/>
              </w:rPr>
              <w:t>080</w:t>
            </w:r>
          </w:p>
        </w:tc>
        <w:tc>
          <w:tcPr>
            <w:tcW w:w="8701" w:type="dxa"/>
            <w:gridSpan w:val="2"/>
            <w:shd w:val="clear" w:color="auto" w:fill="FFFFFF"/>
          </w:tcPr>
          <w:p w14:paraId="3A028B82"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detaliczne</w:t>
            </w:r>
          </w:p>
          <w:p w14:paraId="0EAEC635" w14:textId="1FAC27D1"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Art. 112 lit.</w:t>
            </w:r>
            <w:r w:rsidR="00023409" w:rsidRPr="00E26EF6">
              <w:rPr>
                <w:rFonts w:ascii="Times New Roman" w:hAnsi="Times New Roman"/>
                <w:bCs/>
                <w:sz w:val="24"/>
              </w:rPr>
              <w:t> </w:t>
            </w:r>
            <w:r w:rsidRPr="00E26EF6">
              <w:rPr>
                <w:rFonts w:ascii="Times New Roman" w:hAnsi="Times New Roman"/>
                <w:bCs/>
                <w:sz w:val="24"/>
              </w:rPr>
              <w:t>h) CRR</w:t>
            </w:r>
          </w:p>
        </w:tc>
      </w:tr>
      <w:tr w:rsidR="00915077" w:rsidRPr="00E26EF6" w14:paraId="7B9A6B0C" w14:textId="77777777" w:rsidTr="00672D2A">
        <w:tc>
          <w:tcPr>
            <w:tcW w:w="1188" w:type="dxa"/>
            <w:shd w:val="clear" w:color="auto" w:fill="FFFFFF"/>
          </w:tcPr>
          <w:p w14:paraId="4C761573" w14:textId="77777777" w:rsidR="00915077" w:rsidRPr="00E26EF6" w:rsidRDefault="004357B9">
            <w:pPr>
              <w:rPr>
                <w:rFonts w:ascii="Times New Roman" w:hAnsi="Times New Roman"/>
                <w:sz w:val="24"/>
                <w:highlight w:val="lightGray"/>
              </w:rPr>
            </w:pPr>
            <w:r w:rsidRPr="00E26EF6">
              <w:rPr>
                <w:rFonts w:ascii="Times New Roman" w:hAnsi="Times New Roman"/>
                <w:sz w:val="24"/>
              </w:rPr>
              <w:t>085</w:t>
            </w:r>
          </w:p>
        </w:tc>
        <w:tc>
          <w:tcPr>
            <w:tcW w:w="8701" w:type="dxa"/>
            <w:gridSpan w:val="2"/>
            <w:shd w:val="clear" w:color="auto" w:fill="FFFFFF"/>
          </w:tcPr>
          <w:p w14:paraId="6921B26B"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W tym: ekspozycje wobec MŚP</w:t>
            </w:r>
          </w:p>
          <w:p w14:paraId="4CC6A450" w14:textId="77777777" w:rsidR="00915077" w:rsidRPr="00E26EF6" w:rsidRDefault="004357B9">
            <w:pPr>
              <w:ind w:left="72"/>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Definicja taka sama jak dla wiersza 020 wzoru CR SA</w:t>
            </w:r>
          </w:p>
        </w:tc>
      </w:tr>
      <w:tr w:rsidR="00915077" w:rsidRPr="00E26EF6" w14:paraId="300D14E6" w14:textId="77777777" w:rsidTr="00672D2A">
        <w:tc>
          <w:tcPr>
            <w:tcW w:w="1188" w:type="dxa"/>
            <w:shd w:val="clear" w:color="auto" w:fill="FFFFFF"/>
          </w:tcPr>
          <w:p w14:paraId="6E09B154" w14:textId="77777777" w:rsidR="00915077" w:rsidRPr="00E26EF6" w:rsidRDefault="004357B9">
            <w:pPr>
              <w:rPr>
                <w:rFonts w:ascii="Times New Roman" w:hAnsi="Times New Roman"/>
                <w:sz w:val="24"/>
                <w:highlight w:val="lightGray"/>
              </w:rPr>
            </w:pPr>
            <w:r w:rsidRPr="00E26EF6">
              <w:rPr>
                <w:rFonts w:ascii="Times New Roman" w:hAnsi="Times New Roman"/>
                <w:sz w:val="24"/>
              </w:rPr>
              <w:t>090</w:t>
            </w:r>
          </w:p>
        </w:tc>
        <w:tc>
          <w:tcPr>
            <w:tcW w:w="8701" w:type="dxa"/>
            <w:gridSpan w:val="2"/>
            <w:shd w:val="clear" w:color="auto" w:fill="FFFFFF"/>
          </w:tcPr>
          <w:p w14:paraId="04E4DB08"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zabezpieczone hipotekami na nieruchomościach</w:t>
            </w:r>
          </w:p>
          <w:p w14:paraId="5AB36A97" w14:textId="15D8AE0C" w:rsidR="00915077" w:rsidRPr="00E26EF6" w:rsidRDefault="00D21B29">
            <w:pPr>
              <w:ind w:left="72"/>
              <w:rPr>
                <w:rStyle w:val="InstructionsTabelleText"/>
                <w:rFonts w:ascii="Times New Roman" w:hAnsi="Times New Roman"/>
                <w:sz w:val="24"/>
                <w:highlight w:val="lightGray"/>
              </w:rPr>
            </w:pPr>
            <w:r w:rsidRPr="00E26EF6">
              <w:rPr>
                <w:rFonts w:ascii="Times New Roman" w:hAnsi="Times New Roman"/>
                <w:bCs/>
                <w:sz w:val="24"/>
              </w:rPr>
              <w:lastRenderedPageBreak/>
              <w:t>Art. 112 lit.</w:t>
            </w:r>
            <w:r w:rsidR="00023409" w:rsidRPr="00E26EF6">
              <w:rPr>
                <w:rFonts w:ascii="Times New Roman" w:hAnsi="Times New Roman"/>
                <w:bCs/>
                <w:sz w:val="24"/>
              </w:rPr>
              <w:t> </w:t>
            </w:r>
            <w:r w:rsidRPr="00E26EF6">
              <w:rPr>
                <w:rFonts w:ascii="Times New Roman" w:hAnsi="Times New Roman"/>
                <w:bCs/>
                <w:sz w:val="24"/>
              </w:rPr>
              <w:t xml:space="preserve">i) </w:t>
            </w:r>
            <w:r w:rsidRPr="00E26EF6">
              <w:rPr>
                <w:rFonts w:ascii="Times New Roman" w:hAnsi="Times New Roman"/>
                <w:sz w:val="24"/>
              </w:rPr>
              <w:t>CRR</w:t>
            </w:r>
          </w:p>
        </w:tc>
      </w:tr>
      <w:tr w:rsidR="00915077" w:rsidRPr="00E26EF6" w14:paraId="10CA01AC" w14:textId="77777777" w:rsidTr="00672D2A">
        <w:tc>
          <w:tcPr>
            <w:tcW w:w="1188" w:type="dxa"/>
            <w:shd w:val="clear" w:color="auto" w:fill="FFFFFF"/>
          </w:tcPr>
          <w:p w14:paraId="00E78091" w14:textId="77777777" w:rsidR="00915077" w:rsidRPr="00E26EF6" w:rsidRDefault="004357B9">
            <w:pPr>
              <w:rPr>
                <w:rFonts w:ascii="Times New Roman" w:hAnsi="Times New Roman"/>
                <w:sz w:val="24"/>
                <w:highlight w:val="lightGray"/>
              </w:rPr>
            </w:pPr>
            <w:r w:rsidRPr="00E26EF6">
              <w:rPr>
                <w:rFonts w:ascii="Times New Roman" w:hAnsi="Times New Roman"/>
                <w:sz w:val="24"/>
              </w:rPr>
              <w:lastRenderedPageBreak/>
              <w:t>095</w:t>
            </w:r>
          </w:p>
        </w:tc>
        <w:tc>
          <w:tcPr>
            <w:tcW w:w="8701" w:type="dxa"/>
            <w:gridSpan w:val="2"/>
            <w:shd w:val="clear" w:color="auto" w:fill="FFFFFF"/>
          </w:tcPr>
          <w:p w14:paraId="4C3BF951"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W tym: ekspozycje wobec MŚP</w:t>
            </w:r>
          </w:p>
          <w:p w14:paraId="33D86C93" w14:textId="77777777" w:rsidR="00915077" w:rsidRPr="00E26EF6" w:rsidRDefault="004357B9">
            <w:pPr>
              <w:ind w:left="72"/>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Definicja taka sama jak dla wiersza 020 wzoru CR SA</w:t>
            </w:r>
          </w:p>
        </w:tc>
      </w:tr>
      <w:tr w:rsidR="00915077" w:rsidRPr="00E26EF6" w14:paraId="36A48887" w14:textId="77777777" w:rsidTr="00672D2A">
        <w:tc>
          <w:tcPr>
            <w:tcW w:w="1188" w:type="dxa"/>
            <w:shd w:val="clear" w:color="auto" w:fill="FFFFFF"/>
          </w:tcPr>
          <w:p w14:paraId="30AED4CA" w14:textId="77777777" w:rsidR="00915077" w:rsidRPr="00E26EF6" w:rsidRDefault="004357B9">
            <w:pPr>
              <w:rPr>
                <w:rFonts w:ascii="Times New Roman" w:hAnsi="Times New Roman"/>
                <w:sz w:val="24"/>
                <w:highlight w:val="lightGray"/>
              </w:rPr>
            </w:pPr>
            <w:r w:rsidRPr="00E26EF6">
              <w:rPr>
                <w:rFonts w:ascii="Times New Roman" w:hAnsi="Times New Roman"/>
                <w:sz w:val="24"/>
              </w:rPr>
              <w:t>100</w:t>
            </w:r>
          </w:p>
        </w:tc>
        <w:tc>
          <w:tcPr>
            <w:tcW w:w="8701" w:type="dxa"/>
            <w:gridSpan w:val="2"/>
            <w:shd w:val="clear" w:color="auto" w:fill="FFFFFF"/>
          </w:tcPr>
          <w:p w14:paraId="3E2610CA"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których dotyczy niewykonanie zobowiązania</w:t>
            </w:r>
          </w:p>
          <w:p w14:paraId="555EF331" w14:textId="072C8C91"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Art. 112 lit.</w:t>
            </w:r>
            <w:r w:rsidR="00023409" w:rsidRPr="00E26EF6">
              <w:rPr>
                <w:rFonts w:ascii="Times New Roman" w:hAnsi="Times New Roman"/>
                <w:bCs/>
                <w:sz w:val="24"/>
              </w:rPr>
              <w:t> </w:t>
            </w:r>
            <w:r w:rsidRPr="00E26EF6">
              <w:rPr>
                <w:rFonts w:ascii="Times New Roman" w:hAnsi="Times New Roman"/>
                <w:bCs/>
                <w:sz w:val="24"/>
              </w:rPr>
              <w:t>j) CRR.</w:t>
            </w:r>
          </w:p>
        </w:tc>
      </w:tr>
      <w:tr w:rsidR="00915077" w:rsidRPr="00E26EF6" w14:paraId="2CD722D1" w14:textId="77777777" w:rsidTr="00672D2A">
        <w:tc>
          <w:tcPr>
            <w:tcW w:w="1188" w:type="dxa"/>
            <w:shd w:val="clear" w:color="auto" w:fill="FFFFFF"/>
          </w:tcPr>
          <w:p w14:paraId="611661D5" w14:textId="77777777" w:rsidR="00915077" w:rsidRPr="00E26EF6" w:rsidRDefault="004357B9">
            <w:pPr>
              <w:rPr>
                <w:rFonts w:ascii="Times New Roman" w:hAnsi="Times New Roman"/>
                <w:sz w:val="24"/>
                <w:highlight w:val="lightGray"/>
              </w:rPr>
            </w:pPr>
            <w:r w:rsidRPr="00E26EF6">
              <w:rPr>
                <w:rFonts w:ascii="Times New Roman" w:hAnsi="Times New Roman"/>
                <w:sz w:val="24"/>
              </w:rPr>
              <w:t>110</w:t>
            </w:r>
          </w:p>
        </w:tc>
        <w:tc>
          <w:tcPr>
            <w:tcW w:w="8701" w:type="dxa"/>
            <w:gridSpan w:val="2"/>
            <w:shd w:val="clear" w:color="auto" w:fill="FFFFFF"/>
          </w:tcPr>
          <w:p w14:paraId="32B40A76" w14:textId="77777777" w:rsidR="00915077" w:rsidRPr="00E26EF6" w:rsidRDefault="000565B6">
            <w:pPr>
              <w:autoSpaceDE w:val="0"/>
              <w:autoSpaceDN w:val="0"/>
              <w:adjustRightInd w:val="0"/>
              <w:spacing w:before="0"/>
              <w:ind w:left="72"/>
              <w:jc w:val="left"/>
              <w:rPr>
                <w:rFonts w:ascii="Times New Roman" w:hAnsi="Times New Roman"/>
                <w:b/>
                <w:bCs/>
                <w:sz w:val="24"/>
                <w:u w:val="single"/>
              </w:rPr>
            </w:pPr>
            <w:r w:rsidRPr="00E26EF6">
              <w:rPr>
                <w:rFonts w:ascii="Times New Roman" w:hAnsi="Times New Roman"/>
                <w:b/>
                <w:bCs/>
                <w:sz w:val="24"/>
                <w:u w:val="single"/>
              </w:rPr>
              <w:t>Pozycje związane ze szczególnie wysokim ryzykiem</w:t>
            </w:r>
          </w:p>
          <w:p w14:paraId="400221CA" w14:textId="0AD73C02" w:rsidR="00915077" w:rsidRPr="00E26EF6" w:rsidRDefault="00D21B29">
            <w:pPr>
              <w:autoSpaceDE w:val="0"/>
              <w:autoSpaceDN w:val="0"/>
              <w:adjustRightInd w:val="0"/>
              <w:spacing w:before="0"/>
              <w:ind w:left="72"/>
              <w:jc w:val="left"/>
              <w:rPr>
                <w:rStyle w:val="InstructionsTabelleberschrift"/>
                <w:rFonts w:ascii="Times New Roman" w:hAnsi="Times New Roman"/>
                <w:sz w:val="24"/>
                <w:highlight w:val="lightGray"/>
              </w:rPr>
            </w:pPr>
            <w:r w:rsidRPr="00E26EF6">
              <w:rPr>
                <w:rFonts w:ascii="Times New Roman" w:hAnsi="Times New Roman"/>
                <w:bCs/>
                <w:sz w:val="24"/>
              </w:rPr>
              <w:t>Art. 112 lit.</w:t>
            </w:r>
            <w:r w:rsidR="00023409" w:rsidRPr="00E26EF6">
              <w:rPr>
                <w:rFonts w:ascii="Times New Roman" w:hAnsi="Times New Roman"/>
                <w:bCs/>
                <w:sz w:val="24"/>
              </w:rPr>
              <w:t> </w:t>
            </w:r>
            <w:r w:rsidRPr="00E26EF6">
              <w:rPr>
                <w:rFonts w:ascii="Times New Roman" w:hAnsi="Times New Roman"/>
                <w:bCs/>
                <w:sz w:val="24"/>
              </w:rPr>
              <w:t>k) CRR</w:t>
            </w:r>
          </w:p>
        </w:tc>
      </w:tr>
      <w:tr w:rsidR="00915077" w:rsidRPr="00E26EF6" w14:paraId="0B3750B5" w14:textId="77777777" w:rsidTr="00672D2A">
        <w:tc>
          <w:tcPr>
            <w:tcW w:w="1188" w:type="dxa"/>
            <w:shd w:val="clear" w:color="auto" w:fill="FFFFFF"/>
          </w:tcPr>
          <w:p w14:paraId="545F7CFF" w14:textId="77777777" w:rsidR="00915077" w:rsidRPr="00E26EF6" w:rsidRDefault="004357B9">
            <w:pPr>
              <w:rPr>
                <w:rFonts w:ascii="Times New Roman" w:hAnsi="Times New Roman"/>
                <w:sz w:val="24"/>
                <w:highlight w:val="lightGray"/>
              </w:rPr>
            </w:pPr>
            <w:r w:rsidRPr="00E26EF6">
              <w:rPr>
                <w:rFonts w:ascii="Times New Roman" w:hAnsi="Times New Roman"/>
                <w:sz w:val="24"/>
              </w:rPr>
              <w:t>120</w:t>
            </w:r>
          </w:p>
        </w:tc>
        <w:tc>
          <w:tcPr>
            <w:tcW w:w="8701" w:type="dxa"/>
            <w:gridSpan w:val="2"/>
            <w:shd w:val="clear" w:color="auto" w:fill="FFFFFF"/>
          </w:tcPr>
          <w:p w14:paraId="6E4B3101" w14:textId="77777777" w:rsidR="00915077" w:rsidRPr="00E26EF6" w:rsidRDefault="004357B9">
            <w:pPr>
              <w:autoSpaceDE w:val="0"/>
              <w:autoSpaceDN w:val="0"/>
              <w:adjustRightInd w:val="0"/>
              <w:spacing w:before="0"/>
              <w:ind w:left="72"/>
              <w:jc w:val="left"/>
              <w:rPr>
                <w:rStyle w:val="InstructionsTabelleberschrift"/>
                <w:rFonts w:ascii="Times New Roman" w:hAnsi="Times New Roman"/>
                <w:sz w:val="24"/>
              </w:rPr>
            </w:pPr>
            <w:r w:rsidRPr="00E26EF6">
              <w:rPr>
                <w:rStyle w:val="InstructionsTabelleberschrift"/>
                <w:rFonts w:ascii="Times New Roman" w:hAnsi="Times New Roman"/>
                <w:sz w:val="24"/>
              </w:rPr>
              <w:t>Obligacje zabezpieczone</w:t>
            </w:r>
          </w:p>
          <w:p w14:paraId="55A3E28E" w14:textId="0D7BFD05" w:rsidR="00915077" w:rsidRPr="00E26EF6" w:rsidRDefault="00D21B29">
            <w:pPr>
              <w:autoSpaceDE w:val="0"/>
              <w:autoSpaceDN w:val="0"/>
              <w:adjustRightInd w:val="0"/>
              <w:spacing w:before="0"/>
              <w:ind w:left="72"/>
              <w:jc w:val="left"/>
              <w:rPr>
                <w:rStyle w:val="InstructionsTabelleText"/>
                <w:rFonts w:ascii="Times New Roman" w:hAnsi="Times New Roman"/>
                <w:bCs/>
                <w:sz w:val="24"/>
                <w:highlight w:val="lightGray"/>
                <w:u w:val="single"/>
              </w:rPr>
            </w:pPr>
            <w:r w:rsidRPr="00E26EF6">
              <w:rPr>
                <w:rFonts w:ascii="Times New Roman" w:hAnsi="Times New Roman"/>
                <w:bCs/>
                <w:sz w:val="24"/>
                <w:u w:val="single"/>
              </w:rPr>
              <w:t>Art. 112</w:t>
            </w:r>
            <w:r w:rsidRPr="00E26EF6">
              <w:rPr>
                <w:rFonts w:ascii="Times New Roman" w:hAnsi="Times New Roman"/>
                <w:bCs/>
                <w:sz w:val="24"/>
              </w:rPr>
              <w:t xml:space="preserve"> lit.</w:t>
            </w:r>
            <w:r w:rsidR="00023409" w:rsidRPr="00E26EF6">
              <w:rPr>
                <w:rFonts w:ascii="Times New Roman" w:hAnsi="Times New Roman"/>
                <w:bCs/>
                <w:sz w:val="24"/>
              </w:rPr>
              <w:t> </w:t>
            </w:r>
            <w:r w:rsidRPr="00E26EF6">
              <w:rPr>
                <w:rFonts w:ascii="Times New Roman" w:hAnsi="Times New Roman"/>
                <w:bCs/>
                <w:sz w:val="24"/>
              </w:rPr>
              <w:t>l) CRR</w:t>
            </w:r>
          </w:p>
        </w:tc>
      </w:tr>
      <w:tr w:rsidR="00915077" w:rsidRPr="00E26EF6" w14:paraId="31AA3E6C" w14:textId="77777777" w:rsidTr="00672D2A">
        <w:tc>
          <w:tcPr>
            <w:tcW w:w="1188" w:type="dxa"/>
            <w:shd w:val="clear" w:color="auto" w:fill="FFFFFF"/>
          </w:tcPr>
          <w:p w14:paraId="641FF18A" w14:textId="77777777" w:rsidR="00915077" w:rsidRPr="00E26EF6" w:rsidRDefault="004357B9">
            <w:pPr>
              <w:rPr>
                <w:rFonts w:ascii="Times New Roman" w:hAnsi="Times New Roman"/>
                <w:sz w:val="24"/>
              </w:rPr>
            </w:pPr>
            <w:r w:rsidRPr="00E26EF6">
              <w:rPr>
                <w:rFonts w:ascii="Times New Roman" w:hAnsi="Times New Roman"/>
                <w:sz w:val="24"/>
              </w:rPr>
              <w:t>130</w:t>
            </w:r>
          </w:p>
          <w:p w14:paraId="38822768" w14:textId="77777777" w:rsidR="00915077" w:rsidRPr="00E26EF6" w:rsidRDefault="00915077">
            <w:pPr>
              <w:rPr>
                <w:rFonts w:ascii="Times New Roman" w:hAnsi="Times New Roman"/>
                <w:sz w:val="24"/>
                <w:highlight w:val="lightGray"/>
              </w:rPr>
            </w:pPr>
          </w:p>
        </w:tc>
        <w:tc>
          <w:tcPr>
            <w:tcW w:w="8701" w:type="dxa"/>
            <w:gridSpan w:val="2"/>
            <w:shd w:val="clear" w:color="auto" w:fill="FFFFFF"/>
          </w:tcPr>
          <w:p w14:paraId="742E8650" w14:textId="73902A2B" w:rsidR="00915077" w:rsidRPr="00E26EF6" w:rsidRDefault="004357B9">
            <w:pPr>
              <w:ind w:left="72"/>
              <w:rPr>
                <w:rStyle w:val="InstructionsTabelleberschrift"/>
                <w:rFonts w:ascii="Times New Roman" w:hAnsi="Times New Roman"/>
                <w:bCs w:val="0"/>
                <w:sz w:val="24"/>
              </w:rPr>
            </w:pPr>
            <w:r w:rsidRPr="00E26EF6">
              <w:rPr>
                <w:rStyle w:val="InstructionsTabelleberschrift"/>
                <w:rFonts w:ascii="Times New Roman" w:hAnsi="Times New Roman"/>
                <w:bCs w:val="0"/>
                <w:sz w:val="24"/>
              </w:rPr>
              <w:t>Ekspozycje</w:t>
            </w:r>
            <w:r w:rsidR="00E26EF6" w:rsidRPr="00E26EF6">
              <w:rPr>
                <w:rStyle w:val="InstructionsTabelleberschrift"/>
                <w:rFonts w:ascii="Times New Roman" w:hAnsi="Times New Roman"/>
                <w:bCs w:val="0"/>
                <w:sz w:val="24"/>
              </w:rPr>
              <w:t xml:space="preserve"> z tyt</w:t>
            </w:r>
            <w:r w:rsidRPr="00E26EF6">
              <w:rPr>
                <w:rStyle w:val="InstructionsTabelleberschrift"/>
                <w:rFonts w:ascii="Times New Roman" w:hAnsi="Times New Roman"/>
                <w:bCs w:val="0"/>
                <w:sz w:val="24"/>
              </w:rPr>
              <w:t>ułu należności od instytucji</w:t>
            </w:r>
            <w:r w:rsidR="00E26EF6" w:rsidRPr="00E26EF6">
              <w:rPr>
                <w:rStyle w:val="InstructionsTabelleberschrift"/>
                <w:rFonts w:ascii="Times New Roman" w:hAnsi="Times New Roman"/>
                <w:bCs w:val="0"/>
                <w:sz w:val="24"/>
              </w:rPr>
              <w:t xml:space="preserve"> i prz</w:t>
            </w:r>
            <w:r w:rsidRPr="00E26EF6">
              <w:rPr>
                <w:rStyle w:val="InstructionsTabelleberschrift"/>
                <w:rFonts w:ascii="Times New Roman" w:hAnsi="Times New Roman"/>
                <w:bCs w:val="0"/>
                <w:sz w:val="24"/>
              </w:rPr>
              <w:t>edsiębiorstw posiadających krótkoterminową ocenę kredytową</w:t>
            </w:r>
          </w:p>
          <w:p w14:paraId="37E39A7B" w14:textId="51D073AD" w:rsidR="00915077" w:rsidRPr="00E26EF6" w:rsidRDefault="00D21B29">
            <w:pPr>
              <w:ind w:left="72"/>
              <w:rPr>
                <w:rFonts w:ascii="Times New Roman" w:hAnsi="Times New Roman"/>
                <w:sz w:val="24"/>
                <w:highlight w:val="lightGray"/>
              </w:rPr>
            </w:pPr>
            <w:r w:rsidRPr="00E26EF6">
              <w:rPr>
                <w:rFonts w:ascii="Times New Roman" w:hAnsi="Times New Roman"/>
                <w:bCs/>
                <w:sz w:val="24"/>
              </w:rPr>
              <w:t xml:space="preserve">Art. 112 </w:t>
            </w:r>
            <w:r w:rsidRPr="00E26EF6">
              <w:rPr>
                <w:rFonts w:ascii="Times New Roman" w:hAnsi="Times New Roman"/>
                <w:sz w:val="24"/>
              </w:rPr>
              <w:t>lit.</w:t>
            </w:r>
            <w:r w:rsidR="00023409" w:rsidRPr="00E26EF6">
              <w:rPr>
                <w:rFonts w:ascii="Times New Roman" w:hAnsi="Times New Roman"/>
                <w:sz w:val="24"/>
              </w:rPr>
              <w:t> </w:t>
            </w:r>
            <w:r w:rsidRPr="00E26EF6">
              <w:rPr>
                <w:rFonts w:ascii="Times New Roman" w:hAnsi="Times New Roman"/>
                <w:sz w:val="24"/>
              </w:rPr>
              <w:t>n) CRR</w:t>
            </w:r>
          </w:p>
        </w:tc>
      </w:tr>
      <w:tr w:rsidR="00915077" w:rsidRPr="00E26EF6" w14:paraId="26489F28" w14:textId="77777777" w:rsidTr="00672D2A">
        <w:tc>
          <w:tcPr>
            <w:tcW w:w="1188" w:type="dxa"/>
            <w:shd w:val="clear" w:color="auto" w:fill="FFFFFF"/>
          </w:tcPr>
          <w:p w14:paraId="6B2971A0" w14:textId="77777777" w:rsidR="00915077" w:rsidRPr="00E26EF6" w:rsidRDefault="004357B9">
            <w:pPr>
              <w:rPr>
                <w:rFonts w:ascii="Times New Roman" w:hAnsi="Times New Roman"/>
                <w:sz w:val="24"/>
                <w:highlight w:val="lightGray"/>
              </w:rPr>
            </w:pPr>
            <w:r w:rsidRPr="00E26EF6">
              <w:rPr>
                <w:rFonts w:ascii="Times New Roman" w:hAnsi="Times New Roman"/>
                <w:sz w:val="24"/>
              </w:rPr>
              <w:t>140</w:t>
            </w:r>
          </w:p>
        </w:tc>
        <w:tc>
          <w:tcPr>
            <w:tcW w:w="8701" w:type="dxa"/>
            <w:gridSpan w:val="2"/>
            <w:shd w:val="clear" w:color="auto" w:fill="FFFFFF"/>
          </w:tcPr>
          <w:p w14:paraId="2FF8F067" w14:textId="77777777" w:rsidR="00915077" w:rsidRPr="00E26EF6" w:rsidRDefault="00A402A8">
            <w:pPr>
              <w:ind w:left="72"/>
              <w:rPr>
                <w:rStyle w:val="InstructionsTabelleberschrift"/>
                <w:rFonts w:ascii="Times New Roman" w:hAnsi="Times New Roman"/>
                <w:sz w:val="24"/>
              </w:rPr>
            </w:pPr>
            <w:r w:rsidRPr="00E26EF6">
              <w:rPr>
                <w:rStyle w:val="InstructionsTabelleberschrift"/>
                <w:rFonts w:ascii="Times New Roman" w:hAnsi="Times New Roman"/>
                <w:sz w:val="24"/>
              </w:rPr>
              <w:t>Przedsiębiorstwa zbiorowego inwestowania</w:t>
            </w:r>
          </w:p>
          <w:p w14:paraId="7C2B5AD5" w14:textId="280A2C6C" w:rsidR="00915077" w:rsidRPr="00E26EF6" w:rsidRDefault="00D21B29">
            <w:pPr>
              <w:ind w:left="72"/>
              <w:rPr>
                <w:rStyle w:val="InstructionsTabelleberschrift"/>
                <w:rFonts w:ascii="Times New Roman" w:hAnsi="Times New Roman"/>
                <w:b w:val="0"/>
                <w:bCs w:val="0"/>
                <w:sz w:val="24"/>
                <w:highlight w:val="lightGray"/>
                <w:u w:val="none"/>
              </w:rPr>
            </w:pPr>
            <w:r w:rsidRPr="00E26EF6">
              <w:rPr>
                <w:rFonts w:ascii="Times New Roman" w:hAnsi="Times New Roman"/>
                <w:bCs/>
                <w:sz w:val="24"/>
              </w:rPr>
              <w:t>Art. 112 lit.</w:t>
            </w:r>
            <w:r w:rsidR="00023409" w:rsidRPr="00E26EF6">
              <w:rPr>
                <w:rFonts w:ascii="Times New Roman" w:hAnsi="Times New Roman"/>
                <w:bCs/>
                <w:sz w:val="24"/>
              </w:rPr>
              <w:t> </w:t>
            </w:r>
            <w:r w:rsidRPr="00E26EF6">
              <w:rPr>
                <w:rFonts w:ascii="Times New Roman" w:hAnsi="Times New Roman"/>
                <w:bCs/>
                <w:sz w:val="24"/>
              </w:rPr>
              <w:t>o) CRR</w:t>
            </w:r>
          </w:p>
        </w:tc>
      </w:tr>
      <w:tr w:rsidR="00915077" w:rsidRPr="00E26EF6" w14:paraId="19559318" w14:textId="77777777" w:rsidTr="00672D2A">
        <w:tc>
          <w:tcPr>
            <w:tcW w:w="1188" w:type="dxa"/>
            <w:shd w:val="clear" w:color="auto" w:fill="FFFFFF"/>
          </w:tcPr>
          <w:p w14:paraId="4B0E8C16" w14:textId="77777777" w:rsidR="00915077" w:rsidRPr="00E26EF6" w:rsidRDefault="004357B9">
            <w:pPr>
              <w:rPr>
                <w:rFonts w:ascii="Times New Roman" w:hAnsi="Times New Roman"/>
                <w:sz w:val="24"/>
                <w:highlight w:val="lightGray"/>
              </w:rPr>
            </w:pPr>
            <w:r w:rsidRPr="00E26EF6">
              <w:rPr>
                <w:rFonts w:ascii="Times New Roman" w:hAnsi="Times New Roman"/>
                <w:sz w:val="24"/>
              </w:rPr>
              <w:t>150</w:t>
            </w:r>
          </w:p>
        </w:tc>
        <w:tc>
          <w:tcPr>
            <w:tcW w:w="8701" w:type="dxa"/>
            <w:gridSpan w:val="2"/>
            <w:shd w:val="clear" w:color="auto" w:fill="FFFFFF"/>
          </w:tcPr>
          <w:p w14:paraId="0820F792"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kapitałowe</w:t>
            </w:r>
          </w:p>
          <w:p w14:paraId="73C64BC4" w14:textId="077F1D34"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Art. 112 lit.</w:t>
            </w:r>
            <w:r w:rsidR="00023409" w:rsidRPr="00E26EF6">
              <w:rPr>
                <w:rFonts w:ascii="Times New Roman" w:hAnsi="Times New Roman"/>
                <w:bCs/>
                <w:sz w:val="24"/>
              </w:rPr>
              <w:t> </w:t>
            </w:r>
            <w:r w:rsidRPr="00E26EF6">
              <w:rPr>
                <w:rFonts w:ascii="Times New Roman" w:hAnsi="Times New Roman"/>
                <w:bCs/>
                <w:sz w:val="24"/>
              </w:rPr>
              <w:t>p) CRR</w:t>
            </w:r>
          </w:p>
        </w:tc>
      </w:tr>
      <w:tr w:rsidR="00915077" w:rsidRPr="00E26EF6" w14:paraId="1A1787E4" w14:textId="77777777" w:rsidTr="00672D2A">
        <w:tc>
          <w:tcPr>
            <w:tcW w:w="1188" w:type="dxa"/>
            <w:shd w:val="clear" w:color="auto" w:fill="FFFFFF"/>
          </w:tcPr>
          <w:p w14:paraId="02F8C0FC" w14:textId="77777777" w:rsidR="00915077" w:rsidRPr="00E26EF6" w:rsidRDefault="004357B9">
            <w:pPr>
              <w:rPr>
                <w:rFonts w:ascii="Times New Roman" w:hAnsi="Times New Roman"/>
                <w:sz w:val="24"/>
                <w:highlight w:val="lightGray"/>
              </w:rPr>
            </w:pPr>
            <w:r w:rsidRPr="00E26EF6">
              <w:rPr>
                <w:rFonts w:ascii="Times New Roman" w:hAnsi="Times New Roman"/>
                <w:sz w:val="24"/>
              </w:rPr>
              <w:t>160</w:t>
            </w:r>
          </w:p>
        </w:tc>
        <w:tc>
          <w:tcPr>
            <w:tcW w:w="8701" w:type="dxa"/>
            <w:gridSpan w:val="2"/>
            <w:shd w:val="clear" w:color="auto" w:fill="FFFFFF"/>
          </w:tcPr>
          <w:p w14:paraId="1C103F0B" w14:textId="77777777" w:rsidR="00915077" w:rsidRPr="00E26EF6" w:rsidRDefault="004357B9">
            <w:pPr>
              <w:ind w:left="72"/>
              <w:rPr>
                <w:rStyle w:val="InstructionsTabelleberschrift"/>
                <w:rFonts w:ascii="Times New Roman" w:hAnsi="Times New Roman"/>
                <w:sz w:val="24"/>
              </w:rPr>
            </w:pPr>
            <w:r w:rsidRPr="00E26EF6">
              <w:rPr>
                <w:rStyle w:val="InstructionsTabelleberschrift"/>
                <w:rFonts w:ascii="Times New Roman" w:hAnsi="Times New Roman"/>
                <w:sz w:val="24"/>
              </w:rPr>
              <w:t>Inne ekspozycje</w:t>
            </w:r>
          </w:p>
          <w:p w14:paraId="364F4504" w14:textId="59FEB840" w:rsidR="00915077" w:rsidRPr="00E26EF6" w:rsidRDefault="00D21B29">
            <w:pPr>
              <w:ind w:left="72"/>
              <w:rPr>
                <w:rStyle w:val="InstructionsTabelleberschrift"/>
                <w:rFonts w:ascii="Times New Roman" w:hAnsi="Times New Roman"/>
                <w:sz w:val="24"/>
                <w:highlight w:val="lightGray"/>
              </w:rPr>
            </w:pPr>
            <w:r w:rsidRPr="00E26EF6">
              <w:rPr>
                <w:rFonts w:ascii="Times New Roman" w:hAnsi="Times New Roman"/>
                <w:bCs/>
                <w:sz w:val="24"/>
              </w:rPr>
              <w:t>Art. 112 lit.</w:t>
            </w:r>
            <w:r w:rsidR="00023409" w:rsidRPr="00E26EF6">
              <w:rPr>
                <w:rFonts w:ascii="Times New Roman" w:hAnsi="Times New Roman"/>
                <w:bCs/>
                <w:sz w:val="24"/>
              </w:rPr>
              <w:t> </w:t>
            </w:r>
            <w:r w:rsidRPr="00E26EF6">
              <w:rPr>
                <w:rFonts w:ascii="Times New Roman" w:hAnsi="Times New Roman"/>
                <w:bCs/>
                <w:sz w:val="24"/>
              </w:rPr>
              <w:t>q) CRR</w:t>
            </w:r>
          </w:p>
        </w:tc>
      </w:tr>
      <w:tr w:rsidR="00915077" w:rsidRPr="00E26EF6" w14:paraId="641D72CC" w14:textId="77777777" w:rsidTr="00672D2A">
        <w:tc>
          <w:tcPr>
            <w:tcW w:w="1188" w:type="dxa"/>
            <w:shd w:val="clear" w:color="auto" w:fill="FFFFFF"/>
          </w:tcPr>
          <w:p w14:paraId="13C4FCB7" w14:textId="77777777" w:rsidR="00915077" w:rsidRPr="00E26EF6" w:rsidRDefault="007A49AC">
            <w:pPr>
              <w:rPr>
                <w:rFonts w:ascii="Times New Roman" w:hAnsi="Times New Roman"/>
                <w:sz w:val="24"/>
                <w:highlight w:val="lightGray"/>
              </w:rPr>
            </w:pPr>
            <w:r w:rsidRPr="00E26EF6">
              <w:rPr>
                <w:rFonts w:ascii="Times New Roman" w:hAnsi="Times New Roman"/>
                <w:sz w:val="24"/>
              </w:rPr>
              <w:t>170</w:t>
            </w:r>
          </w:p>
        </w:tc>
        <w:tc>
          <w:tcPr>
            <w:tcW w:w="8701" w:type="dxa"/>
            <w:gridSpan w:val="2"/>
            <w:shd w:val="clear" w:color="auto" w:fill="FFFFFF"/>
          </w:tcPr>
          <w:p w14:paraId="071FA584" w14:textId="77777777" w:rsidR="00915077" w:rsidRPr="00E26EF6" w:rsidRDefault="007A49AC">
            <w:pPr>
              <w:ind w:left="72"/>
              <w:rPr>
                <w:rStyle w:val="InstructionsTabelleberschrift"/>
                <w:rFonts w:ascii="Times New Roman" w:hAnsi="Times New Roman"/>
                <w:sz w:val="24"/>
              </w:rPr>
            </w:pPr>
            <w:r w:rsidRPr="00E26EF6">
              <w:rPr>
                <w:rStyle w:val="InstructionsTabelleberschrift"/>
                <w:rFonts w:ascii="Times New Roman" w:hAnsi="Times New Roman"/>
                <w:sz w:val="24"/>
              </w:rPr>
              <w:t>Ekspozycje całkowite</w:t>
            </w:r>
          </w:p>
        </w:tc>
      </w:tr>
    </w:tbl>
    <w:p w14:paraId="58C9DEA4" w14:textId="77777777" w:rsidR="00915077" w:rsidRPr="00E26EF6" w:rsidRDefault="00915077">
      <w:pPr>
        <w:spacing w:before="0" w:after="200" w:line="312" w:lineRule="auto"/>
        <w:jc w:val="left"/>
        <w:rPr>
          <w:rFonts w:ascii="Times New Roman" w:hAnsi="Times New Roman"/>
          <w:sz w:val="24"/>
        </w:rPr>
      </w:pPr>
    </w:p>
    <w:p w14:paraId="536F0DF2"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51" w:name="_Toc31014349"/>
      <w:r w:rsidRPr="00E26EF6">
        <w:rPr>
          <w:rFonts w:ascii="Times New Roman" w:hAnsi="Times New Roman"/>
          <w:sz w:val="24"/>
          <w:u w:val="none"/>
        </w:rPr>
        <w:t>3.4.2.</w:t>
      </w:r>
      <w:r w:rsidRPr="00E26EF6">
        <w:rPr>
          <w:rFonts w:ascii="Times New Roman" w:hAnsi="Times New Roman"/>
          <w:sz w:val="24"/>
          <w:u w:val="none"/>
        </w:rPr>
        <w:tab/>
      </w:r>
      <w:r w:rsidRPr="00E26EF6">
        <w:rPr>
          <w:rFonts w:ascii="Times New Roman" w:hAnsi="Times New Roman"/>
          <w:sz w:val="24"/>
        </w:rPr>
        <w:t>C 09.02 – Podział ekspozycji pod względem geograficznym według siedziby dłużnika: ekspozycje według metody IRB (CR GB 2)</w:t>
      </w:r>
      <w:bookmarkEnd w:id="51"/>
    </w:p>
    <w:p w14:paraId="6676EAFB"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52" w:name="_Toc31014350"/>
      <w:r w:rsidRPr="00E26EF6">
        <w:rPr>
          <w:rFonts w:ascii="Times New Roman" w:hAnsi="Times New Roman"/>
          <w:sz w:val="24"/>
          <w:u w:val="none"/>
        </w:rPr>
        <w:t>3.4.2.1.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5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15077" w:rsidRPr="00E26EF6" w14:paraId="35D5CC31" w14:textId="77777777" w:rsidTr="00672D2A">
        <w:tc>
          <w:tcPr>
            <w:tcW w:w="1188" w:type="dxa"/>
            <w:shd w:val="clear" w:color="auto" w:fill="CCCCCC"/>
          </w:tcPr>
          <w:p w14:paraId="7B2198DD" w14:textId="77777777" w:rsidR="00915077" w:rsidRPr="00E26EF6" w:rsidRDefault="004357B9">
            <w:pPr>
              <w:rPr>
                <w:rFonts w:ascii="Times New Roman" w:hAnsi="Times New Roman"/>
                <w:b/>
                <w:sz w:val="24"/>
              </w:rPr>
            </w:pPr>
            <w:r w:rsidRPr="00E26EF6">
              <w:rPr>
                <w:rFonts w:ascii="Times New Roman" w:hAnsi="Times New Roman"/>
                <w:b/>
                <w:sz w:val="24"/>
              </w:rPr>
              <w:t>Kolumny</w:t>
            </w:r>
          </w:p>
        </w:tc>
        <w:tc>
          <w:tcPr>
            <w:tcW w:w="8640" w:type="dxa"/>
            <w:shd w:val="clear" w:color="auto" w:fill="CCCCCC"/>
          </w:tcPr>
          <w:p w14:paraId="52F255E3" w14:textId="77777777" w:rsidR="00915077" w:rsidRPr="00E26EF6" w:rsidRDefault="00915077">
            <w:pPr>
              <w:ind w:left="72"/>
              <w:rPr>
                <w:rFonts w:ascii="Times New Roman" w:hAnsi="Times New Roman"/>
                <w:sz w:val="24"/>
                <w:highlight w:val="lightGray"/>
              </w:rPr>
            </w:pPr>
          </w:p>
        </w:tc>
      </w:tr>
      <w:tr w:rsidR="00915077" w:rsidRPr="00E26EF6" w14:paraId="689E92D8" w14:textId="77777777" w:rsidTr="00672D2A">
        <w:tc>
          <w:tcPr>
            <w:tcW w:w="1188" w:type="dxa"/>
          </w:tcPr>
          <w:p w14:paraId="66074EC3" w14:textId="77777777" w:rsidR="00915077" w:rsidRPr="00E26EF6" w:rsidRDefault="004357B9">
            <w:pPr>
              <w:rPr>
                <w:rStyle w:val="InstructionsTabelleText"/>
                <w:rFonts w:ascii="Times New Roman" w:hAnsi="Times New Roman"/>
                <w:sz w:val="24"/>
                <w:highlight w:val="lightGray"/>
              </w:rPr>
            </w:pPr>
            <w:r w:rsidRPr="00E26EF6">
              <w:rPr>
                <w:rStyle w:val="InstructionsTabelleText"/>
                <w:rFonts w:ascii="Times New Roman" w:hAnsi="Times New Roman"/>
                <w:sz w:val="24"/>
              </w:rPr>
              <w:t>010</w:t>
            </w:r>
          </w:p>
        </w:tc>
        <w:tc>
          <w:tcPr>
            <w:tcW w:w="8640" w:type="dxa"/>
          </w:tcPr>
          <w:p w14:paraId="41657C4F" w14:textId="09E717BB" w:rsidR="00915077" w:rsidRPr="00E26EF6" w:rsidRDefault="004357B9">
            <w:pPr>
              <w:rPr>
                <w:rStyle w:val="InstructionsTabelleberschrift"/>
                <w:rFonts w:ascii="Times New Roman" w:hAnsi="Times New Roman"/>
                <w:sz w:val="24"/>
              </w:rPr>
            </w:pPr>
            <w:r w:rsidRPr="00E26EF6">
              <w:rPr>
                <w:rStyle w:val="InstructionsTabelleberschrift"/>
                <w:rFonts w:ascii="Times New Roman" w:hAnsi="Times New Roman"/>
                <w:sz w:val="24"/>
              </w:rPr>
              <w:t>PIERWOTNA EKSPOZYCJA PRZED UWZGLĘDNIENIEM WSPÓŁCZYNNIKÓW KONWERSJI</w:t>
            </w:r>
          </w:p>
          <w:p w14:paraId="6D5ECAFF" w14:textId="77777777" w:rsidR="00915077" w:rsidRPr="00E26EF6" w:rsidRDefault="004357B9">
            <w:pPr>
              <w:autoSpaceDE w:val="0"/>
              <w:autoSpaceDN w:val="0"/>
              <w:adjustRightInd w:val="0"/>
              <w:spacing w:before="0" w:after="0"/>
              <w:jc w:val="left"/>
              <w:rPr>
                <w:rStyle w:val="InstructionsTabelleText"/>
                <w:rFonts w:ascii="Times New Roman" w:hAnsi="Times New Roman"/>
                <w:sz w:val="24"/>
                <w:highlight w:val="lightGray"/>
              </w:rPr>
            </w:pPr>
            <w:r w:rsidRPr="00E26EF6">
              <w:rPr>
                <w:rFonts w:ascii="Times New Roman" w:hAnsi="Times New Roman"/>
                <w:sz w:val="24"/>
              </w:rPr>
              <w:t>Definicja taka sama jak dla kolumny 020 wzoru CR IRB</w:t>
            </w:r>
          </w:p>
        </w:tc>
      </w:tr>
      <w:tr w:rsidR="00915077" w:rsidRPr="00E26EF6" w14:paraId="78B699E8" w14:textId="77777777" w:rsidTr="00672D2A">
        <w:tc>
          <w:tcPr>
            <w:tcW w:w="1188" w:type="dxa"/>
          </w:tcPr>
          <w:p w14:paraId="26744C33" w14:textId="77777777" w:rsidR="00915077" w:rsidRPr="00E26EF6" w:rsidRDefault="004357B9">
            <w:pPr>
              <w:rPr>
                <w:rFonts w:ascii="Times New Roman" w:hAnsi="Times New Roman"/>
                <w:sz w:val="24"/>
                <w:highlight w:val="lightGray"/>
              </w:rPr>
            </w:pPr>
            <w:r w:rsidRPr="00E26EF6">
              <w:rPr>
                <w:rFonts w:ascii="Times New Roman" w:hAnsi="Times New Roman"/>
                <w:sz w:val="24"/>
              </w:rPr>
              <w:t>030</w:t>
            </w:r>
          </w:p>
        </w:tc>
        <w:tc>
          <w:tcPr>
            <w:tcW w:w="8640" w:type="dxa"/>
          </w:tcPr>
          <w:p w14:paraId="569C114D"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W tym: cechujące się niewykonaniem zobowiązania</w:t>
            </w:r>
          </w:p>
          <w:p w14:paraId="3C508978" w14:textId="174C462C" w:rsidR="00915077" w:rsidRPr="00E26EF6" w:rsidRDefault="004357B9">
            <w:pPr>
              <w:rPr>
                <w:rStyle w:val="InstructionsTabelleText"/>
                <w:rFonts w:ascii="Times New Roman" w:hAnsi="Times New Roman"/>
                <w:sz w:val="24"/>
                <w:highlight w:val="lightGray"/>
              </w:rPr>
            </w:pPr>
            <w:r w:rsidRPr="00E26EF6">
              <w:rPr>
                <w:rStyle w:val="InstructionsTabelleText"/>
                <w:rFonts w:ascii="Times New Roman" w:hAnsi="Times New Roman"/>
                <w:sz w:val="24"/>
              </w:rPr>
              <w:t>Wartość pierwotnej ekspozycji dla tych ekspozycji, które zostały sklasyfikowane jako ekspozycje, których dotyczy niewykonanie zobowiązania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178 CRR.</w:t>
            </w:r>
          </w:p>
        </w:tc>
      </w:tr>
      <w:tr w:rsidR="00915077" w:rsidRPr="00E26EF6" w14:paraId="52CB92A0" w14:textId="77777777" w:rsidTr="00672D2A">
        <w:tc>
          <w:tcPr>
            <w:tcW w:w="1188" w:type="dxa"/>
          </w:tcPr>
          <w:p w14:paraId="103B46E8" w14:textId="77777777" w:rsidR="00915077" w:rsidRPr="00E26EF6" w:rsidRDefault="004357B9">
            <w:pPr>
              <w:rPr>
                <w:rFonts w:ascii="Times New Roman" w:hAnsi="Times New Roman"/>
                <w:sz w:val="24"/>
                <w:highlight w:val="lightGray"/>
              </w:rPr>
            </w:pPr>
            <w:r w:rsidRPr="00E26EF6">
              <w:rPr>
                <w:rFonts w:ascii="Times New Roman" w:hAnsi="Times New Roman"/>
                <w:sz w:val="24"/>
              </w:rPr>
              <w:t>040</w:t>
            </w:r>
          </w:p>
        </w:tc>
        <w:tc>
          <w:tcPr>
            <w:tcW w:w="8640" w:type="dxa"/>
          </w:tcPr>
          <w:p w14:paraId="4D1BDBDE" w14:textId="0C42C032" w:rsidR="00915077" w:rsidRPr="00E26EF6" w:rsidRDefault="004357B9">
            <w:pPr>
              <w:rPr>
                <w:rFonts w:ascii="Times New Roman" w:hAnsi="Times New Roman"/>
                <w:b/>
                <w:sz w:val="24"/>
                <w:u w:val="single"/>
              </w:rPr>
            </w:pPr>
            <w:r w:rsidRPr="00E26EF6">
              <w:rPr>
                <w:rFonts w:ascii="Times New Roman" w:hAnsi="Times New Roman"/>
                <w:b/>
                <w:sz w:val="24"/>
                <w:u w:val="single"/>
              </w:rPr>
              <w:t>Zaobserwowane</w:t>
            </w:r>
            <w:r w:rsidR="00E26EF6" w:rsidRPr="00E26EF6">
              <w:rPr>
                <w:rFonts w:ascii="Times New Roman" w:hAnsi="Times New Roman"/>
                <w:b/>
                <w:sz w:val="24"/>
                <w:u w:val="single"/>
              </w:rPr>
              <w:t xml:space="preserve"> w dan</w:t>
            </w:r>
            <w:r w:rsidRPr="00E26EF6">
              <w:rPr>
                <w:rFonts w:ascii="Times New Roman" w:hAnsi="Times New Roman"/>
                <w:b/>
                <w:sz w:val="24"/>
                <w:u w:val="single"/>
              </w:rPr>
              <w:t>ym okresie nowe przypadki niewykonania zobowiązania</w:t>
            </w:r>
          </w:p>
          <w:p w14:paraId="40CEA638" w14:textId="697F3720" w:rsidR="00915077" w:rsidRPr="00E26EF6" w:rsidRDefault="00DF70AE">
            <w:pPr>
              <w:rPr>
                <w:rFonts w:ascii="Times New Roman" w:hAnsi="Times New Roman"/>
                <w:b/>
                <w:sz w:val="24"/>
                <w:highlight w:val="lightGray"/>
                <w:u w:val="single"/>
              </w:rPr>
            </w:pPr>
            <w:r w:rsidRPr="00E26EF6">
              <w:rPr>
                <w:rStyle w:val="InstructionsTabelleText"/>
                <w:rFonts w:ascii="Times New Roman" w:hAnsi="Times New Roman"/>
                <w:sz w:val="24"/>
              </w:rPr>
              <w:t>Kwotę pierwotnych ekspozycji, które zostały przeniesione do kategorii „ekspozycji, których dotyczy niewykonanie zobowiązania”</w:t>
            </w:r>
            <w:r w:rsidR="00E26EF6" w:rsidRPr="00E26EF6">
              <w:rPr>
                <w:rStyle w:val="InstructionsTabelleText"/>
                <w:rFonts w:ascii="Times New Roman" w:hAnsi="Times New Roman"/>
                <w:sz w:val="24"/>
              </w:rPr>
              <w:t xml:space="preserve"> w okr</w:t>
            </w:r>
            <w:r w:rsidRPr="00E26EF6">
              <w:rPr>
                <w:rStyle w:val="InstructionsTabelleText"/>
                <w:rFonts w:ascii="Times New Roman" w:hAnsi="Times New Roman"/>
                <w:sz w:val="24"/>
              </w:rPr>
              <w:t>esie trzech miesięcy od ostatniego terminu przekazywania sprawozdania, zgłasza się</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kategorii ekspozycji, do której dłużnik należał pierwotnie.</w:t>
            </w:r>
          </w:p>
        </w:tc>
      </w:tr>
      <w:tr w:rsidR="00915077" w:rsidRPr="00E26EF6" w14:paraId="5D5103CD" w14:textId="77777777" w:rsidTr="00672D2A">
        <w:tc>
          <w:tcPr>
            <w:tcW w:w="1188" w:type="dxa"/>
          </w:tcPr>
          <w:p w14:paraId="66C4ED9F" w14:textId="77777777" w:rsidR="00915077" w:rsidRPr="00E26EF6" w:rsidRDefault="004357B9">
            <w:pPr>
              <w:rPr>
                <w:rFonts w:ascii="Times New Roman" w:hAnsi="Times New Roman"/>
                <w:sz w:val="24"/>
                <w:highlight w:val="lightGray"/>
              </w:rPr>
            </w:pPr>
            <w:r w:rsidRPr="00E26EF6">
              <w:rPr>
                <w:rFonts w:ascii="Times New Roman" w:hAnsi="Times New Roman"/>
                <w:sz w:val="24"/>
              </w:rPr>
              <w:t>050</w:t>
            </w:r>
          </w:p>
        </w:tc>
        <w:tc>
          <w:tcPr>
            <w:tcW w:w="8640" w:type="dxa"/>
          </w:tcPr>
          <w:p w14:paraId="2BDCE360" w14:textId="4BD78663" w:rsidR="00915077" w:rsidRPr="00E26EF6" w:rsidRDefault="004357B9">
            <w:pPr>
              <w:rPr>
                <w:rFonts w:ascii="Times New Roman" w:hAnsi="Times New Roman"/>
                <w:b/>
                <w:sz w:val="24"/>
                <w:u w:val="single"/>
              </w:rPr>
            </w:pPr>
            <w:r w:rsidRPr="00E26EF6">
              <w:rPr>
                <w:rFonts w:ascii="Times New Roman" w:hAnsi="Times New Roman"/>
                <w:b/>
                <w:sz w:val="24"/>
                <w:u w:val="single"/>
              </w:rPr>
              <w:t>Korekty</w:t>
            </w:r>
            <w:r w:rsidR="00E26EF6" w:rsidRPr="00E26EF6">
              <w:rPr>
                <w:rFonts w:ascii="Times New Roman" w:hAnsi="Times New Roman"/>
                <w:b/>
                <w:sz w:val="24"/>
                <w:u w:val="single"/>
              </w:rPr>
              <w:t xml:space="preserve"> z tyt</w:t>
            </w:r>
            <w:r w:rsidRPr="00E26EF6">
              <w:rPr>
                <w:rFonts w:ascii="Times New Roman" w:hAnsi="Times New Roman"/>
                <w:b/>
                <w:sz w:val="24"/>
                <w:u w:val="single"/>
              </w:rPr>
              <w:t>ułu ogólnego ryzyka kredytowego</w:t>
            </w:r>
          </w:p>
          <w:p w14:paraId="540BA1F5" w14:textId="070914D8" w:rsidR="00915077" w:rsidRPr="00E26EF6" w:rsidRDefault="004357B9">
            <w:pPr>
              <w:rPr>
                <w:rFonts w:ascii="Times New Roman" w:hAnsi="Times New Roman"/>
                <w:b/>
                <w:sz w:val="24"/>
                <w:highlight w:val="lightGray"/>
                <w:u w:val="single"/>
              </w:rPr>
            </w:pPr>
            <w:r w:rsidRPr="00E26EF6">
              <w:rPr>
                <w:rFonts w:ascii="Times New Roman" w:hAnsi="Times New Roman"/>
                <w:sz w:val="24"/>
              </w:rPr>
              <w:t>Korekty</w:t>
            </w:r>
            <w:r w:rsidR="00E26EF6" w:rsidRPr="00E26EF6">
              <w:rPr>
                <w:rFonts w:ascii="Times New Roman" w:hAnsi="Times New Roman"/>
                <w:sz w:val="24"/>
              </w:rPr>
              <w:t xml:space="preserve"> z tyt</w:t>
            </w:r>
            <w:r w:rsidRPr="00E26EF6">
              <w:rPr>
                <w:rFonts w:ascii="Times New Roman" w:hAnsi="Times New Roman"/>
                <w:sz w:val="24"/>
              </w:rPr>
              <w:t>ułu ryzyka kredytowego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110 CRR. </w:t>
            </w:r>
          </w:p>
        </w:tc>
      </w:tr>
      <w:tr w:rsidR="00915077" w:rsidRPr="00E26EF6" w14:paraId="5AE1C898" w14:textId="77777777" w:rsidTr="00672D2A">
        <w:tc>
          <w:tcPr>
            <w:tcW w:w="1188" w:type="dxa"/>
          </w:tcPr>
          <w:p w14:paraId="080BBA79" w14:textId="77777777" w:rsidR="00915077" w:rsidRPr="00E26EF6" w:rsidRDefault="004357B9">
            <w:pPr>
              <w:rPr>
                <w:rFonts w:ascii="Times New Roman" w:hAnsi="Times New Roman"/>
                <w:sz w:val="24"/>
                <w:highlight w:val="lightGray"/>
              </w:rPr>
            </w:pPr>
            <w:r w:rsidRPr="00E26EF6">
              <w:rPr>
                <w:rFonts w:ascii="Times New Roman" w:hAnsi="Times New Roman"/>
                <w:sz w:val="24"/>
              </w:rPr>
              <w:lastRenderedPageBreak/>
              <w:t>055</w:t>
            </w:r>
          </w:p>
        </w:tc>
        <w:tc>
          <w:tcPr>
            <w:tcW w:w="8640" w:type="dxa"/>
          </w:tcPr>
          <w:p w14:paraId="44FD761E" w14:textId="03D77A13" w:rsidR="00915077" w:rsidRPr="00E26EF6" w:rsidRDefault="004357B9">
            <w:pPr>
              <w:rPr>
                <w:rFonts w:ascii="Times New Roman" w:hAnsi="Times New Roman"/>
                <w:b/>
                <w:sz w:val="24"/>
                <w:u w:val="single"/>
              </w:rPr>
            </w:pPr>
            <w:r w:rsidRPr="00E26EF6">
              <w:rPr>
                <w:rFonts w:ascii="Times New Roman" w:hAnsi="Times New Roman"/>
                <w:b/>
                <w:sz w:val="24"/>
                <w:u w:val="single"/>
              </w:rPr>
              <w:t>Korekty</w:t>
            </w:r>
            <w:r w:rsidR="00E26EF6" w:rsidRPr="00E26EF6">
              <w:rPr>
                <w:rFonts w:ascii="Times New Roman" w:hAnsi="Times New Roman"/>
                <w:b/>
                <w:sz w:val="24"/>
                <w:u w:val="single"/>
              </w:rPr>
              <w:t xml:space="preserve"> z tyt</w:t>
            </w:r>
            <w:r w:rsidRPr="00E26EF6">
              <w:rPr>
                <w:rFonts w:ascii="Times New Roman" w:hAnsi="Times New Roman"/>
                <w:b/>
                <w:sz w:val="24"/>
                <w:u w:val="single"/>
              </w:rPr>
              <w:t>ułu szczególnego ryzyka kredytowego</w:t>
            </w:r>
          </w:p>
          <w:p w14:paraId="4AA945A6" w14:textId="58517A6E" w:rsidR="00915077" w:rsidRPr="00E26EF6" w:rsidRDefault="004357B9">
            <w:pPr>
              <w:rPr>
                <w:rFonts w:ascii="Times New Roman" w:hAnsi="Times New Roman"/>
                <w:b/>
                <w:sz w:val="24"/>
                <w:highlight w:val="lightGray"/>
                <w:u w:val="single"/>
              </w:rPr>
            </w:pPr>
            <w:r w:rsidRPr="00E26EF6">
              <w:rPr>
                <w:rFonts w:ascii="Times New Roman" w:hAnsi="Times New Roman"/>
                <w:sz w:val="24"/>
              </w:rPr>
              <w:t>Korekty</w:t>
            </w:r>
            <w:r w:rsidR="00E26EF6" w:rsidRPr="00E26EF6">
              <w:rPr>
                <w:rFonts w:ascii="Times New Roman" w:hAnsi="Times New Roman"/>
                <w:sz w:val="24"/>
              </w:rPr>
              <w:t xml:space="preserve"> z tyt</w:t>
            </w:r>
            <w:r w:rsidRPr="00E26EF6">
              <w:rPr>
                <w:rFonts w:ascii="Times New Roman" w:hAnsi="Times New Roman"/>
                <w:sz w:val="24"/>
              </w:rPr>
              <w:t>ułu ryzyka kredytowego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110 CRR.</w:t>
            </w:r>
          </w:p>
        </w:tc>
      </w:tr>
      <w:tr w:rsidR="00915077" w:rsidRPr="00E26EF6" w14:paraId="392A705C" w14:textId="77777777" w:rsidTr="00672D2A">
        <w:tc>
          <w:tcPr>
            <w:tcW w:w="1188" w:type="dxa"/>
          </w:tcPr>
          <w:p w14:paraId="22D96083" w14:textId="77777777" w:rsidR="00915077" w:rsidRPr="00E26EF6" w:rsidRDefault="004357B9">
            <w:pPr>
              <w:rPr>
                <w:rFonts w:ascii="Times New Roman" w:hAnsi="Times New Roman"/>
                <w:sz w:val="24"/>
                <w:highlight w:val="lightGray"/>
              </w:rPr>
            </w:pPr>
            <w:r w:rsidRPr="00E26EF6">
              <w:rPr>
                <w:rFonts w:ascii="Times New Roman" w:hAnsi="Times New Roman"/>
                <w:sz w:val="24"/>
              </w:rPr>
              <w:t>060</w:t>
            </w:r>
          </w:p>
        </w:tc>
        <w:tc>
          <w:tcPr>
            <w:tcW w:w="8640" w:type="dxa"/>
          </w:tcPr>
          <w:p w14:paraId="08584DA5"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Spisania</w:t>
            </w:r>
          </w:p>
          <w:p w14:paraId="3EA7746E" w14:textId="0A9565E8"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Spisania obejmują zarówno zmniejszenia wartości bilansowej aktywów finansowych, które utraciły wartość, ujmowanych bezpośrednio</w:t>
            </w:r>
            <w:r w:rsidR="00E26EF6" w:rsidRPr="00E26EF6">
              <w:rPr>
                <w:rStyle w:val="InstructionsTabelleText"/>
                <w:rFonts w:ascii="Times New Roman" w:hAnsi="Times New Roman"/>
                <w:sz w:val="24"/>
              </w:rPr>
              <w:t xml:space="preserve"> w zys</w:t>
            </w:r>
            <w:r w:rsidRPr="00E26EF6">
              <w:rPr>
                <w:rStyle w:val="InstructionsTabelleText"/>
                <w:rFonts w:ascii="Times New Roman" w:hAnsi="Times New Roman"/>
                <w:sz w:val="24"/>
              </w:rPr>
              <w:t>ku lub stracie [MSSF 7.B5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d) ppkt (i)], jak również obniżenia kwot na koncie odpisów</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wartości bilansowej aktywów finansowych, które utraciły wartość [MSSF 7.B5. lit. d) ppkt (ii)].</w:t>
            </w:r>
          </w:p>
        </w:tc>
      </w:tr>
      <w:tr w:rsidR="00915077" w:rsidRPr="00E26EF6" w14:paraId="77F93991" w14:textId="77777777" w:rsidTr="00672D2A">
        <w:tc>
          <w:tcPr>
            <w:tcW w:w="1188" w:type="dxa"/>
          </w:tcPr>
          <w:p w14:paraId="2C254F71" w14:textId="77777777" w:rsidR="00915077" w:rsidRPr="00E26EF6" w:rsidRDefault="004357B9">
            <w:pPr>
              <w:rPr>
                <w:rFonts w:ascii="Times New Roman" w:hAnsi="Times New Roman"/>
                <w:sz w:val="24"/>
                <w:highlight w:val="lightGray"/>
              </w:rPr>
            </w:pPr>
            <w:r w:rsidRPr="00E26EF6">
              <w:rPr>
                <w:rFonts w:ascii="Times New Roman" w:hAnsi="Times New Roman"/>
                <w:sz w:val="24"/>
              </w:rPr>
              <w:t>070</w:t>
            </w:r>
          </w:p>
        </w:tc>
        <w:tc>
          <w:tcPr>
            <w:tcW w:w="8640" w:type="dxa"/>
          </w:tcPr>
          <w:p w14:paraId="2E65699C" w14:textId="11DDCAD3" w:rsidR="00915077" w:rsidRPr="00E26EF6" w:rsidRDefault="004357B9">
            <w:pPr>
              <w:rPr>
                <w:rFonts w:ascii="Times New Roman" w:hAnsi="Times New Roman"/>
                <w:b/>
                <w:sz w:val="24"/>
                <w:u w:val="single"/>
              </w:rPr>
            </w:pPr>
            <w:r w:rsidRPr="00E26EF6">
              <w:rPr>
                <w:rFonts w:ascii="Times New Roman" w:hAnsi="Times New Roman"/>
                <w:b/>
                <w:sz w:val="24"/>
                <w:u w:val="single"/>
              </w:rPr>
              <w:t>Korekty</w:t>
            </w:r>
            <w:r w:rsidR="00E26EF6" w:rsidRPr="00E26EF6">
              <w:rPr>
                <w:rFonts w:ascii="Times New Roman" w:hAnsi="Times New Roman"/>
                <w:b/>
                <w:sz w:val="24"/>
                <w:u w:val="single"/>
              </w:rPr>
              <w:t xml:space="preserve"> z tyt</w:t>
            </w:r>
            <w:r w:rsidRPr="00E26EF6">
              <w:rPr>
                <w:rFonts w:ascii="Times New Roman" w:hAnsi="Times New Roman"/>
                <w:b/>
                <w:sz w:val="24"/>
                <w:u w:val="single"/>
              </w:rPr>
              <w:t>ułu ryzyka kredytowego/spisania</w:t>
            </w:r>
            <w:r w:rsidR="00E26EF6" w:rsidRPr="00E26EF6">
              <w:rPr>
                <w:rFonts w:ascii="Times New Roman" w:hAnsi="Times New Roman"/>
                <w:b/>
                <w:sz w:val="24"/>
                <w:u w:val="single"/>
              </w:rPr>
              <w:t xml:space="preserve"> w zak</w:t>
            </w:r>
            <w:r w:rsidRPr="00E26EF6">
              <w:rPr>
                <w:rFonts w:ascii="Times New Roman" w:hAnsi="Times New Roman"/>
                <w:b/>
                <w:sz w:val="24"/>
                <w:u w:val="single"/>
              </w:rPr>
              <w:t>resie zaobserwowanych nowych przypadków niewykonania zobowiązania</w:t>
            </w:r>
          </w:p>
          <w:p w14:paraId="03914B0F" w14:textId="2A4FBD4A"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Suma korekt</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ryzyka kredytowego</w:t>
            </w:r>
            <w:r w:rsidR="00E26EF6" w:rsidRPr="00E26EF6">
              <w:rPr>
                <w:rStyle w:val="InstructionsTabelleText"/>
                <w:rFonts w:ascii="Times New Roman" w:hAnsi="Times New Roman"/>
                <w:sz w:val="24"/>
              </w:rPr>
              <w:t xml:space="preserve"> i spi</w:t>
            </w:r>
            <w:r w:rsidRPr="00E26EF6">
              <w:rPr>
                <w:rStyle w:val="InstructionsTabelleText"/>
                <w:rFonts w:ascii="Times New Roman" w:hAnsi="Times New Roman"/>
                <w:sz w:val="24"/>
              </w:rPr>
              <w:t>sań dla tych ekspozycji, które sklasyfikowano jako „ekspozycje, których dotyczy niewykonanie zobowiązania”</w:t>
            </w:r>
            <w:r w:rsidR="00E26EF6" w:rsidRPr="00E26EF6">
              <w:rPr>
                <w:rStyle w:val="InstructionsTabelleText"/>
                <w:rFonts w:ascii="Times New Roman" w:hAnsi="Times New Roman"/>
                <w:sz w:val="24"/>
              </w:rPr>
              <w:t xml:space="preserve"> w okr</w:t>
            </w:r>
            <w:r w:rsidRPr="00E26EF6">
              <w:rPr>
                <w:rStyle w:val="InstructionsTabelleText"/>
                <w:rFonts w:ascii="Times New Roman" w:hAnsi="Times New Roman"/>
                <w:sz w:val="24"/>
              </w:rPr>
              <w:t>esie trzech miesięcy od ostatniego terminu przekazywania sprawozdania.</w:t>
            </w:r>
          </w:p>
        </w:tc>
      </w:tr>
      <w:tr w:rsidR="00915077" w:rsidRPr="00E26EF6" w14:paraId="66123BD2" w14:textId="77777777" w:rsidTr="00672D2A">
        <w:tc>
          <w:tcPr>
            <w:tcW w:w="1188" w:type="dxa"/>
          </w:tcPr>
          <w:p w14:paraId="2F225594" w14:textId="77777777" w:rsidR="00915077" w:rsidRPr="00E26EF6" w:rsidRDefault="004357B9">
            <w:pPr>
              <w:rPr>
                <w:rFonts w:ascii="Times New Roman" w:hAnsi="Times New Roman"/>
                <w:sz w:val="24"/>
                <w:highlight w:val="lightGray"/>
              </w:rPr>
            </w:pPr>
            <w:r w:rsidRPr="00E26EF6">
              <w:rPr>
                <w:rFonts w:ascii="Times New Roman" w:hAnsi="Times New Roman"/>
                <w:sz w:val="24"/>
              </w:rPr>
              <w:t>080</w:t>
            </w:r>
          </w:p>
        </w:tc>
        <w:tc>
          <w:tcPr>
            <w:tcW w:w="8640" w:type="dxa"/>
          </w:tcPr>
          <w:p w14:paraId="5339E9CD" w14:textId="77777777" w:rsidR="00915077" w:rsidRPr="00E26EF6" w:rsidRDefault="004357B9">
            <w:pPr>
              <w:rPr>
                <w:rStyle w:val="InstructionsTabelleberschrift"/>
                <w:rFonts w:ascii="Times New Roman" w:hAnsi="Times New Roman"/>
                <w:bCs w:val="0"/>
                <w:sz w:val="24"/>
              </w:rPr>
            </w:pPr>
            <w:r w:rsidRPr="00E26EF6">
              <w:rPr>
                <w:rStyle w:val="InstructionsTabelleberschrift"/>
                <w:rFonts w:ascii="Times New Roman" w:hAnsi="Times New Roman"/>
                <w:bCs w:val="0"/>
                <w:sz w:val="24"/>
              </w:rPr>
              <w:t>SYSTEM RATINGU WEWNĘTRZNEGO / PD PRZYPISANE KLASIE JAKOŚCI LUB PULI DŁUŻNIKA (%)</w:t>
            </w:r>
          </w:p>
          <w:p w14:paraId="6FCB51E9" w14:textId="77777777"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Definicja taka sama jak dla kolumny 010 wzoru CR IRB</w:t>
            </w:r>
          </w:p>
        </w:tc>
      </w:tr>
      <w:tr w:rsidR="00915077" w:rsidRPr="00E26EF6" w14:paraId="6493BD42" w14:textId="77777777" w:rsidTr="00672D2A">
        <w:tc>
          <w:tcPr>
            <w:tcW w:w="1188" w:type="dxa"/>
          </w:tcPr>
          <w:p w14:paraId="648DE1F2" w14:textId="77777777" w:rsidR="00915077" w:rsidRPr="00E26EF6" w:rsidRDefault="004357B9">
            <w:pPr>
              <w:rPr>
                <w:rFonts w:ascii="Times New Roman" w:hAnsi="Times New Roman"/>
                <w:sz w:val="24"/>
                <w:highlight w:val="lightGray"/>
              </w:rPr>
            </w:pPr>
            <w:r w:rsidRPr="00E26EF6">
              <w:rPr>
                <w:rFonts w:ascii="Times New Roman" w:hAnsi="Times New Roman"/>
                <w:sz w:val="24"/>
              </w:rPr>
              <w:t>090</w:t>
            </w:r>
          </w:p>
        </w:tc>
        <w:tc>
          <w:tcPr>
            <w:tcW w:w="8640" w:type="dxa"/>
          </w:tcPr>
          <w:p w14:paraId="3221E804"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ŚREDNIA WARTOŚĆ LGD WAŻONA EKSPOZYCJĄ (%)</w:t>
            </w:r>
          </w:p>
          <w:p w14:paraId="59CEB8E5" w14:textId="21F86AAD" w:rsidR="00915077" w:rsidRPr="00E26EF6" w:rsidRDefault="004357B9">
            <w:pPr>
              <w:rPr>
                <w:rStyle w:val="InstructionsTabelleText"/>
                <w:rFonts w:ascii="Times New Roman" w:hAnsi="Times New Roman"/>
                <w:sz w:val="24"/>
              </w:rPr>
            </w:pPr>
            <w:r w:rsidRPr="00E26EF6">
              <w:rPr>
                <w:rStyle w:val="InstructionsTabelleText"/>
                <w:rFonts w:ascii="Times New Roman" w:hAnsi="Times New Roman"/>
                <w:sz w:val="24"/>
              </w:rPr>
              <w:t>Definicja taka sama jak dla kolumn 230</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40 wzoru CR IRB: średnia wartość LGD ważona ekspozycją (%) dotyczy wszystkich ekspozycji,</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ekspozycji wobec dużych podmiotów sektora finansowego</w:t>
            </w:r>
            <w:r w:rsidR="00E26EF6" w:rsidRPr="00E26EF6">
              <w:rPr>
                <w:rStyle w:val="InstructionsTabelleText"/>
                <w:rFonts w:ascii="Times New Roman" w:hAnsi="Times New Roman"/>
                <w:sz w:val="24"/>
              </w:rPr>
              <w:t xml:space="preserve"> i nie</w:t>
            </w:r>
            <w:r w:rsidRPr="00E26EF6">
              <w:rPr>
                <w:rStyle w:val="InstructionsTabelleText"/>
                <w:rFonts w:ascii="Times New Roman" w:hAnsi="Times New Roman"/>
                <w:sz w:val="24"/>
              </w:rPr>
              <w:t>regulowanych podmiotów finansowych. Art. 181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h) CRR</w:t>
            </w:r>
          </w:p>
          <w:p w14:paraId="6A98020E" w14:textId="5216AAC8" w:rsidR="00915077" w:rsidRPr="00E26EF6" w:rsidRDefault="0042766A">
            <w:pPr>
              <w:rPr>
                <w:rFonts w:ascii="Times New Roman" w:hAnsi="Times New Roman"/>
                <w:b/>
                <w:sz w:val="24"/>
                <w:highlight w:val="lightGray"/>
                <w:u w:val="single"/>
              </w:rPr>
            </w:pPr>
            <w:r w:rsidRPr="00E26EF6">
              <w:rPr>
                <w:rFonts w:ascii="Times New Roman" w:hAnsi="Times New Roman"/>
                <w:sz w:val="24"/>
              </w:rPr>
              <w:t>Nie zgłasza się danych dotyczących ekspozycji związanych</w:t>
            </w:r>
            <w:r w:rsidR="00E26EF6" w:rsidRPr="00E26EF6">
              <w:rPr>
                <w:rFonts w:ascii="Times New Roman" w:hAnsi="Times New Roman"/>
                <w:sz w:val="24"/>
              </w:rPr>
              <w:t xml:space="preserve"> z kre</w:t>
            </w:r>
            <w:r w:rsidRPr="00E26EF6">
              <w:rPr>
                <w:rFonts w:ascii="Times New Roman" w:hAnsi="Times New Roman"/>
                <w:sz w:val="24"/>
              </w:rPr>
              <w:t>dytowaniem specjalistycznym,</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5 CRR.</w:t>
            </w:r>
          </w:p>
        </w:tc>
      </w:tr>
      <w:tr w:rsidR="00915077" w:rsidRPr="00E26EF6" w14:paraId="188F3DA1" w14:textId="77777777" w:rsidTr="00672D2A">
        <w:tc>
          <w:tcPr>
            <w:tcW w:w="1188" w:type="dxa"/>
          </w:tcPr>
          <w:p w14:paraId="12D07594" w14:textId="77777777" w:rsidR="00915077" w:rsidRPr="00E26EF6" w:rsidRDefault="004357B9">
            <w:pPr>
              <w:rPr>
                <w:rFonts w:ascii="Times New Roman" w:hAnsi="Times New Roman"/>
                <w:sz w:val="24"/>
                <w:highlight w:val="lightGray"/>
              </w:rPr>
            </w:pPr>
            <w:r w:rsidRPr="00E26EF6">
              <w:rPr>
                <w:rFonts w:ascii="Times New Roman" w:hAnsi="Times New Roman"/>
                <w:sz w:val="24"/>
              </w:rPr>
              <w:t>100</w:t>
            </w:r>
          </w:p>
        </w:tc>
        <w:tc>
          <w:tcPr>
            <w:tcW w:w="8640" w:type="dxa"/>
          </w:tcPr>
          <w:p w14:paraId="623B781E"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W tym: cechujące się niewykonaniem zobowiązania</w:t>
            </w:r>
          </w:p>
          <w:p w14:paraId="1E7C106F" w14:textId="7745CED3"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Wartość LGD ważona ekspozycją dla tych ekspozycji, które zostały sklasyfikowane jako ekspozycje, których dotyczy niewykonanie zobowiązania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178 CRR.</w:t>
            </w:r>
          </w:p>
        </w:tc>
      </w:tr>
      <w:tr w:rsidR="00915077" w:rsidRPr="00E26EF6" w14:paraId="59532D8D" w14:textId="77777777" w:rsidTr="00672D2A">
        <w:tc>
          <w:tcPr>
            <w:tcW w:w="1188" w:type="dxa"/>
          </w:tcPr>
          <w:p w14:paraId="4A3C1205" w14:textId="77777777" w:rsidR="00915077" w:rsidRPr="00E26EF6" w:rsidRDefault="00F45359">
            <w:pPr>
              <w:rPr>
                <w:rFonts w:ascii="Times New Roman" w:hAnsi="Times New Roman"/>
                <w:sz w:val="24"/>
                <w:highlight w:val="lightGray"/>
              </w:rPr>
            </w:pPr>
            <w:r w:rsidRPr="00E26EF6">
              <w:rPr>
                <w:rFonts w:ascii="Times New Roman" w:hAnsi="Times New Roman"/>
                <w:sz w:val="24"/>
              </w:rPr>
              <w:t>105</w:t>
            </w:r>
          </w:p>
        </w:tc>
        <w:tc>
          <w:tcPr>
            <w:tcW w:w="8640" w:type="dxa"/>
          </w:tcPr>
          <w:p w14:paraId="7D8C1D0F"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Wartość ekspozycji</w:t>
            </w:r>
          </w:p>
          <w:p w14:paraId="0343C116" w14:textId="77777777"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Definicja taka sama jak dla kolumny 110 wzoru CR IRB.</w:t>
            </w:r>
          </w:p>
        </w:tc>
      </w:tr>
      <w:tr w:rsidR="00915077" w:rsidRPr="00E26EF6" w14:paraId="2E53A13C" w14:textId="77777777" w:rsidTr="00672D2A">
        <w:tc>
          <w:tcPr>
            <w:tcW w:w="1188" w:type="dxa"/>
          </w:tcPr>
          <w:p w14:paraId="67075BC8" w14:textId="77777777" w:rsidR="00915077" w:rsidRPr="00E26EF6" w:rsidRDefault="004357B9">
            <w:pPr>
              <w:rPr>
                <w:rFonts w:ascii="Times New Roman" w:hAnsi="Times New Roman"/>
                <w:sz w:val="24"/>
                <w:highlight w:val="lightGray"/>
              </w:rPr>
            </w:pPr>
            <w:r w:rsidRPr="00E26EF6">
              <w:rPr>
                <w:rFonts w:ascii="Times New Roman" w:hAnsi="Times New Roman"/>
                <w:sz w:val="24"/>
              </w:rPr>
              <w:t>110</w:t>
            </w:r>
          </w:p>
        </w:tc>
        <w:tc>
          <w:tcPr>
            <w:tcW w:w="8640" w:type="dxa"/>
          </w:tcPr>
          <w:p w14:paraId="2058E52B"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KWOTA EKSPOZYCJI WAŻONEJ RYZYKIEM PRZED UWZGLĘDNIENIEM WSPÓŁCZYNNIKA WSPARCIA MŚP</w:t>
            </w:r>
          </w:p>
          <w:p w14:paraId="0D5C707A" w14:textId="77777777"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Definicja taka sama jak dla kolumny 255 wzoru CR IRB</w:t>
            </w:r>
          </w:p>
        </w:tc>
      </w:tr>
      <w:tr w:rsidR="00915077" w:rsidRPr="00E26EF6" w14:paraId="75AC0537" w14:textId="77777777" w:rsidTr="00672D2A">
        <w:tc>
          <w:tcPr>
            <w:tcW w:w="1188" w:type="dxa"/>
          </w:tcPr>
          <w:p w14:paraId="595D3504" w14:textId="77777777" w:rsidR="00915077" w:rsidRPr="00E26EF6" w:rsidRDefault="004357B9">
            <w:pPr>
              <w:rPr>
                <w:rFonts w:ascii="Times New Roman" w:hAnsi="Times New Roman"/>
                <w:sz w:val="24"/>
                <w:highlight w:val="lightGray"/>
              </w:rPr>
            </w:pPr>
            <w:r w:rsidRPr="00E26EF6">
              <w:rPr>
                <w:rFonts w:ascii="Times New Roman" w:hAnsi="Times New Roman"/>
                <w:sz w:val="24"/>
              </w:rPr>
              <w:t>120</w:t>
            </w:r>
          </w:p>
        </w:tc>
        <w:tc>
          <w:tcPr>
            <w:tcW w:w="8640" w:type="dxa"/>
          </w:tcPr>
          <w:p w14:paraId="67C7B976"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W tym: cechujące się niewykonaniem zobowiązania</w:t>
            </w:r>
          </w:p>
          <w:p w14:paraId="7422C9FE" w14:textId="496DF4BF"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Kwota ekspozycji ważonej ryzykiem dla tych ekspozycji, które zostały sklasyfikowane jako ekspozycje, których dotyczy niewykonanie zobowiązania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178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CRR.</w:t>
            </w:r>
          </w:p>
        </w:tc>
      </w:tr>
      <w:tr w:rsidR="00915077" w:rsidRPr="00E26EF6" w14:paraId="213E6887" w14:textId="77777777" w:rsidTr="00672D2A">
        <w:tc>
          <w:tcPr>
            <w:tcW w:w="1188" w:type="dxa"/>
          </w:tcPr>
          <w:p w14:paraId="6350F734" w14:textId="77777777" w:rsidR="00915077" w:rsidRPr="00E26EF6" w:rsidRDefault="004357B9">
            <w:pPr>
              <w:rPr>
                <w:rFonts w:ascii="Times New Roman" w:hAnsi="Times New Roman"/>
                <w:sz w:val="24"/>
                <w:highlight w:val="lightGray"/>
              </w:rPr>
            </w:pPr>
            <w:r w:rsidRPr="00E26EF6">
              <w:rPr>
                <w:rFonts w:ascii="Times New Roman" w:hAnsi="Times New Roman"/>
                <w:sz w:val="24"/>
              </w:rPr>
              <w:t>125</w:t>
            </w:r>
          </w:p>
        </w:tc>
        <w:tc>
          <w:tcPr>
            <w:tcW w:w="8640" w:type="dxa"/>
          </w:tcPr>
          <w:p w14:paraId="34287935"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KWOTA EKSPOZYCJI WAŻONEJ RYZYKIEM PO UWZGLĘDNIENIU WSPÓŁCZYNNIKA WSPARCIA MŚP</w:t>
            </w:r>
          </w:p>
          <w:p w14:paraId="0FBEAEA3" w14:textId="77777777" w:rsidR="00915077" w:rsidRPr="00E26EF6" w:rsidRDefault="004357B9">
            <w:pPr>
              <w:rPr>
                <w:rFonts w:ascii="Times New Roman" w:hAnsi="Times New Roman"/>
                <w:b/>
                <w:sz w:val="24"/>
                <w:highlight w:val="lightGray"/>
                <w:u w:val="single"/>
              </w:rPr>
            </w:pPr>
            <w:r w:rsidRPr="00E26EF6">
              <w:rPr>
                <w:rStyle w:val="InstructionsTabelleText"/>
                <w:rFonts w:ascii="Times New Roman" w:hAnsi="Times New Roman"/>
                <w:sz w:val="24"/>
              </w:rPr>
              <w:t>Definicja taka sama jak dla kolumny 260 wzoru CR IRB</w:t>
            </w:r>
          </w:p>
        </w:tc>
      </w:tr>
      <w:tr w:rsidR="00915077" w:rsidRPr="00E26EF6" w14:paraId="494565E5" w14:textId="77777777" w:rsidTr="00672D2A">
        <w:tc>
          <w:tcPr>
            <w:tcW w:w="1188" w:type="dxa"/>
          </w:tcPr>
          <w:p w14:paraId="723CB731" w14:textId="77777777" w:rsidR="00915077" w:rsidRPr="00E26EF6" w:rsidRDefault="004357B9">
            <w:pPr>
              <w:rPr>
                <w:rFonts w:ascii="Times New Roman" w:hAnsi="Times New Roman"/>
                <w:sz w:val="24"/>
                <w:highlight w:val="lightGray"/>
              </w:rPr>
            </w:pPr>
            <w:r w:rsidRPr="00E26EF6">
              <w:rPr>
                <w:rFonts w:ascii="Times New Roman" w:hAnsi="Times New Roman"/>
                <w:sz w:val="24"/>
              </w:rPr>
              <w:t>130</w:t>
            </w:r>
          </w:p>
        </w:tc>
        <w:tc>
          <w:tcPr>
            <w:tcW w:w="8640" w:type="dxa"/>
          </w:tcPr>
          <w:p w14:paraId="1E4CBCD4"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KWOTA OCZEKIWANEJ STRATY</w:t>
            </w:r>
          </w:p>
          <w:p w14:paraId="00F4C565" w14:textId="77777777" w:rsidR="00915077" w:rsidRPr="00E26EF6" w:rsidRDefault="004357B9">
            <w:pPr>
              <w:rPr>
                <w:rFonts w:ascii="Times New Roman" w:hAnsi="Times New Roman"/>
                <w:b/>
                <w:sz w:val="24"/>
                <w:u w:val="single"/>
              </w:rPr>
            </w:pPr>
            <w:r w:rsidRPr="00E26EF6">
              <w:rPr>
                <w:rStyle w:val="InstructionsTabelleText"/>
                <w:rFonts w:ascii="Times New Roman" w:hAnsi="Times New Roman"/>
                <w:sz w:val="24"/>
              </w:rPr>
              <w:t>Definicja taka sama jak dla kolumny 280 wzoru CR IRB</w:t>
            </w:r>
            <w:r w:rsidRPr="00E26EF6">
              <w:rPr>
                <w:rFonts w:ascii="Times New Roman" w:hAnsi="Times New Roman"/>
                <w:b/>
                <w:sz w:val="24"/>
                <w:u w:val="single"/>
              </w:rPr>
              <w:t xml:space="preserve"> </w:t>
            </w:r>
          </w:p>
        </w:tc>
      </w:tr>
    </w:tbl>
    <w:p w14:paraId="0662D07F" w14:textId="77777777" w:rsidR="00915077" w:rsidRPr="00E26EF6" w:rsidRDefault="0091507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15077" w:rsidRPr="00E26EF6" w14:paraId="58C6D1CD" w14:textId="77777777" w:rsidTr="00672D2A">
        <w:tc>
          <w:tcPr>
            <w:tcW w:w="1188" w:type="dxa"/>
            <w:shd w:val="clear" w:color="auto" w:fill="CCCCCC"/>
          </w:tcPr>
          <w:p w14:paraId="17E54FF6" w14:textId="77777777" w:rsidR="00915077" w:rsidRPr="00E26EF6" w:rsidRDefault="004357B9">
            <w:pPr>
              <w:rPr>
                <w:rFonts w:ascii="Times New Roman" w:hAnsi="Times New Roman"/>
                <w:b/>
                <w:sz w:val="24"/>
              </w:rPr>
            </w:pPr>
            <w:r w:rsidRPr="00E26EF6">
              <w:rPr>
                <w:rFonts w:ascii="Times New Roman" w:hAnsi="Times New Roman"/>
                <w:b/>
                <w:sz w:val="24"/>
              </w:rPr>
              <w:t>Wiersze</w:t>
            </w:r>
          </w:p>
        </w:tc>
        <w:tc>
          <w:tcPr>
            <w:tcW w:w="8640" w:type="dxa"/>
            <w:shd w:val="clear" w:color="auto" w:fill="CCCCCC"/>
          </w:tcPr>
          <w:p w14:paraId="53395035" w14:textId="77777777" w:rsidR="00915077" w:rsidRPr="00E26EF6" w:rsidRDefault="00915077">
            <w:pPr>
              <w:ind w:left="72"/>
              <w:rPr>
                <w:rFonts w:ascii="Times New Roman" w:hAnsi="Times New Roman"/>
                <w:sz w:val="24"/>
                <w:highlight w:val="lightGray"/>
              </w:rPr>
            </w:pPr>
          </w:p>
        </w:tc>
      </w:tr>
      <w:tr w:rsidR="00915077" w:rsidRPr="00E26EF6" w14:paraId="15EB838A" w14:textId="77777777" w:rsidTr="00672D2A">
        <w:tc>
          <w:tcPr>
            <w:tcW w:w="1188" w:type="dxa"/>
          </w:tcPr>
          <w:p w14:paraId="5E6B896D" w14:textId="77777777" w:rsidR="00915077" w:rsidRPr="00E26EF6" w:rsidRDefault="004357B9">
            <w:pPr>
              <w:rPr>
                <w:rFonts w:ascii="Times New Roman" w:hAnsi="Times New Roman"/>
                <w:sz w:val="24"/>
                <w:highlight w:val="lightGray"/>
              </w:rPr>
            </w:pPr>
            <w:r w:rsidRPr="00E26EF6">
              <w:rPr>
                <w:rFonts w:ascii="Times New Roman" w:hAnsi="Times New Roman"/>
                <w:sz w:val="24"/>
              </w:rPr>
              <w:lastRenderedPageBreak/>
              <w:t>010</w:t>
            </w:r>
          </w:p>
        </w:tc>
        <w:tc>
          <w:tcPr>
            <w:tcW w:w="8640" w:type="dxa"/>
          </w:tcPr>
          <w:p w14:paraId="5E840046" w14:textId="4777AC8E" w:rsidR="00915077" w:rsidRPr="00E26EF6" w:rsidRDefault="004357B9">
            <w:pPr>
              <w:rPr>
                <w:rFonts w:ascii="Times New Roman" w:hAnsi="Times New Roman"/>
                <w:b/>
                <w:sz w:val="24"/>
                <w:u w:val="single"/>
              </w:rPr>
            </w:pPr>
            <w:r w:rsidRPr="00E26EF6">
              <w:rPr>
                <w:rFonts w:ascii="Times New Roman" w:hAnsi="Times New Roman"/>
                <w:b/>
                <w:sz w:val="24"/>
                <w:u w:val="single"/>
              </w:rPr>
              <w:t>Ekspozycje wobec rządów centralnych</w:t>
            </w:r>
            <w:r w:rsidR="00E26EF6" w:rsidRPr="00E26EF6">
              <w:rPr>
                <w:rFonts w:ascii="Times New Roman" w:hAnsi="Times New Roman"/>
                <w:b/>
                <w:sz w:val="24"/>
                <w:u w:val="single"/>
              </w:rPr>
              <w:t xml:space="preserve"> i ban</w:t>
            </w:r>
            <w:r w:rsidRPr="00E26EF6">
              <w:rPr>
                <w:rFonts w:ascii="Times New Roman" w:hAnsi="Times New Roman"/>
                <w:b/>
                <w:sz w:val="24"/>
                <w:u w:val="single"/>
              </w:rPr>
              <w:t xml:space="preserve">ków centralnych </w:t>
            </w:r>
          </w:p>
          <w:p w14:paraId="090B69EE" w14:textId="75186763" w:rsidR="00915077" w:rsidRPr="00E26EF6" w:rsidRDefault="00D21B29">
            <w:pPr>
              <w:rPr>
                <w:rFonts w:ascii="Times New Roman" w:hAnsi="Times New Roman"/>
                <w:sz w:val="24"/>
                <w:highlight w:val="lightGray"/>
              </w:rPr>
            </w:pPr>
            <w:r w:rsidRPr="00E26EF6">
              <w:rPr>
                <w:rFonts w:ascii="Times New Roman" w:hAnsi="Times New Roman"/>
                <w:sz w:val="24"/>
              </w:rPr>
              <w:t>A</w:t>
            </w:r>
            <w:r w:rsidRPr="00E26EF6">
              <w:rPr>
                <w:rFonts w:ascii="Times New Roman" w:hAnsi="Times New Roman"/>
                <w:bCs/>
                <w:sz w:val="24"/>
              </w:rPr>
              <w:t>rt. 147 ust.</w:t>
            </w:r>
            <w:r w:rsidR="00023409" w:rsidRPr="00E26EF6">
              <w:rPr>
                <w:rFonts w:ascii="Times New Roman" w:hAnsi="Times New Roman"/>
                <w:bCs/>
                <w:sz w:val="24"/>
              </w:rPr>
              <w:t> </w:t>
            </w:r>
            <w:r w:rsidRPr="00E26EF6">
              <w:rPr>
                <w:rFonts w:ascii="Times New Roman" w:hAnsi="Times New Roman"/>
                <w:bCs/>
                <w:sz w:val="24"/>
              </w:rPr>
              <w:t xml:space="preserve">2 </w:t>
            </w:r>
            <w:r w:rsidRPr="00E26EF6">
              <w:rPr>
                <w:rFonts w:ascii="Times New Roman" w:hAnsi="Times New Roman"/>
                <w:sz w:val="24"/>
              </w:rPr>
              <w:t>lit.</w:t>
            </w:r>
            <w:r w:rsidR="00023409" w:rsidRPr="00E26EF6">
              <w:rPr>
                <w:rFonts w:ascii="Times New Roman" w:hAnsi="Times New Roman"/>
                <w:sz w:val="24"/>
              </w:rPr>
              <w:t> </w:t>
            </w:r>
            <w:r w:rsidRPr="00E26EF6">
              <w:rPr>
                <w:rFonts w:ascii="Times New Roman" w:hAnsi="Times New Roman"/>
                <w:sz w:val="24"/>
              </w:rPr>
              <w:t>a) CRR</w:t>
            </w:r>
          </w:p>
        </w:tc>
      </w:tr>
      <w:tr w:rsidR="00915077" w:rsidRPr="00E26EF6" w14:paraId="524F7F96" w14:textId="77777777" w:rsidTr="00672D2A">
        <w:tc>
          <w:tcPr>
            <w:tcW w:w="1188" w:type="dxa"/>
          </w:tcPr>
          <w:p w14:paraId="072201D4" w14:textId="77777777" w:rsidR="00915077" w:rsidRPr="00E26EF6" w:rsidRDefault="004357B9">
            <w:pPr>
              <w:rPr>
                <w:rFonts w:ascii="Times New Roman" w:hAnsi="Times New Roman"/>
                <w:sz w:val="24"/>
                <w:highlight w:val="lightGray"/>
              </w:rPr>
            </w:pPr>
            <w:r w:rsidRPr="00E26EF6">
              <w:rPr>
                <w:rFonts w:ascii="Times New Roman" w:hAnsi="Times New Roman"/>
                <w:sz w:val="24"/>
              </w:rPr>
              <w:t>020</w:t>
            </w:r>
          </w:p>
        </w:tc>
        <w:tc>
          <w:tcPr>
            <w:tcW w:w="8640" w:type="dxa"/>
          </w:tcPr>
          <w:p w14:paraId="3EACDA70"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Ekspozycje wobec instytucji</w:t>
            </w:r>
          </w:p>
          <w:p w14:paraId="0844CBEA" w14:textId="59C1E805" w:rsidR="00915077" w:rsidRPr="00E26EF6" w:rsidRDefault="00D21B29">
            <w:pPr>
              <w:rPr>
                <w:rFonts w:ascii="Times New Roman" w:hAnsi="Times New Roman"/>
                <w:sz w:val="24"/>
                <w:highlight w:val="lightGray"/>
              </w:rPr>
            </w:pPr>
            <w:r w:rsidRPr="00E26EF6">
              <w:rPr>
                <w:rFonts w:ascii="Times New Roman" w:hAnsi="Times New Roman"/>
                <w:sz w:val="24"/>
              </w:rPr>
              <w:t>Art. 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CRR</w:t>
            </w:r>
          </w:p>
        </w:tc>
      </w:tr>
      <w:tr w:rsidR="00915077" w:rsidRPr="00E26EF6" w14:paraId="45F9CBBF" w14:textId="77777777" w:rsidTr="00672D2A">
        <w:tc>
          <w:tcPr>
            <w:tcW w:w="1188" w:type="dxa"/>
          </w:tcPr>
          <w:p w14:paraId="4EDE8471" w14:textId="77777777" w:rsidR="00915077" w:rsidRPr="00E26EF6" w:rsidRDefault="004357B9">
            <w:pPr>
              <w:rPr>
                <w:rFonts w:ascii="Times New Roman" w:hAnsi="Times New Roman"/>
                <w:sz w:val="24"/>
                <w:highlight w:val="lightGray"/>
              </w:rPr>
            </w:pPr>
            <w:r w:rsidRPr="00E26EF6">
              <w:rPr>
                <w:rFonts w:ascii="Times New Roman" w:hAnsi="Times New Roman"/>
                <w:sz w:val="24"/>
              </w:rPr>
              <w:t>030</w:t>
            </w:r>
          </w:p>
        </w:tc>
        <w:tc>
          <w:tcPr>
            <w:tcW w:w="8640" w:type="dxa"/>
          </w:tcPr>
          <w:p w14:paraId="498BD2EB"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 xml:space="preserve">Ekspozycje wobec przedsiębiorstw </w:t>
            </w:r>
          </w:p>
          <w:p w14:paraId="1427627B" w14:textId="3FA6BD6B" w:rsidR="00915077" w:rsidRPr="00E26EF6" w:rsidRDefault="004357B9">
            <w:pPr>
              <w:pStyle w:val="ListParagraph"/>
              <w:ind w:left="0"/>
              <w:rPr>
                <w:rFonts w:ascii="Times New Roman" w:hAnsi="Times New Roman"/>
                <w:sz w:val="24"/>
                <w:highlight w:val="lightGray"/>
              </w:rPr>
            </w:pPr>
            <w:r w:rsidRPr="00E26EF6">
              <w:rPr>
                <w:rFonts w:ascii="Times New Roman" w:hAnsi="Times New Roman"/>
                <w:sz w:val="24"/>
              </w:rPr>
              <w:t>Wszystkie ekspozycje wobec przedsiębiorstw,</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 xml:space="preserve">2 </w:t>
            </w:r>
            <w:r w:rsidRPr="00E26EF6">
              <w:rPr>
                <w:rFonts w:ascii="Times New Roman" w:hAnsi="Times New Roman"/>
                <w:bCs/>
                <w:sz w:val="24"/>
              </w:rPr>
              <w:t>lit.</w:t>
            </w:r>
            <w:r w:rsidR="00023409" w:rsidRPr="00E26EF6">
              <w:rPr>
                <w:rFonts w:ascii="Times New Roman" w:hAnsi="Times New Roman"/>
                <w:bCs/>
                <w:sz w:val="24"/>
              </w:rPr>
              <w:t> </w:t>
            </w:r>
            <w:r w:rsidRPr="00E26EF6">
              <w:rPr>
                <w:rFonts w:ascii="Times New Roman" w:hAnsi="Times New Roman"/>
                <w:bCs/>
                <w:sz w:val="24"/>
              </w:rPr>
              <w:t xml:space="preserve">c) </w:t>
            </w:r>
            <w:r w:rsidRPr="00E26EF6">
              <w:rPr>
                <w:rFonts w:ascii="Times New Roman" w:hAnsi="Times New Roman"/>
                <w:sz w:val="24"/>
              </w:rPr>
              <w:t>CRR</w:t>
            </w:r>
          </w:p>
        </w:tc>
      </w:tr>
      <w:tr w:rsidR="00915077" w:rsidRPr="00E26EF6" w14:paraId="2BB19F94" w14:textId="77777777" w:rsidTr="00672D2A">
        <w:tc>
          <w:tcPr>
            <w:tcW w:w="1188" w:type="dxa"/>
          </w:tcPr>
          <w:p w14:paraId="1B0A27AB" w14:textId="77777777" w:rsidR="00915077" w:rsidRPr="00E26EF6" w:rsidRDefault="004357B9">
            <w:pPr>
              <w:rPr>
                <w:rFonts w:ascii="Times New Roman" w:hAnsi="Times New Roman"/>
                <w:sz w:val="24"/>
                <w:highlight w:val="lightGray"/>
              </w:rPr>
            </w:pPr>
            <w:r w:rsidRPr="00E26EF6">
              <w:rPr>
                <w:rFonts w:ascii="Times New Roman" w:hAnsi="Times New Roman"/>
                <w:sz w:val="24"/>
              </w:rPr>
              <w:t>042</w:t>
            </w:r>
          </w:p>
        </w:tc>
        <w:tc>
          <w:tcPr>
            <w:tcW w:w="8640" w:type="dxa"/>
          </w:tcPr>
          <w:p w14:paraId="6FA09752" w14:textId="2C62863F" w:rsidR="00915077" w:rsidRPr="00E26EF6" w:rsidRDefault="004357B9">
            <w:pPr>
              <w:rPr>
                <w:rFonts w:ascii="Times New Roman" w:hAnsi="Times New Roman"/>
                <w:b/>
                <w:sz w:val="24"/>
                <w:u w:val="single"/>
              </w:rPr>
            </w:pPr>
            <w:r w:rsidRPr="00E26EF6">
              <w:rPr>
                <w:rFonts w:ascii="Times New Roman" w:hAnsi="Times New Roman"/>
                <w:b/>
                <w:sz w:val="24"/>
                <w:u w:val="single"/>
              </w:rPr>
              <w:t>W tym: związane</w:t>
            </w:r>
            <w:r w:rsidR="00E26EF6" w:rsidRPr="00E26EF6">
              <w:rPr>
                <w:rFonts w:ascii="Times New Roman" w:hAnsi="Times New Roman"/>
                <w:b/>
                <w:sz w:val="24"/>
                <w:u w:val="single"/>
              </w:rPr>
              <w:t xml:space="preserve"> z kre</w:t>
            </w:r>
            <w:r w:rsidRPr="00E26EF6">
              <w:rPr>
                <w:rFonts w:ascii="Times New Roman" w:hAnsi="Times New Roman"/>
                <w:b/>
                <w:sz w:val="24"/>
                <w:u w:val="single"/>
              </w:rPr>
              <w:t>dytowaniem specjalistycznym (z wyjątkiem kredytowania specjalistycznego objętego kryteriami klasyfikacji)</w:t>
            </w:r>
          </w:p>
          <w:p w14:paraId="7EDA1A93" w14:textId="62158FA9" w:rsidR="00915077" w:rsidRPr="00E26EF6" w:rsidRDefault="00D21B29">
            <w:pPr>
              <w:pStyle w:val="ListParagraph"/>
              <w:ind w:left="0"/>
              <w:rPr>
                <w:rFonts w:ascii="Times New Roman" w:hAnsi="Times New Roman"/>
                <w:sz w:val="24"/>
              </w:rPr>
            </w:pPr>
            <w:r w:rsidRPr="00E26EF6">
              <w:rPr>
                <w:rFonts w:ascii="Times New Roman" w:hAnsi="Times New Roman"/>
                <w:bCs/>
                <w:sz w:val="24"/>
              </w:rPr>
              <w:t xml:space="preserve">Art. 147 </w:t>
            </w:r>
            <w:r w:rsidRPr="00E26EF6">
              <w:rPr>
                <w:rFonts w:ascii="Times New Roman" w:hAnsi="Times New Roman"/>
                <w:sz w:val="24"/>
              </w:rPr>
              <w:t>ust.</w:t>
            </w:r>
            <w:r w:rsidR="00023409" w:rsidRPr="00E26EF6">
              <w:rPr>
                <w:rFonts w:ascii="Times New Roman" w:hAnsi="Times New Roman"/>
                <w:sz w:val="24"/>
              </w:rPr>
              <w:t> </w:t>
            </w:r>
            <w:r w:rsidRPr="00E26EF6">
              <w:rPr>
                <w:rFonts w:ascii="Times New Roman" w:hAnsi="Times New Roman"/>
                <w:sz w:val="24"/>
              </w:rPr>
              <w:t>8. lit.</w:t>
            </w:r>
            <w:r w:rsidR="00023409" w:rsidRPr="00E26EF6">
              <w:rPr>
                <w:rFonts w:ascii="Times New Roman" w:hAnsi="Times New Roman"/>
                <w:sz w:val="24"/>
              </w:rPr>
              <w:t> </w:t>
            </w:r>
            <w:r w:rsidRPr="00E26EF6">
              <w:rPr>
                <w:rFonts w:ascii="Times New Roman" w:hAnsi="Times New Roman"/>
                <w:sz w:val="24"/>
              </w:rPr>
              <w:t>a) CRR</w:t>
            </w:r>
          </w:p>
          <w:p w14:paraId="103A67ED" w14:textId="096D39CB" w:rsidR="00915077" w:rsidRPr="00E26EF6" w:rsidRDefault="0042766A">
            <w:pPr>
              <w:pStyle w:val="ListParagraph"/>
              <w:ind w:left="0"/>
              <w:rPr>
                <w:rFonts w:ascii="Times New Roman" w:hAnsi="Times New Roman"/>
                <w:sz w:val="24"/>
                <w:highlight w:val="lightGray"/>
              </w:rPr>
            </w:pPr>
            <w:r w:rsidRPr="00E26EF6">
              <w:rPr>
                <w:rFonts w:ascii="Times New Roman" w:hAnsi="Times New Roman"/>
                <w:sz w:val="24"/>
              </w:rPr>
              <w:t>Nie zgłasza się danych dotyczących ekspozycji związanych</w:t>
            </w:r>
            <w:r w:rsidR="00E26EF6" w:rsidRPr="00E26EF6">
              <w:rPr>
                <w:rFonts w:ascii="Times New Roman" w:hAnsi="Times New Roman"/>
                <w:sz w:val="24"/>
              </w:rPr>
              <w:t xml:space="preserve"> z kre</w:t>
            </w:r>
            <w:r w:rsidRPr="00E26EF6">
              <w:rPr>
                <w:rFonts w:ascii="Times New Roman" w:hAnsi="Times New Roman"/>
                <w:sz w:val="24"/>
              </w:rPr>
              <w:t>dytowaniem specjalistycznym,</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5 CRR.</w:t>
            </w:r>
          </w:p>
        </w:tc>
      </w:tr>
      <w:tr w:rsidR="00915077" w:rsidRPr="00E26EF6" w14:paraId="1F8186F4" w14:textId="77777777" w:rsidTr="00672D2A">
        <w:tc>
          <w:tcPr>
            <w:tcW w:w="1188" w:type="dxa"/>
          </w:tcPr>
          <w:p w14:paraId="5843B83F" w14:textId="77777777" w:rsidR="00915077" w:rsidRPr="00E26EF6" w:rsidRDefault="000E093A">
            <w:pPr>
              <w:rPr>
                <w:rFonts w:ascii="Times New Roman" w:hAnsi="Times New Roman"/>
                <w:sz w:val="24"/>
                <w:highlight w:val="lightGray"/>
              </w:rPr>
            </w:pPr>
            <w:r w:rsidRPr="00E26EF6">
              <w:rPr>
                <w:rFonts w:ascii="Times New Roman" w:hAnsi="Times New Roman"/>
                <w:sz w:val="24"/>
              </w:rPr>
              <w:t>045</w:t>
            </w:r>
          </w:p>
        </w:tc>
        <w:tc>
          <w:tcPr>
            <w:tcW w:w="8640" w:type="dxa"/>
          </w:tcPr>
          <w:p w14:paraId="39002DAB" w14:textId="3E31EDCB" w:rsidR="00915077" w:rsidRPr="00E26EF6" w:rsidRDefault="000E093A">
            <w:pPr>
              <w:rPr>
                <w:rFonts w:ascii="Times New Roman" w:hAnsi="Times New Roman"/>
                <w:b/>
                <w:sz w:val="24"/>
                <w:u w:val="single"/>
              </w:rPr>
            </w:pPr>
            <w:r w:rsidRPr="00E26EF6">
              <w:rPr>
                <w:rFonts w:ascii="Times New Roman" w:hAnsi="Times New Roman"/>
                <w:b/>
                <w:sz w:val="24"/>
                <w:u w:val="single"/>
              </w:rPr>
              <w:t>W tym: związane</w:t>
            </w:r>
            <w:r w:rsidR="00E26EF6" w:rsidRPr="00E26EF6">
              <w:rPr>
                <w:rFonts w:ascii="Times New Roman" w:hAnsi="Times New Roman"/>
                <w:b/>
                <w:sz w:val="24"/>
                <w:u w:val="single"/>
              </w:rPr>
              <w:t xml:space="preserve"> z kre</w:t>
            </w:r>
            <w:r w:rsidRPr="00E26EF6">
              <w:rPr>
                <w:rFonts w:ascii="Times New Roman" w:hAnsi="Times New Roman"/>
                <w:b/>
                <w:sz w:val="24"/>
                <w:u w:val="single"/>
              </w:rPr>
              <w:t>dytowaniem specjalistycznym (objęte kryteriami klasyfikacji)</w:t>
            </w:r>
          </w:p>
          <w:p w14:paraId="56E4B85C" w14:textId="0C4713E2" w:rsidR="00915077" w:rsidRPr="00E26EF6" w:rsidRDefault="00D21B29">
            <w:pPr>
              <w:rPr>
                <w:rFonts w:ascii="Times New Roman" w:hAnsi="Times New Roman"/>
                <w:b/>
                <w:sz w:val="24"/>
                <w:highlight w:val="lightGray"/>
                <w:u w:val="single"/>
              </w:rPr>
            </w:pPr>
            <w:r w:rsidRPr="00E26EF6">
              <w:rPr>
                <w:rFonts w:ascii="Times New Roman" w:hAnsi="Times New Roman"/>
                <w:sz w:val="24"/>
              </w:rPr>
              <w:t>Art. 147 ust.</w:t>
            </w:r>
            <w:r w:rsidR="00023409" w:rsidRPr="00E26EF6">
              <w:rPr>
                <w:rFonts w:ascii="Times New Roman" w:hAnsi="Times New Roman"/>
                <w:sz w:val="24"/>
              </w:rPr>
              <w:t> </w:t>
            </w:r>
            <w:r w:rsidRPr="00E26EF6">
              <w:rPr>
                <w:rFonts w:ascii="Times New Roman" w:hAnsi="Times New Roman"/>
                <w:sz w:val="24"/>
              </w:rPr>
              <w:t>8 lit.</w:t>
            </w:r>
            <w:r w:rsidR="00023409" w:rsidRPr="00E26EF6">
              <w:rPr>
                <w:rFonts w:ascii="Times New Roman" w:hAnsi="Times New Roman"/>
                <w:sz w:val="24"/>
              </w:rPr>
              <w:t> </w:t>
            </w:r>
            <w:r w:rsidRPr="00E26EF6">
              <w:rPr>
                <w:rFonts w:ascii="Times New Roman" w:hAnsi="Times New Roman"/>
                <w:sz w:val="24"/>
              </w:rPr>
              <w:t>a) oraz art.</w:t>
            </w:r>
            <w:r w:rsidR="00023409" w:rsidRPr="00E26EF6">
              <w:rPr>
                <w:rFonts w:ascii="Times New Roman" w:hAnsi="Times New Roman"/>
                <w:sz w:val="24"/>
              </w:rPr>
              <w:t> </w:t>
            </w:r>
            <w:r w:rsidRPr="00E26EF6">
              <w:rPr>
                <w:rFonts w:ascii="Times New Roman" w:hAnsi="Times New Roman"/>
                <w:sz w:val="24"/>
              </w:rPr>
              <w:t>153 ust.</w:t>
            </w:r>
            <w:r w:rsidR="00023409" w:rsidRPr="00E26EF6">
              <w:rPr>
                <w:rFonts w:ascii="Times New Roman" w:hAnsi="Times New Roman"/>
                <w:sz w:val="24"/>
              </w:rPr>
              <w:t> </w:t>
            </w:r>
            <w:r w:rsidRPr="00E26EF6">
              <w:rPr>
                <w:rFonts w:ascii="Times New Roman" w:hAnsi="Times New Roman"/>
                <w:sz w:val="24"/>
              </w:rPr>
              <w:t>5 CRR</w:t>
            </w:r>
          </w:p>
        </w:tc>
      </w:tr>
      <w:tr w:rsidR="00915077" w:rsidRPr="00E26EF6" w14:paraId="4D8522F6" w14:textId="77777777" w:rsidTr="00672D2A">
        <w:tc>
          <w:tcPr>
            <w:tcW w:w="1188" w:type="dxa"/>
          </w:tcPr>
          <w:p w14:paraId="4722F6D6" w14:textId="77777777" w:rsidR="00915077" w:rsidRPr="00E26EF6" w:rsidRDefault="004357B9">
            <w:pPr>
              <w:rPr>
                <w:rFonts w:ascii="Times New Roman" w:hAnsi="Times New Roman"/>
                <w:sz w:val="24"/>
                <w:highlight w:val="lightGray"/>
              </w:rPr>
            </w:pPr>
            <w:r w:rsidRPr="00E26EF6">
              <w:rPr>
                <w:rFonts w:ascii="Times New Roman" w:hAnsi="Times New Roman"/>
                <w:sz w:val="24"/>
              </w:rPr>
              <w:t>050</w:t>
            </w:r>
          </w:p>
        </w:tc>
        <w:tc>
          <w:tcPr>
            <w:tcW w:w="8640" w:type="dxa"/>
          </w:tcPr>
          <w:p w14:paraId="2364526D"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W tym: ekspozycje wobec MŚP</w:t>
            </w:r>
          </w:p>
          <w:p w14:paraId="5ABADB8A" w14:textId="0E3F63EA" w:rsidR="00915077" w:rsidRPr="00E26EF6" w:rsidRDefault="00D21B29">
            <w:pPr>
              <w:pStyle w:val="ListParagraph"/>
              <w:ind w:left="0"/>
              <w:rPr>
                <w:rFonts w:ascii="Times New Roman" w:hAnsi="Times New Roman"/>
                <w:sz w:val="24"/>
                <w:highlight w:val="lightGray"/>
              </w:rPr>
            </w:pPr>
            <w:r w:rsidRPr="00E26EF6">
              <w:rPr>
                <w:rFonts w:ascii="Times New Roman" w:hAnsi="Times New Roman"/>
                <w:bCs/>
                <w:sz w:val="24"/>
              </w:rPr>
              <w:t xml:space="preserve">Art. 147 </w:t>
            </w:r>
            <w:r w:rsidRPr="00E26EF6">
              <w:rPr>
                <w:rFonts w:ascii="Times New Roman" w:hAnsi="Times New Roman"/>
                <w:sz w:val="24"/>
              </w:rPr>
              <w:t>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c) CRR</w:t>
            </w:r>
          </w:p>
        </w:tc>
      </w:tr>
      <w:tr w:rsidR="00915077" w:rsidRPr="00E26EF6" w14:paraId="4E60DA06" w14:textId="77777777" w:rsidTr="00672D2A">
        <w:tc>
          <w:tcPr>
            <w:tcW w:w="1188" w:type="dxa"/>
          </w:tcPr>
          <w:p w14:paraId="079B0B71" w14:textId="77777777" w:rsidR="00915077" w:rsidRPr="00E26EF6" w:rsidRDefault="004357B9">
            <w:pPr>
              <w:rPr>
                <w:rFonts w:ascii="Times New Roman" w:hAnsi="Times New Roman"/>
                <w:sz w:val="24"/>
                <w:highlight w:val="lightGray"/>
              </w:rPr>
            </w:pPr>
            <w:r w:rsidRPr="00E26EF6">
              <w:rPr>
                <w:rFonts w:ascii="Times New Roman" w:hAnsi="Times New Roman"/>
                <w:sz w:val="24"/>
              </w:rPr>
              <w:t>060</w:t>
            </w:r>
          </w:p>
        </w:tc>
        <w:tc>
          <w:tcPr>
            <w:tcW w:w="8640" w:type="dxa"/>
          </w:tcPr>
          <w:p w14:paraId="621299E2"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Ekspozycje detaliczne</w:t>
            </w:r>
          </w:p>
          <w:p w14:paraId="7EA656E7" w14:textId="7538508E" w:rsidR="00915077" w:rsidRPr="00E26EF6" w:rsidRDefault="004357B9">
            <w:pPr>
              <w:rPr>
                <w:rFonts w:ascii="Times New Roman" w:hAnsi="Times New Roman"/>
                <w:sz w:val="24"/>
                <w:highlight w:val="lightGray"/>
              </w:rPr>
            </w:pPr>
            <w:r w:rsidRPr="00E26EF6">
              <w:rPr>
                <w:rFonts w:ascii="Times New Roman" w:hAnsi="Times New Roman"/>
                <w:sz w:val="24"/>
              </w:rPr>
              <w:t>Wszystkie 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w:t>
            </w:r>
          </w:p>
        </w:tc>
      </w:tr>
      <w:tr w:rsidR="00915077" w:rsidRPr="00E26EF6" w14:paraId="5B12FE9E" w14:textId="77777777" w:rsidTr="00672D2A">
        <w:tc>
          <w:tcPr>
            <w:tcW w:w="1188" w:type="dxa"/>
          </w:tcPr>
          <w:p w14:paraId="7498E6A0" w14:textId="77777777" w:rsidR="00915077" w:rsidRPr="00E26EF6" w:rsidRDefault="004357B9">
            <w:pPr>
              <w:rPr>
                <w:rFonts w:ascii="Times New Roman" w:hAnsi="Times New Roman"/>
                <w:sz w:val="24"/>
                <w:highlight w:val="lightGray"/>
              </w:rPr>
            </w:pPr>
            <w:r w:rsidRPr="00E26EF6">
              <w:rPr>
                <w:rFonts w:ascii="Times New Roman" w:hAnsi="Times New Roman"/>
                <w:sz w:val="24"/>
              </w:rPr>
              <w:t>070</w:t>
            </w:r>
          </w:p>
        </w:tc>
        <w:tc>
          <w:tcPr>
            <w:tcW w:w="8640" w:type="dxa"/>
          </w:tcPr>
          <w:p w14:paraId="28D48F26"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Ekspozycje detaliczne zabezpieczone nieruchomością</w:t>
            </w:r>
          </w:p>
          <w:p w14:paraId="7D846491" w14:textId="555E9B11" w:rsidR="00915077" w:rsidRPr="00E26EF6" w:rsidRDefault="003B2712">
            <w:pPr>
              <w:pStyle w:val="ListParagraph"/>
              <w:ind w:left="0"/>
              <w:rPr>
                <w:rFonts w:ascii="Times New Roman" w:hAnsi="Times New Roman"/>
                <w:sz w:val="24"/>
                <w:highlight w:val="lightGray"/>
              </w:rPr>
            </w:pPr>
            <w:r w:rsidRPr="00E26EF6">
              <w:rPr>
                <w:rFonts w:ascii="Times New Roman" w:hAnsi="Times New Roman"/>
                <w:sz w:val="24"/>
              </w:rPr>
              <w:t>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 które są zabezpieczone nieruchomością</w:t>
            </w:r>
          </w:p>
        </w:tc>
      </w:tr>
      <w:tr w:rsidR="00915077" w:rsidRPr="00E26EF6" w14:paraId="72C223B9" w14:textId="77777777" w:rsidTr="00672D2A">
        <w:tc>
          <w:tcPr>
            <w:tcW w:w="1188" w:type="dxa"/>
          </w:tcPr>
          <w:p w14:paraId="02BEDBA1" w14:textId="77777777" w:rsidR="00915077" w:rsidRPr="00E26EF6" w:rsidRDefault="004357B9">
            <w:pPr>
              <w:rPr>
                <w:rFonts w:ascii="Times New Roman" w:hAnsi="Times New Roman"/>
                <w:sz w:val="24"/>
                <w:highlight w:val="lightGray"/>
              </w:rPr>
            </w:pPr>
            <w:r w:rsidRPr="00E26EF6">
              <w:rPr>
                <w:rFonts w:ascii="Times New Roman" w:hAnsi="Times New Roman"/>
                <w:sz w:val="24"/>
              </w:rPr>
              <w:t>080</w:t>
            </w:r>
          </w:p>
        </w:tc>
        <w:tc>
          <w:tcPr>
            <w:tcW w:w="8640" w:type="dxa"/>
          </w:tcPr>
          <w:p w14:paraId="6EFC5600" w14:textId="77777777" w:rsidR="00915077" w:rsidRPr="00E26EF6" w:rsidRDefault="004357B9">
            <w:pPr>
              <w:rPr>
                <w:rFonts w:ascii="Times New Roman" w:hAnsi="Times New Roman"/>
                <w:b/>
                <w:sz w:val="24"/>
                <w:u w:val="single"/>
              </w:rPr>
            </w:pPr>
            <w:proofErr w:type="gramStart"/>
            <w:r w:rsidRPr="00E26EF6">
              <w:rPr>
                <w:rFonts w:ascii="Times New Roman" w:hAnsi="Times New Roman"/>
                <w:b/>
                <w:sz w:val="24"/>
                <w:u w:val="single"/>
              </w:rPr>
              <w:t>ekspozycje</w:t>
            </w:r>
            <w:proofErr w:type="gramEnd"/>
            <w:r w:rsidRPr="00E26EF6">
              <w:rPr>
                <w:rFonts w:ascii="Times New Roman" w:hAnsi="Times New Roman"/>
                <w:b/>
                <w:sz w:val="24"/>
                <w:u w:val="single"/>
              </w:rPr>
              <w:t xml:space="preserve"> wobec MŚP</w:t>
            </w:r>
          </w:p>
          <w:p w14:paraId="617C25C7" w14:textId="42E030F4" w:rsidR="00915077" w:rsidRPr="00E26EF6" w:rsidRDefault="004357B9">
            <w:pPr>
              <w:pStyle w:val="ListParagraph"/>
              <w:ind w:left="0"/>
              <w:rPr>
                <w:rFonts w:ascii="Times New Roman" w:hAnsi="Times New Roman"/>
                <w:sz w:val="24"/>
                <w:highlight w:val="lightGray"/>
              </w:rPr>
            </w:pPr>
            <w:r w:rsidRPr="00E26EF6">
              <w:rPr>
                <w:rFonts w:ascii="Times New Roman" w:hAnsi="Times New Roman"/>
                <w:sz w:val="24"/>
              </w:rPr>
              <w:t>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154 ust.</w:t>
            </w:r>
            <w:r w:rsidR="00023409" w:rsidRPr="00E26EF6">
              <w:rPr>
                <w:rFonts w:ascii="Times New Roman" w:hAnsi="Times New Roman"/>
                <w:sz w:val="24"/>
              </w:rPr>
              <w:t> </w:t>
            </w:r>
            <w:r w:rsidRPr="00E26EF6">
              <w:rPr>
                <w:rFonts w:ascii="Times New Roman" w:hAnsi="Times New Roman"/>
                <w:sz w:val="24"/>
              </w:rPr>
              <w:t>3 CRR, które są zabezpieczone nieruchomością</w:t>
            </w:r>
          </w:p>
        </w:tc>
      </w:tr>
      <w:tr w:rsidR="00915077" w:rsidRPr="00E26EF6" w14:paraId="739DA1B5" w14:textId="77777777" w:rsidTr="00672D2A">
        <w:tc>
          <w:tcPr>
            <w:tcW w:w="1188" w:type="dxa"/>
          </w:tcPr>
          <w:p w14:paraId="1CE167A5" w14:textId="77777777" w:rsidR="00915077" w:rsidRPr="00E26EF6" w:rsidRDefault="004357B9">
            <w:pPr>
              <w:rPr>
                <w:rFonts w:ascii="Times New Roman" w:hAnsi="Times New Roman"/>
                <w:sz w:val="24"/>
                <w:highlight w:val="lightGray"/>
              </w:rPr>
            </w:pPr>
            <w:r w:rsidRPr="00E26EF6">
              <w:rPr>
                <w:rFonts w:ascii="Times New Roman" w:hAnsi="Times New Roman"/>
                <w:sz w:val="24"/>
              </w:rPr>
              <w:t>090</w:t>
            </w:r>
          </w:p>
        </w:tc>
        <w:tc>
          <w:tcPr>
            <w:tcW w:w="8640" w:type="dxa"/>
          </w:tcPr>
          <w:p w14:paraId="0E51ED1A" w14:textId="77777777" w:rsidR="00915077" w:rsidRPr="00E26EF6" w:rsidRDefault="004357B9">
            <w:pPr>
              <w:rPr>
                <w:rFonts w:ascii="Times New Roman" w:hAnsi="Times New Roman"/>
                <w:b/>
                <w:sz w:val="24"/>
                <w:u w:val="single"/>
              </w:rPr>
            </w:pPr>
            <w:proofErr w:type="gramStart"/>
            <w:r w:rsidRPr="00E26EF6">
              <w:rPr>
                <w:rFonts w:ascii="Times New Roman" w:hAnsi="Times New Roman"/>
                <w:b/>
                <w:sz w:val="24"/>
                <w:u w:val="single"/>
              </w:rPr>
              <w:t>ekspozycje</w:t>
            </w:r>
            <w:proofErr w:type="gramEnd"/>
            <w:r w:rsidRPr="00E26EF6">
              <w:rPr>
                <w:rFonts w:ascii="Times New Roman" w:hAnsi="Times New Roman"/>
                <w:b/>
                <w:sz w:val="24"/>
                <w:u w:val="single"/>
              </w:rPr>
              <w:t xml:space="preserve"> wobec przedsiębiorstw niebędących MŚP</w:t>
            </w:r>
          </w:p>
          <w:p w14:paraId="7801AED9" w14:textId="371A18D6" w:rsidR="00915077" w:rsidRPr="00E26EF6" w:rsidRDefault="004357B9">
            <w:pPr>
              <w:pStyle w:val="ListParagraph"/>
              <w:ind w:left="0"/>
              <w:rPr>
                <w:rFonts w:ascii="Times New Roman" w:hAnsi="Times New Roman"/>
                <w:sz w:val="24"/>
                <w:highlight w:val="lightGray"/>
              </w:rPr>
            </w:pPr>
            <w:r w:rsidRPr="00E26EF6">
              <w:rPr>
                <w:rFonts w:ascii="Times New Roman" w:hAnsi="Times New Roman"/>
                <w:sz w:val="24"/>
              </w:rPr>
              <w:t>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 które są zabezpieczone nieruchomością</w:t>
            </w:r>
          </w:p>
        </w:tc>
      </w:tr>
      <w:tr w:rsidR="00915077" w:rsidRPr="00E26EF6" w14:paraId="69310AEB" w14:textId="77777777" w:rsidTr="00672D2A">
        <w:tc>
          <w:tcPr>
            <w:tcW w:w="1188" w:type="dxa"/>
          </w:tcPr>
          <w:p w14:paraId="015185BC" w14:textId="77777777" w:rsidR="00915077" w:rsidRPr="00E26EF6" w:rsidRDefault="004357B9">
            <w:pPr>
              <w:rPr>
                <w:rFonts w:ascii="Times New Roman" w:hAnsi="Times New Roman"/>
                <w:sz w:val="24"/>
                <w:highlight w:val="lightGray"/>
              </w:rPr>
            </w:pPr>
            <w:r w:rsidRPr="00E26EF6">
              <w:rPr>
                <w:rFonts w:ascii="Times New Roman" w:hAnsi="Times New Roman"/>
                <w:sz w:val="24"/>
              </w:rPr>
              <w:t>100</w:t>
            </w:r>
          </w:p>
        </w:tc>
        <w:tc>
          <w:tcPr>
            <w:tcW w:w="8640" w:type="dxa"/>
          </w:tcPr>
          <w:p w14:paraId="2F841CD8"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Kwalifikowane odnawialne ekspozycje detaliczne</w:t>
            </w:r>
          </w:p>
          <w:p w14:paraId="7A535000" w14:textId="3DBA4C2E" w:rsidR="00915077" w:rsidRPr="00E26EF6" w:rsidRDefault="003B2712">
            <w:pPr>
              <w:pStyle w:val="ListParagraph"/>
              <w:ind w:left="0"/>
              <w:rPr>
                <w:rFonts w:ascii="Times New Roman" w:hAnsi="Times New Roman"/>
                <w:sz w:val="24"/>
                <w:highlight w:val="lightGray"/>
              </w:rPr>
            </w:pPr>
            <w:r w:rsidRPr="00E26EF6">
              <w:rPr>
                <w:rFonts w:ascii="Times New Roman" w:hAnsi="Times New Roman"/>
                <w:sz w:val="24"/>
              </w:rPr>
              <w:t>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 xml:space="preserve">2 </w:t>
            </w:r>
            <w:r w:rsidRPr="00E26EF6">
              <w:rPr>
                <w:rFonts w:ascii="Times New Roman" w:hAnsi="Times New Roman"/>
                <w:bCs/>
                <w:sz w:val="24"/>
              </w:rPr>
              <w:t>lit.</w:t>
            </w:r>
            <w:r w:rsidR="00023409" w:rsidRPr="00E26EF6">
              <w:rPr>
                <w:rFonts w:ascii="Times New Roman" w:hAnsi="Times New Roman"/>
                <w:bCs/>
                <w:sz w:val="24"/>
              </w:rPr>
              <w:t> </w:t>
            </w:r>
            <w:r w:rsidRPr="00E26EF6">
              <w:rPr>
                <w:rFonts w:ascii="Times New Roman" w:hAnsi="Times New Roman"/>
                <w:bCs/>
                <w:sz w:val="24"/>
              </w:rPr>
              <w:t>d)</w:t>
            </w:r>
            <w:r w:rsidRPr="00E26EF6">
              <w:rPr>
                <w:rFonts w:ascii="Times New Roman" w:hAnsi="Times New Roman"/>
                <w:sz w:val="24"/>
              </w:rPr>
              <w:t xml:space="preserve"> CRR</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154 ust.</w:t>
            </w:r>
            <w:r w:rsidR="00023409" w:rsidRPr="00E26EF6">
              <w:rPr>
                <w:rFonts w:ascii="Times New Roman" w:hAnsi="Times New Roman"/>
                <w:sz w:val="24"/>
              </w:rPr>
              <w:t> </w:t>
            </w:r>
            <w:r w:rsidRPr="00E26EF6">
              <w:rPr>
                <w:rFonts w:ascii="Times New Roman" w:hAnsi="Times New Roman"/>
                <w:sz w:val="24"/>
              </w:rPr>
              <w:t xml:space="preserve">4 CRR </w:t>
            </w:r>
          </w:p>
        </w:tc>
      </w:tr>
      <w:tr w:rsidR="00915077" w:rsidRPr="00E26EF6" w14:paraId="310E9DF1" w14:textId="77777777" w:rsidTr="00672D2A">
        <w:tc>
          <w:tcPr>
            <w:tcW w:w="1188" w:type="dxa"/>
          </w:tcPr>
          <w:p w14:paraId="197CC5CC" w14:textId="77777777" w:rsidR="00915077" w:rsidRPr="00E26EF6" w:rsidRDefault="004357B9">
            <w:pPr>
              <w:rPr>
                <w:rFonts w:ascii="Times New Roman" w:hAnsi="Times New Roman"/>
                <w:sz w:val="24"/>
                <w:highlight w:val="lightGray"/>
              </w:rPr>
            </w:pPr>
            <w:r w:rsidRPr="00E26EF6">
              <w:rPr>
                <w:rFonts w:ascii="Times New Roman" w:hAnsi="Times New Roman"/>
                <w:sz w:val="24"/>
              </w:rPr>
              <w:t>110</w:t>
            </w:r>
          </w:p>
        </w:tc>
        <w:tc>
          <w:tcPr>
            <w:tcW w:w="8640" w:type="dxa"/>
          </w:tcPr>
          <w:p w14:paraId="62BCD037"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Inne ekspozycje detaliczne</w:t>
            </w:r>
          </w:p>
          <w:p w14:paraId="008CB529" w14:textId="709068ED" w:rsidR="00915077" w:rsidRPr="00E26EF6" w:rsidRDefault="004357B9">
            <w:pPr>
              <w:pStyle w:val="ListParagraph"/>
              <w:ind w:left="0"/>
              <w:rPr>
                <w:rFonts w:ascii="Times New Roman" w:hAnsi="Times New Roman"/>
                <w:sz w:val="24"/>
                <w:highlight w:val="lightGray"/>
              </w:rPr>
            </w:pPr>
            <w:r w:rsidRPr="00E26EF6">
              <w:rPr>
                <w:rFonts w:ascii="Times New Roman" w:hAnsi="Times New Roman"/>
                <w:sz w:val="24"/>
              </w:rPr>
              <w:t>Inne 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 których nie zgłoszono</w:t>
            </w:r>
            <w:r w:rsidR="00E26EF6" w:rsidRPr="00E26EF6">
              <w:rPr>
                <w:rFonts w:ascii="Times New Roman" w:hAnsi="Times New Roman"/>
                <w:sz w:val="24"/>
              </w:rPr>
              <w:t xml:space="preserve"> w wie</w:t>
            </w:r>
            <w:r w:rsidRPr="00E26EF6">
              <w:rPr>
                <w:rFonts w:ascii="Times New Roman" w:hAnsi="Times New Roman"/>
                <w:sz w:val="24"/>
              </w:rPr>
              <w:t>rszach 070–100</w:t>
            </w:r>
          </w:p>
        </w:tc>
      </w:tr>
      <w:tr w:rsidR="00915077" w:rsidRPr="00E26EF6" w14:paraId="03E08DFC" w14:textId="77777777" w:rsidTr="00672D2A">
        <w:tc>
          <w:tcPr>
            <w:tcW w:w="1188" w:type="dxa"/>
          </w:tcPr>
          <w:p w14:paraId="18CDFB4C" w14:textId="77777777" w:rsidR="00915077" w:rsidRPr="00E26EF6" w:rsidRDefault="004357B9">
            <w:pPr>
              <w:rPr>
                <w:rFonts w:ascii="Times New Roman" w:hAnsi="Times New Roman"/>
                <w:sz w:val="24"/>
                <w:highlight w:val="lightGray"/>
              </w:rPr>
            </w:pPr>
            <w:r w:rsidRPr="00E26EF6">
              <w:rPr>
                <w:rFonts w:ascii="Times New Roman" w:hAnsi="Times New Roman"/>
                <w:sz w:val="24"/>
              </w:rPr>
              <w:t>120</w:t>
            </w:r>
          </w:p>
        </w:tc>
        <w:tc>
          <w:tcPr>
            <w:tcW w:w="8640" w:type="dxa"/>
          </w:tcPr>
          <w:p w14:paraId="312E624C" w14:textId="77777777" w:rsidR="00915077" w:rsidRPr="00E26EF6" w:rsidRDefault="004357B9">
            <w:pPr>
              <w:rPr>
                <w:rFonts w:ascii="Times New Roman" w:hAnsi="Times New Roman"/>
                <w:b/>
                <w:sz w:val="24"/>
                <w:u w:val="single"/>
              </w:rPr>
            </w:pPr>
            <w:proofErr w:type="gramStart"/>
            <w:r w:rsidRPr="00E26EF6">
              <w:rPr>
                <w:rFonts w:ascii="Times New Roman" w:hAnsi="Times New Roman"/>
                <w:b/>
                <w:sz w:val="24"/>
                <w:u w:val="single"/>
              </w:rPr>
              <w:t>ekspozycje</w:t>
            </w:r>
            <w:proofErr w:type="gramEnd"/>
            <w:r w:rsidRPr="00E26EF6">
              <w:rPr>
                <w:rFonts w:ascii="Times New Roman" w:hAnsi="Times New Roman"/>
                <w:b/>
                <w:sz w:val="24"/>
                <w:u w:val="single"/>
              </w:rPr>
              <w:t xml:space="preserve"> wobec MŚP</w:t>
            </w:r>
          </w:p>
          <w:p w14:paraId="5B7DCAF9" w14:textId="5E28D162" w:rsidR="00915077" w:rsidRPr="00E26EF6" w:rsidRDefault="004357B9">
            <w:pPr>
              <w:pStyle w:val="ListParagraph"/>
              <w:ind w:left="0"/>
              <w:rPr>
                <w:rFonts w:ascii="Times New Roman" w:hAnsi="Times New Roman"/>
                <w:sz w:val="24"/>
                <w:highlight w:val="lightGray"/>
              </w:rPr>
            </w:pPr>
            <w:r w:rsidRPr="00E26EF6">
              <w:rPr>
                <w:rFonts w:ascii="Times New Roman" w:hAnsi="Times New Roman"/>
                <w:sz w:val="24"/>
              </w:rPr>
              <w:t>Inne 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 wobec MŚP</w:t>
            </w:r>
          </w:p>
        </w:tc>
      </w:tr>
      <w:tr w:rsidR="00915077" w:rsidRPr="00E26EF6" w14:paraId="46163273" w14:textId="77777777" w:rsidTr="00672D2A">
        <w:tc>
          <w:tcPr>
            <w:tcW w:w="1188" w:type="dxa"/>
          </w:tcPr>
          <w:p w14:paraId="58B3BE55" w14:textId="77777777" w:rsidR="00915077" w:rsidRPr="00E26EF6" w:rsidRDefault="004357B9">
            <w:pPr>
              <w:rPr>
                <w:rFonts w:ascii="Times New Roman" w:hAnsi="Times New Roman"/>
                <w:sz w:val="24"/>
                <w:highlight w:val="lightGray"/>
              </w:rPr>
            </w:pPr>
            <w:r w:rsidRPr="00E26EF6">
              <w:rPr>
                <w:rFonts w:ascii="Times New Roman" w:hAnsi="Times New Roman"/>
                <w:sz w:val="24"/>
              </w:rPr>
              <w:t>130</w:t>
            </w:r>
          </w:p>
        </w:tc>
        <w:tc>
          <w:tcPr>
            <w:tcW w:w="8640" w:type="dxa"/>
          </w:tcPr>
          <w:p w14:paraId="0299AF28" w14:textId="77777777" w:rsidR="00915077" w:rsidRPr="00E26EF6" w:rsidRDefault="004357B9">
            <w:pPr>
              <w:rPr>
                <w:rFonts w:ascii="Times New Roman" w:hAnsi="Times New Roman"/>
                <w:b/>
                <w:sz w:val="24"/>
                <w:u w:val="single"/>
              </w:rPr>
            </w:pPr>
            <w:proofErr w:type="gramStart"/>
            <w:r w:rsidRPr="00E26EF6">
              <w:rPr>
                <w:rFonts w:ascii="Times New Roman" w:hAnsi="Times New Roman"/>
                <w:b/>
                <w:sz w:val="24"/>
                <w:u w:val="single"/>
              </w:rPr>
              <w:t>ekspozycje</w:t>
            </w:r>
            <w:proofErr w:type="gramEnd"/>
            <w:r w:rsidRPr="00E26EF6">
              <w:rPr>
                <w:rFonts w:ascii="Times New Roman" w:hAnsi="Times New Roman"/>
                <w:b/>
                <w:sz w:val="24"/>
                <w:u w:val="single"/>
              </w:rPr>
              <w:t xml:space="preserve"> wobec przedsiębiorstw niebędących MŚP</w:t>
            </w:r>
          </w:p>
          <w:p w14:paraId="5CE130B3" w14:textId="4D9E1DDE" w:rsidR="00915077" w:rsidRPr="00E26EF6" w:rsidRDefault="004357B9">
            <w:pPr>
              <w:rPr>
                <w:rFonts w:ascii="Times New Roman" w:hAnsi="Times New Roman"/>
                <w:sz w:val="24"/>
                <w:highlight w:val="lightGray"/>
              </w:rPr>
            </w:pPr>
            <w:r w:rsidRPr="00E26EF6">
              <w:rPr>
                <w:rFonts w:ascii="Times New Roman" w:hAnsi="Times New Roman"/>
                <w:sz w:val="24"/>
              </w:rPr>
              <w:t>Inne ekspozycje detaliczne,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d) CRR wobec przedsiębiorstw niebędących MŚP</w:t>
            </w:r>
          </w:p>
        </w:tc>
      </w:tr>
      <w:tr w:rsidR="00915077" w:rsidRPr="00E26EF6"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915077" w:rsidRPr="00E26EF6" w:rsidRDefault="004357B9">
            <w:pPr>
              <w:rPr>
                <w:rFonts w:ascii="Times New Roman" w:hAnsi="Times New Roman"/>
                <w:sz w:val="24"/>
                <w:highlight w:val="lightGray"/>
              </w:rPr>
            </w:pPr>
            <w:r w:rsidRPr="00E26EF6">
              <w:rPr>
                <w:rFonts w:ascii="Times New Roman" w:hAnsi="Times New Roman"/>
                <w:sz w:val="24"/>
              </w:rPr>
              <w:lastRenderedPageBreak/>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915077" w:rsidRPr="00E26EF6" w:rsidRDefault="004357B9">
            <w:pPr>
              <w:rPr>
                <w:rFonts w:ascii="Times New Roman" w:hAnsi="Times New Roman"/>
                <w:b/>
                <w:sz w:val="24"/>
                <w:u w:val="single"/>
              </w:rPr>
            </w:pPr>
            <w:r w:rsidRPr="00E26EF6">
              <w:rPr>
                <w:rFonts w:ascii="Times New Roman" w:hAnsi="Times New Roman"/>
                <w:b/>
                <w:sz w:val="24"/>
                <w:u w:val="single"/>
              </w:rPr>
              <w:t>Ekspozycje kapitałowe</w:t>
            </w:r>
          </w:p>
          <w:p w14:paraId="226E72C5" w14:textId="50834422" w:rsidR="00915077" w:rsidRPr="00E26EF6" w:rsidRDefault="004357B9">
            <w:pPr>
              <w:rPr>
                <w:rFonts w:ascii="Times New Roman" w:hAnsi="Times New Roman"/>
                <w:b/>
                <w:sz w:val="24"/>
                <w:highlight w:val="lightGray"/>
                <w:u w:val="single"/>
              </w:rPr>
            </w:pPr>
            <w:r w:rsidRPr="00E26EF6">
              <w:rPr>
                <w:rFonts w:ascii="Times New Roman" w:hAnsi="Times New Roman"/>
                <w:sz w:val="24"/>
              </w:rPr>
              <w:t>Ekspozycje kapitałowe,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e) CRR</w:t>
            </w:r>
          </w:p>
        </w:tc>
      </w:tr>
      <w:tr w:rsidR="00915077" w:rsidRPr="00E26EF6"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915077" w:rsidRPr="00E26EF6" w:rsidRDefault="007A49AC">
            <w:pPr>
              <w:rPr>
                <w:rFonts w:ascii="Times New Roman" w:hAnsi="Times New Roman"/>
                <w:sz w:val="24"/>
                <w:highlight w:val="lightGray"/>
              </w:rPr>
            </w:pPr>
            <w:r w:rsidRPr="00E26EF6">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915077" w:rsidRPr="00E26EF6" w:rsidRDefault="007A49AC">
            <w:pPr>
              <w:rPr>
                <w:rFonts w:ascii="Times New Roman" w:hAnsi="Times New Roman"/>
                <w:b/>
                <w:sz w:val="24"/>
                <w:u w:val="single"/>
              </w:rPr>
            </w:pPr>
            <w:r w:rsidRPr="00E26EF6">
              <w:rPr>
                <w:rFonts w:ascii="Times New Roman" w:hAnsi="Times New Roman"/>
                <w:b/>
                <w:sz w:val="24"/>
                <w:u w:val="single"/>
              </w:rPr>
              <w:t>Ekspozycje całkowite</w:t>
            </w:r>
          </w:p>
        </w:tc>
      </w:tr>
    </w:tbl>
    <w:p w14:paraId="2736D670" w14:textId="77777777" w:rsidR="00915077" w:rsidRPr="00E26EF6" w:rsidRDefault="00915077">
      <w:pPr>
        <w:spacing w:before="0" w:after="200" w:line="312" w:lineRule="auto"/>
        <w:jc w:val="left"/>
        <w:rPr>
          <w:rFonts w:ascii="Times New Roman" w:hAnsi="Times New Roman"/>
          <w:sz w:val="24"/>
        </w:rPr>
      </w:pPr>
    </w:p>
    <w:p w14:paraId="7DCD41BA"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53" w:name="_Toc31014351"/>
      <w:r w:rsidRPr="00E26EF6">
        <w:rPr>
          <w:rFonts w:ascii="Times New Roman" w:hAnsi="Times New Roman"/>
          <w:sz w:val="24"/>
          <w:u w:val="none"/>
        </w:rPr>
        <w:t>3.4.3.</w:t>
      </w:r>
      <w:r w:rsidRPr="00E26EF6">
        <w:rPr>
          <w:rFonts w:ascii="Times New Roman" w:hAnsi="Times New Roman"/>
          <w:sz w:val="24"/>
          <w:u w:val="none"/>
        </w:rPr>
        <w:tab/>
      </w:r>
      <w:r w:rsidRPr="00E26EF6">
        <w:rPr>
          <w:rFonts w:ascii="Times New Roman" w:hAnsi="Times New Roman"/>
          <w:sz w:val="24"/>
        </w:rPr>
        <w:t>Tabela 09.04 – Podział ekspozycji kredytowych istotnych do celów obliczania bufora antycyklicznego według państw oraz specyficznego dla instytucji wskaźnika bufora antycyklicznego (CCB)</w:t>
      </w:r>
      <w:bookmarkEnd w:id="53"/>
    </w:p>
    <w:p w14:paraId="465F81DE"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54" w:name="_Toc31014352"/>
      <w:r w:rsidRPr="00E26EF6">
        <w:rPr>
          <w:rFonts w:ascii="Times New Roman" w:hAnsi="Times New Roman"/>
          <w:sz w:val="24"/>
          <w:u w:val="none"/>
        </w:rPr>
        <w:t>3.4.3.1.</w:t>
      </w:r>
      <w:r w:rsidRPr="00E26EF6">
        <w:rPr>
          <w:rFonts w:ascii="Times New Roman" w:hAnsi="Times New Roman"/>
          <w:sz w:val="24"/>
          <w:u w:val="none"/>
        </w:rPr>
        <w:tab/>
      </w:r>
      <w:r w:rsidRPr="00E26EF6">
        <w:rPr>
          <w:rFonts w:ascii="Times New Roman" w:hAnsi="Times New Roman"/>
          <w:sz w:val="24"/>
        </w:rPr>
        <w:t>Uwagi ogólne</w:t>
      </w:r>
      <w:bookmarkEnd w:id="54"/>
    </w:p>
    <w:p w14:paraId="590600E2" w14:textId="258B4592" w:rsidR="00915077" w:rsidRPr="00E26EF6" w:rsidRDefault="00125707">
      <w:pPr>
        <w:pStyle w:val="InstructionsText2"/>
        <w:numPr>
          <w:ilvl w:val="0"/>
          <w:numId w:val="0"/>
        </w:numPr>
        <w:ind w:left="993"/>
      </w:pPr>
      <w:r w:rsidRPr="00E26EF6">
        <w:t>82.</w:t>
      </w:r>
      <w:r w:rsidRPr="00E26EF6">
        <w:tab/>
        <w:t>Wzór ten służy uzyskaniu większej ilości informacji dotyczących składników specyficznego dla instytucji bufora antycyklicznego. Żądane informacje dotyczą wymogów</w:t>
      </w:r>
      <w:r w:rsidR="00E26EF6" w:rsidRPr="00E26EF6">
        <w:t xml:space="preserve"> w zak</w:t>
      </w:r>
      <w:r w:rsidRPr="00E26EF6">
        <w:t>resie funduszy własnych określonych zgodnie</w:t>
      </w:r>
      <w:r w:rsidR="00E26EF6" w:rsidRPr="00E26EF6">
        <w:t xml:space="preserve"> z czę</w:t>
      </w:r>
      <w:r w:rsidRPr="00E26EF6">
        <w:t>ścią trzecią, tytuł II i IV CRR oraz lokalizacji geograficznej ekspozycji kredytowych, ekspozycji</w:t>
      </w:r>
      <w:r w:rsidR="00E26EF6" w:rsidRPr="00E26EF6">
        <w:t xml:space="preserve"> z tyt</w:t>
      </w:r>
      <w:r w:rsidRPr="00E26EF6">
        <w:t>ułu sekurytyzacji oraz ekspozycji zaliczanych do portfela handlowego istotnych do celów obliczania specyficznego dla instytucji bufora antycyklicznego zgodnie</w:t>
      </w:r>
      <w:r w:rsidR="00E26EF6" w:rsidRPr="00E26EF6">
        <w:t xml:space="preserve"> z art</w:t>
      </w:r>
      <w:r w:rsidRPr="00E26EF6">
        <w:t>.</w:t>
      </w:r>
      <w:r w:rsidR="00023409" w:rsidRPr="00E26EF6">
        <w:t> </w:t>
      </w:r>
      <w:r w:rsidRPr="00E26EF6">
        <w:t xml:space="preserve">140 CRD (odnośne ekspozycje kredytowe). </w:t>
      </w:r>
    </w:p>
    <w:p w14:paraId="565CB2C5" w14:textId="1F36DAB7" w:rsidR="00915077" w:rsidRPr="00E26EF6" w:rsidRDefault="00125707">
      <w:pPr>
        <w:pStyle w:val="InstructionsText2"/>
        <w:numPr>
          <w:ilvl w:val="0"/>
          <w:numId w:val="0"/>
        </w:numPr>
        <w:ind w:left="993"/>
      </w:pPr>
      <w:r w:rsidRPr="00E26EF6">
        <w:t>83.</w:t>
      </w:r>
      <w:r w:rsidRPr="00E26EF6">
        <w:tab/>
        <w:t xml:space="preserve">Informacje przewidziane we wzorze C 09.04 </w:t>
      </w:r>
      <w:proofErr w:type="gramStart"/>
      <w:r w:rsidRPr="00E26EF6">
        <w:t>podaje</w:t>
      </w:r>
      <w:proofErr w:type="gramEnd"/>
      <w:r w:rsidRPr="00E26EF6">
        <w:t xml:space="preserve"> się dla odnośnych ekspozycji kredytowych „razem” dla wszystkich jurysdykcji,</w:t>
      </w:r>
      <w:r w:rsidR="00E26EF6" w:rsidRPr="00E26EF6">
        <w:t xml:space="preserve"> w któ</w:t>
      </w:r>
      <w:r w:rsidRPr="00E26EF6">
        <w:t>rych zlokalizowane są te ekspozycje, oraz indywidualnie dla każdej</w:t>
      </w:r>
      <w:r w:rsidR="00E26EF6" w:rsidRPr="00E26EF6">
        <w:t xml:space="preserve"> z jur</w:t>
      </w:r>
      <w:r w:rsidRPr="00E26EF6">
        <w:t>ysdykcji,</w:t>
      </w:r>
      <w:r w:rsidR="00E26EF6" w:rsidRPr="00E26EF6">
        <w:t xml:space="preserve"> w któ</w:t>
      </w:r>
      <w:r w:rsidRPr="00E26EF6">
        <w:t>rej zlokalizowane są odnośne ekspozycje kredytowe. Łączne dane oraz informacje</w:t>
      </w:r>
      <w:r w:rsidR="00E26EF6" w:rsidRPr="00E26EF6">
        <w:t xml:space="preserve"> o każ</w:t>
      </w:r>
      <w:r w:rsidRPr="00E26EF6">
        <w:t>dej jurysdykcji zgłasza się</w:t>
      </w:r>
      <w:r w:rsidR="00E26EF6" w:rsidRPr="00E26EF6">
        <w:t xml:space="preserve"> w oso</w:t>
      </w:r>
      <w:r w:rsidRPr="00E26EF6">
        <w:t xml:space="preserve">bnym wymiarze. </w:t>
      </w:r>
    </w:p>
    <w:p w14:paraId="3D431326" w14:textId="5BFB724A" w:rsidR="00915077" w:rsidRPr="00E26EF6" w:rsidRDefault="00125707">
      <w:pPr>
        <w:pStyle w:val="InstructionsText2"/>
        <w:numPr>
          <w:ilvl w:val="0"/>
          <w:numId w:val="0"/>
        </w:numPr>
        <w:ind w:left="993"/>
      </w:pPr>
      <w:r w:rsidRPr="00E26EF6">
        <w:t>84.</w:t>
      </w:r>
      <w:r w:rsidRPr="00E26EF6">
        <w:tab/>
        <w:t>Progu określonego</w:t>
      </w:r>
      <w:r w:rsidR="00E26EF6" w:rsidRPr="00E26EF6">
        <w:t xml:space="preserve"> w art</w:t>
      </w:r>
      <w:r w:rsidRPr="00E26EF6">
        <w:t>.</w:t>
      </w:r>
      <w:r w:rsidR="00023409" w:rsidRPr="00E26EF6">
        <w:t> </w:t>
      </w:r>
      <w:r w:rsidRPr="00E26EF6">
        <w:t>5 lit.</w:t>
      </w:r>
      <w:r w:rsidR="00023409" w:rsidRPr="00E26EF6">
        <w:t> </w:t>
      </w:r>
      <w:r w:rsidRPr="00E26EF6">
        <w:t>a) pkt</w:t>
      </w:r>
      <w:r w:rsidR="00023409" w:rsidRPr="00E26EF6">
        <w:t> </w:t>
      </w:r>
      <w:r w:rsidRPr="00E26EF6">
        <w:t>4 rozporządzenia wykonawczego nie stosuje się przy zgłaszaniu tego podziału.</w:t>
      </w:r>
    </w:p>
    <w:p w14:paraId="51425BA4" w14:textId="6B25B9B3" w:rsidR="00915077" w:rsidRPr="00E26EF6" w:rsidRDefault="00125707">
      <w:pPr>
        <w:pStyle w:val="InstructionsText2"/>
        <w:numPr>
          <w:ilvl w:val="0"/>
          <w:numId w:val="0"/>
        </w:numPr>
        <w:ind w:left="993"/>
      </w:pPr>
      <w:r w:rsidRPr="00E26EF6">
        <w:t>85.</w:t>
      </w:r>
      <w:r w:rsidRPr="00E26EF6">
        <w:tab/>
        <w:t>W celu określenia lokalizacji geograficznej ekspozycje przypisuje się do lokalizacji bezpośredniego dłużnika zgodnie</w:t>
      </w:r>
      <w:r w:rsidR="00E26EF6" w:rsidRPr="00E26EF6">
        <w:t xml:space="preserve"> z roz</w:t>
      </w:r>
      <w:r w:rsidRPr="00E26EF6">
        <w:t>porządzeniem delegowanym Komisji (UE) nr</w:t>
      </w:r>
      <w:r w:rsidR="00023409" w:rsidRPr="00E26EF6">
        <w:t> </w:t>
      </w:r>
      <w:r w:rsidRPr="00E26EF6">
        <w:t>1152/2014</w:t>
      </w:r>
      <w:r w:rsidRPr="00E26EF6">
        <w:rPr>
          <w:rStyle w:val="FootnoteReference"/>
          <w:rFonts w:ascii="Times New Roman" w:hAnsi="Times New Roman"/>
          <w:sz w:val="24"/>
          <w:szCs w:val="24"/>
          <w:vertAlign w:val="superscript"/>
        </w:rPr>
        <w:footnoteReference w:id="11"/>
      </w:r>
      <w:r w:rsidRPr="00E26EF6">
        <w:t>. Techniki ograniczenia ryzyka kredytowego nie prowadzą zatem do zmiany przypisania ekspozycji do jej lokalizacji geograficznej do celów zgłoszenia informacji określonych</w:t>
      </w:r>
      <w:r w:rsidR="00E26EF6" w:rsidRPr="00E26EF6">
        <w:t xml:space="preserve"> w nin</w:t>
      </w:r>
      <w:r w:rsidRPr="00E26EF6">
        <w:t>iejszym wzorze.</w:t>
      </w:r>
    </w:p>
    <w:p w14:paraId="79C27D50"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55" w:name="_Toc31014353"/>
      <w:r w:rsidRPr="00E26EF6">
        <w:rPr>
          <w:rFonts w:ascii="Times New Roman" w:hAnsi="Times New Roman"/>
          <w:sz w:val="24"/>
          <w:u w:val="none"/>
        </w:rPr>
        <w:t>3.4.3.2.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5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15077" w:rsidRPr="00E26EF6" w14:paraId="5FF7C3DD" w14:textId="77777777" w:rsidTr="00672D2A">
        <w:tc>
          <w:tcPr>
            <w:tcW w:w="1697" w:type="dxa"/>
            <w:shd w:val="clear" w:color="auto" w:fill="CCCCCC"/>
          </w:tcPr>
          <w:p w14:paraId="354E64FE" w14:textId="77777777" w:rsidR="00915077" w:rsidRPr="00E26EF6" w:rsidRDefault="00154859">
            <w:pPr>
              <w:rPr>
                <w:rFonts w:ascii="Times New Roman" w:hAnsi="Times New Roman"/>
                <w:b/>
                <w:sz w:val="24"/>
              </w:rPr>
            </w:pPr>
            <w:r w:rsidRPr="00E26EF6">
              <w:rPr>
                <w:rFonts w:ascii="Times New Roman" w:hAnsi="Times New Roman"/>
                <w:b/>
                <w:sz w:val="24"/>
              </w:rPr>
              <w:t>Kolumny</w:t>
            </w:r>
          </w:p>
        </w:tc>
        <w:tc>
          <w:tcPr>
            <w:tcW w:w="8131" w:type="dxa"/>
            <w:shd w:val="clear" w:color="auto" w:fill="CCCCCC"/>
          </w:tcPr>
          <w:p w14:paraId="1B8532BA" w14:textId="77777777" w:rsidR="00915077" w:rsidRPr="00E26EF6" w:rsidRDefault="00915077">
            <w:pPr>
              <w:ind w:left="72"/>
              <w:rPr>
                <w:rFonts w:ascii="Times New Roman" w:hAnsi="Times New Roman"/>
                <w:sz w:val="24"/>
                <w:highlight w:val="lightGray"/>
              </w:rPr>
            </w:pPr>
          </w:p>
        </w:tc>
      </w:tr>
      <w:tr w:rsidR="00915077" w:rsidRPr="00E26EF6" w14:paraId="49520813" w14:textId="77777777" w:rsidTr="00672D2A">
        <w:tc>
          <w:tcPr>
            <w:tcW w:w="1697" w:type="dxa"/>
          </w:tcPr>
          <w:p w14:paraId="3F21DB43" w14:textId="77777777" w:rsidR="00915077" w:rsidRPr="00E26EF6" w:rsidRDefault="00154859">
            <w:pPr>
              <w:rPr>
                <w:rStyle w:val="InstructionsTabelleText"/>
                <w:rFonts w:ascii="Times New Roman" w:hAnsi="Times New Roman"/>
                <w:sz w:val="24"/>
                <w:highlight w:val="lightGray"/>
              </w:rPr>
            </w:pPr>
            <w:r w:rsidRPr="00E26EF6">
              <w:rPr>
                <w:rFonts w:ascii="Times New Roman" w:hAnsi="Times New Roman"/>
                <w:sz w:val="24"/>
              </w:rPr>
              <w:t>010</w:t>
            </w:r>
          </w:p>
        </w:tc>
        <w:tc>
          <w:tcPr>
            <w:tcW w:w="8131" w:type="dxa"/>
          </w:tcPr>
          <w:p w14:paraId="10E57B59" w14:textId="77777777" w:rsidR="00915077" w:rsidRPr="00E26EF6" w:rsidRDefault="00154859">
            <w:pPr>
              <w:rPr>
                <w:rFonts w:ascii="Times New Roman" w:hAnsi="Times New Roman"/>
                <w:b/>
                <w:bCs/>
                <w:sz w:val="24"/>
                <w:u w:val="single"/>
              </w:rPr>
            </w:pPr>
            <w:r w:rsidRPr="00E26EF6">
              <w:rPr>
                <w:rFonts w:ascii="Times New Roman" w:hAnsi="Times New Roman"/>
                <w:b/>
                <w:bCs/>
                <w:sz w:val="24"/>
                <w:u w:val="single"/>
              </w:rPr>
              <w:t>Kwota</w:t>
            </w:r>
          </w:p>
          <w:p w14:paraId="4EB9CF49" w14:textId="32229A41" w:rsidR="00915077" w:rsidRPr="00E26EF6" w:rsidRDefault="006E3440">
            <w:pPr>
              <w:rPr>
                <w:rFonts w:ascii="Times New Roman" w:hAnsi="Times New Roman"/>
                <w:b/>
                <w:sz w:val="24"/>
                <w:highlight w:val="lightGray"/>
                <w:u w:val="single"/>
              </w:rPr>
            </w:pPr>
            <w:r w:rsidRPr="00E26EF6">
              <w:rPr>
                <w:rFonts w:ascii="Times New Roman" w:hAnsi="Times New Roman"/>
                <w:bCs/>
                <w:sz w:val="24"/>
              </w:rPr>
              <w:t>Wartość odnośnych ekspozycji kredytowych oraz związanych</w:t>
            </w:r>
            <w:r w:rsidR="00E26EF6" w:rsidRPr="00E26EF6">
              <w:rPr>
                <w:rFonts w:ascii="Times New Roman" w:hAnsi="Times New Roman"/>
                <w:bCs/>
                <w:sz w:val="24"/>
              </w:rPr>
              <w:t xml:space="preserve"> z nim</w:t>
            </w:r>
            <w:r w:rsidRPr="00E26EF6">
              <w:rPr>
                <w:rFonts w:ascii="Times New Roman" w:hAnsi="Times New Roman"/>
                <w:bCs/>
                <w:sz w:val="24"/>
              </w:rPr>
              <w:t>i wymogów</w:t>
            </w:r>
            <w:r w:rsidR="00E26EF6" w:rsidRPr="00E26EF6">
              <w:rPr>
                <w:rFonts w:ascii="Times New Roman" w:hAnsi="Times New Roman"/>
                <w:bCs/>
                <w:sz w:val="24"/>
              </w:rPr>
              <w:t xml:space="preserve"> w zak</w:t>
            </w:r>
            <w:r w:rsidRPr="00E26EF6">
              <w:rPr>
                <w:rFonts w:ascii="Times New Roman" w:hAnsi="Times New Roman"/>
                <w:bCs/>
                <w:sz w:val="24"/>
              </w:rPr>
              <w:t>resie funduszy własnych, określona zgodnie</w:t>
            </w:r>
            <w:r w:rsidR="00E26EF6" w:rsidRPr="00E26EF6">
              <w:rPr>
                <w:rFonts w:ascii="Times New Roman" w:hAnsi="Times New Roman"/>
                <w:bCs/>
                <w:sz w:val="24"/>
              </w:rPr>
              <w:t xml:space="preserve"> z ins</w:t>
            </w:r>
            <w:r w:rsidRPr="00E26EF6">
              <w:rPr>
                <w:rFonts w:ascii="Times New Roman" w:hAnsi="Times New Roman"/>
                <w:bCs/>
                <w:sz w:val="24"/>
              </w:rPr>
              <w:t>trukcjami dla danego wiersza.</w:t>
            </w:r>
          </w:p>
        </w:tc>
      </w:tr>
      <w:tr w:rsidR="00915077" w:rsidRPr="00E26EF6" w14:paraId="268C7893" w14:textId="77777777" w:rsidTr="00672D2A">
        <w:tc>
          <w:tcPr>
            <w:tcW w:w="1697" w:type="dxa"/>
          </w:tcPr>
          <w:p w14:paraId="6B0C9199" w14:textId="77777777" w:rsidR="00915077" w:rsidRPr="00E26EF6" w:rsidRDefault="00154859">
            <w:pPr>
              <w:rPr>
                <w:sz w:val="24"/>
                <w:highlight w:val="lightGray"/>
              </w:rPr>
            </w:pPr>
            <w:r w:rsidRPr="00E26EF6">
              <w:rPr>
                <w:rFonts w:ascii="Times New Roman" w:hAnsi="Times New Roman"/>
                <w:sz w:val="24"/>
              </w:rPr>
              <w:t>020</w:t>
            </w:r>
          </w:p>
        </w:tc>
        <w:tc>
          <w:tcPr>
            <w:tcW w:w="8131" w:type="dxa"/>
          </w:tcPr>
          <w:p w14:paraId="5C3A8C79" w14:textId="77777777" w:rsidR="00915077" w:rsidRPr="00E26EF6" w:rsidRDefault="00154859">
            <w:pPr>
              <w:rPr>
                <w:rFonts w:ascii="Times New Roman" w:hAnsi="Times New Roman"/>
                <w:b/>
                <w:bCs/>
                <w:sz w:val="24"/>
                <w:u w:val="single"/>
              </w:rPr>
            </w:pPr>
            <w:r w:rsidRPr="00E26EF6">
              <w:rPr>
                <w:rFonts w:ascii="Times New Roman" w:hAnsi="Times New Roman"/>
                <w:b/>
                <w:bCs/>
                <w:sz w:val="24"/>
                <w:u w:val="single"/>
              </w:rPr>
              <w:t>Ujęcie procentowe</w:t>
            </w:r>
          </w:p>
          <w:p w14:paraId="4D2BDB64" w14:textId="77777777" w:rsidR="00915077" w:rsidRPr="00E26EF6" w:rsidRDefault="00915077">
            <w:pPr>
              <w:rPr>
                <w:rFonts w:ascii="Times New Roman" w:hAnsi="Times New Roman"/>
                <w:b/>
                <w:bCs/>
                <w:sz w:val="24"/>
                <w:highlight w:val="lightGray"/>
                <w:u w:val="single"/>
              </w:rPr>
            </w:pPr>
          </w:p>
        </w:tc>
      </w:tr>
      <w:tr w:rsidR="00915077" w:rsidRPr="00E26EF6" w14:paraId="1550E296" w14:textId="77777777" w:rsidTr="00672D2A">
        <w:tc>
          <w:tcPr>
            <w:tcW w:w="1697" w:type="dxa"/>
          </w:tcPr>
          <w:p w14:paraId="75FA72CB" w14:textId="77777777" w:rsidR="00915077" w:rsidRPr="00E26EF6" w:rsidRDefault="00154859">
            <w:pPr>
              <w:rPr>
                <w:rFonts w:ascii="Times New Roman" w:hAnsi="Times New Roman"/>
                <w:sz w:val="24"/>
                <w:highlight w:val="lightGray"/>
              </w:rPr>
            </w:pPr>
            <w:r w:rsidRPr="00E26EF6">
              <w:rPr>
                <w:rFonts w:ascii="Times New Roman" w:hAnsi="Times New Roman"/>
                <w:sz w:val="24"/>
              </w:rPr>
              <w:t>030</w:t>
            </w:r>
          </w:p>
        </w:tc>
        <w:tc>
          <w:tcPr>
            <w:tcW w:w="8131" w:type="dxa"/>
          </w:tcPr>
          <w:p w14:paraId="2412DC52" w14:textId="77777777" w:rsidR="00915077" w:rsidRPr="00E26EF6" w:rsidRDefault="00187348">
            <w:pPr>
              <w:autoSpaceDE w:val="0"/>
              <w:autoSpaceDN w:val="0"/>
              <w:adjustRightInd w:val="0"/>
              <w:rPr>
                <w:rFonts w:ascii="Times New Roman" w:hAnsi="Times New Roman"/>
                <w:b/>
                <w:bCs/>
                <w:sz w:val="24"/>
                <w:u w:val="single"/>
              </w:rPr>
            </w:pPr>
            <w:r w:rsidRPr="00E26EF6">
              <w:rPr>
                <w:rFonts w:ascii="Times New Roman" w:hAnsi="Times New Roman"/>
                <w:b/>
                <w:bCs/>
                <w:sz w:val="24"/>
                <w:u w:val="single"/>
              </w:rPr>
              <w:t>Informacje jakościowe</w:t>
            </w:r>
          </w:p>
          <w:p w14:paraId="029AF1F6" w14:textId="28E6A7D3" w:rsidR="00915077" w:rsidRPr="00E26EF6" w:rsidRDefault="00CA270D">
            <w:pPr>
              <w:autoSpaceDE w:val="0"/>
              <w:autoSpaceDN w:val="0"/>
              <w:adjustRightInd w:val="0"/>
              <w:rPr>
                <w:rFonts w:ascii="Times New Roman" w:hAnsi="Times New Roman"/>
                <w:sz w:val="24"/>
              </w:rPr>
            </w:pPr>
            <w:r w:rsidRPr="00E26EF6">
              <w:rPr>
                <w:rFonts w:ascii="Times New Roman" w:hAnsi="Times New Roman"/>
                <w:sz w:val="24"/>
              </w:rPr>
              <w:lastRenderedPageBreak/>
              <w:t>Informacje te zgłasza się wyłącznie</w:t>
            </w:r>
            <w:r w:rsidR="00E26EF6" w:rsidRPr="00E26EF6">
              <w:rPr>
                <w:rFonts w:ascii="Times New Roman" w:hAnsi="Times New Roman"/>
                <w:sz w:val="24"/>
              </w:rPr>
              <w:t xml:space="preserve"> w odn</w:t>
            </w:r>
            <w:r w:rsidRPr="00E26EF6">
              <w:rPr>
                <w:rFonts w:ascii="Times New Roman" w:hAnsi="Times New Roman"/>
                <w:sz w:val="24"/>
              </w:rPr>
              <w:t xml:space="preserve">iesieniu do państwa siedziby instytucji (jurysdykcji odpowiadającej państwu członkowskiemu jej pochodzenia) oraz „razem” dla wszystkich państw. </w:t>
            </w:r>
          </w:p>
          <w:p w14:paraId="0D411860" w14:textId="42E6AA44" w:rsidR="00915077" w:rsidRPr="00E26EF6" w:rsidRDefault="00514783">
            <w:pPr>
              <w:autoSpaceDE w:val="0"/>
              <w:autoSpaceDN w:val="0"/>
              <w:adjustRightInd w:val="0"/>
              <w:rPr>
                <w:rFonts w:ascii="Times New Roman" w:hAnsi="Times New Roman"/>
                <w:b/>
                <w:bCs/>
                <w:sz w:val="24"/>
                <w:u w:val="single"/>
              </w:rPr>
            </w:pPr>
            <w:r w:rsidRPr="00E26EF6">
              <w:rPr>
                <w:rFonts w:ascii="Times New Roman" w:hAnsi="Times New Roman"/>
                <w:sz w:val="24"/>
              </w:rPr>
              <w:t>Instytucje zgłaszają {y} albo {n} zgodnie</w:t>
            </w:r>
            <w:r w:rsidR="00E26EF6" w:rsidRPr="00E26EF6">
              <w:rPr>
                <w:rFonts w:ascii="Times New Roman" w:hAnsi="Times New Roman"/>
                <w:sz w:val="24"/>
              </w:rPr>
              <w:t xml:space="preserve"> z ins</w:t>
            </w:r>
            <w:r w:rsidRPr="00E26EF6">
              <w:rPr>
                <w:rFonts w:ascii="Times New Roman" w:hAnsi="Times New Roman"/>
                <w:sz w:val="24"/>
              </w:rPr>
              <w:t>trukcjami dla danego wiersza.</w:t>
            </w:r>
          </w:p>
        </w:tc>
      </w:tr>
    </w:tbl>
    <w:p w14:paraId="5B115871" w14:textId="77777777" w:rsidR="00915077" w:rsidRPr="00E26EF6" w:rsidRDefault="00915077">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15077" w:rsidRPr="00E26EF6" w14:paraId="221B0333" w14:textId="77777777" w:rsidTr="00672D2A">
        <w:tc>
          <w:tcPr>
            <w:tcW w:w="1697" w:type="dxa"/>
            <w:shd w:val="clear" w:color="auto" w:fill="CCCCCC"/>
          </w:tcPr>
          <w:p w14:paraId="437ACE57" w14:textId="77777777" w:rsidR="00915077" w:rsidRPr="00E26EF6" w:rsidRDefault="00BD5485">
            <w:pPr>
              <w:rPr>
                <w:rFonts w:ascii="Times New Roman" w:hAnsi="Times New Roman"/>
                <w:b/>
                <w:sz w:val="24"/>
              </w:rPr>
            </w:pPr>
            <w:r w:rsidRPr="00E26EF6">
              <w:rPr>
                <w:rFonts w:ascii="Times New Roman" w:hAnsi="Times New Roman"/>
                <w:b/>
                <w:sz w:val="24"/>
              </w:rPr>
              <w:t>Wiersze</w:t>
            </w:r>
          </w:p>
        </w:tc>
        <w:tc>
          <w:tcPr>
            <w:tcW w:w="8131" w:type="dxa"/>
            <w:shd w:val="clear" w:color="auto" w:fill="CCCCCC"/>
          </w:tcPr>
          <w:p w14:paraId="594AB552" w14:textId="77777777" w:rsidR="00915077" w:rsidRPr="00E26EF6" w:rsidRDefault="00915077">
            <w:pPr>
              <w:ind w:left="72"/>
              <w:rPr>
                <w:rFonts w:ascii="Times New Roman" w:hAnsi="Times New Roman"/>
                <w:sz w:val="24"/>
                <w:highlight w:val="lightGray"/>
              </w:rPr>
            </w:pPr>
          </w:p>
        </w:tc>
      </w:tr>
      <w:tr w:rsidR="00915077" w:rsidRPr="00E26EF6" w14:paraId="573D073A" w14:textId="77777777" w:rsidTr="00672D2A">
        <w:tc>
          <w:tcPr>
            <w:tcW w:w="1697" w:type="dxa"/>
          </w:tcPr>
          <w:p w14:paraId="01569166" w14:textId="77777777" w:rsidR="00915077" w:rsidRPr="00E26EF6" w:rsidRDefault="00BD5485">
            <w:pPr>
              <w:rPr>
                <w:rStyle w:val="InstructionsTabelleText"/>
                <w:rFonts w:ascii="Times New Roman" w:hAnsi="Times New Roman"/>
                <w:sz w:val="24"/>
                <w:highlight w:val="lightGray"/>
              </w:rPr>
            </w:pPr>
            <w:r w:rsidRPr="00E26EF6">
              <w:rPr>
                <w:rFonts w:ascii="Times New Roman" w:hAnsi="Times New Roman"/>
                <w:sz w:val="24"/>
              </w:rPr>
              <w:t>010–020</w:t>
            </w:r>
          </w:p>
        </w:tc>
        <w:tc>
          <w:tcPr>
            <w:tcW w:w="8131" w:type="dxa"/>
          </w:tcPr>
          <w:p w14:paraId="7114AFAC" w14:textId="77777777" w:rsidR="00915077" w:rsidRPr="00E26EF6" w:rsidRDefault="00BD5485">
            <w:pPr>
              <w:rPr>
                <w:rFonts w:ascii="Times New Roman" w:hAnsi="Times New Roman"/>
                <w:b/>
                <w:bCs/>
                <w:sz w:val="24"/>
                <w:u w:val="single"/>
              </w:rPr>
            </w:pPr>
            <w:r w:rsidRPr="00E26EF6">
              <w:rPr>
                <w:rFonts w:ascii="Times New Roman" w:hAnsi="Times New Roman"/>
                <w:b/>
                <w:bCs/>
                <w:sz w:val="24"/>
                <w:u w:val="single"/>
              </w:rPr>
              <w:t>Odnośne ekspozycje kredytowe – ryzyko kredytowe</w:t>
            </w:r>
          </w:p>
          <w:p w14:paraId="41A44D7A" w14:textId="1FDEE01F" w:rsidR="00915077" w:rsidRPr="00E26EF6" w:rsidRDefault="00BD5485">
            <w:pPr>
              <w:rPr>
                <w:rFonts w:ascii="Times New Roman" w:hAnsi="Times New Roman"/>
                <w:b/>
                <w:sz w:val="24"/>
                <w:highlight w:val="lightGray"/>
                <w:u w:val="single"/>
              </w:rPr>
            </w:pPr>
            <w:r w:rsidRPr="00E26EF6">
              <w:rPr>
                <w:rFonts w:ascii="Times New Roman" w:hAnsi="Times New Roman"/>
                <w:sz w:val="24"/>
              </w:rPr>
              <w:t>Odnośne ekspozycje kredytowe,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 a) CRD.</w:t>
            </w:r>
          </w:p>
        </w:tc>
      </w:tr>
      <w:tr w:rsidR="00915077" w:rsidRPr="00E26EF6" w14:paraId="25827097" w14:textId="77777777" w:rsidTr="00672D2A">
        <w:tc>
          <w:tcPr>
            <w:tcW w:w="1697" w:type="dxa"/>
          </w:tcPr>
          <w:p w14:paraId="5B4B27F7" w14:textId="77777777" w:rsidR="00915077" w:rsidRPr="00E26EF6" w:rsidRDefault="00BD5485">
            <w:pPr>
              <w:rPr>
                <w:sz w:val="24"/>
                <w:highlight w:val="lightGray"/>
              </w:rPr>
            </w:pPr>
            <w:r w:rsidRPr="00E26EF6">
              <w:rPr>
                <w:rFonts w:ascii="Times New Roman" w:hAnsi="Times New Roman"/>
                <w:sz w:val="24"/>
              </w:rPr>
              <w:t>010</w:t>
            </w:r>
          </w:p>
        </w:tc>
        <w:tc>
          <w:tcPr>
            <w:tcW w:w="8131" w:type="dxa"/>
          </w:tcPr>
          <w:p w14:paraId="6D491E25" w14:textId="77777777" w:rsidR="00915077" w:rsidRPr="00E26EF6" w:rsidRDefault="00BD5485">
            <w:pPr>
              <w:rPr>
                <w:rFonts w:ascii="Times New Roman" w:hAnsi="Times New Roman"/>
                <w:b/>
                <w:bCs/>
                <w:sz w:val="24"/>
                <w:u w:val="single"/>
              </w:rPr>
            </w:pPr>
            <w:r w:rsidRPr="00E26EF6">
              <w:rPr>
                <w:rFonts w:ascii="Times New Roman" w:hAnsi="Times New Roman"/>
                <w:b/>
                <w:bCs/>
                <w:sz w:val="24"/>
                <w:u w:val="single"/>
              </w:rPr>
              <w:t>Wartość ekspozycji według metody standardowej</w:t>
            </w:r>
          </w:p>
          <w:p w14:paraId="29167577" w14:textId="64D4CC77" w:rsidR="00915077" w:rsidRPr="00E26EF6" w:rsidRDefault="00BD5485">
            <w:pPr>
              <w:autoSpaceDE w:val="0"/>
              <w:autoSpaceDN w:val="0"/>
              <w:adjustRightInd w:val="0"/>
              <w:rPr>
                <w:rFonts w:ascii="Times New Roman" w:hAnsi="Times New Roman"/>
                <w:sz w:val="24"/>
              </w:rPr>
            </w:pPr>
            <w:r w:rsidRPr="00E26EF6">
              <w:rPr>
                <w:rFonts w:ascii="Times New Roman" w:hAnsi="Times New Roman"/>
                <w:sz w:val="24"/>
              </w:rPr>
              <w:t>Wartość ekspozycji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111 CRR dla odpowiednich ekspozycji kredytowych,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 xml:space="preserve">a) CRD. </w:t>
            </w:r>
          </w:p>
          <w:p w14:paraId="5DA5322A" w14:textId="38FE351B" w:rsidR="00915077" w:rsidRPr="00E26EF6" w:rsidRDefault="00BD5485">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Wartość ekspozycji</w:t>
            </w:r>
            <w:r w:rsidR="00E26EF6" w:rsidRPr="00E26EF6">
              <w:rPr>
                <w:rFonts w:ascii="Times New Roman" w:hAnsi="Times New Roman"/>
                <w:sz w:val="24"/>
              </w:rPr>
              <w:t xml:space="preserve"> z tyt</w:t>
            </w:r>
            <w:r w:rsidRPr="00E26EF6">
              <w:rPr>
                <w:rFonts w:ascii="Times New Roman" w:hAnsi="Times New Roman"/>
                <w:sz w:val="24"/>
              </w:rPr>
              <w:t>ułu pozycji sekurytyzacyjnych</w:t>
            </w:r>
            <w:r w:rsidR="00E26EF6" w:rsidRPr="00E26EF6">
              <w:rPr>
                <w:rFonts w:ascii="Times New Roman" w:hAnsi="Times New Roman"/>
                <w:sz w:val="24"/>
              </w:rPr>
              <w:t xml:space="preserve"> w por</w:t>
            </w:r>
            <w:r w:rsidRPr="00E26EF6">
              <w:rPr>
                <w:rFonts w:ascii="Times New Roman" w:hAnsi="Times New Roman"/>
                <w:sz w:val="24"/>
              </w:rPr>
              <w:t>tfelu bankowym wyłącza się</w:t>
            </w:r>
            <w:r w:rsidR="00E26EF6" w:rsidRPr="00E26EF6">
              <w:rPr>
                <w:rFonts w:ascii="Times New Roman" w:hAnsi="Times New Roman"/>
                <w:sz w:val="24"/>
              </w:rPr>
              <w:t xml:space="preserve"> z teg</w:t>
            </w:r>
            <w:r w:rsidRPr="00E26EF6">
              <w:rPr>
                <w:rFonts w:ascii="Times New Roman" w:hAnsi="Times New Roman"/>
                <w:sz w:val="24"/>
              </w:rPr>
              <w:t>o wiersza</w:t>
            </w:r>
            <w:r w:rsidR="00E26EF6" w:rsidRPr="00E26EF6">
              <w:rPr>
                <w:rFonts w:ascii="Times New Roman" w:hAnsi="Times New Roman"/>
                <w:sz w:val="24"/>
              </w:rPr>
              <w:t xml:space="preserve"> i zgł</w:t>
            </w:r>
            <w:r w:rsidRPr="00E26EF6">
              <w:rPr>
                <w:rFonts w:ascii="Times New Roman" w:hAnsi="Times New Roman"/>
                <w:sz w:val="24"/>
              </w:rPr>
              <w:t>asza</w:t>
            </w:r>
            <w:r w:rsidR="00E26EF6" w:rsidRPr="00E26EF6">
              <w:rPr>
                <w:rFonts w:ascii="Times New Roman" w:hAnsi="Times New Roman"/>
                <w:sz w:val="24"/>
              </w:rPr>
              <w:t xml:space="preserve"> w wie</w:t>
            </w:r>
            <w:r w:rsidRPr="00E26EF6">
              <w:rPr>
                <w:rFonts w:ascii="Times New Roman" w:hAnsi="Times New Roman"/>
                <w:sz w:val="24"/>
              </w:rPr>
              <w:t>rszu 055.</w:t>
            </w:r>
          </w:p>
        </w:tc>
      </w:tr>
      <w:tr w:rsidR="00915077" w:rsidRPr="00E26EF6" w14:paraId="4FA25E7A" w14:textId="77777777" w:rsidTr="00672D2A">
        <w:tc>
          <w:tcPr>
            <w:tcW w:w="1697" w:type="dxa"/>
          </w:tcPr>
          <w:p w14:paraId="182629F3" w14:textId="77777777" w:rsidR="00915077" w:rsidRPr="00E26EF6" w:rsidRDefault="00BD5485">
            <w:pPr>
              <w:rPr>
                <w:rFonts w:ascii="Times New Roman" w:hAnsi="Times New Roman"/>
                <w:sz w:val="24"/>
                <w:highlight w:val="lightGray"/>
              </w:rPr>
            </w:pPr>
            <w:r w:rsidRPr="00E26EF6">
              <w:rPr>
                <w:rFonts w:ascii="Times New Roman" w:hAnsi="Times New Roman"/>
                <w:sz w:val="24"/>
              </w:rPr>
              <w:t>020</w:t>
            </w:r>
          </w:p>
        </w:tc>
        <w:tc>
          <w:tcPr>
            <w:tcW w:w="8131" w:type="dxa"/>
          </w:tcPr>
          <w:p w14:paraId="0B2401A2" w14:textId="77777777" w:rsidR="00915077" w:rsidRPr="00E26EF6" w:rsidRDefault="00BD5485">
            <w:pPr>
              <w:rPr>
                <w:rFonts w:ascii="Times New Roman" w:hAnsi="Times New Roman"/>
                <w:b/>
                <w:bCs/>
                <w:sz w:val="24"/>
                <w:u w:val="single"/>
              </w:rPr>
            </w:pPr>
            <w:r w:rsidRPr="00E26EF6">
              <w:rPr>
                <w:rFonts w:ascii="Times New Roman" w:hAnsi="Times New Roman"/>
                <w:b/>
                <w:bCs/>
                <w:sz w:val="24"/>
                <w:u w:val="single"/>
              </w:rPr>
              <w:t>Wartość ekspozycji według metody IRB</w:t>
            </w:r>
          </w:p>
          <w:p w14:paraId="7F5F59B9" w14:textId="656B7091" w:rsidR="00915077" w:rsidRPr="00E26EF6" w:rsidRDefault="00BD5485">
            <w:pPr>
              <w:autoSpaceDE w:val="0"/>
              <w:autoSpaceDN w:val="0"/>
              <w:adjustRightInd w:val="0"/>
              <w:rPr>
                <w:rFonts w:ascii="Times New Roman" w:hAnsi="Times New Roman"/>
                <w:sz w:val="24"/>
              </w:rPr>
            </w:pPr>
            <w:r w:rsidRPr="00E26EF6">
              <w:rPr>
                <w:rFonts w:ascii="Times New Roman" w:hAnsi="Times New Roman"/>
                <w:sz w:val="24"/>
              </w:rPr>
              <w:t>Wartość ekspozycji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166 CRR dla odpowiednich ekspozycji kredytowych,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 xml:space="preserve">a) CRD. </w:t>
            </w:r>
          </w:p>
          <w:p w14:paraId="0801FF0E" w14:textId="2C0880ED" w:rsidR="00915077" w:rsidRPr="00E26EF6" w:rsidRDefault="00BD5485">
            <w:pPr>
              <w:rPr>
                <w:rFonts w:ascii="Times New Roman" w:hAnsi="Times New Roman"/>
                <w:b/>
                <w:bCs/>
                <w:sz w:val="24"/>
                <w:highlight w:val="lightGray"/>
                <w:u w:val="single"/>
              </w:rPr>
            </w:pPr>
            <w:r w:rsidRPr="00E26EF6">
              <w:rPr>
                <w:rFonts w:ascii="Times New Roman" w:hAnsi="Times New Roman"/>
                <w:sz w:val="24"/>
              </w:rPr>
              <w:t>Wartość ekspozycji</w:t>
            </w:r>
            <w:r w:rsidR="00E26EF6" w:rsidRPr="00E26EF6">
              <w:rPr>
                <w:rFonts w:ascii="Times New Roman" w:hAnsi="Times New Roman"/>
                <w:sz w:val="24"/>
              </w:rPr>
              <w:t xml:space="preserve"> z tyt</w:t>
            </w:r>
            <w:r w:rsidRPr="00E26EF6">
              <w:rPr>
                <w:rFonts w:ascii="Times New Roman" w:hAnsi="Times New Roman"/>
                <w:sz w:val="24"/>
              </w:rPr>
              <w:t>ułu pozycji sekurytyzacyjnych</w:t>
            </w:r>
            <w:r w:rsidR="00E26EF6" w:rsidRPr="00E26EF6">
              <w:rPr>
                <w:rFonts w:ascii="Times New Roman" w:hAnsi="Times New Roman"/>
                <w:sz w:val="24"/>
              </w:rPr>
              <w:t xml:space="preserve"> w por</w:t>
            </w:r>
            <w:r w:rsidRPr="00E26EF6">
              <w:rPr>
                <w:rFonts w:ascii="Times New Roman" w:hAnsi="Times New Roman"/>
                <w:sz w:val="24"/>
              </w:rPr>
              <w:t>tfelu bankowym wyłącza się</w:t>
            </w:r>
            <w:r w:rsidR="00E26EF6" w:rsidRPr="00E26EF6">
              <w:rPr>
                <w:rFonts w:ascii="Times New Roman" w:hAnsi="Times New Roman"/>
                <w:sz w:val="24"/>
              </w:rPr>
              <w:t xml:space="preserve"> z teg</w:t>
            </w:r>
            <w:r w:rsidRPr="00E26EF6">
              <w:rPr>
                <w:rFonts w:ascii="Times New Roman" w:hAnsi="Times New Roman"/>
                <w:sz w:val="24"/>
              </w:rPr>
              <w:t>o wiersza</w:t>
            </w:r>
            <w:r w:rsidR="00E26EF6" w:rsidRPr="00E26EF6">
              <w:rPr>
                <w:rFonts w:ascii="Times New Roman" w:hAnsi="Times New Roman"/>
                <w:sz w:val="24"/>
              </w:rPr>
              <w:t xml:space="preserve"> i zgł</w:t>
            </w:r>
            <w:r w:rsidRPr="00E26EF6">
              <w:rPr>
                <w:rFonts w:ascii="Times New Roman" w:hAnsi="Times New Roman"/>
                <w:sz w:val="24"/>
              </w:rPr>
              <w:t>asza</w:t>
            </w:r>
            <w:r w:rsidR="00E26EF6" w:rsidRPr="00E26EF6">
              <w:rPr>
                <w:rFonts w:ascii="Times New Roman" w:hAnsi="Times New Roman"/>
                <w:sz w:val="24"/>
              </w:rPr>
              <w:t xml:space="preserve"> w wie</w:t>
            </w:r>
            <w:r w:rsidRPr="00E26EF6">
              <w:rPr>
                <w:rFonts w:ascii="Times New Roman" w:hAnsi="Times New Roman"/>
                <w:sz w:val="24"/>
              </w:rPr>
              <w:t>rszu 055.</w:t>
            </w:r>
          </w:p>
        </w:tc>
      </w:tr>
      <w:tr w:rsidR="00915077" w:rsidRPr="00E26EF6" w14:paraId="51948321" w14:textId="77777777" w:rsidTr="00672D2A">
        <w:tc>
          <w:tcPr>
            <w:tcW w:w="1697" w:type="dxa"/>
          </w:tcPr>
          <w:p w14:paraId="230F5679" w14:textId="77777777" w:rsidR="00915077" w:rsidRPr="00E26EF6" w:rsidRDefault="00BD5485">
            <w:pPr>
              <w:rPr>
                <w:rFonts w:ascii="Times New Roman" w:hAnsi="Times New Roman"/>
                <w:sz w:val="24"/>
                <w:highlight w:val="lightGray"/>
              </w:rPr>
            </w:pPr>
            <w:r w:rsidRPr="00E26EF6">
              <w:rPr>
                <w:rFonts w:ascii="Times New Roman" w:hAnsi="Times New Roman"/>
                <w:sz w:val="24"/>
              </w:rPr>
              <w:t>030-040</w:t>
            </w:r>
          </w:p>
        </w:tc>
        <w:tc>
          <w:tcPr>
            <w:tcW w:w="8131" w:type="dxa"/>
          </w:tcPr>
          <w:p w14:paraId="1E7525DE" w14:textId="77777777" w:rsidR="00915077" w:rsidRPr="00E26EF6" w:rsidRDefault="00BD5485">
            <w:pPr>
              <w:rPr>
                <w:rFonts w:ascii="Times New Roman" w:hAnsi="Times New Roman"/>
                <w:b/>
                <w:bCs/>
                <w:sz w:val="24"/>
                <w:u w:val="single"/>
              </w:rPr>
            </w:pPr>
            <w:r w:rsidRPr="00E26EF6">
              <w:rPr>
                <w:rFonts w:ascii="Times New Roman" w:hAnsi="Times New Roman"/>
                <w:b/>
                <w:bCs/>
                <w:sz w:val="24"/>
                <w:u w:val="single"/>
              </w:rPr>
              <w:t>Odnośne ekspozycje kredytowe – ryzyko rynkowe</w:t>
            </w:r>
          </w:p>
          <w:p w14:paraId="0F3A7B2F" w14:textId="6BF314F3" w:rsidR="00915077" w:rsidRPr="00E26EF6" w:rsidRDefault="00BD5485">
            <w:pPr>
              <w:rPr>
                <w:rFonts w:ascii="Times New Roman" w:hAnsi="Times New Roman"/>
                <w:b/>
                <w:bCs/>
                <w:sz w:val="24"/>
                <w:highlight w:val="lightGray"/>
                <w:u w:val="single"/>
              </w:rPr>
            </w:pPr>
            <w:r w:rsidRPr="00E26EF6">
              <w:rPr>
                <w:rFonts w:ascii="Times New Roman" w:hAnsi="Times New Roman"/>
                <w:sz w:val="24"/>
              </w:rPr>
              <w:t>Odnośne ekspozycje kredytowe,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 b) CRD.</w:t>
            </w:r>
          </w:p>
        </w:tc>
      </w:tr>
      <w:tr w:rsidR="00915077" w:rsidRPr="00E26EF6" w14:paraId="79FC1A80" w14:textId="77777777" w:rsidTr="00672D2A">
        <w:tc>
          <w:tcPr>
            <w:tcW w:w="1697" w:type="dxa"/>
          </w:tcPr>
          <w:p w14:paraId="497766A6" w14:textId="77777777" w:rsidR="00915077" w:rsidRPr="00E26EF6" w:rsidRDefault="00BD5485">
            <w:pPr>
              <w:rPr>
                <w:rFonts w:ascii="Times New Roman" w:hAnsi="Times New Roman"/>
                <w:sz w:val="24"/>
                <w:highlight w:val="lightGray"/>
              </w:rPr>
            </w:pPr>
            <w:r w:rsidRPr="00E26EF6">
              <w:rPr>
                <w:rFonts w:ascii="Times New Roman" w:hAnsi="Times New Roman"/>
                <w:sz w:val="24"/>
              </w:rPr>
              <w:t>030</w:t>
            </w:r>
          </w:p>
        </w:tc>
        <w:tc>
          <w:tcPr>
            <w:tcW w:w="8131" w:type="dxa"/>
          </w:tcPr>
          <w:p w14:paraId="04A9CA19" w14:textId="10870B2F" w:rsidR="00915077" w:rsidRPr="00E26EF6" w:rsidRDefault="00BD5485">
            <w:pPr>
              <w:rPr>
                <w:rFonts w:ascii="Times New Roman" w:hAnsi="Times New Roman"/>
                <w:b/>
                <w:bCs/>
                <w:sz w:val="24"/>
                <w:u w:val="single"/>
              </w:rPr>
            </w:pPr>
            <w:r w:rsidRPr="00E26EF6">
              <w:rPr>
                <w:rFonts w:ascii="Times New Roman" w:hAnsi="Times New Roman"/>
                <w:b/>
                <w:bCs/>
                <w:sz w:val="24"/>
                <w:u w:val="single"/>
              </w:rPr>
              <w:t>Suma pozycji długich</w:t>
            </w:r>
            <w:r w:rsidR="00E26EF6" w:rsidRPr="00E26EF6">
              <w:rPr>
                <w:rFonts w:ascii="Times New Roman" w:hAnsi="Times New Roman"/>
                <w:b/>
                <w:bCs/>
                <w:sz w:val="24"/>
                <w:u w:val="single"/>
              </w:rPr>
              <w:t xml:space="preserve"> i kró</w:t>
            </w:r>
            <w:r w:rsidRPr="00E26EF6">
              <w:rPr>
                <w:rFonts w:ascii="Times New Roman" w:hAnsi="Times New Roman"/>
                <w:b/>
                <w:bCs/>
                <w:sz w:val="24"/>
                <w:u w:val="single"/>
              </w:rPr>
              <w:t>tkich dotyczących ekspozycji zaliczonych do portfela handlowego według metody standardowej</w:t>
            </w:r>
          </w:p>
          <w:p w14:paraId="00BAC1C1" w14:textId="4897C17C" w:rsidR="00915077" w:rsidRPr="00E26EF6" w:rsidRDefault="00BD5485">
            <w:pPr>
              <w:autoSpaceDE w:val="0"/>
              <w:autoSpaceDN w:val="0"/>
              <w:adjustRightInd w:val="0"/>
              <w:rPr>
                <w:rFonts w:ascii="Times New Roman" w:hAnsi="Times New Roman"/>
                <w:sz w:val="24"/>
              </w:rPr>
            </w:pPr>
            <w:r w:rsidRPr="00E26EF6">
              <w:rPr>
                <w:rFonts w:ascii="Times New Roman" w:hAnsi="Times New Roman"/>
                <w:sz w:val="24"/>
              </w:rPr>
              <w:t>Suma długich</w:t>
            </w:r>
            <w:r w:rsidR="00E26EF6" w:rsidRPr="00E26EF6">
              <w:rPr>
                <w:rFonts w:ascii="Times New Roman" w:hAnsi="Times New Roman"/>
                <w:sz w:val="24"/>
              </w:rPr>
              <w:t xml:space="preserve"> i kró</w:t>
            </w:r>
            <w:r w:rsidRPr="00E26EF6">
              <w:rPr>
                <w:rFonts w:ascii="Times New Roman" w:hAnsi="Times New Roman"/>
                <w:sz w:val="24"/>
              </w:rPr>
              <w:t>tkich pozycji netto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327 CRR dla odnośnych ekspozycji kredytowych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b) CRD podlegających wymogom</w:t>
            </w:r>
            <w:r w:rsidR="00E26EF6" w:rsidRPr="00E26EF6">
              <w:rPr>
                <w:rFonts w:ascii="Times New Roman" w:hAnsi="Times New Roman"/>
                <w:sz w:val="24"/>
              </w:rPr>
              <w:t xml:space="preserve"> w zak</w:t>
            </w:r>
            <w:r w:rsidRPr="00E26EF6">
              <w:rPr>
                <w:rFonts w:ascii="Times New Roman" w:hAnsi="Times New Roman"/>
                <w:sz w:val="24"/>
              </w:rPr>
              <w:t xml:space="preserve">resie funduszy własnych na podstawie części trzeciej tytuł IV rozdział 2 CRR: </w:t>
            </w:r>
          </w:p>
          <w:p w14:paraId="17A7C416" w14:textId="0725F3B5" w:rsidR="00915077" w:rsidRPr="00E26EF6" w:rsidRDefault="00125707">
            <w:pPr>
              <w:autoSpaceDE w:val="0"/>
              <w:autoSpaceDN w:val="0"/>
              <w:adjustRightInd w:val="0"/>
              <w:ind w:left="357" w:hanging="357"/>
              <w:contextualSpacing/>
              <w:rPr>
                <w:rFonts w:ascii="Times New Roman" w:hAnsi="Times New Roman"/>
                <w:sz w:val="24"/>
              </w:rPr>
            </w:pPr>
            <w:r w:rsidRPr="00E26EF6">
              <w:rPr>
                <w:rFonts w:ascii="Times New Roman" w:hAnsi="Times New Roman"/>
                <w:sz w:val="24"/>
              </w:rPr>
              <w:t>-</w:t>
            </w:r>
            <w:r w:rsidRPr="00E26EF6">
              <w:rPr>
                <w:rFonts w:ascii="Times New Roman" w:hAnsi="Times New Roman"/>
                <w:sz w:val="24"/>
              </w:rPr>
              <w:tab/>
              <w:t>ekspozycje</w:t>
            </w:r>
            <w:r w:rsidR="00E26EF6" w:rsidRPr="00E26EF6">
              <w:rPr>
                <w:rFonts w:ascii="Times New Roman" w:hAnsi="Times New Roman"/>
                <w:sz w:val="24"/>
              </w:rPr>
              <w:t xml:space="preserve"> z tyt</w:t>
            </w:r>
            <w:r w:rsidRPr="00E26EF6">
              <w:rPr>
                <w:rFonts w:ascii="Times New Roman" w:hAnsi="Times New Roman"/>
                <w:sz w:val="24"/>
              </w:rPr>
              <w:t>ułu instrumentów dłużnych innych niż sekurytyzacja;</w:t>
            </w:r>
          </w:p>
          <w:p w14:paraId="1A1A3199" w14:textId="2AC2B1B1" w:rsidR="00915077" w:rsidRPr="00E26EF6" w:rsidRDefault="00125707">
            <w:pPr>
              <w:autoSpaceDE w:val="0"/>
              <w:autoSpaceDN w:val="0"/>
              <w:adjustRightInd w:val="0"/>
              <w:ind w:left="357" w:hanging="357"/>
              <w:contextualSpacing/>
              <w:rPr>
                <w:rFonts w:ascii="Times New Roman" w:hAnsi="Times New Roman"/>
                <w:sz w:val="24"/>
              </w:rPr>
            </w:pPr>
            <w:r w:rsidRPr="00E26EF6">
              <w:rPr>
                <w:rFonts w:ascii="Times New Roman" w:hAnsi="Times New Roman"/>
                <w:sz w:val="24"/>
              </w:rPr>
              <w:t>-</w:t>
            </w:r>
            <w:r w:rsidRPr="00E26EF6">
              <w:rPr>
                <w:rFonts w:ascii="Times New Roman" w:hAnsi="Times New Roman"/>
                <w:sz w:val="24"/>
              </w:rPr>
              <w:tab/>
              <w:t>ekspozycje</w:t>
            </w:r>
            <w:r w:rsidR="00E26EF6" w:rsidRPr="00E26EF6">
              <w:rPr>
                <w:rFonts w:ascii="Times New Roman" w:hAnsi="Times New Roman"/>
                <w:sz w:val="24"/>
              </w:rPr>
              <w:t xml:space="preserve"> z tyt</w:t>
            </w:r>
            <w:r w:rsidRPr="00E26EF6">
              <w:rPr>
                <w:rFonts w:ascii="Times New Roman" w:hAnsi="Times New Roman"/>
                <w:sz w:val="24"/>
              </w:rPr>
              <w:t>ułu pozycji sekurytyzacyjnych</w:t>
            </w:r>
            <w:r w:rsidR="00E26EF6" w:rsidRPr="00E26EF6">
              <w:rPr>
                <w:rFonts w:ascii="Times New Roman" w:hAnsi="Times New Roman"/>
                <w:sz w:val="24"/>
              </w:rPr>
              <w:t xml:space="preserve"> w por</w:t>
            </w:r>
            <w:r w:rsidRPr="00E26EF6">
              <w:rPr>
                <w:rFonts w:ascii="Times New Roman" w:hAnsi="Times New Roman"/>
                <w:sz w:val="24"/>
              </w:rPr>
              <w:t>tfelu handlowym;</w:t>
            </w:r>
          </w:p>
          <w:p w14:paraId="79ED82FF" w14:textId="4C9D5864" w:rsidR="00915077" w:rsidRPr="00E26EF6" w:rsidRDefault="00125707">
            <w:pPr>
              <w:autoSpaceDE w:val="0"/>
              <w:autoSpaceDN w:val="0"/>
              <w:adjustRightInd w:val="0"/>
              <w:ind w:left="357" w:hanging="357"/>
              <w:contextualSpacing/>
              <w:rPr>
                <w:rFonts w:ascii="Times New Roman" w:hAnsi="Times New Roman"/>
                <w:sz w:val="24"/>
              </w:rPr>
            </w:pPr>
            <w:r w:rsidRPr="00E26EF6">
              <w:rPr>
                <w:rFonts w:ascii="Times New Roman" w:hAnsi="Times New Roman"/>
                <w:sz w:val="24"/>
              </w:rPr>
              <w:t>-</w:t>
            </w:r>
            <w:r w:rsidRPr="00E26EF6">
              <w:rPr>
                <w:rFonts w:ascii="Times New Roman" w:hAnsi="Times New Roman"/>
                <w:sz w:val="24"/>
              </w:rPr>
              <w:tab/>
              <w:t>ekspozycje</w:t>
            </w:r>
            <w:r w:rsidR="00E26EF6" w:rsidRPr="00E26EF6">
              <w:rPr>
                <w:rFonts w:ascii="Times New Roman" w:hAnsi="Times New Roman"/>
                <w:sz w:val="24"/>
              </w:rPr>
              <w:t xml:space="preserve"> z tyt</w:t>
            </w:r>
            <w:r w:rsidRPr="00E26EF6">
              <w:rPr>
                <w:rFonts w:ascii="Times New Roman" w:hAnsi="Times New Roman"/>
                <w:sz w:val="24"/>
              </w:rPr>
              <w:t>ułu korelacyjnego portfela handlowego;</w:t>
            </w:r>
          </w:p>
          <w:p w14:paraId="27C772FA" w14:textId="43674467" w:rsidR="00915077" w:rsidRPr="00E26EF6" w:rsidRDefault="00125707">
            <w:pPr>
              <w:autoSpaceDE w:val="0"/>
              <w:autoSpaceDN w:val="0"/>
              <w:adjustRightInd w:val="0"/>
              <w:ind w:left="357" w:hanging="357"/>
              <w:contextualSpacing/>
              <w:rPr>
                <w:rFonts w:ascii="Times New Roman" w:hAnsi="Times New Roman"/>
                <w:sz w:val="24"/>
              </w:rPr>
            </w:pPr>
            <w:r w:rsidRPr="00E26EF6">
              <w:rPr>
                <w:rFonts w:ascii="Times New Roman" w:hAnsi="Times New Roman"/>
                <w:sz w:val="24"/>
              </w:rPr>
              <w:t>-</w:t>
            </w:r>
            <w:r w:rsidRPr="00E26EF6">
              <w:rPr>
                <w:rFonts w:ascii="Times New Roman" w:hAnsi="Times New Roman"/>
                <w:sz w:val="24"/>
              </w:rPr>
              <w:tab/>
              <w:t>ekspozycje</w:t>
            </w:r>
            <w:r w:rsidR="00E26EF6" w:rsidRPr="00E26EF6">
              <w:rPr>
                <w:rFonts w:ascii="Times New Roman" w:hAnsi="Times New Roman"/>
                <w:sz w:val="24"/>
              </w:rPr>
              <w:t xml:space="preserve"> z tyt</w:t>
            </w:r>
            <w:r w:rsidRPr="00E26EF6">
              <w:rPr>
                <w:rFonts w:ascii="Times New Roman" w:hAnsi="Times New Roman"/>
                <w:sz w:val="24"/>
              </w:rPr>
              <w:t>ułu udziałowych papierów wartościowych;</w:t>
            </w:r>
          </w:p>
          <w:p w14:paraId="2992A621" w14:textId="2A5668EC" w:rsidR="00915077" w:rsidRPr="00E26EF6" w:rsidRDefault="00125707">
            <w:pPr>
              <w:autoSpaceDE w:val="0"/>
              <w:autoSpaceDN w:val="0"/>
              <w:adjustRightInd w:val="0"/>
              <w:ind w:left="357" w:hanging="357"/>
              <w:contextualSpacing/>
              <w:rPr>
                <w:rFonts w:ascii="Times New Roman" w:hAnsi="Times New Roman"/>
                <w:b/>
                <w:bCs/>
                <w:sz w:val="24"/>
                <w:highlight w:val="lightGray"/>
                <w:u w:val="single"/>
              </w:rPr>
            </w:pPr>
            <w:r w:rsidRPr="00E26EF6">
              <w:rPr>
                <w:rFonts w:ascii="Times New Roman" w:hAnsi="Times New Roman"/>
                <w:bCs/>
                <w:sz w:val="24"/>
              </w:rPr>
              <w:t>-</w:t>
            </w:r>
            <w:r w:rsidRPr="00E26EF6">
              <w:rPr>
                <w:rFonts w:ascii="Times New Roman" w:hAnsi="Times New Roman"/>
                <w:bCs/>
                <w:sz w:val="24"/>
              </w:rPr>
              <w:tab/>
            </w:r>
            <w:r w:rsidRPr="00E26EF6">
              <w:rPr>
                <w:rFonts w:ascii="Times New Roman" w:hAnsi="Times New Roman"/>
                <w:sz w:val="24"/>
              </w:rPr>
              <w:t>ekspozycje wobec przedsiębiorstw zbiorowego inwestowania, jeżeli wymogi kapitałowe zostały obliczone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348 CRR.</w:t>
            </w:r>
          </w:p>
        </w:tc>
      </w:tr>
      <w:tr w:rsidR="00915077" w:rsidRPr="00E26EF6" w14:paraId="1FED66B6" w14:textId="77777777" w:rsidTr="00672D2A">
        <w:tc>
          <w:tcPr>
            <w:tcW w:w="1697" w:type="dxa"/>
          </w:tcPr>
          <w:p w14:paraId="57918A86" w14:textId="77777777" w:rsidR="00915077" w:rsidRPr="00E26EF6" w:rsidRDefault="00BD5485">
            <w:pPr>
              <w:rPr>
                <w:rFonts w:ascii="Times New Roman" w:hAnsi="Times New Roman"/>
                <w:sz w:val="24"/>
                <w:highlight w:val="lightGray"/>
              </w:rPr>
            </w:pPr>
            <w:r w:rsidRPr="00E26EF6">
              <w:rPr>
                <w:rFonts w:ascii="Times New Roman" w:hAnsi="Times New Roman"/>
                <w:sz w:val="24"/>
              </w:rPr>
              <w:t>040</w:t>
            </w:r>
          </w:p>
        </w:tc>
        <w:tc>
          <w:tcPr>
            <w:tcW w:w="8131" w:type="dxa"/>
          </w:tcPr>
          <w:p w14:paraId="057C116C" w14:textId="66ED0793" w:rsidR="00915077" w:rsidRPr="00E26EF6" w:rsidRDefault="00BD5485">
            <w:pPr>
              <w:rPr>
                <w:rFonts w:ascii="Times New Roman" w:hAnsi="Times New Roman"/>
                <w:b/>
                <w:bCs/>
                <w:sz w:val="24"/>
                <w:u w:val="single"/>
              </w:rPr>
            </w:pPr>
            <w:r w:rsidRPr="00E26EF6">
              <w:rPr>
                <w:rFonts w:ascii="Times New Roman" w:hAnsi="Times New Roman"/>
                <w:b/>
                <w:bCs/>
                <w:sz w:val="24"/>
                <w:u w:val="single"/>
              </w:rPr>
              <w:t>Wartość ekspozycji zaliczonych do portfela handlowego według modeli wewnętrznych</w:t>
            </w:r>
          </w:p>
          <w:p w14:paraId="03B50E71" w14:textId="0802575F" w:rsidR="00915077" w:rsidRPr="00E26EF6" w:rsidRDefault="00BD5485">
            <w:pPr>
              <w:autoSpaceDE w:val="0"/>
              <w:autoSpaceDN w:val="0"/>
              <w:adjustRightInd w:val="0"/>
              <w:rPr>
                <w:rFonts w:ascii="Times New Roman" w:hAnsi="Times New Roman"/>
                <w:sz w:val="24"/>
              </w:rPr>
            </w:pPr>
            <w:r w:rsidRPr="00E26EF6">
              <w:rPr>
                <w:rFonts w:ascii="Times New Roman" w:hAnsi="Times New Roman"/>
                <w:sz w:val="24"/>
              </w:rPr>
              <w:t>Dla odnośnych ekspozycji kredytowych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b) CRD podlegających wymogom</w:t>
            </w:r>
            <w:r w:rsidR="00E26EF6" w:rsidRPr="00E26EF6">
              <w:rPr>
                <w:rFonts w:ascii="Times New Roman" w:hAnsi="Times New Roman"/>
                <w:sz w:val="24"/>
              </w:rPr>
              <w:t xml:space="preserve"> w zak</w:t>
            </w:r>
            <w:r w:rsidRPr="00E26EF6">
              <w:rPr>
                <w:rFonts w:ascii="Times New Roman" w:hAnsi="Times New Roman"/>
                <w:sz w:val="24"/>
              </w:rPr>
              <w:t>resie funduszy własnych na podstawie części trzeciej tytuł IV rozdział 2</w:t>
            </w:r>
            <w:r w:rsidR="00E26EF6" w:rsidRPr="00E26EF6">
              <w:rPr>
                <w:rFonts w:ascii="Times New Roman" w:hAnsi="Times New Roman"/>
                <w:sz w:val="24"/>
              </w:rPr>
              <w:t xml:space="preserve"> i 5</w:t>
            </w:r>
            <w:r w:rsidRPr="00E26EF6">
              <w:rPr>
                <w:rFonts w:ascii="Times New Roman" w:hAnsi="Times New Roman"/>
                <w:sz w:val="24"/>
              </w:rPr>
              <w:t xml:space="preserve"> CRR należy zgłosić sumę poniższych wartości:</w:t>
            </w:r>
          </w:p>
          <w:p w14:paraId="53F7ACFD" w14:textId="537FC585" w:rsidR="00915077" w:rsidRPr="00E26EF6" w:rsidRDefault="00125707">
            <w:pPr>
              <w:autoSpaceDE w:val="0"/>
              <w:autoSpaceDN w:val="0"/>
              <w:adjustRightInd w:val="0"/>
              <w:ind w:left="357" w:hanging="357"/>
              <w:contextualSpacing/>
              <w:rPr>
                <w:rFonts w:ascii="Times New Roman" w:hAnsi="Times New Roman"/>
                <w:sz w:val="24"/>
              </w:rPr>
            </w:pPr>
            <w:r w:rsidRPr="00E26EF6">
              <w:rPr>
                <w:rFonts w:ascii="Calibri" w:hAnsi="Calibri"/>
                <w:sz w:val="24"/>
              </w:rPr>
              <w:t>-</w:t>
            </w:r>
            <w:r w:rsidRPr="00E26EF6">
              <w:rPr>
                <w:rFonts w:ascii="Calibri" w:hAnsi="Calibri"/>
                <w:sz w:val="24"/>
              </w:rPr>
              <w:tab/>
            </w:r>
            <w:r w:rsidRPr="00E26EF6">
              <w:rPr>
                <w:rFonts w:ascii="Times New Roman" w:hAnsi="Times New Roman"/>
                <w:sz w:val="24"/>
              </w:rPr>
              <w:t>wartości godziwej pozycji</w:t>
            </w:r>
            <w:r w:rsidR="00E26EF6" w:rsidRPr="00E26EF6">
              <w:rPr>
                <w:rFonts w:ascii="Times New Roman" w:hAnsi="Times New Roman"/>
                <w:sz w:val="24"/>
              </w:rPr>
              <w:t xml:space="preserve"> w ins</w:t>
            </w:r>
            <w:r w:rsidRPr="00E26EF6">
              <w:rPr>
                <w:rFonts w:ascii="Times New Roman" w:hAnsi="Times New Roman"/>
                <w:sz w:val="24"/>
              </w:rPr>
              <w:t>trumentach innych niż instrumenty pochodne, odpowiadających odnośnym ekspozycjom kredytowym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b) CRD, określonym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104 CRR;</w:t>
            </w:r>
          </w:p>
          <w:p w14:paraId="5FB438A1" w14:textId="42299C86" w:rsidR="00915077" w:rsidRPr="00E26EF6" w:rsidRDefault="00125707">
            <w:pPr>
              <w:autoSpaceDE w:val="0"/>
              <w:autoSpaceDN w:val="0"/>
              <w:adjustRightInd w:val="0"/>
              <w:ind w:left="357" w:hanging="357"/>
              <w:contextualSpacing/>
              <w:rPr>
                <w:rFonts w:ascii="Times New Roman" w:hAnsi="Times New Roman"/>
                <w:b/>
                <w:bCs/>
                <w:sz w:val="24"/>
                <w:highlight w:val="lightGray"/>
                <w:u w:val="single"/>
              </w:rPr>
            </w:pPr>
            <w:r w:rsidRPr="00E26EF6">
              <w:rPr>
                <w:rFonts w:ascii="Calibri" w:hAnsi="Calibri"/>
                <w:bCs/>
                <w:sz w:val="24"/>
              </w:rPr>
              <w:t>-</w:t>
            </w:r>
            <w:r w:rsidRPr="00E26EF6">
              <w:rPr>
                <w:rFonts w:ascii="Calibri" w:hAnsi="Calibri"/>
                <w:bCs/>
                <w:sz w:val="24"/>
              </w:rPr>
              <w:tab/>
            </w:r>
            <w:r w:rsidRPr="00E26EF6">
              <w:rPr>
                <w:rFonts w:ascii="Times New Roman" w:hAnsi="Times New Roman"/>
                <w:sz w:val="24"/>
              </w:rPr>
              <w:t>wartości referencyjnej instrumentów pochodnych, które reprezentują odpowiednie ekspozycje kredytowe,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 b) CRD.</w:t>
            </w:r>
          </w:p>
        </w:tc>
      </w:tr>
      <w:tr w:rsidR="00915077" w:rsidRPr="00E26EF6" w14:paraId="0C9C0584" w14:textId="77777777" w:rsidTr="00672D2A">
        <w:tc>
          <w:tcPr>
            <w:tcW w:w="1697" w:type="dxa"/>
          </w:tcPr>
          <w:p w14:paraId="718A0F02" w14:textId="77777777" w:rsidR="00915077" w:rsidRPr="00E26EF6" w:rsidRDefault="008B6B86">
            <w:pPr>
              <w:rPr>
                <w:rFonts w:ascii="Times New Roman" w:hAnsi="Times New Roman"/>
                <w:sz w:val="24"/>
                <w:highlight w:val="lightGray"/>
              </w:rPr>
            </w:pPr>
            <w:r w:rsidRPr="00E26EF6">
              <w:rPr>
                <w:rFonts w:ascii="Times New Roman" w:hAnsi="Times New Roman"/>
                <w:sz w:val="24"/>
              </w:rPr>
              <w:t>055</w:t>
            </w:r>
          </w:p>
        </w:tc>
        <w:tc>
          <w:tcPr>
            <w:tcW w:w="8131" w:type="dxa"/>
          </w:tcPr>
          <w:p w14:paraId="586EB716" w14:textId="12FE4546" w:rsidR="00915077" w:rsidRPr="00E26EF6" w:rsidRDefault="00BD5485">
            <w:pPr>
              <w:rPr>
                <w:rFonts w:ascii="Times New Roman" w:hAnsi="Times New Roman"/>
                <w:b/>
                <w:bCs/>
                <w:sz w:val="24"/>
                <w:u w:val="single"/>
              </w:rPr>
            </w:pPr>
            <w:r w:rsidRPr="00E26EF6">
              <w:rPr>
                <w:rFonts w:ascii="Times New Roman" w:hAnsi="Times New Roman"/>
                <w:b/>
                <w:bCs/>
                <w:sz w:val="24"/>
                <w:u w:val="single"/>
              </w:rPr>
              <w:t>Odnośne ekspozycje kredytowe – pozycje sekurytyzacyjne</w:t>
            </w:r>
            <w:r w:rsidR="00E26EF6" w:rsidRPr="00E26EF6">
              <w:rPr>
                <w:rFonts w:ascii="Times New Roman" w:hAnsi="Times New Roman"/>
                <w:b/>
                <w:bCs/>
                <w:sz w:val="24"/>
                <w:u w:val="single"/>
              </w:rPr>
              <w:t xml:space="preserve"> w por</w:t>
            </w:r>
            <w:r w:rsidRPr="00E26EF6">
              <w:rPr>
                <w:rFonts w:ascii="Times New Roman" w:hAnsi="Times New Roman"/>
                <w:b/>
                <w:bCs/>
                <w:sz w:val="24"/>
                <w:u w:val="single"/>
              </w:rPr>
              <w:t>tfelu bankowym</w:t>
            </w:r>
          </w:p>
          <w:p w14:paraId="2A72AE78" w14:textId="22081AD4" w:rsidR="00915077" w:rsidRPr="00E26EF6" w:rsidRDefault="00C44421">
            <w:pPr>
              <w:rPr>
                <w:rFonts w:ascii="Times New Roman" w:hAnsi="Times New Roman"/>
                <w:sz w:val="24"/>
                <w:highlight w:val="lightGray"/>
              </w:rPr>
            </w:pPr>
            <w:r w:rsidRPr="00E26EF6">
              <w:rPr>
                <w:rFonts w:ascii="Times New Roman" w:hAnsi="Times New Roman"/>
                <w:sz w:val="24"/>
              </w:rPr>
              <w:t>Wartość ekspozycji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CRR dla odpowiednich ekspozycji kredytowych,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c) CRD.</w:t>
            </w:r>
          </w:p>
        </w:tc>
      </w:tr>
      <w:tr w:rsidR="00915077" w:rsidRPr="00E26EF6" w14:paraId="1A186CC1" w14:textId="77777777" w:rsidTr="00672D2A">
        <w:tc>
          <w:tcPr>
            <w:tcW w:w="1697" w:type="dxa"/>
          </w:tcPr>
          <w:p w14:paraId="588C5D36" w14:textId="77777777" w:rsidR="00915077" w:rsidRPr="00E26EF6" w:rsidRDefault="00BD5485">
            <w:pPr>
              <w:rPr>
                <w:rFonts w:ascii="Times New Roman" w:hAnsi="Times New Roman"/>
                <w:sz w:val="24"/>
                <w:highlight w:val="lightGray"/>
              </w:rPr>
            </w:pPr>
            <w:r w:rsidRPr="00E26EF6">
              <w:rPr>
                <w:rFonts w:ascii="Times New Roman" w:hAnsi="Times New Roman"/>
                <w:sz w:val="24"/>
              </w:rPr>
              <w:t>070–110</w:t>
            </w:r>
          </w:p>
        </w:tc>
        <w:tc>
          <w:tcPr>
            <w:tcW w:w="8131" w:type="dxa"/>
          </w:tcPr>
          <w:p w14:paraId="1BE0CCAB" w14:textId="5172D384" w:rsidR="00915077" w:rsidRPr="00E26EF6" w:rsidRDefault="00BD5485">
            <w:pPr>
              <w:rPr>
                <w:rFonts w:ascii="Times New Roman" w:hAnsi="Times New Roman"/>
                <w:b/>
                <w:bCs/>
                <w:sz w:val="24"/>
                <w:highlight w:val="lightGray"/>
                <w:u w:val="single"/>
              </w:rPr>
            </w:pPr>
            <w:r w:rsidRPr="00E26EF6">
              <w:rPr>
                <w:rFonts w:ascii="Times New Roman" w:hAnsi="Times New Roman"/>
                <w:b/>
                <w:bCs/>
                <w:sz w:val="24"/>
                <w:u w:val="single"/>
              </w:rPr>
              <w:t>Wymogi</w:t>
            </w:r>
            <w:r w:rsidR="00E26EF6" w:rsidRPr="00E26EF6">
              <w:rPr>
                <w:rFonts w:ascii="Times New Roman" w:hAnsi="Times New Roman"/>
                <w:b/>
                <w:bCs/>
                <w:sz w:val="24"/>
                <w:u w:val="single"/>
              </w:rPr>
              <w:t xml:space="preserve"> w zak</w:t>
            </w:r>
            <w:r w:rsidRPr="00E26EF6">
              <w:rPr>
                <w:rFonts w:ascii="Times New Roman" w:hAnsi="Times New Roman"/>
                <w:b/>
                <w:bCs/>
                <w:sz w:val="24"/>
                <w:u w:val="single"/>
              </w:rPr>
              <w:t>resie funduszy własnych</w:t>
            </w:r>
            <w:r w:rsidR="00E26EF6" w:rsidRPr="00E26EF6">
              <w:rPr>
                <w:rFonts w:ascii="Times New Roman" w:hAnsi="Times New Roman"/>
                <w:b/>
                <w:bCs/>
                <w:sz w:val="24"/>
                <w:u w:val="single"/>
              </w:rPr>
              <w:t xml:space="preserve"> i wag</w:t>
            </w:r>
            <w:r w:rsidRPr="00E26EF6">
              <w:rPr>
                <w:rFonts w:ascii="Times New Roman" w:hAnsi="Times New Roman"/>
                <w:b/>
                <w:bCs/>
                <w:sz w:val="24"/>
                <w:u w:val="single"/>
              </w:rPr>
              <w:t>i</w:t>
            </w:r>
          </w:p>
        </w:tc>
      </w:tr>
      <w:tr w:rsidR="00915077" w:rsidRPr="00E26EF6" w14:paraId="5EEE0196" w14:textId="77777777" w:rsidTr="00672D2A">
        <w:tc>
          <w:tcPr>
            <w:tcW w:w="1697" w:type="dxa"/>
          </w:tcPr>
          <w:p w14:paraId="3610D72B" w14:textId="77777777" w:rsidR="00915077" w:rsidRPr="00E26EF6" w:rsidRDefault="00BD5485">
            <w:pPr>
              <w:rPr>
                <w:rFonts w:ascii="Times New Roman" w:hAnsi="Times New Roman"/>
                <w:sz w:val="24"/>
                <w:highlight w:val="lightGray"/>
              </w:rPr>
            </w:pPr>
            <w:r w:rsidRPr="00E26EF6">
              <w:rPr>
                <w:rFonts w:ascii="Times New Roman" w:hAnsi="Times New Roman"/>
                <w:sz w:val="24"/>
              </w:rPr>
              <w:lastRenderedPageBreak/>
              <w:t>070</w:t>
            </w:r>
          </w:p>
        </w:tc>
        <w:tc>
          <w:tcPr>
            <w:tcW w:w="8131" w:type="dxa"/>
          </w:tcPr>
          <w:p w14:paraId="3F1B6928" w14:textId="3CCCBE23" w:rsidR="00915077" w:rsidRPr="00E26EF6" w:rsidRDefault="00BD5485">
            <w:pPr>
              <w:rPr>
                <w:rFonts w:ascii="Times New Roman" w:hAnsi="Times New Roman"/>
                <w:b/>
                <w:bCs/>
                <w:sz w:val="24"/>
                <w:u w:val="single"/>
              </w:rPr>
            </w:pPr>
            <w:r w:rsidRPr="00E26EF6">
              <w:rPr>
                <w:rFonts w:ascii="Times New Roman" w:hAnsi="Times New Roman"/>
                <w:b/>
                <w:bCs/>
                <w:sz w:val="24"/>
                <w:u w:val="single"/>
              </w:rPr>
              <w:t>Łączne wymogi</w:t>
            </w:r>
            <w:r w:rsidR="00E26EF6" w:rsidRPr="00E26EF6">
              <w:rPr>
                <w:rFonts w:ascii="Times New Roman" w:hAnsi="Times New Roman"/>
                <w:b/>
                <w:bCs/>
                <w:sz w:val="24"/>
                <w:u w:val="single"/>
              </w:rPr>
              <w:t xml:space="preserve"> w zak</w:t>
            </w:r>
            <w:r w:rsidRPr="00E26EF6">
              <w:rPr>
                <w:rFonts w:ascii="Times New Roman" w:hAnsi="Times New Roman"/>
                <w:b/>
                <w:bCs/>
                <w:sz w:val="24"/>
                <w:u w:val="single"/>
              </w:rPr>
              <w:t>resie funduszy własnych dla CCB</w:t>
            </w:r>
          </w:p>
          <w:p w14:paraId="199E09E3" w14:textId="62517863" w:rsidR="00915077" w:rsidRPr="00E26EF6" w:rsidRDefault="00BD5485">
            <w:pPr>
              <w:rPr>
                <w:rFonts w:ascii="Times New Roman" w:hAnsi="Times New Roman"/>
                <w:b/>
                <w:bCs/>
                <w:sz w:val="24"/>
                <w:highlight w:val="lightGray"/>
                <w:u w:val="single"/>
              </w:rPr>
            </w:pPr>
            <w:r w:rsidRPr="00E26EF6">
              <w:rPr>
                <w:rFonts w:ascii="Times New Roman" w:hAnsi="Times New Roman"/>
                <w:sz w:val="24"/>
              </w:rPr>
              <w:t>Suma wierszy 080, 090</w:t>
            </w:r>
            <w:r w:rsidR="00E26EF6" w:rsidRPr="00E26EF6">
              <w:rPr>
                <w:rFonts w:ascii="Times New Roman" w:hAnsi="Times New Roman"/>
                <w:sz w:val="24"/>
              </w:rPr>
              <w:t xml:space="preserve"> i 1</w:t>
            </w:r>
            <w:r w:rsidRPr="00E26EF6">
              <w:rPr>
                <w:rFonts w:ascii="Times New Roman" w:hAnsi="Times New Roman"/>
                <w:sz w:val="24"/>
              </w:rPr>
              <w:t>00.</w:t>
            </w:r>
          </w:p>
        </w:tc>
      </w:tr>
      <w:tr w:rsidR="00915077" w:rsidRPr="00E26EF6" w14:paraId="161C6590" w14:textId="77777777" w:rsidTr="00672D2A">
        <w:tc>
          <w:tcPr>
            <w:tcW w:w="1697" w:type="dxa"/>
          </w:tcPr>
          <w:p w14:paraId="6BBFB334" w14:textId="77777777" w:rsidR="00915077" w:rsidRPr="00E26EF6" w:rsidRDefault="00BD5485">
            <w:pPr>
              <w:rPr>
                <w:rFonts w:ascii="Times New Roman" w:hAnsi="Times New Roman"/>
                <w:sz w:val="24"/>
                <w:highlight w:val="lightGray"/>
              </w:rPr>
            </w:pPr>
            <w:r w:rsidRPr="00E26EF6">
              <w:rPr>
                <w:rFonts w:ascii="Times New Roman" w:hAnsi="Times New Roman"/>
                <w:sz w:val="24"/>
              </w:rPr>
              <w:t>080</w:t>
            </w:r>
          </w:p>
        </w:tc>
        <w:tc>
          <w:tcPr>
            <w:tcW w:w="8131" w:type="dxa"/>
          </w:tcPr>
          <w:p w14:paraId="344AB852" w14:textId="72BF403E" w:rsidR="00915077" w:rsidRPr="00E26EF6" w:rsidRDefault="00C211DC">
            <w:pPr>
              <w:rPr>
                <w:rFonts w:ascii="Times New Roman" w:hAnsi="Times New Roman"/>
                <w:b/>
                <w:bCs/>
                <w:sz w:val="24"/>
                <w:u w:val="single"/>
              </w:rPr>
            </w:pPr>
            <w:r w:rsidRPr="00E26EF6">
              <w:rPr>
                <w:rFonts w:ascii="Times New Roman" w:hAnsi="Times New Roman"/>
                <w:b/>
                <w:bCs/>
                <w:sz w:val="24"/>
                <w:u w:val="single"/>
              </w:rPr>
              <w:t>Wymogi</w:t>
            </w:r>
            <w:r w:rsidR="00E26EF6" w:rsidRPr="00E26EF6">
              <w:rPr>
                <w:rFonts w:ascii="Times New Roman" w:hAnsi="Times New Roman"/>
                <w:b/>
                <w:bCs/>
                <w:sz w:val="24"/>
                <w:u w:val="single"/>
              </w:rPr>
              <w:t xml:space="preserve"> w zak</w:t>
            </w:r>
            <w:r w:rsidRPr="00E26EF6">
              <w:rPr>
                <w:rFonts w:ascii="Times New Roman" w:hAnsi="Times New Roman"/>
                <w:b/>
                <w:bCs/>
                <w:sz w:val="24"/>
                <w:u w:val="single"/>
              </w:rPr>
              <w:t xml:space="preserve">resie funduszy własnych dla odnośnych ekspozycji kredytowych – ryzyko kredytowe </w:t>
            </w:r>
          </w:p>
          <w:p w14:paraId="318DE0F4" w14:textId="097C2D0A" w:rsidR="00915077" w:rsidRPr="00E26EF6" w:rsidRDefault="00BD5485">
            <w:pPr>
              <w:autoSpaceDE w:val="0"/>
              <w:autoSpaceDN w:val="0"/>
              <w:adjustRightInd w:val="0"/>
              <w:rPr>
                <w:rFonts w:ascii="Times New Roman" w:hAnsi="Times New Roman"/>
                <w:sz w:val="24"/>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 obliczone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rozdziały 1–4</w:t>
            </w:r>
            <w:r w:rsidR="00E26EF6" w:rsidRPr="00E26EF6">
              <w:rPr>
                <w:rFonts w:ascii="Times New Roman" w:hAnsi="Times New Roman"/>
                <w:sz w:val="24"/>
              </w:rPr>
              <w:t xml:space="preserve"> i roz</w:t>
            </w:r>
            <w:r w:rsidRPr="00E26EF6">
              <w:rPr>
                <w:rFonts w:ascii="Times New Roman" w:hAnsi="Times New Roman"/>
                <w:sz w:val="24"/>
              </w:rPr>
              <w:t>dział 6 CRR dla odnośnych ekspozycji kredytowych,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a) CRD,</w:t>
            </w:r>
            <w:r w:rsidR="00E26EF6" w:rsidRPr="00E26EF6">
              <w:rPr>
                <w:rFonts w:ascii="Times New Roman" w:hAnsi="Times New Roman"/>
                <w:sz w:val="24"/>
              </w:rPr>
              <w:t xml:space="preserve"> w dan</w:t>
            </w:r>
            <w:r w:rsidRPr="00E26EF6">
              <w:rPr>
                <w:rFonts w:ascii="Times New Roman" w:hAnsi="Times New Roman"/>
                <w:sz w:val="24"/>
              </w:rPr>
              <w:t>ym państwie.</w:t>
            </w:r>
          </w:p>
          <w:p w14:paraId="2AFBCF34" w14:textId="68682EC0" w:rsidR="00915077" w:rsidRPr="00E26EF6" w:rsidRDefault="00BD5485">
            <w:pPr>
              <w:autoSpaceDE w:val="0"/>
              <w:autoSpaceDN w:val="0"/>
              <w:adjustRightInd w:val="0"/>
              <w:rPr>
                <w:rFonts w:ascii="Times New Roman" w:hAnsi="Times New Roman"/>
                <w:sz w:val="24"/>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 dla pozycji sekurytyzacyjnych</w:t>
            </w:r>
            <w:r w:rsidR="00E26EF6" w:rsidRPr="00E26EF6">
              <w:rPr>
                <w:rFonts w:ascii="Times New Roman" w:hAnsi="Times New Roman"/>
                <w:sz w:val="24"/>
              </w:rPr>
              <w:t xml:space="preserve"> w por</w:t>
            </w:r>
            <w:r w:rsidRPr="00E26EF6">
              <w:rPr>
                <w:rFonts w:ascii="Times New Roman" w:hAnsi="Times New Roman"/>
                <w:sz w:val="24"/>
              </w:rPr>
              <w:t>tfelu bankowym wyłącza się</w:t>
            </w:r>
            <w:r w:rsidR="00E26EF6" w:rsidRPr="00E26EF6">
              <w:rPr>
                <w:rFonts w:ascii="Times New Roman" w:hAnsi="Times New Roman"/>
                <w:sz w:val="24"/>
              </w:rPr>
              <w:t xml:space="preserve"> z teg</w:t>
            </w:r>
            <w:r w:rsidRPr="00E26EF6">
              <w:rPr>
                <w:rFonts w:ascii="Times New Roman" w:hAnsi="Times New Roman"/>
                <w:sz w:val="24"/>
              </w:rPr>
              <w:t>o wiersza</w:t>
            </w:r>
            <w:r w:rsidR="00E26EF6" w:rsidRPr="00E26EF6">
              <w:rPr>
                <w:rFonts w:ascii="Times New Roman" w:hAnsi="Times New Roman"/>
                <w:sz w:val="24"/>
              </w:rPr>
              <w:t xml:space="preserve"> i zgł</w:t>
            </w:r>
            <w:r w:rsidRPr="00E26EF6">
              <w:rPr>
                <w:rFonts w:ascii="Times New Roman" w:hAnsi="Times New Roman"/>
                <w:sz w:val="24"/>
              </w:rPr>
              <w:t>asza</w:t>
            </w:r>
            <w:r w:rsidR="00E26EF6" w:rsidRPr="00E26EF6">
              <w:rPr>
                <w:rFonts w:ascii="Times New Roman" w:hAnsi="Times New Roman"/>
                <w:sz w:val="24"/>
              </w:rPr>
              <w:t xml:space="preserve"> w wie</w:t>
            </w:r>
            <w:r w:rsidRPr="00E26EF6">
              <w:rPr>
                <w:rFonts w:ascii="Times New Roman" w:hAnsi="Times New Roman"/>
                <w:sz w:val="24"/>
              </w:rPr>
              <w:t>rszu 100.</w:t>
            </w:r>
          </w:p>
          <w:p w14:paraId="1948BA36" w14:textId="635D5B10" w:rsidR="00915077" w:rsidRPr="00E26EF6" w:rsidRDefault="00BD5485">
            <w:pPr>
              <w:rPr>
                <w:rFonts w:ascii="Times New Roman" w:hAnsi="Times New Roman"/>
                <w:b/>
                <w:bCs/>
                <w:sz w:val="24"/>
                <w:highlight w:val="lightGray"/>
                <w:u w:val="single"/>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 wynoszą 8</w:t>
            </w:r>
            <w:r w:rsidR="00023409" w:rsidRPr="00E26EF6">
              <w:rPr>
                <w:rFonts w:ascii="Times New Roman" w:hAnsi="Times New Roman"/>
                <w:sz w:val="24"/>
              </w:rPr>
              <w:t> </w:t>
            </w:r>
            <w:r w:rsidRPr="00E26EF6">
              <w:rPr>
                <w:rFonts w:ascii="Times New Roman" w:hAnsi="Times New Roman"/>
                <w:sz w:val="24"/>
              </w:rPr>
              <w:t>% kwoty ekspozycji ważonej ryzykiem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rozdziały 1–4</w:t>
            </w:r>
            <w:r w:rsidR="00E26EF6" w:rsidRPr="00E26EF6">
              <w:rPr>
                <w:rFonts w:ascii="Times New Roman" w:hAnsi="Times New Roman"/>
                <w:sz w:val="24"/>
              </w:rPr>
              <w:t xml:space="preserve"> i roz</w:t>
            </w:r>
            <w:r w:rsidRPr="00E26EF6">
              <w:rPr>
                <w:rFonts w:ascii="Times New Roman" w:hAnsi="Times New Roman"/>
                <w:sz w:val="24"/>
              </w:rPr>
              <w:t>dział 6 CRR.</w:t>
            </w:r>
          </w:p>
        </w:tc>
      </w:tr>
      <w:tr w:rsidR="00915077" w:rsidRPr="00E26EF6" w14:paraId="7D6F4CA6" w14:textId="77777777" w:rsidTr="00672D2A">
        <w:tc>
          <w:tcPr>
            <w:tcW w:w="1697" w:type="dxa"/>
          </w:tcPr>
          <w:p w14:paraId="5A7104C7" w14:textId="77777777" w:rsidR="00915077" w:rsidRPr="00E26EF6" w:rsidRDefault="00BD5485">
            <w:pPr>
              <w:rPr>
                <w:rFonts w:ascii="Times New Roman" w:hAnsi="Times New Roman"/>
                <w:sz w:val="24"/>
                <w:highlight w:val="lightGray"/>
              </w:rPr>
            </w:pPr>
            <w:r w:rsidRPr="00E26EF6">
              <w:rPr>
                <w:rFonts w:ascii="Times New Roman" w:hAnsi="Times New Roman"/>
                <w:sz w:val="24"/>
              </w:rPr>
              <w:t>090</w:t>
            </w:r>
          </w:p>
        </w:tc>
        <w:tc>
          <w:tcPr>
            <w:tcW w:w="8131" w:type="dxa"/>
          </w:tcPr>
          <w:p w14:paraId="3CD11A5D" w14:textId="05DF779F" w:rsidR="00915077" w:rsidRPr="00E26EF6" w:rsidRDefault="00C211DC">
            <w:pPr>
              <w:rPr>
                <w:rFonts w:ascii="Times New Roman" w:hAnsi="Times New Roman"/>
                <w:b/>
                <w:bCs/>
                <w:sz w:val="24"/>
                <w:u w:val="single"/>
              </w:rPr>
            </w:pPr>
            <w:r w:rsidRPr="00E26EF6">
              <w:rPr>
                <w:rFonts w:ascii="Times New Roman" w:hAnsi="Times New Roman"/>
                <w:b/>
                <w:bCs/>
                <w:sz w:val="24"/>
                <w:u w:val="single"/>
              </w:rPr>
              <w:t>Wymogi</w:t>
            </w:r>
            <w:r w:rsidR="00E26EF6" w:rsidRPr="00E26EF6">
              <w:rPr>
                <w:rFonts w:ascii="Times New Roman" w:hAnsi="Times New Roman"/>
                <w:b/>
                <w:bCs/>
                <w:sz w:val="24"/>
                <w:u w:val="single"/>
              </w:rPr>
              <w:t xml:space="preserve"> w zak</w:t>
            </w:r>
            <w:r w:rsidRPr="00E26EF6">
              <w:rPr>
                <w:rFonts w:ascii="Times New Roman" w:hAnsi="Times New Roman"/>
                <w:b/>
                <w:bCs/>
                <w:sz w:val="24"/>
                <w:u w:val="single"/>
              </w:rPr>
              <w:t xml:space="preserve">resie funduszy własnych dla odnośnych ekspozycji kredytowych – ryzyko rynkowe </w:t>
            </w:r>
          </w:p>
          <w:p w14:paraId="3CED33FB" w14:textId="6329AB0E" w:rsidR="00915077" w:rsidRPr="00E26EF6" w:rsidRDefault="00BD5485">
            <w:pPr>
              <w:autoSpaceDE w:val="0"/>
              <w:autoSpaceDN w:val="0"/>
              <w:adjustRightInd w:val="0"/>
              <w:rPr>
                <w:rFonts w:ascii="Times New Roman" w:hAnsi="Times New Roman"/>
                <w:sz w:val="24"/>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 obliczone zgodnie</w:t>
            </w:r>
            <w:r w:rsidR="00E26EF6" w:rsidRPr="00E26EF6">
              <w:rPr>
                <w:rFonts w:ascii="Times New Roman" w:hAnsi="Times New Roman"/>
                <w:sz w:val="24"/>
              </w:rPr>
              <w:t xml:space="preserve"> z czę</w:t>
            </w:r>
            <w:r w:rsidRPr="00E26EF6">
              <w:rPr>
                <w:rFonts w:ascii="Times New Roman" w:hAnsi="Times New Roman"/>
                <w:sz w:val="24"/>
              </w:rPr>
              <w:t>ścią trzecią tytuł IV rozdział 2 CRR dla ryzyka szczególnego lub zgodnie</w:t>
            </w:r>
            <w:r w:rsidR="00E26EF6" w:rsidRPr="00E26EF6">
              <w:rPr>
                <w:rFonts w:ascii="Times New Roman" w:hAnsi="Times New Roman"/>
                <w:sz w:val="24"/>
              </w:rPr>
              <w:t xml:space="preserve"> z czę</w:t>
            </w:r>
            <w:r w:rsidRPr="00E26EF6">
              <w:rPr>
                <w:rFonts w:ascii="Times New Roman" w:hAnsi="Times New Roman"/>
                <w:sz w:val="24"/>
              </w:rPr>
              <w:t>ścią trzecią tytuł IV rozdział 5 CRR dla dodatkowego ryzyka niewykonania zobowiązań</w:t>
            </w:r>
            <w:r w:rsidR="00E26EF6" w:rsidRPr="00E26EF6">
              <w:rPr>
                <w:rFonts w:ascii="Times New Roman" w:hAnsi="Times New Roman"/>
                <w:sz w:val="24"/>
              </w:rPr>
              <w:t xml:space="preserve"> i ryz</w:t>
            </w:r>
            <w:r w:rsidRPr="00E26EF6">
              <w:rPr>
                <w:rFonts w:ascii="Times New Roman" w:hAnsi="Times New Roman"/>
                <w:sz w:val="24"/>
              </w:rPr>
              <w:t>yka migracji dla odnośnych ekspozycji kredytowych,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b) CRD,</w:t>
            </w:r>
            <w:r w:rsidR="00E26EF6" w:rsidRPr="00E26EF6">
              <w:rPr>
                <w:rFonts w:ascii="Times New Roman" w:hAnsi="Times New Roman"/>
                <w:sz w:val="24"/>
              </w:rPr>
              <w:t xml:space="preserve"> w dan</w:t>
            </w:r>
            <w:r w:rsidRPr="00E26EF6">
              <w:rPr>
                <w:rFonts w:ascii="Times New Roman" w:hAnsi="Times New Roman"/>
                <w:sz w:val="24"/>
              </w:rPr>
              <w:t xml:space="preserve">ym państwie. </w:t>
            </w:r>
          </w:p>
          <w:p w14:paraId="72F007FC" w14:textId="55B4964A" w:rsidR="00915077" w:rsidRPr="00E26EF6" w:rsidRDefault="00BD5485">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 dla odnośnych ekspozycji kredytowych według ram ryzyka rynkowego obejmują m.in. wymogi</w:t>
            </w:r>
            <w:r w:rsidR="00E26EF6" w:rsidRPr="00E26EF6">
              <w:rPr>
                <w:rFonts w:ascii="Times New Roman" w:hAnsi="Times New Roman"/>
                <w:sz w:val="24"/>
              </w:rPr>
              <w:t xml:space="preserve"> w zak</w:t>
            </w:r>
            <w:r w:rsidRPr="00E26EF6">
              <w:rPr>
                <w:rFonts w:ascii="Times New Roman" w:hAnsi="Times New Roman"/>
                <w:sz w:val="24"/>
              </w:rPr>
              <w:t>resie funduszy własnych dla pozycji sekurytyzacyjnych obliczone zgodnie</w:t>
            </w:r>
            <w:r w:rsidR="00E26EF6" w:rsidRPr="00E26EF6">
              <w:rPr>
                <w:rFonts w:ascii="Times New Roman" w:hAnsi="Times New Roman"/>
                <w:sz w:val="24"/>
              </w:rPr>
              <w:t xml:space="preserve"> z czę</w:t>
            </w:r>
            <w:r w:rsidRPr="00E26EF6">
              <w:rPr>
                <w:rFonts w:ascii="Times New Roman" w:hAnsi="Times New Roman"/>
                <w:sz w:val="24"/>
              </w:rPr>
              <w:t>ścią trzecią tytuł IV rozdział 2 CRR oraz wymogi</w:t>
            </w:r>
            <w:r w:rsidR="00E26EF6" w:rsidRPr="00E26EF6">
              <w:rPr>
                <w:rFonts w:ascii="Times New Roman" w:hAnsi="Times New Roman"/>
                <w:sz w:val="24"/>
              </w:rPr>
              <w:t xml:space="preserve"> w zak</w:t>
            </w:r>
            <w:r w:rsidRPr="00E26EF6">
              <w:rPr>
                <w:rFonts w:ascii="Times New Roman" w:hAnsi="Times New Roman"/>
                <w:sz w:val="24"/>
              </w:rPr>
              <w:t>resie funduszy własnych dla ekspozycji wobec przedsiębiorstw zbiorowego inwestowania, określone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348 CRR.</w:t>
            </w:r>
          </w:p>
        </w:tc>
      </w:tr>
      <w:tr w:rsidR="00915077" w:rsidRPr="00E26EF6" w14:paraId="208072B1" w14:textId="77777777" w:rsidTr="00672D2A">
        <w:tc>
          <w:tcPr>
            <w:tcW w:w="1697" w:type="dxa"/>
          </w:tcPr>
          <w:p w14:paraId="31DC711E" w14:textId="77777777" w:rsidR="00915077" w:rsidRPr="00E26EF6" w:rsidRDefault="00BD5485">
            <w:pPr>
              <w:rPr>
                <w:rFonts w:ascii="Times New Roman" w:hAnsi="Times New Roman"/>
                <w:sz w:val="24"/>
                <w:highlight w:val="lightGray"/>
              </w:rPr>
            </w:pPr>
            <w:r w:rsidRPr="00E26EF6">
              <w:rPr>
                <w:rFonts w:ascii="Times New Roman" w:hAnsi="Times New Roman"/>
                <w:sz w:val="24"/>
              </w:rPr>
              <w:t>100</w:t>
            </w:r>
          </w:p>
        </w:tc>
        <w:tc>
          <w:tcPr>
            <w:tcW w:w="8131" w:type="dxa"/>
          </w:tcPr>
          <w:p w14:paraId="70EC6CA1" w14:textId="0074766A" w:rsidR="00915077" w:rsidRPr="00E26EF6" w:rsidRDefault="00C211DC">
            <w:pPr>
              <w:rPr>
                <w:rFonts w:ascii="Times New Roman" w:hAnsi="Times New Roman"/>
                <w:b/>
                <w:bCs/>
                <w:sz w:val="24"/>
                <w:u w:val="single"/>
              </w:rPr>
            </w:pPr>
            <w:r w:rsidRPr="00E26EF6">
              <w:rPr>
                <w:rFonts w:ascii="Times New Roman" w:hAnsi="Times New Roman"/>
                <w:b/>
                <w:bCs/>
                <w:sz w:val="24"/>
                <w:u w:val="single"/>
              </w:rPr>
              <w:t>Wymogi</w:t>
            </w:r>
            <w:r w:rsidR="00E26EF6" w:rsidRPr="00E26EF6">
              <w:rPr>
                <w:rFonts w:ascii="Times New Roman" w:hAnsi="Times New Roman"/>
                <w:b/>
                <w:bCs/>
                <w:sz w:val="24"/>
                <w:u w:val="single"/>
              </w:rPr>
              <w:t xml:space="preserve"> w zak</w:t>
            </w:r>
            <w:r w:rsidRPr="00E26EF6">
              <w:rPr>
                <w:rFonts w:ascii="Times New Roman" w:hAnsi="Times New Roman"/>
                <w:b/>
                <w:bCs/>
                <w:sz w:val="24"/>
                <w:u w:val="single"/>
              </w:rPr>
              <w:t>resie funduszy własnych dla odnośnych ekspozycji kredytowych – pozycje sekurytyzacyjne</w:t>
            </w:r>
            <w:r w:rsidR="00E26EF6" w:rsidRPr="00E26EF6">
              <w:rPr>
                <w:rFonts w:ascii="Times New Roman" w:hAnsi="Times New Roman"/>
                <w:b/>
                <w:bCs/>
                <w:sz w:val="24"/>
                <w:u w:val="single"/>
              </w:rPr>
              <w:t xml:space="preserve"> w por</w:t>
            </w:r>
            <w:r w:rsidRPr="00E26EF6">
              <w:rPr>
                <w:rFonts w:ascii="Times New Roman" w:hAnsi="Times New Roman"/>
                <w:b/>
                <w:bCs/>
                <w:sz w:val="24"/>
                <w:u w:val="single"/>
              </w:rPr>
              <w:t>tfelu bankowym</w:t>
            </w:r>
          </w:p>
          <w:p w14:paraId="3910496F" w14:textId="2FFB9210" w:rsidR="00915077" w:rsidRPr="00E26EF6" w:rsidRDefault="00BD5485">
            <w:pPr>
              <w:autoSpaceDE w:val="0"/>
              <w:autoSpaceDN w:val="0"/>
              <w:adjustRightInd w:val="0"/>
              <w:rPr>
                <w:rFonts w:ascii="Times New Roman" w:hAnsi="Times New Roman"/>
                <w:sz w:val="24"/>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 obliczone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 5 CRR dla odnośnych ekspozycji kredytowych,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c) CRD,</w:t>
            </w:r>
            <w:r w:rsidR="00E26EF6" w:rsidRPr="00E26EF6">
              <w:rPr>
                <w:rFonts w:ascii="Times New Roman" w:hAnsi="Times New Roman"/>
                <w:sz w:val="24"/>
              </w:rPr>
              <w:t xml:space="preserve"> w dan</w:t>
            </w:r>
            <w:r w:rsidRPr="00E26EF6">
              <w:rPr>
                <w:rFonts w:ascii="Times New Roman" w:hAnsi="Times New Roman"/>
                <w:sz w:val="24"/>
              </w:rPr>
              <w:t>ym państwie.</w:t>
            </w:r>
          </w:p>
          <w:p w14:paraId="40DE055C" w14:textId="6E076F25" w:rsidR="00915077" w:rsidRPr="00E26EF6" w:rsidRDefault="00BD5485">
            <w:pPr>
              <w:rPr>
                <w:rFonts w:ascii="Times New Roman" w:hAnsi="Times New Roman"/>
                <w:b/>
                <w:bCs/>
                <w:sz w:val="24"/>
                <w:highlight w:val="lightGray"/>
                <w:u w:val="single"/>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 wynoszą 8</w:t>
            </w:r>
            <w:r w:rsidR="00023409" w:rsidRPr="00E26EF6">
              <w:rPr>
                <w:rFonts w:ascii="Times New Roman" w:hAnsi="Times New Roman"/>
                <w:sz w:val="24"/>
              </w:rPr>
              <w:t> </w:t>
            </w:r>
            <w:r w:rsidRPr="00E26EF6">
              <w:rPr>
                <w:rFonts w:ascii="Times New Roman" w:hAnsi="Times New Roman"/>
                <w:sz w:val="24"/>
              </w:rPr>
              <w:t>% kwoty ekspozycji ważonej ryzykiem obliczonej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 5 CRR.</w:t>
            </w:r>
          </w:p>
        </w:tc>
      </w:tr>
      <w:tr w:rsidR="00915077" w:rsidRPr="00E26EF6" w14:paraId="5C913484" w14:textId="77777777" w:rsidTr="00672D2A">
        <w:tc>
          <w:tcPr>
            <w:tcW w:w="1697" w:type="dxa"/>
          </w:tcPr>
          <w:p w14:paraId="7ABCA2B9" w14:textId="77777777" w:rsidR="00915077" w:rsidRPr="00E26EF6" w:rsidRDefault="00BD5485">
            <w:pPr>
              <w:rPr>
                <w:rFonts w:ascii="Times New Roman" w:hAnsi="Times New Roman"/>
                <w:sz w:val="24"/>
                <w:highlight w:val="lightGray"/>
              </w:rPr>
            </w:pPr>
            <w:r w:rsidRPr="00E26EF6">
              <w:rPr>
                <w:rFonts w:ascii="Times New Roman" w:hAnsi="Times New Roman"/>
                <w:sz w:val="24"/>
              </w:rPr>
              <w:t>110</w:t>
            </w:r>
          </w:p>
        </w:tc>
        <w:tc>
          <w:tcPr>
            <w:tcW w:w="8131" w:type="dxa"/>
          </w:tcPr>
          <w:p w14:paraId="31BB9CC7" w14:textId="0D1728FB" w:rsidR="00915077" w:rsidRPr="00E26EF6" w:rsidRDefault="00966663">
            <w:pPr>
              <w:rPr>
                <w:rFonts w:ascii="Times New Roman" w:hAnsi="Times New Roman"/>
                <w:b/>
                <w:bCs/>
                <w:sz w:val="24"/>
                <w:u w:val="single"/>
              </w:rPr>
            </w:pPr>
            <w:r w:rsidRPr="00E26EF6">
              <w:rPr>
                <w:rFonts w:ascii="Times New Roman" w:hAnsi="Times New Roman"/>
                <w:b/>
                <w:bCs/>
                <w:sz w:val="24"/>
                <w:u w:val="single"/>
              </w:rPr>
              <w:t>Wymogi</w:t>
            </w:r>
            <w:r w:rsidR="00E26EF6" w:rsidRPr="00E26EF6">
              <w:rPr>
                <w:rFonts w:ascii="Times New Roman" w:hAnsi="Times New Roman"/>
                <w:b/>
                <w:bCs/>
                <w:sz w:val="24"/>
                <w:u w:val="single"/>
              </w:rPr>
              <w:t xml:space="preserve"> w zak</w:t>
            </w:r>
            <w:r w:rsidRPr="00E26EF6">
              <w:rPr>
                <w:rFonts w:ascii="Times New Roman" w:hAnsi="Times New Roman"/>
                <w:b/>
                <w:bCs/>
                <w:sz w:val="24"/>
                <w:u w:val="single"/>
              </w:rPr>
              <w:t>resie funduszy własnych: wagi</w:t>
            </w:r>
          </w:p>
          <w:p w14:paraId="057A44A8" w14:textId="7F86C97C" w:rsidR="00915077" w:rsidRPr="00E26EF6" w:rsidRDefault="00966663">
            <w:pPr>
              <w:rPr>
                <w:rFonts w:ascii="Times New Roman" w:hAnsi="Times New Roman"/>
                <w:sz w:val="24"/>
              </w:rPr>
            </w:pPr>
            <w:r w:rsidRPr="00E26EF6">
              <w:rPr>
                <w:rFonts w:ascii="Times New Roman" w:hAnsi="Times New Roman"/>
                <w:sz w:val="24"/>
              </w:rPr>
              <w:t>Wagę stosowaną do wskaźnika bufora antycyklicznego</w:t>
            </w:r>
            <w:r w:rsidR="00E26EF6" w:rsidRPr="00E26EF6">
              <w:rPr>
                <w:rFonts w:ascii="Times New Roman" w:hAnsi="Times New Roman"/>
                <w:sz w:val="24"/>
              </w:rPr>
              <w:t xml:space="preserve"> w każ</w:t>
            </w:r>
            <w:r w:rsidRPr="00E26EF6">
              <w:rPr>
                <w:rFonts w:ascii="Times New Roman" w:hAnsi="Times New Roman"/>
                <w:sz w:val="24"/>
              </w:rPr>
              <w:t>dym państwie oblicza się jako współczynnik wymogów</w:t>
            </w:r>
            <w:r w:rsidR="00E26EF6" w:rsidRPr="00E26EF6">
              <w:rPr>
                <w:rFonts w:ascii="Times New Roman" w:hAnsi="Times New Roman"/>
                <w:sz w:val="24"/>
              </w:rPr>
              <w:t xml:space="preserve"> w zak</w:t>
            </w:r>
            <w:r w:rsidRPr="00E26EF6">
              <w:rPr>
                <w:rFonts w:ascii="Times New Roman" w:hAnsi="Times New Roman"/>
                <w:sz w:val="24"/>
              </w:rPr>
              <w:t>resie funduszy własnych, określony</w:t>
            </w:r>
            <w:r w:rsidR="00E26EF6" w:rsidRPr="00E26EF6">
              <w:rPr>
                <w:rFonts w:ascii="Times New Roman" w:hAnsi="Times New Roman"/>
                <w:sz w:val="24"/>
              </w:rPr>
              <w:t xml:space="preserve"> w nas</w:t>
            </w:r>
            <w:r w:rsidRPr="00E26EF6">
              <w:rPr>
                <w:rFonts w:ascii="Times New Roman" w:hAnsi="Times New Roman"/>
                <w:sz w:val="24"/>
              </w:rPr>
              <w:t>tępujący sposób:</w:t>
            </w:r>
          </w:p>
          <w:p w14:paraId="3EA883A6" w14:textId="5BAA1588" w:rsidR="00915077" w:rsidRPr="00E26EF6" w:rsidRDefault="00966663">
            <w:pPr>
              <w:rPr>
                <w:rFonts w:ascii="Times New Roman" w:hAnsi="Times New Roman"/>
                <w:sz w:val="24"/>
              </w:rPr>
            </w:pPr>
            <w:r w:rsidRPr="00E26EF6">
              <w:rPr>
                <w:rFonts w:ascii="Times New Roman" w:hAnsi="Times New Roman"/>
                <w:sz w:val="24"/>
              </w:rPr>
              <w:t>1.</w:t>
            </w:r>
            <w:r w:rsidRPr="00E26EF6">
              <w:rPr>
                <w:rFonts w:ascii="Times New Roman" w:hAnsi="Times New Roman"/>
                <w:sz w:val="24"/>
              </w:rPr>
              <w:tab/>
              <w:t>Licznik: łączne wymogi</w:t>
            </w:r>
            <w:r w:rsidR="00E26EF6" w:rsidRPr="00E26EF6">
              <w:rPr>
                <w:rFonts w:ascii="Times New Roman" w:hAnsi="Times New Roman"/>
                <w:sz w:val="24"/>
              </w:rPr>
              <w:t xml:space="preserve"> w zak</w:t>
            </w:r>
            <w:r w:rsidRPr="00E26EF6">
              <w:rPr>
                <w:rFonts w:ascii="Times New Roman" w:hAnsi="Times New Roman"/>
                <w:sz w:val="24"/>
              </w:rPr>
              <w:t>resie funduszy własnych, które dotyczą odnośnych ekspozycji kredytowych</w:t>
            </w:r>
            <w:r w:rsidR="00E26EF6" w:rsidRPr="00E26EF6">
              <w:rPr>
                <w:rFonts w:ascii="Times New Roman" w:hAnsi="Times New Roman"/>
                <w:sz w:val="24"/>
              </w:rPr>
              <w:t xml:space="preserve"> w dan</w:t>
            </w:r>
            <w:r w:rsidRPr="00E26EF6">
              <w:rPr>
                <w:rFonts w:ascii="Times New Roman" w:hAnsi="Times New Roman"/>
                <w:sz w:val="24"/>
              </w:rPr>
              <w:t xml:space="preserve">ym państwie [r070; c010; arkusz dotyczący danego państwa], </w:t>
            </w:r>
          </w:p>
          <w:p w14:paraId="61CF4DFF" w14:textId="132FB2B2" w:rsidR="00915077" w:rsidRPr="00E26EF6" w:rsidRDefault="00966663">
            <w:pPr>
              <w:rPr>
                <w:rFonts w:ascii="Times New Roman" w:hAnsi="Times New Roman"/>
                <w:b/>
                <w:bCs/>
                <w:sz w:val="24"/>
                <w:u w:val="single"/>
              </w:rPr>
            </w:pPr>
            <w:r w:rsidRPr="00E26EF6">
              <w:rPr>
                <w:rFonts w:ascii="Times New Roman" w:hAnsi="Times New Roman"/>
                <w:sz w:val="24"/>
              </w:rPr>
              <w:t>2.</w:t>
            </w:r>
            <w:r w:rsidRPr="00E26EF6">
              <w:rPr>
                <w:rFonts w:ascii="Times New Roman" w:hAnsi="Times New Roman"/>
                <w:sz w:val="24"/>
              </w:rPr>
              <w:tab/>
              <w:t>Mianownik: łączne wymogi</w:t>
            </w:r>
            <w:r w:rsidR="00E26EF6" w:rsidRPr="00E26EF6">
              <w:rPr>
                <w:rFonts w:ascii="Times New Roman" w:hAnsi="Times New Roman"/>
                <w:sz w:val="24"/>
              </w:rPr>
              <w:t xml:space="preserve"> w zak</w:t>
            </w:r>
            <w:r w:rsidRPr="00E26EF6">
              <w:rPr>
                <w:rFonts w:ascii="Times New Roman" w:hAnsi="Times New Roman"/>
                <w:sz w:val="24"/>
              </w:rPr>
              <w:t>resie funduszy własnych, które dotyczą odnośnych ekspozycji kredytowych istotnych do celów obliczania bufora antycyklicznego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4 CRD [r070; c010; „Razem”].</w:t>
            </w:r>
          </w:p>
          <w:p w14:paraId="68F00F8B" w14:textId="6091BCB5" w:rsidR="00915077" w:rsidRPr="00E26EF6" w:rsidRDefault="003B00F4">
            <w:pPr>
              <w:rPr>
                <w:rFonts w:ascii="Times New Roman" w:hAnsi="Times New Roman"/>
                <w:b/>
                <w:bCs/>
                <w:sz w:val="24"/>
                <w:highlight w:val="lightGray"/>
                <w:u w:val="single"/>
              </w:rPr>
            </w:pPr>
            <w:r w:rsidRPr="00E26EF6">
              <w:rPr>
                <w:rFonts w:ascii="Times New Roman" w:hAnsi="Times New Roman"/>
                <w:sz w:val="24"/>
              </w:rPr>
              <w:t>Informacji na temat wag dla wymogów</w:t>
            </w:r>
            <w:r w:rsidR="00E26EF6" w:rsidRPr="00E26EF6">
              <w:rPr>
                <w:rFonts w:ascii="Times New Roman" w:hAnsi="Times New Roman"/>
                <w:sz w:val="24"/>
              </w:rPr>
              <w:t xml:space="preserve"> w zak</w:t>
            </w:r>
            <w:r w:rsidRPr="00E26EF6">
              <w:rPr>
                <w:rFonts w:ascii="Times New Roman" w:hAnsi="Times New Roman"/>
                <w:sz w:val="24"/>
              </w:rPr>
              <w:t>resie funduszy własnych nie zgłasza się jako wartość „Razem” dla wszystkich państw.</w:t>
            </w:r>
          </w:p>
        </w:tc>
      </w:tr>
      <w:tr w:rsidR="00915077" w:rsidRPr="00E26EF6" w14:paraId="55404630" w14:textId="77777777" w:rsidTr="00672D2A">
        <w:tc>
          <w:tcPr>
            <w:tcW w:w="1697" w:type="dxa"/>
          </w:tcPr>
          <w:p w14:paraId="499890CE" w14:textId="77777777" w:rsidR="00915077" w:rsidRPr="00E26EF6" w:rsidRDefault="00966663">
            <w:pPr>
              <w:rPr>
                <w:rFonts w:ascii="Times New Roman" w:hAnsi="Times New Roman"/>
                <w:sz w:val="24"/>
                <w:highlight w:val="lightGray"/>
              </w:rPr>
            </w:pPr>
            <w:r w:rsidRPr="00E26EF6">
              <w:rPr>
                <w:rFonts w:ascii="Times New Roman" w:hAnsi="Times New Roman"/>
                <w:sz w:val="24"/>
              </w:rPr>
              <w:t>120–140</w:t>
            </w:r>
          </w:p>
        </w:tc>
        <w:tc>
          <w:tcPr>
            <w:tcW w:w="8131" w:type="dxa"/>
          </w:tcPr>
          <w:p w14:paraId="7CF81B67" w14:textId="77777777" w:rsidR="00915077" w:rsidRPr="00E26EF6" w:rsidRDefault="00966663">
            <w:pPr>
              <w:rPr>
                <w:rFonts w:ascii="Times New Roman" w:hAnsi="Times New Roman"/>
                <w:b/>
                <w:bCs/>
                <w:sz w:val="24"/>
                <w:highlight w:val="lightGray"/>
                <w:u w:val="single"/>
              </w:rPr>
            </w:pPr>
            <w:r w:rsidRPr="00E26EF6">
              <w:rPr>
                <w:rFonts w:ascii="Times New Roman" w:hAnsi="Times New Roman"/>
                <w:b/>
                <w:bCs/>
                <w:sz w:val="24"/>
                <w:u w:val="single"/>
              </w:rPr>
              <w:t>Wskaźniki bufora antycyklicznego</w:t>
            </w:r>
          </w:p>
        </w:tc>
      </w:tr>
      <w:tr w:rsidR="00915077" w:rsidRPr="00E26EF6" w14:paraId="0F379AD6" w14:textId="77777777" w:rsidTr="00672D2A">
        <w:tc>
          <w:tcPr>
            <w:tcW w:w="1697" w:type="dxa"/>
          </w:tcPr>
          <w:p w14:paraId="1DD17E60" w14:textId="77777777" w:rsidR="00915077" w:rsidRPr="00E26EF6" w:rsidRDefault="00966663">
            <w:pPr>
              <w:rPr>
                <w:rFonts w:ascii="Times New Roman" w:hAnsi="Times New Roman"/>
                <w:sz w:val="24"/>
                <w:highlight w:val="lightGray"/>
              </w:rPr>
            </w:pPr>
            <w:r w:rsidRPr="00E26EF6">
              <w:rPr>
                <w:rFonts w:ascii="Times New Roman" w:hAnsi="Times New Roman"/>
                <w:sz w:val="24"/>
              </w:rPr>
              <w:t>120</w:t>
            </w:r>
          </w:p>
        </w:tc>
        <w:tc>
          <w:tcPr>
            <w:tcW w:w="8131" w:type="dxa"/>
          </w:tcPr>
          <w:p w14:paraId="08E9E1AD" w14:textId="77777777" w:rsidR="00915077" w:rsidRPr="00E26EF6" w:rsidRDefault="00966663">
            <w:pPr>
              <w:rPr>
                <w:rFonts w:ascii="Times New Roman" w:hAnsi="Times New Roman"/>
                <w:b/>
                <w:bCs/>
                <w:sz w:val="24"/>
                <w:u w:val="single"/>
              </w:rPr>
            </w:pPr>
            <w:r w:rsidRPr="00E26EF6">
              <w:rPr>
                <w:rFonts w:ascii="Times New Roman" w:hAnsi="Times New Roman"/>
                <w:b/>
                <w:bCs/>
                <w:sz w:val="24"/>
                <w:u w:val="single"/>
              </w:rPr>
              <w:t>Wskaźnik bufora antycyklicznego określony przez wyznaczony organ</w:t>
            </w:r>
          </w:p>
          <w:p w14:paraId="0F835130" w14:textId="6A953106" w:rsidR="00915077" w:rsidRPr="00E26EF6" w:rsidRDefault="00966663">
            <w:pPr>
              <w:autoSpaceDE w:val="0"/>
              <w:autoSpaceDN w:val="0"/>
              <w:adjustRightInd w:val="0"/>
              <w:rPr>
                <w:rFonts w:ascii="Times New Roman" w:hAnsi="Times New Roman"/>
                <w:sz w:val="24"/>
              </w:rPr>
            </w:pPr>
            <w:r w:rsidRPr="00E26EF6">
              <w:rPr>
                <w:rFonts w:ascii="Times New Roman" w:hAnsi="Times New Roman"/>
                <w:sz w:val="24"/>
              </w:rPr>
              <w:t>Wskaźnik bufora antycyklicznego określony dla danego państwa przez wyznaczony organ tego państwa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136, 137, 139, art.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i c) oraz art.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CRD.</w:t>
            </w:r>
          </w:p>
          <w:p w14:paraId="3BCE5FC7" w14:textId="77777777" w:rsidR="00915077" w:rsidRPr="00E26EF6" w:rsidRDefault="00966663">
            <w:pPr>
              <w:autoSpaceDE w:val="0"/>
              <w:autoSpaceDN w:val="0"/>
              <w:adjustRightInd w:val="0"/>
              <w:rPr>
                <w:rFonts w:ascii="Times New Roman" w:hAnsi="Times New Roman"/>
                <w:sz w:val="24"/>
              </w:rPr>
            </w:pPr>
            <w:r w:rsidRPr="00E26EF6">
              <w:rPr>
                <w:rFonts w:ascii="Times New Roman" w:hAnsi="Times New Roman"/>
                <w:sz w:val="24"/>
              </w:rPr>
              <w:t>Wiersz ten pozostawia się niewypełniony, jeżeli dla danego państwa wyznaczony organ tego państwa nie określił wskaźnika bufora antycyklicznego.</w:t>
            </w:r>
          </w:p>
          <w:p w14:paraId="773D17C0" w14:textId="3A189C43" w:rsidR="00915077" w:rsidRPr="00E26EF6" w:rsidRDefault="00966663">
            <w:pPr>
              <w:autoSpaceDE w:val="0"/>
              <w:autoSpaceDN w:val="0"/>
              <w:adjustRightInd w:val="0"/>
              <w:rPr>
                <w:rFonts w:ascii="Times New Roman" w:hAnsi="Times New Roman"/>
                <w:sz w:val="24"/>
              </w:rPr>
            </w:pPr>
            <w:r w:rsidRPr="00E26EF6">
              <w:rPr>
                <w:rFonts w:ascii="Times New Roman" w:hAnsi="Times New Roman"/>
                <w:sz w:val="24"/>
              </w:rPr>
              <w:lastRenderedPageBreak/>
              <w:t>Nie zgłasza się wskaźników bufora antycyklicznego określonych przez wyznaczony organ, które na sprawozdawczy dzień odniesienia nie mają jeszcze zastosowania</w:t>
            </w:r>
            <w:r w:rsidR="00E26EF6" w:rsidRPr="00E26EF6">
              <w:rPr>
                <w:rFonts w:ascii="Times New Roman" w:hAnsi="Times New Roman"/>
                <w:sz w:val="24"/>
              </w:rPr>
              <w:t xml:space="preserve"> w dan</w:t>
            </w:r>
            <w:r w:rsidRPr="00E26EF6">
              <w:rPr>
                <w:rFonts w:ascii="Times New Roman" w:hAnsi="Times New Roman"/>
                <w:sz w:val="24"/>
              </w:rPr>
              <w:t>ym państwie.</w:t>
            </w:r>
          </w:p>
          <w:p w14:paraId="7DC5255F" w14:textId="77777777" w:rsidR="00915077" w:rsidRPr="00E26EF6" w:rsidRDefault="00966663">
            <w:pPr>
              <w:rPr>
                <w:rFonts w:ascii="Times New Roman" w:hAnsi="Times New Roman"/>
                <w:b/>
                <w:bCs/>
                <w:sz w:val="24"/>
                <w:highlight w:val="lightGray"/>
                <w:u w:val="single"/>
              </w:rPr>
            </w:pPr>
            <w:r w:rsidRPr="00E26EF6">
              <w:rPr>
                <w:rFonts w:ascii="Times New Roman" w:hAnsi="Times New Roman"/>
                <w:sz w:val="24"/>
              </w:rPr>
              <w:t xml:space="preserve">Informacji na temat wskaźnika bufora antycyklicznego określonego przez wyznaczony organ nie zgłasza się jako wartość „Razem” dla wszystkich krajów. </w:t>
            </w:r>
          </w:p>
        </w:tc>
      </w:tr>
      <w:tr w:rsidR="00915077" w:rsidRPr="00E26EF6" w14:paraId="22D3265F" w14:textId="77777777" w:rsidTr="00672D2A">
        <w:tc>
          <w:tcPr>
            <w:tcW w:w="1697" w:type="dxa"/>
          </w:tcPr>
          <w:p w14:paraId="633BB7D1" w14:textId="77777777" w:rsidR="00915077" w:rsidRPr="00E26EF6" w:rsidRDefault="00966663">
            <w:pPr>
              <w:rPr>
                <w:rFonts w:ascii="Times New Roman" w:hAnsi="Times New Roman"/>
                <w:sz w:val="24"/>
                <w:highlight w:val="lightGray"/>
              </w:rPr>
            </w:pPr>
            <w:r w:rsidRPr="00E26EF6">
              <w:rPr>
                <w:rFonts w:ascii="Times New Roman" w:hAnsi="Times New Roman"/>
                <w:sz w:val="24"/>
              </w:rPr>
              <w:lastRenderedPageBreak/>
              <w:t>130</w:t>
            </w:r>
          </w:p>
        </w:tc>
        <w:tc>
          <w:tcPr>
            <w:tcW w:w="8131" w:type="dxa"/>
          </w:tcPr>
          <w:p w14:paraId="0507AFFC" w14:textId="1CA5E8B1" w:rsidR="00915077" w:rsidRPr="00E26EF6" w:rsidRDefault="00966663">
            <w:pPr>
              <w:rPr>
                <w:rFonts w:ascii="Times New Roman" w:hAnsi="Times New Roman"/>
                <w:b/>
                <w:bCs/>
                <w:sz w:val="24"/>
                <w:u w:val="single"/>
              </w:rPr>
            </w:pPr>
            <w:r w:rsidRPr="00E26EF6">
              <w:rPr>
                <w:rFonts w:ascii="Times New Roman" w:hAnsi="Times New Roman"/>
                <w:b/>
                <w:bCs/>
                <w:sz w:val="24"/>
                <w:u w:val="single"/>
              </w:rPr>
              <w:t>Wskaźnik bufora antycyklicznego mający zastosowanie</w:t>
            </w:r>
            <w:r w:rsidR="00E26EF6" w:rsidRPr="00E26EF6">
              <w:rPr>
                <w:rFonts w:ascii="Times New Roman" w:hAnsi="Times New Roman"/>
                <w:b/>
                <w:bCs/>
                <w:sz w:val="24"/>
                <w:u w:val="single"/>
              </w:rPr>
              <w:t xml:space="preserve"> w pań</w:t>
            </w:r>
            <w:r w:rsidRPr="00E26EF6">
              <w:rPr>
                <w:rFonts w:ascii="Times New Roman" w:hAnsi="Times New Roman"/>
                <w:b/>
                <w:bCs/>
                <w:sz w:val="24"/>
                <w:u w:val="single"/>
              </w:rPr>
              <w:t>stwie,</w:t>
            </w:r>
            <w:r w:rsidR="00E26EF6" w:rsidRPr="00E26EF6">
              <w:rPr>
                <w:rFonts w:ascii="Times New Roman" w:hAnsi="Times New Roman"/>
                <w:b/>
                <w:bCs/>
                <w:sz w:val="24"/>
                <w:u w:val="single"/>
              </w:rPr>
              <w:t xml:space="preserve"> w któ</w:t>
            </w:r>
            <w:r w:rsidRPr="00E26EF6">
              <w:rPr>
                <w:rFonts w:ascii="Times New Roman" w:hAnsi="Times New Roman"/>
                <w:b/>
                <w:bCs/>
                <w:sz w:val="24"/>
                <w:u w:val="single"/>
              </w:rPr>
              <w:t>rym mieści się instytucja</w:t>
            </w:r>
          </w:p>
          <w:p w14:paraId="12F70EF9" w14:textId="71209CFA" w:rsidR="00915077" w:rsidRPr="00E26EF6" w:rsidRDefault="00966663">
            <w:pPr>
              <w:autoSpaceDE w:val="0"/>
              <w:autoSpaceDN w:val="0"/>
              <w:adjustRightInd w:val="0"/>
              <w:rPr>
                <w:rFonts w:ascii="Times New Roman" w:hAnsi="Times New Roman"/>
                <w:sz w:val="24"/>
              </w:rPr>
            </w:pPr>
            <w:r w:rsidRPr="00E26EF6">
              <w:rPr>
                <w:rFonts w:ascii="Times New Roman" w:hAnsi="Times New Roman"/>
                <w:sz w:val="24"/>
              </w:rPr>
              <w:t>Wskaźnik bufora antycyklicznego mający zastosowanie</w:t>
            </w:r>
            <w:r w:rsidR="00E26EF6" w:rsidRPr="00E26EF6">
              <w:rPr>
                <w:rFonts w:ascii="Times New Roman" w:hAnsi="Times New Roman"/>
                <w:sz w:val="24"/>
              </w:rPr>
              <w:t xml:space="preserve"> w dan</w:t>
            </w:r>
            <w:r w:rsidRPr="00E26EF6">
              <w:rPr>
                <w:rFonts w:ascii="Times New Roman" w:hAnsi="Times New Roman"/>
                <w:sz w:val="24"/>
              </w:rPr>
              <w:t>ym państwie, który został ustalony przez wyznaczony organ państwa siedziby instytucji,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137, 138, 139, art.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a) CRD. Nie zgłasza się wskaźników bufora antycyklicznego, które na sprawozdawczy dzień odniesienia nie mają jeszcze zastosowania.</w:t>
            </w:r>
          </w:p>
          <w:p w14:paraId="2B061151" w14:textId="2F090BE4" w:rsidR="00915077" w:rsidRPr="00E26EF6" w:rsidRDefault="00966663">
            <w:pPr>
              <w:rPr>
                <w:rFonts w:ascii="Times New Roman" w:hAnsi="Times New Roman"/>
                <w:b/>
                <w:bCs/>
                <w:sz w:val="24"/>
                <w:highlight w:val="lightGray"/>
                <w:u w:val="single"/>
              </w:rPr>
            </w:pPr>
            <w:r w:rsidRPr="00E26EF6">
              <w:rPr>
                <w:rFonts w:ascii="Times New Roman" w:hAnsi="Times New Roman"/>
                <w:sz w:val="24"/>
              </w:rPr>
              <w:t>Informacji na temat wskaźnika bufora antycyklicznego mającego zastosowanie</w:t>
            </w:r>
            <w:r w:rsidR="00E26EF6" w:rsidRPr="00E26EF6">
              <w:rPr>
                <w:rFonts w:ascii="Times New Roman" w:hAnsi="Times New Roman"/>
                <w:sz w:val="24"/>
              </w:rPr>
              <w:t xml:space="preserve"> w pań</w:t>
            </w:r>
            <w:r w:rsidRPr="00E26EF6">
              <w:rPr>
                <w:rFonts w:ascii="Times New Roman" w:hAnsi="Times New Roman"/>
                <w:sz w:val="24"/>
              </w:rPr>
              <w:t>stwie,</w:t>
            </w:r>
            <w:r w:rsidR="00E26EF6" w:rsidRPr="00E26EF6">
              <w:rPr>
                <w:rFonts w:ascii="Times New Roman" w:hAnsi="Times New Roman"/>
                <w:sz w:val="24"/>
              </w:rPr>
              <w:t xml:space="preserve"> w któ</w:t>
            </w:r>
            <w:r w:rsidRPr="00E26EF6">
              <w:rPr>
                <w:rFonts w:ascii="Times New Roman" w:hAnsi="Times New Roman"/>
                <w:sz w:val="24"/>
              </w:rPr>
              <w:t>rym mieści się instytucja, nie zgłasza się jako wartość „Razem” dla wszystkich państw.</w:t>
            </w:r>
          </w:p>
        </w:tc>
      </w:tr>
      <w:tr w:rsidR="00915077" w:rsidRPr="00E26EF6" w14:paraId="262440CD" w14:textId="77777777" w:rsidTr="00672D2A">
        <w:tc>
          <w:tcPr>
            <w:tcW w:w="1697" w:type="dxa"/>
          </w:tcPr>
          <w:p w14:paraId="1973CB1A" w14:textId="77777777" w:rsidR="00915077" w:rsidRPr="00E26EF6" w:rsidRDefault="00966663">
            <w:pPr>
              <w:rPr>
                <w:rFonts w:ascii="Times New Roman" w:hAnsi="Times New Roman"/>
                <w:sz w:val="24"/>
                <w:highlight w:val="lightGray"/>
              </w:rPr>
            </w:pPr>
            <w:r w:rsidRPr="00E26EF6">
              <w:rPr>
                <w:rFonts w:ascii="Times New Roman" w:hAnsi="Times New Roman"/>
                <w:sz w:val="24"/>
              </w:rPr>
              <w:t>140</w:t>
            </w:r>
          </w:p>
        </w:tc>
        <w:tc>
          <w:tcPr>
            <w:tcW w:w="8131" w:type="dxa"/>
          </w:tcPr>
          <w:p w14:paraId="0A436DF4" w14:textId="77777777" w:rsidR="00915077" w:rsidRPr="00E26EF6" w:rsidRDefault="00966663">
            <w:pPr>
              <w:rPr>
                <w:rFonts w:ascii="Times New Roman" w:hAnsi="Times New Roman"/>
                <w:b/>
                <w:bCs/>
                <w:sz w:val="24"/>
                <w:u w:val="single"/>
              </w:rPr>
            </w:pPr>
            <w:r w:rsidRPr="00E26EF6">
              <w:rPr>
                <w:rFonts w:ascii="Times New Roman" w:hAnsi="Times New Roman"/>
                <w:b/>
                <w:bCs/>
                <w:sz w:val="24"/>
                <w:u w:val="single"/>
              </w:rPr>
              <w:t xml:space="preserve">Specyficzny dla instytucji wskaźnik bufora antycyklicznego </w:t>
            </w:r>
          </w:p>
          <w:p w14:paraId="57DDE462" w14:textId="41C0EF3F" w:rsidR="00915077" w:rsidRPr="00E26EF6" w:rsidRDefault="00966663">
            <w:pPr>
              <w:autoSpaceDE w:val="0"/>
              <w:autoSpaceDN w:val="0"/>
              <w:adjustRightInd w:val="0"/>
              <w:rPr>
                <w:rFonts w:ascii="Times New Roman" w:hAnsi="Times New Roman"/>
                <w:sz w:val="24"/>
              </w:rPr>
            </w:pPr>
            <w:r w:rsidRPr="00E26EF6">
              <w:rPr>
                <w:rFonts w:ascii="Times New Roman" w:hAnsi="Times New Roman"/>
                <w:sz w:val="24"/>
              </w:rPr>
              <w:t>Specyficzny dla instytucji wskaźnik bufora antycyklicznego obliczony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140 ust.</w:t>
            </w:r>
            <w:r w:rsidR="00023409" w:rsidRPr="00E26EF6">
              <w:rPr>
                <w:rFonts w:ascii="Times New Roman" w:hAnsi="Times New Roman"/>
                <w:sz w:val="24"/>
              </w:rPr>
              <w:t> </w:t>
            </w:r>
            <w:r w:rsidRPr="00E26EF6">
              <w:rPr>
                <w:rFonts w:ascii="Times New Roman" w:hAnsi="Times New Roman"/>
                <w:sz w:val="24"/>
              </w:rPr>
              <w:t xml:space="preserve">1 CRD. </w:t>
            </w:r>
          </w:p>
          <w:p w14:paraId="768F6D06" w14:textId="208F051D" w:rsidR="00915077" w:rsidRPr="00E26EF6" w:rsidRDefault="00966663">
            <w:pPr>
              <w:autoSpaceDE w:val="0"/>
              <w:autoSpaceDN w:val="0"/>
              <w:adjustRightInd w:val="0"/>
              <w:rPr>
                <w:rFonts w:ascii="Times New Roman" w:hAnsi="Times New Roman"/>
                <w:sz w:val="24"/>
              </w:rPr>
            </w:pPr>
            <w:r w:rsidRPr="00E26EF6">
              <w:rPr>
                <w:rFonts w:ascii="Times New Roman" w:hAnsi="Times New Roman"/>
                <w:sz w:val="24"/>
              </w:rPr>
              <w:t>Specyficzny dla instytucji wskaźnik bufora antycyklicznego oblicza się jako średnią ważoną wskaźników bufora antycyklicznego mających zastosowanie</w:t>
            </w:r>
            <w:r w:rsidR="00E26EF6" w:rsidRPr="00E26EF6">
              <w:rPr>
                <w:rFonts w:ascii="Times New Roman" w:hAnsi="Times New Roman"/>
                <w:sz w:val="24"/>
              </w:rPr>
              <w:t xml:space="preserve"> w jur</w:t>
            </w:r>
            <w:r w:rsidRPr="00E26EF6">
              <w:rPr>
                <w:rFonts w:ascii="Times New Roman" w:hAnsi="Times New Roman"/>
                <w:sz w:val="24"/>
              </w:rPr>
              <w:t>ysdykcjach,</w:t>
            </w:r>
            <w:r w:rsidR="00E26EF6" w:rsidRPr="00E26EF6">
              <w:rPr>
                <w:rFonts w:ascii="Times New Roman" w:hAnsi="Times New Roman"/>
                <w:sz w:val="24"/>
              </w:rPr>
              <w:t xml:space="preserve"> w któ</w:t>
            </w:r>
            <w:r w:rsidRPr="00E26EF6">
              <w:rPr>
                <w:rFonts w:ascii="Times New Roman" w:hAnsi="Times New Roman"/>
                <w:sz w:val="24"/>
              </w:rPr>
              <w:t>rych odnośne ekspozycje kredytowe instytucji się znajdują lub są stosowane do celów art.</w:t>
            </w:r>
            <w:r w:rsidR="00023409" w:rsidRPr="00E26EF6">
              <w:rPr>
                <w:rFonts w:ascii="Times New Roman" w:hAnsi="Times New Roman"/>
                <w:sz w:val="24"/>
              </w:rPr>
              <w:t> </w:t>
            </w:r>
            <w:r w:rsidRPr="00E26EF6">
              <w:rPr>
                <w:rFonts w:ascii="Times New Roman" w:hAnsi="Times New Roman"/>
                <w:sz w:val="24"/>
              </w:rPr>
              <w:t>140 na mocy art.</w:t>
            </w:r>
            <w:r w:rsidR="00023409" w:rsidRPr="00E26EF6">
              <w:rPr>
                <w:rFonts w:ascii="Times New Roman" w:hAnsi="Times New Roman"/>
                <w:sz w:val="24"/>
              </w:rPr>
              <w:t> </w:t>
            </w:r>
            <w:r w:rsidRPr="00E26EF6">
              <w:rPr>
                <w:rFonts w:ascii="Times New Roman" w:hAnsi="Times New Roman"/>
                <w:sz w:val="24"/>
              </w:rPr>
              <w:t>139 ust.</w:t>
            </w:r>
            <w:r w:rsidR="00023409" w:rsidRPr="00E26EF6">
              <w:rPr>
                <w:rFonts w:ascii="Times New Roman" w:hAnsi="Times New Roman"/>
                <w:sz w:val="24"/>
              </w:rPr>
              <w:t> </w:t>
            </w:r>
            <w:r w:rsidRPr="00E26EF6">
              <w:rPr>
                <w:rFonts w:ascii="Times New Roman" w:hAnsi="Times New Roman"/>
                <w:sz w:val="24"/>
              </w:rPr>
              <w:t>2 lub</w:t>
            </w:r>
            <w:r w:rsidR="00023409" w:rsidRPr="00E26EF6">
              <w:rPr>
                <w:rFonts w:ascii="Times New Roman" w:hAnsi="Times New Roman"/>
                <w:sz w:val="24"/>
              </w:rPr>
              <w:t> </w:t>
            </w:r>
            <w:r w:rsidRPr="00E26EF6">
              <w:rPr>
                <w:rFonts w:ascii="Times New Roman" w:hAnsi="Times New Roman"/>
                <w:sz w:val="24"/>
              </w:rPr>
              <w:t>3 CRD. Odnośny wskaźnik bufora antycyklicznego zgłasza się, stosownie do przypadku,</w:t>
            </w:r>
            <w:r w:rsidR="00E26EF6" w:rsidRPr="00E26EF6">
              <w:rPr>
                <w:rFonts w:ascii="Times New Roman" w:hAnsi="Times New Roman"/>
                <w:sz w:val="24"/>
              </w:rPr>
              <w:t xml:space="preserve"> w poz</w:t>
            </w:r>
            <w:r w:rsidRPr="00E26EF6">
              <w:rPr>
                <w:rFonts w:ascii="Times New Roman" w:hAnsi="Times New Roman"/>
                <w:sz w:val="24"/>
              </w:rPr>
              <w:t>ycji [r120; c020; arkusz dotyczący danego państwa] lub [r130; c020; arkusz dotyczący danego państwa].</w:t>
            </w:r>
          </w:p>
          <w:p w14:paraId="77566ED2" w14:textId="6CF866DF" w:rsidR="00915077" w:rsidRPr="00E26EF6" w:rsidRDefault="00966663">
            <w:pPr>
              <w:autoSpaceDE w:val="0"/>
              <w:autoSpaceDN w:val="0"/>
              <w:adjustRightInd w:val="0"/>
              <w:rPr>
                <w:rFonts w:ascii="Times New Roman" w:hAnsi="Times New Roman"/>
                <w:b/>
                <w:strike/>
                <w:sz w:val="24"/>
              </w:rPr>
            </w:pPr>
            <w:r w:rsidRPr="00E26EF6">
              <w:rPr>
                <w:rFonts w:ascii="Times New Roman" w:hAnsi="Times New Roman"/>
                <w:sz w:val="24"/>
              </w:rPr>
              <w:t>Wagę stosowaną do wskaźnika bufora antycyklicznego</w:t>
            </w:r>
            <w:r w:rsidR="00E26EF6" w:rsidRPr="00E26EF6">
              <w:rPr>
                <w:rFonts w:ascii="Times New Roman" w:hAnsi="Times New Roman"/>
                <w:sz w:val="24"/>
              </w:rPr>
              <w:t xml:space="preserve"> w każ</w:t>
            </w:r>
            <w:r w:rsidRPr="00E26EF6">
              <w:rPr>
                <w:rFonts w:ascii="Times New Roman" w:hAnsi="Times New Roman"/>
                <w:sz w:val="24"/>
              </w:rPr>
              <w:t>dym państwie stanowi udział wymogów</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w łąc</w:t>
            </w:r>
            <w:r w:rsidRPr="00E26EF6">
              <w:rPr>
                <w:rFonts w:ascii="Times New Roman" w:hAnsi="Times New Roman"/>
                <w:sz w:val="24"/>
              </w:rPr>
              <w:t>znych wymogach</w:t>
            </w:r>
            <w:r w:rsidR="00E26EF6" w:rsidRPr="00E26EF6">
              <w:rPr>
                <w:rFonts w:ascii="Times New Roman" w:hAnsi="Times New Roman"/>
                <w:sz w:val="24"/>
              </w:rPr>
              <w:t xml:space="preserve"> w zak</w:t>
            </w:r>
            <w:r w:rsidRPr="00E26EF6">
              <w:rPr>
                <w:rFonts w:ascii="Times New Roman" w:hAnsi="Times New Roman"/>
                <w:sz w:val="24"/>
              </w:rPr>
              <w:t>resie funduszy własnych; podlega ona zgłoszeniu</w:t>
            </w:r>
            <w:r w:rsidR="00E26EF6" w:rsidRPr="00E26EF6">
              <w:rPr>
                <w:rFonts w:ascii="Times New Roman" w:hAnsi="Times New Roman"/>
                <w:sz w:val="24"/>
              </w:rPr>
              <w:t xml:space="preserve"> w poz</w:t>
            </w:r>
            <w:r w:rsidRPr="00E26EF6">
              <w:rPr>
                <w:rFonts w:ascii="Times New Roman" w:hAnsi="Times New Roman"/>
                <w:sz w:val="24"/>
              </w:rPr>
              <w:t xml:space="preserve">ycji [r110; c020; arkusz dotyczący danego państwa], </w:t>
            </w:r>
          </w:p>
          <w:p w14:paraId="49E66101" w14:textId="7782D751" w:rsidR="00915077" w:rsidRPr="00E26EF6" w:rsidRDefault="00966663">
            <w:pPr>
              <w:rPr>
                <w:rFonts w:ascii="Times New Roman" w:hAnsi="Times New Roman"/>
                <w:b/>
                <w:bCs/>
                <w:sz w:val="24"/>
                <w:highlight w:val="lightGray"/>
                <w:u w:val="single"/>
              </w:rPr>
            </w:pPr>
            <w:r w:rsidRPr="00E26EF6">
              <w:rPr>
                <w:rFonts w:ascii="Times New Roman" w:hAnsi="Times New Roman"/>
                <w:sz w:val="24"/>
              </w:rPr>
              <w:t>Informacje na temat specyficznego dla instytucji wskaźnika bufora antycyklicznego zgłasza się wyłącznie jako wartość „Razem” dla wszystkich państw,</w:t>
            </w:r>
            <w:r w:rsidR="00E26EF6" w:rsidRPr="00E26EF6">
              <w:rPr>
                <w:rFonts w:ascii="Times New Roman" w:hAnsi="Times New Roman"/>
                <w:sz w:val="24"/>
              </w:rPr>
              <w:t xml:space="preserve"> a nie</w:t>
            </w:r>
            <w:r w:rsidRPr="00E26EF6">
              <w:rPr>
                <w:rFonts w:ascii="Times New Roman" w:hAnsi="Times New Roman"/>
                <w:sz w:val="24"/>
              </w:rPr>
              <w:t xml:space="preserve"> osobno dla każdego państwa.</w:t>
            </w:r>
          </w:p>
        </w:tc>
      </w:tr>
      <w:tr w:rsidR="00915077" w:rsidRPr="00E26EF6" w14:paraId="64DE1759" w14:textId="77777777" w:rsidTr="00672D2A">
        <w:tc>
          <w:tcPr>
            <w:tcW w:w="1697" w:type="dxa"/>
          </w:tcPr>
          <w:p w14:paraId="57D6BF5B" w14:textId="77777777" w:rsidR="00915077" w:rsidRPr="00E26EF6" w:rsidRDefault="006B1A77">
            <w:pPr>
              <w:rPr>
                <w:rFonts w:ascii="Times New Roman" w:hAnsi="Times New Roman"/>
                <w:sz w:val="24"/>
                <w:highlight w:val="lightGray"/>
              </w:rPr>
            </w:pPr>
            <w:r w:rsidRPr="00E26EF6">
              <w:rPr>
                <w:rFonts w:ascii="Times New Roman" w:hAnsi="Times New Roman"/>
                <w:sz w:val="24"/>
              </w:rPr>
              <w:t>150–160</w:t>
            </w:r>
          </w:p>
        </w:tc>
        <w:tc>
          <w:tcPr>
            <w:tcW w:w="8131" w:type="dxa"/>
          </w:tcPr>
          <w:p w14:paraId="6477D974" w14:textId="77777777" w:rsidR="00915077" w:rsidRPr="00E26EF6" w:rsidRDefault="006B1A77">
            <w:pPr>
              <w:rPr>
                <w:rFonts w:ascii="Times New Roman" w:hAnsi="Times New Roman"/>
                <w:b/>
                <w:bCs/>
                <w:sz w:val="24"/>
                <w:highlight w:val="lightGray"/>
                <w:u w:val="single"/>
              </w:rPr>
            </w:pPr>
            <w:r w:rsidRPr="00E26EF6">
              <w:rPr>
                <w:rFonts w:ascii="Times New Roman" w:hAnsi="Times New Roman"/>
                <w:b/>
                <w:bCs/>
                <w:sz w:val="24"/>
                <w:u w:val="single"/>
              </w:rPr>
              <w:t>Zastosowanie 2-procentowego progu</w:t>
            </w:r>
          </w:p>
        </w:tc>
      </w:tr>
      <w:tr w:rsidR="00915077" w:rsidRPr="00E26EF6" w14:paraId="27996DE3" w14:textId="77777777" w:rsidTr="00672D2A">
        <w:tc>
          <w:tcPr>
            <w:tcW w:w="1697" w:type="dxa"/>
          </w:tcPr>
          <w:p w14:paraId="373293DD" w14:textId="77777777" w:rsidR="00915077" w:rsidRPr="00E26EF6" w:rsidRDefault="00966663">
            <w:pPr>
              <w:rPr>
                <w:rFonts w:ascii="Times New Roman" w:hAnsi="Times New Roman"/>
                <w:sz w:val="24"/>
                <w:highlight w:val="lightGray"/>
              </w:rPr>
            </w:pPr>
            <w:r w:rsidRPr="00E26EF6">
              <w:rPr>
                <w:rFonts w:ascii="Times New Roman" w:hAnsi="Times New Roman"/>
                <w:sz w:val="24"/>
              </w:rPr>
              <w:t>150</w:t>
            </w:r>
          </w:p>
        </w:tc>
        <w:tc>
          <w:tcPr>
            <w:tcW w:w="8131" w:type="dxa"/>
          </w:tcPr>
          <w:p w14:paraId="2A5F59A8" w14:textId="77777777" w:rsidR="00915077" w:rsidRPr="00E26EF6" w:rsidRDefault="00FC0B81">
            <w:pPr>
              <w:autoSpaceDE w:val="0"/>
              <w:autoSpaceDN w:val="0"/>
              <w:adjustRightInd w:val="0"/>
              <w:rPr>
                <w:rFonts w:ascii="Times New Roman" w:hAnsi="Times New Roman"/>
                <w:sz w:val="24"/>
              </w:rPr>
            </w:pPr>
            <w:r w:rsidRPr="00E26EF6">
              <w:rPr>
                <w:rFonts w:ascii="Times New Roman" w:hAnsi="Times New Roman"/>
                <w:b/>
                <w:bCs/>
                <w:sz w:val="24"/>
                <w:u w:val="single"/>
              </w:rPr>
              <w:t>Zastosowanie 2-procentowego progu dla ogólnej ekspozycji kredytowej</w:t>
            </w:r>
            <w:r w:rsidRPr="00E26EF6">
              <w:rPr>
                <w:rFonts w:ascii="Times New Roman" w:hAnsi="Times New Roman"/>
                <w:sz w:val="24"/>
              </w:rPr>
              <w:t xml:space="preserve"> </w:t>
            </w:r>
          </w:p>
          <w:p w14:paraId="26FF49BD" w14:textId="077E971B" w:rsidR="00915077" w:rsidRPr="00E26EF6" w:rsidRDefault="006A3A82">
            <w:pPr>
              <w:autoSpaceDE w:val="0"/>
              <w:autoSpaceDN w:val="0"/>
              <w:adjustRightInd w:val="0"/>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 ust.</w:t>
            </w:r>
            <w:r w:rsidR="00023409" w:rsidRPr="00E26EF6">
              <w:rPr>
                <w:rFonts w:ascii="Times New Roman" w:hAnsi="Times New Roman"/>
                <w:sz w:val="24"/>
              </w:rPr>
              <w:t> </w:t>
            </w:r>
            <w:r w:rsidRPr="00E26EF6">
              <w:rPr>
                <w:rFonts w:ascii="Times New Roman" w:hAnsi="Times New Roman"/>
                <w:sz w:val="24"/>
              </w:rPr>
              <w:t>5 lit.</w:t>
            </w:r>
            <w:r w:rsidR="00023409" w:rsidRPr="00E26EF6">
              <w:rPr>
                <w:rFonts w:ascii="Times New Roman" w:hAnsi="Times New Roman"/>
                <w:sz w:val="24"/>
              </w:rPr>
              <w:t> </w:t>
            </w:r>
            <w:r w:rsidRPr="00E26EF6">
              <w:rPr>
                <w:rFonts w:ascii="Times New Roman" w:hAnsi="Times New Roman"/>
                <w:sz w:val="24"/>
              </w:rPr>
              <w:t>b) rozporządzenia delegowanego Komisji (UE) nr</w:t>
            </w:r>
            <w:r w:rsidR="00023409" w:rsidRPr="00E26EF6">
              <w:rPr>
                <w:rFonts w:ascii="Times New Roman" w:hAnsi="Times New Roman"/>
                <w:sz w:val="24"/>
              </w:rPr>
              <w:t> </w:t>
            </w:r>
            <w:r w:rsidRPr="00E26EF6">
              <w:rPr>
                <w:rFonts w:ascii="Times New Roman" w:hAnsi="Times New Roman"/>
                <w:sz w:val="24"/>
              </w:rPr>
              <w:t>1152/2014 zagraniczne ogólne ekspozycje kredytowe, które łącznie nie przekraczają 2</w:t>
            </w:r>
            <w:r w:rsidR="00023409" w:rsidRPr="00E26EF6">
              <w:rPr>
                <w:rFonts w:ascii="Times New Roman" w:hAnsi="Times New Roman"/>
                <w:sz w:val="24"/>
              </w:rPr>
              <w:t> </w:t>
            </w:r>
            <w:r w:rsidRPr="00E26EF6">
              <w:rPr>
                <w:rFonts w:ascii="Times New Roman" w:hAnsi="Times New Roman"/>
                <w:sz w:val="24"/>
              </w:rPr>
              <w:t>% łącznych ogólnych ekspozycji kredytowych, ekspozycji zaliczonych do portfela handlowego</w:t>
            </w:r>
            <w:r w:rsidR="00E26EF6" w:rsidRPr="00E26EF6">
              <w:rPr>
                <w:rFonts w:ascii="Times New Roman" w:hAnsi="Times New Roman"/>
                <w:sz w:val="24"/>
              </w:rPr>
              <w:t xml:space="preserve"> i eks</w:t>
            </w:r>
            <w:r w:rsidRPr="00E26EF6">
              <w:rPr>
                <w:rFonts w:ascii="Times New Roman" w:hAnsi="Times New Roman"/>
                <w:sz w:val="24"/>
              </w:rPr>
              <w:t>pozycji sekurytyzacyjnych tej instytucji, można przypisać państwu członkowskiemu pochodzenia instytucji. Łączne ogólne ekspozycje kredytowe, ekspozycje zaliczone do portfela handlowego</w:t>
            </w:r>
            <w:r w:rsidR="00E26EF6" w:rsidRPr="00E26EF6">
              <w:rPr>
                <w:rFonts w:ascii="Times New Roman" w:hAnsi="Times New Roman"/>
                <w:sz w:val="24"/>
              </w:rPr>
              <w:t xml:space="preserve"> i eks</w:t>
            </w:r>
            <w:r w:rsidRPr="00E26EF6">
              <w:rPr>
                <w:rFonts w:ascii="Times New Roman" w:hAnsi="Times New Roman"/>
                <w:sz w:val="24"/>
              </w:rPr>
              <w:t>pozycje sekurytyzacyjne oblicza się</w:t>
            </w:r>
            <w:r w:rsidR="00E26EF6" w:rsidRPr="00E26EF6">
              <w:rPr>
                <w:rFonts w:ascii="Times New Roman" w:hAnsi="Times New Roman"/>
                <w:sz w:val="24"/>
              </w:rPr>
              <w:t xml:space="preserve"> z wyk</w:t>
            </w:r>
            <w:r w:rsidRPr="00E26EF6">
              <w:rPr>
                <w:rFonts w:ascii="Times New Roman" w:hAnsi="Times New Roman"/>
                <w:sz w:val="24"/>
              </w:rPr>
              <w:t>luczeniem ogólnych ekspozycji kredytowych zlokalizowanych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 ust.</w:t>
            </w:r>
            <w:r w:rsidR="00023409" w:rsidRPr="00E26EF6">
              <w:rPr>
                <w:rFonts w:ascii="Times New Roman" w:hAnsi="Times New Roman"/>
                <w:sz w:val="24"/>
              </w:rPr>
              <w:t> </w:t>
            </w:r>
            <w:r w:rsidRPr="00E26EF6">
              <w:rPr>
                <w:rFonts w:ascii="Times New Roman" w:hAnsi="Times New Roman"/>
                <w:sz w:val="24"/>
              </w:rPr>
              <w:t>5 lit.</w:t>
            </w:r>
            <w:r w:rsidR="00023409" w:rsidRPr="00E26EF6">
              <w:rPr>
                <w:rFonts w:ascii="Times New Roman" w:hAnsi="Times New Roman"/>
                <w:sz w:val="24"/>
              </w:rPr>
              <w:t> </w:t>
            </w:r>
            <w:r w:rsidRPr="00E26EF6">
              <w:rPr>
                <w:rFonts w:ascii="Times New Roman" w:hAnsi="Times New Roman"/>
                <w:sz w:val="24"/>
              </w:rPr>
              <w:t>a)</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 ust.</w:t>
            </w:r>
            <w:r w:rsidR="00023409" w:rsidRPr="00E26EF6">
              <w:rPr>
                <w:rFonts w:ascii="Times New Roman" w:hAnsi="Times New Roman"/>
                <w:sz w:val="24"/>
              </w:rPr>
              <w:t> </w:t>
            </w:r>
            <w:r w:rsidRPr="00E26EF6">
              <w:rPr>
                <w:rFonts w:ascii="Times New Roman" w:hAnsi="Times New Roman"/>
                <w:sz w:val="24"/>
              </w:rPr>
              <w:t>4 rozporządzenia delegowanego Komisji (UE) nr</w:t>
            </w:r>
            <w:r w:rsidR="00023409" w:rsidRPr="00E26EF6">
              <w:rPr>
                <w:rFonts w:ascii="Times New Roman" w:hAnsi="Times New Roman"/>
                <w:sz w:val="24"/>
              </w:rPr>
              <w:t> </w:t>
            </w:r>
            <w:r w:rsidRPr="00E26EF6">
              <w:rPr>
                <w:rFonts w:ascii="Times New Roman" w:hAnsi="Times New Roman"/>
                <w:sz w:val="24"/>
              </w:rPr>
              <w:t>1152/2014.</w:t>
            </w:r>
          </w:p>
          <w:p w14:paraId="2ABCAAFB" w14:textId="2BB03314" w:rsidR="00915077" w:rsidRPr="00E26EF6" w:rsidRDefault="006A3A82">
            <w:pPr>
              <w:autoSpaceDE w:val="0"/>
              <w:autoSpaceDN w:val="0"/>
              <w:adjustRightInd w:val="0"/>
              <w:rPr>
                <w:rFonts w:ascii="Times New Roman" w:hAnsi="Times New Roman"/>
                <w:sz w:val="24"/>
              </w:rPr>
            </w:pPr>
            <w:r w:rsidRPr="00E26EF6">
              <w:rPr>
                <w:rFonts w:ascii="Times New Roman" w:hAnsi="Times New Roman"/>
                <w:sz w:val="24"/>
              </w:rPr>
              <w:t>Jeżeli instytucja skorzysta</w:t>
            </w:r>
            <w:r w:rsidR="00E26EF6" w:rsidRPr="00E26EF6">
              <w:rPr>
                <w:rFonts w:ascii="Times New Roman" w:hAnsi="Times New Roman"/>
                <w:sz w:val="24"/>
              </w:rPr>
              <w:t xml:space="preserve"> z teg</w:t>
            </w:r>
            <w:r w:rsidRPr="00E26EF6">
              <w:rPr>
                <w:rFonts w:ascii="Times New Roman" w:hAnsi="Times New Roman"/>
                <w:sz w:val="24"/>
              </w:rPr>
              <w:t>o odstępstwa, we wzorze dla jurysdykcji odpowiadającej państwu członkowskiemu jej pochodzenia oraz</w:t>
            </w:r>
            <w:r w:rsidR="00E26EF6" w:rsidRPr="00E26EF6">
              <w:rPr>
                <w:rFonts w:ascii="Times New Roman" w:hAnsi="Times New Roman"/>
                <w:sz w:val="24"/>
              </w:rPr>
              <w:t xml:space="preserve"> w poz</w:t>
            </w:r>
            <w:r w:rsidRPr="00E26EF6">
              <w:rPr>
                <w:rFonts w:ascii="Times New Roman" w:hAnsi="Times New Roman"/>
                <w:sz w:val="24"/>
              </w:rPr>
              <w:t>ycji „Razem” dla wszystkich państw wpisuje „y”.</w:t>
            </w:r>
          </w:p>
          <w:p w14:paraId="22F8386D" w14:textId="23650CEC" w:rsidR="00915077" w:rsidRPr="00E26EF6" w:rsidRDefault="006A3A82">
            <w:pPr>
              <w:autoSpaceDE w:val="0"/>
              <w:autoSpaceDN w:val="0"/>
              <w:adjustRightInd w:val="0"/>
              <w:rPr>
                <w:rFonts w:ascii="Times New Roman" w:hAnsi="Times New Roman"/>
                <w:sz w:val="24"/>
                <w:highlight w:val="lightGray"/>
              </w:rPr>
            </w:pPr>
            <w:r w:rsidRPr="00E26EF6">
              <w:rPr>
                <w:rFonts w:ascii="Times New Roman" w:hAnsi="Times New Roman"/>
                <w:sz w:val="24"/>
              </w:rPr>
              <w:t>Jeżeli instytucja nie skorzysta</w:t>
            </w:r>
            <w:r w:rsidR="00E26EF6" w:rsidRPr="00E26EF6">
              <w:rPr>
                <w:rFonts w:ascii="Times New Roman" w:hAnsi="Times New Roman"/>
                <w:sz w:val="24"/>
              </w:rPr>
              <w:t xml:space="preserve"> z teg</w:t>
            </w:r>
            <w:r w:rsidRPr="00E26EF6">
              <w:rPr>
                <w:rFonts w:ascii="Times New Roman" w:hAnsi="Times New Roman"/>
                <w:sz w:val="24"/>
              </w:rPr>
              <w:t>o odstępstwa,</w:t>
            </w:r>
            <w:r w:rsidR="00E26EF6" w:rsidRPr="00E26EF6">
              <w:rPr>
                <w:rFonts w:ascii="Times New Roman" w:hAnsi="Times New Roman"/>
                <w:sz w:val="24"/>
              </w:rPr>
              <w:t xml:space="preserve"> w odp</w:t>
            </w:r>
            <w:r w:rsidRPr="00E26EF6">
              <w:rPr>
                <w:rFonts w:ascii="Times New Roman" w:hAnsi="Times New Roman"/>
                <w:sz w:val="24"/>
              </w:rPr>
              <w:t>owiedniej komórce wpisuje „n”.</w:t>
            </w:r>
          </w:p>
        </w:tc>
      </w:tr>
      <w:tr w:rsidR="00915077" w:rsidRPr="00E26EF6" w14:paraId="72684D83" w14:textId="77777777" w:rsidTr="00672D2A">
        <w:tc>
          <w:tcPr>
            <w:tcW w:w="1697" w:type="dxa"/>
          </w:tcPr>
          <w:p w14:paraId="44197176" w14:textId="77777777" w:rsidR="00915077" w:rsidRPr="00E26EF6" w:rsidRDefault="00966663">
            <w:pPr>
              <w:rPr>
                <w:rFonts w:ascii="Times New Roman" w:hAnsi="Times New Roman"/>
                <w:sz w:val="24"/>
                <w:highlight w:val="lightGray"/>
              </w:rPr>
            </w:pPr>
            <w:r w:rsidRPr="00E26EF6">
              <w:rPr>
                <w:rFonts w:ascii="Times New Roman" w:hAnsi="Times New Roman"/>
                <w:sz w:val="24"/>
              </w:rPr>
              <w:t>160</w:t>
            </w:r>
          </w:p>
        </w:tc>
        <w:tc>
          <w:tcPr>
            <w:tcW w:w="8131" w:type="dxa"/>
          </w:tcPr>
          <w:p w14:paraId="1F228719" w14:textId="77777777" w:rsidR="00915077" w:rsidRPr="00E26EF6" w:rsidRDefault="00FC0B81">
            <w:pPr>
              <w:autoSpaceDE w:val="0"/>
              <w:autoSpaceDN w:val="0"/>
              <w:adjustRightInd w:val="0"/>
              <w:rPr>
                <w:rFonts w:ascii="Times New Roman" w:hAnsi="Times New Roman"/>
                <w:sz w:val="24"/>
              </w:rPr>
            </w:pPr>
            <w:r w:rsidRPr="00E26EF6">
              <w:rPr>
                <w:rFonts w:ascii="Times New Roman" w:hAnsi="Times New Roman"/>
                <w:b/>
                <w:bCs/>
                <w:sz w:val="24"/>
                <w:u w:val="single"/>
              </w:rPr>
              <w:t>Zastosowanie 2-procentowego progu dla ekspozycji zaliczonej do portfela handlowego</w:t>
            </w:r>
          </w:p>
          <w:p w14:paraId="0AA58BA6" w14:textId="41CF4B4A" w:rsidR="00915077" w:rsidRPr="00E26EF6" w:rsidRDefault="006A3A82">
            <w:pPr>
              <w:autoSpaceDE w:val="0"/>
              <w:autoSpaceDN w:val="0"/>
              <w:adjustRightInd w:val="0"/>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 ust.</w:t>
            </w:r>
            <w:r w:rsidR="00023409" w:rsidRPr="00E26EF6">
              <w:rPr>
                <w:rFonts w:ascii="Times New Roman" w:hAnsi="Times New Roman"/>
                <w:sz w:val="24"/>
              </w:rPr>
              <w:t> </w:t>
            </w:r>
            <w:r w:rsidRPr="00E26EF6">
              <w:rPr>
                <w:rFonts w:ascii="Times New Roman" w:hAnsi="Times New Roman"/>
                <w:sz w:val="24"/>
              </w:rPr>
              <w:t>3 rozporządzenia delegowanego Komisji (UE) nr</w:t>
            </w:r>
            <w:r w:rsidR="00023409" w:rsidRPr="00E26EF6">
              <w:rPr>
                <w:rFonts w:ascii="Times New Roman" w:hAnsi="Times New Roman"/>
                <w:sz w:val="24"/>
              </w:rPr>
              <w:t> </w:t>
            </w:r>
            <w:r w:rsidRPr="00E26EF6">
              <w:rPr>
                <w:rFonts w:ascii="Times New Roman" w:hAnsi="Times New Roman"/>
                <w:sz w:val="24"/>
              </w:rPr>
              <w:t>1152/2014 instytucje mogą przypisać ekspozycje zaliczone do portfela handlowego państwu członkowskiemu pochodzenia instytucji, jeżeli łączne ekspozycje zaliczone do portfela handlowego nie przekraczają 2</w:t>
            </w:r>
            <w:r w:rsidR="00023409" w:rsidRPr="00E26EF6">
              <w:rPr>
                <w:rFonts w:ascii="Times New Roman" w:hAnsi="Times New Roman"/>
                <w:sz w:val="24"/>
              </w:rPr>
              <w:t> </w:t>
            </w:r>
            <w:r w:rsidRPr="00E26EF6">
              <w:rPr>
                <w:rFonts w:ascii="Times New Roman" w:hAnsi="Times New Roman"/>
                <w:sz w:val="24"/>
              </w:rPr>
              <w:t>% ich łącznych ogólnych ekspozycji kredytowych, ekspozycji zaliczonych do portfela handlowego</w:t>
            </w:r>
            <w:r w:rsidR="00E26EF6" w:rsidRPr="00E26EF6">
              <w:rPr>
                <w:rFonts w:ascii="Times New Roman" w:hAnsi="Times New Roman"/>
                <w:sz w:val="24"/>
              </w:rPr>
              <w:t xml:space="preserve"> i eks</w:t>
            </w:r>
            <w:r w:rsidRPr="00E26EF6">
              <w:rPr>
                <w:rFonts w:ascii="Times New Roman" w:hAnsi="Times New Roman"/>
                <w:sz w:val="24"/>
              </w:rPr>
              <w:t>pozycji sekurytyzacyjnych.</w:t>
            </w:r>
          </w:p>
          <w:p w14:paraId="0BEB1050" w14:textId="54A8A8AF" w:rsidR="00915077" w:rsidRPr="00E26EF6" w:rsidRDefault="006A3A82">
            <w:pPr>
              <w:rPr>
                <w:rFonts w:ascii="Times New Roman" w:hAnsi="Times New Roman"/>
                <w:sz w:val="24"/>
              </w:rPr>
            </w:pPr>
            <w:r w:rsidRPr="00E26EF6">
              <w:rPr>
                <w:rFonts w:ascii="Times New Roman" w:hAnsi="Times New Roman"/>
                <w:sz w:val="24"/>
              </w:rPr>
              <w:t>Jeżeli instytucja skorzysta</w:t>
            </w:r>
            <w:r w:rsidR="00E26EF6" w:rsidRPr="00E26EF6">
              <w:rPr>
                <w:rFonts w:ascii="Times New Roman" w:hAnsi="Times New Roman"/>
                <w:sz w:val="24"/>
              </w:rPr>
              <w:t xml:space="preserve"> z teg</w:t>
            </w:r>
            <w:r w:rsidRPr="00E26EF6">
              <w:rPr>
                <w:rFonts w:ascii="Times New Roman" w:hAnsi="Times New Roman"/>
                <w:sz w:val="24"/>
              </w:rPr>
              <w:t>o odstępstwa, we wzorze dla jurysdykcji odpowiadającej państwu członkowskiemu jej pochodzenia oraz</w:t>
            </w:r>
            <w:r w:rsidR="00E26EF6" w:rsidRPr="00E26EF6">
              <w:rPr>
                <w:rFonts w:ascii="Times New Roman" w:hAnsi="Times New Roman"/>
                <w:sz w:val="24"/>
              </w:rPr>
              <w:t xml:space="preserve"> w poz</w:t>
            </w:r>
            <w:r w:rsidRPr="00E26EF6">
              <w:rPr>
                <w:rFonts w:ascii="Times New Roman" w:hAnsi="Times New Roman"/>
                <w:sz w:val="24"/>
              </w:rPr>
              <w:t>ycji „Razem” dla wszystkich państw wpisuje „y”.</w:t>
            </w:r>
          </w:p>
          <w:p w14:paraId="53DD7898" w14:textId="5FE530D5" w:rsidR="00915077" w:rsidRPr="00E26EF6" w:rsidRDefault="006A3A82">
            <w:pPr>
              <w:rPr>
                <w:rFonts w:ascii="Times New Roman" w:hAnsi="Times New Roman"/>
                <w:b/>
                <w:bCs/>
                <w:sz w:val="24"/>
                <w:u w:val="single"/>
              </w:rPr>
            </w:pPr>
            <w:r w:rsidRPr="00E26EF6">
              <w:rPr>
                <w:rFonts w:ascii="Times New Roman" w:hAnsi="Times New Roman"/>
                <w:sz w:val="24"/>
              </w:rPr>
              <w:t>Jeżeli instytucja nie skorzysta</w:t>
            </w:r>
            <w:r w:rsidR="00E26EF6" w:rsidRPr="00E26EF6">
              <w:rPr>
                <w:rFonts w:ascii="Times New Roman" w:hAnsi="Times New Roman"/>
                <w:sz w:val="24"/>
              </w:rPr>
              <w:t xml:space="preserve"> z teg</w:t>
            </w:r>
            <w:r w:rsidRPr="00E26EF6">
              <w:rPr>
                <w:rFonts w:ascii="Times New Roman" w:hAnsi="Times New Roman"/>
                <w:sz w:val="24"/>
              </w:rPr>
              <w:t>o odstępstwa,</w:t>
            </w:r>
            <w:r w:rsidR="00E26EF6" w:rsidRPr="00E26EF6">
              <w:rPr>
                <w:rFonts w:ascii="Times New Roman" w:hAnsi="Times New Roman"/>
                <w:sz w:val="24"/>
              </w:rPr>
              <w:t xml:space="preserve"> w odp</w:t>
            </w:r>
            <w:r w:rsidRPr="00E26EF6">
              <w:rPr>
                <w:rFonts w:ascii="Times New Roman" w:hAnsi="Times New Roman"/>
                <w:sz w:val="24"/>
              </w:rPr>
              <w:t>owiedniej komórce wpisuje „n”.</w:t>
            </w:r>
          </w:p>
        </w:tc>
      </w:tr>
    </w:tbl>
    <w:p w14:paraId="267282D1" w14:textId="77777777" w:rsidR="00915077" w:rsidRPr="00E26EF6" w:rsidRDefault="00915077">
      <w:pPr>
        <w:spacing w:before="0" w:after="0"/>
        <w:jc w:val="left"/>
        <w:rPr>
          <w:rFonts w:ascii="Times New Roman" w:hAnsi="Times New Roman"/>
          <w:bCs/>
          <w:sz w:val="24"/>
        </w:rPr>
      </w:pPr>
    </w:p>
    <w:p w14:paraId="121158E1" w14:textId="2C57C881" w:rsidR="00915077" w:rsidRPr="00E26EF6" w:rsidRDefault="00125707">
      <w:pPr>
        <w:pStyle w:val="Instructionsberschrift2"/>
        <w:numPr>
          <w:ilvl w:val="0"/>
          <w:numId w:val="0"/>
        </w:numPr>
        <w:ind w:left="357" w:hanging="357"/>
        <w:rPr>
          <w:rFonts w:ascii="Times New Roman" w:hAnsi="Times New Roman" w:cs="Times New Roman"/>
          <w:sz w:val="24"/>
        </w:rPr>
      </w:pPr>
      <w:bookmarkStart w:id="56" w:name="_Toc31014354"/>
      <w:r w:rsidRPr="00E26EF6">
        <w:rPr>
          <w:rFonts w:ascii="Times New Roman" w:hAnsi="Times New Roman"/>
          <w:sz w:val="24"/>
          <w:u w:val="none"/>
        </w:rPr>
        <w:t>3.5.</w:t>
      </w:r>
      <w:r w:rsidRPr="00E26EF6">
        <w:rPr>
          <w:rFonts w:ascii="Times New Roman" w:hAnsi="Times New Roman"/>
          <w:sz w:val="24"/>
          <w:u w:val="none"/>
        </w:rPr>
        <w:tab/>
      </w:r>
      <w:r w:rsidRPr="00E26EF6">
        <w:rPr>
          <w:rFonts w:ascii="Times New Roman" w:hAnsi="Times New Roman"/>
          <w:sz w:val="24"/>
        </w:rPr>
        <w:t xml:space="preserve">C 10.01 </w:t>
      </w:r>
      <w:proofErr w:type="gramStart"/>
      <w:r w:rsidRPr="00E26EF6">
        <w:rPr>
          <w:rFonts w:ascii="Times New Roman" w:hAnsi="Times New Roman"/>
          <w:sz w:val="24"/>
        </w:rPr>
        <w:t>oraz</w:t>
      </w:r>
      <w:proofErr w:type="gramEnd"/>
      <w:r w:rsidRPr="00E26EF6">
        <w:rPr>
          <w:rFonts w:ascii="Times New Roman" w:hAnsi="Times New Roman"/>
          <w:sz w:val="24"/>
        </w:rPr>
        <w:t xml:space="preserve"> C 10.02 – Ekspozycje kapitałowe,</w:t>
      </w:r>
      <w:r w:rsidR="00E26EF6" w:rsidRPr="00E26EF6">
        <w:rPr>
          <w:rFonts w:ascii="Times New Roman" w:hAnsi="Times New Roman"/>
          <w:sz w:val="24"/>
        </w:rPr>
        <w:t xml:space="preserve"> w odn</w:t>
      </w:r>
      <w:r w:rsidRPr="00E26EF6">
        <w:rPr>
          <w:rFonts w:ascii="Times New Roman" w:hAnsi="Times New Roman"/>
          <w:sz w:val="24"/>
        </w:rPr>
        <w:t>iesieniu do których zastosowano metodę wewnętrznych ratingów (CR EQU IRB 1 oraz CR EQU IRB 2)</w:t>
      </w:r>
      <w:bookmarkEnd w:id="56"/>
    </w:p>
    <w:p w14:paraId="3E8B781F"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57" w:name="_Toc31014355"/>
      <w:r w:rsidRPr="00E26EF6">
        <w:rPr>
          <w:rFonts w:ascii="Times New Roman" w:hAnsi="Times New Roman"/>
          <w:sz w:val="24"/>
          <w:u w:val="none"/>
        </w:rPr>
        <w:t>3.5.1.</w:t>
      </w:r>
      <w:r w:rsidRPr="00E26EF6">
        <w:rPr>
          <w:rFonts w:ascii="Times New Roman" w:hAnsi="Times New Roman"/>
          <w:sz w:val="24"/>
          <w:u w:val="none"/>
        </w:rPr>
        <w:tab/>
      </w:r>
      <w:r w:rsidRPr="00E26EF6">
        <w:rPr>
          <w:rFonts w:ascii="Times New Roman" w:hAnsi="Times New Roman"/>
          <w:sz w:val="24"/>
        </w:rPr>
        <w:t>Uwagi ogólne</w:t>
      </w:r>
      <w:bookmarkEnd w:id="57"/>
    </w:p>
    <w:p w14:paraId="078C0293" w14:textId="463AA121" w:rsidR="00915077" w:rsidRPr="00E26EF6" w:rsidRDefault="00125707">
      <w:pPr>
        <w:pStyle w:val="InstructionsText2"/>
        <w:numPr>
          <w:ilvl w:val="0"/>
          <w:numId w:val="0"/>
        </w:numPr>
        <w:ind w:left="993"/>
      </w:pPr>
      <w:r w:rsidRPr="00E26EF6">
        <w:t>86.</w:t>
      </w:r>
      <w:r w:rsidRPr="00E26EF6">
        <w:tab/>
        <w:t>Wzór CR EQU IRB składa się</w:t>
      </w:r>
      <w:r w:rsidR="00E26EF6" w:rsidRPr="00E26EF6">
        <w:t xml:space="preserve"> z dwó</w:t>
      </w:r>
      <w:r w:rsidRPr="00E26EF6">
        <w:t>ch wzorów: wzór CR EQU IRB 1 zawiera ogólny przegląd ekspozycji według metody IRB</w:t>
      </w:r>
      <w:r w:rsidR="00E26EF6" w:rsidRPr="00E26EF6">
        <w:t xml:space="preserve"> w odn</w:t>
      </w:r>
      <w:r w:rsidRPr="00E26EF6">
        <w:t>iesieniu do kategorii ekspozycji kapitałowej</w:t>
      </w:r>
      <w:r w:rsidR="00E26EF6" w:rsidRPr="00E26EF6">
        <w:t xml:space="preserve"> i róż</w:t>
      </w:r>
      <w:r w:rsidRPr="00E26EF6">
        <w:t>nych metod obliczania łącznych kwot ekspozycji na ryzyko. Wzór CR EQU IRB 2 zawiera podział ekspozycji całkowitych przypisanych klasom jakości</w:t>
      </w:r>
      <w:r w:rsidR="00E26EF6" w:rsidRPr="00E26EF6">
        <w:t xml:space="preserve"> w kon</w:t>
      </w:r>
      <w:r w:rsidRPr="00E26EF6">
        <w:t>tekście metody opartej na PD/LGD</w:t>
      </w:r>
      <w:r w:rsidR="00E26EF6" w:rsidRPr="00E26EF6">
        <w:t>. W dal</w:t>
      </w:r>
      <w:r w:rsidRPr="00E26EF6">
        <w:t>szych instrukcjach wzór „CR EQU IRB” odnosi się</w:t>
      </w:r>
      <w:r w:rsidR="00E26EF6" w:rsidRPr="00E26EF6">
        <w:t xml:space="preserve"> w sto</w:t>
      </w:r>
      <w:r w:rsidRPr="00E26EF6">
        <w:t>sownych przypadkach zarówno do „CR EQU IRB 1”, jak i do „CR EQU IRB 2”.</w:t>
      </w:r>
    </w:p>
    <w:p w14:paraId="214B758E" w14:textId="4A4D713B" w:rsidR="00915077" w:rsidRPr="00E26EF6" w:rsidRDefault="00125707">
      <w:pPr>
        <w:pStyle w:val="InstructionsText2"/>
        <w:numPr>
          <w:ilvl w:val="0"/>
          <w:numId w:val="0"/>
        </w:numPr>
        <w:ind w:left="993"/>
      </w:pPr>
      <w:r w:rsidRPr="00E26EF6">
        <w:t>87.</w:t>
      </w:r>
      <w:r w:rsidRPr="00E26EF6">
        <w:tab/>
        <w:t>Wzór CR EQU IRB zawiera informacje dotyczące obliczania kwot ekspozycji ważonych ryzykiem</w:t>
      </w:r>
      <w:r w:rsidR="00E26EF6" w:rsidRPr="00E26EF6">
        <w:t xml:space="preserve"> z tyt</w:t>
      </w:r>
      <w:r w:rsidRPr="00E26EF6">
        <w:t>ułu ryzyka kredytowego (art.</w:t>
      </w:r>
      <w:r w:rsidR="00023409" w:rsidRPr="00E26EF6">
        <w:t> </w:t>
      </w:r>
      <w:r w:rsidRPr="00E26EF6">
        <w:t>92 ust.</w:t>
      </w:r>
      <w:r w:rsidR="00023409" w:rsidRPr="00E26EF6">
        <w:t> </w:t>
      </w:r>
      <w:r w:rsidRPr="00E26EF6">
        <w:t>3 lit.</w:t>
      </w:r>
      <w:r w:rsidR="00023409" w:rsidRPr="00E26EF6">
        <w:t> </w:t>
      </w:r>
      <w:r w:rsidRPr="00E26EF6">
        <w:t>a) CRR) zgodnie</w:t>
      </w:r>
      <w:r w:rsidR="00E26EF6" w:rsidRPr="00E26EF6">
        <w:t xml:space="preserve"> z czę</w:t>
      </w:r>
      <w:r w:rsidRPr="00E26EF6">
        <w:t>ścią trzecią tytuł II rozdział 3 CRR dla ekspozycji kapitałowych,</w:t>
      </w:r>
      <w:r w:rsidR="00E26EF6" w:rsidRPr="00E26EF6">
        <w:t xml:space="preserve"> o któ</w:t>
      </w:r>
      <w:r w:rsidRPr="00E26EF6">
        <w:t>rych mowa</w:t>
      </w:r>
      <w:r w:rsidR="00E26EF6" w:rsidRPr="00E26EF6">
        <w:t xml:space="preserve"> w art</w:t>
      </w:r>
      <w:r w:rsidRPr="00E26EF6">
        <w:t>.</w:t>
      </w:r>
      <w:r w:rsidR="00023409" w:rsidRPr="00E26EF6">
        <w:t> </w:t>
      </w:r>
      <w:r w:rsidRPr="00E26EF6">
        <w:t>147 ust.</w:t>
      </w:r>
      <w:r w:rsidR="00023409" w:rsidRPr="00E26EF6">
        <w:t> </w:t>
      </w:r>
      <w:r w:rsidRPr="00E26EF6">
        <w:t>2 lit.</w:t>
      </w:r>
      <w:r w:rsidR="00023409" w:rsidRPr="00E26EF6">
        <w:t> </w:t>
      </w:r>
      <w:r w:rsidRPr="00E26EF6">
        <w:t>e) CRR.</w:t>
      </w:r>
    </w:p>
    <w:p w14:paraId="66E98C3E" w14:textId="7001F7F8" w:rsidR="00915077" w:rsidRPr="00E26EF6" w:rsidRDefault="00125707">
      <w:pPr>
        <w:pStyle w:val="InstructionsText2"/>
        <w:numPr>
          <w:ilvl w:val="0"/>
          <w:numId w:val="0"/>
        </w:numPr>
        <w:ind w:left="993"/>
      </w:pPr>
      <w:r w:rsidRPr="00E26EF6">
        <w:t>88.</w:t>
      </w:r>
      <w:r w:rsidRPr="00E26EF6">
        <w:tab/>
        <w:t>Zgodnie</w:t>
      </w:r>
      <w:r w:rsidR="00E26EF6" w:rsidRPr="00E26EF6">
        <w:t xml:space="preserve"> z art</w:t>
      </w:r>
      <w:r w:rsidRPr="00E26EF6">
        <w:t>.</w:t>
      </w:r>
      <w:r w:rsidR="00023409" w:rsidRPr="00E26EF6">
        <w:t> </w:t>
      </w:r>
      <w:r w:rsidRPr="00E26EF6">
        <w:t>147 ust.</w:t>
      </w:r>
      <w:r w:rsidR="00023409" w:rsidRPr="00E26EF6">
        <w:t> </w:t>
      </w:r>
      <w:r w:rsidRPr="00E26EF6">
        <w:t>6 CRR do kategorii ekspozycji kapitałowych klasyfikuje się następujące ekspozycje:</w:t>
      </w:r>
    </w:p>
    <w:p w14:paraId="28B6278D" w14:textId="7203C4B1" w:rsidR="00915077" w:rsidRPr="00E26EF6" w:rsidRDefault="00125707">
      <w:pPr>
        <w:pStyle w:val="InstructionsText2"/>
        <w:numPr>
          <w:ilvl w:val="0"/>
          <w:numId w:val="0"/>
        </w:numPr>
        <w:ind w:left="993"/>
      </w:pPr>
      <w:r w:rsidRPr="00E26EF6">
        <w:t>a</w:t>
      </w:r>
      <w:proofErr w:type="gramStart"/>
      <w:r w:rsidRPr="00E26EF6">
        <w:t>)</w:t>
      </w:r>
      <w:r w:rsidRPr="00E26EF6">
        <w:tab/>
        <w:t>ekspozycje</w:t>
      </w:r>
      <w:proofErr w:type="gramEnd"/>
      <w:r w:rsidRPr="00E26EF6">
        <w:t xml:space="preserve"> niedłużne,</w:t>
      </w:r>
      <w:r w:rsidR="00E26EF6" w:rsidRPr="00E26EF6">
        <w:t xml:space="preserve"> z któ</w:t>
      </w:r>
      <w:r w:rsidRPr="00E26EF6">
        <w:t>rymi wiążą się podporządkowane roszczenia końcowe wobec kapitału lub dochodów emitenta;</w:t>
      </w:r>
    </w:p>
    <w:p w14:paraId="6F181DD1" w14:textId="170D94A0" w:rsidR="00915077" w:rsidRPr="00E26EF6" w:rsidRDefault="00125707">
      <w:pPr>
        <w:pStyle w:val="InstructionsText2"/>
        <w:numPr>
          <w:ilvl w:val="0"/>
          <w:numId w:val="0"/>
        </w:numPr>
        <w:ind w:left="993"/>
      </w:pPr>
      <w:r w:rsidRPr="00E26EF6">
        <w:t>b</w:t>
      </w:r>
      <w:proofErr w:type="gramStart"/>
      <w:r w:rsidRPr="00E26EF6">
        <w:t>)</w:t>
      </w:r>
      <w:r w:rsidRPr="00E26EF6">
        <w:tab/>
        <w:t>ekspozycje</w:t>
      </w:r>
      <w:proofErr w:type="gramEnd"/>
      <w:r w:rsidRPr="00E26EF6">
        <w:t xml:space="preserve"> dłużne</w:t>
      </w:r>
      <w:r w:rsidR="00E26EF6" w:rsidRPr="00E26EF6">
        <w:t xml:space="preserve"> i inn</w:t>
      </w:r>
      <w:r w:rsidRPr="00E26EF6">
        <w:t>e papiery wartościowe, udziały, instrumenty pochodne lub inne instrumenty, pod względem ekonomicznym zbliżone do ekspozycji określonych</w:t>
      </w:r>
      <w:r w:rsidR="00E26EF6" w:rsidRPr="00E26EF6">
        <w:t xml:space="preserve"> w lit</w:t>
      </w:r>
      <w:r w:rsidRPr="00E26EF6">
        <w:t>. a).</w:t>
      </w:r>
    </w:p>
    <w:p w14:paraId="0B3CD3B7" w14:textId="629AD792" w:rsidR="00915077" w:rsidRPr="00E26EF6" w:rsidRDefault="00125707">
      <w:pPr>
        <w:pStyle w:val="InstructionsText2"/>
        <w:numPr>
          <w:ilvl w:val="0"/>
          <w:numId w:val="0"/>
        </w:numPr>
        <w:ind w:left="993"/>
      </w:pPr>
      <w:r w:rsidRPr="00E26EF6">
        <w:t>89.</w:t>
      </w:r>
      <w:r w:rsidRPr="00E26EF6">
        <w:tab/>
        <w:t>Ekspozycje związane</w:t>
      </w:r>
      <w:r w:rsidR="00E26EF6" w:rsidRPr="00E26EF6">
        <w:t xml:space="preserve"> z prz</w:t>
      </w:r>
      <w:r w:rsidRPr="00E26EF6">
        <w:t>edsiębiorstwami zbiorowego inwestowania traktowane zgodnie</w:t>
      </w:r>
      <w:r w:rsidR="00E26EF6" w:rsidRPr="00E26EF6">
        <w:t xml:space="preserve"> z upr</w:t>
      </w:r>
      <w:r w:rsidRPr="00E26EF6">
        <w:t>oszczoną metodą ważenia ryzykiem,</w:t>
      </w:r>
      <w:r w:rsidR="00E26EF6" w:rsidRPr="00E26EF6">
        <w:t xml:space="preserve"> o któ</w:t>
      </w:r>
      <w:r w:rsidRPr="00E26EF6">
        <w:t>rej mowa</w:t>
      </w:r>
      <w:r w:rsidR="00E26EF6" w:rsidRPr="00E26EF6">
        <w:t xml:space="preserve"> w art</w:t>
      </w:r>
      <w:r w:rsidRPr="00E26EF6">
        <w:t>.</w:t>
      </w:r>
      <w:r w:rsidR="00023409" w:rsidRPr="00E26EF6">
        <w:t> </w:t>
      </w:r>
      <w:r w:rsidRPr="00E26EF6">
        <w:t>152 CRR, zgłasza się również we wzorze CR EQU IRB.</w:t>
      </w:r>
    </w:p>
    <w:p w14:paraId="3792BF77" w14:textId="6125E479" w:rsidR="00915077" w:rsidRPr="00E26EF6" w:rsidRDefault="00125707">
      <w:pPr>
        <w:pStyle w:val="InstructionsText2"/>
        <w:numPr>
          <w:ilvl w:val="0"/>
          <w:numId w:val="0"/>
        </w:numPr>
        <w:ind w:left="993"/>
      </w:pPr>
      <w:r w:rsidRPr="00E26EF6">
        <w:t>90.</w:t>
      </w:r>
      <w:r w:rsidRPr="00E26EF6">
        <w:tab/>
        <w:t>Zgodnie</w:t>
      </w:r>
      <w:r w:rsidR="00E26EF6" w:rsidRPr="00E26EF6">
        <w:t xml:space="preserve"> z art</w:t>
      </w:r>
      <w:r w:rsidRPr="00E26EF6">
        <w:t>.</w:t>
      </w:r>
      <w:r w:rsidR="00023409" w:rsidRPr="00E26EF6">
        <w:t> </w:t>
      </w:r>
      <w:r w:rsidRPr="00E26EF6">
        <w:t>151 ust.</w:t>
      </w:r>
      <w:r w:rsidR="00023409" w:rsidRPr="00E26EF6">
        <w:t> </w:t>
      </w:r>
      <w:r w:rsidRPr="00E26EF6">
        <w:t>1 CRR instytucje przekazują wzór CR EQU IRB, jeżeli stosują jedną</w:t>
      </w:r>
      <w:r w:rsidR="00E26EF6" w:rsidRPr="00E26EF6">
        <w:t xml:space="preserve"> z trz</w:t>
      </w:r>
      <w:r w:rsidRPr="00E26EF6">
        <w:t>ech metod,</w:t>
      </w:r>
      <w:r w:rsidR="00E26EF6" w:rsidRPr="00E26EF6">
        <w:t xml:space="preserve"> o któ</w:t>
      </w:r>
      <w:r w:rsidRPr="00E26EF6">
        <w:t>rych mowa</w:t>
      </w:r>
      <w:r w:rsidR="00E26EF6" w:rsidRPr="00E26EF6">
        <w:t xml:space="preserve"> w art</w:t>
      </w:r>
      <w:r w:rsidRPr="00E26EF6">
        <w:t>.</w:t>
      </w:r>
      <w:r w:rsidR="00023409" w:rsidRPr="00E26EF6">
        <w:t> </w:t>
      </w:r>
      <w:r w:rsidRPr="00E26EF6">
        <w:t xml:space="preserve">155 CRR: </w:t>
      </w:r>
    </w:p>
    <w:p w14:paraId="13C8039D" w14:textId="3F0C5F10" w:rsidR="00915077" w:rsidRPr="00E26EF6" w:rsidRDefault="00C61FF5">
      <w:pPr>
        <w:pStyle w:val="InstructionsText"/>
        <w:ind w:left="993"/>
      </w:pPr>
      <w:r w:rsidRPr="00E26EF6">
        <w:t>- uproszczoną metodę ważenia ryzykiem;</w:t>
      </w:r>
    </w:p>
    <w:p w14:paraId="7B3F472B" w14:textId="58A7BD8E" w:rsidR="00915077" w:rsidRPr="00E26EF6" w:rsidRDefault="00C61FF5">
      <w:pPr>
        <w:pStyle w:val="InstructionsText"/>
        <w:ind w:left="993"/>
      </w:pPr>
      <w:r w:rsidRPr="00E26EF6">
        <w:t>- metodę opartą na PD/LGD;</w:t>
      </w:r>
    </w:p>
    <w:p w14:paraId="459A321C" w14:textId="77777777" w:rsidR="00915077" w:rsidRPr="00E26EF6" w:rsidRDefault="00C61FF5">
      <w:pPr>
        <w:pStyle w:val="InstructionsText"/>
        <w:ind w:left="993"/>
      </w:pPr>
      <w:r w:rsidRPr="00E26EF6">
        <w:t>- metodę modeli wewnętrznych.</w:t>
      </w:r>
    </w:p>
    <w:p w14:paraId="47812ED1" w14:textId="1054B583" w:rsidR="00915077" w:rsidRPr="00E26EF6" w:rsidRDefault="00C61FF5">
      <w:pPr>
        <w:pStyle w:val="InstructionsText"/>
        <w:ind w:left="993"/>
      </w:pPr>
      <w:r w:rsidRPr="00E26EF6">
        <w:t>Ponadto instytucje stosujące metodę IRB zgłaszają we wzorze CR EQU IRB również kwoty ekspozycji ważonych ryzykiem dla tych ekspozycji kapitałowych, które wiążą się</w:t>
      </w:r>
      <w:r w:rsidR="00E26EF6" w:rsidRPr="00E26EF6">
        <w:t xml:space="preserve"> z prz</w:t>
      </w:r>
      <w:r w:rsidRPr="00E26EF6">
        <w:t>ypisaniem stałej wagi ryzyka (chociaż nie są jednoznacznie traktowane według uproszczonej metody ważenia ryzykiem ani nie są</w:t>
      </w:r>
      <w:r w:rsidR="00E26EF6" w:rsidRPr="00E26EF6">
        <w:t xml:space="preserve"> w nie</w:t>
      </w:r>
      <w:r w:rsidRPr="00E26EF6">
        <w:t>pełnym zakresie objęte standardową metodą (stosowaną czasowo lub stale) obliczania ryzyka kredytowego), np. ekspozycje kapitałowe wiążące się</w:t>
      </w:r>
      <w:r w:rsidR="00E26EF6" w:rsidRPr="00E26EF6">
        <w:t xml:space="preserve"> z wag</w:t>
      </w:r>
      <w:r w:rsidRPr="00E26EF6">
        <w:t>ą ryzyka 250</w:t>
      </w:r>
      <w:r w:rsidR="00023409" w:rsidRPr="00E26EF6">
        <w:t> </w:t>
      </w:r>
      <w:r w:rsidRPr="00E26EF6">
        <w:t>% – zgodnie</w:t>
      </w:r>
      <w:r w:rsidR="00E26EF6" w:rsidRPr="00E26EF6">
        <w:t xml:space="preserve"> z art</w:t>
      </w:r>
      <w:r w:rsidRPr="00E26EF6">
        <w:t>.</w:t>
      </w:r>
      <w:r w:rsidR="00023409" w:rsidRPr="00E26EF6">
        <w:t> </w:t>
      </w:r>
      <w:r w:rsidRPr="00E26EF6">
        <w:t>48 ust.</w:t>
      </w:r>
      <w:r w:rsidR="00023409" w:rsidRPr="00E26EF6">
        <w:t> </w:t>
      </w:r>
      <w:r w:rsidRPr="00E26EF6">
        <w:t>4 CRR,</w:t>
      </w:r>
      <w:r w:rsidR="00E26EF6" w:rsidRPr="00E26EF6">
        <w:t xml:space="preserve"> a z wag</w:t>
      </w:r>
      <w:r w:rsidRPr="00E26EF6">
        <w:t>ą ryzyka 370</w:t>
      </w:r>
      <w:r w:rsidR="00023409" w:rsidRPr="00E26EF6">
        <w:t> </w:t>
      </w:r>
      <w:r w:rsidRPr="00E26EF6">
        <w:t>% – zgodnie</w:t>
      </w:r>
      <w:r w:rsidR="00E26EF6" w:rsidRPr="00E26EF6">
        <w:t xml:space="preserve"> z art</w:t>
      </w:r>
      <w:r w:rsidRPr="00E26EF6">
        <w:t>.</w:t>
      </w:r>
      <w:r w:rsidR="00023409" w:rsidRPr="00E26EF6">
        <w:t> </w:t>
      </w:r>
      <w:r w:rsidRPr="00E26EF6">
        <w:t>471 ust.</w:t>
      </w:r>
      <w:r w:rsidR="00023409" w:rsidRPr="00E26EF6">
        <w:t> </w:t>
      </w:r>
      <w:r w:rsidRPr="00E26EF6">
        <w:t>2 CRR.</w:t>
      </w:r>
    </w:p>
    <w:p w14:paraId="41EDEF2D" w14:textId="77777777" w:rsidR="00915077" w:rsidRPr="00E26EF6" w:rsidRDefault="00125707">
      <w:pPr>
        <w:pStyle w:val="InstructionsText2"/>
        <w:numPr>
          <w:ilvl w:val="0"/>
          <w:numId w:val="0"/>
        </w:numPr>
        <w:ind w:left="993"/>
      </w:pPr>
      <w:r w:rsidRPr="00E26EF6">
        <w:t>91.</w:t>
      </w:r>
      <w:r w:rsidRPr="00E26EF6">
        <w:tab/>
        <w:t>Następujących należności kapitałowych nie zgłasza się we wzorze CR EQU IRB:</w:t>
      </w:r>
    </w:p>
    <w:p w14:paraId="5FFD76B9" w14:textId="05A65A3A" w:rsidR="00915077" w:rsidRPr="00E26EF6" w:rsidRDefault="00C61FF5">
      <w:pPr>
        <w:pStyle w:val="InstructionsText"/>
        <w:ind w:left="993"/>
      </w:pPr>
      <w:r w:rsidRPr="00E26EF6">
        <w:lastRenderedPageBreak/>
        <w:t>- ekspozycji kapitałowych</w:t>
      </w:r>
      <w:r w:rsidR="00E26EF6" w:rsidRPr="00E26EF6">
        <w:t xml:space="preserve"> w por</w:t>
      </w:r>
      <w:r w:rsidRPr="00E26EF6">
        <w:t>tfelu handlowym (jeżeli instytucje nie są zwolnione</w:t>
      </w:r>
      <w:r w:rsidR="00E26EF6" w:rsidRPr="00E26EF6">
        <w:t xml:space="preserve"> z obo</w:t>
      </w:r>
      <w:r w:rsidRPr="00E26EF6">
        <w:t>wiązku obliczania wymogów</w:t>
      </w:r>
      <w:r w:rsidR="00E26EF6" w:rsidRPr="00E26EF6">
        <w:t xml:space="preserve"> w zak</w:t>
      </w:r>
      <w:r w:rsidRPr="00E26EF6">
        <w:t>resie funduszy własnych dla pozycji zawartych</w:t>
      </w:r>
      <w:r w:rsidR="00E26EF6" w:rsidRPr="00E26EF6">
        <w:t xml:space="preserve"> w por</w:t>
      </w:r>
      <w:r w:rsidRPr="00E26EF6">
        <w:t>tfelu handlowym (art.</w:t>
      </w:r>
      <w:r w:rsidR="00023409" w:rsidRPr="00E26EF6">
        <w:t> </w:t>
      </w:r>
      <w:r w:rsidRPr="00E26EF6">
        <w:t xml:space="preserve">94 CRR)); </w:t>
      </w:r>
    </w:p>
    <w:p w14:paraId="19C08E32" w14:textId="4A781DCA" w:rsidR="00915077" w:rsidRPr="00E26EF6" w:rsidRDefault="00C61FF5">
      <w:pPr>
        <w:pStyle w:val="InstructionsText"/>
        <w:ind w:left="993"/>
      </w:pPr>
      <w:r w:rsidRPr="00E26EF6">
        <w:t>- ekspozycji kapitałowych podlegających stosowaniu metody standardowej</w:t>
      </w:r>
      <w:r w:rsidR="00E26EF6" w:rsidRPr="00E26EF6">
        <w:t xml:space="preserve"> w nie</w:t>
      </w:r>
      <w:r w:rsidRPr="00E26EF6">
        <w:t>pełnym zakresie (art.</w:t>
      </w:r>
      <w:r w:rsidR="00023409" w:rsidRPr="00E26EF6">
        <w:t> </w:t>
      </w:r>
      <w:r w:rsidRPr="00E26EF6">
        <w:t>150 CRR),</w:t>
      </w:r>
      <w:r w:rsidR="00E26EF6" w:rsidRPr="00E26EF6">
        <w:t xml:space="preserve"> w tym</w:t>
      </w:r>
      <w:r w:rsidRPr="00E26EF6">
        <w:t>:</w:t>
      </w:r>
    </w:p>
    <w:p w14:paraId="0B1BD8BA" w14:textId="7A4055C7" w:rsidR="00915077" w:rsidRPr="00E26EF6" w:rsidRDefault="00C61FF5">
      <w:pPr>
        <w:pStyle w:val="InstructionsText"/>
        <w:ind w:left="993"/>
      </w:pPr>
      <w:r w:rsidRPr="00E26EF6">
        <w:t>- ekspozycji kapitałowych podlegających zasadzie praw nabytych zgodnie</w:t>
      </w:r>
      <w:r w:rsidR="00E26EF6" w:rsidRPr="00E26EF6">
        <w:t xml:space="preserve"> z art</w:t>
      </w:r>
      <w:r w:rsidRPr="00E26EF6">
        <w:t>.</w:t>
      </w:r>
      <w:r w:rsidR="00023409" w:rsidRPr="00E26EF6">
        <w:t> </w:t>
      </w:r>
      <w:r w:rsidRPr="00E26EF6">
        <w:t>495 ust.</w:t>
      </w:r>
      <w:r w:rsidR="00023409" w:rsidRPr="00E26EF6">
        <w:t> </w:t>
      </w:r>
      <w:r w:rsidRPr="00E26EF6">
        <w:t>1 CRR;</w:t>
      </w:r>
    </w:p>
    <w:p w14:paraId="465612C3" w14:textId="03BA35C5" w:rsidR="00915077" w:rsidRPr="00E26EF6" w:rsidRDefault="00C61FF5">
      <w:pPr>
        <w:pStyle w:val="InstructionsText"/>
        <w:ind w:left="993"/>
      </w:pPr>
      <w:r w:rsidRPr="00E26EF6">
        <w:t>- ekspozycji kapitałowych wobec podmiotów, których zobowiązaniom kredytowym przypisano zgodnie ze standardową metodą wagę ryzyka równą 0</w:t>
      </w:r>
      <w:r w:rsidR="00023409" w:rsidRPr="00E26EF6">
        <w:t> </w:t>
      </w:r>
      <w:r w:rsidRPr="00E26EF6">
        <w:t>%,</w:t>
      </w:r>
      <w:r w:rsidR="00E26EF6" w:rsidRPr="00E26EF6">
        <w:t xml:space="preserve"> w tym</w:t>
      </w:r>
      <w:r w:rsidRPr="00E26EF6">
        <w:t xml:space="preserve"> podmiotów otrzymujących środki publiczne,</w:t>
      </w:r>
      <w:r w:rsidR="00E26EF6" w:rsidRPr="00E26EF6">
        <w:t xml:space="preserve"> o ile</w:t>
      </w:r>
      <w:r w:rsidRPr="00E26EF6">
        <w:t xml:space="preserve"> można wobec nich zastosować wagę ryzyka równą 0</w:t>
      </w:r>
      <w:r w:rsidR="00023409" w:rsidRPr="00E26EF6">
        <w:t> </w:t>
      </w:r>
      <w:r w:rsidRPr="00E26EF6">
        <w:t>% (art.</w:t>
      </w:r>
      <w:r w:rsidR="00023409" w:rsidRPr="00E26EF6">
        <w:t> </w:t>
      </w:r>
      <w:r w:rsidRPr="00E26EF6">
        <w:t>150 ust.</w:t>
      </w:r>
      <w:r w:rsidR="00023409" w:rsidRPr="00E26EF6">
        <w:t> </w:t>
      </w:r>
      <w:r w:rsidRPr="00E26EF6">
        <w:t>1 lit.</w:t>
      </w:r>
      <w:r w:rsidR="00023409" w:rsidRPr="00E26EF6">
        <w:t> </w:t>
      </w:r>
      <w:r w:rsidRPr="00E26EF6">
        <w:t>g) CRR);</w:t>
      </w:r>
    </w:p>
    <w:p w14:paraId="6F1AAFB5" w14:textId="73E73C4D" w:rsidR="00915077" w:rsidRPr="00E26EF6" w:rsidRDefault="00C61FF5">
      <w:pPr>
        <w:pStyle w:val="InstructionsText"/>
        <w:ind w:left="993"/>
      </w:pPr>
      <w:r w:rsidRPr="00E26EF6">
        <w:t>- ekspozycji kapitałowych utworzonych</w:t>
      </w:r>
      <w:r w:rsidR="00E26EF6" w:rsidRPr="00E26EF6">
        <w:t xml:space="preserve"> w ram</w:t>
      </w:r>
      <w:r w:rsidRPr="00E26EF6">
        <w:t>ach programów legislacyjnych wspierających określone sektory gospodarki, które zapewniają znaczne dopłaty inwestycyjne dla instytucji</w:t>
      </w:r>
      <w:r w:rsidR="00E26EF6" w:rsidRPr="00E26EF6">
        <w:t xml:space="preserve"> i wią</w:t>
      </w:r>
      <w:r w:rsidRPr="00E26EF6">
        <w:t>żą się</w:t>
      </w:r>
      <w:r w:rsidR="00E26EF6" w:rsidRPr="00E26EF6">
        <w:t xml:space="preserve"> z pew</w:t>
      </w:r>
      <w:r w:rsidRPr="00E26EF6">
        <w:t>ną formą nadzoru rządowego oraz ograniczeniami dotyczącymi inwestycji kapitałowych (art.</w:t>
      </w:r>
      <w:r w:rsidR="00023409" w:rsidRPr="00E26EF6">
        <w:t> </w:t>
      </w:r>
      <w:r w:rsidRPr="00E26EF6">
        <w:t>150 ust.</w:t>
      </w:r>
      <w:r w:rsidR="00023409" w:rsidRPr="00E26EF6">
        <w:t> </w:t>
      </w:r>
      <w:r w:rsidRPr="00E26EF6">
        <w:t>1 lit.</w:t>
      </w:r>
      <w:r w:rsidR="00023409" w:rsidRPr="00E26EF6">
        <w:t> </w:t>
      </w:r>
      <w:r w:rsidRPr="00E26EF6">
        <w:t>h) CRR);</w:t>
      </w:r>
    </w:p>
    <w:p w14:paraId="6DD3B008" w14:textId="324100AE" w:rsidR="00915077" w:rsidRPr="00E26EF6" w:rsidRDefault="00C61FF5">
      <w:pPr>
        <w:pStyle w:val="InstructionsText"/>
        <w:ind w:left="993"/>
      </w:pPr>
      <w:r w:rsidRPr="00E26EF6">
        <w:t>- ekspozycji kapitałowych wobec przedsiębiorstw usług pomocniczych, których ekspozycja ważona ryzykiem może zostać obliczona zgodnie ze sposobem ujmowania „innych aktywów niegenerujących zobowiązania kredytowego” (art.</w:t>
      </w:r>
      <w:r w:rsidR="00023409" w:rsidRPr="00E26EF6">
        <w:t> </w:t>
      </w:r>
      <w:r w:rsidRPr="00E26EF6">
        <w:t>155 ust.</w:t>
      </w:r>
      <w:r w:rsidR="00023409" w:rsidRPr="00E26EF6">
        <w:t> </w:t>
      </w:r>
      <w:r w:rsidRPr="00E26EF6">
        <w:t>1 CRR);</w:t>
      </w:r>
    </w:p>
    <w:p w14:paraId="6D1517B8" w14:textId="5A11C041" w:rsidR="00915077" w:rsidRPr="00E26EF6" w:rsidRDefault="00C61FF5">
      <w:pPr>
        <w:pStyle w:val="InstructionsText"/>
        <w:ind w:left="993"/>
      </w:pPr>
      <w:r w:rsidRPr="00E26EF6">
        <w:t>- należności kapitałowych odejmowanych od funduszy własnych zgodnie</w:t>
      </w:r>
      <w:r w:rsidR="00E26EF6" w:rsidRPr="00E26EF6">
        <w:t xml:space="preserve"> z art</w:t>
      </w:r>
      <w:r w:rsidRPr="00E26EF6">
        <w:t>.</w:t>
      </w:r>
      <w:r w:rsidR="00023409" w:rsidRPr="00E26EF6">
        <w:t> </w:t>
      </w:r>
      <w:r w:rsidRPr="00E26EF6">
        <w:t>46 oraz 48 CRR.</w:t>
      </w:r>
    </w:p>
    <w:p w14:paraId="5D3BCE93" w14:textId="77777777" w:rsidR="00915077" w:rsidRPr="00E26EF6" w:rsidRDefault="00915077">
      <w:pPr>
        <w:pStyle w:val="InstructionsText"/>
      </w:pPr>
    </w:p>
    <w:p w14:paraId="5A70CA6C"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58" w:name="_Toc31014356"/>
      <w:r w:rsidRPr="00E26EF6">
        <w:rPr>
          <w:rFonts w:ascii="Times New Roman" w:hAnsi="Times New Roman"/>
          <w:sz w:val="24"/>
          <w:u w:val="none"/>
        </w:rPr>
        <w:t>3.5.2.</w:t>
      </w:r>
      <w:r w:rsidRPr="00E26EF6">
        <w:rPr>
          <w:rFonts w:ascii="Times New Roman" w:hAnsi="Times New Roman"/>
          <w:sz w:val="24"/>
          <w:u w:val="none"/>
        </w:rPr>
        <w:tab/>
      </w:r>
      <w:r w:rsidRPr="00E26EF6">
        <w:rPr>
          <w:rFonts w:ascii="Times New Roman" w:hAnsi="Times New Roman"/>
          <w:sz w:val="24"/>
        </w:rPr>
        <w:t>Instrukcje dotyczące poszczególnych pozycji (mające zastosowanie zarówno do CR EQU IRB 1, jak i do CR EQU IRB 2)</w:t>
      </w:r>
      <w:bookmarkEnd w:id="58"/>
    </w:p>
    <w:tbl>
      <w:tblPr>
        <w:tblW w:w="0" w:type="auto"/>
        <w:tblLook w:val="01E0" w:firstRow="1" w:lastRow="1" w:firstColumn="1" w:lastColumn="1" w:noHBand="0" w:noVBand="0"/>
      </w:tblPr>
      <w:tblGrid>
        <w:gridCol w:w="852"/>
        <w:gridCol w:w="8004"/>
      </w:tblGrid>
      <w:tr w:rsidR="00915077" w:rsidRPr="00E26EF6"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915077" w:rsidRPr="00E26EF6" w:rsidRDefault="00C61FF5">
            <w:pPr>
              <w:spacing w:beforeLines="60" w:before="144" w:afterLines="60" w:after="144"/>
              <w:rPr>
                <w:rStyle w:val="InstructionsTabelleText"/>
                <w:rFonts w:ascii="Times New Roman" w:hAnsi="Times New Roman"/>
                <w:b/>
                <w:sz w:val="24"/>
                <w:highlight w:val="lightGray"/>
              </w:rPr>
            </w:pPr>
            <w:r w:rsidRPr="00E26EF6">
              <w:rPr>
                <w:rStyle w:val="InstructionsTabelleText"/>
                <w:rFonts w:ascii="Times New Roman" w:hAnsi="Times New Roman"/>
                <w:b/>
                <w:sz w:val="24"/>
              </w:rPr>
              <w:t>Kolumny</w:t>
            </w:r>
          </w:p>
        </w:tc>
      </w:tr>
      <w:tr w:rsidR="00915077" w:rsidRPr="00E26EF6"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915077" w:rsidRPr="00E26EF6" w:rsidRDefault="003F05A0">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005</w:t>
            </w:r>
          </w:p>
        </w:tc>
        <w:tc>
          <w:tcPr>
            <w:tcW w:w="8004" w:type="dxa"/>
          </w:tcPr>
          <w:p w14:paraId="47AB38C7" w14:textId="77777777" w:rsidR="00915077" w:rsidRPr="00E26EF6" w:rsidRDefault="003F05A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KLASA JAKOŚCI DŁUŻNIKA (IDENTYFIKATOR WIERSZA)</w:t>
            </w:r>
          </w:p>
          <w:p w14:paraId="0EAE0975" w14:textId="29526F06" w:rsidR="00915077" w:rsidRPr="00E26EF6" w:rsidRDefault="003F05A0">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Klasa jakości dłużnika stanowi identyfikator wiersza</w:t>
            </w:r>
            <w:r w:rsidR="00E26EF6" w:rsidRPr="00E26EF6">
              <w:rPr>
                <w:rStyle w:val="InstructionsTabelleberschrift"/>
                <w:rFonts w:ascii="Times New Roman" w:hAnsi="Times New Roman"/>
                <w:b w:val="0"/>
                <w:sz w:val="24"/>
                <w:u w:val="none"/>
              </w:rPr>
              <w:t xml:space="preserve"> i jes</w:t>
            </w:r>
            <w:r w:rsidRPr="00E26EF6">
              <w:rPr>
                <w:rStyle w:val="InstructionsTabelleberschrift"/>
                <w:rFonts w:ascii="Times New Roman" w:hAnsi="Times New Roman"/>
                <w:b w:val="0"/>
                <w:sz w:val="24"/>
                <w:u w:val="none"/>
              </w:rPr>
              <w:t xml:space="preserve">t niepowtarzalna dla każdego wiersza we wzorze. </w:t>
            </w:r>
            <w:r w:rsidRPr="00E26EF6">
              <w:rPr>
                <w:rFonts w:ascii="Times New Roman" w:hAnsi="Times New Roman"/>
                <w:sz w:val="24"/>
              </w:rPr>
              <w:t>Numeracja następuje</w:t>
            </w:r>
            <w:r w:rsidR="00E26EF6" w:rsidRPr="00E26EF6">
              <w:rPr>
                <w:rFonts w:ascii="Times New Roman" w:hAnsi="Times New Roman"/>
                <w:sz w:val="24"/>
              </w:rPr>
              <w:t xml:space="preserve"> w kol</w:t>
            </w:r>
            <w:r w:rsidRPr="00E26EF6">
              <w:rPr>
                <w:rFonts w:ascii="Times New Roman" w:hAnsi="Times New Roman"/>
                <w:sz w:val="24"/>
              </w:rPr>
              <w:t>ejności numerycznej: 1, 2, 3 itd.</w:t>
            </w:r>
          </w:p>
        </w:tc>
      </w:tr>
      <w:tr w:rsidR="00915077" w:rsidRPr="00E26EF6"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010</w:t>
            </w:r>
          </w:p>
        </w:tc>
        <w:tc>
          <w:tcPr>
            <w:tcW w:w="8004" w:type="dxa"/>
          </w:tcPr>
          <w:p w14:paraId="7CFE1EA8"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 xml:space="preserve">SYSTEM RATINGU WEWNĘTRZNEGO </w:t>
            </w:r>
          </w:p>
          <w:p w14:paraId="3BEB17A8"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PD PRZYPISANE KLASIE JAKOŚCI DŁUŻNIKA (%)</w:t>
            </w:r>
          </w:p>
          <w:p w14:paraId="44F74EFD" w14:textId="6D505B53" w:rsidR="00915077" w:rsidRPr="00E26EF6" w:rsidRDefault="00C61FF5">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Instytucje stosujące metodę opartą na PD/LGD zgłaszają</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010 prawdopodobieństwo niewykonania zobowiązania (PD) obliczone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165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CRR.</w:t>
            </w:r>
          </w:p>
          <w:p w14:paraId="5E9E1A46" w14:textId="405F6FDD" w:rsidR="00915077" w:rsidRPr="00E26EF6" w:rsidRDefault="00C61FF5">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PD przypisane klasie jakości lub puli dłużnika, które należy zgłosić, jest zgodne</w:t>
            </w:r>
            <w:r w:rsidR="00E26EF6" w:rsidRPr="00E26EF6">
              <w:rPr>
                <w:rStyle w:val="InstructionsTabelleText"/>
                <w:rFonts w:ascii="Times New Roman" w:hAnsi="Times New Roman"/>
                <w:sz w:val="24"/>
              </w:rPr>
              <w:t xml:space="preserve"> z wym</w:t>
            </w:r>
            <w:r w:rsidRPr="00E26EF6">
              <w:rPr>
                <w:rStyle w:val="InstructionsTabelleText"/>
                <w:rFonts w:ascii="Times New Roman" w:hAnsi="Times New Roman"/>
                <w:sz w:val="24"/>
              </w:rPr>
              <w:t>ogami minimalnymi określonymi</w:t>
            </w:r>
            <w:r w:rsidR="00E26EF6" w:rsidRPr="00E26EF6">
              <w:rPr>
                <w:rStyle w:val="InstructionsTabelleText"/>
                <w:rFonts w:ascii="Times New Roman" w:hAnsi="Times New Roman"/>
                <w:sz w:val="24"/>
              </w:rPr>
              <w:t xml:space="preserve"> w czę</w:t>
            </w:r>
            <w:r w:rsidRPr="00E26EF6">
              <w:rPr>
                <w:rStyle w:val="InstructionsTabelleText"/>
                <w:rFonts w:ascii="Times New Roman" w:hAnsi="Times New Roman"/>
                <w:sz w:val="24"/>
              </w:rPr>
              <w:t>ści trzeciej tytuł II rozdział 3 sekcja 6 CRR. Dla każdej indywidualnej klasy jakości lub puli dłużnika zgłasza się PD przypisane tej klasie jakości lub puli dłużnika. Wszystkie zgłoszone parametry ryzyka są oparte na parametrach ryzyka wykorzystywanych</w:t>
            </w:r>
            <w:r w:rsidR="00E26EF6" w:rsidRPr="00E26EF6">
              <w:rPr>
                <w:rStyle w:val="InstructionsTabelleText"/>
                <w:rFonts w:ascii="Times New Roman" w:hAnsi="Times New Roman"/>
                <w:sz w:val="24"/>
              </w:rPr>
              <w:t xml:space="preserve"> w sys</w:t>
            </w:r>
            <w:r w:rsidRPr="00E26EF6">
              <w:rPr>
                <w:rStyle w:val="InstructionsTabelleText"/>
                <w:rFonts w:ascii="Times New Roman" w:hAnsi="Times New Roman"/>
                <w:sz w:val="24"/>
              </w:rPr>
              <w:t>temie ratingu wewnętrznego zatwierdzonym przez właściwy organ.</w:t>
            </w:r>
          </w:p>
          <w:p w14:paraId="7262CB84" w14:textId="2EFC9A2A"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W przypadku danych liczbowych odpowiadających zagregowaniu klas jakości lub pul dłużnika (np. „ekspozycje całkowite”) zgłasza się średnią wartość PD ważoną ekspozycją, która to wartość jest przypisana zagregowanym klasom jakości lub pulom dłużnika</w:t>
            </w:r>
            <w:r w:rsidR="00E26EF6" w:rsidRPr="00E26EF6">
              <w:rPr>
                <w:rStyle w:val="InstructionsTabelleText"/>
                <w:rFonts w:ascii="Times New Roman" w:hAnsi="Times New Roman"/>
                <w:sz w:val="24"/>
              </w:rPr>
              <w:t>. W cel</w:t>
            </w:r>
            <w:r w:rsidRPr="00E26EF6">
              <w:rPr>
                <w:rStyle w:val="InstructionsTabelleText"/>
                <w:rFonts w:ascii="Times New Roman" w:hAnsi="Times New Roman"/>
                <w:sz w:val="24"/>
              </w:rPr>
              <w:t>u obliczenia średniej wartości PD ważonej ekspozycją należy wziąć pod uwagę wszystkie ekspozycje,</w:t>
            </w:r>
            <w:r w:rsidR="00E26EF6" w:rsidRPr="00E26EF6">
              <w:rPr>
                <w:rStyle w:val="InstructionsTabelleText"/>
                <w:rFonts w:ascii="Times New Roman" w:hAnsi="Times New Roman"/>
                <w:sz w:val="24"/>
              </w:rPr>
              <w:t xml:space="preserve"> w tym</w:t>
            </w:r>
            <w:r w:rsidRPr="00E26EF6">
              <w:rPr>
                <w:rStyle w:val="InstructionsTabelleText"/>
                <w:rFonts w:ascii="Times New Roman" w:hAnsi="Times New Roman"/>
                <w:sz w:val="24"/>
              </w:rPr>
              <w:t xml:space="preserve"> ekspozycje, których dotyczy niewykonanie zobowiązania. Do obliczenia średniej wartości PD ważonej </w:t>
            </w:r>
            <w:r w:rsidRPr="00E26EF6">
              <w:rPr>
                <w:rStyle w:val="InstructionsTabelleText"/>
                <w:rFonts w:ascii="Times New Roman" w:hAnsi="Times New Roman"/>
                <w:sz w:val="24"/>
              </w:rPr>
              <w:lastRenderedPageBreak/>
              <w:t>ekspozycją do celów ważenia brana jest wartość ekspozycji</w:t>
            </w:r>
            <w:r w:rsidR="00E26EF6" w:rsidRPr="00E26EF6">
              <w:rPr>
                <w:rStyle w:val="InstructionsTabelleText"/>
                <w:rFonts w:ascii="Times New Roman" w:hAnsi="Times New Roman"/>
                <w:sz w:val="24"/>
              </w:rPr>
              <w:t xml:space="preserve"> z uwz</w:t>
            </w:r>
            <w:r w:rsidRPr="00E26EF6">
              <w:rPr>
                <w:rStyle w:val="InstructionsTabelleText"/>
                <w:rFonts w:ascii="Times New Roman" w:hAnsi="Times New Roman"/>
                <w:sz w:val="24"/>
              </w:rPr>
              <w:t xml:space="preserve">ględnieniem ochrony kredytowej nierzeczywistej (kolumna 060). </w:t>
            </w:r>
          </w:p>
        </w:tc>
      </w:tr>
      <w:tr w:rsidR="00915077" w:rsidRPr="00E26EF6"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020</w:t>
            </w:r>
          </w:p>
        </w:tc>
        <w:tc>
          <w:tcPr>
            <w:tcW w:w="8004" w:type="dxa"/>
          </w:tcPr>
          <w:p w14:paraId="42297808" w14:textId="7964ADCA"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PIERWOTNA EKSPOZYCJA PRZED UWZGLĘDNIENIEM WSPÓŁCZYNNIKÓW KONWERSJI</w:t>
            </w:r>
          </w:p>
          <w:p w14:paraId="4BEEA019" w14:textId="54A6FF99" w:rsidR="00915077" w:rsidRPr="00E26EF6" w:rsidRDefault="00C61FF5">
            <w:pPr>
              <w:autoSpaceDE w:val="0"/>
              <w:autoSpaceDN w:val="0"/>
              <w:adjustRightInd w:val="0"/>
              <w:spacing w:before="0" w:after="0"/>
              <w:rPr>
                <w:rStyle w:val="InstructionsTabelleText"/>
                <w:rFonts w:ascii="Times New Roman" w:hAnsi="Times New Roman"/>
                <w:sz w:val="24"/>
              </w:rPr>
            </w:pPr>
            <w:r w:rsidRPr="00E26EF6">
              <w:rPr>
                <w:rStyle w:val="InstructionsTabelleText"/>
                <w:rFonts w:ascii="Times New Roman" w:hAnsi="Times New Roman"/>
                <w:sz w:val="24"/>
              </w:rPr>
              <w:t>Instytucje zgłaszają</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020 wartość pierwotnej ekspozycji (przed uwzględnieniem współczynnika konwersji).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167 CRR wartość ekspozycji dla ekspozycji kapitałowych jest równa wartości księgowej pozostałej po dokonaniu korekt</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 xml:space="preserve">ułu szczególnego ryzyka kredytowego. Wartość </w:t>
            </w:r>
            <w:r w:rsidRPr="00E26EF6">
              <w:rPr>
                <w:rFonts w:ascii="Times New Roman" w:hAnsi="Times New Roman"/>
                <w:sz w:val="24"/>
              </w:rPr>
              <w:t>pozabilansowych ekspozycji kapitałowych odpowiada ich wartości nominalnej po korektach</w:t>
            </w:r>
            <w:r w:rsidR="00E26EF6" w:rsidRPr="00E26EF6">
              <w:rPr>
                <w:rFonts w:ascii="Times New Roman" w:hAnsi="Times New Roman"/>
                <w:sz w:val="24"/>
              </w:rPr>
              <w:t xml:space="preserve"> z tyt</w:t>
            </w:r>
            <w:r w:rsidRPr="00E26EF6">
              <w:rPr>
                <w:rFonts w:ascii="Times New Roman" w:hAnsi="Times New Roman"/>
                <w:sz w:val="24"/>
              </w:rPr>
              <w:t>ułu szczególnego ryzyka kredytowego.</w:t>
            </w:r>
          </w:p>
          <w:p w14:paraId="1C80CD14" w14:textId="60447BD0" w:rsidR="00915077" w:rsidRPr="00E26EF6" w:rsidRDefault="00C61FF5">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W kolumnie 020 instytucje uwzględniają również pozycje pozabilansowe,</w:t>
            </w:r>
            <w:r w:rsidR="00E26EF6" w:rsidRPr="00E26EF6">
              <w:rPr>
                <w:rStyle w:val="InstructionsTabelleText"/>
                <w:rFonts w:ascii="Times New Roman" w:hAnsi="Times New Roman"/>
                <w:sz w:val="24"/>
              </w:rPr>
              <w:t xml:space="preserve"> o któ</w:t>
            </w:r>
            <w:r w:rsidRPr="00E26EF6">
              <w:rPr>
                <w:rStyle w:val="InstructionsTabelleText"/>
                <w:rFonts w:ascii="Times New Roman" w:hAnsi="Times New Roman"/>
                <w:sz w:val="24"/>
              </w:rPr>
              <w:t>rych mowa</w:t>
            </w:r>
            <w:r w:rsidR="00E26EF6" w:rsidRPr="00E26EF6">
              <w:rPr>
                <w:rStyle w:val="InstructionsTabelleText"/>
                <w:rFonts w:ascii="Times New Roman" w:hAnsi="Times New Roman"/>
                <w:sz w:val="24"/>
              </w:rPr>
              <w:t xml:space="preserve"> w zał</w:t>
            </w:r>
            <w:r w:rsidRPr="00E26EF6">
              <w:rPr>
                <w:rStyle w:val="InstructionsTabelleText"/>
                <w:rFonts w:ascii="Times New Roman" w:hAnsi="Times New Roman"/>
                <w:sz w:val="24"/>
              </w:rPr>
              <w:t>ączniku I CRR, przypisane do kategorii ekspozycji kapitałowych (np. „niespłacona część częściowo opłaconych akcji</w:t>
            </w:r>
            <w:r w:rsidR="00E26EF6" w:rsidRPr="00E26EF6">
              <w:rPr>
                <w:rStyle w:val="InstructionsTabelleText"/>
                <w:rFonts w:ascii="Times New Roman" w:hAnsi="Times New Roman"/>
                <w:sz w:val="24"/>
              </w:rPr>
              <w:t xml:space="preserve"> i pap</w:t>
            </w:r>
            <w:r w:rsidRPr="00E26EF6">
              <w:rPr>
                <w:rStyle w:val="InstructionsTabelleText"/>
                <w:rFonts w:ascii="Times New Roman" w:hAnsi="Times New Roman"/>
                <w:sz w:val="24"/>
              </w:rPr>
              <w:t>ierów wartościowych”).</w:t>
            </w:r>
          </w:p>
          <w:p w14:paraId="1448449F" w14:textId="780FEAF3"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Instytucje stosujące uproszczoną metodę ważenia ryzykiem lub metodę opartą na PD/LGD (o których mowa</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165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CRR) uwzględniają również kompensowanie,</w:t>
            </w:r>
            <w:r w:rsidR="00E26EF6" w:rsidRPr="00E26EF6">
              <w:rPr>
                <w:rStyle w:val="InstructionsTabelleText"/>
                <w:rFonts w:ascii="Times New Roman" w:hAnsi="Times New Roman"/>
                <w:sz w:val="24"/>
              </w:rPr>
              <w:t xml:space="preserve"> o któ</w:t>
            </w:r>
            <w:r w:rsidRPr="00E26EF6">
              <w:rPr>
                <w:rStyle w:val="InstructionsTabelleText"/>
                <w:rFonts w:ascii="Times New Roman" w:hAnsi="Times New Roman"/>
                <w:sz w:val="24"/>
              </w:rPr>
              <w:t>rym mowa</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155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2 akapit drugi CRR. </w:t>
            </w:r>
          </w:p>
        </w:tc>
      </w:tr>
      <w:tr w:rsidR="00915077" w:rsidRPr="00E26EF6"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030-040</w:t>
            </w:r>
          </w:p>
        </w:tc>
        <w:tc>
          <w:tcPr>
            <w:tcW w:w="8004" w:type="dxa"/>
          </w:tcPr>
          <w:p w14:paraId="5A5489A1"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TECHNIKI OGRANICZANIA RYZYKA KREDYTOWEGO Z UWZGLĘDNIENIEM EFEKTÓW SUBSTYTUCYJNYCH W ODNIESIENIU DO EKSPOZYCJI</w:t>
            </w:r>
          </w:p>
          <w:p w14:paraId="7830C552"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OCHRONA KREDYTOWA NIERZECZYWISTA</w:t>
            </w:r>
          </w:p>
          <w:p w14:paraId="020EC0D8"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GWARANCJE</w:t>
            </w:r>
          </w:p>
          <w:p w14:paraId="0B08E13C"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KREDYTOWE INSTRUMENTY POCHODNE</w:t>
            </w:r>
          </w:p>
          <w:p w14:paraId="6EB56834" w14:textId="6D1511C9"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Niezależnie od metody przyjętej do obliczania kwot ekspozycji ważonych ryzykiem</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ekspozycji kapitałowych instytucje mogą uznać ochronę kredytową nierzeczywistą uzyskaną dla ekspozycji kapitałowych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155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2, 3</w:t>
            </w:r>
            <w:r w:rsidR="00E26EF6" w:rsidRPr="00E26EF6">
              <w:rPr>
                <w:rStyle w:val="InstructionsTabelleText"/>
                <w:rFonts w:ascii="Times New Roman" w:hAnsi="Times New Roman"/>
                <w:sz w:val="24"/>
              </w:rPr>
              <w:t xml:space="preserve"> i 4</w:t>
            </w:r>
            <w:r w:rsidRPr="00E26EF6">
              <w:rPr>
                <w:rStyle w:val="InstructionsTabelleText"/>
                <w:rFonts w:ascii="Times New Roman" w:hAnsi="Times New Roman"/>
                <w:sz w:val="24"/>
              </w:rPr>
              <w:t xml:space="preserve"> CRR). Instytucje stosujące uproszczoną metodę ważenia ryzykiem lub metodę opartą na PD/LGD zgłaszają</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umnach 030</w:t>
            </w:r>
            <w:r w:rsidR="00E26EF6" w:rsidRPr="00E26EF6">
              <w:rPr>
                <w:rStyle w:val="InstructionsTabelleText"/>
                <w:rFonts w:ascii="Times New Roman" w:hAnsi="Times New Roman"/>
                <w:sz w:val="24"/>
              </w:rPr>
              <w:t xml:space="preserve"> i 0</w:t>
            </w:r>
            <w:r w:rsidRPr="00E26EF6">
              <w:rPr>
                <w:rStyle w:val="InstructionsTabelleText"/>
                <w:rFonts w:ascii="Times New Roman" w:hAnsi="Times New Roman"/>
                <w:sz w:val="24"/>
              </w:rPr>
              <w:t>40 kwotę ochrony kredytowej nierzeczywistej</w:t>
            </w:r>
            <w:r w:rsidR="00E26EF6" w:rsidRPr="00E26EF6">
              <w:rPr>
                <w:rStyle w:val="InstructionsTabelleText"/>
                <w:rFonts w:ascii="Times New Roman" w:hAnsi="Times New Roman"/>
                <w:sz w:val="24"/>
              </w:rPr>
              <w:t xml:space="preserve"> w for</w:t>
            </w:r>
            <w:r w:rsidRPr="00E26EF6">
              <w:rPr>
                <w:rStyle w:val="InstructionsTabelleText"/>
                <w:rFonts w:ascii="Times New Roman" w:hAnsi="Times New Roman"/>
                <w:sz w:val="24"/>
              </w:rPr>
              <w:t>mie gwarancji (kolumna 030) lub kredytowych instrumentów pochodnych (kolumna 040) uznanych zgodnie</w:t>
            </w:r>
            <w:r w:rsidR="00E26EF6" w:rsidRPr="00E26EF6">
              <w:rPr>
                <w:rStyle w:val="InstructionsTabelleText"/>
                <w:rFonts w:ascii="Times New Roman" w:hAnsi="Times New Roman"/>
                <w:sz w:val="24"/>
              </w:rPr>
              <w:t xml:space="preserve"> z met</w:t>
            </w:r>
            <w:r w:rsidRPr="00E26EF6">
              <w:rPr>
                <w:rStyle w:val="InstructionsTabelleText"/>
                <w:rFonts w:ascii="Times New Roman" w:hAnsi="Times New Roman"/>
                <w:sz w:val="24"/>
              </w:rPr>
              <w:t>odami określonymi</w:t>
            </w:r>
            <w:r w:rsidR="00E26EF6" w:rsidRPr="00E26EF6">
              <w:rPr>
                <w:rStyle w:val="InstructionsTabelleText"/>
                <w:rFonts w:ascii="Times New Roman" w:hAnsi="Times New Roman"/>
                <w:sz w:val="24"/>
              </w:rPr>
              <w:t xml:space="preserve"> w czę</w:t>
            </w:r>
            <w:r w:rsidRPr="00E26EF6">
              <w:rPr>
                <w:rStyle w:val="InstructionsTabelleText"/>
                <w:rFonts w:ascii="Times New Roman" w:hAnsi="Times New Roman"/>
                <w:sz w:val="24"/>
              </w:rPr>
              <w:t>ści trzeciej tytuł II rozdział 4 CRR.</w:t>
            </w:r>
          </w:p>
        </w:tc>
      </w:tr>
      <w:tr w:rsidR="00915077" w:rsidRPr="00E26EF6"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050</w:t>
            </w:r>
          </w:p>
        </w:tc>
        <w:tc>
          <w:tcPr>
            <w:tcW w:w="8004" w:type="dxa"/>
          </w:tcPr>
          <w:p w14:paraId="0F188D89"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TECHNIKI OGRANICZANIA RYZYKA KREDYTOWEGO Z UWZGLĘDNIENIEM EFEKTÓW SUBSTYTUCYJNYCH W ODNIESIENIU DO EKSPOZYCJI</w:t>
            </w:r>
          </w:p>
          <w:p w14:paraId="3BFA6B41"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SUBSTYTUCJA EKSPOZYCJI W WYNIKU OGRANICZANIA RYZYKA KREDYTOWEGO</w:t>
            </w:r>
          </w:p>
          <w:p w14:paraId="10F17615"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 WYPŁYWY RAZEM</w:t>
            </w:r>
          </w:p>
          <w:p w14:paraId="1A4BB276" w14:textId="6D8DCB2F"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W kolumnie 050 instytucje zgłaszają część pierwotnej ekspozycji przez zastosowaniem współczynników konwersji objętą ochroną kredytową nierzeczywistą uznaną zgodnie</w:t>
            </w:r>
            <w:r w:rsidR="00E26EF6" w:rsidRPr="00E26EF6">
              <w:rPr>
                <w:rStyle w:val="InstructionsTabelleText"/>
                <w:rFonts w:ascii="Times New Roman" w:hAnsi="Times New Roman"/>
                <w:sz w:val="24"/>
              </w:rPr>
              <w:t xml:space="preserve"> z met</w:t>
            </w:r>
            <w:r w:rsidRPr="00E26EF6">
              <w:rPr>
                <w:rStyle w:val="InstructionsTabelleText"/>
                <w:rFonts w:ascii="Times New Roman" w:hAnsi="Times New Roman"/>
                <w:sz w:val="24"/>
              </w:rPr>
              <w:t>odami określonymi</w:t>
            </w:r>
            <w:r w:rsidR="00E26EF6" w:rsidRPr="00E26EF6">
              <w:rPr>
                <w:rStyle w:val="InstructionsTabelleText"/>
                <w:rFonts w:ascii="Times New Roman" w:hAnsi="Times New Roman"/>
                <w:sz w:val="24"/>
              </w:rPr>
              <w:t xml:space="preserve"> w czę</w:t>
            </w:r>
            <w:r w:rsidRPr="00E26EF6">
              <w:rPr>
                <w:rStyle w:val="InstructionsTabelleText"/>
                <w:rFonts w:ascii="Times New Roman" w:hAnsi="Times New Roman"/>
                <w:sz w:val="24"/>
              </w:rPr>
              <w:t>ści trzeciej tytuł II rozdział 4 CRR.</w:t>
            </w:r>
          </w:p>
        </w:tc>
      </w:tr>
      <w:tr w:rsidR="00915077" w:rsidRPr="00E26EF6"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060</w:t>
            </w:r>
          </w:p>
        </w:tc>
        <w:tc>
          <w:tcPr>
            <w:tcW w:w="8004" w:type="dxa"/>
          </w:tcPr>
          <w:p w14:paraId="637A7A8E"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WARTOŚĆ EKSPOZYCJI</w:t>
            </w:r>
          </w:p>
          <w:p w14:paraId="6CBC7FDC" w14:textId="64D1B04E" w:rsidR="00915077" w:rsidRPr="00E26EF6" w:rsidRDefault="00C61FF5">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Instytucje stosujące uproszczoną metodę ważenia ryzykiem lub metodę opartą na PD/LGD zgłaszają</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060 wartość ekspozycji</w:t>
            </w:r>
            <w:r w:rsidR="00E26EF6" w:rsidRPr="00E26EF6">
              <w:rPr>
                <w:rStyle w:val="InstructionsTabelleText"/>
                <w:rFonts w:ascii="Times New Roman" w:hAnsi="Times New Roman"/>
                <w:sz w:val="24"/>
              </w:rPr>
              <w:t xml:space="preserve"> z uwz</w:t>
            </w:r>
            <w:r w:rsidRPr="00E26EF6">
              <w:rPr>
                <w:rStyle w:val="InstructionsTabelleText"/>
                <w:rFonts w:ascii="Times New Roman" w:hAnsi="Times New Roman"/>
                <w:sz w:val="24"/>
              </w:rPr>
              <w:t>ględnieniem efektów substytucyjnych wynikających</w:t>
            </w:r>
            <w:r w:rsidR="00E26EF6" w:rsidRPr="00E26EF6">
              <w:rPr>
                <w:rStyle w:val="InstructionsTabelleText"/>
                <w:rFonts w:ascii="Times New Roman" w:hAnsi="Times New Roman"/>
                <w:sz w:val="24"/>
              </w:rPr>
              <w:t xml:space="preserve"> z och</w:t>
            </w:r>
            <w:r w:rsidRPr="00E26EF6">
              <w:rPr>
                <w:rStyle w:val="InstructionsTabelleText"/>
                <w:rFonts w:ascii="Times New Roman" w:hAnsi="Times New Roman"/>
                <w:sz w:val="24"/>
              </w:rPr>
              <w:t>rony kredytowej nierzeczywistej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155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w:t>
            </w:r>
            <w:r w:rsidR="00E26EF6" w:rsidRPr="00E26EF6">
              <w:rPr>
                <w:rStyle w:val="InstructionsTabelleText"/>
                <w:rFonts w:ascii="Times New Roman" w:hAnsi="Times New Roman"/>
                <w:sz w:val="24"/>
              </w:rPr>
              <w:t xml:space="preserve"> i 3</w:t>
            </w:r>
            <w:r w:rsidRPr="00E26EF6">
              <w:rPr>
                <w:rStyle w:val="InstructionsTabelleText"/>
                <w:rFonts w:ascii="Times New Roman" w:hAnsi="Times New Roman"/>
                <w:sz w:val="24"/>
              </w:rPr>
              <w:t xml:space="preserve">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167 CRR).</w:t>
            </w:r>
          </w:p>
          <w:p w14:paraId="168218CE" w14:textId="05A25095" w:rsidR="00915077" w:rsidRPr="00E26EF6" w:rsidRDefault="00A16FFF">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W przypadku pozabilansowych ekspozycji kapitałowych wartość ekspozycji odpowiada ich wartości nominalnej po korektach</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szczególnego ryzyka kredytowego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167 CRR).</w:t>
            </w:r>
          </w:p>
        </w:tc>
      </w:tr>
      <w:tr w:rsidR="00915077" w:rsidRPr="00E26EF6"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070</w:t>
            </w:r>
          </w:p>
        </w:tc>
        <w:tc>
          <w:tcPr>
            <w:tcW w:w="8004" w:type="dxa"/>
          </w:tcPr>
          <w:p w14:paraId="610B0CF0"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ŚREDNIA WARTOŚĆ LGD WAŻONA EKSPOZYCJĄ (%)</w:t>
            </w:r>
          </w:p>
          <w:p w14:paraId="7FFC3F61" w14:textId="75F0534A" w:rsidR="00915077" w:rsidRPr="00E26EF6" w:rsidRDefault="00C61FF5">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 xml:space="preserve">Instytucje stosujące metodę opartą na PD/LGD zgłaszają średnią wartość LGD ważoną ekspozycją, która to wartość przypisana jest zagregowanym klasom jakości lub pulom dłużnika. </w:t>
            </w:r>
          </w:p>
          <w:p w14:paraId="0B187789" w14:textId="31138CB8" w:rsidR="00915077" w:rsidRPr="00E26EF6" w:rsidRDefault="00C61FF5">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lastRenderedPageBreak/>
              <w:t>Do obliczenia średniej wartości LGD ważonej ekspozycją wykorzystuje się wartość ekspozycji</w:t>
            </w:r>
            <w:r w:rsidR="00E26EF6" w:rsidRPr="00E26EF6">
              <w:rPr>
                <w:rStyle w:val="InstructionsTabelleText"/>
                <w:rFonts w:ascii="Times New Roman" w:hAnsi="Times New Roman"/>
                <w:sz w:val="24"/>
              </w:rPr>
              <w:t xml:space="preserve"> z uwz</w:t>
            </w:r>
            <w:r w:rsidRPr="00E26EF6">
              <w:rPr>
                <w:rStyle w:val="InstructionsTabelleText"/>
                <w:rFonts w:ascii="Times New Roman" w:hAnsi="Times New Roman"/>
                <w:sz w:val="24"/>
              </w:rPr>
              <w:t xml:space="preserve">ględnieniem ochrony kredytowej nierzeczywistej (kolumna 060). </w:t>
            </w:r>
          </w:p>
          <w:p w14:paraId="44AE69A8" w14:textId="3D9AB18D"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Instytucje biorą pod uwagę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165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CRR.</w:t>
            </w:r>
          </w:p>
        </w:tc>
      </w:tr>
      <w:tr w:rsidR="00915077" w:rsidRPr="00E26EF6"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lastRenderedPageBreak/>
              <w:t>080</w:t>
            </w:r>
          </w:p>
        </w:tc>
        <w:tc>
          <w:tcPr>
            <w:tcW w:w="8004" w:type="dxa"/>
          </w:tcPr>
          <w:p w14:paraId="39CF20D7"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KWOTA EKSPOZYCJI WAŻONEJ RYZYKIEM</w:t>
            </w:r>
          </w:p>
          <w:p w14:paraId="5A2BBB02" w14:textId="1D457CEF" w:rsidR="00915077" w:rsidRPr="00E26EF6" w:rsidRDefault="00C61FF5">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Instytucje zgłaszają kwoty ekspozycji ważone ryzykiem</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ekspozycji kapitałowych, obliczane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155 CRR.</w:t>
            </w:r>
          </w:p>
          <w:p w14:paraId="5AB232F0" w14:textId="62460604" w:rsidR="00915077" w:rsidRPr="00E26EF6" w:rsidRDefault="00D021AF">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Jeżeli instytucje korzystające</w:t>
            </w:r>
            <w:r w:rsidR="00E26EF6" w:rsidRPr="00E26EF6">
              <w:rPr>
                <w:rStyle w:val="InstructionsTabelleText"/>
                <w:rFonts w:ascii="Times New Roman" w:hAnsi="Times New Roman"/>
                <w:sz w:val="24"/>
              </w:rPr>
              <w:t xml:space="preserve"> z met</w:t>
            </w:r>
            <w:r w:rsidRPr="00E26EF6">
              <w:rPr>
                <w:rStyle w:val="InstructionsTabelleText"/>
                <w:rFonts w:ascii="Times New Roman" w:hAnsi="Times New Roman"/>
                <w:sz w:val="24"/>
              </w:rPr>
              <w:t>ody opartej na PD/LGD nie posiadają wystarczających informacji, by skorzystać</w:t>
            </w:r>
            <w:r w:rsidR="00E26EF6" w:rsidRPr="00E26EF6">
              <w:rPr>
                <w:rStyle w:val="InstructionsTabelleText"/>
                <w:rFonts w:ascii="Times New Roman" w:hAnsi="Times New Roman"/>
                <w:sz w:val="24"/>
              </w:rPr>
              <w:t xml:space="preserve"> z def</w:t>
            </w:r>
            <w:r w:rsidRPr="00E26EF6">
              <w:rPr>
                <w:rStyle w:val="InstructionsTabelleText"/>
                <w:rFonts w:ascii="Times New Roman" w:hAnsi="Times New Roman"/>
                <w:sz w:val="24"/>
              </w:rPr>
              <w:t>inicji niewykonania zobowiązania określonej</w:t>
            </w:r>
            <w:r w:rsidR="00E26EF6" w:rsidRPr="00E26EF6">
              <w:rPr>
                <w:rStyle w:val="InstructionsTabelleText"/>
                <w:rFonts w:ascii="Times New Roman" w:hAnsi="Times New Roman"/>
                <w:sz w:val="24"/>
              </w:rPr>
              <w:t xml:space="preserve">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178 CRR, do wag ryzyka przypisuje się współczynnik korygujący</w:t>
            </w:r>
            <w:r w:rsidR="00E26EF6" w:rsidRPr="00E26EF6">
              <w:rPr>
                <w:rStyle w:val="InstructionsTabelleText"/>
                <w:rFonts w:ascii="Times New Roman" w:hAnsi="Times New Roman"/>
                <w:sz w:val="24"/>
              </w:rPr>
              <w:t xml:space="preserve"> w wys</w:t>
            </w:r>
            <w:r w:rsidRPr="00E26EF6">
              <w:rPr>
                <w:rStyle w:val="InstructionsTabelleText"/>
                <w:rFonts w:ascii="Times New Roman" w:hAnsi="Times New Roman"/>
                <w:sz w:val="24"/>
              </w:rPr>
              <w:t>okości 1,5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155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3 CRR). </w:t>
            </w:r>
          </w:p>
          <w:p w14:paraId="0158FAA8" w14:textId="0E452F78"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W odniesieniu do parametru wejściowego M (termin zapadalności)</w:t>
            </w:r>
            <w:r w:rsidR="00E26EF6" w:rsidRPr="00E26EF6">
              <w:rPr>
                <w:rStyle w:val="InstructionsTabelleText"/>
                <w:rFonts w:ascii="Times New Roman" w:hAnsi="Times New Roman"/>
                <w:sz w:val="24"/>
              </w:rPr>
              <w:t xml:space="preserve"> w fun</w:t>
            </w:r>
            <w:r w:rsidRPr="00E26EF6">
              <w:rPr>
                <w:rStyle w:val="InstructionsTabelleText"/>
                <w:rFonts w:ascii="Times New Roman" w:hAnsi="Times New Roman"/>
                <w:sz w:val="24"/>
              </w:rPr>
              <w:t>kcji wagi ryzyka termin zapadalności przypisany do ekspozycji kapitałowych wynosi 5 lat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165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w:t>
            </w:r>
          </w:p>
        </w:tc>
      </w:tr>
      <w:tr w:rsidR="00915077" w:rsidRPr="00E26EF6"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090</w:t>
            </w:r>
          </w:p>
        </w:tc>
        <w:tc>
          <w:tcPr>
            <w:tcW w:w="8004" w:type="dxa"/>
          </w:tcPr>
          <w:p w14:paraId="0B4F1531" w14:textId="77777777" w:rsidR="00915077" w:rsidRPr="00E26EF6" w:rsidRDefault="00C61FF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POZYCJA UZUPEŁNIAJĄCA: KWOTA OCZEKIWANEJ STRATY</w:t>
            </w:r>
          </w:p>
          <w:p w14:paraId="73ECA7C7" w14:textId="6718592C" w:rsidR="00915077" w:rsidRPr="00E26EF6" w:rsidRDefault="00C61FF5">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W kolumnie 090 instytucje zgłaszają kwotę oczekiwanej straty dla ekspozycji kapitałowych, obliczaną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158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4, 7, 8</w:t>
            </w:r>
            <w:r w:rsidR="00E26EF6" w:rsidRPr="00E26EF6">
              <w:rPr>
                <w:rStyle w:val="InstructionsTabelleText"/>
                <w:rFonts w:ascii="Times New Roman" w:hAnsi="Times New Roman"/>
                <w:sz w:val="24"/>
              </w:rPr>
              <w:t xml:space="preserve"> i 9</w:t>
            </w:r>
            <w:r w:rsidRPr="00E26EF6">
              <w:rPr>
                <w:rStyle w:val="InstructionsTabelleText"/>
                <w:rFonts w:ascii="Times New Roman" w:hAnsi="Times New Roman"/>
                <w:sz w:val="24"/>
              </w:rPr>
              <w:t xml:space="preserve"> CRR. </w:t>
            </w:r>
          </w:p>
        </w:tc>
      </w:tr>
    </w:tbl>
    <w:p w14:paraId="29506A55" w14:textId="77777777" w:rsidR="00915077" w:rsidRPr="00E26EF6" w:rsidRDefault="00915077">
      <w:pPr>
        <w:pStyle w:val="InstructionsText"/>
      </w:pPr>
    </w:p>
    <w:p w14:paraId="0D0C0491" w14:textId="2F06CFD1" w:rsidR="00915077" w:rsidRPr="00E26EF6" w:rsidRDefault="00125707">
      <w:pPr>
        <w:pStyle w:val="InstructionsText2"/>
        <w:numPr>
          <w:ilvl w:val="0"/>
          <w:numId w:val="0"/>
        </w:numPr>
        <w:ind w:left="993"/>
      </w:pPr>
      <w:r w:rsidRPr="00E26EF6">
        <w:t>92.</w:t>
      </w:r>
      <w:r w:rsidRPr="00E26EF6">
        <w:tab/>
        <w:t>Zgodnie</w:t>
      </w:r>
      <w:r w:rsidR="00E26EF6" w:rsidRPr="00E26EF6">
        <w:t xml:space="preserve"> z art</w:t>
      </w:r>
      <w:r w:rsidRPr="00E26EF6">
        <w:t>.</w:t>
      </w:r>
      <w:r w:rsidR="00023409" w:rsidRPr="00E26EF6">
        <w:t> </w:t>
      </w:r>
      <w:r w:rsidRPr="00E26EF6">
        <w:t>155 CRR instytucja może stosować różne metody (uproszczoną metodę ważenia ryzykiem, metodę opartą na PD/LGD, metodę modeli wewnętrznych)</w:t>
      </w:r>
      <w:r w:rsidR="00E26EF6" w:rsidRPr="00E26EF6">
        <w:t xml:space="preserve"> w odn</w:t>
      </w:r>
      <w:r w:rsidRPr="00E26EF6">
        <w:t>iesieniu do poszczególnych portfeli, jeżeli instytucja ta stosuje te różne metody do celów wewnętrznych. Instytucje zgłaszają we wzorze CR EQU IRB 1 również kwoty ekspozycji ważonych ryzykiem dla tych ekspozycji kapitałowych, które wiążą się</w:t>
      </w:r>
      <w:r w:rsidR="00E26EF6" w:rsidRPr="00E26EF6">
        <w:t xml:space="preserve"> z prz</w:t>
      </w:r>
      <w:r w:rsidRPr="00E26EF6">
        <w:t>ypisaniem stałej wagi ryzyka (chociaż nie są jednoznacznie traktowane według uproszczonej metody ważenia ryzykiem ani nie są</w:t>
      </w:r>
      <w:r w:rsidR="00E26EF6" w:rsidRPr="00E26EF6">
        <w:t xml:space="preserve"> w nie</w:t>
      </w:r>
      <w:r w:rsidRPr="00E26EF6">
        <w:t>pełnym zakresie objęte standardową metodą (stosowaną czasowo lub stale) obliczania ryzyka kredytowego).</w:t>
      </w:r>
    </w:p>
    <w:tbl>
      <w:tblPr>
        <w:tblW w:w="9524" w:type="dxa"/>
        <w:tblLook w:val="01E0" w:firstRow="1" w:lastRow="1" w:firstColumn="1" w:lastColumn="1" w:noHBand="0" w:noVBand="0"/>
      </w:tblPr>
      <w:tblGrid>
        <w:gridCol w:w="1608"/>
        <w:gridCol w:w="7916"/>
      </w:tblGrid>
      <w:tr w:rsidR="00915077" w:rsidRPr="00E26EF6"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915077" w:rsidRPr="00E26EF6" w:rsidRDefault="00C61FF5">
            <w:pPr>
              <w:spacing w:beforeLines="60" w:before="144" w:afterLines="60" w:after="144"/>
              <w:rPr>
                <w:rStyle w:val="InstructionsTabelleText"/>
                <w:rFonts w:ascii="Times New Roman" w:hAnsi="Times New Roman"/>
                <w:b/>
                <w:sz w:val="24"/>
                <w:highlight w:val="lightGray"/>
              </w:rPr>
            </w:pPr>
            <w:r w:rsidRPr="00E26EF6">
              <w:rPr>
                <w:rStyle w:val="InstructionsTabelleText"/>
                <w:rFonts w:ascii="Times New Roman" w:hAnsi="Times New Roman"/>
                <w:b/>
                <w:sz w:val="24"/>
              </w:rPr>
              <w:t>Wiersze</w:t>
            </w:r>
          </w:p>
        </w:tc>
      </w:tr>
      <w:tr w:rsidR="00915077" w:rsidRPr="00E26EF6"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915077" w:rsidRPr="00E26EF6" w:rsidRDefault="00C61FF5">
            <w:pPr>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CR EQU IRB 1 – wiersz 020</w:t>
            </w:r>
          </w:p>
          <w:p w14:paraId="612436A8" w14:textId="77777777" w:rsidR="00915077" w:rsidRPr="00E26EF6" w:rsidRDefault="00915077">
            <w:pPr>
              <w:spacing w:beforeLines="60" w:before="144" w:afterLines="60" w:after="144"/>
              <w:rPr>
                <w:rStyle w:val="InstructionsTabelleText"/>
                <w:rFonts w:ascii="Times New Roman" w:hAnsi="Times New Roman"/>
                <w:sz w:val="24"/>
                <w:highlight w:val="lightGray"/>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915077" w:rsidRPr="00E26EF6" w:rsidRDefault="00C61FF5">
            <w:pPr>
              <w:keepNext/>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 xml:space="preserve">METODA OPARTA NA PD/LGD: RAZEM </w:t>
            </w:r>
          </w:p>
          <w:p w14:paraId="68E108AA" w14:textId="4323C6A6" w:rsidR="00915077" w:rsidRPr="00E26EF6" w:rsidRDefault="00C61FF5">
            <w:pPr>
              <w:keepNext/>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Instytucje stosujące metodę opartą na PD/LGD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155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 zgłaszają wymagane informacje</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rszu 020 wzoru CR EQU IRB 1.</w:t>
            </w:r>
          </w:p>
        </w:tc>
      </w:tr>
      <w:tr w:rsidR="00915077" w:rsidRPr="00E26EF6"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CR EQU IRB 1 – wiersze 050–090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915077" w:rsidRPr="00E26EF6" w:rsidRDefault="00C61FF5">
            <w:pPr>
              <w:rPr>
                <w:rStyle w:val="InstructionsTabelleText"/>
                <w:rFonts w:ascii="Times New Roman" w:hAnsi="Times New Roman"/>
                <w:b/>
                <w:sz w:val="24"/>
                <w:u w:val="single"/>
              </w:rPr>
            </w:pPr>
            <w:r w:rsidRPr="00E26EF6">
              <w:rPr>
                <w:rStyle w:val="InstructionsTabelleText"/>
                <w:rFonts w:ascii="Times New Roman" w:hAnsi="Times New Roman"/>
                <w:b/>
                <w:sz w:val="24"/>
                <w:u w:val="single"/>
              </w:rPr>
              <w:t>UPROSZCZONA METODA WAŻENIA RYZYKIEM: RAZEM</w:t>
            </w:r>
          </w:p>
          <w:p w14:paraId="365B8FA7" w14:textId="0722E76C" w:rsidR="00915077" w:rsidRPr="00E26EF6" w:rsidRDefault="00C61FF5">
            <w:pPr>
              <w:rPr>
                <w:rStyle w:val="InstructionsTabelleText"/>
                <w:rFonts w:ascii="Times New Roman" w:hAnsi="Times New Roman"/>
                <w:b/>
                <w:sz w:val="24"/>
                <w:u w:val="single"/>
              </w:rPr>
            </w:pPr>
            <w:r w:rsidRPr="00E26EF6">
              <w:rPr>
                <w:rStyle w:val="InstructionsTabelleText"/>
                <w:rFonts w:ascii="Times New Roman" w:hAnsi="Times New Roman"/>
                <w:b/>
                <w:sz w:val="24"/>
                <w:u w:val="single"/>
              </w:rPr>
              <w:t>PODZIAŁ EKSPOZYCJI CAŁKOWITYCH ZGODNIE Z UPROSZCZONĄ METODĄ WAŻENIA RYZYKIEM WEDŁUG WAG RYZYKA</w:t>
            </w:r>
          </w:p>
          <w:p w14:paraId="71A2DB99" w14:textId="3D2E7BAC" w:rsidR="00915077" w:rsidRPr="00E26EF6" w:rsidRDefault="00C61FF5">
            <w:pPr>
              <w:keepNext/>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W wierszach 050–090 instytucje stosujące uproszczoną metodę ważenia ryzykiem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155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CRR) zgłaszają wymagane informacje zgodnie</w:t>
            </w:r>
            <w:r w:rsidR="00E26EF6" w:rsidRPr="00E26EF6">
              <w:rPr>
                <w:rStyle w:val="InstructionsTabelleText"/>
                <w:rFonts w:ascii="Times New Roman" w:hAnsi="Times New Roman"/>
                <w:sz w:val="24"/>
              </w:rPr>
              <w:t xml:space="preserve"> z cha</w:t>
            </w:r>
            <w:r w:rsidRPr="00E26EF6">
              <w:rPr>
                <w:rStyle w:val="InstructionsTabelleText"/>
                <w:rFonts w:ascii="Times New Roman" w:hAnsi="Times New Roman"/>
                <w:sz w:val="24"/>
              </w:rPr>
              <w:t>rakterystyką ekspozycji bazowych.</w:t>
            </w:r>
          </w:p>
        </w:tc>
      </w:tr>
      <w:tr w:rsidR="00915077" w:rsidRPr="00E26EF6"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915077" w:rsidRPr="00E26EF6" w:rsidRDefault="00C61FF5">
            <w:pPr>
              <w:spacing w:beforeLines="60" w:before="144" w:afterLines="60" w:after="144"/>
              <w:rPr>
                <w:rStyle w:val="InstructionsTabelleText"/>
                <w:rFonts w:ascii="Times New Roman" w:hAnsi="Times New Roman"/>
                <w:sz w:val="24"/>
                <w:highlight w:val="lightGray"/>
              </w:rPr>
            </w:pPr>
            <w:r w:rsidRPr="00E26EF6">
              <w:rPr>
                <w:rStyle w:val="InstructionsTabelleText"/>
                <w:rFonts w:ascii="Times New Roman" w:hAnsi="Times New Roman"/>
                <w:sz w:val="24"/>
              </w:rPr>
              <w:t>CR EQU IRB 1 – wiersz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915077" w:rsidRPr="00E26EF6" w:rsidRDefault="00C61FF5">
            <w:pPr>
              <w:rPr>
                <w:rStyle w:val="InstructionsTabelleberschrift"/>
                <w:rFonts w:ascii="Times New Roman" w:hAnsi="Times New Roman"/>
                <w:sz w:val="24"/>
              </w:rPr>
            </w:pPr>
            <w:r w:rsidRPr="00E26EF6">
              <w:rPr>
                <w:rStyle w:val="InstructionsTabelleberschrift"/>
                <w:rFonts w:ascii="Times New Roman" w:hAnsi="Times New Roman"/>
                <w:sz w:val="24"/>
              </w:rPr>
              <w:t>METODA MODELI WEWNĘTRZNYCH</w:t>
            </w:r>
          </w:p>
          <w:p w14:paraId="7303F976" w14:textId="1237A211" w:rsidR="00915077" w:rsidRPr="00E26EF6" w:rsidRDefault="00C61FF5">
            <w:pPr>
              <w:pStyle w:val="InstructionsText"/>
              <w:rPr>
                <w:rStyle w:val="FormatvorlageInstructionsTabelleText"/>
                <w:rFonts w:ascii="Times New Roman" w:hAnsi="Times New Roman"/>
                <w:bCs w:val="0"/>
                <w:sz w:val="24"/>
                <w:highlight w:val="lightGray"/>
              </w:rPr>
            </w:pPr>
            <w:r w:rsidRPr="00E26EF6">
              <w:rPr>
                <w:rStyle w:val="FormatvorlageInstructionsTabelleText"/>
                <w:rFonts w:ascii="Times New Roman" w:hAnsi="Times New Roman"/>
                <w:sz w:val="24"/>
              </w:rPr>
              <w:t>Instytucje stosujące metodę modeli wewnętrznych (art.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155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CRR) zgłaszają wymagane informacje</w:t>
            </w:r>
            <w:r w:rsidR="00E26EF6" w:rsidRPr="00E26EF6">
              <w:rPr>
                <w:rStyle w:val="FormatvorlageInstructionsTabelleText"/>
                <w:rFonts w:ascii="Times New Roman" w:hAnsi="Times New Roman"/>
                <w:sz w:val="24"/>
              </w:rPr>
              <w:t xml:space="preserve"> w wie</w:t>
            </w:r>
            <w:r w:rsidRPr="00E26EF6">
              <w:rPr>
                <w:rStyle w:val="FormatvorlageInstructionsTabelleText"/>
                <w:rFonts w:ascii="Times New Roman" w:hAnsi="Times New Roman"/>
                <w:sz w:val="24"/>
              </w:rPr>
              <w:t>rszu 100.</w:t>
            </w:r>
          </w:p>
        </w:tc>
      </w:tr>
      <w:tr w:rsidR="00915077" w:rsidRPr="00E26EF6"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915077" w:rsidRPr="00E26EF6" w:rsidRDefault="00C61FF5">
            <w:pPr>
              <w:spacing w:beforeLines="60" w:before="144" w:afterLines="60" w:after="144"/>
              <w:rPr>
                <w:rStyle w:val="InstructionsTabelleText"/>
                <w:rFonts w:ascii="Times New Roman" w:hAnsi="Times New Roman"/>
                <w:bCs/>
                <w:sz w:val="24"/>
                <w:highlight w:val="lightGray"/>
              </w:rPr>
            </w:pPr>
            <w:r w:rsidRPr="00E26EF6">
              <w:rPr>
                <w:rStyle w:val="InstructionsTabelleText"/>
                <w:rFonts w:ascii="Times New Roman" w:hAnsi="Times New Roman"/>
                <w:sz w:val="24"/>
              </w:rPr>
              <w:t>CR EQU IRB 1 – wiersz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915077" w:rsidRPr="00E26EF6" w:rsidRDefault="00C61FF5">
            <w:pPr>
              <w:rPr>
                <w:rStyle w:val="InstructionsTabelleberschrift"/>
                <w:rFonts w:ascii="Times New Roman" w:hAnsi="Times New Roman"/>
                <w:sz w:val="24"/>
              </w:rPr>
            </w:pPr>
            <w:r w:rsidRPr="00E26EF6">
              <w:rPr>
                <w:rStyle w:val="InstructionsTabelleberschrift"/>
                <w:rFonts w:ascii="Times New Roman" w:hAnsi="Times New Roman"/>
                <w:sz w:val="24"/>
              </w:rPr>
              <w:t>EKSPOZYCJE KAPITAŁOWE PODLEGAJĄCE WAGOM RYZYKA</w:t>
            </w:r>
          </w:p>
          <w:p w14:paraId="4B76CB87" w14:textId="73C2470D" w:rsidR="00915077" w:rsidRPr="00E26EF6" w:rsidRDefault="00C61FF5">
            <w:pPr>
              <w:rPr>
                <w:rFonts w:ascii="Times New Roman" w:hAnsi="Times New Roman"/>
                <w:sz w:val="24"/>
              </w:rPr>
            </w:pPr>
            <w:r w:rsidRPr="00E26EF6">
              <w:rPr>
                <w:rFonts w:ascii="Times New Roman" w:hAnsi="Times New Roman"/>
                <w:sz w:val="24"/>
              </w:rPr>
              <w:t>Instytucje stosujące metodę IRB zgłaszają kwoty ekspozycji ważonej ryzykiem dla tych ekspozycji kapitałowych, które wiążą się</w:t>
            </w:r>
            <w:r w:rsidR="00E26EF6" w:rsidRPr="00E26EF6">
              <w:rPr>
                <w:rFonts w:ascii="Times New Roman" w:hAnsi="Times New Roman"/>
                <w:sz w:val="24"/>
              </w:rPr>
              <w:t xml:space="preserve"> z prz</w:t>
            </w:r>
            <w:r w:rsidRPr="00E26EF6">
              <w:rPr>
                <w:rFonts w:ascii="Times New Roman" w:hAnsi="Times New Roman"/>
                <w:sz w:val="24"/>
              </w:rPr>
              <w:t>ypisaniem stałej wagi ryzyka (chociaż nie są jednoznacznie traktowane według uproszczonej metody ważenia ryzykiem ani nie są</w:t>
            </w:r>
            <w:r w:rsidR="00E26EF6" w:rsidRPr="00E26EF6">
              <w:rPr>
                <w:rFonts w:ascii="Times New Roman" w:hAnsi="Times New Roman"/>
                <w:sz w:val="24"/>
              </w:rPr>
              <w:t xml:space="preserve"> w nie</w:t>
            </w:r>
            <w:r w:rsidRPr="00E26EF6">
              <w:rPr>
                <w:rFonts w:ascii="Times New Roman" w:hAnsi="Times New Roman"/>
                <w:sz w:val="24"/>
              </w:rPr>
              <w:t xml:space="preserve">pełnym zakresie </w:t>
            </w:r>
            <w:r w:rsidRPr="00E26EF6">
              <w:rPr>
                <w:rFonts w:ascii="Times New Roman" w:hAnsi="Times New Roman"/>
                <w:sz w:val="24"/>
              </w:rPr>
              <w:lastRenderedPageBreak/>
              <w:t>objęte standardową metodą (stosowaną czasowo lub stale) obliczania ryzyka kredytowego). Na przykład:</w:t>
            </w:r>
          </w:p>
          <w:p w14:paraId="276AD23C" w14:textId="3CFF92AA" w:rsidR="00915077" w:rsidRPr="00E26EF6" w:rsidRDefault="00C61FF5">
            <w:pPr>
              <w:rPr>
                <w:rStyle w:val="FormatvorlageInstructionsTabelleText"/>
                <w:rFonts w:ascii="Times New Roman" w:hAnsi="Times New Roman"/>
                <w:sz w:val="24"/>
              </w:rPr>
            </w:pPr>
            <w:r w:rsidRPr="00E26EF6">
              <w:rPr>
                <w:rFonts w:ascii="Times New Roman" w:hAnsi="Times New Roman"/>
                <w:sz w:val="24"/>
              </w:rPr>
              <w:t>-</w:t>
            </w:r>
            <w:r w:rsidRPr="00E26EF6">
              <w:rPr>
                <w:rStyle w:val="FormatvorlageInstructionsTabelleText"/>
                <w:rFonts w:ascii="Times New Roman" w:hAnsi="Times New Roman"/>
                <w:sz w:val="24"/>
              </w:rPr>
              <w:t xml:space="preserve"> kwota ekspozycji ważona ryzykiem</w:t>
            </w:r>
            <w:r w:rsidR="00E26EF6" w:rsidRPr="00E26EF6">
              <w:rPr>
                <w:rStyle w:val="FormatvorlageInstructionsTabelleText"/>
                <w:rFonts w:ascii="Times New Roman" w:hAnsi="Times New Roman"/>
                <w:sz w:val="24"/>
              </w:rPr>
              <w:t xml:space="preserve"> w odn</w:t>
            </w:r>
            <w:r w:rsidRPr="00E26EF6">
              <w:rPr>
                <w:rStyle w:val="FormatvorlageInstructionsTabelleText"/>
                <w:rFonts w:ascii="Times New Roman" w:hAnsi="Times New Roman"/>
                <w:sz w:val="24"/>
              </w:rPr>
              <w:t>iesieniu do pozycji</w:t>
            </w:r>
            <w:r w:rsidR="00E26EF6" w:rsidRPr="00E26EF6">
              <w:rPr>
                <w:rStyle w:val="FormatvorlageInstructionsTabelleText"/>
                <w:rFonts w:ascii="Times New Roman" w:hAnsi="Times New Roman"/>
                <w:sz w:val="24"/>
              </w:rPr>
              <w:t xml:space="preserve"> w pap</w:t>
            </w:r>
            <w:r w:rsidRPr="00E26EF6">
              <w:rPr>
                <w:rStyle w:val="FormatvorlageInstructionsTabelleText"/>
                <w:rFonts w:ascii="Times New Roman" w:hAnsi="Times New Roman"/>
                <w:sz w:val="24"/>
              </w:rPr>
              <w:t>ierach kapitałowych</w:t>
            </w:r>
            <w:r w:rsidR="00E26EF6" w:rsidRPr="00E26EF6">
              <w:rPr>
                <w:rStyle w:val="FormatvorlageInstructionsTabelleText"/>
                <w:rFonts w:ascii="Times New Roman" w:hAnsi="Times New Roman"/>
                <w:sz w:val="24"/>
              </w:rPr>
              <w:t xml:space="preserve"> w pod</w:t>
            </w:r>
            <w:r w:rsidRPr="00E26EF6">
              <w:rPr>
                <w:rStyle w:val="FormatvorlageInstructionsTabelleText"/>
                <w:rFonts w:ascii="Times New Roman" w:hAnsi="Times New Roman"/>
                <w:sz w:val="24"/>
              </w:rPr>
              <w:t>miotach sektora finansów traktowana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48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 CRR, jak również</w:t>
            </w:r>
          </w:p>
          <w:p w14:paraId="4810199E" w14:textId="090639AA" w:rsidR="00915077" w:rsidRPr="00E26EF6" w:rsidRDefault="00C61FF5">
            <w:pPr>
              <w:rPr>
                <w:rStyle w:val="FormatvorlageInstructionsTabelleText"/>
                <w:rFonts w:ascii="Times New Roman" w:hAnsi="Times New Roman"/>
                <w:sz w:val="24"/>
              </w:rPr>
            </w:pPr>
            <w:r w:rsidRPr="00E26EF6">
              <w:rPr>
                <w:rStyle w:val="FormatvorlageInstructionsTabelleText"/>
                <w:rFonts w:ascii="Times New Roman" w:hAnsi="Times New Roman"/>
                <w:sz w:val="24"/>
              </w:rPr>
              <w:t>- pozycje</w:t>
            </w:r>
            <w:r w:rsidR="00E26EF6" w:rsidRPr="00E26EF6">
              <w:rPr>
                <w:rStyle w:val="FormatvorlageInstructionsTabelleText"/>
                <w:rFonts w:ascii="Times New Roman" w:hAnsi="Times New Roman"/>
                <w:sz w:val="24"/>
              </w:rPr>
              <w:t xml:space="preserve"> w pap</w:t>
            </w:r>
            <w:r w:rsidRPr="00E26EF6">
              <w:rPr>
                <w:rStyle w:val="FormatvorlageInstructionsTabelleText"/>
                <w:rFonts w:ascii="Times New Roman" w:hAnsi="Times New Roman"/>
                <w:sz w:val="24"/>
              </w:rPr>
              <w:t>ierach kapitałowych ważone ryzykiem</w:t>
            </w:r>
            <w:r w:rsidR="00E26EF6" w:rsidRPr="00E26EF6">
              <w:rPr>
                <w:rStyle w:val="FormatvorlageInstructionsTabelleText"/>
                <w:rFonts w:ascii="Times New Roman" w:hAnsi="Times New Roman"/>
                <w:sz w:val="24"/>
              </w:rPr>
              <w:t xml:space="preserve"> o wad</w:t>
            </w:r>
            <w:r w:rsidRPr="00E26EF6">
              <w:rPr>
                <w:rStyle w:val="FormatvorlageInstructionsTabelleText"/>
                <w:rFonts w:ascii="Times New Roman" w:hAnsi="Times New Roman"/>
                <w:sz w:val="24"/>
              </w:rPr>
              <w:t>ze 370</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zgodnie</w:t>
            </w:r>
            <w:r w:rsidR="00E26EF6" w:rsidRPr="00E26EF6">
              <w:rPr>
                <w:rStyle w:val="FormatvorlageInstructionsTabelleText"/>
                <w:rFonts w:ascii="Times New Roman" w:hAnsi="Times New Roman"/>
                <w:sz w:val="24"/>
              </w:rPr>
              <w:t xml:space="preserve"> z 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471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2 CRR </w:t>
            </w:r>
          </w:p>
          <w:p w14:paraId="2CB3A9BA" w14:textId="64E5D5F0" w:rsidR="00915077" w:rsidRPr="00E26EF6" w:rsidRDefault="00C61FF5">
            <w:pPr>
              <w:rPr>
                <w:rStyle w:val="FormatvorlageInstructionsTabelleText"/>
                <w:rFonts w:ascii="Times New Roman" w:hAnsi="Times New Roman"/>
                <w:sz w:val="24"/>
                <w:highlight w:val="lightGray"/>
              </w:rPr>
            </w:pPr>
            <w:proofErr w:type="gramStart"/>
            <w:r w:rsidRPr="00E26EF6">
              <w:rPr>
                <w:rStyle w:val="FormatvorlageInstructionsTabelleText"/>
                <w:rFonts w:ascii="Times New Roman" w:hAnsi="Times New Roman"/>
                <w:sz w:val="24"/>
              </w:rPr>
              <w:t>zgłaszane</w:t>
            </w:r>
            <w:proofErr w:type="gramEnd"/>
            <w:r w:rsidRPr="00E26EF6">
              <w:rPr>
                <w:rStyle w:val="FormatvorlageInstructionsTabelleText"/>
                <w:rFonts w:ascii="Times New Roman" w:hAnsi="Times New Roman"/>
                <w:sz w:val="24"/>
              </w:rPr>
              <w:t xml:space="preserve"> są</w:t>
            </w:r>
            <w:r w:rsidR="00E26EF6" w:rsidRPr="00E26EF6">
              <w:rPr>
                <w:rStyle w:val="FormatvorlageInstructionsTabelleText"/>
                <w:rFonts w:ascii="Times New Roman" w:hAnsi="Times New Roman"/>
                <w:sz w:val="24"/>
              </w:rPr>
              <w:t xml:space="preserve"> w wie</w:t>
            </w:r>
            <w:r w:rsidRPr="00E26EF6">
              <w:rPr>
                <w:rStyle w:val="FormatvorlageInstructionsTabelleText"/>
                <w:rFonts w:ascii="Times New Roman" w:hAnsi="Times New Roman"/>
                <w:sz w:val="24"/>
              </w:rPr>
              <w:t>rszu 110.</w:t>
            </w:r>
          </w:p>
        </w:tc>
      </w:tr>
      <w:tr w:rsidR="00915077" w:rsidRPr="00E26EF6"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915077" w:rsidRPr="00E26EF6" w:rsidRDefault="00C61FF5">
            <w:pPr>
              <w:rPr>
                <w:rStyle w:val="InstructionsTabelleText"/>
                <w:rFonts w:ascii="Times New Roman" w:hAnsi="Times New Roman"/>
                <w:sz w:val="24"/>
              </w:rPr>
            </w:pPr>
            <w:r w:rsidRPr="00E26EF6">
              <w:rPr>
                <w:rStyle w:val="InstructionsTabelleText"/>
                <w:rFonts w:ascii="Times New Roman" w:hAnsi="Times New Roman"/>
                <w:sz w:val="24"/>
              </w:rPr>
              <w:lastRenderedPageBreak/>
              <w:t>CR EQU IRB 2</w:t>
            </w:r>
          </w:p>
          <w:p w14:paraId="7BAE5549" w14:textId="77777777" w:rsidR="00915077" w:rsidRPr="00E26EF6" w:rsidRDefault="00915077">
            <w:pPr>
              <w:spacing w:beforeLines="60" w:before="144" w:afterLines="60" w:after="144"/>
              <w:rPr>
                <w:rStyle w:val="InstructionsTabelleText"/>
                <w:rFonts w:ascii="Times New Roman" w:hAnsi="Times New Roman"/>
                <w:sz w:val="24"/>
                <w:highlight w:val="lightGray"/>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915077" w:rsidRPr="00E26EF6" w:rsidRDefault="00C61FF5">
            <w:pPr>
              <w:keepNext/>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PODZIAŁ EKSPOZYCJI CAŁKOWITYCH WEDŁUG METODY OPARTEJ NA PD/LGD WEDŁUG KLAS JAKOŚCI DŁUŻNIKÓW</w:t>
            </w:r>
          </w:p>
          <w:p w14:paraId="3CBD70B6" w14:textId="69281A94" w:rsidR="00915077" w:rsidRPr="00E26EF6" w:rsidRDefault="00C61FF5">
            <w:pPr>
              <w:keepNext/>
              <w:spacing w:beforeLines="60" w:before="144" w:afterLines="60" w:after="144"/>
              <w:rPr>
                <w:rStyle w:val="InstructionsTabelleText"/>
                <w:rFonts w:ascii="Times New Roman" w:hAnsi="Times New Roman"/>
                <w:sz w:val="24"/>
              </w:rPr>
            </w:pPr>
            <w:r w:rsidRPr="00E26EF6">
              <w:rPr>
                <w:rStyle w:val="InstructionsTabelleText"/>
                <w:rFonts w:ascii="Times New Roman" w:hAnsi="Times New Roman"/>
                <w:sz w:val="24"/>
              </w:rPr>
              <w:t>Instytucje stosujące metodę opartą na PD/LGD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155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CRR) zgłaszają wymagane informacje we wzorze CR EQU IRB 2.</w:t>
            </w:r>
          </w:p>
          <w:p w14:paraId="4A99D5E0" w14:textId="71151300" w:rsidR="00915077" w:rsidRPr="00E26EF6" w:rsidRDefault="00D021AF">
            <w:pPr>
              <w:rPr>
                <w:rStyle w:val="InstructionsTabelleberschrift"/>
                <w:rFonts w:ascii="Times New Roman" w:hAnsi="Times New Roman"/>
                <w:b w:val="0"/>
                <w:bCs w:val="0"/>
                <w:sz w:val="24"/>
                <w:u w:val="none"/>
              </w:rPr>
            </w:pPr>
            <w:r w:rsidRPr="00E26EF6">
              <w:rPr>
                <w:rStyle w:val="InstructionsTabelleText"/>
                <w:rFonts w:ascii="Times New Roman" w:hAnsi="Times New Roman"/>
                <w:sz w:val="24"/>
              </w:rPr>
              <w:t>Instytucje stosujące metodę opartą na PD/LGD, które stosują niepowtarzalny system ratingu lub które mają możliwość zgłaszania danych zgodnie</w:t>
            </w:r>
            <w:r w:rsidR="00E26EF6" w:rsidRPr="00E26EF6">
              <w:rPr>
                <w:rStyle w:val="InstructionsTabelleText"/>
                <w:rFonts w:ascii="Times New Roman" w:hAnsi="Times New Roman"/>
                <w:sz w:val="24"/>
              </w:rPr>
              <w:t xml:space="preserve"> z wew</w:t>
            </w:r>
            <w:r w:rsidRPr="00E26EF6">
              <w:rPr>
                <w:rStyle w:val="InstructionsTabelleText"/>
                <w:rFonts w:ascii="Times New Roman" w:hAnsi="Times New Roman"/>
                <w:sz w:val="24"/>
              </w:rPr>
              <w:t>nętrznym wzorcem, we wzorze CR EQU IRB 2 zgłaszają klasy ratingowe lub pule związane</w:t>
            </w:r>
            <w:r w:rsidR="00E26EF6" w:rsidRPr="00E26EF6">
              <w:rPr>
                <w:rStyle w:val="InstructionsTabelleText"/>
                <w:rFonts w:ascii="Times New Roman" w:hAnsi="Times New Roman"/>
                <w:sz w:val="24"/>
              </w:rPr>
              <w:t xml:space="preserve"> z tym</w:t>
            </w:r>
            <w:r w:rsidRPr="00E26EF6">
              <w:rPr>
                <w:rStyle w:val="InstructionsTabelleText"/>
                <w:rFonts w:ascii="Times New Roman" w:hAnsi="Times New Roman"/>
                <w:sz w:val="24"/>
              </w:rPr>
              <w:t xml:space="preserve"> niepowtarzalnym systemem ratingu / wzorcem</w:t>
            </w:r>
            <w:r w:rsidR="00E26EF6" w:rsidRPr="00E26EF6">
              <w:rPr>
                <w:rStyle w:val="InstructionsTabelleText"/>
                <w:rFonts w:ascii="Times New Roman" w:hAnsi="Times New Roman"/>
                <w:sz w:val="24"/>
              </w:rPr>
              <w:t>. W każ</w:t>
            </w:r>
            <w:r w:rsidRPr="00E26EF6">
              <w:rPr>
                <w:rStyle w:val="InstructionsTabelleText"/>
                <w:rFonts w:ascii="Times New Roman" w:hAnsi="Times New Roman"/>
                <w:sz w:val="24"/>
              </w:rPr>
              <w:t>dym innym przypadku łączy się różne systemy ratingu</w:t>
            </w:r>
            <w:r w:rsidR="00E26EF6" w:rsidRPr="00E26EF6">
              <w:rPr>
                <w:rStyle w:val="InstructionsTabelleText"/>
                <w:rFonts w:ascii="Times New Roman" w:hAnsi="Times New Roman"/>
                <w:sz w:val="24"/>
              </w:rPr>
              <w:t xml:space="preserve"> i sze</w:t>
            </w:r>
            <w:r w:rsidRPr="00E26EF6">
              <w:rPr>
                <w:rStyle w:val="InstructionsTabelleText"/>
                <w:rFonts w:ascii="Times New Roman" w:hAnsi="Times New Roman"/>
                <w:sz w:val="24"/>
              </w:rPr>
              <w:t>reguje je zgodnie</w:t>
            </w:r>
            <w:r w:rsidR="00E26EF6" w:rsidRPr="00E26EF6">
              <w:rPr>
                <w:rStyle w:val="InstructionsTabelleText"/>
                <w:rFonts w:ascii="Times New Roman" w:hAnsi="Times New Roman"/>
                <w:sz w:val="24"/>
              </w:rPr>
              <w:t xml:space="preserve"> z nas</w:t>
            </w:r>
            <w:r w:rsidRPr="00E26EF6">
              <w:rPr>
                <w:rStyle w:val="InstructionsTabelleText"/>
                <w:rFonts w:ascii="Times New Roman" w:hAnsi="Times New Roman"/>
                <w:sz w:val="24"/>
              </w:rPr>
              <w:t>tępującymi kryteriami: klasy jakości lub pule dłużnika</w:t>
            </w:r>
            <w:r w:rsidR="00E26EF6" w:rsidRPr="00E26EF6">
              <w:rPr>
                <w:rStyle w:val="InstructionsTabelleText"/>
                <w:rFonts w:ascii="Times New Roman" w:hAnsi="Times New Roman"/>
                <w:sz w:val="24"/>
              </w:rPr>
              <w:t xml:space="preserve"> z róż</w:t>
            </w:r>
            <w:r w:rsidRPr="00E26EF6">
              <w:rPr>
                <w:rStyle w:val="InstructionsTabelleText"/>
                <w:rFonts w:ascii="Times New Roman" w:hAnsi="Times New Roman"/>
                <w:sz w:val="24"/>
              </w:rPr>
              <w:t>nych systemów ratingu łączy się</w:t>
            </w:r>
            <w:r w:rsidR="00E26EF6" w:rsidRPr="00E26EF6">
              <w:rPr>
                <w:rStyle w:val="InstructionsTabelleText"/>
                <w:rFonts w:ascii="Times New Roman" w:hAnsi="Times New Roman"/>
                <w:sz w:val="24"/>
              </w:rPr>
              <w:t xml:space="preserve"> i sze</w:t>
            </w:r>
            <w:r w:rsidRPr="00E26EF6">
              <w:rPr>
                <w:rStyle w:val="InstructionsTabelleText"/>
                <w:rFonts w:ascii="Times New Roman" w:hAnsi="Times New Roman"/>
                <w:sz w:val="24"/>
              </w:rPr>
              <w:t>reguje od najniższego PD przypisanego każdej klasie jakości lub puli dłużnika do najwyższego.</w:t>
            </w:r>
          </w:p>
        </w:tc>
      </w:tr>
    </w:tbl>
    <w:p w14:paraId="6FA66299" w14:textId="77777777" w:rsidR="00915077" w:rsidRPr="00E26EF6" w:rsidRDefault="00915077">
      <w:pPr>
        <w:spacing w:before="0" w:after="0"/>
        <w:jc w:val="left"/>
        <w:rPr>
          <w:rStyle w:val="InstructionsTabelleText"/>
          <w:rFonts w:ascii="Times New Roman" w:hAnsi="Times New Roman"/>
          <w:sz w:val="24"/>
        </w:rPr>
      </w:pPr>
    </w:p>
    <w:p w14:paraId="5D217367"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59" w:name="_Toc31014357"/>
      <w:r w:rsidRPr="00E26EF6">
        <w:rPr>
          <w:rFonts w:ascii="Times New Roman" w:hAnsi="Times New Roman"/>
          <w:sz w:val="24"/>
          <w:u w:val="none"/>
        </w:rPr>
        <w:t>3.6.</w:t>
      </w:r>
      <w:r w:rsidRPr="00E26EF6">
        <w:rPr>
          <w:rFonts w:ascii="Times New Roman" w:hAnsi="Times New Roman"/>
          <w:sz w:val="24"/>
          <w:u w:val="none"/>
        </w:rPr>
        <w:tab/>
      </w:r>
      <w:r w:rsidRPr="00E26EF6">
        <w:rPr>
          <w:rFonts w:ascii="Times New Roman" w:hAnsi="Times New Roman"/>
          <w:sz w:val="24"/>
        </w:rPr>
        <w:t>C 11.00 – Ryzyko rozliczenia/dostawy (CR SETT)</w:t>
      </w:r>
      <w:bookmarkEnd w:id="59"/>
    </w:p>
    <w:p w14:paraId="67551EF1"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60" w:name="_Toc31014358"/>
      <w:r w:rsidRPr="00E26EF6">
        <w:rPr>
          <w:rFonts w:ascii="Times New Roman" w:hAnsi="Times New Roman"/>
          <w:sz w:val="24"/>
          <w:u w:val="none"/>
        </w:rPr>
        <w:t>3.6.1.</w:t>
      </w:r>
      <w:r w:rsidRPr="00E26EF6">
        <w:rPr>
          <w:rFonts w:ascii="Times New Roman" w:hAnsi="Times New Roman"/>
          <w:sz w:val="24"/>
          <w:u w:val="none"/>
        </w:rPr>
        <w:tab/>
      </w:r>
      <w:r w:rsidRPr="00E26EF6">
        <w:rPr>
          <w:rFonts w:ascii="Times New Roman" w:hAnsi="Times New Roman"/>
          <w:sz w:val="24"/>
        </w:rPr>
        <w:t>Uwagi ogólne</w:t>
      </w:r>
      <w:bookmarkEnd w:id="60"/>
    </w:p>
    <w:p w14:paraId="4790EC4D" w14:textId="303F5EC8" w:rsidR="00915077" w:rsidRPr="00E26EF6" w:rsidRDefault="00125707">
      <w:pPr>
        <w:pStyle w:val="InstructionsText2"/>
        <w:numPr>
          <w:ilvl w:val="0"/>
          <w:numId w:val="0"/>
        </w:numPr>
        <w:ind w:left="993"/>
      </w:pPr>
      <w:r w:rsidRPr="00E26EF6">
        <w:t>93.</w:t>
      </w:r>
      <w:r w:rsidRPr="00E26EF6">
        <w:tab/>
        <w:t>W ten wzór wprowadza się żądane informacje dotyczące zarówno transakcji portfela handlowego, jak</w:t>
      </w:r>
      <w:r w:rsidR="00E26EF6" w:rsidRPr="00E26EF6">
        <w:t xml:space="preserve"> i por</w:t>
      </w:r>
      <w:r w:rsidRPr="00E26EF6">
        <w:t>tfela bankowego, które są nierozliczone po ustalonych datach dostawy,</w:t>
      </w:r>
      <w:r w:rsidR="00E26EF6" w:rsidRPr="00E26EF6">
        <w:t xml:space="preserve"> a tak</w:t>
      </w:r>
      <w:r w:rsidRPr="00E26EF6">
        <w:t>że odpowiadające im wymogi</w:t>
      </w:r>
      <w:r w:rsidR="00E26EF6" w:rsidRPr="00E26EF6">
        <w:t xml:space="preserve"> w zak</w:t>
      </w:r>
      <w:r w:rsidRPr="00E26EF6">
        <w:t>resie funduszy własnych</w:t>
      </w:r>
      <w:r w:rsidR="00E26EF6" w:rsidRPr="00E26EF6">
        <w:t xml:space="preserve"> z tyt</w:t>
      </w:r>
      <w:r w:rsidRPr="00E26EF6">
        <w:t>ułu ryzyka rozliczenia zgodnie</w:t>
      </w:r>
      <w:r w:rsidR="00E26EF6" w:rsidRPr="00E26EF6">
        <w:t xml:space="preserve"> z art</w:t>
      </w:r>
      <w:r w:rsidRPr="00E26EF6">
        <w:t>.</w:t>
      </w:r>
      <w:r w:rsidR="00023409" w:rsidRPr="00E26EF6">
        <w:t> </w:t>
      </w:r>
      <w:r w:rsidRPr="00E26EF6">
        <w:t>92 ust.</w:t>
      </w:r>
      <w:r w:rsidR="00023409" w:rsidRPr="00E26EF6">
        <w:t> </w:t>
      </w:r>
      <w:r w:rsidRPr="00E26EF6">
        <w:t>3 lit.</w:t>
      </w:r>
      <w:r w:rsidR="00023409" w:rsidRPr="00E26EF6">
        <w:t> </w:t>
      </w:r>
      <w:r w:rsidRPr="00E26EF6">
        <w:t>c) ppkt (ii) oraz art.</w:t>
      </w:r>
      <w:r w:rsidR="00023409" w:rsidRPr="00E26EF6">
        <w:t> </w:t>
      </w:r>
      <w:r w:rsidRPr="00E26EF6">
        <w:t xml:space="preserve">378 CRR. </w:t>
      </w:r>
    </w:p>
    <w:p w14:paraId="1DC61D44" w14:textId="62B84724" w:rsidR="00915077" w:rsidRPr="00E26EF6" w:rsidRDefault="00125707">
      <w:pPr>
        <w:pStyle w:val="InstructionsText2"/>
        <w:numPr>
          <w:ilvl w:val="0"/>
          <w:numId w:val="0"/>
        </w:numPr>
        <w:ind w:left="993"/>
      </w:pPr>
      <w:r w:rsidRPr="00E26EF6">
        <w:t>94.</w:t>
      </w:r>
      <w:r w:rsidRPr="00E26EF6">
        <w:tab/>
        <w:t>Instytucje zgłaszają we wzorze CR SETT informacje dotyczące ryzyka rozliczenia/dostawy</w:t>
      </w:r>
      <w:r w:rsidR="00E26EF6" w:rsidRPr="00E26EF6">
        <w:t xml:space="preserve"> w zwi</w:t>
      </w:r>
      <w:r w:rsidRPr="00E26EF6">
        <w:t>ązku</w:t>
      </w:r>
      <w:r w:rsidR="00E26EF6" w:rsidRPr="00E26EF6">
        <w:t xml:space="preserve"> z ins</w:t>
      </w:r>
      <w:r w:rsidRPr="00E26EF6">
        <w:t>trumentami dłużnymi, instrumentami kapitałowymi, walutami obcymi</w:t>
      </w:r>
      <w:r w:rsidR="00E26EF6" w:rsidRPr="00E26EF6">
        <w:t xml:space="preserve"> i tow</w:t>
      </w:r>
      <w:r w:rsidRPr="00E26EF6">
        <w:t>arami posiadanymi</w:t>
      </w:r>
      <w:r w:rsidR="00E26EF6" w:rsidRPr="00E26EF6">
        <w:t xml:space="preserve"> w swo</w:t>
      </w:r>
      <w:r w:rsidRPr="00E26EF6">
        <w:t>ich portfelach handlowych</w:t>
      </w:r>
      <w:r w:rsidR="00E26EF6" w:rsidRPr="00E26EF6">
        <w:t xml:space="preserve"> i ban</w:t>
      </w:r>
      <w:r w:rsidRPr="00E26EF6">
        <w:t xml:space="preserve">kowych. </w:t>
      </w:r>
    </w:p>
    <w:p w14:paraId="545D84A1" w14:textId="3221A572" w:rsidR="00915077" w:rsidRPr="00E26EF6" w:rsidRDefault="00125707">
      <w:pPr>
        <w:pStyle w:val="InstructionsText2"/>
        <w:numPr>
          <w:ilvl w:val="0"/>
          <w:numId w:val="0"/>
        </w:numPr>
        <w:ind w:left="993"/>
      </w:pPr>
      <w:r w:rsidRPr="00E26EF6">
        <w:t>95.</w:t>
      </w:r>
      <w:r w:rsidRPr="00E26EF6">
        <w:tab/>
        <w:t>Zgodnie</w:t>
      </w:r>
      <w:r w:rsidR="00E26EF6" w:rsidRPr="00E26EF6">
        <w:t xml:space="preserve"> z art</w:t>
      </w:r>
      <w:r w:rsidRPr="00E26EF6">
        <w:t>.</w:t>
      </w:r>
      <w:r w:rsidR="00023409" w:rsidRPr="00E26EF6">
        <w:t> </w:t>
      </w:r>
      <w:r w:rsidRPr="00E26EF6">
        <w:t>378 CRR transakcje</w:t>
      </w:r>
      <w:r w:rsidR="00E26EF6" w:rsidRPr="00E26EF6">
        <w:t xml:space="preserve"> z udz</w:t>
      </w:r>
      <w:r w:rsidRPr="00E26EF6">
        <w:t>ielonym przyrzeczeniem odkupu, transakcje udzielania lub zaciągania pożyczek papierów wartościowych lub towarów</w:t>
      </w:r>
      <w:r w:rsidR="00E26EF6" w:rsidRPr="00E26EF6">
        <w:t xml:space="preserve"> w poł</w:t>
      </w:r>
      <w:r w:rsidRPr="00E26EF6">
        <w:t>ączeniu</w:t>
      </w:r>
      <w:r w:rsidR="00E26EF6" w:rsidRPr="00E26EF6">
        <w:t xml:space="preserve"> z ins</w:t>
      </w:r>
      <w:r w:rsidRPr="00E26EF6">
        <w:t>trumentami dłużnymi, instrumenty kapitałowe, waluty obce</w:t>
      </w:r>
      <w:r w:rsidR="00E26EF6" w:rsidRPr="00E26EF6">
        <w:t xml:space="preserve"> i tow</w:t>
      </w:r>
      <w:r w:rsidRPr="00E26EF6">
        <w:t>ary nie są objęte wymogami</w:t>
      </w:r>
      <w:r w:rsidR="00E26EF6" w:rsidRPr="00E26EF6">
        <w:t xml:space="preserve"> w zak</w:t>
      </w:r>
      <w:r w:rsidRPr="00E26EF6">
        <w:t>resie funduszy własnych</w:t>
      </w:r>
      <w:r w:rsidR="00E26EF6" w:rsidRPr="00E26EF6">
        <w:t xml:space="preserve"> z tyt</w:t>
      </w:r>
      <w:r w:rsidRPr="00E26EF6">
        <w:t>ułu ryzyka rozliczenia/dostawy. Należy jednak zauważyć, że instrumenty pochodne</w:t>
      </w:r>
      <w:r w:rsidR="00E26EF6" w:rsidRPr="00E26EF6">
        <w:t xml:space="preserve"> i tra</w:t>
      </w:r>
      <w:r w:rsidRPr="00E26EF6">
        <w:t>nsakcje</w:t>
      </w:r>
      <w:r w:rsidR="00E26EF6" w:rsidRPr="00E26EF6">
        <w:t xml:space="preserve"> z dłu</w:t>
      </w:r>
      <w:r w:rsidRPr="00E26EF6">
        <w:t>gim terminem rozliczenia nierozliczone po ustalonych datach dostawy podlegają wymogom</w:t>
      </w:r>
      <w:r w:rsidR="00E26EF6" w:rsidRPr="00E26EF6">
        <w:t xml:space="preserve"> w zak</w:t>
      </w:r>
      <w:r w:rsidRPr="00E26EF6">
        <w:t>resie funduszy własnych</w:t>
      </w:r>
      <w:r w:rsidR="00E26EF6" w:rsidRPr="00E26EF6">
        <w:t xml:space="preserve"> z tyt</w:t>
      </w:r>
      <w:r w:rsidRPr="00E26EF6">
        <w:t>ułu ryzyka rozliczenia/dostawy zgodnie</w:t>
      </w:r>
      <w:r w:rsidR="00E26EF6" w:rsidRPr="00E26EF6">
        <w:t xml:space="preserve"> z art</w:t>
      </w:r>
      <w:r w:rsidRPr="00E26EF6">
        <w:t>.</w:t>
      </w:r>
      <w:r w:rsidR="00023409" w:rsidRPr="00E26EF6">
        <w:t> </w:t>
      </w:r>
      <w:r w:rsidRPr="00E26EF6">
        <w:t>378 CRR.</w:t>
      </w:r>
    </w:p>
    <w:p w14:paraId="22B606E8" w14:textId="68886783" w:rsidR="00915077" w:rsidRPr="00E26EF6" w:rsidRDefault="00125707">
      <w:pPr>
        <w:pStyle w:val="InstructionsText2"/>
        <w:numPr>
          <w:ilvl w:val="0"/>
          <w:numId w:val="0"/>
        </w:numPr>
        <w:ind w:left="993"/>
      </w:pPr>
      <w:r w:rsidRPr="00E26EF6">
        <w:t>96.</w:t>
      </w:r>
      <w:r w:rsidRPr="00E26EF6">
        <w:tab/>
        <w:t>W przypadku transakcji nierozliczonych po ustalonych datach dostawy instytucje obliczają różnicę cenową mogącą stanowić ich stratę. Jest to różnica pomiędzy ustalonym kursem rozliczeniowym danego instrumentu dłużnego, instrumentu kapitałowego, waluty obcej lub towaru</w:t>
      </w:r>
      <w:r w:rsidR="00E26EF6" w:rsidRPr="00E26EF6">
        <w:t xml:space="preserve"> a obe</w:t>
      </w:r>
      <w:r w:rsidRPr="00E26EF6">
        <w:t xml:space="preserve">cną wartością rynkową, jeżeli ta różnica może oznaczać stratę dla instytucji. </w:t>
      </w:r>
    </w:p>
    <w:p w14:paraId="3C33B3C5" w14:textId="4B04A194" w:rsidR="00915077" w:rsidRPr="00E26EF6" w:rsidRDefault="00125707">
      <w:pPr>
        <w:pStyle w:val="InstructionsText2"/>
        <w:numPr>
          <w:ilvl w:val="0"/>
          <w:numId w:val="0"/>
        </w:numPr>
        <w:ind w:left="993"/>
      </w:pPr>
      <w:r w:rsidRPr="00E26EF6">
        <w:lastRenderedPageBreak/>
        <w:t>97.</w:t>
      </w:r>
      <w:r w:rsidRPr="00E26EF6">
        <w:tab/>
        <w:t>Instytucje mnożą tę różnicę przez odpowiedni współczynnik</w:t>
      </w:r>
      <w:r w:rsidR="00E26EF6" w:rsidRPr="00E26EF6">
        <w:t xml:space="preserve"> z tab</w:t>
      </w:r>
      <w:r w:rsidRPr="00E26EF6">
        <w:t>eli 1 znajdującej się</w:t>
      </w:r>
      <w:r w:rsidR="00E26EF6" w:rsidRPr="00E26EF6">
        <w:t xml:space="preserve"> w art</w:t>
      </w:r>
      <w:r w:rsidRPr="00E26EF6">
        <w:t>.</w:t>
      </w:r>
      <w:r w:rsidR="00023409" w:rsidRPr="00E26EF6">
        <w:t> </w:t>
      </w:r>
      <w:r w:rsidRPr="00E26EF6">
        <w:t>378 CRR, aby określić odpowiadające jej wymogi</w:t>
      </w:r>
      <w:r w:rsidR="00E26EF6" w:rsidRPr="00E26EF6">
        <w:t xml:space="preserve"> w zak</w:t>
      </w:r>
      <w:r w:rsidRPr="00E26EF6">
        <w:t>resie funduszy własnych.</w:t>
      </w:r>
    </w:p>
    <w:p w14:paraId="26845CF7" w14:textId="52C2107C" w:rsidR="00915077" w:rsidRPr="00E26EF6" w:rsidRDefault="00125707">
      <w:pPr>
        <w:pStyle w:val="InstructionsText2"/>
        <w:numPr>
          <w:ilvl w:val="0"/>
          <w:numId w:val="0"/>
        </w:numPr>
        <w:ind w:left="993"/>
      </w:pPr>
      <w:r w:rsidRPr="00E26EF6">
        <w:t>98.</w:t>
      </w:r>
      <w:r w:rsidRPr="00E26EF6">
        <w:tab/>
        <w:t>Zgodnie</w:t>
      </w:r>
      <w:r w:rsidR="00E26EF6" w:rsidRPr="00E26EF6">
        <w:t xml:space="preserve"> z art</w:t>
      </w:r>
      <w:r w:rsidRPr="00E26EF6">
        <w:t>.</w:t>
      </w:r>
      <w:r w:rsidR="00023409" w:rsidRPr="00E26EF6">
        <w:t> </w:t>
      </w:r>
      <w:r w:rsidRPr="00E26EF6">
        <w:t>92 ust.</w:t>
      </w:r>
      <w:r w:rsidR="00023409" w:rsidRPr="00E26EF6">
        <w:t> </w:t>
      </w:r>
      <w:r w:rsidRPr="00E26EF6">
        <w:t>4 lit.</w:t>
      </w:r>
      <w:r w:rsidR="00023409" w:rsidRPr="00E26EF6">
        <w:t> </w:t>
      </w:r>
      <w:r w:rsidRPr="00E26EF6">
        <w:t>b) CRR wymogi</w:t>
      </w:r>
      <w:r w:rsidR="00E26EF6" w:rsidRPr="00E26EF6">
        <w:t xml:space="preserve"> w zak</w:t>
      </w:r>
      <w:r w:rsidRPr="00E26EF6">
        <w:t>resie funduszy własnych</w:t>
      </w:r>
      <w:r w:rsidR="00E26EF6" w:rsidRPr="00E26EF6">
        <w:t xml:space="preserve"> z tyt</w:t>
      </w:r>
      <w:r w:rsidRPr="00E26EF6">
        <w:t>ułu ryzyka rozliczenia/dostawy mnoży się przez 12,5, aby obliczyć kwotę ekspozycji na ryzyko.</w:t>
      </w:r>
    </w:p>
    <w:p w14:paraId="3EEF45C0" w14:textId="37E5A7B0" w:rsidR="00915077" w:rsidRPr="00E26EF6" w:rsidRDefault="00125707">
      <w:pPr>
        <w:pStyle w:val="InstructionsText2"/>
        <w:numPr>
          <w:ilvl w:val="0"/>
          <w:numId w:val="0"/>
        </w:numPr>
        <w:ind w:left="993"/>
      </w:pPr>
      <w:r w:rsidRPr="00E26EF6">
        <w:t>99.</w:t>
      </w:r>
      <w:r w:rsidRPr="00E26EF6">
        <w:tab/>
        <w:t>Należy zauważyć, że wymogi</w:t>
      </w:r>
      <w:r w:rsidR="00E26EF6" w:rsidRPr="00E26EF6">
        <w:t xml:space="preserve"> w zak</w:t>
      </w:r>
      <w:r w:rsidRPr="00E26EF6">
        <w:t>resie funduszy własnych dla dostaw</w:t>
      </w:r>
      <w:r w:rsidR="00E26EF6" w:rsidRPr="00E26EF6">
        <w:t xml:space="preserve"> z póź</w:t>
      </w:r>
      <w:r w:rsidRPr="00E26EF6">
        <w:t>niejszym terminem rozliczenia określone</w:t>
      </w:r>
      <w:r w:rsidR="00E26EF6" w:rsidRPr="00E26EF6">
        <w:t xml:space="preserve"> w art</w:t>
      </w:r>
      <w:r w:rsidRPr="00E26EF6">
        <w:t>.</w:t>
      </w:r>
      <w:r w:rsidR="00023409" w:rsidRPr="00E26EF6">
        <w:t> </w:t>
      </w:r>
      <w:r w:rsidRPr="00E26EF6">
        <w:t>379 CRR nie wchodzą</w:t>
      </w:r>
      <w:r w:rsidR="00E26EF6" w:rsidRPr="00E26EF6">
        <w:t xml:space="preserve"> w zak</w:t>
      </w:r>
      <w:r w:rsidRPr="00E26EF6">
        <w:t>res wzoru CR SETT. Te wymogi</w:t>
      </w:r>
      <w:r w:rsidR="00E26EF6" w:rsidRPr="00E26EF6">
        <w:t xml:space="preserve"> w zak</w:t>
      </w:r>
      <w:r w:rsidRPr="00E26EF6">
        <w:t>resie funduszy własnych zgłaszane są we wzorach dotyczących ryzyka kredytowego (CR SA, CR IRB).</w:t>
      </w:r>
    </w:p>
    <w:p w14:paraId="7C539E4E"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61" w:name="_Toc31014359"/>
      <w:r w:rsidRPr="00E26EF6">
        <w:rPr>
          <w:rFonts w:ascii="Times New Roman" w:hAnsi="Times New Roman"/>
          <w:sz w:val="24"/>
          <w:u w:val="none"/>
        </w:rPr>
        <w:t>3.6.2.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15077" w:rsidRPr="00E26EF6" w14:paraId="5575C142" w14:textId="77777777" w:rsidTr="00672D2A">
        <w:tc>
          <w:tcPr>
            <w:tcW w:w="8856" w:type="dxa"/>
            <w:gridSpan w:val="2"/>
            <w:shd w:val="clear" w:color="auto" w:fill="CCCCCC"/>
          </w:tcPr>
          <w:p w14:paraId="2EED0216" w14:textId="77777777" w:rsidR="00915077" w:rsidRPr="00E26EF6" w:rsidRDefault="00612780">
            <w:pPr>
              <w:spacing w:beforeLines="60" w:before="144" w:afterLines="60" w:after="144"/>
              <w:rPr>
                <w:rFonts w:ascii="Times New Roman" w:hAnsi="Times New Roman"/>
                <w:b/>
                <w:sz w:val="24"/>
                <w:highlight w:val="lightGray"/>
              </w:rPr>
            </w:pPr>
            <w:r w:rsidRPr="00E26EF6">
              <w:rPr>
                <w:rFonts w:ascii="Times New Roman" w:hAnsi="Times New Roman"/>
                <w:b/>
                <w:sz w:val="24"/>
              </w:rPr>
              <w:t>Kolumny</w:t>
            </w:r>
          </w:p>
        </w:tc>
      </w:tr>
      <w:tr w:rsidR="00915077" w:rsidRPr="00E26EF6" w14:paraId="60A7F75E" w14:textId="77777777" w:rsidTr="00672D2A">
        <w:tc>
          <w:tcPr>
            <w:tcW w:w="852" w:type="dxa"/>
          </w:tcPr>
          <w:p w14:paraId="2183F4D1" w14:textId="77777777"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010</w:t>
            </w:r>
          </w:p>
        </w:tc>
        <w:tc>
          <w:tcPr>
            <w:tcW w:w="8004" w:type="dxa"/>
          </w:tcPr>
          <w:p w14:paraId="5E53C8B8" w14:textId="77777777"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WEDŁUG KURSU ROZLICZENIOWEGO</w:t>
            </w:r>
          </w:p>
          <w:p w14:paraId="4F483008" w14:textId="4D7AB607" w:rsidR="00915077" w:rsidRPr="00E26EF6" w:rsidRDefault="00A16FFF">
            <w:pPr>
              <w:spacing w:beforeLines="60" w:before="144" w:afterLines="60" w:after="144"/>
              <w:rPr>
                <w:rFonts w:ascii="Times New Roman" w:hAnsi="Times New Roman"/>
                <w:sz w:val="24"/>
              </w:rPr>
            </w:pPr>
            <w:r w:rsidRPr="00E26EF6">
              <w:rPr>
                <w:rFonts w:ascii="Times New Roman" w:hAnsi="Times New Roman"/>
                <w:sz w:val="24"/>
              </w:rPr>
              <w:t>Instytucje zgłaszają transakcje nierozliczone po ustalonych datach dostawy według odpowiedniego ustalonego kursu rozliczeniowego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378 CRR. </w:t>
            </w:r>
          </w:p>
          <w:p w14:paraId="1F67800B" w14:textId="21B3D72F"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W tej kolumnie uwzględnia się wszystkie transakcje nierozliczone, niezależnie od faktu, czy po terminie rozliczenia stanowią one zysk czy stratę.</w:t>
            </w:r>
          </w:p>
        </w:tc>
      </w:tr>
      <w:tr w:rsidR="00915077" w:rsidRPr="00E26EF6" w14:paraId="7D156DB1" w14:textId="77777777" w:rsidTr="00672D2A">
        <w:tc>
          <w:tcPr>
            <w:tcW w:w="852" w:type="dxa"/>
          </w:tcPr>
          <w:p w14:paraId="26C9B508" w14:textId="77777777"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020</w:t>
            </w:r>
          </w:p>
        </w:tc>
        <w:tc>
          <w:tcPr>
            <w:tcW w:w="8004" w:type="dxa"/>
          </w:tcPr>
          <w:p w14:paraId="2332AC41" w14:textId="77777777"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EKSPOZYCJA ZWIĄZANA Z RÓŻNICĄ CENOWĄ WYNIKAJĄCA Z NIEROZLICZONYCH TRANSAKCJI</w:t>
            </w:r>
          </w:p>
          <w:p w14:paraId="6A0703DD" w14:textId="04A4492F" w:rsidR="00915077" w:rsidRPr="00E26EF6" w:rsidRDefault="00A16FFF">
            <w:pPr>
              <w:spacing w:beforeLines="60" w:before="144" w:afterLines="60" w:after="144"/>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378 CRR instytucje zgłaszają różnicę pomiędzy ustalonym kursem rozliczeniowym</w:t>
            </w:r>
            <w:r w:rsidR="00E26EF6" w:rsidRPr="00E26EF6">
              <w:rPr>
                <w:rFonts w:ascii="Times New Roman" w:hAnsi="Times New Roman"/>
                <w:sz w:val="24"/>
              </w:rPr>
              <w:t xml:space="preserve"> a bie</w:t>
            </w:r>
            <w:r w:rsidRPr="00E26EF6">
              <w:rPr>
                <w:rFonts w:ascii="Times New Roman" w:hAnsi="Times New Roman"/>
                <w:sz w:val="24"/>
              </w:rPr>
              <w:t xml:space="preserve">żącą wartością rynkową danego instrumentu dłużnego, instrumentu kapitałowego, waluty obcej lub towaru, jeżeli ta różnica może oznaczać stratę dla instytucji. </w:t>
            </w:r>
          </w:p>
          <w:p w14:paraId="2A2C35B7" w14:textId="3C4384AC"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W tej kolumnie zgłasza się wyłącznie nierozliczone transakcje oznaczające stratę po terminie rozliczenia.</w:t>
            </w:r>
          </w:p>
        </w:tc>
      </w:tr>
      <w:tr w:rsidR="00915077" w:rsidRPr="00E26EF6" w14:paraId="50BA0E72" w14:textId="77777777" w:rsidTr="00672D2A">
        <w:tc>
          <w:tcPr>
            <w:tcW w:w="852" w:type="dxa"/>
          </w:tcPr>
          <w:p w14:paraId="3A1E12B1" w14:textId="77777777"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030</w:t>
            </w:r>
          </w:p>
        </w:tc>
        <w:tc>
          <w:tcPr>
            <w:tcW w:w="8004" w:type="dxa"/>
          </w:tcPr>
          <w:p w14:paraId="2EBFDFA7" w14:textId="77777777"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WYMOGI W ZAKRESIE FUNDUSZY WŁASNYCH</w:t>
            </w:r>
          </w:p>
          <w:p w14:paraId="11F3CADC" w14:textId="192749E3"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Instytucje zgłaszają wymogi</w:t>
            </w:r>
            <w:r w:rsidR="00E26EF6" w:rsidRPr="00E26EF6">
              <w:rPr>
                <w:rFonts w:ascii="Times New Roman" w:hAnsi="Times New Roman"/>
                <w:sz w:val="24"/>
              </w:rPr>
              <w:t xml:space="preserve"> w zak</w:t>
            </w:r>
            <w:r w:rsidRPr="00E26EF6">
              <w:rPr>
                <w:rFonts w:ascii="Times New Roman" w:hAnsi="Times New Roman"/>
                <w:sz w:val="24"/>
              </w:rPr>
              <w:t>resie funduszy własnych obliczone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378 CRR.</w:t>
            </w:r>
          </w:p>
        </w:tc>
      </w:tr>
      <w:tr w:rsidR="00915077" w:rsidRPr="00E26EF6" w14:paraId="30291023" w14:textId="77777777" w:rsidTr="00672D2A">
        <w:tc>
          <w:tcPr>
            <w:tcW w:w="852" w:type="dxa"/>
          </w:tcPr>
          <w:p w14:paraId="0CC911EB" w14:textId="77777777"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040</w:t>
            </w:r>
          </w:p>
        </w:tc>
        <w:tc>
          <w:tcPr>
            <w:tcW w:w="8004" w:type="dxa"/>
          </w:tcPr>
          <w:p w14:paraId="18C12A6F" w14:textId="77777777"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CAŁKOWITA KWOTA EKSPOZYCJI NA RYZYKO ROZLICZENIA</w:t>
            </w:r>
          </w:p>
          <w:p w14:paraId="4585916E" w14:textId="49E4B88D" w:rsidR="00915077" w:rsidRPr="00E26EF6" w:rsidRDefault="00612780">
            <w:pPr>
              <w:spacing w:beforeLines="60" w:before="144" w:afterLines="60" w:after="144"/>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92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b) CRR instytucje mnożą wymogi</w:t>
            </w:r>
            <w:r w:rsidR="00E26EF6" w:rsidRPr="00E26EF6">
              <w:rPr>
                <w:rFonts w:ascii="Times New Roman" w:hAnsi="Times New Roman"/>
                <w:sz w:val="24"/>
              </w:rPr>
              <w:t xml:space="preserve"> w zak</w:t>
            </w:r>
            <w:r w:rsidRPr="00E26EF6">
              <w:rPr>
                <w:rFonts w:ascii="Times New Roman" w:hAnsi="Times New Roman"/>
                <w:sz w:val="24"/>
              </w:rPr>
              <w:t>resie funduszy własnych zgłoszone</w:t>
            </w:r>
            <w:r w:rsidR="00E26EF6" w:rsidRPr="00E26EF6">
              <w:rPr>
                <w:rFonts w:ascii="Times New Roman" w:hAnsi="Times New Roman"/>
                <w:sz w:val="24"/>
              </w:rPr>
              <w:t xml:space="preserve"> w kol</w:t>
            </w:r>
            <w:r w:rsidRPr="00E26EF6">
              <w:rPr>
                <w:rFonts w:ascii="Times New Roman" w:hAnsi="Times New Roman"/>
                <w:sz w:val="24"/>
              </w:rPr>
              <w:t>umnie 030 przez 12,5, aby uzyskać kwotę ekspozycji na ryzyko rozliczenia.</w:t>
            </w:r>
          </w:p>
        </w:tc>
      </w:tr>
    </w:tbl>
    <w:p w14:paraId="325CED20" w14:textId="77777777" w:rsidR="00915077" w:rsidRPr="00E26EF6" w:rsidRDefault="00915077">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8010"/>
      </w:tblGrid>
      <w:tr w:rsidR="00915077" w:rsidRPr="00E26EF6" w14:paraId="073135B3" w14:textId="77777777" w:rsidTr="00672D2A">
        <w:tc>
          <w:tcPr>
            <w:tcW w:w="8862" w:type="dxa"/>
            <w:gridSpan w:val="2"/>
            <w:shd w:val="clear" w:color="auto" w:fill="CCCCCC"/>
          </w:tcPr>
          <w:p w14:paraId="3201B95F" w14:textId="77777777" w:rsidR="00915077" w:rsidRPr="00E26EF6" w:rsidRDefault="00612780">
            <w:pPr>
              <w:spacing w:beforeLines="60" w:before="144" w:afterLines="60" w:after="144"/>
              <w:rPr>
                <w:rFonts w:ascii="Times New Roman" w:hAnsi="Times New Roman"/>
                <w:b/>
                <w:sz w:val="24"/>
                <w:highlight w:val="lightGray"/>
              </w:rPr>
            </w:pPr>
            <w:r w:rsidRPr="00E26EF6">
              <w:rPr>
                <w:rFonts w:ascii="Times New Roman" w:hAnsi="Times New Roman"/>
                <w:b/>
                <w:sz w:val="24"/>
              </w:rPr>
              <w:t>Wiersze</w:t>
            </w:r>
          </w:p>
        </w:tc>
      </w:tr>
      <w:tr w:rsidR="00915077" w:rsidRPr="00E26EF6" w14:paraId="0189EB04" w14:textId="77777777" w:rsidTr="00672D2A">
        <w:tc>
          <w:tcPr>
            <w:tcW w:w="852" w:type="dxa"/>
          </w:tcPr>
          <w:p w14:paraId="05E5D2BF" w14:textId="77777777"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010</w:t>
            </w:r>
          </w:p>
        </w:tc>
        <w:tc>
          <w:tcPr>
            <w:tcW w:w="8010" w:type="dxa"/>
          </w:tcPr>
          <w:p w14:paraId="5CD29E23" w14:textId="302A02DE"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w:t>
            </w:r>
            <w:r w:rsidR="00E26EF6" w:rsidRPr="00E26EF6">
              <w:rPr>
                <w:rStyle w:val="InstructionsTabelleberschrift"/>
                <w:rFonts w:ascii="Times New Roman" w:hAnsi="Times New Roman"/>
                <w:sz w:val="24"/>
              </w:rPr>
              <w:t xml:space="preserve"> w por</w:t>
            </w:r>
            <w:r w:rsidRPr="00E26EF6">
              <w:rPr>
                <w:rStyle w:val="InstructionsTabelleberschrift"/>
                <w:rFonts w:ascii="Times New Roman" w:hAnsi="Times New Roman"/>
                <w:sz w:val="24"/>
              </w:rPr>
              <w:t>tfelu bankowym razem</w:t>
            </w:r>
          </w:p>
          <w:p w14:paraId="170979C3" w14:textId="106278E6" w:rsidR="00915077" w:rsidRPr="00E26EF6" w:rsidRDefault="00612780">
            <w:pPr>
              <w:spacing w:beforeLines="60" w:before="144" w:afterLines="60" w:after="144"/>
              <w:rPr>
                <w:rFonts w:ascii="Times New Roman" w:hAnsi="Times New Roman"/>
                <w:sz w:val="24"/>
              </w:rPr>
            </w:pPr>
            <w:r w:rsidRPr="00E26EF6">
              <w:rPr>
                <w:rFonts w:ascii="Times New Roman" w:hAnsi="Times New Roman"/>
                <w:sz w:val="24"/>
              </w:rPr>
              <w:t>Instytucje zgłaszają zagregowane informacje dotyczące ryzyka rozliczenia/dostawy dla pozycji</w:t>
            </w:r>
            <w:r w:rsidR="00E26EF6" w:rsidRPr="00E26EF6">
              <w:rPr>
                <w:rFonts w:ascii="Times New Roman" w:hAnsi="Times New Roman"/>
                <w:sz w:val="24"/>
              </w:rPr>
              <w:t xml:space="preserve"> w por</w:t>
            </w:r>
            <w:r w:rsidRPr="00E26EF6">
              <w:rPr>
                <w:rFonts w:ascii="Times New Roman" w:hAnsi="Times New Roman"/>
                <w:sz w:val="24"/>
              </w:rPr>
              <w:t>tfelu bankowym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c) ppkt (ii) oraz art.</w:t>
            </w:r>
            <w:r w:rsidR="00023409" w:rsidRPr="00E26EF6">
              <w:rPr>
                <w:rFonts w:ascii="Times New Roman" w:hAnsi="Times New Roman"/>
                <w:sz w:val="24"/>
              </w:rPr>
              <w:t> </w:t>
            </w:r>
            <w:r w:rsidRPr="00E26EF6">
              <w:rPr>
                <w:rFonts w:ascii="Times New Roman" w:hAnsi="Times New Roman"/>
                <w:sz w:val="24"/>
              </w:rPr>
              <w:t>378 CRR).</w:t>
            </w:r>
          </w:p>
          <w:p w14:paraId="6190E788" w14:textId="50A791F2" w:rsidR="00915077" w:rsidRPr="00E26EF6" w:rsidRDefault="00612780">
            <w:pPr>
              <w:spacing w:beforeLines="60" w:before="144"/>
              <w:rPr>
                <w:rFonts w:ascii="Times New Roman" w:hAnsi="Times New Roman"/>
                <w:sz w:val="24"/>
              </w:rPr>
            </w:pPr>
            <w:r w:rsidRPr="00E26EF6">
              <w:rPr>
                <w:rFonts w:ascii="Times New Roman" w:hAnsi="Times New Roman"/>
                <w:sz w:val="24"/>
              </w:rPr>
              <w:t>Instytucje zgłaszają</w:t>
            </w:r>
            <w:r w:rsidR="00E26EF6" w:rsidRPr="00E26EF6">
              <w:rPr>
                <w:rFonts w:ascii="Times New Roman" w:hAnsi="Times New Roman"/>
                <w:sz w:val="24"/>
              </w:rPr>
              <w:t xml:space="preserve"> w wie</w:t>
            </w:r>
            <w:r w:rsidRPr="00E26EF6">
              <w:rPr>
                <w:rFonts w:ascii="Times New Roman" w:hAnsi="Times New Roman"/>
                <w:sz w:val="24"/>
              </w:rPr>
              <w:t>rszu {r</w:t>
            </w:r>
            <w:proofErr w:type="gramStart"/>
            <w:r w:rsidRPr="00E26EF6">
              <w:rPr>
                <w:rFonts w:ascii="Times New Roman" w:hAnsi="Times New Roman"/>
                <w:sz w:val="24"/>
              </w:rPr>
              <w:t>010;c</w:t>
            </w:r>
            <w:proofErr w:type="gramEnd"/>
            <w:r w:rsidRPr="00E26EF6">
              <w:rPr>
                <w:rFonts w:ascii="Times New Roman" w:hAnsi="Times New Roman"/>
                <w:sz w:val="24"/>
              </w:rPr>
              <w:t>010} zagregowaną sumę transakcji nierozliczonych po ustalonych datach dostawy według odpowiedniego ustalonego kursu rozliczeniowego.</w:t>
            </w:r>
          </w:p>
          <w:p w14:paraId="0F0F475E" w14:textId="3DE134DD" w:rsidR="00915077" w:rsidRPr="00E26EF6" w:rsidRDefault="00612780">
            <w:pPr>
              <w:spacing w:beforeLines="60" w:before="144"/>
              <w:rPr>
                <w:rFonts w:ascii="Times New Roman" w:hAnsi="Times New Roman"/>
                <w:sz w:val="24"/>
              </w:rPr>
            </w:pPr>
            <w:r w:rsidRPr="00E26EF6">
              <w:rPr>
                <w:rFonts w:ascii="Times New Roman" w:hAnsi="Times New Roman"/>
                <w:sz w:val="24"/>
              </w:rPr>
              <w:t>Instytucje zgłaszają</w:t>
            </w:r>
            <w:r w:rsidR="00E26EF6" w:rsidRPr="00E26EF6">
              <w:rPr>
                <w:rFonts w:ascii="Times New Roman" w:hAnsi="Times New Roman"/>
                <w:sz w:val="24"/>
              </w:rPr>
              <w:t xml:space="preserve"> w wie</w:t>
            </w:r>
            <w:r w:rsidRPr="00E26EF6">
              <w:rPr>
                <w:rFonts w:ascii="Times New Roman" w:hAnsi="Times New Roman"/>
                <w:sz w:val="24"/>
              </w:rPr>
              <w:t>rszu {r</w:t>
            </w:r>
            <w:proofErr w:type="gramStart"/>
            <w:r w:rsidRPr="00E26EF6">
              <w:rPr>
                <w:rFonts w:ascii="Times New Roman" w:hAnsi="Times New Roman"/>
                <w:sz w:val="24"/>
              </w:rPr>
              <w:t>010;c</w:t>
            </w:r>
            <w:proofErr w:type="gramEnd"/>
            <w:r w:rsidRPr="00E26EF6">
              <w:rPr>
                <w:rFonts w:ascii="Times New Roman" w:hAnsi="Times New Roman"/>
                <w:sz w:val="24"/>
              </w:rPr>
              <w:t>020} zagregowane informacje dotyczące ekspozycji związanej</w:t>
            </w:r>
            <w:r w:rsidR="00E26EF6" w:rsidRPr="00E26EF6">
              <w:rPr>
                <w:rFonts w:ascii="Times New Roman" w:hAnsi="Times New Roman"/>
                <w:sz w:val="24"/>
              </w:rPr>
              <w:t xml:space="preserve"> z róż</w:t>
            </w:r>
            <w:r w:rsidRPr="00E26EF6">
              <w:rPr>
                <w:rFonts w:ascii="Times New Roman" w:hAnsi="Times New Roman"/>
                <w:sz w:val="24"/>
              </w:rPr>
              <w:t>nicą cenową wynikającą</w:t>
            </w:r>
            <w:r w:rsidR="00E26EF6" w:rsidRPr="00E26EF6">
              <w:rPr>
                <w:rFonts w:ascii="Times New Roman" w:hAnsi="Times New Roman"/>
                <w:sz w:val="24"/>
              </w:rPr>
              <w:t xml:space="preserve"> z nie</w:t>
            </w:r>
            <w:r w:rsidRPr="00E26EF6">
              <w:rPr>
                <w:rFonts w:ascii="Times New Roman" w:hAnsi="Times New Roman"/>
                <w:sz w:val="24"/>
              </w:rPr>
              <w:t>rozliczonych transakcji oznaczającą stratę.</w:t>
            </w:r>
          </w:p>
          <w:p w14:paraId="58319765" w14:textId="0E6F3EEC"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Instytucje zgłaszają w {r</w:t>
            </w:r>
            <w:proofErr w:type="gramStart"/>
            <w:r w:rsidRPr="00E26EF6">
              <w:rPr>
                <w:rFonts w:ascii="Times New Roman" w:hAnsi="Times New Roman"/>
                <w:sz w:val="24"/>
              </w:rPr>
              <w:t>010;c</w:t>
            </w:r>
            <w:proofErr w:type="gramEnd"/>
            <w:r w:rsidRPr="00E26EF6">
              <w:rPr>
                <w:rFonts w:ascii="Times New Roman" w:hAnsi="Times New Roman"/>
                <w:sz w:val="24"/>
              </w:rPr>
              <w:t>030} zagregowane wymogi</w:t>
            </w:r>
            <w:r w:rsidR="00E26EF6" w:rsidRPr="00E26EF6">
              <w:rPr>
                <w:rFonts w:ascii="Times New Roman" w:hAnsi="Times New Roman"/>
                <w:sz w:val="24"/>
              </w:rPr>
              <w:t xml:space="preserve"> w zak</w:t>
            </w:r>
            <w:r w:rsidRPr="00E26EF6">
              <w:rPr>
                <w:rFonts w:ascii="Times New Roman" w:hAnsi="Times New Roman"/>
                <w:sz w:val="24"/>
              </w:rPr>
              <w:t>resie funduszy własnych uzyskane po zsumowaniu wymogów</w:t>
            </w:r>
            <w:r w:rsidR="00E26EF6" w:rsidRPr="00E26EF6">
              <w:rPr>
                <w:rFonts w:ascii="Times New Roman" w:hAnsi="Times New Roman"/>
                <w:sz w:val="24"/>
              </w:rPr>
              <w:t xml:space="preserve"> w zak</w:t>
            </w:r>
            <w:r w:rsidRPr="00E26EF6">
              <w:rPr>
                <w:rFonts w:ascii="Times New Roman" w:hAnsi="Times New Roman"/>
                <w:sz w:val="24"/>
              </w:rPr>
              <w:t>resie funduszy własnych dla nierozliczonych transakcji poprzez pomnożenie „różnicy cenowej” zgłoszonej</w:t>
            </w:r>
            <w:r w:rsidR="00E26EF6" w:rsidRPr="00E26EF6">
              <w:rPr>
                <w:rFonts w:ascii="Times New Roman" w:hAnsi="Times New Roman"/>
                <w:sz w:val="24"/>
              </w:rPr>
              <w:t xml:space="preserve"> w kol</w:t>
            </w:r>
            <w:r w:rsidRPr="00E26EF6">
              <w:rPr>
                <w:rFonts w:ascii="Times New Roman" w:hAnsi="Times New Roman"/>
                <w:sz w:val="24"/>
              </w:rPr>
              <w:t>umnie 020 przez odpowiedni współczynnik</w:t>
            </w:r>
            <w:r w:rsidR="00E26EF6" w:rsidRPr="00E26EF6">
              <w:rPr>
                <w:rFonts w:ascii="Times New Roman" w:hAnsi="Times New Roman"/>
                <w:sz w:val="24"/>
              </w:rPr>
              <w:t xml:space="preserve"> w opa</w:t>
            </w:r>
            <w:r w:rsidRPr="00E26EF6">
              <w:rPr>
                <w:rFonts w:ascii="Times New Roman" w:hAnsi="Times New Roman"/>
                <w:sz w:val="24"/>
              </w:rPr>
              <w:t>rciu</w:t>
            </w:r>
            <w:r w:rsidR="00E26EF6" w:rsidRPr="00E26EF6">
              <w:rPr>
                <w:rFonts w:ascii="Times New Roman" w:hAnsi="Times New Roman"/>
                <w:sz w:val="24"/>
              </w:rPr>
              <w:t xml:space="preserve"> o lic</w:t>
            </w:r>
            <w:r w:rsidRPr="00E26EF6">
              <w:rPr>
                <w:rFonts w:ascii="Times New Roman" w:hAnsi="Times New Roman"/>
                <w:sz w:val="24"/>
              </w:rPr>
              <w:t>zbę dni roboczych po terminie rozliczenia (kategorie,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tab</w:t>
            </w:r>
            <w:r w:rsidRPr="00E26EF6">
              <w:rPr>
                <w:rFonts w:ascii="Times New Roman" w:hAnsi="Times New Roman"/>
                <w:sz w:val="24"/>
              </w:rPr>
              <w:t>eli 1</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378 CRR).</w:t>
            </w:r>
          </w:p>
        </w:tc>
      </w:tr>
      <w:tr w:rsidR="00915077" w:rsidRPr="00E26EF6" w14:paraId="1878C2AF" w14:textId="77777777" w:rsidTr="00672D2A">
        <w:tc>
          <w:tcPr>
            <w:tcW w:w="852" w:type="dxa"/>
          </w:tcPr>
          <w:p w14:paraId="2309AC75" w14:textId="23E530F6"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020 do</w:t>
            </w:r>
            <w:r w:rsidR="00023409" w:rsidRPr="00E26EF6">
              <w:rPr>
                <w:rFonts w:ascii="Times New Roman" w:hAnsi="Times New Roman"/>
                <w:sz w:val="24"/>
              </w:rPr>
              <w:t> </w:t>
            </w:r>
            <w:r w:rsidRPr="00E26EF6">
              <w:rPr>
                <w:rFonts w:ascii="Times New Roman" w:hAnsi="Times New Roman"/>
                <w:sz w:val="24"/>
              </w:rPr>
              <w:t>060</w:t>
            </w:r>
          </w:p>
        </w:tc>
        <w:tc>
          <w:tcPr>
            <w:tcW w:w="8010" w:type="dxa"/>
          </w:tcPr>
          <w:p w14:paraId="4529BA3B" w14:textId="0AF9CFC2"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maksymalnie 4 dni (współczynnik 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 xml:space="preserve">%) </w:t>
            </w:r>
          </w:p>
          <w:p w14:paraId="6CDA317A" w14:textId="6985EDE4"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od</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5 do</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15 dni (współczynnik 8</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09A8F4C8" w14:textId="28C0995D"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od</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16 do</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30 dni (współczynnik 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31C36005" w14:textId="14F8480C"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od</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31 do</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45 dni (współczynnik 75 %)</w:t>
            </w:r>
          </w:p>
          <w:p w14:paraId="2F475E9C" w14:textId="4B7D146B"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46 dni</w:t>
            </w:r>
            <w:r w:rsidR="00E26EF6" w:rsidRPr="00E26EF6">
              <w:rPr>
                <w:rStyle w:val="InstructionsTabelleberschrift"/>
                <w:rFonts w:ascii="Times New Roman" w:hAnsi="Times New Roman"/>
                <w:sz w:val="24"/>
              </w:rPr>
              <w:t xml:space="preserve"> i wię</w:t>
            </w:r>
            <w:r w:rsidRPr="00E26EF6">
              <w:rPr>
                <w:rStyle w:val="InstructionsTabelleberschrift"/>
                <w:rFonts w:ascii="Times New Roman" w:hAnsi="Times New Roman"/>
                <w:sz w:val="24"/>
              </w:rPr>
              <w:t>cej (współczynnik 100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60054263" w14:textId="5796767D" w:rsidR="00915077" w:rsidRPr="00E26EF6" w:rsidRDefault="00612780">
            <w:pPr>
              <w:spacing w:beforeLines="60" w:before="144" w:afterLines="60" w:after="144"/>
              <w:rPr>
                <w:rFonts w:ascii="Times New Roman" w:hAnsi="Times New Roman"/>
                <w:sz w:val="24"/>
              </w:rPr>
            </w:pPr>
            <w:r w:rsidRPr="00E26EF6">
              <w:rPr>
                <w:rFonts w:ascii="Times New Roman" w:hAnsi="Times New Roman"/>
                <w:sz w:val="24"/>
              </w:rPr>
              <w:t>W wierszach 020–060 instytucje zgłaszają informacje dotyczące ryzyka rozliczenia/dostawy dla pozycji</w:t>
            </w:r>
            <w:r w:rsidR="00E26EF6" w:rsidRPr="00E26EF6">
              <w:rPr>
                <w:rFonts w:ascii="Times New Roman" w:hAnsi="Times New Roman"/>
                <w:sz w:val="24"/>
              </w:rPr>
              <w:t xml:space="preserve"> w por</w:t>
            </w:r>
            <w:r w:rsidRPr="00E26EF6">
              <w:rPr>
                <w:rFonts w:ascii="Times New Roman" w:hAnsi="Times New Roman"/>
                <w:sz w:val="24"/>
              </w:rPr>
              <w:t>tfelu bankowym zgodnie</w:t>
            </w:r>
            <w:r w:rsidR="00E26EF6" w:rsidRPr="00E26EF6">
              <w:rPr>
                <w:rFonts w:ascii="Times New Roman" w:hAnsi="Times New Roman"/>
                <w:sz w:val="24"/>
              </w:rPr>
              <w:t xml:space="preserve"> z kat</w:t>
            </w:r>
            <w:r w:rsidRPr="00E26EF6">
              <w:rPr>
                <w:rFonts w:ascii="Times New Roman" w:hAnsi="Times New Roman"/>
                <w:sz w:val="24"/>
              </w:rPr>
              <w:t>egoriami,</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tab</w:t>
            </w:r>
            <w:r w:rsidRPr="00E26EF6">
              <w:rPr>
                <w:rFonts w:ascii="Times New Roman" w:hAnsi="Times New Roman"/>
                <w:sz w:val="24"/>
              </w:rPr>
              <w:t>eli 1</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378 CRR. </w:t>
            </w:r>
          </w:p>
          <w:p w14:paraId="44D0C740" w14:textId="6FB6C964"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W przypadku gdy od terminu rozliczenia minęło mniej niż 5 dni roboczych, nie ma wymogów</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w odn</w:t>
            </w:r>
            <w:r w:rsidRPr="00E26EF6">
              <w:rPr>
                <w:rFonts w:ascii="Times New Roman" w:hAnsi="Times New Roman"/>
                <w:sz w:val="24"/>
              </w:rPr>
              <w:t>iesieniu do ryzyka rozliczenia/dostawy.</w:t>
            </w:r>
          </w:p>
        </w:tc>
      </w:tr>
      <w:tr w:rsidR="00915077" w:rsidRPr="00E26EF6" w14:paraId="2C66FCE5" w14:textId="77777777" w:rsidTr="00672D2A">
        <w:tc>
          <w:tcPr>
            <w:tcW w:w="852" w:type="dxa"/>
          </w:tcPr>
          <w:p w14:paraId="6BD184A5" w14:textId="77777777"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070</w:t>
            </w:r>
          </w:p>
        </w:tc>
        <w:tc>
          <w:tcPr>
            <w:tcW w:w="8010" w:type="dxa"/>
          </w:tcPr>
          <w:p w14:paraId="5FDA9C4F" w14:textId="4C8988A2"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w:t>
            </w:r>
            <w:r w:rsidR="00E26EF6" w:rsidRPr="00E26EF6">
              <w:rPr>
                <w:rStyle w:val="InstructionsTabelleberschrift"/>
                <w:rFonts w:ascii="Times New Roman" w:hAnsi="Times New Roman"/>
                <w:sz w:val="24"/>
              </w:rPr>
              <w:t xml:space="preserve"> w por</w:t>
            </w:r>
            <w:r w:rsidRPr="00E26EF6">
              <w:rPr>
                <w:rStyle w:val="InstructionsTabelleberschrift"/>
                <w:rFonts w:ascii="Times New Roman" w:hAnsi="Times New Roman"/>
                <w:sz w:val="24"/>
              </w:rPr>
              <w:t>tfelu handlowym razem</w:t>
            </w:r>
          </w:p>
          <w:p w14:paraId="60AB71F7" w14:textId="05440E54" w:rsidR="00915077" w:rsidRPr="00E26EF6" w:rsidRDefault="00612780">
            <w:pPr>
              <w:spacing w:beforeLines="60" w:before="144" w:afterLines="60" w:after="144"/>
              <w:rPr>
                <w:rFonts w:ascii="Times New Roman" w:hAnsi="Times New Roman"/>
                <w:sz w:val="24"/>
              </w:rPr>
            </w:pPr>
            <w:r w:rsidRPr="00E26EF6">
              <w:rPr>
                <w:rFonts w:ascii="Times New Roman" w:hAnsi="Times New Roman"/>
                <w:sz w:val="24"/>
              </w:rPr>
              <w:t>Instytucje zgłaszają zagregowane informacje dotyczące ryzyka rozliczenia/dostawy dla pozycji</w:t>
            </w:r>
            <w:r w:rsidR="00E26EF6" w:rsidRPr="00E26EF6">
              <w:rPr>
                <w:rFonts w:ascii="Times New Roman" w:hAnsi="Times New Roman"/>
                <w:sz w:val="24"/>
              </w:rPr>
              <w:t xml:space="preserve"> w por</w:t>
            </w:r>
            <w:r w:rsidRPr="00E26EF6">
              <w:rPr>
                <w:rFonts w:ascii="Times New Roman" w:hAnsi="Times New Roman"/>
                <w:sz w:val="24"/>
              </w:rPr>
              <w:t>tfelu handlowym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c) ppkt (ii) oraz art.</w:t>
            </w:r>
            <w:r w:rsidR="00023409" w:rsidRPr="00E26EF6">
              <w:rPr>
                <w:rFonts w:ascii="Times New Roman" w:hAnsi="Times New Roman"/>
                <w:sz w:val="24"/>
              </w:rPr>
              <w:t> </w:t>
            </w:r>
            <w:r w:rsidRPr="00E26EF6">
              <w:rPr>
                <w:rFonts w:ascii="Times New Roman" w:hAnsi="Times New Roman"/>
                <w:sz w:val="24"/>
              </w:rPr>
              <w:t>378 CRR).</w:t>
            </w:r>
          </w:p>
          <w:p w14:paraId="2C4006D2" w14:textId="789609C5" w:rsidR="00915077" w:rsidRPr="00E26EF6" w:rsidRDefault="00612780">
            <w:pPr>
              <w:spacing w:beforeLines="60" w:before="144" w:afterLines="60" w:after="144"/>
              <w:rPr>
                <w:rFonts w:ascii="Times New Roman" w:hAnsi="Times New Roman"/>
                <w:sz w:val="24"/>
              </w:rPr>
            </w:pPr>
            <w:r w:rsidRPr="00E26EF6">
              <w:rPr>
                <w:rFonts w:ascii="Times New Roman" w:hAnsi="Times New Roman"/>
                <w:sz w:val="24"/>
              </w:rPr>
              <w:t>Instytucje zgłaszają</w:t>
            </w:r>
            <w:r w:rsidR="00E26EF6" w:rsidRPr="00E26EF6">
              <w:rPr>
                <w:rFonts w:ascii="Times New Roman" w:hAnsi="Times New Roman"/>
                <w:sz w:val="24"/>
              </w:rPr>
              <w:t xml:space="preserve"> w wie</w:t>
            </w:r>
            <w:r w:rsidRPr="00E26EF6">
              <w:rPr>
                <w:rFonts w:ascii="Times New Roman" w:hAnsi="Times New Roman"/>
                <w:sz w:val="24"/>
              </w:rPr>
              <w:t>rszu {r</w:t>
            </w:r>
            <w:proofErr w:type="gramStart"/>
            <w:r w:rsidRPr="00E26EF6">
              <w:rPr>
                <w:rFonts w:ascii="Times New Roman" w:hAnsi="Times New Roman"/>
                <w:sz w:val="24"/>
              </w:rPr>
              <w:t>070;c</w:t>
            </w:r>
            <w:proofErr w:type="gramEnd"/>
            <w:r w:rsidRPr="00E26EF6">
              <w:rPr>
                <w:rFonts w:ascii="Times New Roman" w:hAnsi="Times New Roman"/>
                <w:sz w:val="24"/>
              </w:rPr>
              <w:t>010} zagregowaną sumę transakcji nierozliczonych po ustalonych datach dostawy według odpowiedniego ustalonego kursu rozliczeniowego.</w:t>
            </w:r>
          </w:p>
          <w:p w14:paraId="2F5263F5" w14:textId="509BD6E0" w:rsidR="00915077" w:rsidRPr="00E26EF6" w:rsidRDefault="00612780">
            <w:pPr>
              <w:spacing w:beforeLines="60" w:before="144" w:afterLines="60" w:after="144"/>
              <w:rPr>
                <w:rFonts w:ascii="Times New Roman" w:hAnsi="Times New Roman"/>
                <w:sz w:val="24"/>
              </w:rPr>
            </w:pPr>
            <w:r w:rsidRPr="00E26EF6">
              <w:rPr>
                <w:rFonts w:ascii="Times New Roman" w:hAnsi="Times New Roman"/>
                <w:sz w:val="24"/>
              </w:rPr>
              <w:t>Instytucje zgłaszają</w:t>
            </w:r>
            <w:r w:rsidR="00E26EF6" w:rsidRPr="00E26EF6">
              <w:rPr>
                <w:rFonts w:ascii="Times New Roman" w:hAnsi="Times New Roman"/>
                <w:sz w:val="24"/>
              </w:rPr>
              <w:t xml:space="preserve"> w wie</w:t>
            </w:r>
            <w:r w:rsidRPr="00E26EF6">
              <w:rPr>
                <w:rFonts w:ascii="Times New Roman" w:hAnsi="Times New Roman"/>
                <w:sz w:val="24"/>
              </w:rPr>
              <w:t>rszu {r</w:t>
            </w:r>
            <w:proofErr w:type="gramStart"/>
            <w:r w:rsidRPr="00E26EF6">
              <w:rPr>
                <w:rFonts w:ascii="Times New Roman" w:hAnsi="Times New Roman"/>
                <w:sz w:val="24"/>
              </w:rPr>
              <w:t>070;c</w:t>
            </w:r>
            <w:proofErr w:type="gramEnd"/>
            <w:r w:rsidRPr="00E26EF6">
              <w:rPr>
                <w:rFonts w:ascii="Times New Roman" w:hAnsi="Times New Roman"/>
                <w:sz w:val="24"/>
              </w:rPr>
              <w:t>020} zagregowane informacje dotyczące ekspozycji związanej</w:t>
            </w:r>
            <w:r w:rsidR="00E26EF6" w:rsidRPr="00E26EF6">
              <w:rPr>
                <w:rFonts w:ascii="Times New Roman" w:hAnsi="Times New Roman"/>
                <w:sz w:val="24"/>
              </w:rPr>
              <w:t xml:space="preserve"> z róż</w:t>
            </w:r>
            <w:r w:rsidRPr="00E26EF6">
              <w:rPr>
                <w:rFonts w:ascii="Times New Roman" w:hAnsi="Times New Roman"/>
                <w:sz w:val="24"/>
              </w:rPr>
              <w:t>nicą cenową wynikającą</w:t>
            </w:r>
            <w:r w:rsidR="00E26EF6" w:rsidRPr="00E26EF6">
              <w:rPr>
                <w:rFonts w:ascii="Times New Roman" w:hAnsi="Times New Roman"/>
                <w:sz w:val="24"/>
              </w:rPr>
              <w:t xml:space="preserve"> z nie</w:t>
            </w:r>
            <w:r w:rsidRPr="00E26EF6">
              <w:rPr>
                <w:rFonts w:ascii="Times New Roman" w:hAnsi="Times New Roman"/>
                <w:sz w:val="24"/>
              </w:rPr>
              <w:t>rozliczonych transakcji oznaczającą stratę.</w:t>
            </w:r>
          </w:p>
          <w:p w14:paraId="06D1744A" w14:textId="4AB47723" w:rsidR="00915077" w:rsidRPr="00E26EF6" w:rsidRDefault="00612780">
            <w:pPr>
              <w:spacing w:beforeLines="60" w:before="144" w:afterLines="60" w:after="144"/>
              <w:rPr>
                <w:rFonts w:ascii="Times New Roman" w:hAnsi="Times New Roman"/>
                <w:b/>
                <w:sz w:val="24"/>
                <w:highlight w:val="lightGray"/>
              </w:rPr>
            </w:pPr>
            <w:r w:rsidRPr="00E26EF6">
              <w:rPr>
                <w:rFonts w:ascii="Times New Roman" w:hAnsi="Times New Roman"/>
                <w:sz w:val="24"/>
              </w:rPr>
              <w:t>Instytucje zgłaszają w {r</w:t>
            </w:r>
            <w:proofErr w:type="gramStart"/>
            <w:r w:rsidRPr="00E26EF6">
              <w:rPr>
                <w:rFonts w:ascii="Times New Roman" w:hAnsi="Times New Roman"/>
                <w:sz w:val="24"/>
              </w:rPr>
              <w:t>070;c</w:t>
            </w:r>
            <w:proofErr w:type="gramEnd"/>
            <w:r w:rsidRPr="00E26EF6">
              <w:rPr>
                <w:rFonts w:ascii="Times New Roman" w:hAnsi="Times New Roman"/>
                <w:sz w:val="24"/>
              </w:rPr>
              <w:t>030} zagregowane wymogi</w:t>
            </w:r>
            <w:r w:rsidR="00E26EF6" w:rsidRPr="00E26EF6">
              <w:rPr>
                <w:rFonts w:ascii="Times New Roman" w:hAnsi="Times New Roman"/>
                <w:sz w:val="24"/>
              </w:rPr>
              <w:t xml:space="preserve"> w zak</w:t>
            </w:r>
            <w:r w:rsidRPr="00E26EF6">
              <w:rPr>
                <w:rFonts w:ascii="Times New Roman" w:hAnsi="Times New Roman"/>
                <w:sz w:val="24"/>
              </w:rPr>
              <w:t>resie funduszy własnych uzyskane po zsumowaniu wymogów</w:t>
            </w:r>
            <w:r w:rsidR="00E26EF6" w:rsidRPr="00E26EF6">
              <w:rPr>
                <w:rFonts w:ascii="Times New Roman" w:hAnsi="Times New Roman"/>
                <w:sz w:val="24"/>
              </w:rPr>
              <w:t xml:space="preserve"> w zak</w:t>
            </w:r>
            <w:r w:rsidRPr="00E26EF6">
              <w:rPr>
                <w:rFonts w:ascii="Times New Roman" w:hAnsi="Times New Roman"/>
                <w:sz w:val="24"/>
              </w:rPr>
              <w:t>resie funduszy własnych dla nierozliczonych transakcji poprzez pomnożenie „różnicy cenowej” zgłoszonej</w:t>
            </w:r>
            <w:r w:rsidR="00E26EF6" w:rsidRPr="00E26EF6">
              <w:rPr>
                <w:rFonts w:ascii="Times New Roman" w:hAnsi="Times New Roman"/>
                <w:sz w:val="24"/>
              </w:rPr>
              <w:t xml:space="preserve"> w kol</w:t>
            </w:r>
            <w:r w:rsidRPr="00E26EF6">
              <w:rPr>
                <w:rFonts w:ascii="Times New Roman" w:hAnsi="Times New Roman"/>
                <w:sz w:val="24"/>
              </w:rPr>
              <w:t>umnie 020 przez odpowiedni współczynnik</w:t>
            </w:r>
            <w:r w:rsidR="00E26EF6" w:rsidRPr="00E26EF6">
              <w:rPr>
                <w:rFonts w:ascii="Times New Roman" w:hAnsi="Times New Roman"/>
                <w:sz w:val="24"/>
              </w:rPr>
              <w:t xml:space="preserve"> w opa</w:t>
            </w:r>
            <w:r w:rsidRPr="00E26EF6">
              <w:rPr>
                <w:rFonts w:ascii="Times New Roman" w:hAnsi="Times New Roman"/>
                <w:sz w:val="24"/>
              </w:rPr>
              <w:t>rciu</w:t>
            </w:r>
            <w:r w:rsidR="00E26EF6" w:rsidRPr="00E26EF6">
              <w:rPr>
                <w:rFonts w:ascii="Times New Roman" w:hAnsi="Times New Roman"/>
                <w:sz w:val="24"/>
              </w:rPr>
              <w:t xml:space="preserve"> o lic</w:t>
            </w:r>
            <w:r w:rsidRPr="00E26EF6">
              <w:rPr>
                <w:rFonts w:ascii="Times New Roman" w:hAnsi="Times New Roman"/>
                <w:sz w:val="24"/>
              </w:rPr>
              <w:t>zbę dni roboczych po terminie rozliczenia (kategorie,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tab</w:t>
            </w:r>
            <w:r w:rsidRPr="00E26EF6">
              <w:rPr>
                <w:rFonts w:ascii="Times New Roman" w:hAnsi="Times New Roman"/>
                <w:sz w:val="24"/>
              </w:rPr>
              <w:t>eli 1</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378 CRR).</w:t>
            </w:r>
          </w:p>
        </w:tc>
      </w:tr>
      <w:tr w:rsidR="00915077" w:rsidRPr="00E26EF6" w14:paraId="256C4BD4" w14:textId="77777777" w:rsidTr="00672D2A">
        <w:tc>
          <w:tcPr>
            <w:tcW w:w="852" w:type="dxa"/>
          </w:tcPr>
          <w:p w14:paraId="0600B802" w14:textId="467E4463" w:rsidR="00915077" w:rsidRPr="00E26EF6" w:rsidRDefault="00612780">
            <w:pPr>
              <w:spacing w:beforeLines="60" w:before="144" w:afterLines="60" w:after="144"/>
              <w:rPr>
                <w:rFonts w:ascii="Times New Roman" w:hAnsi="Times New Roman"/>
                <w:sz w:val="24"/>
                <w:highlight w:val="lightGray"/>
              </w:rPr>
            </w:pPr>
            <w:r w:rsidRPr="00E26EF6">
              <w:rPr>
                <w:rFonts w:ascii="Times New Roman" w:hAnsi="Times New Roman"/>
                <w:sz w:val="24"/>
              </w:rPr>
              <w:t>080 do</w:t>
            </w:r>
            <w:r w:rsidR="00023409" w:rsidRPr="00E26EF6">
              <w:rPr>
                <w:rFonts w:ascii="Times New Roman" w:hAnsi="Times New Roman"/>
                <w:sz w:val="24"/>
              </w:rPr>
              <w:t> </w:t>
            </w:r>
            <w:r w:rsidRPr="00E26EF6">
              <w:rPr>
                <w:rFonts w:ascii="Times New Roman" w:hAnsi="Times New Roman"/>
                <w:sz w:val="24"/>
              </w:rPr>
              <w:t>120</w:t>
            </w:r>
          </w:p>
        </w:tc>
        <w:tc>
          <w:tcPr>
            <w:tcW w:w="8010" w:type="dxa"/>
          </w:tcPr>
          <w:p w14:paraId="649FDDE5" w14:textId="5E941B9C"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maksymalnie 4 dni (współczynnik 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 xml:space="preserve">%) </w:t>
            </w:r>
          </w:p>
          <w:p w14:paraId="64108ABB" w14:textId="70100E41"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od</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5 do</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15 dni (współczynnik 8 %)</w:t>
            </w:r>
          </w:p>
          <w:p w14:paraId="69A72164" w14:textId="5FA58D59"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od</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16 do</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30 dni (współczynnik 50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4BB8E407" w14:textId="079D7A88"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od</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31 do</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45 dni (współczynnik 75 %)</w:t>
            </w:r>
          </w:p>
          <w:p w14:paraId="0F10AD33" w14:textId="0E2B6030" w:rsidR="00915077" w:rsidRPr="00E26EF6" w:rsidRDefault="00612780">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Transakcje nierozliczone za okres 46 dni</w:t>
            </w:r>
            <w:r w:rsidR="00E26EF6" w:rsidRPr="00E26EF6">
              <w:rPr>
                <w:rStyle w:val="InstructionsTabelleberschrift"/>
                <w:rFonts w:ascii="Times New Roman" w:hAnsi="Times New Roman"/>
                <w:sz w:val="24"/>
              </w:rPr>
              <w:t xml:space="preserve"> i wię</w:t>
            </w:r>
            <w:r w:rsidRPr="00E26EF6">
              <w:rPr>
                <w:rStyle w:val="InstructionsTabelleberschrift"/>
                <w:rFonts w:ascii="Times New Roman" w:hAnsi="Times New Roman"/>
                <w:sz w:val="24"/>
              </w:rPr>
              <w:t>cej (współczynnik 100</w:t>
            </w:r>
            <w:r w:rsidR="00023409" w:rsidRPr="00E26EF6">
              <w:rPr>
                <w:rStyle w:val="InstructionsTabelleberschrift"/>
                <w:rFonts w:ascii="Times New Roman" w:hAnsi="Times New Roman"/>
                <w:sz w:val="24"/>
              </w:rPr>
              <w:t> </w:t>
            </w:r>
            <w:r w:rsidRPr="00E26EF6">
              <w:rPr>
                <w:rStyle w:val="InstructionsTabelleberschrift"/>
                <w:rFonts w:ascii="Times New Roman" w:hAnsi="Times New Roman"/>
                <w:sz w:val="24"/>
              </w:rPr>
              <w:t>%)</w:t>
            </w:r>
          </w:p>
          <w:p w14:paraId="0DD12A0A" w14:textId="13D878B2" w:rsidR="00915077" w:rsidRPr="00E26EF6" w:rsidRDefault="00612780">
            <w:pPr>
              <w:spacing w:beforeLines="60" w:before="144" w:afterLines="60" w:after="144"/>
              <w:rPr>
                <w:rFonts w:ascii="Times New Roman" w:hAnsi="Times New Roman"/>
                <w:sz w:val="24"/>
              </w:rPr>
            </w:pPr>
            <w:r w:rsidRPr="00E26EF6">
              <w:rPr>
                <w:rFonts w:ascii="Times New Roman" w:hAnsi="Times New Roman"/>
                <w:sz w:val="24"/>
              </w:rPr>
              <w:t>W wierszach 080–120 instytucje zgłaszają informacje dotyczące ryzyka rozliczenia/dostawy dla pozycji</w:t>
            </w:r>
            <w:r w:rsidR="00E26EF6" w:rsidRPr="00E26EF6">
              <w:rPr>
                <w:rFonts w:ascii="Times New Roman" w:hAnsi="Times New Roman"/>
                <w:sz w:val="24"/>
              </w:rPr>
              <w:t xml:space="preserve"> w por</w:t>
            </w:r>
            <w:r w:rsidRPr="00E26EF6">
              <w:rPr>
                <w:rFonts w:ascii="Times New Roman" w:hAnsi="Times New Roman"/>
                <w:sz w:val="24"/>
              </w:rPr>
              <w:t>tfelu handlowym zgodnie</w:t>
            </w:r>
            <w:r w:rsidR="00E26EF6" w:rsidRPr="00E26EF6">
              <w:rPr>
                <w:rFonts w:ascii="Times New Roman" w:hAnsi="Times New Roman"/>
                <w:sz w:val="24"/>
              </w:rPr>
              <w:t xml:space="preserve"> z kat</w:t>
            </w:r>
            <w:r w:rsidRPr="00E26EF6">
              <w:rPr>
                <w:rFonts w:ascii="Times New Roman" w:hAnsi="Times New Roman"/>
                <w:sz w:val="24"/>
              </w:rPr>
              <w:t>egoriami,</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tab</w:t>
            </w:r>
            <w:r w:rsidRPr="00E26EF6">
              <w:rPr>
                <w:rFonts w:ascii="Times New Roman" w:hAnsi="Times New Roman"/>
                <w:sz w:val="24"/>
              </w:rPr>
              <w:t>eli 1</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378 CRR. </w:t>
            </w:r>
          </w:p>
          <w:p w14:paraId="2C467110" w14:textId="5E3B2564" w:rsidR="00915077" w:rsidRPr="00E26EF6" w:rsidRDefault="00612780">
            <w:pPr>
              <w:spacing w:beforeLines="60" w:before="144" w:afterLines="60" w:after="144"/>
              <w:rPr>
                <w:rFonts w:ascii="Times New Roman" w:hAnsi="Times New Roman"/>
                <w:b/>
                <w:sz w:val="24"/>
              </w:rPr>
            </w:pPr>
            <w:r w:rsidRPr="00E26EF6">
              <w:rPr>
                <w:rFonts w:ascii="Times New Roman" w:hAnsi="Times New Roman"/>
                <w:sz w:val="24"/>
              </w:rPr>
              <w:t>W przypadku gdy od terminu rozliczenia minęło mniej niż 5 dni roboczych, nie ma wymogów</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w odn</w:t>
            </w:r>
            <w:r w:rsidRPr="00E26EF6">
              <w:rPr>
                <w:rFonts w:ascii="Times New Roman" w:hAnsi="Times New Roman"/>
                <w:sz w:val="24"/>
              </w:rPr>
              <w:t>iesieniu do ryzyka rozliczenia/dostawy.</w:t>
            </w:r>
          </w:p>
        </w:tc>
      </w:tr>
    </w:tbl>
    <w:p w14:paraId="46A5D5C3" w14:textId="77777777" w:rsidR="00915077" w:rsidRPr="00E26EF6" w:rsidRDefault="00915077">
      <w:pPr>
        <w:spacing w:after="0"/>
        <w:rPr>
          <w:rFonts w:ascii="Times New Roman" w:hAnsi="Times New Roman"/>
          <w:sz w:val="24"/>
        </w:rPr>
      </w:pPr>
    </w:p>
    <w:p w14:paraId="63067A32" w14:textId="77777777" w:rsidR="00915077" w:rsidRPr="00E26EF6" w:rsidRDefault="00612780">
      <w:pPr>
        <w:spacing w:before="0" w:after="0"/>
        <w:jc w:val="left"/>
        <w:rPr>
          <w:rStyle w:val="InstructionsTabelleText"/>
          <w:rFonts w:ascii="Times New Roman" w:hAnsi="Times New Roman"/>
          <w:sz w:val="24"/>
        </w:rPr>
      </w:pPr>
      <w:r w:rsidRPr="00E26EF6">
        <w:rPr>
          <w:sz w:val="24"/>
        </w:rPr>
        <w:br w:type="page"/>
      </w:r>
    </w:p>
    <w:p w14:paraId="0A8AC0A3" w14:textId="77777777" w:rsidR="00915077" w:rsidRPr="00E26EF6" w:rsidRDefault="00915077">
      <w:pPr>
        <w:autoSpaceDE w:val="0"/>
        <w:autoSpaceDN w:val="0"/>
        <w:adjustRightInd w:val="0"/>
        <w:spacing w:before="0" w:after="0"/>
        <w:jc w:val="left"/>
        <w:rPr>
          <w:rFonts w:ascii="Times New Roman" w:hAnsi="Times New Roman"/>
          <w:sz w:val="24"/>
        </w:rPr>
      </w:pPr>
    </w:p>
    <w:p w14:paraId="080CD2FC" w14:textId="77777777" w:rsidR="00915077" w:rsidRPr="00E26EF6" w:rsidRDefault="00E026FB">
      <w:pPr>
        <w:pStyle w:val="Instructionsberschrift2"/>
        <w:numPr>
          <w:ilvl w:val="0"/>
          <w:numId w:val="0"/>
        </w:numPr>
        <w:ind w:left="357" w:hanging="357"/>
        <w:rPr>
          <w:rFonts w:ascii="Times New Roman" w:hAnsi="Times New Roman" w:cs="Times New Roman"/>
          <w:sz w:val="24"/>
        </w:rPr>
      </w:pPr>
      <w:bookmarkStart w:id="62" w:name="_Toc31014360"/>
      <w:r w:rsidRPr="00E26EF6">
        <w:rPr>
          <w:rFonts w:ascii="Times New Roman" w:hAnsi="Times New Roman"/>
          <w:sz w:val="24"/>
          <w:u w:val="none"/>
        </w:rPr>
        <w:t>3.7.</w:t>
      </w:r>
      <w:r w:rsidRPr="00E26EF6">
        <w:rPr>
          <w:rFonts w:ascii="Times New Roman" w:hAnsi="Times New Roman"/>
          <w:sz w:val="24"/>
          <w:u w:val="none"/>
        </w:rPr>
        <w:tab/>
      </w:r>
      <w:r w:rsidRPr="00E26EF6">
        <w:rPr>
          <w:rFonts w:ascii="Times New Roman" w:hAnsi="Times New Roman"/>
          <w:sz w:val="24"/>
        </w:rPr>
        <w:t>C 13.01 – Ryzyko kredytowe – sekurytyzacje (CR SEC)</w:t>
      </w:r>
      <w:bookmarkEnd w:id="62"/>
    </w:p>
    <w:p w14:paraId="6F06AFA3" w14:textId="77777777" w:rsidR="00915077" w:rsidRPr="00E26EF6" w:rsidRDefault="00E026FB">
      <w:pPr>
        <w:pStyle w:val="Instructionsberschrift2"/>
        <w:numPr>
          <w:ilvl w:val="0"/>
          <w:numId w:val="0"/>
        </w:numPr>
        <w:ind w:left="357" w:hanging="357"/>
        <w:rPr>
          <w:rFonts w:ascii="Times New Roman" w:hAnsi="Times New Roman" w:cs="Times New Roman"/>
          <w:sz w:val="24"/>
        </w:rPr>
      </w:pPr>
      <w:bookmarkStart w:id="63" w:name="_Toc31014361"/>
      <w:r w:rsidRPr="00E26EF6">
        <w:rPr>
          <w:rFonts w:ascii="Times New Roman" w:hAnsi="Times New Roman"/>
          <w:sz w:val="24"/>
          <w:u w:val="none"/>
        </w:rPr>
        <w:t>3.7.1.</w:t>
      </w:r>
      <w:r w:rsidRPr="00E26EF6">
        <w:rPr>
          <w:rFonts w:ascii="Times New Roman" w:hAnsi="Times New Roman"/>
          <w:sz w:val="24"/>
          <w:u w:val="none"/>
        </w:rPr>
        <w:tab/>
      </w:r>
      <w:r w:rsidRPr="00E26EF6">
        <w:rPr>
          <w:rFonts w:ascii="Times New Roman" w:hAnsi="Times New Roman"/>
          <w:sz w:val="24"/>
        </w:rPr>
        <w:t>Uwagi ogólne</w:t>
      </w:r>
      <w:bookmarkEnd w:id="63"/>
    </w:p>
    <w:p w14:paraId="6E8CF2DA" w14:textId="7C5AC20B" w:rsidR="00915077" w:rsidRPr="00E26EF6" w:rsidRDefault="00E026FB">
      <w:pPr>
        <w:pStyle w:val="InstructionsText2"/>
        <w:numPr>
          <w:ilvl w:val="0"/>
          <w:numId w:val="0"/>
        </w:numPr>
        <w:ind w:left="993"/>
      </w:pPr>
      <w:r w:rsidRPr="00E26EF6">
        <w:t>100. Jeżeli instytucja jest jednostką inicjującą,</w:t>
      </w:r>
      <w:r w:rsidR="00E26EF6" w:rsidRPr="00E26EF6">
        <w:t xml:space="preserve"> w tym</w:t>
      </w:r>
      <w:r w:rsidRPr="00E26EF6">
        <w:t xml:space="preserve"> wzorze wymagane są informacje na temat wszystkich sekurytyzacji,</w:t>
      </w:r>
      <w:r w:rsidR="00E26EF6" w:rsidRPr="00E26EF6">
        <w:t xml:space="preserve"> w odn</w:t>
      </w:r>
      <w:r w:rsidRPr="00E26EF6">
        <w:t xml:space="preserve">iesieniu do których uznano przeniesienie istotnej części ryzyka. Jeżeli instytucja jest inwestorem, zgłasza się wszystkie ekspozycje. </w:t>
      </w:r>
    </w:p>
    <w:p w14:paraId="304D921A" w14:textId="353A0217" w:rsidR="00915077" w:rsidRPr="00E26EF6" w:rsidRDefault="00E026FB">
      <w:pPr>
        <w:pStyle w:val="InstructionsText2"/>
        <w:numPr>
          <w:ilvl w:val="0"/>
          <w:numId w:val="0"/>
        </w:numPr>
        <w:ind w:left="993"/>
      </w:pPr>
      <w:r w:rsidRPr="00E26EF6">
        <w:t>101.</w:t>
      </w:r>
      <w:r w:rsidRPr="00E26EF6">
        <w:tab/>
        <w:t xml:space="preserve"> Zgłaszane informacje zależą od roli instytucji</w:t>
      </w:r>
      <w:r w:rsidR="00E26EF6" w:rsidRPr="00E26EF6">
        <w:t xml:space="preserve"> w kon</w:t>
      </w:r>
      <w:r w:rsidRPr="00E26EF6">
        <w:t>tekście procesu sekurytyzacji. Poszczególne zgłaszane pozycje mają zastosowanie do jednostek inicjujących, jednostek sponsorujących</w:t>
      </w:r>
      <w:r w:rsidR="00E26EF6" w:rsidRPr="00E26EF6">
        <w:t xml:space="preserve"> i inw</w:t>
      </w:r>
      <w:r w:rsidRPr="00E26EF6">
        <w:t>estorów.</w:t>
      </w:r>
    </w:p>
    <w:p w14:paraId="2AEAC17E" w14:textId="620C80FC" w:rsidR="00915077" w:rsidRPr="00E26EF6" w:rsidRDefault="00E026FB">
      <w:pPr>
        <w:pStyle w:val="InstructionsText2"/>
        <w:numPr>
          <w:ilvl w:val="0"/>
          <w:numId w:val="0"/>
        </w:numPr>
        <w:ind w:left="993"/>
      </w:pPr>
      <w:r w:rsidRPr="00E26EF6">
        <w:t>102. Wzór ten służy do gromadzenia informacji dotyczących zarówno sekurytyzacji tradycyjnych, jak</w:t>
      </w:r>
      <w:r w:rsidR="00E26EF6" w:rsidRPr="00E26EF6">
        <w:t xml:space="preserve"> i syn</w:t>
      </w:r>
      <w:r w:rsidRPr="00E26EF6">
        <w:t>tetycznych znajdujących się</w:t>
      </w:r>
      <w:r w:rsidR="00E26EF6" w:rsidRPr="00E26EF6">
        <w:t xml:space="preserve"> w por</w:t>
      </w:r>
      <w:r w:rsidRPr="00E26EF6">
        <w:t xml:space="preserve">tfelu bankowym. </w:t>
      </w:r>
    </w:p>
    <w:p w14:paraId="0B0DD4A5" w14:textId="77777777" w:rsidR="00915077" w:rsidRPr="00E26EF6" w:rsidRDefault="00E026FB">
      <w:pPr>
        <w:pStyle w:val="Instructionsberschrift2"/>
        <w:numPr>
          <w:ilvl w:val="0"/>
          <w:numId w:val="0"/>
        </w:numPr>
        <w:ind w:left="357" w:hanging="357"/>
        <w:rPr>
          <w:rFonts w:ascii="Times New Roman" w:hAnsi="Times New Roman" w:cs="Times New Roman"/>
          <w:sz w:val="24"/>
        </w:rPr>
      </w:pPr>
      <w:bookmarkStart w:id="64" w:name="_Toc31014362"/>
      <w:r w:rsidRPr="00E26EF6">
        <w:rPr>
          <w:rFonts w:ascii="Times New Roman" w:hAnsi="Times New Roman"/>
          <w:sz w:val="24"/>
          <w:u w:val="none"/>
        </w:rPr>
        <w:t>3.7.2.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6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15077" w:rsidRPr="00E26EF6" w14:paraId="739CBB50" w14:textId="77777777" w:rsidTr="00E10B85">
        <w:tc>
          <w:tcPr>
            <w:tcW w:w="9004" w:type="dxa"/>
            <w:gridSpan w:val="2"/>
            <w:shd w:val="clear" w:color="auto" w:fill="CCCCCC"/>
          </w:tcPr>
          <w:p w14:paraId="2CA37790" w14:textId="77777777" w:rsidR="00915077" w:rsidRPr="00E26EF6" w:rsidRDefault="00915077">
            <w:pPr>
              <w:autoSpaceDE w:val="0"/>
              <w:autoSpaceDN w:val="0"/>
              <w:adjustRightInd w:val="0"/>
              <w:spacing w:before="0" w:after="0"/>
              <w:ind w:left="426"/>
              <w:jc w:val="left"/>
              <w:rPr>
                <w:rFonts w:ascii="Times New Roman" w:hAnsi="Times New Roman"/>
                <w:sz w:val="24"/>
              </w:rPr>
            </w:pPr>
          </w:p>
          <w:p w14:paraId="162E9CF1" w14:textId="77777777" w:rsidR="00915077" w:rsidRPr="00E26EF6" w:rsidRDefault="00E026FB">
            <w:pPr>
              <w:autoSpaceDE w:val="0"/>
              <w:autoSpaceDN w:val="0"/>
              <w:adjustRightInd w:val="0"/>
              <w:spacing w:before="0" w:after="0"/>
              <w:rPr>
                <w:rFonts w:ascii="Times New Roman" w:hAnsi="Times New Roman"/>
                <w:b/>
                <w:bCs/>
                <w:sz w:val="24"/>
              </w:rPr>
            </w:pPr>
            <w:r w:rsidRPr="00E26EF6">
              <w:rPr>
                <w:rFonts w:ascii="Times New Roman" w:hAnsi="Times New Roman"/>
                <w:b/>
                <w:sz w:val="24"/>
              </w:rPr>
              <w:t>Kolumny</w:t>
            </w:r>
          </w:p>
          <w:p w14:paraId="154783EC"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192E1531" w14:textId="77777777" w:rsidTr="00E10B85">
        <w:tc>
          <w:tcPr>
            <w:tcW w:w="1568" w:type="dxa"/>
          </w:tcPr>
          <w:p w14:paraId="5ECAF04F"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0010</w:t>
            </w:r>
          </w:p>
        </w:tc>
        <w:tc>
          <w:tcPr>
            <w:tcW w:w="7436" w:type="dxa"/>
          </w:tcPr>
          <w:p w14:paraId="2A71F778" w14:textId="77777777" w:rsidR="00915077" w:rsidRPr="00E26EF6" w:rsidRDefault="00E026FB">
            <w:pPr>
              <w:spacing w:before="0" w:after="0"/>
              <w:jc w:val="left"/>
              <w:rPr>
                <w:rFonts w:ascii="Times New Roman" w:hAnsi="Times New Roman"/>
                <w:sz w:val="24"/>
              </w:rPr>
            </w:pPr>
            <w:r w:rsidRPr="00E26EF6">
              <w:rPr>
                <w:rFonts w:ascii="Times New Roman" w:hAnsi="Times New Roman"/>
                <w:b/>
                <w:sz w:val="24"/>
                <w:u w:val="single"/>
              </w:rPr>
              <w:t>CAŁKOWITA KWOTA UTWORZONYCH EKSPOZYCJI SEKURYTYZACYJNYCH</w:t>
            </w:r>
          </w:p>
          <w:p w14:paraId="712F783A" w14:textId="77777777" w:rsidR="00915077" w:rsidRPr="00E26EF6" w:rsidRDefault="00915077">
            <w:pPr>
              <w:spacing w:before="0" w:after="0"/>
              <w:jc w:val="left"/>
              <w:rPr>
                <w:rFonts w:ascii="Times New Roman" w:hAnsi="Times New Roman"/>
                <w:sz w:val="24"/>
              </w:rPr>
            </w:pPr>
          </w:p>
          <w:p w14:paraId="45244DC5" w14:textId="61B2D9D1"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Instytucja inicjująca zgłasza kwotę należną na dzień sprawozdawczy</w:t>
            </w:r>
            <w:r w:rsidR="00E26EF6" w:rsidRPr="00E26EF6">
              <w:rPr>
                <w:rFonts w:ascii="Times New Roman" w:hAnsi="Times New Roman"/>
                <w:sz w:val="24"/>
              </w:rPr>
              <w:t xml:space="preserve"> w odn</w:t>
            </w:r>
            <w:r w:rsidRPr="00E26EF6">
              <w:rPr>
                <w:rFonts w:ascii="Times New Roman" w:hAnsi="Times New Roman"/>
                <w:sz w:val="24"/>
              </w:rPr>
              <w:t>iesieniu do wszystkich aktualnych ekspozycji sekurytyzacyjnych</w:t>
            </w:r>
            <w:r w:rsidR="00E26EF6" w:rsidRPr="00E26EF6">
              <w:rPr>
                <w:rFonts w:ascii="Times New Roman" w:hAnsi="Times New Roman"/>
                <w:sz w:val="24"/>
              </w:rPr>
              <w:t xml:space="preserve"> z tyt</w:t>
            </w:r>
            <w:r w:rsidRPr="00E26EF6">
              <w:rPr>
                <w:rFonts w:ascii="Times New Roman" w:hAnsi="Times New Roman"/>
                <w:sz w:val="24"/>
              </w:rPr>
              <w:t>ułu transakcji sekurytyzacyjnych bez względu, kto posiada te pozycje. Zgłasza się zatem bilansowe ekspozycje sekurytyzacyjne (np. obligacje, pożyczki podporządkowane), jak również pozabilansowe ekspozycje</w:t>
            </w:r>
            <w:r w:rsidR="00E26EF6" w:rsidRPr="00E26EF6">
              <w:rPr>
                <w:rFonts w:ascii="Times New Roman" w:hAnsi="Times New Roman"/>
                <w:sz w:val="24"/>
              </w:rPr>
              <w:t xml:space="preserve"> i ins</w:t>
            </w:r>
            <w:r w:rsidRPr="00E26EF6">
              <w:rPr>
                <w:rFonts w:ascii="Times New Roman" w:hAnsi="Times New Roman"/>
                <w:sz w:val="24"/>
              </w:rPr>
              <w:t>trumenty pochodne (np. podporządkowane linie kredytowe, instrumenty wsparcia płynności, swapy stopy procentowej, swapy ryzyka kredytowego), które wynikają</w:t>
            </w:r>
            <w:r w:rsidR="00E26EF6" w:rsidRPr="00E26EF6">
              <w:rPr>
                <w:rFonts w:ascii="Times New Roman" w:hAnsi="Times New Roman"/>
                <w:sz w:val="24"/>
              </w:rPr>
              <w:t xml:space="preserve"> z sek</w:t>
            </w:r>
            <w:r w:rsidRPr="00E26EF6">
              <w:rPr>
                <w:rFonts w:ascii="Times New Roman" w:hAnsi="Times New Roman"/>
                <w:sz w:val="24"/>
              </w:rPr>
              <w:t xml:space="preserve">urytyzacji. </w:t>
            </w:r>
          </w:p>
          <w:p w14:paraId="1CC84C6B" w14:textId="77777777" w:rsidR="00915077" w:rsidRPr="00E26EF6" w:rsidRDefault="00915077">
            <w:pPr>
              <w:autoSpaceDE w:val="0"/>
              <w:autoSpaceDN w:val="0"/>
              <w:adjustRightInd w:val="0"/>
              <w:spacing w:before="0" w:after="0"/>
              <w:rPr>
                <w:rFonts w:ascii="Times New Roman" w:hAnsi="Times New Roman"/>
                <w:sz w:val="24"/>
              </w:rPr>
            </w:pPr>
          </w:p>
          <w:p w14:paraId="4B287425" w14:textId="629EAD69"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 przypadku tradycyjnej sekurytyzacji, gdzie jednostka inicjująca nie posiada żadnych pozycji, jednostka ta nie uwzględnia tej sekurytyzacji</w:t>
            </w:r>
            <w:r w:rsidR="00E26EF6" w:rsidRPr="00E26EF6">
              <w:rPr>
                <w:rFonts w:ascii="Times New Roman" w:hAnsi="Times New Roman"/>
                <w:sz w:val="24"/>
              </w:rPr>
              <w:t xml:space="preserve"> w zgł</w:t>
            </w:r>
            <w:r w:rsidRPr="00E26EF6">
              <w:rPr>
                <w:rFonts w:ascii="Times New Roman" w:hAnsi="Times New Roman"/>
                <w:sz w:val="24"/>
              </w:rPr>
              <w:t>aszaniu tego wzoru</w:t>
            </w:r>
            <w:r w:rsidR="00E26EF6" w:rsidRPr="00E26EF6">
              <w:rPr>
                <w:rFonts w:ascii="Times New Roman" w:hAnsi="Times New Roman"/>
                <w:sz w:val="24"/>
              </w:rPr>
              <w:t>. W tym</w:t>
            </w:r>
            <w:r w:rsidRPr="00E26EF6">
              <w:rPr>
                <w:rFonts w:ascii="Times New Roman" w:hAnsi="Times New Roman"/>
                <w:sz w:val="24"/>
              </w:rPr>
              <w:t xml:space="preserve"> celu pozycje sekurytyzacyjne posiadane przez jednostkę inicjującą obejmują opcje przedterminowej spłaty należności, zgodnie</w:t>
            </w:r>
            <w:r w:rsidR="00E26EF6" w:rsidRPr="00E26EF6">
              <w:rPr>
                <w:rFonts w:ascii="Times New Roman" w:hAnsi="Times New Roman"/>
                <w:sz w:val="24"/>
              </w:rPr>
              <w:t xml:space="preserve"> z def</w:t>
            </w:r>
            <w:r w:rsidRPr="00E26EF6">
              <w:rPr>
                <w:rFonts w:ascii="Times New Roman" w:hAnsi="Times New Roman"/>
                <w:sz w:val="24"/>
              </w:rPr>
              <w:t>inicją zawartą</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pkt</w:t>
            </w:r>
            <w:r w:rsidR="00023409" w:rsidRPr="00E26EF6">
              <w:rPr>
                <w:rFonts w:ascii="Times New Roman" w:hAnsi="Times New Roman"/>
                <w:sz w:val="24"/>
              </w:rPr>
              <w:t> </w:t>
            </w:r>
            <w:r w:rsidRPr="00E26EF6">
              <w:rPr>
                <w:rFonts w:ascii="Times New Roman" w:hAnsi="Times New Roman"/>
                <w:sz w:val="24"/>
              </w:rPr>
              <w:t>16 CRR,</w:t>
            </w:r>
            <w:r w:rsidR="00E26EF6" w:rsidRPr="00E26EF6">
              <w:rPr>
                <w:rFonts w:ascii="Times New Roman" w:hAnsi="Times New Roman"/>
                <w:sz w:val="24"/>
              </w:rPr>
              <w:t xml:space="preserve"> w ram</w:t>
            </w:r>
            <w:r w:rsidRPr="00E26EF6">
              <w:rPr>
                <w:rFonts w:ascii="Times New Roman" w:hAnsi="Times New Roman"/>
                <w:sz w:val="24"/>
              </w:rPr>
              <w:t>ach sekurytyzacji ekspozycji odnawialnych.</w:t>
            </w:r>
          </w:p>
          <w:p w14:paraId="69FC9006"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4D946982" w14:textId="77777777" w:rsidTr="00E10B85">
        <w:tc>
          <w:tcPr>
            <w:tcW w:w="1568" w:type="dxa"/>
          </w:tcPr>
          <w:p w14:paraId="17EFB891"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0020-0040</w:t>
            </w:r>
          </w:p>
        </w:tc>
        <w:tc>
          <w:tcPr>
            <w:tcW w:w="7436" w:type="dxa"/>
          </w:tcPr>
          <w:p w14:paraId="62885C41"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SEKURYTYZACJE SYNTETYCZNE: OCHRONA KREDYTOWA EKSPOZYCJI SEKURYTYZACYJNYCH</w:t>
            </w:r>
          </w:p>
          <w:p w14:paraId="244811B1" w14:textId="77777777" w:rsidR="00915077" w:rsidRPr="00E26EF6" w:rsidRDefault="00915077">
            <w:pPr>
              <w:spacing w:before="0" w:after="0"/>
              <w:jc w:val="left"/>
              <w:rPr>
                <w:rFonts w:ascii="Times New Roman" w:hAnsi="Times New Roman"/>
                <w:sz w:val="24"/>
              </w:rPr>
            </w:pPr>
          </w:p>
          <w:p w14:paraId="7BDB723D" w14:textId="38695356" w:rsidR="00915077" w:rsidRPr="00E26EF6" w:rsidRDefault="00E026FB">
            <w:pPr>
              <w:spacing w:before="0" w:after="0"/>
              <w:rPr>
                <w:rFonts w:ascii="Times New Roman" w:hAnsi="Times New Roman"/>
                <w:sz w:val="24"/>
              </w:rPr>
            </w:pPr>
            <w:r w:rsidRPr="00E26EF6">
              <w:rPr>
                <w:rFonts w:ascii="Times New Roman" w:hAnsi="Times New Roman"/>
                <w:sz w:val="24"/>
              </w:rPr>
              <w:t>Art. 251</w:t>
            </w:r>
            <w:r w:rsidR="00E26EF6" w:rsidRPr="00E26EF6">
              <w:rPr>
                <w:rFonts w:ascii="Times New Roman" w:hAnsi="Times New Roman"/>
                <w:sz w:val="24"/>
              </w:rPr>
              <w:t xml:space="preserve"> i 2</w:t>
            </w:r>
            <w:r w:rsidRPr="00E26EF6">
              <w:rPr>
                <w:rFonts w:ascii="Times New Roman" w:hAnsi="Times New Roman"/>
                <w:sz w:val="24"/>
              </w:rPr>
              <w:t xml:space="preserve">52 CRR. </w:t>
            </w:r>
          </w:p>
          <w:p w14:paraId="2CBA7E2E" w14:textId="77777777" w:rsidR="00915077" w:rsidRPr="00E26EF6" w:rsidRDefault="00915077">
            <w:pPr>
              <w:spacing w:before="0" w:after="0"/>
              <w:rPr>
                <w:rFonts w:ascii="Times New Roman" w:hAnsi="Times New Roman"/>
                <w:sz w:val="24"/>
              </w:rPr>
            </w:pPr>
          </w:p>
          <w:p w14:paraId="09877378" w14:textId="6B4E6431" w:rsidR="00915077" w:rsidRPr="00E26EF6" w:rsidRDefault="00E026FB">
            <w:pPr>
              <w:spacing w:before="0" w:after="0"/>
              <w:rPr>
                <w:rFonts w:ascii="Times New Roman" w:hAnsi="Times New Roman"/>
                <w:sz w:val="24"/>
              </w:rPr>
            </w:pPr>
            <w:r w:rsidRPr="00E26EF6">
              <w:rPr>
                <w:rFonts w:ascii="Times New Roman" w:hAnsi="Times New Roman"/>
                <w:sz w:val="24"/>
              </w:rPr>
              <w:t>Niedopasowanie terminów zapadalności nie jest uwzględniane</w:t>
            </w:r>
            <w:r w:rsidR="00E26EF6" w:rsidRPr="00E26EF6">
              <w:rPr>
                <w:rFonts w:ascii="Times New Roman" w:hAnsi="Times New Roman"/>
                <w:sz w:val="24"/>
              </w:rPr>
              <w:t xml:space="preserve"> w sko</w:t>
            </w:r>
            <w:r w:rsidRPr="00E26EF6">
              <w:rPr>
                <w:rFonts w:ascii="Times New Roman" w:hAnsi="Times New Roman"/>
                <w:sz w:val="24"/>
              </w:rPr>
              <w:t>rygowanej wartości wynikającej</w:t>
            </w:r>
            <w:r w:rsidR="00E26EF6" w:rsidRPr="00E26EF6">
              <w:rPr>
                <w:rFonts w:ascii="Times New Roman" w:hAnsi="Times New Roman"/>
                <w:sz w:val="24"/>
              </w:rPr>
              <w:t xml:space="preserve"> z zas</w:t>
            </w:r>
            <w:r w:rsidRPr="00E26EF6">
              <w:rPr>
                <w:rFonts w:ascii="Times New Roman" w:hAnsi="Times New Roman"/>
                <w:sz w:val="24"/>
              </w:rPr>
              <w:t>tosowania technik ograniczania ryzyka kredytowego</w:t>
            </w:r>
            <w:r w:rsidR="00E26EF6" w:rsidRPr="00E26EF6">
              <w:rPr>
                <w:rFonts w:ascii="Times New Roman" w:hAnsi="Times New Roman"/>
                <w:sz w:val="24"/>
              </w:rPr>
              <w:t xml:space="preserve"> w ram</w:t>
            </w:r>
            <w:r w:rsidRPr="00E26EF6">
              <w:rPr>
                <w:rFonts w:ascii="Times New Roman" w:hAnsi="Times New Roman"/>
                <w:sz w:val="24"/>
              </w:rPr>
              <w:t xml:space="preserve">ach programu sekurytyzacyjnego. </w:t>
            </w:r>
          </w:p>
          <w:p w14:paraId="2C658462" w14:textId="77777777" w:rsidR="00915077" w:rsidRPr="00E26EF6" w:rsidRDefault="00915077">
            <w:pPr>
              <w:spacing w:before="0" w:after="0"/>
              <w:rPr>
                <w:rFonts w:ascii="Times New Roman" w:hAnsi="Times New Roman"/>
                <w:bCs/>
                <w:sz w:val="24"/>
                <w:highlight w:val="lightGray"/>
              </w:rPr>
            </w:pPr>
          </w:p>
        </w:tc>
      </w:tr>
      <w:tr w:rsidR="00915077" w:rsidRPr="00E26EF6" w14:paraId="39646F32" w14:textId="77777777" w:rsidTr="00E10B85">
        <w:tc>
          <w:tcPr>
            <w:tcW w:w="1568" w:type="dxa"/>
          </w:tcPr>
          <w:p w14:paraId="51A08C1F"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0020</w:t>
            </w:r>
          </w:p>
        </w:tc>
        <w:tc>
          <w:tcPr>
            <w:tcW w:w="7436" w:type="dxa"/>
          </w:tcPr>
          <w:p w14:paraId="172C70AF" w14:textId="77777777" w:rsidR="00915077" w:rsidRPr="00E26EF6" w:rsidRDefault="00E026FB">
            <w:pPr>
              <w:spacing w:before="0" w:after="0"/>
              <w:jc w:val="left"/>
              <w:rPr>
                <w:rFonts w:ascii="Times New Roman" w:hAnsi="Times New Roman"/>
                <w:b/>
                <w:strike/>
                <w:sz w:val="24"/>
                <w:u w:val="single"/>
              </w:rPr>
            </w:pPr>
            <w:r w:rsidRPr="00E26EF6">
              <w:rPr>
                <w:rFonts w:ascii="Times New Roman" w:hAnsi="Times New Roman"/>
                <w:b/>
                <w:sz w:val="24"/>
                <w:u w:val="single"/>
              </w:rPr>
              <w:t>(-) OCHRONA KREDYTOWA RZECZYWISTA (C</w:t>
            </w:r>
            <w:r w:rsidRPr="00E26EF6">
              <w:rPr>
                <w:rFonts w:ascii="Times New Roman" w:hAnsi="Times New Roman"/>
                <w:b/>
                <w:sz w:val="24"/>
                <w:u w:val="single"/>
                <w:vertAlign w:val="subscript"/>
              </w:rPr>
              <w:t>VA</w:t>
            </w:r>
            <w:r w:rsidRPr="00E26EF6">
              <w:rPr>
                <w:rFonts w:ascii="Times New Roman" w:hAnsi="Times New Roman"/>
                <w:b/>
                <w:sz w:val="24"/>
                <w:u w:val="single"/>
              </w:rPr>
              <w:t xml:space="preserve">) </w:t>
            </w:r>
          </w:p>
          <w:p w14:paraId="1EEBA0E0" w14:textId="77777777" w:rsidR="00915077" w:rsidRPr="00E26EF6" w:rsidRDefault="00915077">
            <w:pPr>
              <w:spacing w:before="0" w:after="0"/>
              <w:jc w:val="left"/>
              <w:rPr>
                <w:rFonts w:ascii="Times New Roman" w:hAnsi="Times New Roman"/>
                <w:sz w:val="24"/>
              </w:rPr>
            </w:pPr>
          </w:p>
          <w:p w14:paraId="508766CC" w14:textId="3B55C2A7"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Szczegółowa procedura obliczania wartości zabezpieczenia skorygowanej</w:t>
            </w:r>
            <w:r w:rsidR="00E26EF6" w:rsidRPr="00E26EF6">
              <w:rPr>
                <w:rFonts w:ascii="Times New Roman" w:hAnsi="Times New Roman"/>
                <w:sz w:val="24"/>
              </w:rPr>
              <w:t xml:space="preserve"> o czy</w:t>
            </w:r>
            <w:r w:rsidRPr="00E26EF6">
              <w:rPr>
                <w:rFonts w:ascii="Times New Roman" w:hAnsi="Times New Roman"/>
                <w:sz w:val="24"/>
              </w:rPr>
              <w:t>nnik zmienności (C</w:t>
            </w:r>
            <w:r w:rsidRPr="00E26EF6">
              <w:rPr>
                <w:rFonts w:ascii="Times New Roman" w:hAnsi="Times New Roman"/>
                <w:sz w:val="24"/>
                <w:vertAlign w:val="subscript"/>
              </w:rPr>
              <w:t>VA</w:t>
            </w:r>
            <w:r w:rsidRPr="00E26EF6">
              <w:rPr>
                <w:rFonts w:ascii="Times New Roman" w:hAnsi="Times New Roman"/>
                <w:sz w:val="24"/>
              </w:rPr>
              <w:t>), którą to wartość zgłasza się</w:t>
            </w:r>
            <w:r w:rsidR="00E26EF6" w:rsidRPr="00E26EF6">
              <w:rPr>
                <w:rFonts w:ascii="Times New Roman" w:hAnsi="Times New Roman"/>
                <w:sz w:val="24"/>
              </w:rPr>
              <w:t xml:space="preserve"> w tej</w:t>
            </w:r>
            <w:r w:rsidRPr="00E26EF6">
              <w:rPr>
                <w:rFonts w:ascii="Times New Roman" w:hAnsi="Times New Roman"/>
                <w:sz w:val="24"/>
              </w:rPr>
              <w:t xml:space="preserve"> kolumnie, jest określona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223 ust.</w:t>
            </w:r>
            <w:r w:rsidR="00023409" w:rsidRPr="00E26EF6">
              <w:rPr>
                <w:rFonts w:ascii="Times New Roman" w:hAnsi="Times New Roman"/>
                <w:sz w:val="24"/>
              </w:rPr>
              <w:t> </w:t>
            </w:r>
            <w:r w:rsidRPr="00E26EF6">
              <w:rPr>
                <w:rFonts w:ascii="Times New Roman" w:hAnsi="Times New Roman"/>
                <w:sz w:val="24"/>
              </w:rPr>
              <w:t>2 CRR.</w:t>
            </w:r>
          </w:p>
          <w:p w14:paraId="757F8D80"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6D3E24DA" w14:textId="77777777" w:rsidTr="00E10B85">
        <w:tc>
          <w:tcPr>
            <w:tcW w:w="1568" w:type="dxa"/>
          </w:tcPr>
          <w:p w14:paraId="5D0AA934"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0030</w:t>
            </w:r>
          </w:p>
        </w:tc>
        <w:tc>
          <w:tcPr>
            <w:tcW w:w="7436" w:type="dxa"/>
          </w:tcPr>
          <w:p w14:paraId="7D0A1A23"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 xml:space="preserve">(-) WYPŁYWY RAZEM: SKORYGOWANE WARTOŚCI NIERZECZYWISTEJ OCHRONY KREDYTOWEJ (G*) </w:t>
            </w:r>
          </w:p>
          <w:p w14:paraId="0799A049" w14:textId="77777777" w:rsidR="00915077" w:rsidRPr="00E26EF6" w:rsidRDefault="00915077">
            <w:pPr>
              <w:spacing w:before="0" w:after="0"/>
              <w:jc w:val="left"/>
              <w:rPr>
                <w:rFonts w:ascii="Times New Roman" w:hAnsi="Times New Roman"/>
                <w:sz w:val="24"/>
              </w:rPr>
            </w:pPr>
          </w:p>
          <w:p w14:paraId="2BA6D5D4" w14:textId="4407B293" w:rsidR="00915077" w:rsidRPr="00E26EF6" w:rsidRDefault="00E026FB">
            <w:pPr>
              <w:spacing w:before="0" w:after="0"/>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ogó</w:t>
            </w:r>
            <w:r w:rsidRPr="00E26EF6">
              <w:rPr>
                <w:rFonts w:ascii="Times New Roman" w:hAnsi="Times New Roman"/>
                <w:sz w:val="24"/>
              </w:rPr>
              <w:t>lną zasadą dla „wpływów” i „wypływów” kwoty zgłoszone</w:t>
            </w:r>
            <w:r w:rsidR="00E26EF6" w:rsidRPr="00E26EF6">
              <w:rPr>
                <w:rFonts w:ascii="Times New Roman" w:hAnsi="Times New Roman"/>
                <w:sz w:val="24"/>
              </w:rPr>
              <w:t xml:space="preserve"> w tej</w:t>
            </w:r>
            <w:r w:rsidRPr="00E26EF6">
              <w:rPr>
                <w:rFonts w:ascii="Times New Roman" w:hAnsi="Times New Roman"/>
                <w:sz w:val="24"/>
              </w:rPr>
              <w:t xml:space="preserve"> kolumnie pojawiają się jako „wpływy”</w:t>
            </w:r>
            <w:r w:rsidR="00E26EF6" w:rsidRPr="00E26EF6">
              <w:rPr>
                <w:rFonts w:ascii="Times New Roman" w:hAnsi="Times New Roman"/>
                <w:sz w:val="24"/>
              </w:rPr>
              <w:t xml:space="preserve"> w odp</w:t>
            </w:r>
            <w:r w:rsidRPr="00E26EF6">
              <w:rPr>
                <w:rFonts w:ascii="Times New Roman" w:hAnsi="Times New Roman"/>
                <w:sz w:val="24"/>
              </w:rPr>
              <w:t>owiednim wzorze dotyczącym ryzyka kredytowego (CR SA lub CR IRB) oraz</w:t>
            </w:r>
            <w:r w:rsidR="00E26EF6" w:rsidRPr="00E26EF6">
              <w:rPr>
                <w:rFonts w:ascii="Times New Roman" w:hAnsi="Times New Roman"/>
                <w:sz w:val="24"/>
              </w:rPr>
              <w:t xml:space="preserve"> w kat</w:t>
            </w:r>
            <w:r w:rsidRPr="00E26EF6">
              <w:rPr>
                <w:rFonts w:ascii="Times New Roman" w:hAnsi="Times New Roman"/>
                <w:sz w:val="24"/>
              </w:rPr>
              <w:t>egorii ekspozycji, do której jednostka sprawozdająca przypisuje dostawcę ochrony kredytowej (tj. stronę trzecią, której przekazywane są transze za pośrednictwem ochrony kredytowej nierzeczywistej).</w:t>
            </w:r>
          </w:p>
          <w:p w14:paraId="3A660088" w14:textId="77777777" w:rsidR="00915077" w:rsidRPr="00E26EF6" w:rsidRDefault="00915077">
            <w:pPr>
              <w:spacing w:before="0" w:after="0"/>
              <w:jc w:val="left"/>
              <w:rPr>
                <w:rFonts w:ascii="Times New Roman" w:hAnsi="Times New Roman"/>
                <w:sz w:val="24"/>
              </w:rPr>
            </w:pPr>
          </w:p>
          <w:p w14:paraId="762F2510" w14:textId="1CA76349"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Procedura obliczania nominalnej kwoty ochrony kredytowej skorygowanej o „ryzyko walutowe” (G*) jest określona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233 ust.</w:t>
            </w:r>
            <w:r w:rsidR="00023409" w:rsidRPr="00E26EF6">
              <w:rPr>
                <w:rFonts w:ascii="Times New Roman" w:hAnsi="Times New Roman"/>
                <w:sz w:val="24"/>
              </w:rPr>
              <w:t> </w:t>
            </w:r>
            <w:r w:rsidRPr="00E26EF6">
              <w:rPr>
                <w:rFonts w:ascii="Times New Roman" w:hAnsi="Times New Roman"/>
                <w:sz w:val="24"/>
              </w:rPr>
              <w:t>3 CRR.</w:t>
            </w:r>
          </w:p>
          <w:p w14:paraId="09ADD7D8"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352BC6C4" w14:textId="77777777" w:rsidTr="00E10B85">
        <w:tc>
          <w:tcPr>
            <w:tcW w:w="1568" w:type="dxa"/>
          </w:tcPr>
          <w:p w14:paraId="04189F8F"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0040</w:t>
            </w:r>
          </w:p>
        </w:tc>
        <w:tc>
          <w:tcPr>
            <w:tcW w:w="7436" w:type="dxa"/>
          </w:tcPr>
          <w:p w14:paraId="3FADD4D7"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UTRZYMANA LUB WYKUPIONA NOMINALNA KWOTA OCHRONY KREDYTOWEJ</w:t>
            </w:r>
          </w:p>
          <w:p w14:paraId="0ACB162C" w14:textId="77777777" w:rsidR="00915077" w:rsidRPr="00E26EF6" w:rsidRDefault="00915077">
            <w:pPr>
              <w:spacing w:before="0" w:after="0"/>
              <w:jc w:val="left"/>
              <w:rPr>
                <w:rFonts w:ascii="Times New Roman" w:hAnsi="Times New Roman"/>
                <w:sz w:val="24"/>
              </w:rPr>
            </w:pPr>
          </w:p>
          <w:p w14:paraId="2C1E5633" w14:textId="3A648894"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Wszystkie transze, które zostały utrzymane lub wykupione, np. zachowane pozycje pierwszej straty, są zgłaszane zgodnie</w:t>
            </w:r>
            <w:r w:rsidR="00E26EF6" w:rsidRPr="00E26EF6">
              <w:rPr>
                <w:rFonts w:ascii="Times New Roman" w:hAnsi="Times New Roman"/>
                <w:sz w:val="24"/>
              </w:rPr>
              <w:t xml:space="preserve"> z ich</w:t>
            </w:r>
            <w:r w:rsidRPr="00E26EF6">
              <w:rPr>
                <w:rFonts w:ascii="Times New Roman" w:hAnsi="Times New Roman"/>
                <w:sz w:val="24"/>
              </w:rPr>
              <w:t xml:space="preserve"> wartością nominalną.</w:t>
            </w:r>
          </w:p>
          <w:p w14:paraId="22DDAF8E" w14:textId="77777777" w:rsidR="00915077" w:rsidRPr="00E26EF6" w:rsidRDefault="00915077">
            <w:pPr>
              <w:autoSpaceDE w:val="0"/>
              <w:autoSpaceDN w:val="0"/>
              <w:adjustRightInd w:val="0"/>
              <w:spacing w:before="0" w:after="0"/>
              <w:rPr>
                <w:rFonts w:ascii="Times New Roman" w:hAnsi="Times New Roman"/>
                <w:bCs/>
                <w:sz w:val="24"/>
              </w:rPr>
            </w:pPr>
          </w:p>
          <w:p w14:paraId="2DA4A9F0" w14:textId="77777777"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Skutek nadzorczej redukcji wartości ochrony kredytowej nie jest brany pod uwagę przy obliczaniu utrzymanej lub wykupionej kwoty ochrony kredytowej.</w:t>
            </w:r>
          </w:p>
          <w:p w14:paraId="21181D61"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5DCAA2E7" w14:textId="77777777" w:rsidTr="00E10B85">
        <w:tc>
          <w:tcPr>
            <w:tcW w:w="1568" w:type="dxa"/>
          </w:tcPr>
          <w:p w14:paraId="6B750D57"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0050</w:t>
            </w:r>
          </w:p>
        </w:tc>
        <w:tc>
          <w:tcPr>
            <w:tcW w:w="7436" w:type="dxa"/>
          </w:tcPr>
          <w:p w14:paraId="048DAF08" w14:textId="1EE4AB11"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 xml:space="preserve">POZYCJE SEKURYTYZACYJNE: PIERWOTNA EKSPOZYCJA PRZED UWZGLĘDNIENIEM WSPÓŁCZYNNIKÓW KONWERSJI </w:t>
            </w:r>
          </w:p>
          <w:p w14:paraId="4A807316" w14:textId="77777777" w:rsidR="00915077" w:rsidRPr="00E26EF6" w:rsidRDefault="00915077">
            <w:pPr>
              <w:spacing w:before="0" w:after="0"/>
              <w:jc w:val="left"/>
              <w:rPr>
                <w:rFonts w:ascii="Times New Roman" w:hAnsi="Times New Roman"/>
                <w:sz w:val="24"/>
              </w:rPr>
            </w:pPr>
          </w:p>
          <w:p w14:paraId="3CCC0123" w14:textId="3F692B35" w:rsidR="00915077" w:rsidRPr="00E26EF6" w:rsidRDefault="00A16FFF">
            <w:pPr>
              <w:autoSpaceDE w:val="0"/>
              <w:autoSpaceDN w:val="0"/>
              <w:adjustRightInd w:val="0"/>
              <w:spacing w:before="0" w:after="0"/>
              <w:jc w:val="left"/>
              <w:rPr>
                <w:rFonts w:ascii="Times New Roman" w:hAnsi="Times New Roman"/>
                <w:sz w:val="24"/>
              </w:rPr>
            </w:pPr>
            <w:r w:rsidRPr="00E26EF6">
              <w:rPr>
                <w:rFonts w:ascii="Times New Roman" w:hAnsi="Times New Roman"/>
                <w:sz w:val="24"/>
              </w:rPr>
              <w:t>Niniejsza kolumna zawiera wartości ekspozycji pozycji sekurytyzacyjnych posiadanych przez instytucję sprawozdającą, obliczone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ust.</w:t>
            </w:r>
            <w:r w:rsidR="00023409" w:rsidRPr="00E26EF6">
              <w:rPr>
                <w:rFonts w:ascii="Times New Roman" w:hAnsi="Times New Roman"/>
                <w:sz w:val="24"/>
              </w:rPr>
              <w:t> </w:t>
            </w:r>
            <w:r w:rsidRPr="00E26EF6">
              <w:rPr>
                <w:rFonts w:ascii="Times New Roman" w:hAnsi="Times New Roman"/>
                <w:sz w:val="24"/>
              </w:rPr>
              <w:t>1</w:t>
            </w:r>
            <w:r w:rsidR="00E26EF6" w:rsidRPr="00E26EF6">
              <w:rPr>
                <w:rFonts w:ascii="Times New Roman" w:hAnsi="Times New Roman"/>
                <w:sz w:val="24"/>
              </w:rPr>
              <w:t xml:space="preserve"> i 2</w:t>
            </w:r>
            <w:r w:rsidRPr="00E26EF6">
              <w:rPr>
                <w:rFonts w:ascii="Times New Roman" w:hAnsi="Times New Roman"/>
                <w:sz w:val="24"/>
              </w:rPr>
              <w:t xml:space="preserve"> CRR, bez stosowania współczynników konwersji kredytowej przed odliczeniem korekt</w:t>
            </w:r>
            <w:r w:rsidR="00E26EF6" w:rsidRPr="00E26EF6">
              <w:rPr>
                <w:rFonts w:ascii="Times New Roman" w:hAnsi="Times New Roman"/>
                <w:sz w:val="24"/>
              </w:rPr>
              <w:t xml:space="preserve"> z tyt</w:t>
            </w:r>
            <w:r w:rsidRPr="00E26EF6">
              <w:rPr>
                <w:rFonts w:ascii="Times New Roman" w:hAnsi="Times New Roman"/>
                <w:sz w:val="24"/>
              </w:rPr>
              <w:t>ułu ryzyka kredytowego</w:t>
            </w:r>
            <w:r w:rsidR="00E26EF6" w:rsidRPr="00E26EF6">
              <w:rPr>
                <w:rFonts w:ascii="Times New Roman" w:hAnsi="Times New Roman"/>
                <w:sz w:val="24"/>
              </w:rPr>
              <w:t xml:space="preserve"> i rez</w:t>
            </w:r>
            <w:r w:rsidRPr="00E26EF6">
              <w:rPr>
                <w:rFonts w:ascii="Times New Roman" w:hAnsi="Times New Roman"/>
                <w:sz w:val="24"/>
              </w:rPr>
              <w:t>erw oraz wszelkich niepodlegających odliczeniu rabatów cenowych przy zakupie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d) CRR,</w:t>
            </w:r>
            <w:r w:rsidR="00E26EF6" w:rsidRPr="00E26EF6">
              <w:rPr>
                <w:rFonts w:ascii="Times New Roman" w:hAnsi="Times New Roman"/>
                <w:sz w:val="24"/>
              </w:rPr>
              <w:t xml:space="preserve"> a tak</w:t>
            </w:r>
            <w:r w:rsidRPr="00E26EF6">
              <w:rPr>
                <w:rFonts w:ascii="Times New Roman" w:hAnsi="Times New Roman"/>
                <w:sz w:val="24"/>
              </w:rPr>
              <w:t>że korekt</w:t>
            </w:r>
            <w:r w:rsidR="00E26EF6" w:rsidRPr="00E26EF6">
              <w:rPr>
                <w:rFonts w:ascii="Times New Roman" w:hAnsi="Times New Roman"/>
                <w:sz w:val="24"/>
              </w:rPr>
              <w:t xml:space="preserve"> z tyt</w:t>
            </w:r>
            <w:r w:rsidRPr="00E26EF6">
              <w:rPr>
                <w:rFonts w:ascii="Times New Roman" w:hAnsi="Times New Roman"/>
                <w:sz w:val="24"/>
              </w:rPr>
              <w:t>ułu ryzyka kredytowego</w:t>
            </w:r>
            <w:r w:rsidR="00E26EF6" w:rsidRPr="00E26EF6">
              <w:rPr>
                <w:rFonts w:ascii="Times New Roman" w:hAnsi="Times New Roman"/>
                <w:sz w:val="24"/>
              </w:rPr>
              <w:t xml:space="preserve"> i rez</w:t>
            </w:r>
            <w:r w:rsidRPr="00E26EF6">
              <w:rPr>
                <w:rFonts w:ascii="Times New Roman" w:hAnsi="Times New Roman"/>
                <w:sz w:val="24"/>
              </w:rPr>
              <w:t>erw</w:t>
            </w:r>
            <w:r w:rsidR="00E26EF6" w:rsidRPr="00E26EF6">
              <w:rPr>
                <w:rFonts w:ascii="Times New Roman" w:hAnsi="Times New Roman"/>
                <w:sz w:val="24"/>
              </w:rPr>
              <w:t xml:space="preserve"> w poz</w:t>
            </w:r>
            <w:r w:rsidRPr="00E26EF6">
              <w:rPr>
                <w:rFonts w:ascii="Times New Roman" w:hAnsi="Times New Roman"/>
                <w:sz w:val="24"/>
              </w:rPr>
              <w:t>ycji sekurytyzacyjnej.</w:t>
            </w:r>
          </w:p>
          <w:p w14:paraId="79547600" w14:textId="2EF32B47" w:rsidR="00915077" w:rsidRPr="00E26EF6" w:rsidRDefault="00915077">
            <w:pPr>
              <w:autoSpaceDE w:val="0"/>
              <w:autoSpaceDN w:val="0"/>
              <w:adjustRightInd w:val="0"/>
              <w:spacing w:before="0" w:after="0"/>
              <w:jc w:val="left"/>
              <w:rPr>
                <w:rFonts w:ascii="Times New Roman" w:hAnsi="Times New Roman"/>
                <w:sz w:val="24"/>
              </w:rPr>
            </w:pPr>
          </w:p>
          <w:p w14:paraId="383FD97C" w14:textId="2AC1B91A"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Kompensowanie ma znaczenie wyłącznie</w:t>
            </w:r>
            <w:r w:rsidR="00E26EF6" w:rsidRPr="00E26EF6">
              <w:rPr>
                <w:rFonts w:ascii="Times New Roman" w:hAnsi="Times New Roman"/>
                <w:sz w:val="24"/>
              </w:rPr>
              <w:t xml:space="preserve"> w odn</w:t>
            </w:r>
            <w:r w:rsidRPr="00E26EF6">
              <w:rPr>
                <w:rFonts w:ascii="Times New Roman" w:hAnsi="Times New Roman"/>
                <w:sz w:val="24"/>
              </w:rPr>
              <w:t>iesieniu do złożonych instrumentów pochodnych dotyczących tej samej jednostki specjalnego przeznaczenia do celów sekurytyzacji, które to instrumenty objęte są uznaną umową</w:t>
            </w:r>
            <w:r w:rsidR="00E26EF6" w:rsidRPr="00E26EF6">
              <w:rPr>
                <w:rFonts w:ascii="Times New Roman" w:hAnsi="Times New Roman"/>
                <w:sz w:val="24"/>
              </w:rPr>
              <w:t xml:space="preserve"> o kom</w:t>
            </w:r>
            <w:r w:rsidRPr="00E26EF6">
              <w:rPr>
                <w:rFonts w:ascii="Times New Roman" w:hAnsi="Times New Roman"/>
                <w:sz w:val="24"/>
              </w:rPr>
              <w:t xml:space="preserve">pensowaniu. </w:t>
            </w:r>
          </w:p>
          <w:p w14:paraId="04872AB7" w14:textId="77777777" w:rsidR="00915077" w:rsidRPr="00E26EF6" w:rsidRDefault="00915077">
            <w:pPr>
              <w:autoSpaceDE w:val="0"/>
              <w:autoSpaceDN w:val="0"/>
              <w:adjustRightInd w:val="0"/>
              <w:spacing w:before="0" w:after="0"/>
              <w:rPr>
                <w:rFonts w:ascii="Times New Roman" w:hAnsi="Times New Roman"/>
                <w:sz w:val="24"/>
              </w:rPr>
            </w:pPr>
          </w:p>
          <w:p w14:paraId="507E5897" w14:textId="06733E89"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 odniesieniu do sekurytyzacji syntetycznych pozycje posiadane przez jednostkę inicjującą</w:t>
            </w:r>
            <w:r w:rsidR="00E26EF6" w:rsidRPr="00E26EF6">
              <w:rPr>
                <w:rFonts w:ascii="Times New Roman" w:hAnsi="Times New Roman"/>
                <w:sz w:val="24"/>
              </w:rPr>
              <w:t xml:space="preserve"> w pos</w:t>
            </w:r>
            <w:r w:rsidRPr="00E26EF6">
              <w:rPr>
                <w:rFonts w:ascii="Times New Roman" w:hAnsi="Times New Roman"/>
                <w:sz w:val="24"/>
              </w:rPr>
              <w:t>taci pozycji bilansowych lub udziału inwestora wynikają ze zagregowania kolumn 0010–0040.</w:t>
            </w:r>
          </w:p>
          <w:p w14:paraId="1A1975D8"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03FDE2C8" w14:textId="77777777" w:rsidTr="00E10B85">
        <w:tc>
          <w:tcPr>
            <w:tcW w:w="1568" w:type="dxa"/>
          </w:tcPr>
          <w:p w14:paraId="41D8640A"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0060</w:t>
            </w:r>
          </w:p>
        </w:tc>
        <w:tc>
          <w:tcPr>
            <w:tcW w:w="7436" w:type="dxa"/>
          </w:tcPr>
          <w:p w14:paraId="2582B198"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 xml:space="preserve">(-) KOREKTY WARTOŚCI I REZERWY </w:t>
            </w:r>
          </w:p>
          <w:p w14:paraId="21E3E585" w14:textId="77777777" w:rsidR="00915077" w:rsidRPr="00E26EF6" w:rsidRDefault="00915077">
            <w:pPr>
              <w:pStyle w:val="ListParagraph"/>
              <w:spacing w:before="0" w:after="0"/>
              <w:ind w:left="284" w:hanging="284"/>
              <w:rPr>
                <w:rFonts w:ascii="Times New Roman" w:hAnsi="Times New Roman"/>
                <w:sz w:val="24"/>
              </w:rPr>
            </w:pPr>
          </w:p>
          <w:p w14:paraId="3EE8D5DD" w14:textId="637CD02F"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Art. 248 CRR. Korekty wartości</w:t>
            </w:r>
            <w:r w:rsidR="00E26EF6" w:rsidRPr="00E26EF6">
              <w:rPr>
                <w:rFonts w:ascii="Times New Roman" w:hAnsi="Times New Roman"/>
                <w:sz w:val="24"/>
              </w:rPr>
              <w:t xml:space="preserve"> i rez</w:t>
            </w:r>
            <w:r w:rsidRPr="00E26EF6">
              <w:rPr>
                <w:rFonts w:ascii="Times New Roman" w:hAnsi="Times New Roman"/>
                <w:sz w:val="24"/>
              </w:rPr>
              <w:t>erwy, które należy zgłosić</w:t>
            </w:r>
            <w:r w:rsidR="00E26EF6" w:rsidRPr="00E26EF6">
              <w:rPr>
                <w:rFonts w:ascii="Times New Roman" w:hAnsi="Times New Roman"/>
                <w:sz w:val="24"/>
              </w:rPr>
              <w:t xml:space="preserve"> w tej</w:t>
            </w:r>
            <w:r w:rsidRPr="00E26EF6">
              <w:rPr>
                <w:rFonts w:ascii="Times New Roman" w:hAnsi="Times New Roman"/>
                <w:sz w:val="24"/>
              </w:rPr>
              <w:t xml:space="preserve"> kolumnie, dotyczą wyłącznie pozycji sekurytyzacyjnych. Nie uwzględnia się korekt wartości ekspozycji sekurytyzowanych.</w:t>
            </w:r>
          </w:p>
          <w:p w14:paraId="0561621F" w14:textId="77777777" w:rsidR="00915077" w:rsidRPr="00E26EF6" w:rsidRDefault="00915077">
            <w:pPr>
              <w:autoSpaceDE w:val="0"/>
              <w:autoSpaceDN w:val="0"/>
              <w:adjustRightInd w:val="0"/>
              <w:spacing w:before="0" w:after="0"/>
              <w:rPr>
                <w:rFonts w:ascii="Times New Roman" w:hAnsi="Times New Roman"/>
                <w:b/>
                <w:sz w:val="24"/>
                <w:highlight w:val="lightGray"/>
                <w:u w:val="single"/>
              </w:rPr>
            </w:pPr>
          </w:p>
        </w:tc>
      </w:tr>
      <w:tr w:rsidR="00915077" w:rsidRPr="00E26EF6" w14:paraId="230FB5A4" w14:textId="77777777" w:rsidTr="00E10B85">
        <w:tc>
          <w:tcPr>
            <w:tcW w:w="1568" w:type="dxa"/>
          </w:tcPr>
          <w:p w14:paraId="3DF1C9E1"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0070</w:t>
            </w:r>
          </w:p>
        </w:tc>
        <w:tc>
          <w:tcPr>
            <w:tcW w:w="7436" w:type="dxa"/>
          </w:tcPr>
          <w:p w14:paraId="7FDA918E"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EKSPOZYCJA PO ODLICZENIU KOREKT WARTOŚCI I REZERW</w:t>
            </w:r>
          </w:p>
          <w:p w14:paraId="7F0EE619" w14:textId="77777777" w:rsidR="00915077" w:rsidRPr="00E26EF6" w:rsidRDefault="00915077">
            <w:pPr>
              <w:spacing w:before="0" w:after="0"/>
              <w:jc w:val="left"/>
              <w:rPr>
                <w:rFonts w:ascii="Times New Roman" w:hAnsi="Times New Roman"/>
                <w:sz w:val="24"/>
              </w:rPr>
            </w:pPr>
          </w:p>
          <w:p w14:paraId="799E5479" w14:textId="717FD326" w:rsidR="00915077" w:rsidRPr="00E26EF6" w:rsidRDefault="00A16FFF">
            <w:pPr>
              <w:autoSpaceDE w:val="0"/>
              <w:autoSpaceDN w:val="0"/>
              <w:adjustRightInd w:val="0"/>
              <w:spacing w:before="0" w:after="0"/>
              <w:jc w:val="left"/>
              <w:rPr>
                <w:rFonts w:ascii="Times New Roman" w:hAnsi="Times New Roman"/>
                <w:sz w:val="24"/>
              </w:rPr>
            </w:pPr>
            <w:r w:rsidRPr="00E26EF6">
              <w:rPr>
                <w:rFonts w:ascii="Times New Roman" w:hAnsi="Times New Roman"/>
                <w:sz w:val="24"/>
              </w:rPr>
              <w:t>Niniejsza kolumna zawiera wartości ekspozycji pozycji sekurytyzacyjnych obliczone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ust.</w:t>
            </w:r>
            <w:r w:rsidR="00023409" w:rsidRPr="00E26EF6">
              <w:rPr>
                <w:rFonts w:ascii="Times New Roman" w:hAnsi="Times New Roman"/>
                <w:sz w:val="24"/>
              </w:rPr>
              <w:t> </w:t>
            </w:r>
            <w:r w:rsidRPr="00E26EF6">
              <w:rPr>
                <w:rFonts w:ascii="Times New Roman" w:hAnsi="Times New Roman"/>
                <w:sz w:val="24"/>
              </w:rPr>
              <w:t>1</w:t>
            </w:r>
            <w:r w:rsidR="00E26EF6" w:rsidRPr="00E26EF6">
              <w:rPr>
                <w:rFonts w:ascii="Times New Roman" w:hAnsi="Times New Roman"/>
                <w:sz w:val="24"/>
              </w:rPr>
              <w:t xml:space="preserve"> i 2</w:t>
            </w:r>
            <w:r w:rsidRPr="00E26EF6">
              <w:rPr>
                <w:rFonts w:ascii="Times New Roman" w:hAnsi="Times New Roman"/>
                <w:sz w:val="24"/>
              </w:rPr>
              <w:t xml:space="preserve"> CRR, po odliczeniu korekt wartości</w:t>
            </w:r>
            <w:r w:rsidR="00E26EF6" w:rsidRPr="00E26EF6">
              <w:rPr>
                <w:rFonts w:ascii="Times New Roman" w:hAnsi="Times New Roman"/>
                <w:sz w:val="24"/>
              </w:rPr>
              <w:t xml:space="preserve"> i rez</w:t>
            </w:r>
            <w:r w:rsidRPr="00E26EF6">
              <w:rPr>
                <w:rFonts w:ascii="Times New Roman" w:hAnsi="Times New Roman"/>
                <w:sz w:val="24"/>
              </w:rPr>
              <w:t>erw, bez stosowania współczynników konwersji</w:t>
            </w:r>
            <w:r w:rsidRPr="00E26EF6">
              <w:rPr>
                <w:sz w:val="24"/>
              </w:rPr>
              <w:t xml:space="preserve"> </w:t>
            </w:r>
            <w:r w:rsidRPr="00E26EF6">
              <w:rPr>
                <w:rFonts w:ascii="Times New Roman" w:hAnsi="Times New Roman"/>
                <w:sz w:val="24"/>
              </w:rPr>
              <w:t>oraz przed odliczeniem wszelkich niepodlegających odliczeniu rabatów cenowych przy zakupie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d) CRR,</w:t>
            </w:r>
            <w:r w:rsidR="00E26EF6" w:rsidRPr="00E26EF6">
              <w:rPr>
                <w:rFonts w:ascii="Times New Roman" w:hAnsi="Times New Roman"/>
                <w:sz w:val="24"/>
              </w:rPr>
              <w:t xml:space="preserve"> a tak</w:t>
            </w:r>
            <w:r w:rsidRPr="00E26EF6">
              <w:rPr>
                <w:rFonts w:ascii="Times New Roman" w:hAnsi="Times New Roman"/>
                <w:sz w:val="24"/>
              </w:rPr>
              <w:t>że wartości po odliczeniu korekt</w:t>
            </w:r>
            <w:r w:rsidR="00E26EF6" w:rsidRPr="00E26EF6">
              <w:rPr>
                <w:rFonts w:ascii="Times New Roman" w:hAnsi="Times New Roman"/>
                <w:sz w:val="24"/>
              </w:rPr>
              <w:t xml:space="preserve"> z tyt</w:t>
            </w:r>
            <w:r w:rsidRPr="00E26EF6">
              <w:rPr>
                <w:rFonts w:ascii="Times New Roman" w:hAnsi="Times New Roman"/>
                <w:sz w:val="24"/>
              </w:rPr>
              <w:t>ułu ryzyka kredytowego</w:t>
            </w:r>
            <w:r w:rsidR="00E26EF6" w:rsidRPr="00E26EF6">
              <w:rPr>
                <w:rFonts w:ascii="Times New Roman" w:hAnsi="Times New Roman"/>
                <w:sz w:val="24"/>
              </w:rPr>
              <w:t xml:space="preserve"> i rez</w:t>
            </w:r>
            <w:r w:rsidRPr="00E26EF6">
              <w:rPr>
                <w:rFonts w:ascii="Times New Roman" w:hAnsi="Times New Roman"/>
                <w:sz w:val="24"/>
              </w:rPr>
              <w:t>erw na pozycję sekurytyzacyjną.</w:t>
            </w:r>
          </w:p>
          <w:p w14:paraId="4A1BAEDA"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7C818E24" w14:textId="77777777" w:rsidTr="00E10B85">
        <w:tc>
          <w:tcPr>
            <w:tcW w:w="1568" w:type="dxa"/>
          </w:tcPr>
          <w:p w14:paraId="2CB82341"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0080-0110</w:t>
            </w:r>
          </w:p>
        </w:tc>
        <w:tc>
          <w:tcPr>
            <w:tcW w:w="7436" w:type="dxa"/>
          </w:tcPr>
          <w:p w14:paraId="2F2D43D0"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TECHNIKI OGRANICZANIA RYZYKA KREDYTOWEGO Z UWZGLĘDNIENIEM EFEKTÓW SUBSTYTUCYJNYCH W ODNIESIENIU DO EKSPOZYCJI</w:t>
            </w:r>
          </w:p>
          <w:p w14:paraId="768F5C2C" w14:textId="77777777" w:rsidR="00915077" w:rsidRPr="00E26EF6" w:rsidRDefault="00915077">
            <w:pPr>
              <w:spacing w:before="0" w:after="0"/>
              <w:jc w:val="left"/>
              <w:rPr>
                <w:rFonts w:ascii="Times New Roman" w:hAnsi="Times New Roman"/>
                <w:sz w:val="24"/>
              </w:rPr>
            </w:pPr>
          </w:p>
          <w:p w14:paraId="74D00D7A" w14:textId="3AA1E14A" w:rsidR="00915077" w:rsidRPr="00E26EF6" w:rsidRDefault="00A16FFF">
            <w:pPr>
              <w:spacing w:before="0" w:after="0"/>
              <w:rPr>
                <w:rFonts w:ascii="Times New Roman" w:hAnsi="Times New Roman"/>
                <w:sz w:val="24"/>
              </w:rPr>
            </w:pPr>
            <w:r w:rsidRPr="00E26EF6">
              <w:rPr>
                <w:rFonts w:ascii="Times New Roman" w:hAnsi="Times New Roman"/>
                <w:sz w:val="24"/>
              </w:rPr>
              <w:t>Art. 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57 CRR, część trzecia tytuł II rozdział 4 CRR oraz art.</w:t>
            </w:r>
            <w:r w:rsidR="00023409" w:rsidRPr="00E26EF6">
              <w:rPr>
                <w:rFonts w:ascii="Times New Roman" w:hAnsi="Times New Roman"/>
                <w:sz w:val="24"/>
              </w:rPr>
              <w:t> </w:t>
            </w:r>
            <w:r w:rsidRPr="00E26EF6">
              <w:rPr>
                <w:rFonts w:ascii="Times New Roman" w:hAnsi="Times New Roman"/>
                <w:sz w:val="24"/>
              </w:rPr>
              <w:t>249 CRR.</w:t>
            </w:r>
          </w:p>
          <w:p w14:paraId="6CA1E725" w14:textId="77777777" w:rsidR="00915077" w:rsidRPr="00E26EF6" w:rsidRDefault="00915077">
            <w:pPr>
              <w:spacing w:before="0" w:after="0"/>
              <w:rPr>
                <w:rFonts w:ascii="Times New Roman" w:hAnsi="Times New Roman"/>
                <w:sz w:val="24"/>
              </w:rPr>
            </w:pPr>
          </w:p>
          <w:p w14:paraId="1A2D70F4" w14:textId="451FB546" w:rsidR="00915077" w:rsidRPr="00E26EF6" w:rsidRDefault="007A00D6">
            <w:pPr>
              <w:spacing w:before="0" w:after="0"/>
              <w:rPr>
                <w:rFonts w:ascii="Times New Roman" w:hAnsi="Times New Roman"/>
                <w:sz w:val="24"/>
              </w:rPr>
            </w:pPr>
            <w:r w:rsidRPr="00E26EF6">
              <w:rPr>
                <w:rFonts w:ascii="Times New Roman" w:hAnsi="Times New Roman"/>
                <w:sz w:val="24"/>
              </w:rPr>
              <w:t>Instytucje zgłaszają</w:t>
            </w:r>
            <w:r w:rsidR="00E26EF6" w:rsidRPr="00E26EF6">
              <w:rPr>
                <w:rFonts w:ascii="Times New Roman" w:hAnsi="Times New Roman"/>
                <w:sz w:val="24"/>
              </w:rPr>
              <w:t xml:space="preserve"> w tyc</w:t>
            </w:r>
            <w:r w:rsidRPr="00E26EF6">
              <w:rPr>
                <w:rFonts w:ascii="Times New Roman" w:hAnsi="Times New Roman"/>
                <w:sz w:val="24"/>
              </w:rPr>
              <w:t>h kolumnach informacje na temat technik ograniczania ryzyka, które zmniejszają ryzyko kredytowe</w:t>
            </w:r>
            <w:r w:rsidR="00E26EF6" w:rsidRPr="00E26EF6">
              <w:rPr>
                <w:rFonts w:ascii="Times New Roman" w:hAnsi="Times New Roman"/>
                <w:sz w:val="24"/>
              </w:rPr>
              <w:t xml:space="preserve"> z tyt</w:t>
            </w:r>
            <w:r w:rsidRPr="00E26EF6">
              <w:rPr>
                <w:rFonts w:ascii="Times New Roman" w:hAnsi="Times New Roman"/>
                <w:sz w:val="24"/>
              </w:rPr>
              <w:t>ułu ekspozycji poprzez substytucję ekspozycji (jak wskazano poniżej</w:t>
            </w:r>
            <w:r w:rsidR="00E26EF6" w:rsidRPr="00E26EF6">
              <w:rPr>
                <w:rFonts w:ascii="Times New Roman" w:hAnsi="Times New Roman"/>
                <w:sz w:val="24"/>
              </w:rPr>
              <w:t xml:space="preserve"> w odn</w:t>
            </w:r>
            <w:r w:rsidRPr="00E26EF6">
              <w:rPr>
                <w:rFonts w:ascii="Times New Roman" w:hAnsi="Times New Roman"/>
                <w:sz w:val="24"/>
              </w:rPr>
              <w:t>iesieniu do wpływów</w:t>
            </w:r>
            <w:r w:rsidR="00E26EF6" w:rsidRPr="00E26EF6">
              <w:rPr>
                <w:rFonts w:ascii="Times New Roman" w:hAnsi="Times New Roman"/>
                <w:sz w:val="24"/>
              </w:rPr>
              <w:t xml:space="preserve"> i wyp</w:t>
            </w:r>
            <w:r w:rsidRPr="00E26EF6">
              <w:rPr>
                <w:rFonts w:ascii="Times New Roman" w:hAnsi="Times New Roman"/>
                <w:sz w:val="24"/>
              </w:rPr>
              <w:t>ływów).</w:t>
            </w:r>
          </w:p>
          <w:p w14:paraId="5C52F384" w14:textId="77777777" w:rsidR="00915077" w:rsidRPr="00E26EF6" w:rsidRDefault="00915077">
            <w:pPr>
              <w:spacing w:before="0" w:after="0"/>
              <w:rPr>
                <w:rFonts w:ascii="Times New Roman" w:hAnsi="Times New Roman"/>
                <w:sz w:val="24"/>
              </w:rPr>
            </w:pPr>
          </w:p>
          <w:p w14:paraId="7554F59A" w14:textId="63A7C158" w:rsidR="00915077" w:rsidRPr="00E26EF6" w:rsidRDefault="00D021AF">
            <w:pPr>
              <w:pStyle w:val="InstructionsText"/>
            </w:pPr>
            <w:r w:rsidRPr="00E26EF6">
              <w:t>Zabezpieczenie, które ma wpływ na wartość ekspozycji (np. gdy jest stosowane dla celów technik ograniczania ryzyka kredytowego</w:t>
            </w:r>
            <w:r w:rsidR="00E26EF6" w:rsidRPr="00E26EF6">
              <w:t xml:space="preserve"> z uwz</w:t>
            </w:r>
            <w:r w:rsidRPr="00E26EF6">
              <w:t>ględnieniem efektów substytucyjnych</w:t>
            </w:r>
            <w:r w:rsidR="00E26EF6" w:rsidRPr="00E26EF6">
              <w:t xml:space="preserve"> w odn</w:t>
            </w:r>
            <w:r w:rsidRPr="00E26EF6">
              <w:t>iesieniu do ekspozycji), jest ograniczone do wartości ekspozycji.</w:t>
            </w:r>
          </w:p>
          <w:p w14:paraId="575F0F4D" w14:textId="067A1A9C" w:rsidR="00915077" w:rsidRPr="00E26EF6" w:rsidRDefault="00E026FB">
            <w:pPr>
              <w:pStyle w:val="InstructionsText"/>
            </w:pPr>
            <w:r w:rsidRPr="00E26EF6">
              <w:t>Należy</w:t>
            </w:r>
            <w:r w:rsidR="00E26EF6" w:rsidRPr="00E26EF6">
              <w:t xml:space="preserve"> w tym</w:t>
            </w:r>
            <w:r w:rsidRPr="00E26EF6">
              <w:t xml:space="preserve"> miejscu zgłosić następujące pozycje:</w:t>
            </w:r>
          </w:p>
          <w:p w14:paraId="74DAEEA3" w14:textId="2391774A" w:rsidR="00915077" w:rsidRPr="00E26EF6" w:rsidRDefault="00E026FB">
            <w:pPr>
              <w:pStyle w:val="ListParagraph"/>
              <w:numPr>
                <w:ilvl w:val="0"/>
                <w:numId w:val="37"/>
              </w:numPr>
              <w:tabs>
                <w:tab w:val="num" w:pos="360"/>
              </w:tabs>
              <w:spacing w:before="0" w:after="0"/>
              <w:rPr>
                <w:rFonts w:ascii="Times New Roman" w:hAnsi="Times New Roman"/>
                <w:sz w:val="24"/>
              </w:rPr>
            </w:pPr>
            <w:proofErr w:type="gramStart"/>
            <w:r w:rsidRPr="00E26EF6">
              <w:rPr>
                <w:rFonts w:ascii="Times New Roman" w:hAnsi="Times New Roman"/>
                <w:sz w:val="24"/>
              </w:rPr>
              <w:t>zabezpieczenie</w:t>
            </w:r>
            <w:proofErr w:type="gramEnd"/>
            <w:r w:rsidRPr="00E26EF6">
              <w:rPr>
                <w:rFonts w:ascii="Times New Roman" w:hAnsi="Times New Roman"/>
                <w:sz w:val="24"/>
              </w:rPr>
              <w:t xml:space="preserve"> włączone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222 CRR (uproszczona metoda ujmowania zabezpieczeń finansowych);</w:t>
            </w:r>
          </w:p>
          <w:p w14:paraId="0E01D21D" w14:textId="77777777" w:rsidR="00915077" w:rsidRPr="00E26EF6" w:rsidRDefault="00E026FB">
            <w:pPr>
              <w:pStyle w:val="ListParagraph"/>
              <w:numPr>
                <w:ilvl w:val="0"/>
                <w:numId w:val="37"/>
              </w:numPr>
              <w:tabs>
                <w:tab w:val="num" w:pos="360"/>
              </w:tabs>
              <w:spacing w:before="0" w:after="0"/>
              <w:rPr>
                <w:rFonts w:ascii="Times New Roman" w:hAnsi="Times New Roman"/>
                <w:sz w:val="24"/>
              </w:rPr>
            </w:pPr>
            <w:proofErr w:type="gramStart"/>
            <w:r w:rsidRPr="00E26EF6">
              <w:rPr>
                <w:rFonts w:ascii="Times New Roman" w:hAnsi="Times New Roman"/>
                <w:sz w:val="24"/>
              </w:rPr>
              <w:t>uznaną</w:t>
            </w:r>
            <w:proofErr w:type="gramEnd"/>
            <w:r w:rsidRPr="00E26EF6">
              <w:rPr>
                <w:rFonts w:ascii="Times New Roman" w:hAnsi="Times New Roman"/>
                <w:sz w:val="24"/>
              </w:rPr>
              <w:t xml:space="preserve"> ochronę kredytową nierzeczywistą.</w:t>
            </w:r>
          </w:p>
          <w:p w14:paraId="76E64F6A" w14:textId="77777777" w:rsidR="00915077" w:rsidRPr="00E26EF6" w:rsidRDefault="00915077">
            <w:pPr>
              <w:spacing w:before="0" w:after="0"/>
              <w:rPr>
                <w:rFonts w:ascii="Times New Roman" w:hAnsi="Times New Roman"/>
                <w:b/>
                <w:sz w:val="24"/>
                <w:highlight w:val="lightGray"/>
                <w:u w:val="single"/>
              </w:rPr>
            </w:pPr>
          </w:p>
        </w:tc>
      </w:tr>
      <w:tr w:rsidR="00915077" w:rsidRPr="00E26EF6" w14:paraId="795C8CE5" w14:textId="77777777" w:rsidTr="00E10B85">
        <w:tc>
          <w:tcPr>
            <w:tcW w:w="1568" w:type="dxa"/>
          </w:tcPr>
          <w:p w14:paraId="1136E601"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0080</w:t>
            </w:r>
          </w:p>
        </w:tc>
        <w:tc>
          <w:tcPr>
            <w:tcW w:w="7436" w:type="dxa"/>
          </w:tcPr>
          <w:p w14:paraId="02226FA3"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 OCHRONA KREDYTOWA NIERZECZYWISTA: WARTOŚCI SKORYGOWANE (G</w:t>
            </w:r>
            <w:r w:rsidRPr="00E26EF6">
              <w:rPr>
                <w:rFonts w:ascii="Times New Roman" w:hAnsi="Times New Roman"/>
                <w:b/>
                <w:sz w:val="24"/>
                <w:u w:val="single"/>
                <w:vertAlign w:val="subscript"/>
              </w:rPr>
              <w:t>A</w:t>
            </w:r>
            <w:r w:rsidRPr="00E26EF6">
              <w:rPr>
                <w:rFonts w:ascii="Times New Roman" w:hAnsi="Times New Roman"/>
                <w:b/>
                <w:sz w:val="24"/>
                <w:u w:val="single"/>
              </w:rPr>
              <w:t xml:space="preserve">) </w:t>
            </w:r>
          </w:p>
          <w:p w14:paraId="7E216753" w14:textId="77777777" w:rsidR="00915077" w:rsidRPr="00E26EF6" w:rsidRDefault="00915077">
            <w:pPr>
              <w:spacing w:before="0" w:after="0"/>
              <w:jc w:val="left"/>
              <w:rPr>
                <w:rFonts w:ascii="Times New Roman" w:hAnsi="Times New Roman"/>
                <w:b/>
                <w:sz w:val="24"/>
                <w:u w:val="single"/>
              </w:rPr>
            </w:pPr>
          </w:p>
          <w:p w14:paraId="6285D450" w14:textId="0693BCEC"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Nierzeczywista ochrona kredytowa zdefiniowana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59 oraz art.</w:t>
            </w:r>
            <w:r w:rsidR="00023409" w:rsidRPr="00E26EF6">
              <w:rPr>
                <w:rFonts w:ascii="Times New Roman" w:hAnsi="Times New Roman"/>
                <w:sz w:val="24"/>
              </w:rPr>
              <w:t> </w:t>
            </w:r>
            <w:r w:rsidRPr="00E26EF6">
              <w:rPr>
                <w:rFonts w:ascii="Times New Roman" w:hAnsi="Times New Roman"/>
                <w:sz w:val="24"/>
              </w:rPr>
              <w:t>234–236 CRR.</w:t>
            </w:r>
          </w:p>
          <w:p w14:paraId="432EE6E4" w14:textId="77777777" w:rsidR="00915077" w:rsidRPr="00E26EF6" w:rsidRDefault="00915077">
            <w:pPr>
              <w:autoSpaceDE w:val="0"/>
              <w:autoSpaceDN w:val="0"/>
              <w:adjustRightInd w:val="0"/>
              <w:spacing w:before="0" w:after="0"/>
              <w:rPr>
                <w:rFonts w:ascii="Times New Roman" w:hAnsi="Times New Roman"/>
                <w:b/>
                <w:sz w:val="24"/>
                <w:highlight w:val="lightGray"/>
                <w:u w:val="single"/>
              </w:rPr>
            </w:pPr>
          </w:p>
        </w:tc>
      </w:tr>
      <w:tr w:rsidR="00915077" w:rsidRPr="00E26EF6" w14:paraId="7F05EE55" w14:textId="77777777" w:rsidTr="00E10B85">
        <w:tc>
          <w:tcPr>
            <w:tcW w:w="1568" w:type="dxa"/>
          </w:tcPr>
          <w:p w14:paraId="6E9625C0"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0090</w:t>
            </w:r>
          </w:p>
        </w:tc>
        <w:tc>
          <w:tcPr>
            <w:tcW w:w="7436" w:type="dxa"/>
          </w:tcPr>
          <w:p w14:paraId="11331AA2" w14:textId="77777777"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 OCHRONA KREDYTOWA RZECZYWISTA</w:t>
            </w:r>
          </w:p>
          <w:p w14:paraId="70917145" w14:textId="77777777" w:rsidR="00915077" w:rsidRPr="00E26EF6" w:rsidRDefault="00915077">
            <w:pPr>
              <w:spacing w:before="0" w:after="0"/>
              <w:rPr>
                <w:rFonts w:ascii="Times New Roman" w:hAnsi="Times New Roman"/>
                <w:sz w:val="24"/>
              </w:rPr>
            </w:pPr>
          </w:p>
          <w:p w14:paraId="16B35BA8" w14:textId="797670DC"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Ochrona kredytowa rzeczywista zdefiniowana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58 CRR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249 ust.</w:t>
            </w:r>
            <w:r w:rsidR="00023409" w:rsidRPr="00E26EF6">
              <w:rPr>
                <w:rFonts w:ascii="Times New Roman" w:hAnsi="Times New Roman"/>
                <w:sz w:val="24"/>
              </w:rPr>
              <w:t> </w:t>
            </w:r>
            <w:r w:rsidRPr="00E26EF6">
              <w:rPr>
                <w:rFonts w:ascii="Times New Roman" w:hAnsi="Times New Roman"/>
                <w:sz w:val="24"/>
              </w:rPr>
              <w:t>2 akapit pierwszy CRR oraz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195, 197</w:t>
            </w:r>
            <w:r w:rsidR="00E26EF6" w:rsidRPr="00E26EF6">
              <w:rPr>
                <w:rFonts w:ascii="Times New Roman" w:hAnsi="Times New Roman"/>
                <w:sz w:val="24"/>
              </w:rPr>
              <w:t xml:space="preserve"> i 2</w:t>
            </w:r>
            <w:r w:rsidRPr="00E26EF6">
              <w:rPr>
                <w:rFonts w:ascii="Times New Roman" w:hAnsi="Times New Roman"/>
                <w:sz w:val="24"/>
              </w:rPr>
              <w:t>00 CRR.</w:t>
            </w:r>
          </w:p>
          <w:p w14:paraId="79CFEB9C" w14:textId="77777777" w:rsidR="00915077" w:rsidRPr="00E26EF6" w:rsidRDefault="00915077">
            <w:pPr>
              <w:autoSpaceDE w:val="0"/>
              <w:autoSpaceDN w:val="0"/>
              <w:adjustRightInd w:val="0"/>
              <w:spacing w:before="0" w:after="0"/>
              <w:ind w:left="284" w:hanging="284"/>
              <w:rPr>
                <w:rFonts w:ascii="Times New Roman" w:hAnsi="Times New Roman"/>
                <w:sz w:val="24"/>
              </w:rPr>
            </w:pPr>
          </w:p>
          <w:p w14:paraId="388EA6A0" w14:textId="14EA57F6" w:rsidR="00915077" w:rsidRPr="00E26EF6" w:rsidRDefault="00E026FB">
            <w:pPr>
              <w:spacing w:before="0" w:after="0"/>
              <w:rPr>
                <w:rFonts w:ascii="Times New Roman" w:hAnsi="Times New Roman"/>
                <w:sz w:val="24"/>
              </w:rPr>
            </w:pPr>
            <w:r w:rsidRPr="00E26EF6">
              <w:rPr>
                <w:rFonts w:ascii="Times New Roman" w:hAnsi="Times New Roman"/>
                <w:sz w:val="24"/>
              </w:rPr>
              <w:t>Obligacje powiązane</w:t>
            </w:r>
            <w:r w:rsidR="00E26EF6" w:rsidRPr="00E26EF6">
              <w:rPr>
                <w:rFonts w:ascii="Times New Roman" w:hAnsi="Times New Roman"/>
                <w:sz w:val="24"/>
              </w:rPr>
              <w:t xml:space="preserve"> z ryz</w:t>
            </w:r>
            <w:r w:rsidRPr="00E26EF6">
              <w:rPr>
                <w:rFonts w:ascii="Times New Roman" w:hAnsi="Times New Roman"/>
                <w:sz w:val="24"/>
              </w:rPr>
              <w:t>ykiem kredytowym oraz kompensowanie pozycji bilansowych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218</w:t>
            </w:r>
            <w:r w:rsidR="00E26EF6" w:rsidRPr="00E26EF6">
              <w:rPr>
                <w:rFonts w:ascii="Times New Roman" w:hAnsi="Times New Roman"/>
                <w:sz w:val="24"/>
              </w:rPr>
              <w:t xml:space="preserve"> i 2</w:t>
            </w:r>
            <w:r w:rsidRPr="00E26EF6">
              <w:rPr>
                <w:rFonts w:ascii="Times New Roman" w:hAnsi="Times New Roman"/>
                <w:sz w:val="24"/>
              </w:rPr>
              <w:t>19 CRR traktuje się jak zabezpieczenie gotówkowe.</w:t>
            </w:r>
          </w:p>
          <w:p w14:paraId="539B11C7"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510C1FA5" w14:textId="77777777" w:rsidTr="00E10B85">
        <w:tc>
          <w:tcPr>
            <w:tcW w:w="1568" w:type="dxa"/>
          </w:tcPr>
          <w:p w14:paraId="21953A6D"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0100-0110</w:t>
            </w:r>
          </w:p>
        </w:tc>
        <w:tc>
          <w:tcPr>
            <w:tcW w:w="7436" w:type="dxa"/>
          </w:tcPr>
          <w:p w14:paraId="74EF31B3"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SUBSTYTUCJA EKSPOZYCJI W WYNIKU OGRANICZANIA RYZYKA KREDYTOWEGO:</w:t>
            </w:r>
          </w:p>
          <w:p w14:paraId="17529285" w14:textId="77777777" w:rsidR="00915077" w:rsidRPr="00E26EF6" w:rsidRDefault="00915077">
            <w:pPr>
              <w:spacing w:before="0" w:after="0"/>
              <w:rPr>
                <w:rFonts w:ascii="Times New Roman" w:hAnsi="Times New Roman"/>
                <w:b/>
                <w:sz w:val="24"/>
                <w:u w:val="single"/>
              </w:rPr>
            </w:pPr>
          </w:p>
          <w:p w14:paraId="55CBC0C5" w14:textId="03D5AFAB"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Zgłasza się wpływy</w:t>
            </w:r>
            <w:r w:rsidR="00E26EF6" w:rsidRPr="00E26EF6">
              <w:rPr>
                <w:rFonts w:ascii="Times New Roman" w:hAnsi="Times New Roman"/>
                <w:sz w:val="24"/>
              </w:rPr>
              <w:t xml:space="preserve"> i wyp</w:t>
            </w:r>
            <w:r w:rsidRPr="00E26EF6">
              <w:rPr>
                <w:rFonts w:ascii="Times New Roman" w:hAnsi="Times New Roman"/>
                <w:sz w:val="24"/>
              </w:rPr>
              <w:t>ływy</w:t>
            </w:r>
            <w:r w:rsidR="00E26EF6" w:rsidRPr="00E26EF6">
              <w:rPr>
                <w:rFonts w:ascii="Times New Roman" w:hAnsi="Times New Roman"/>
                <w:sz w:val="24"/>
              </w:rPr>
              <w:t xml:space="preserve"> w obr</w:t>
            </w:r>
            <w:r w:rsidRPr="00E26EF6">
              <w:rPr>
                <w:rFonts w:ascii="Times New Roman" w:hAnsi="Times New Roman"/>
                <w:sz w:val="24"/>
              </w:rPr>
              <w:t>ębie tych samych kategorii ekspozycji i,</w:t>
            </w:r>
            <w:r w:rsidR="00E26EF6" w:rsidRPr="00E26EF6">
              <w:rPr>
                <w:rFonts w:ascii="Times New Roman" w:hAnsi="Times New Roman"/>
                <w:sz w:val="24"/>
              </w:rPr>
              <w:t xml:space="preserve"> w sto</w:t>
            </w:r>
            <w:r w:rsidRPr="00E26EF6">
              <w:rPr>
                <w:rFonts w:ascii="Times New Roman" w:hAnsi="Times New Roman"/>
                <w:sz w:val="24"/>
              </w:rPr>
              <w:t>sownych przypadkach, wag ryzyka lub klas jakości dłużnika.</w:t>
            </w:r>
          </w:p>
          <w:p w14:paraId="04AF3836" w14:textId="77777777" w:rsidR="00915077" w:rsidRPr="00E26EF6" w:rsidRDefault="00915077">
            <w:pPr>
              <w:spacing w:before="0" w:after="0"/>
              <w:rPr>
                <w:rFonts w:ascii="Times New Roman" w:hAnsi="Times New Roman"/>
                <w:b/>
                <w:sz w:val="24"/>
                <w:highlight w:val="lightGray"/>
                <w:u w:val="single"/>
              </w:rPr>
            </w:pPr>
          </w:p>
        </w:tc>
      </w:tr>
      <w:tr w:rsidR="00915077" w:rsidRPr="00E26EF6" w14:paraId="12F37967" w14:textId="77777777" w:rsidTr="00E10B85">
        <w:tc>
          <w:tcPr>
            <w:tcW w:w="1568" w:type="dxa"/>
          </w:tcPr>
          <w:p w14:paraId="5926E757"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0100</w:t>
            </w:r>
          </w:p>
        </w:tc>
        <w:tc>
          <w:tcPr>
            <w:tcW w:w="7436" w:type="dxa"/>
          </w:tcPr>
          <w:p w14:paraId="4485CBBF"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WYPŁYWY RAZEM</w:t>
            </w:r>
          </w:p>
          <w:p w14:paraId="5BE641BE" w14:textId="77777777" w:rsidR="00915077" w:rsidRPr="00E26EF6" w:rsidRDefault="00915077">
            <w:pPr>
              <w:autoSpaceDE w:val="0"/>
              <w:autoSpaceDN w:val="0"/>
              <w:adjustRightInd w:val="0"/>
              <w:spacing w:before="0" w:after="0"/>
              <w:jc w:val="left"/>
              <w:rPr>
                <w:rFonts w:ascii="Times New Roman" w:hAnsi="Times New Roman"/>
                <w:sz w:val="24"/>
              </w:rPr>
            </w:pPr>
          </w:p>
          <w:p w14:paraId="2B74EA52" w14:textId="546BDBCC"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Art. 222 ust.</w:t>
            </w:r>
            <w:r w:rsidR="00023409" w:rsidRPr="00E26EF6">
              <w:rPr>
                <w:rFonts w:ascii="Times New Roman" w:hAnsi="Times New Roman"/>
                <w:sz w:val="24"/>
              </w:rPr>
              <w:t> </w:t>
            </w:r>
            <w:r w:rsidRPr="00E26EF6">
              <w:rPr>
                <w:rFonts w:ascii="Times New Roman" w:hAnsi="Times New Roman"/>
                <w:sz w:val="24"/>
              </w:rPr>
              <w:t>3, art.</w:t>
            </w:r>
            <w:r w:rsidR="00023409" w:rsidRPr="00E26EF6">
              <w:rPr>
                <w:rFonts w:ascii="Times New Roman" w:hAnsi="Times New Roman"/>
                <w:sz w:val="24"/>
              </w:rPr>
              <w:t> </w:t>
            </w:r>
            <w:r w:rsidRPr="00E26EF6">
              <w:rPr>
                <w:rFonts w:ascii="Times New Roman" w:hAnsi="Times New Roman"/>
                <w:sz w:val="24"/>
              </w:rPr>
              <w:t>235 ust.</w:t>
            </w:r>
            <w:r w:rsidR="00023409" w:rsidRPr="00E26EF6">
              <w:rPr>
                <w:rFonts w:ascii="Times New Roman" w:hAnsi="Times New Roman"/>
                <w:sz w:val="24"/>
              </w:rPr>
              <w:t> </w:t>
            </w:r>
            <w:r w:rsidRPr="00E26EF6">
              <w:rPr>
                <w:rFonts w:ascii="Times New Roman" w:hAnsi="Times New Roman"/>
                <w:sz w:val="24"/>
              </w:rPr>
              <w:t>1</w:t>
            </w:r>
            <w:r w:rsidR="00E26EF6" w:rsidRPr="00E26EF6">
              <w:rPr>
                <w:rFonts w:ascii="Times New Roman" w:hAnsi="Times New Roman"/>
                <w:sz w:val="24"/>
              </w:rPr>
              <w:t xml:space="preserve"> i 2</w:t>
            </w:r>
            <w:r w:rsidRPr="00E26EF6">
              <w:rPr>
                <w:rFonts w:ascii="Times New Roman" w:hAnsi="Times New Roman"/>
                <w:sz w:val="24"/>
              </w:rPr>
              <w:t xml:space="preserve"> oraz art.</w:t>
            </w:r>
            <w:r w:rsidR="00023409" w:rsidRPr="00E26EF6">
              <w:rPr>
                <w:rFonts w:ascii="Times New Roman" w:hAnsi="Times New Roman"/>
                <w:sz w:val="24"/>
              </w:rPr>
              <w:t> </w:t>
            </w:r>
            <w:r w:rsidRPr="00E26EF6">
              <w:rPr>
                <w:rFonts w:ascii="Times New Roman" w:hAnsi="Times New Roman"/>
                <w:sz w:val="24"/>
              </w:rPr>
              <w:t xml:space="preserve">236 CRR. </w:t>
            </w:r>
          </w:p>
          <w:p w14:paraId="3F4E0C87" w14:textId="77777777" w:rsidR="00915077" w:rsidRPr="00E26EF6" w:rsidRDefault="00915077">
            <w:pPr>
              <w:autoSpaceDE w:val="0"/>
              <w:autoSpaceDN w:val="0"/>
              <w:adjustRightInd w:val="0"/>
              <w:spacing w:before="0" w:after="0"/>
              <w:rPr>
                <w:rFonts w:ascii="Times New Roman" w:hAnsi="Times New Roman"/>
                <w:sz w:val="24"/>
              </w:rPr>
            </w:pPr>
          </w:p>
          <w:p w14:paraId="30436E7C" w14:textId="66178778"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Wypływy odpowiadają zabezpieczonej części „ekspozycji po odliczeniu korekt wartości</w:t>
            </w:r>
            <w:r w:rsidR="00E26EF6" w:rsidRPr="00E26EF6">
              <w:rPr>
                <w:rFonts w:ascii="Times New Roman" w:hAnsi="Times New Roman"/>
                <w:sz w:val="24"/>
              </w:rPr>
              <w:t xml:space="preserve"> i rez</w:t>
            </w:r>
            <w:r w:rsidRPr="00E26EF6">
              <w:rPr>
                <w:rFonts w:ascii="Times New Roman" w:hAnsi="Times New Roman"/>
                <w:sz w:val="24"/>
              </w:rPr>
              <w:t>erw”, którą to część odlicza się od kategorii ekspozycji dłużnika i,</w:t>
            </w:r>
            <w:r w:rsidR="00E26EF6" w:rsidRPr="00E26EF6">
              <w:rPr>
                <w:rFonts w:ascii="Times New Roman" w:hAnsi="Times New Roman"/>
                <w:sz w:val="24"/>
              </w:rPr>
              <w:t xml:space="preserve"> w sto</w:t>
            </w:r>
            <w:r w:rsidRPr="00E26EF6">
              <w:rPr>
                <w:rFonts w:ascii="Times New Roman" w:hAnsi="Times New Roman"/>
                <w:sz w:val="24"/>
              </w:rPr>
              <w:t>sownych przypadkach, od klasy jakości lub puli dłużnika,</w:t>
            </w:r>
            <w:r w:rsidR="00E26EF6" w:rsidRPr="00E26EF6">
              <w:rPr>
                <w:rFonts w:ascii="Times New Roman" w:hAnsi="Times New Roman"/>
                <w:sz w:val="24"/>
              </w:rPr>
              <w:t xml:space="preserve"> a nas</w:t>
            </w:r>
            <w:r w:rsidRPr="00E26EF6">
              <w:rPr>
                <w:rFonts w:ascii="Times New Roman" w:hAnsi="Times New Roman"/>
                <w:sz w:val="24"/>
              </w:rPr>
              <w:t>tępnie przypisuje kategorii ekspozycji dostawcy ochrony kredytowej i,</w:t>
            </w:r>
            <w:r w:rsidR="00E26EF6" w:rsidRPr="00E26EF6">
              <w:rPr>
                <w:rFonts w:ascii="Times New Roman" w:hAnsi="Times New Roman"/>
                <w:sz w:val="24"/>
              </w:rPr>
              <w:t xml:space="preserve"> w sto</w:t>
            </w:r>
            <w:r w:rsidRPr="00E26EF6">
              <w:rPr>
                <w:rFonts w:ascii="Times New Roman" w:hAnsi="Times New Roman"/>
                <w:sz w:val="24"/>
              </w:rPr>
              <w:t xml:space="preserve">sownych przypadkach, wadze ryzyka lub klasie jakości dłużnika. </w:t>
            </w:r>
          </w:p>
          <w:p w14:paraId="25F263EA" w14:textId="77777777" w:rsidR="00915077" w:rsidRPr="00E26EF6" w:rsidRDefault="00915077">
            <w:pPr>
              <w:autoSpaceDE w:val="0"/>
              <w:autoSpaceDN w:val="0"/>
              <w:adjustRightInd w:val="0"/>
              <w:spacing w:before="0" w:after="0"/>
              <w:rPr>
                <w:rFonts w:ascii="Times New Roman" w:hAnsi="Times New Roman"/>
                <w:sz w:val="24"/>
              </w:rPr>
            </w:pPr>
          </w:p>
          <w:p w14:paraId="5EEFCBD1" w14:textId="0C0D4A21"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Kwotę tę uznaje się za wpływ do kategorii ekspozycji dostawcy ochrony kredytowej i,</w:t>
            </w:r>
            <w:r w:rsidR="00E26EF6" w:rsidRPr="00E26EF6">
              <w:rPr>
                <w:rFonts w:ascii="Times New Roman" w:hAnsi="Times New Roman"/>
                <w:sz w:val="24"/>
              </w:rPr>
              <w:t xml:space="preserve"> w sto</w:t>
            </w:r>
            <w:r w:rsidRPr="00E26EF6">
              <w:rPr>
                <w:rFonts w:ascii="Times New Roman" w:hAnsi="Times New Roman"/>
                <w:sz w:val="24"/>
              </w:rPr>
              <w:t>sownych przypadkach, do wag ryzyka lub klas jakości dłużnika.</w:t>
            </w:r>
          </w:p>
          <w:p w14:paraId="306AF987" w14:textId="77777777" w:rsidR="00915077" w:rsidRPr="00E26EF6" w:rsidRDefault="00915077">
            <w:pPr>
              <w:autoSpaceDE w:val="0"/>
              <w:autoSpaceDN w:val="0"/>
              <w:adjustRightInd w:val="0"/>
              <w:spacing w:before="0" w:after="0"/>
              <w:rPr>
                <w:rFonts w:ascii="Times New Roman" w:hAnsi="Times New Roman"/>
                <w:b/>
                <w:sz w:val="24"/>
                <w:highlight w:val="lightGray"/>
                <w:u w:val="single"/>
              </w:rPr>
            </w:pPr>
          </w:p>
        </w:tc>
      </w:tr>
      <w:tr w:rsidR="00915077" w:rsidRPr="00E26EF6" w14:paraId="5A37FD56" w14:textId="77777777" w:rsidTr="00E10B85">
        <w:tc>
          <w:tcPr>
            <w:tcW w:w="1568" w:type="dxa"/>
          </w:tcPr>
          <w:p w14:paraId="2185113A"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0110</w:t>
            </w:r>
          </w:p>
        </w:tc>
        <w:tc>
          <w:tcPr>
            <w:tcW w:w="7436" w:type="dxa"/>
          </w:tcPr>
          <w:p w14:paraId="08F2A960" w14:textId="77777777" w:rsidR="00915077" w:rsidRPr="00E26EF6" w:rsidRDefault="00E026FB">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WPŁYWY RAZEM</w:t>
            </w:r>
          </w:p>
          <w:p w14:paraId="60589067"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40A8B907" w14:textId="04CABAFA" w:rsidR="00915077" w:rsidRPr="00E26EF6" w:rsidRDefault="00E026FB">
            <w:pPr>
              <w:spacing w:before="0" w:after="0"/>
              <w:rPr>
                <w:rFonts w:ascii="Times New Roman" w:hAnsi="Times New Roman"/>
                <w:sz w:val="24"/>
              </w:rPr>
            </w:pPr>
            <w:r w:rsidRPr="00E26EF6">
              <w:rPr>
                <w:rFonts w:ascii="Times New Roman" w:hAnsi="Times New Roman"/>
                <w:sz w:val="24"/>
              </w:rPr>
              <w:t>Pozycje sekurytyzacyjne, które są dłużnymi papierami wartościowymi</w:t>
            </w:r>
            <w:r w:rsidR="00E26EF6" w:rsidRPr="00E26EF6">
              <w:rPr>
                <w:rFonts w:ascii="Times New Roman" w:hAnsi="Times New Roman"/>
                <w:sz w:val="24"/>
              </w:rPr>
              <w:t xml:space="preserve"> i któ</w:t>
            </w:r>
            <w:r w:rsidRPr="00E26EF6">
              <w:rPr>
                <w:rFonts w:ascii="Times New Roman" w:hAnsi="Times New Roman"/>
                <w:sz w:val="24"/>
              </w:rPr>
              <w:t>re stosowane są jako uznane zabezpieczenie finansowe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197 ust.</w:t>
            </w:r>
            <w:r w:rsidR="00023409" w:rsidRPr="00E26EF6">
              <w:rPr>
                <w:rFonts w:ascii="Times New Roman" w:hAnsi="Times New Roman"/>
                <w:sz w:val="24"/>
              </w:rPr>
              <w:t> </w:t>
            </w:r>
            <w:r w:rsidRPr="00E26EF6">
              <w:rPr>
                <w:rFonts w:ascii="Times New Roman" w:hAnsi="Times New Roman"/>
                <w:sz w:val="24"/>
              </w:rPr>
              <w:t>1 CRR, zgłasza się</w:t>
            </w:r>
            <w:r w:rsidR="00E26EF6" w:rsidRPr="00E26EF6">
              <w:rPr>
                <w:rFonts w:ascii="Times New Roman" w:hAnsi="Times New Roman"/>
                <w:sz w:val="24"/>
              </w:rPr>
              <w:t xml:space="preserve"> w tej</w:t>
            </w:r>
            <w:r w:rsidRPr="00E26EF6">
              <w:rPr>
                <w:rFonts w:ascii="Times New Roman" w:hAnsi="Times New Roman"/>
                <w:sz w:val="24"/>
              </w:rPr>
              <w:t xml:space="preserve"> kolumnie – jeżeli stosowana jest uproszczona metoda ujmowania zabezpieczeń finansowych – jako wpływy.</w:t>
            </w:r>
          </w:p>
          <w:p w14:paraId="23CF13D1" w14:textId="77777777" w:rsidR="00915077" w:rsidRPr="00E26EF6" w:rsidRDefault="00915077">
            <w:pPr>
              <w:autoSpaceDE w:val="0"/>
              <w:autoSpaceDN w:val="0"/>
              <w:adjustRightInd w:val="0"/>
              <w:spacing w:before="0" w:after="0"/>
              <w:rPr>
                <w:rFonts w:ascii="Times New Roman" w:hAnsi="Times New Roman"/>
                <w:b/>
                <w:sz w:val="24"/>
                <w:highlight w:val="lightGray"/>
                <w:u w:val="single"/>
              </w:rPr>
            </w:pPr>
          </w:p>
        </w:tc>
      </w:tr>
      <w:tr w:rsidR="00915077" w:rsidRPr="00E26EF6" w14:paraId="79317135" w14:textId="77777777" w:rsidTr="00E10B85">
        <w:tc>
          <w:tcPr>
            <w:tcW w:w="1568" w:type="dxa"/>
          </w:tcPr>
          <w:p w14:paraId="30FE9FDD"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0120</w:t>
            </w:r>
          </w:p>
        </w:tc>
        <w:tc>
          <w:tcPr>
            <w:tcW w:w="7436" w:type="dxa"/>
          </w:tcPr>
          <w:p w14:paraId="3347B009" w14:textId="329D9D02" w:rsidR="00915077" w:rsidRPr="00E26EF6" w:rsidRDefault="00E026FB">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EKSPOZYCJA NETTO PO UWZGLĘDNIENIU EFEKTÓW SUBSTYTUCYJNYCH ZWIĄZANYCH Z OGRANICZANIEM RYZYKA KREDYTOWEGO PRZED UWZGLĘDNIENIEM WSPÓŁCZYNNIKÓW KONWERSJI</w:t>
            </w:r>
          </w:p>
          <w:p w14:paraId="60391F6F" w14:textId="77777777" w:rsidR="00915077" w:rsidRPr="00E26EF6" w:rsidRDefault="00915077">
            <w:pPr>
              <w:autoSpaceDE w:val="0"/>
              <w:autoSpaceDN w:val="0"/>
              <w:adjustRightInd w:val="0"/>
              <w:spacing w:before="0" w:after="0"/>
              <w:jc w:val="left"/>
              <w:rPr>
                <w:rStyle w:val="FormatvorlageInstructionsTabelleText"/>
                <w:rFonts w:ascii="Times New Roman" w:hAnsi="Times New Roman"/>
                <w:sz w:val="24"/>
              </w:rPr>
            </w:pPr>
          </w:p>
          <w:p w14:paraId="0A77E12F" w14:textId="05270ABF" w:rsidR="00915077" w:rsidRPr="00E26EF6" w:rsidRDefault="00A16FFF">
            <w:pPr>
              <w:autoSpaceDE w:val="0"/>
              <w:autoSpaceDN w:val="0"/>
              <w:adjustRightInd w:val="0"/>
              <w:spacing w:before="0" w:after="0"/>
              <w:jc w:val="left"/>
              <w:rPr>
                <w:rStyle w:val="FormatvorlageInstructionsTabelleText"/>
                <w:rFonts w:ascii="Times New Roman" w:hAnsi="Times New Roman"/>
                <w:sz w:val="24"/>
              </w:rPr>
            </w:pPr>
            <w:r w:rsidRPr="00E26EF6">
              <w:rPr>
                <w:rStyle w:val="FormatvorlageInstructionsTabelleText"/>
                <w:rFonts w:ascii="Times New Roman" w:hAnsi="Times New Roman"/>
                <w:sz w:val="24"/>
              </w:rPr>
              <w:t>W tej kolumnie uwzględnia się ekspozycje przypisane do odpowiadającej im wagi ryzyka oraz kategorię ekspozycji po uwzględnieniu wypływów</w:t>
            </w:r>
            <w:r w:rsidR="00E26EF6" w:rsidRPr="00E26EF6">
              <w:rPr>
                <w:rStyle w:val="FormatvorlageInstructionsTabelleText"/>
                <w:rFonts w:ascii="Times New Roman" w:hAnsi="Times New Roman"/>
                <w:sz w:val="24"/>
              </w:rPr>
              <w:t xml:space="preserve"> i wpł</w:t>
            </w:r>
            <w:r w:rsidRPr="00E26EF6">
              <w:rPr>
                <w:rStyle w:val="FormatvorlageInstructionsTabelleText"/>
                <w:rFonts w:ascii="Times New Roman" w:hAnsi="Times New Roman"/>
                <w:sz w:val="24"/>
              </w:rPr>
              <w:t>ywów wynikających z „technik ograniczania ryzyka kredytowego</w:t>
            </w:r>
            <w:r w:rsidR="00E26EF6" w:rsidRPr="00E26EF6">
              <w:rPr>
                <w:rStyle w:val="FormatvorlageInstructionsTabelleText"/>
                <w:rFonts w:ascii="Times New Roman" w:hAnsi="Times New Roman"/>
                <w:sz w:val="24"/>
              </w:rPr>
              <w:t xml:space="preserve"> z uwz</w:t>
            </w:r>
            <w:r w:rsidRPr="00E26EF6">
              <w:rPr>
                <w:rStyle w:val="FormatvorlageInstructionsTabelleText"/>
                <w:rFonts w:ascii="Times New Roman" w:hAnsi="Times New Roman"/>
                <w:sz w:val="24"/>
              </w:rPr>
              <w:t>ględnieniem efektów substytucyjnych</w:t>
            </w:r>
            <w:r w:rsidR="00E26EF6" w:rsidRPr="00E26EF6">
              <w:rPr>
                <w:rStyle w:val="FormatvorlageInstructionsTabelleText"/>
                <w:rFonts w:ascii="Times New Roman" w:hAnsi="Times New Roman"/>
                <w:sz w:val="24"/>
              </w:rPr>
              <w:t xml:space="preserve"> w odn</w:t>
            </w:r>
            <w:r w:rsidRPr="00E26EF6">
              <w:rPr>
                <w:rStyle w:val="FormatvorlageInstructionsTabelleText"/>
                <w:rFonts w:ascii="Times New Roman" w:hAnsi="Times New Roman"/>
                <w:sz w:val="24"/>
              </w:rPr>
              <w:t>iesieniu do ekspozycji”.</w:t>
            </w:r>
          </w:p>
          <w:p w14:paraId="34068537" w14:textId="77777777" w:rsidR="00915077" w:rsidRPr="00E26EF6" w:rsidRDefault="00915077">
            <w:pPr>
              <w:autoSpaceDE w:val="0"/>
              <w:autoSpaceDN w:val="0"/>
              <w:adjustRightInd w:val="0"/>
              <w:spacing w:before="0" w:after="0"/>
              <w:jc w:val="left"/>
              <w:rPr>
                <w:rStyle w:val="InstructionsTabelleberschrift"/>
                <w:rFonts w:ascii="Times New Roman" w:hAnsi="Times New Roman"/>
                <w:sz w:val="24"/>
                <w:highlight w:val="lightGray"/>
              </w:rPr>
            </w:pPr>
          </w:p>
        </w:tc>
      </w:tr>
      <w:tr w:rsidR="00915077" w:rsidRPr="00E26EF6" w14:paraId="602C6CFB" w14:textId="77777777" w:rsidTr="00E10B85">
        <w:tc>
          <w:tcPr>
            <w:tcW w:w="1568" w:type="dxa"/>
          </w:tcPr>
          <w:p w14:paraId="78D10379"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0130</w:t>
            </w:r>
          </w:p>
        </w:tc>
        <w:tc>
          <w:tcPr>
            <w:tcW w:w="7436" w:type="dxa"/>
          </w:tcPr>
          <w:p w14:paraId="057F37AA" w14:textId="77777777" w:rsidR="00915077" w:rsidRPr="00E26EF6" w:rsidRDefault="00E026FB">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 TECHNIKI OGRANICZANIA RYZYKA KREDYTOWEGO MAJĄCE WPŁYW NA KWOTĘ EKSPOZYCJI: SKORYGOWANA WARTOŚĆ RZECZYWISTEJ OCHRONY KREDYTOWEJ ZGODNIE Z KOMPLEKSOWĄ METODĄ UJMOWANIA ZABEZPIECZEŃ FINANSOWYCH (CVAM)</w:t>
            </w:r>
          </w:p>
          <w:p w14:paraId="7C872E39" w14:textId="77777777" w:rsidR="00915077" w:rsidRPr="00E26EF6" w:rsidRDefault="00915077">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915077" w:rsidRPr="00E26EF6" w:rsidRDefault="00E026FB">
            <w:pPr>
              <w:pStyle w:val="InstructionsText"/>
            </w:pPr>
            <w:r w:rsidRPr="00E26EF6">
              <w:t xml:space="preserve">Art. 223–228 CRR </w:t>
            </w:r>
          </w:p>
          <w:p w14:paraId="0B6C8764" w14:textId="776A0885" w:rsidR="00915077" w:rsidRPr="00E26EF6" w:rsidRDefault="00A16FFF">
            <w:pPr>
              <w:pStyle w:val="InstructionsText"/>
            </w:pPr>
            <w:r w:rsidRPr="00E26EF6">
              <w:t>Zgłoszona kwota musi obejmować także obligacje powiązane</w:t>
            </w:r>
            <w:r w:rsidR="00E26EF6" w:rsidRPr="00E26EF6">
              <w:t xml:space="preserve"> z ryz</w:t>
            </w:r>
            <w:r w:rsidRPr="00E26EF6">
              <w:t>ykiem kredytowym (art.</w:t>
            </w:r>
            <w:r w:rsidR="00023409" w:rsidRPr="00E26EF6">
              <w:t> </w:t>
            </w:r>
            <w:r w:rsidRPr="00E26EF6">
              <w:t>218 CRR).</w:t>
            </w:r>
          </w:p>
          <w:p w14:paraId="5D92B4BC" w14:textId="77777777" w:rsidR="00915077" w:rsidRPr="00E26EF6" w:rsidRDefault="00915077">
            <w:pPr>
              <w:autoSpaceDE w:val="0"/>
              <w:autoSpaceDN w:val="0"/>
              <w:adjustRightInd w:val="0"/>
              <w:spacing w:before="0" w:after="0"/>
              <w:jc w:val="left"/>
              <w:rPr>
                <w:rStyle w:val="InstructionsTabelleberschrift"/>
                <w:rFonts w:ascii="Times New Roman" w:hAnsi="Times New Roman"/>
                <w:sz w:val="24"/>
                <w:highlight w:val="lightGray"/>
              </w:rPr>
            </w:pPr>
          </w:p>
        </w:tc>
      </w:tr>
      <w:tr w:rsidR="00915077" w:rsidRPr="00E26EF6" w14:paraId="73A95B88" w14:textId="77777777" w:rsidTr="00E10B85">
        <w:tc>
          <w:tcPr>
            <w:tcW w:w="1568" w:type="dxa"/>
          </w:tcPr>
          <w:p w14:paraId="235DCD79"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0140</w:t>
            </w:r>
          </w:p>
        </w:tc>
        <w:tc>
          <w:tcPr>
            <w:tcW w:w="7436" w:type="dxa"/>
          </w:tcPr>
          <w:p w14:paraId="60A07133" w14:textId="77777777"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W PEŁNI SKORYGOWANA WARTOŚĆ EKSPOZYCJI (E*)</w:t>
            </w:r>
          </w:p>
          <w:p w14:paraId="06238DFE" w14:textId="77777777" w:rsidR="00915077" w:rsidRPr="00E26EF6" w:rsidRDefault="00915077">
            <w:pPr>
              <w:pStyle w:val="Heading1"/>
              <w:rPr>
                <w:rFonts w:ascii="Times New Roman" w:eastAsia="Times New Roman" w:hAnsi="Times New Roman"/>
                <w:sz w:val="24"/>
                <w:szCs w:val="24"/>
              </w:rPr>
            </w:pPr>
          </w:p>
          <w:p w14:paraId="1D0B024C" w14:textId="1A31A482" w:rsidR="00915077" w:rsidRPr="00E26EF6" w:rsidRDefault="00D021AF">
            <w:pPr>
              <w:autoSpaceDE w:val="0"/>
              <w:autoSpaceDN w:val="0"/>
              <w:adjustRightInd w:val="0"/>
              <w:spacing w:before="0" w:after="0"/>
              <w:rPr>
                <w:rFonts w:ascii="Times New Roman" w:hAnsi="Times New Roman"/>
                <w:sz w:val="24"/>
              </w:rPr>
            </w:pPr>
            <w:r w:rsidRPr="00E26EF6">
              <w:rPr>
                <w:rFonts w:ascii="Times New Roman" w:hAnsi="Times New Roman"/>
                <w:sz w:val="24"/>
              </w:rPr>
              <w:t>Wartość ekspozycji</w:t>
            </w:r>
            <w:r w:rsidR="00E26EF6" w:rsidRPr="00E26EF6">
              <w:rPr>
                <w:rFonts w:ascii="Times New Roman" w:hAnsi="Times New Roman"/>
                <w:sz w:val="24"/>
              </w:rPr>
              <w:t xml:space="preserve"> z tyt</w:t>
            </w:r>
            <w:r w:rsidRPr="00E26EF6">
              <w:rPr>
                <w:rFonts w:ascii="Times New Roman" w:hAnsi="Times New Roman"/>
                <w:sz w:val="24"/>
              </w:rPr>
              <w:t>ułu pozycji sekurytyzacyjnych obliczonych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CRR, ale bez stosowania współczynników konwersji określonych</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 xml:space="preserve">b) CRR. </w:t>
            </w:r>
          </w:p>
          <w:p w14:paraId="4A63D9DA"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35F69331" w14:textId="77777777" w:rsidTr="00E10B85">
        <w:tc>
          <w:tcPr>
            <w:tcW w:w="1568" w:type="dxa"/>
          </w:tcPr>
          <w:p w14:paraId="43295A5B"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0150</w:t>
            </w:r>
          </w:p>
        </w:tc>
        <w:tc>
          <w:tcPr>
            <w:tcW w:w="7436" w:type="dxa"/>
          </w:tcPr>
          <w:p w14:paraId="247C28E8" w14:textId="09B2934C"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W TYM: WEDŁUG WSPÓŁCZYNNIKA KONWERSJI KREDYTOWEJ WYNOSZĄCEGO 0</w:t>
            </w:r>
            <w:r w:rsidR="00023409" w:rsidRPr="00E26EF6">
              <w:rPr>
                <w:rFonts w:ascii="Times New Roman" w:hAnsi="Times New Roman"/>
                <w:b/>
                <w:sz w:val="24"/>
                <w:u w:val="single"/>
              </w:rPr>
              <w:t> </w:t>
            </w:r>
            <w:r w:rsidRPr="00E26EF6">
              <w:rPr>
                <w:rFonts w:ascii="Times New Roman" w:hAnsi="Times New Roman"/>
                <w:b/>
                <w:sz w:val="24"/>
                <w:u w:val="single"/>
              </w:rPr>
              <w:t>%</w:t>
            </w:r>
          </w:p>
          <w:p w14:paraId="4A3A0993" w14:textId="77777777" w:rsidR="00915077" w:rsidRPr="00E26EF6" w:rsidRDefault="00915077">
            <w:pPr>
              <w:spacing w:before="0" w:after="0"/>
              <w:rPr>
                <w:rFonts w:ascii="Times New Roman" w:hAnsi="Times New Roman"/>
                <w:b/>
                <w:sz w:val="24"/>
                <w:u w:val="single"/>
              </w:rPr>
            </w:pPr>
          </w:p>
          <w:p w14:paraId="2F8E1635" w14:textId="39C0771E" w:rsidR="00915077" w:rsidRPr="00E26EF6" w:rsidRDefault="00705025">
            <w:pPr>
              <w:autoSpaceDE w:val="0"/>
              <w:autoSpaceDN w:val="0"/>
              <w:adjustRightInd w:val="0"/>
              <w:spacing w:before="0" w:after="0"/>
              <w:rPr>
                <w:rFonts w:ascii="Times New Roman" w:hAnsi="Times New Roman"/>
                <w:sz w:val="24"/>
              </w:rPr>
            </w:pPr>
            <w:r w:rsidRPr="00E26EF6">
              <w:rPr>
                <w:rFonts w:ascii="Times New Roman" w:hAnsi="Times New Roman"/>
                <w:sz w:val="24"/>
              </w:rPr>
              <w:t>Art. 248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 xml:space="preserve">b) CRR </w:t>
            </w:r>
          </w:p>
          <w:p w14:paraId="78F6C5DE" w14:textId="77777777" w:rsidR="00915077" w:rsidRPr="00E26EF6" w:rsidRDefault="00915077">
            <w:pPr>
              <w:autoSpaceDE w:val="0"/>
              <w:autoSpaceDN w:val="0"/>
              <w:adjustRightInd w:val="0"/>
              <w:spacing w:before="0" w:after="0"/>
              <w:rPr>
                <w:rFonts w:ascii="Times New Roman" w:hAnsi="Times New Roman"/>
                <w:sz w:val="24"/>
              </w:rPr>
            </w:pPr>
          </w:p>
          <w:p w14:paraId="2E11D4F4" w14:textId="4C1183CC"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 tym kontekście współczynnik konwersji zdefiniowany jest</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56 CRR.</w:t>
            </w:r>
          </w:p>
          <w:p w14:paraId="7D235F7E" w14:textId="77777777" w:rsidR="00915077" w:rsidRPr="00E26EF6" w:rsidRDefault="00915077">
            <w:pPr>
              <w:autoSpaceDE w:val="0"/>
              <w:autoSpaceDN w:val="0"/>
              <w:adjustRightInd w:val="0"/>
              <w:spacing w:before="0" w:after="0"/>
              <w:jc w:val="left"/>
              <w:rPr>
                <w:rFonts w:ascii="Times New Roman" w:hAnsi="Times New Roman"/>
                <w:sz w:val="24"/>
              </w:rPr>
            </w:pPr>
          </w:p>
          <w:p w14:paraId="51135038" w14:textId="011F983B"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Dla celów sprawozdawczości</w:t>
            </w:r>
            <w:r w:rsidR="00E26EF6" w:rsidRPr="00E26EF6">
              <w:rPr>
                <w:rFonts w:ascii="Times New Roman" w:hAnsi="Times New Roman"/>
                <w:sz w:val="24"/>
              </w:rPr>
              <w:t xml:space="preserve"> w peł</w:t>
            </w:r>
            <w:r w:rsidRPr="00E26EF6">
              <w:rPr>
                <w:rFonts w:ascii="Times New Roman" w:hAnsi="Times New Roman"/>
                <w:sz w:val="24"/>
              </w:rPr>
              <w:t>ni skorygowaną wartość ekspozycji (E*) zgłasza się dla współczynnika konwersji równego 0</w:t>
            </w:r>
            <w:r w:rsidR="00023409" w:rsidRPr="00E26EF6">
              <w:rPr>
                <w:rFonts w:ascii="Times New Roman" w:hAnsi="Times New Roman"/>
                <w:sz w:val="24"/>
              </w:rPr>
              <w:t> </w:t>
            </w:r>
            <w:r w:rsidRPr="00E26EF6">
              <w:rPr>
                <w:rFonts w:ascii="Times New Roman" w:hAnsi="Times New Roman"/>
                <w:sz w:val="24"/>
              </w:rPr>
              <w:t>%.</w:t>
            </w:r>
          </w:p>
          <w:p w14:paraId="6CF96076" w14:textId="77777777" w:rsidR="00915077" w:rsidRPr="00E26EF6" w:rsidRDefault="00915077">
            <w:pPr>
              <w:spacing w:before="0" w:after="0"/>
              <w:rPr>
                <w:rFonts w:ascii="Times New Roman" w:hAnsi="Times New Roman"/>
                <w:b/>
                <w:sz w:val="24"/>
                <w:highlight w:val="lightGray"/>
                <w:u w:val="single"/>
              </w:rPr>
            </w:pPr>
          </w:p>
        </w:tc>
      </w:tr>
      <w:tr w:rsidR="00915077" w:rsidRPr="00E26EF6" w14:paraId="5EDAFED5" w14:textId="77777777" w:rsidTr="00E10B85">
        <w:tc>
          <w:tcPr>
            <w:tcW w:w="1568" w:type="dxa"/>
          </w:tcPr>
          <w:p w14:paraId="4F79903F"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0160</w:t>
            </w:r>
          </w:p>
        </w:tc>
        <w:tc>
          <w:tcPr>
            <w:tcW w:w="7436" w:type="dxa"/>
          </w:tcPr>
          <w:p w14:paraId="059FABBD"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 NIEPODLEGAJĄCE ODLICZENIU RABATY OD CENY ZAKUPU</w:t>
            </w:r>
          </w:p>
          <w:p w14:paraId="598C25E2" w14:textId="77777777" w:rsidR="00915077" w:rsidRPr="00E26EF6" w:rsidRDefault="00915077">
            <w:pPr>
              <w:spacing w:before="0" w:after="0"/>
              <w:jc w:val="left"/>
              <w:rPr>
                <w:rFonts w:ascii="Times New Roman" w:hAnsi="Times New Roman"/>
                <w:b/>
                <w:sz w:val="24"/>
                <w:u w:val="single"/>
              </w:rPr>
            </w:pPr>
          </w:p>
          <w:p w14:paraId="4F25AF43" w14:textId="709D5E15" w:rsidR="00915077" w:rsidRPr="00E26EF6" w:rsidRDefault="00BB22D4">
            <w:pPr>
              <w:spacing w:before="0" w:after="0"/>
              <w:jc w:val="left"/>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d) CRR instytucja inicjująca może odliczyć od wartości ekspozycji pozycji sekurytyzacyjnej, której przypisano wagę ryzyka 1 250</w:t>
            </w:r>
            <w:r w:rsidR="00023409" w:rsidRPr="00E26EF6">
              <w:rPr>
                <w:rFonts w:ascii="Times New Roman" w:hAnsi="Times New Roman"/>
                <w:sz w:val="24"/>
              </w:rPr>
              <w:t> </w:t>
            </w:r>
            <w:r w:rsidRPr="00E26EF6">
              <w:rPr>
                <w:rFonts w:ascii="Times New Roman" w:hAnsi="Times New Roman"/>
                <w:sz w:val="24"/>
              </w:rPr>
              <w:t>%, wszelkie niepodlegające odliczeniu rabaty cenowe przy zakupie związane</w:t>
            </w:r>
            <w:r w:rsidR="00E26EF6" w:rsidRPr="00E26EF6">
              <w:rPr>
                <w:rFonts w:ascii="Times New Roman" w:hAnsi="Times New Roman"/>
                <w:sz w:val="24"/>
              </w:rPr>
              <w:t xml:space="preserve"> z tak</w:t>
            </w:r>
            <w:r w:rsidRPr="00E26EF6">
              <w:rPr>
                <w:rFonts w:ascii="Times New Roman" w:hAnsi="Times New Roman"/>
                <w:sz w:val="24"/>
              </w:rPr>
              <w:t>imi ekspozycjami bazowymi</w:t>
            </w:r>
            <w:r w:rsidR="00E26EF6" w:rsidRPr="00E26EF6">
              <w:rPr>
                <w:rFonts w:ascii="Times New Roman" w:hAnsi="Times New Roman"/>
                <w:sz w:val="24"/>
              </w:rPr>
              <w:t xml:space="preserve"> w zak</w:t>
            </w:r>
            <w:r w:rsidRPr="00E26EF6">
              <w:rPr>
                <w:rFonts w:ascii="Times New Roman" w:hAnsi="Times New Roman"/>
                <w:sz w:val="24"/>
              </w:rPr>
              <w:t>resie,</w:t>
            </w:r>
            <w:r w:rsidR="00E26EF6" w:rsidRPr="00E26EF6">
              <w:rPr>
                <w:rFonts w:ascii="Times New Roman" w:hAnsi="Times New Roman"/>
                <w:sz w:val="24"/>
              </w:rPr>
              <w:t xml:space="preserve"> w jak</w:t>
            </w:r>
            <w:r w:rsidRPr="00E26EF6">
              <w:rPr>
                <w:rFonts w:ascii="Times New Roman" w:hAnsi="Times New Roman"/>
                <w:sz w:val="24"/>
              </w:rPr>
              <w:t>im takie odliczenia spowodowały redukcję funduszy własnych.</w:t>
            </w:r>
          </w:p>
          <w:p w14:paraId="73C16F62"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08AFADB1" w14:textId="77777777" w:rsidTr="00E10B85">
        <w:tc>
          <w:tcPr>
            <w:tcW w:w="1568" w:type="dxa"/>
          </w:tcPr>
          <w:p w14:paraId="126F1184"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0170</w:t>
            </w:r>
          </w:p>
        </w:tc>
        <w:tc>
          <w:tcPr>
            <w:tcW w:w="7436" w:type="dxa"/>
          </w:tcPr>
          <w:p w14:paraId="49FFAA27"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 KOREKTY Z TYTUŁU SZCZEGÓLNEGO RYZYKA KREDYTOWEGO W ODNIESIENIU DO EKSPOZYCJI BAZOWYCH</w:t>
            </w:r>
          </w:p>
          <w:p w14:paraId="702F72A8" w14:textId="77777777" w:rsidR="00915077" w:rsidRPr="00E26EF6" w:rsidRDefault="00915077">
            <w:pPr>
              <w:spacing w:before="0" w:after="0"/>
              <w:jc w:val="left"/>
              <w:rPr>
                <w:rFonts w:ascii="Times New Roman" w:hAnsi="Times New Roman"/>
                <w:b/>
                <w:sz w:val="24"/>
                <w:u w:val="single"/>
              </w:rPr>
            </w:pPr>
          </w:p>
          <w:p w14:paraId="4A46AA69" w14:textId="450B6436" w:rsidR="00915077" w:rsidRPr="00E26EF6" w:rsidRDefault="00BB22D4">
            <w:pPr>
              <w:spacing w:before="0" w:after="0"/>
              <w:jc w:val="left"/>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d) CRR instytucja inicjująca może odliczyć od wartości ekspozycji pozycji sekurytyzacyjnej, której przypisano wagę ryzyka 1 250</w:t>
            </w:r>
            <w:r w:rsidR="00023409" w:rsidRPr="00E26EF6">
              <w:rPr>
                <w:rFonts w:ascii="Times New Roman" w:hAnsi="Times New Roman"/>
                <w:sz w:val="24"/>
              </w:rPr>
              <w:t> </w:t>
            </w:r>
            <w:r w:rsidRPr="00E26EF6">
              <w:rPr>
                <w:rFonts w:ascii="Times New Roman" w:hAnsi="Times New Roman"/>
                <w:sz w:val="24"/>
              </w:rPr>
              <w:t>% lub którą odliczono od kapitału podstawowego Tier I, kwotę korekt</w:t>
            </w:r>
            <w:r w:rsidR="00E26EF6" w:rsidRPr="00E26EF6">
              <w:rPr>
                <w:rFonts w:ascii="Times New Roman" w:hAnsi="Times New Roman"/>
                <w:sz w:val="24"/>
              </w:rPr>
              <w:t xml:space="preserve"> z tyt</w:t>
            </w:r>
            <w:r w:rsidRPr="00E26EF6">
              <w:rPr>
                <w:rFonts w:ascii="Times New Roman" w:hAnsi="Times New Roman"/>
                <w:sz w:val="24"/>
              </w:rPr>
              <w:t>ułu szczególnego ryzyka kredytowego</w:t>
            </w:r>
            <w:r w:rsidR="00E26EF6" w:rsidRPr="00E26EF6">
              <w:rPr>
                <w:rFonts w:ascii="Times New Roman" w:hAnsi="Times New Roman"/>
                <w:sz w:val="24"/>
              </w:rPr>
              <w:t xml:space="preserve"> z tyt</w:t>
            </w:r>
            <w:r w:rsidRPr="00E26EF6">
              <w:rPr>
                <w:rFonts w:ascii="Times New Roman" w:hAnsi="Times New Roman"/>
                <w:sz w:val="24"/>
              </w:rPr>
              <w:t>ułu ekspozycji bazowych, jak określono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110 CRR. </w:t>
            </w:r>
          </w:p>
          <w:p w14:paraId="14046BFE"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78CB838B" w14:textId="77777777" w:rsidTr="00E10B85">
        <w:tc>
          <w:tcPr>
            <w:tcW w:w="1568" w:type="dxa"/>
          </w:tcPr>
          <w:p w14:paraId="56A71E8A"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0180</w:t>
            </w:r>
          </w:p>
        </w:tc>
        <w:tc>
          <w:tcPr>
            <w:tcW w:w="7436" w:type="dxa"/>
          </w:tcPr>
          <w:p w14:paraId="644B79A9"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WARTOŚĆ EKSPOZYCJI</w:t>
            </w:r>
          </w:p>
          <w:p w14:paraId="3E8726F4" w14:textId="77777777" w:rsidR="00915077" w:rsidRPr="00E26EF6" w:rsidRDefault="00915077">
            <w:pPr>
              <w:spacing w:before="0" w:after="0"/>
              <w:jc w:val="left"/>
              <w:rPr>
                <w:rFonts w:ascii="Times New Roman" w:hAnsi="Times New Roman"/>
                <w:b/>
                <w:sz w:val="24"/>
                <w:u w:val="single"/>
              </w:rPr>
            </w:pPr>
          </w:p>
          <w:p w14:paraId="61EE4152" w14:textId="17800FEA" w:rsidR="00915077" w:rsidRPr="00E26EF6" w:rsidRDefault="00D021AF">
            <w:pPr>
              <w:autoSpaceDE w:val="0"/>
              <w:autoSpaceDN w:val="0"/>
              <w:adjustRightInd w:val="0"/>
              <w:spacing w:before="0" w:after="0"/>
              <w:rPr>
                <w:rFonts w:ascii="Times New Roman" w:hAnsi="Times New Roman"/>
                <w:sz w:val="24"/>
              </w:rPr>
            </w:pPr>
            <w:r w:rsidRPr="00E26EF6">
              <w:rPr>
                <w:rFonts w:ascii="Times New Roman" w:hAnsi="Times New Roman"/>
                <w:sz w:val="24"/>
              </w:rPr>
              <w:t>Wartość ekspozycji</w:t>
            </w:r>
            <w:r w:rsidR="00E26EF6" w:rsidRPr="00E26EF6">
              <w:rPr>
                <w:rFonts w:ascii="Times New Roman" w:hAnsi="Times New Roman"/>
                <w:sz w:val="24"/>
              </w:rPr>
              <w:t xml:space="preserve"> z tyt</w:t>
            </w:r>
            <w:r w:rsidRPr="00E26EF6">
              <w:rPr>
                <w:rFonts w:ascii="Times New Roman" w:hAnsi="Times New Roman"/>
                <w:sz w:val="24"/>
              </w:rPr>
              <w:t>ułu pozycji sekurytyzacyjnych obliczonych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CRR</w:t>
            </w:r>
          </w:p>
          <w:p w14:paraId="0C4CC919"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545D8C88" w14:textId="77777777" w:rsidTr="00E10B85">
        <w:tc>
          <w:tcPr>
            <w:tcW w:w="1568" w:type="dxa"/>
          </w:tcPr>
          <w:p w14:paraId="328265EE"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0190</w:t>
            </w:r>
          </w:p>
        </w:tc>
        <w:tc>
          <w:tcPr>
            <w:tcW w:w="7436" w:type="dxa"/>
          </w:tcPr>
          <w:p w14:paraId="4F8D2DCE"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 WARTOŚĆ EKSPOZYCJI POMNIEJSZAJĄCA FUNDUSZE WŁASNE</w:t>
            </w:r>
          </w:p>
          <w:p w14:paraId="76232993" w14:textId="77777777" w:rsidR="00915077" w:rsidRPr="00E26EF6" w:rsidRDefault="00915077">
            <w:pPr>
              <w:spacing w:before="0" w:after="0"/>
              <w:jc w:val="left"/>
              <w:rPr>
                <w:rFonts w:ascii="Times New Roman" w:hAnsi="Times New Roman"/>
                <w:sz w:val="24"/>
              </w:rPr>
            </w:pPr>
          </w:p>
          <w:p w14:paraId="3DFEE244" w14:textId="032CE2D8" w:rsidR="00915077" w:rsidRPr="00E26EF6" w:rsidRDefault="00BB22D4">
            <w:pPr>
              <w:spacing w:before="0" w:after="0"/>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w:t>
            </w:r>
            <w:r w:rsidR="00E26EF6" w:rsidRPr="00E26EF6">
              <w:rPr>
                <w:rStyle w:val="FormatvorlageInstructionsTabelleText"/>
                <w:rFonts w:ascii="Times New Roman" w:hAnsi="Times New Roman"/>
                <w:sz w:val="24"/>
              </w:rPr>
              <w:t>art</w:t>
            </w:r>
            <w:r w:rsidRPr="00E26EF6">
              <w:rPr>
                <w:rStyle w:val="FormatvorlageInstructionsTabelleText"/>
                <w:rFonts w:ascii="Times New Roman" w:hAnsi="Times New Roman"/>
                <w:sz w:val="24"/>
              </w:rPr>
              <w: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244 </w:t>
            </w:r>
            <w:r w:rsidRPr="00E26EF6">
              <w:rPr>
                <w:rFonts w:ascii="Times New Roman" w:hAnsi="Times New Roman"/>
                <w:sz w:val="24"/>
              </w:rPr>
              <w:t>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 xml:space="preserve">b) CRR, </w:t>
            </w:r>
            <w:r w:rsidRPr="00E26EF6">
              <w:rPr>
                <w:rStyle w:val="FormatvorlageInstructionsTabelleText"/>
                <w:rFonts w:ascii="Times New Roman" w:hAnsi="Times New Roman"/>
                <w:sz w:val="24"/>
              </w:rPr>
              <w:t>art.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245 ust.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1 lit.</w:t>
            </w:r>
            <w:r w:rsidR="00023409" w:rsidRPr="00E26EF6">
              <w:rPr>
                <w:rStyle w:val="FormatvorlageInstructionsTabelleText"/>
                <w:rFonts w:ascii="Times New Roman" w:hAnsi="Times New Roman"/>
                <w:sz w:val="24"/>
              </w:rPr>
              <w:t> </w:t>
            </w:r>
            <w:r w:rsidRPr="00E26EF6">
              <w:rPr>
                <w:rStyle w:val="FormatvorlageInstructionsTabelleText"/>
                <w:rFonts w:ascii="Times New Roman" w:hAnsi="Times New Roman"/>
                <w:sz w:val="24"/>
              </w:rPr>
              <w:t xml:space="preserve">b) oraz </w:t>
            </w:r>
            <w:r w:rsidRPr="00E26EF6">
              <w:rPr>
                <w:rFonts w:ascii="Times New Roman" w:hAnsi="Times New Roman"/>
                <w:sz w:val="24"/>
              </w:rPr>
              <w:t>art.</w:t>
            </w:r>
            <w:r w:rsidR="00023409" w:rsidRPr="00E26EF6">
              <w:rPr>
                <w:rFonts w:ascii="Times New Roman" w:hAnsi="Times New Roman"/>
                <w:sz w:val="24"/>
              </w:rPr>
              <w:t> </w:t>
            </w:r>
            <w:r w:rsidRPr="00E26EF6">
              <w:rPr>
                <w:rFonts w:ascii="Times New Roman" w:hAnsi="Times New Roman"/>
                <w:sz w:val="24"/>
              </w:rPr>
              <w:t>253 ust.</w:t>
            </w:r>
            <w:r w:rsidR="00023409" w:rsidRPr="00E26EF6">
              <w:rPr>
                <w:rFonts w:ascii="Times New Roman" w:hAnsi="Times New Roman"/>
                <w:sz w:val="24"/>
              </w:rPr>
              <w:t> </w:t>
            </w:r>
            <w:r w:rsidRPr="00E26EF6">
              <w:rPr>
                <w:rFonts w:ascii="Times New Roman" w:hAnsi="Times New Roman"/>
                <w:sz w:val="24"/>
              </w:rPr>
              <w:t>1 CRR</w:t>
            </w:r>
            <w:r w:rsidR="00E26EF6" w:rsidRPr="00E26EF6">
              <w:rPr>
                <w:rFonts w:ascii="Times New Roman" w:hAnsi="Times New Roman"/>
                <w:sz w:val="24"/>
              </w:rPr>
              <w:t xml:space="preserve"> w prz</w:t>
            </w:r>
            <w:r w:rsidRPr="00E26EF6">
              <w:rPr>
                <w:rFonts w:ascii="Times New Roman" w:hAnsi="Times New Roman"/>
                <w:sz w:val="24"/>
              </w:rPr>
              <w:t>ypadku pozycji sekurytyzacyjnej, której przypisuje się wagę ryzyka równą 1 250</w:t>
            </w:r>
            <w:r w:rsidR="00023409" w:rsidRPr="00E26EF6">
              <w:rPr>
                <w:rFonts w:ascii="Times New Roman" w:hAnsi="Times New Roman"/>
                <w:sz w:val="24"/>
              </w:rPr>
              <w:t> </w:t>
            </w:r>
            <w:r w:rsidRPr="00E26EF6">
              <w:rPr>
                <w:rFonts w:ascii="Times New Roman" w:hAnsi="Times New Roman"/>
                <w:sz w:val="24"/>
              </w:rPr>
              <w:t>%, instytucje mogą</w:t>
            </w:r>
            <w:r w:rsidR="00E26EF6" w:rsidRPr="00E26EF6">
              <w:rPr>
                <w:rFonts w:ascii="Times New Roman" w:hAnsi="Times New Roman"/>
                <w:sz w:val="24"/>
              </w:rPr>
              <w:t xml:space="preserve"> w ram</w:t>
            </w:r>
            <w:r w:rsidRPr="00E26EF6">
              <w:rPr>
                <w:rFonts w:ascii="Times New Roman" w:hAnsi="Times New Roman"/>
                <w:sz w:val="24"/>
              </w:rPr>
              <w:t>ach rozwiązania alternatywnego</w:t>
            </w:r>
            <w:r w:rsidR="00E26EF6" w:rsidRPr="00E26EF6">
              <w:rPr>
                <w:rFonts w:ascii="Times New Roman" w:hAnsi="Times New Roman"/>
                <w:sz w:val="24"/>
              </w:rPr>
              <w:t xml:space="preserve"> w sto</w:t>
            </w:r>
            <w:r w:rsidRPr="00E26EF6">
              <w:rPr>
                <w:rFonts w:ascii="Times New Roman" w:hAnsi="Times New Roman"/>
                <w:sz w:val="24"/>
              </w:rPr>
              <w:t>sunku do uwzględniania danej pozycji przy obliczaniu kwot ekspozycji ważonych ryzykiem odliczyć od funduszy własnych wartość ekspozycji danej pozycji.</w:t>
            </w:r>
          </w:p>
          <w:p w14:paraId="763B19E6" w14:textId="77777777" w:rsidR="00915077" w:rsidRPr="00E26EF6" w:rsidRDefault="00915077">
            <w:pPr>
              <w:autoSpaceDE w:val="0"/>
              <w:autoSpaceDN w:val="0"/>
              <w:adjustRightInd w:val="0"/>
              <w:spacing w:before="0" w:after="0"/>
              <w:ind w:left="284" w:hanging="284"/>
              <w:jc w:val="left"/>
              <w:rPr>
                <w:rFonts w:ascii="Times New Roman" w:hAnsi="Times New Roman"/>
                <w:sz w:val="24"/>
                <w:highlight w:val="lightGray"/>
              </w:rPr>
            </w:pPr>
          </w:p>
        </w:tc>
      </w:tr>
      <w:tr w:rsidR="00915077" w:rsidRPr="00E26EF6" w14:paraId="32DF26BB" w14:textId="77777777" w:rsidTr="00E10B85">
        <w:tc>
          <w:tcPr>
            <w:tcW w:w="1568" w:type="dxa"/>
          </w:tcPr>
          <w:p w14:paraId="23E5208A"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lastRenderedPageBreak/>
              <w:t>0200</w:t>
            </w:r>
          </w:p>
        </w:tc>
        <w:tc>
          <w:tcPr>
            <w:tcW w:w="7436" w:type="dxa"/>
          </w:tcPr>
          <w:p w14:paraId="281E0D86"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WARTOŚĆ EKSPOZYCJI PODLEGAJĄCA WAGOM RYZYKA</w:t>
            </w:r>
          </w:p>
          <w:p w14:paraId="23F99AC8" w14:textId="77777777" w:rsidR="00915077" w:rsidRPr="00E26EF6" w:rsidRDefault="00915077">
            <w:pPr>
              <w:spacing w:before="0" w:after="0"/>
              <w:jc w:val="left"/>
              <w:rPr>
                <w:rFonts w:ascii="Times New Roman" w:hAnsi="Times New Roman"/>
                <w:b/>
                <w:sz w:val="24"/>
                <w:u w:val="single"/>
              </w:rPr>
            </w:pPr>
          </w:p>
          <w:p w14:paraId="39B3C0F9" w14:textId="13E5BCAC" w:rsidR="00915077" w:rsidRPr="00E26EF6" w:rsidRDefault="00E026FB">
            <w:pPr>
              <w:spacing w:before="0" w:after="0"/>
              <w:rPr>
                <w:rFonts w:ascii="Times New Roman" w:hAnsi="Times New Roman"/>
                <w:sz w:val="24"/>
              </w:rPr>
            </w:pPr>
            <w:r w:rsidRPr="00E26EF6">
              <w:rPr>
                <w:rFonts w:ascii="Times New Roman" w:hAnsi="Times New Roman"/>
                <w:sz w:val="24"/>
              </w:rPr>
              <w:t>Wartość ekspozycji pomniejszona</w:t>
            </w:r>
            <w:r w:rsidR="00E26EF6" w:rsidRPr="00E26EF6">
              <w:rPr>
                <w:rFonts w:ascii="Times New Roman" w:hAnsi="Times New Roman"/>
                <w:sz w:val="24"/>
              </w:rPr>
              <w:t xml:space="preserve"> o war</w:t>
            </w:r>
            <w:r w:rsidRPr="00E26EF6">
              <w:rPr>
                <w:rFonts w:ascii="Times New Roman" w:hAnsi="Times New Roman"/>
                <w:sz w:val="24"/>
              </w:rPr>
              <w:t>tość ekspozycji odejmowaną od funduszy własnych.</w:t>
            </w:r>
          </w:p>
          <w:p w14:paraId="3FFEF3E3" w14:textId="77777777" w:rsidR="00915077" w:rsidRPr="00E26EF6" w:rsidRDefault="00915077">
            <w:pPr>
              <w:pStyle w:val="Heading1"/>
              <w:rPr>
                <w:rFonts w:ascii="Times New Roman" w:eastAsia="Times New Roman" w:hAnsi="Times New Roman"/>
                <w:sz w:val="24"/>
                <w:szCs w:val="24"/>
                <w:highlight w:val="lightGray"/>
              </w:rPr>
            </w:pPr>
          </w:p>
        </w:tc>
      </w:tr>
      <w:tr w:rsidR="00915077" w:rsidRPr="00E26EF6" w14:paraId="1DFD4FCD" w14:textId="77777777" w:rsidTr="00E10B85">
        <w:tc>
          <w:tcPr>
            <w:tcW w:w="1568" w:type="dxa"/>
          </w:tcPr>
          <w:p w14:paraId="35DD908D"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0210</w:t>
            </w:r>
          </w:p>
        </w:tc>
        <w:tc>
          <w:tcPr>
            <w:tcW w:w="7436" w:type="dxa"/>
          </w:tcPr>
          <w:p w14:paraId="0FFF490B"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SEC-IRBA</w:t>
            </w:r>
          </w:p>
          <w:p w14:paraId="4FA1D9FA" w14:textId="77777777" w:rsidR="00915077" w:rsidRPr="00E26EF6" w:rsidRDefault="00915077">
            <w:pPr>
              <w:spacing w:before="0" w:after="0"/>
              <w:jc w:val="left"/>
              <w:rPr>
                <w:rFonts w:ascii="Times New Roman" w:hAnsi="Times New Roman"/>
                <w:b/>
                <w:sz w:val="24"/>
                <w:u w:val="single"/>
              </w:rPr>
            </w:pPr>
          </w:p>
          <w:p w14:paraId="0F342164" w14:textId="3C4ADA6B" w:rsidR="00915077" w:rsidRPr="00E26EF6" w:rsidRDefault="001E0C80">
            <w:pPr>
              <w:spacing w:before="0" w:after="0"/>
              <w:jc w:val="left"/>
              <w:rPr>
                <w:rFonts w:ascii="Times New Roman" w:hAnsi="Times New Roman"/>
                <w:sz w:val="24"/>
              </w:rPr>
            </w:pPr>
            <w:r w:rsidRPr="00E26EF6">
              <w:rPr>
                <w:rFonts w:ascii="Times New Roman" w:hAnsi="Times New Roman"/>
                <w:sz w:val="24"/>
              </w:rPr>
              <w:t>Art. 254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CRR</w:t>
            </w:r>
          </w:p>
          <w:p w14:paraId="5DF1BD70" w14:textId="77777777" w:rsidR="00915077" w:rsidRPr="00E26EF6" w:rsidRDefault="00915077">
            <w:pPr>
              <w:spacing w:before="0" w:after="0"/>
              <w:jc w:val="left"/>
              <w:rPr>
                <w:rFonts w:ascii="Times New Roman" w:hAnsi="Times New Roman"/>
                <w:sz w:val="24"/>
                <w:highlight w:val="lightGray"/>
              </w:rPr>
            </w:pPr>
          </w:p>
        </w:tc>
      </w:tr>
      <w:tr w:rsidR="00915077" w:rsidRPr="00E26EF6" w14:paraId="0DF54B21" w14:textId="77777777" w:rsidTr="00E10B85">
        <w:tc>
          <w:tcPr>
            <w:tcW w:w="1568" w:type="dxa"/>
          </w:tcPr>
          <w:p w14:paraId="19EB2459"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0220-0260</w:t>
            </w:r>
          </w:p>
        </w:tc>
        <w:tc>
          <w:tcPr>
            <w:tcW w:w="7436" w:type="dxa"/>
          </w:tcPr>
          <w:p w14:paraId="6CDE18A3"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PODZIAŁ WEDŁUG ZAKRESÓW WAG RYZYKA</w:t>
            </w:r>
          </w:p>
          <w:p w14:paraId="1F6408CC" w14:textId="77777777" w:rsidR="00915077" w:rsidRPr="00E26EF6" w:rsidRDefault="00915077">
            <w:pPr>
              <w:spacing w:before="0" w:after="0"/>
              <w:jc w:val="left"/>
              <w:rPr>
                <w:rFonts w:ascii="Times New Roman" w:hAnsi="Times New Roman"/>
                <w:sz w:val="24"/>
              </w:rPr>
            </w:pPr>
          </w:p>
          <w:p w14:paraId="5BB23D05" w14:textId="77777777" w:rsidR="00915077" w:rsidRPr="00E26EF6" w:rsidRDefault="00E026FB">
            <w:pPr>
              <w:spacing w:before="0" w:after="0"/>
              <w:jc w:val="left"/>
              <w:rPr>
                <w:rFonts w:ascii="Times New Roman" w:hAnsi="Times New Roman"/>
                <w:sz w:val="24"/>
              </w:rPr>
            </w:pPr>
            <w:r w:rsidRPr="00E26EF6">
              <w:rPr>
                <w:rFonts w:ascii="Times New Roman" w:hAnsi="Times New Roman"/>
                <w:sz w:val="24"/>
              </w:rPr>
              <w:t>Ekspozycje według metody SEC-IRBA według przedziałów wag ryzyka.</w:t>
            </w:r>
          </w:p>
          <w:p w14:paraId="5FDBCA85"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73AB4ED3" w14:textId="77777777" w:rsidTr="00E10B85">
        <w:tc>
          <w:tcPr>
            <w:tcW w:w="1568" w:type="dxa"/>
          </w:tcPr>
          <w:p w14:paraId="164FD94D"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0270</w:t>
            </w:r>
          </w:p>
        </w:tc>
        <w:tc>
          <w:tcPr>
            <w:tcW w:w="7436" w:type="dxa"/>
          </w:tcPr>
          <w:p w14:paraId="10502E2D" w14:textId="7CD41CF4"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 xml:space="preserve">W TYM: OBLICZONE ZGODNIE Z ART. 255 UST. 4 (NABYTE WIERZYTELNOŚCI) </w:t>
            </w:r>
          </w:p>
          <w:p w14:paraId="6F082799" w14:textId="77777777" w:rsidR="00915077" w:rsidRPr="00E26EF6" w:rsidRDefault="00915077">
            <w:pPr>
              <w:spacing w:before="0" w:after="0"/>
              <w:jc w:val="left"/>
              <w:rPr>
                <w:rFonts w:ascii="Times New Roman" w:hAnsi="Times New Roman"/>
                <w:sz w:val="24"/>
              </w:rPr>
            </w:pPr>
          </w:p>
          <w:p w14:paraId="26E3FBB7" w14:textId="56238375" w:rsidR="00915077" w:rsidRPr="00E26EF6" w:rsidRDefault="00E026FB">
            <w:pPr>
              <w:spacing w:before="0" w:after="0"/>
              <w:jc w:val="left"/>
              <w:rPr>
                <w:rFonts w:ascii="Times New Roman" w:hAnsi="Times New Roman"/>
                <w:sz w:val="24"/>
              </w:rPr>
            </w:pPr>
            <w:r w:rsidRPr="00E26EF6">
              <w:rPr>
                <w:rFonts w:ascii="Times New Roman" w:hAnsi="Times New Roman"/>
                <w:sz w:val="24"/>
              </w:rPr>
              <w:t>Art. 255 ust. 4 CRR</w:t>
            </w:r>
          </w:p>
          <w:p w14:paraId="133C5AF3" w14:textId="2B77008A" w:rsidR="00915077" w:rsidRPr="00E26EF6" w:rsidRDefault="00E026FB">
            <w:pPr>
              <w:spacing w:before="0" w:after="0"/>
              <w:jc w:val="left"/>
              <w:rPr>
                <w:rFonts w:ascii="Times New Roman" w:hAnsi="Times New Roman"/>
                <w:sz w:val="24"/>
              </w:rPr>
            </w:pPr>
            <w:r w:rsidRPr="00E26EF6">
              <w:rPr>
                <w:rFonts w:ascii="Times New Roman" w:hAnsi="Times New Roman"/>
                <w:sz w:val="24"/>
              </w:rPr>
              <w:t xml:space="preserve"> </w:t>
            </w:r>
          </w:p>
          <w:p w14:paraId="0D79C9FD" w14:textId="106DC999" w:rsidR="00915077" w:rsidRPr="00E26EF6" w:rsidRDefault="00E026FB">
            <w:pPr>
              <w:spacing w:before="0" w:after="0"/>
              <w:jc w:val="left"/>
              <w:rPr>
                <w:rFonts w:ascii="Times New Roman" w:hAnsi="Times New Roman"/>
                <w:sz w:val="24"/>
              </w:rPr>
            </w:pPr>
            <w:r w:rsidRPr="00E26EF6">
              <w:rPr>
                <w:rFonts w:ascii="Times New Roman" w:hAnsi="Times New Roman"/>
                <w:sz w:val="24"/>
              </w:rPr>
              <w:t>Do celów tej kolumny ekspozycje detaliczne traktuje się jako nabyte wierzytelności detaliczne,</w:t>
            </w:r>
            <w:r w:rsidR="00E26EF6" w:rsidRPr="00E26EF6">
              <w:rPr>
                <w:rFonts w:ascii="Times New Roman" w:hAnsi="Times New Roman"/>
                <w:sz w:val="24"/>
              </w:rPr>
              <w:t xml:space="preserve"> a eks</w:t>
            </w:r>
            <w:r w:rsidRPr="00E26EF6">
              <w:rPr>
                <w:rFonts w:ascii="Times New Roman" w:hAnsi="Times New Roman"/>
                <w:sz w:val="24"/>
              </w:rPr>
              <w:t>pozycje niedetaliczne jako nabyte wierzytelności korporacyjne.</w:t>
            </w:r>
          </w:p>
          <w:p w14:paraId="14469ABF" w14:textId="77777777" w:rsidR="00915077" w:rsidRPr="00E26EF6" w:rsidRDefault="00915077">
            <w:pPr>
              <w:spacing w:before="0" w:after="0"/>
              <w:jc w:val="left"/>
              <w:rPr>
                <w:rFonts w:ascii="Times New Roman" w:hAnsi="Times New Roman"/>
                <w:sz w:val="24"/>
                <w:highlight w:val="lightGray"/>
              </w:rPr>
            </w:pPr>
          </w:p>
        </w:tc>
      </w:tr>
      <w:tr w:rsidR="00915077" w:rsidRPr="00E26EF6" w14:paraId="7AB9FDBC" w14:textId="77777777" w:rsidTr="00E10B85">
        <w:tc>
          <w:tcPr>
            <w:tcW w:w="1568" w:type="dxa"/>
          </w:tcPr>
          <w:p w14:paraId="0DFBF2C3"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0280</w:t>
            </w:r>
          </w:p>
        </w:tc>
        <w:tc>
          <w:tcPr>
            <w:tcW w:w="7436" w:type="dxa"/>
          </w:tcPr>
          <w:p w14:paraId="159CCAEE"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SEC-SA</w:t>
            </w:r>
          </w:p>
          <w:p w14:paraId="3B21C6C1" w14:textId="77777777" w:rsidR="00915077" w:rsidRPr="00E26EF6" w:rsidRDefault="00915077">
            <w:pPr>
              <w:spacing w:before="0" w:after="0"/>
              <w:jc w:val="left"/>
              <w:rPr>
                <w:rFonts w:ascii="Times New Roman" w:hAnsi="Times New Roman"/>
                <w:b/>
                <w:sz w:val="24"/>
                <w:u w:val="single"/>
              </w:rPr>
            </w:pPr>
          </w:p>
          <w:p w14:paraId="19D2C018" w14:textId="4EAD19C6" w:rsidR="00915077" w:rsidRPr="00E26EF6" w:rsidRDefault="001E0C80">
            <w:pPr>
              <w:spacing w:before="0" w:after="0"/>
              <w:jc w:val="left"/>
              <w:rPr>
                <w:rFonts w:ascii="Times New Roman" w:hAnsi="Times New Roman"/>
                <w:b/>
                <w:sz w:val="24"/>
                <w:u w:val="single"/>
              </w:rPr>
            </w:pPr>
            <w:r w:rsidRPr="00E26EF6">
              <w:rPr>
                <w:rFonts w:ascii="Times New Roman" w:hAnsi="Times New Roman"/>
                <w:sz w:val="24"/>
              </w:rPr>
              <w:t>Art. 254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b) CRR</w:t>
            </w:r>
          </w:p>
          <w:p w14:paraId="4520145D" w14:textId="77777777" w:rsidR="00915077" w:rsidRPr="00E26EF6" w:rsidRDefault="00915077">
            <w:pPr>
              <w:spacing w:before="0" w:after="0"/>
              <w:jc w:val="left"/>
              <w:rPr>
                <w:rFonts w:ascii="Times New Roman" w:hAnsi="Times New Roman"/>
                <w:sz w:val="24"/>
                <w:highlight w:val="lightGray"/>
              </w:rPr>
            </w:pPr>
          </w:p>
        </w:tc>
      </w:tr>
      <w:tr w:rsidR="00915077" w:rsidRPr="00E26EF6" w14:paraId="7E678937" w14:textId="77777777" w:rsidTr="00E10B85">
        <w:tc>
          <w:tcPr>
            <w:tcW w:w="1568" w:type="dxa"/>
          </w:tcPr>
          <w:p w14:paraId="4C482037"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0290-0340</w:t>
            </w:r>
          </w:p>
        </w:tc>
        <w:tc>
          <w:tcPr>
            <w:tcW w:w="7436" w:type="dxa"/>
          </w:tcPr>
          <w:p w14:paraId="0608AED5"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PODZIAŁ WEDŁUG ZAKRESÓW WAG RYZYKA</w:t>
            </w:r>
          </w:p>
          <w:p w14:paraId="1627D47C" w14:textId="77777777" w:rsidR="00915077" w:rsidRPr="00E26EF6" w:rsidRDefault="00915077">
            <w:pPr>
              <w:spacing w:before="0" w:after="0"/>
              <w:jc w:val="left"/>
              <w:rPr>
                <w:rFonts w:ascii="Times New Roman" w:hAnsi="Times New Roman"/>
                <w:sz w:val="24"/>
              </w:rPr>
            </w:pPr>
          </w:p>
          <w:p w14:paraId="110F47E1" w14:textId="77777777" w:rsidR="00915077" w:rsidRPr="00E26EF6" w:rsidRDefault="00E026FB">
            <w:pPr>
              <w:spacing w:before="0" w:after="0"/>
              <w:jc w:val="left"/>
              <w:rPr>
                <w:rFonts w:ascii="Times New Roman" w:hAnsi="Times New Roman"/>
                <w:sz w:val="24"/>
              </w:rPr>
            </w:pPr>
            <w:r w:rsidRPr="00E26EF6">
              <w:rPr>
                <w:rFonts w:ascii="Times New Roman" w:hAnsi="Times New Roman"/>
                <w:sz w:val="24"/>
              </w:rPr>
              <w:t>Ekspozycje SEC-SA według przedziałów wag ryzyka.</w:t>
            </w:r>
          </w:p>
          <w:p w14:paraId="12454A5F" w14:textId="77777777" w:rsidR="00915077" w:rsidRPr="00E26EF6" w:rsidRDefault="00915077">
            <w:pPr>
              <w:spacing w:before="0" w:after="0"/>
              <w:jc w:val="left"/>
              <w:rPr>
                <w:rFonts w:ascii="Times New Roman" w:hAnsi="Times New Roman"/>
                <w:sz w:val="24"/>
                <w:u w:val="single"/>
              </w:rPr>
            </w:pPr>
          </w:p>
          <w:p w14:paraId="0742EADE" w14:textId="26112F0A" w:rsidR="00915077" w:rsidRPr="00E26EF6" w:rsidRDefault="00E026FB">
            <w:pPr>
              <w:spacing w:before="0" w:after="0"/>
              <w:jc w:val="left"/>
              <w:rPr>
                <w:rFonts w:ascii="Times New Roman" w:hAnsi="Times New Roman"/>
                <w:sz w:val="24"/>
              </w:rPr>
            </w:pPr>
            <w:r w:rsidRPr="00E26EF6">
              <w:rPr>
                <w:rFonts w:ascii="Times New Roman" w:hAnsi="Times New Roman"/>
                <w:sz w:val="24"/>
              </w:rPr>
              <w:t>Dla wagi ryzyka równej 1 250</w:t>
            </w:r>
            <w:r w:rsidR="00023409" w:rsidRPr="00E26EF6">
              <w:rPr>
                <w:rFonts w:ascii="Times New Roman" w:hAnsi="Times New Roman"/>
                <w:sz w:val="24"/>
              </w:rPr>
              <w:t> </w:t>
            </w:r>
            <w:r w:rsidRPr="00E26EF6">
              <w:rPr>
                <w:rFonts w:ascii="Times New Roman" w:hAnsi="Times New Roman"/>
                <w:sz w:val="24"/>
              </w:rPr>
              <w:t>% (waga nieznana),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261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akapit czwarty CRR określono, że pozycji objętej sekurytyzacją przypisuje się wagę ryzyka równą 1 250</w:t>
            </w:r>
            <w:r w:rsidR="00023409" w:rsidRPr="00E26EF6">
              <w:rPr>
                <w:rFonts w:ascii="Times New Roman" w:hAnsi="Times New Roman"/>
                <w:sz w:val="24"/>
              </w:rPr>
              <w:t> </w:t>
            </w:r>
            <w:r w:rsidRPr="00E26EF6">
              <w:rPr>
                <w:rFonts w:ascii="Times New Roman" w:hAnsi="Times New Roman"/>
                <w:sz w:val="24"/>
              </w:rPr>
              <w:t>%, jeżeli instytucja nie zna stanu zaległości kredytowych</w:t>
            </w:r>
            <w:r w:rsidR="00E26EF6" w:rsidRPr="00E26EF6">
              <w:rPr>
                <w:rFonts w:ascii="Times New Roman" w:hAnsi="Times New Roman"/>
                <w:sz w:val="24"/>
              </w:rPr>
              <w:t xml:space="preserve"> w odn</w:t>
            </w:r>
            <w:r w:rsidRPr="00E26EF6">
              <w:rPr>
                <w:rFonts w:ascii="Times New Roman" w:hAnsi="Times New Roman"/>
                <w:sz w:val="24"/>
              </w:rPr>
              <w:t>iesieniu do więcej niż 5</w:t>
            </w:r>
            <w:r w:rsidR="00023409" w:rsidRPr="00E26EF6">
              <w:rPr>
                <w:rFonts w:ascii="Times New Roman" w:hAnsi="Times New Roman"/>
                <w:sz w:val="24"/>
              </w:rPr>
              <w:t> </w:t>
            </w:r>
            <w:r w:rsidRPr="00E26EF6">
              <w:rPr>
                <w:rFonts w:ascii="Times New Roman" w:hAnsi="Times New Roman"/>
                <w:sz w:val="24"/>
              </w:rPr>
              <w:t>% ekspozycji bazowych</w:t>
            </w:r>
            <w:r w:rsidR="00E26EF6" w:rsidRPr="00E26EF6">
              <w:rPr>
                <w:rFonts w:ascii="Times New Roman" w:hAnsi="Times New Roman"/>
                <w:sz w:val="24"/>
              </w:rPr>
              <w:t xml:space="preserve"> w pul</w:t>
            </w:r>
            <w:r w:rsidRPr="00E26EF6">
              <w:rPr>
                <w:rFonts w:ascii="Times New Roman" w:hAnsi="Times New Roman"/>
                <w:sz w:val="24"/>
              </w:rPr>
              <w:t>i.</w:t>
            </w:r>
          </w:p>
          <w:p w14:paraId="2D38FDA6" w14:textId="77777777" w:rsidR="00915077" w:rsidRPr="00E26EF6" w:rsidRDefault="00915077">
            <w:pPr>
              <w:spacing w:before="0" w:after="0"/>
              <w:jc w:val="left"/>
              <w:rPr>
                <w:rFonts w:ascii="Times New Roman" w:hAnsi="Times New Roman"/>
                <w:sz w:val="24"/>
                <w:highlight w:val="lightGray"/>
                <w:u w:val="single"/>
              </w:rPr>
            </w:pPr>
          </w:p>
        </w:tc>
      </w:tr>
      <w:tr w:rsidR="00915077" w:rsidRPr="00E26EF6" w14:paraId="793A2558" w14:textId="77777777" w:rsidTr="00E10B85">
        <w:tc>
          <w:tcPr>
            <w:tcW w:w="1568" w:type="dxa"/>
          </w:tcPr>
          <w:p w14:paraId="650800DC" w14:textId="77777777" w:rsidR="00915077" w:rsidRPr="00E26EF6" w:rsidDel="002122FF"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0350</w:t>
            </w:r>
          </w:p>
        </w:tc>
        <w:tc>
          <w:tcPr>
            <w:tcW w:w="7436" w:type="dxa"/>
          </w:tcPr>
          <w:p w14:paraId="7F15D7C0" w14:textId="77777777"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SEC-ERBA</w:t>
            </w:r>
          </w:p>
          <w:p w14:paraId="0402ED2B" w14:textId="77777777" w:rsidR="00915077" w:rsidRPr="00E26EF6" w:rsidRDefault="00915077">
            <w:pPr>
              <w:spacing w:before="0" w:after="0"/>
              <w:rPr>
                <w:rFonts w:ascii="Times New Roman" w:hAnsi="Times New Roman"/>
                <w:sz w:val="24"/>
              </w:rPr>
            </w:pPr>
          </w:p>
          <w:p w14:paraId="7F514D61" w14:textId="1CF4B474" w:rsidR="00915077" w:rsidRPr="00E26EF6" w:rsidRDefault="001E0C80">
            <w:pPr>
              <w:spacing w:before="0" w:after="0"/>
              <w:jc w:val="left"/>
              <w:rPr>
                <w:rFonts w:ascii="Times New Roman" w:hAnsi="Times New Roman"/>
                <w:sz w:val="24"/>
              </w:rPr>
            </w:pPr>
            <w:r w:rsidRPr="00E26EF6">
              <w:rPr>
                <w:rFonts w:ascii="Times New Roman" w:hAnsi="Times New Roman"/>
                <w:sz w:val="24"/>
              </w:rPr>
              <w:t>Art. 254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 xml:space="preserve">c) CRR </w:t>
            </w:r>
          </w:p>
          <w:p w14:paraId="6D127C5E" w14:textId="77777777" w:rsidR="00915077" w:rsidRPr="00E26EF6" w:rsidRDefault="00915077">
            <w:pPr>
              <w:spacing w:before="0" w:after="0"/>
              <w:rPr>
                <w:rFonts w:ascii="Times New Roman" w:hAnsi="Times New Roman"/>
                <w:b/>
                <w:sz w:val="24"/>
                <w:highlight w:val="lightGray"/>
                <w:u w:val="single"/>
              </w:rPr>
            </w:pPr>
          </w:p>
        </w:tc>
      </w:tr>
      <w:tr w:rsidR="00915077" w:rsidRPr="00E26EF6" w14:paraId="5BC56A45" w14:textId="77777777" w:rsidTr="00E10B85">
        <w:tc>
          <w:tcPr>
            <w:tcW w:w="1568" w:type="dxa"/>
          </w:tcPr>
          <w:p w14:paraId="46B7A345"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0360-0570</w:t>
            </w:r>
          </w:p>
        </w:tc>
        <w:tc>
          <w:tcPr>
            <w:tcW w:w="7436" w:type="dxa"/>
          </w:tcPr>
          <w:p w14:paraId="0DFF631D" w14:textId="77777777"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PODZIAŁ WEDŁUG STOPNI JAKOŚCI KREDYTOWEJ (STOPNIE JAKOŚCI KREDYTÓW KRÓTKO- I DŁUGOTERMINOWYCH)</w:t>
            </w:r>
          </w:p>
          <w:p w14:paraId="198A093C" w14:textId="77777777" w:rsidR="00915077" w:rsidRPr="00E26EF6" w:rsidRDefault="00915077">
            <w:pPr>
              <w:spacing w:before="0" w:after="0"/>
              <w:rPr>
                <w:rFonts w:ascii="Times New Roman" w:hAnsi="Times New Roman"/>
                <w:sz w:val="24"/>
              </w:rPr>
            </w:pPr>
          </w:p>
          <w:p w14:paraId="5F90F107" w14:textId="6FF8522B" w:rsidR="00915077" w:rsidRPr="00E26EF6" w:rsidRDefault="00E026FB">
            <w:pPr>
              <w:spacing w:before="0" w:after="0"/>
              <w:rPr>
                <w:rFonts w:ascii="Times New Roman" w:hAnsi="Times New Roman"/>
                <w:sz w:val="24"/>
              </w:rPr>
            </w:pPr>
            <w:r w:rsidRPr="00E26EF6">
              <w:rPr>
                <w:rFonts w:ascii="Times New Roman" w:hAnsi="Times New Roman"/>
                <w:sz w:val="24"/>
              </w:rPr>
              <w:t>Art. 263 CRR</w:t>
            </w:r>
          </w:p>
          <w:p w14:paraId="567B7627" w14:textId="77777777" w:rsidR="00915077" w:rsidRPr="00E26EF6" w:rsidRDefault="00915077">
            <w:pPr>
              <w:spacing w:before="0" w:after="0"/>
              <w:rPr>
                <w:rFonts w:ascii="Times New Roman" w:hAnsi="Times New Roman"/>
                <w:sz w:val="24"/>
              </w:rPr>
            </w:pPr>
          </w:p>
          <w:p w14:paraId="5970A37D" w14:textId="23AACCDC" w:rsidR="00915077" w:rsidRPr="00E26EF6" w:rsidRDefault="00E026FB">
            <w:pPr>
              <w:spacing w:before="0" w:after="0"/>
              <w:rPr>
                <w:rFonts w:ascii="Times New Roman" w:hAnsi="Times New Roman"/>
                <w:sz w:val="24"/>
              </w:rPr>
            </w:pPr>
            <w:r w:rsidRPr="00E26EF6">
              <w:rPr>
                <w:rFonts w:ascii="Times New Roman" w:hAnsi="Times New Roman"/>
                <w:sz w:val="24"/>
              </w:rPr>
              <w:t>Pozycje sekurytyzacyjne według metody SEC-ERBA</w:t>
            </w:r>
            <w:r w:rsidR="00E26EF6" w:rsidRPr="00E26EF6">
              <w:rPr>
                <w:rFonts w:ascii="Times New Roman" w:hAnsi="Times New Roman"/>
                <w:sz w:val="24"/>
              </w:rPr>
              <w:t xml:space="preserve"> z rat</w:t>
            </w:r>
            <w:r w:rsidRPr="00E26EF6">
              <w:rPr>
                <w:rFonts w:ascii="Times New Roman" w:hAnsi="Times New Roman"/>
                <w:sz w:val="24"/>
              </w:rPr>
              <w:t>ingiem implikowanym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254 ust.</w:t>
            </w:r>
            <w:r w:rsidR="00023409" w:rsidRPr="00E26EF6">
              <w:rPr>
                <w:rFonts w:ascii="Times New Roman" w:hAnsi="Times New Roman"/>
                <w:sz w:val="24"/>
              </w:rPr>
              <w:t> </w:t>
            </w:r>
            <w:r w:rsidRPr="00E26EF6">
              <w:rPr>
                <w:rFonts w:ascii="Times New Roman" w:hAnsi="Times New Roman"/>
                <w:sz w:val="24"/>
              </w:rPr>
              <w:t>2 CRR zgłasza się jako pozycje</w:t>
            </w:r>
            <w:r w:rsidR="00E26EF6" w:rsidRPr="00E26EF6">
              <w:rPr>
                <w:rFonts w:ascii="Times New Roman" w:hAnsi="Times New Roman"/>
                <w:sz w:val="24"/>
              </w:rPr>
              <w:t xml:space="preserve"> z rat</w:t>
            </w:r>
            <w:r w:rsidRPr="00E26EF6">
              <w:rPr>
                <w:rFonts w:ascii="Times New Roman" w:hAnsi="Times New Roman"/>
                <w:sz w:val="24"/>
              </w:rPr>
              <w:t>ingiem.</w:t>
            </w:r>
          </w:p>
          <w:p w14:paraId="513CCCC6" w14:textId="77777777" w:rsidR="00915077" w:rsidRPr="00E26EF6" w:rsidRDefault="00915077">
            <w:pPr>
              <w:spacing w:before="0" w:after="0"/>
              <w:rPr>
                <w:rFonts w:ascii="Times New Roman" w:hAnsi="Times New Roman"/>
                <w:sz w:val="24"/>
              </w:rPr>
            </w:pPr>
          </w:p>
          <w:p w14:paraId="2488A405" w14:textId="33108387"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Wartości ekspozycji podlegające wagom ryzyka dzieli się według krótko-</w:t>
            </w:r>
            <w:r w:rsidR="00E26EF6" w:rsidRPr="00E26EF6">
              <w:rPr>
                <w:rFonts w:ascii="Times New Roman" w:hAnsi="Times New Roman"/>
                <w:sz w:val="24"/>
              </w:rPr>
              <w:t xml:space="preserve"> i dłu</w:t>
            </w:r>
            <w:r w:rsidRPr="00E26EF6">
              <w:rPr>
                <w:rFonts w:ascii="Times New Roman" w:hAnsi="Times New Roman"/>
                <w:sz w:val="24"/>
              </w:rPr>
              <w:t>goterminowych kredytów</w:t>
            </w:r>
            <w:r w:rsidR="00E26EF6" w:rsidRPr="00E26EF6">
              <w:rPr>
                <w:rFonts w:ascii="Times New Roman" w:hAnsi="Times New Roman"/>
                <w:sz w:val="24"/>
              </w:rPr>
              <w:t xml:space="preserve"> i sto</w:t>
            </w:r>
            <w:r w:rsidRPr="00E26EF6">
              <w:rPr>
                <w:rFonts w:ascii="Times New Roman" w:hAnsi="Times New Roman"/>
                <w:sz w:val="24"/>
              </w:rPr>
              <w:t>pni jakości kredytowej jak określono</w:t>
            </w:r>
            <w:r w:rsidR="00E26EF6" w:rsidRPr="00E26EF6">
              <w:rPr>
                <w:rFonts w:ascii="Times New Roman" w:hAnsi="Times New Roman"/>
                <w:sz w:val="24"/>
              </w:rPr>
              <w:t xml:space="preserve"> w tab</w:t>
            </w:r>
            <w:r w:rsidRPr="00E26EF6">
              <w:rPr>
                <w:rFonts w:ascii="Times New Roman" w:hAnsi="Times New Roman"/>
                <w:sz w:val="24"/>
              </w:rPr>
              <w:t>eli 1</w:t>
            </w:r>
            <w:r w:rsidR="00E26EF6" w:rsidRPr="00E26EF6">
              <w:rPr>
                <w:rFonts w:ascii="Times New Roman" w:hAnsi="Times New Roman"/>
                <w:sz w:val="24"/>
              </w:rPr>
              <w:t xml:space="preserve"> i 2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263 oraz</w:t>
            </w:r>
            <w:r w:rsidR="00E26EF6" w:rsidRPr="00E26EF6">
              <w:rPr>
                <w:rFonts w:ascii="Times New Roman" w:hAnsi="Times New Roman"/>
                <w:sz w:val="24"/>
              </w:rPr>
              <w:t xml:space="preserve"> w tab</w:t>
            </w:r>
            <w:r w:rsidRPr="00E26EF6">
              <w:rPr>
                <w:rFonts w:ascii="Times New Roman" w:hAnsi="Times New Roman"/>
                <w:sz w:val="24"/>
              </w:rPr>
              <w:t>elach 3</w:t>
            </w:r>
            <w:r w:rsidR="00E26EF6" w:rsidRPr="00E26EF6">
              <w:rPr>
                <w:rFonts w:ascii="Times New Roman" w:hAnsi="Times New Roman"/>
                <w:sz w:val="24"/>
              </w:rPr>
              <w:t xml:space="preserve"> i 4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264 CRR. </w:t>
            </w:r>
          </w:p>
          <w:p w14:paraId="2909105C" w14:textId="77777777" w:rsidR="00915077" w:rsidRPr="00E26EF6" w:rsidRDefault="00915077">
            <w:pPr>
              <w:pStyle w:val="Heading1"/>
              <w:rPr>
                <w:rFonts w:ascii="Times New Roman" w:eastAsia="Times New Roman" w:hAnsi="Times New Roman"/>
                <w:sz w:val="24"/>
                <w:szCs w:val="24"/>
                <w:highlight w:val="lightGray"/>
              </w:rPr>
            </w:pPr>
          </w:p>
        </w:tc>
      </w:tr>
      <w:tr w:rsidR="00915077" w:rsidRPr="00E26EF6" w14:paraId="23D98720" w14:textId="77777777" w:rsidTr="00E10B85">
        <w:tc>
          <w:tcPr>
            <w:tcW w:w="1568" w:type="dxa"/>
          </w:tcPr>
          <w:p w14:paraId="3F8AB288"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0580-0630</w:t>
            </w:r>
          </w:p>
        </w:tc>
        <w:tc>
          <w:tcPr>
            <w:tcW w:w="7436" w:type="dxa"/>
          </w:tcPr>
          <w:p w14:paraId="46EFE09A" w14:textId="77777777"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PODZIAŁ WEDŁUG POWODÓW ZASTOSOWANIA METODY SEC-ERBA</w:t>
            </w:r>
          </w:p>
          <w:p w14:paraId="7B883B93" w14:textId="77777777" w:rsidR="00915077" w:rsidRPr="00E26EF6" w:rsidRDefault="00915077">
            <w:pPr>
              <w:spacing w:before="0" w:after="0"/>
              <w:rPr>
                <w:rFonts w:ascii="Times New Roman" w:hAnsi="Times New Roman"/>
                <w:b/>
                <w:sz w:val="24"/>
                <w:u w:val="single"/>
              </w:rPr>
            </w:pPr>
          </w:p>
          <w:p w14:paraId="3462691E" w14:textId="05D36FCA" w:rsidR="00915077" w:rsidRPr="00E26EF6" w:rsidRDefault="00E026FB">
            <w:pPr>
              <w:spacing w:before="0" w:after="0"/>
              <w:rPr>
                <w:rFonts w:ascii="Times New Roman" w:hAnsi="Times New Roman"/>
                <w:sz w:val="24"/>
              </w:rPr>
            </w:pPr>
            <w:r w:rsidRPr="00E26EF6">
              <w:rPr>
                <w:rFonts w:ascii="Times New Roman" w:hAnsi="Times New Roman"/>
                <w:sz w:val="24"/>
              </w:rPr>
              <w:t>Dla każdej pozycji sekurytyzacyjnej instytucje uwzględniają</w:t>
            </w:r>
            <w:r w:rsidR="00E26EF6" w:rsidRPr="00E26EF6">
              <w:rPr>
                <w:rFonts w:ascii="Times New Roman" w:hAnsi="Times New Roman"/>
                <w:sz w:val="24"/>
              </w:rPr>
              <w:t xml:space="preserve"> w kol</w:t>
            </w:r>
            <w:r w:rsidRPr="00E26EF6">
              <w:rPr>
                <w:rFonts w:ascii="Times New Roman" w:hAnsi="Times New Roman"/>
                <w:sz w:val="24"/>
              </w:rPr>
              <w:t>umnach 0580–0620 jedną</w:t>
            </w:r>
            <w:r w:rsidR="00E26EF6" w:rsidRPr="00E26EF6">
              <w:rPr>
                <w:rFonts w:ascii="Times New Roman" w:hAnsi="Times New Roman"/>
                <w:sz w:val="24"/>
              </w:rPr>
              <w:t xml:space="preserve"> z nas</w:t>
            </w:r>
            <w:r w:rsidRPr="00E26EF6">
              <w:rPr>
                <w:rFonts w:ascii="Times New Roman" w:hAnsi="Times New Roman"/>
                <w:sz w:val="24"/>
              </w:rPr>
              <w:t>tępujących opcji.</w:t>
            </w:r>
          </w:p>
          <w:p w14:paraId="3E678156" w14:textId="77777777" w:rsidR="00915077" w:rsidRPr="00E26EF6" w:rsidRDefault="00915077">
            <w:pPr>
              <w:spacing w:before="0" w:after="0"/>
              <w:rPr>
                <w:rFonts w:ascii="Times New Roman" w:hAnsi="Times New Roman"/>
                <w:sz w:val="24"/>
                <w:highlight w:val="lightGray"/>
                <w:u w:val="single"/>
              </w:rPr>
            </w:pPr>
          </w:p>
        </w:tc>
      </w:tr>
      <w:tr w:rsidR="00915077" w:rsidRPr="00E26EF6" w14:paraId="1C6448C8" w14:textId="77777777" w:rsidTr="00E10B85">
        <w:tc>
          <w:tcPr>
            <w:tcW w:w="1568" w:type="dxa"/>
          </w:tcPr>
          <w:p w14:paraId="6B21AA05"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0580</w:t>
            </w:r>
          </w:p>
        </w:tc>
        <w:tc>
          <w:tcPr>
            <w:tcW w:w="7436" w:type="dxa"/>
          </w:tcPr>
          <w:p w14:paraId="05846207" w14:textId="4426403D"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KREDYTY SAMOCHODOWE,</w:t>
            </w:r>
            <w:r w:rsidR="00023409" w:rsidRPr="00E26EF6">
              <w:rPr>
                <w:rFonts w:ascii="Times New Roman" w:hAnsi="Times New Roman"/>
                <w:b/>
                <w:sz w:val="24"/>
                <w:u w:val="single"/>
              </w:rPr>
              <w:t xml:space="preserve"> </w:t>
            </w:r>
            <w:r w:rsidRPr="00E26EF6">
              <w:rPr>
                <w:rFonts w:ascii="Times New Roman" w:hAnsi="Times New Roman"/>
                <w:b/>
                <w:sz w:val="24"/>
                <w:u w:val="single"/>
              </w:rPr>
              <w:t>LEASING SAMOCHODOWY I LEASING URZĄDZEŃ</w:t>
            </w:r>
          </w:p>
          <w:p w14:paraId="42B162B6" w14:textId="77777777" w:rsidR="00915077" w:rsidRPr="00E26EF6" w:rsidRDefault="00915077">
            <w:pPr>
              <w:spacing w:before="0" w:after="0"/>
              <w:rPr>
                <w:rFonts w:ascii="Times New Roman" w:hAnsi="Times New Roman"/>
                <w:b/>
                <w:sz w:val="24"/>
                <w:u w:val="single"/>
              </w:rPr>
            </w:pPr>
          </w:p>
          <w:p w14:paraId="2A24B47D" w14:textId="691CD4B7" w:rsidR="00915077" w:rsidRPr="00E26EF6" w:rsidRDefault="001E0C80">
            <w:pPr>
              <w:spacing w:before="0" w:after="0"/>
              <w:rPr>
                <w:rFonts w:ascii="Times New Roman" w:hAnsi="Times New Roman"/>
                <w:sz w:val="24"/>
              </w:rPr>
            </w:pPr>
            <w:r w:rsidRPr="00E26EF6">
              <w:rPr>
                <w:rFonts w:ascii="Times New Roman" w:hAnsi="Times New Roman"/>
                <w:sz w:val="24"/>
              </w:rPr>
              <w:t>Art. 254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 xml:space="preserve">c) CRR </w:t>
            </w:r>
          </w:p>
          <w:p w14:paraId="5D2CE71D" w14:textId="77777777" w:rsidR="00915077" w:rsidRPr="00E26EF6" w:rsidRDefault="00915077">
            <w:pPr>
              <w:spacing w:before="0" w:after="0"/>
              <w:rPr>
                <w:rFonts w:ascii="Times New Roman" w:hAnsi="Times New Roman"/>
                <w:sz w:val="24"/>
              </w:rPr>
            </w:pPr>
          </w:p>
          <w:p w14:paraId="2A586696" w14:textId="63853636" w:rsidR="00915077" w:rsidRPr="00E26EF6" w:rsidRDefault="00FC5515">
            <w:pPr>
              <w:spacing w:before="0" w:after="0"/>
              <w:rPr>
                <w:rFonts w:ascii="Times New Roman" w:hAnsi="Times New Roman"/>
                <w:b/>
                <w:sz w:val="24"/>
                <w:highlight w:val="lightGray"/>
                <w:u w:val="single"/>
              </w:rPr>
            </w:pPr>
            <w:r w:rsidRPr="00E26EF6">
              <w:rPr>
                <w:rFonts w:ascii="Times New Roman" w:hAnsi="Times New Roman"/>
                <w:sz w:val="24"/>
              </w:rPr>
              <w:t>Wszystkie kredyty na zakup samochodów oraz umowy leasingu samochodów</w:t>
            </w:r>
            <w:r w:rsidR="00E26EF6" w:rsidRPr="00E26EF6">
              <w:rPr>
                <w:rFonts w:ascii="Times New Roman" w:hAnsi="Times New Roman"/>
                <w:sz w:val="24"/>
              </w:rPr>
              <w:t xml:space="preserve"> i spr</w:t>
            </w:r>
            <w:r w:rsidRPr="00E26EF6">
              <w:rPr>
                <w:rFonts w:ascii="Times New Roman" w:hAnsi="Times New Roman"/>
                <w:sz w:val="24"/>
              </w:rPr>
              <w:t>zętu zgłasza się</w:t>
            </w:r>
            <w:r w:rsidR="00E26EF6" w:rsidRPr="00E26EF6">
              <w:rPr>
                <w:rFonts w:ascii="Times New Roman" w:hAnsi="Times New Roman"/>
                <w:sz w:val="24"/>
              </w:rPr>
              <w:t xml:space="preserve"> w tej</w:t>
            </w:r>
            <w:r w:rsidRPr="00E26EF6">
              <w:rPr>
                <w:rFonts w:ascii="Times New Roman" w:hAnsi="Times New Roman"/>
                <w:sz w:val="24"/>
              </w:rPr>
              <w:t xml:space="preserve"> kolumnie, nawet jeśli kwalifikują się do art.</w:t>
            </w:r>
            <w:r w:rsidR="00023409" w:rsidRPr="00E26EF6">
              <w:rPr>
                <w:rFonts w:ascii="Times New Roman" w:hAnsi="Times New Roman"/>
                <w:sz w:val="24"/>
              </w:rPr>
              <w:t> </w:t>
            </w:r>
            <w:r w:rsidRPr="00E26EF6">
              <w:rPr>
                <w:rFonts w:ascii="Times New Roman" w:hAnsi="Times New Roman"/>
                <w:sz w:val="24"/>
              </w:rPr>
              <w:t>254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lub b) CRR.</w:t>
            </w:r>
          </w:p>
        </w:tc>
      </w:tr>
      <w:tr w:rsidR="00915077" w:rsidRPr="00E26EF6" w14:paraId="61107D9E" w14:textId="77777777" w:rsidTr="00E10B85">
        <w:tc>
          <w:tcPr>
            <w:tcW w:w="1568" w:type="dxa"/>
          </w:tcPr>
          <w:p w14:paraId="4E48F4A6"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0590</w:t>
            </w:r>
          </w:p>
        </w:tc>
        <w:tc>
          <w:tcPr>
            <w:tcW w:w="7436" w:type="dxa"/>
          </w:tcPr>
          <w:p w14:paraId="5FDE75E5" w14:textId="77777777"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WARIANT SEC-ERBA</w:t>
            </w:r>
          </w:p>
          <w:p w14:paraId="745DBA1D" w14:textId="77777777" w:rsidR="00915077" w:rsidRPr="00E26EF6" w:rsidRDefault="00915077">
            <w:pPr>
              <w:spacing w:before="0" w:after="0"/>
              <w:rPr>
                <w:rFonts w:ascii="Times New Roman" w:hAnsi="Times New Roman"/>
                <w:b/>
                <w:sz w:val="24"/>
                <w:u w:val="single"/>
              </w:rPr>
            </w:pPr>
          </w:p>
          <w:p w14:paraId="4AB9E844" w14:textId="0224B0AE" w:rsidR="00915077" w:rsidRPr="00E26EF6" w:rsidRDefault="00E026FB">
            <w:pPr>
              <w:spacing w:before="0" w:after="0"/>
              <w:rPr>
                <w:rFonts w:ascii="Times New Roman" w:hAnsi="Times New Roman"/>
                <w:sz w:val="24"/>
              </w:rPr>
            </w:pPr>
            <w:r w:rsidRPr="00E26EF6">
              <w:rPr>
                <w:rFonts w:ascii="Times New Roman" w:hAnsi="Times New Roman"/>
                <w:sz w:val="24"/>
              </w:rPr>
              <w:t>Art. 254 ust. 3 CRR</w:t>
            </w:r>
          </w:p>
          <w:p w14:paraId="59104AC0" w14:textId="77777777" w:rsidR="00915077" w:rsidRPr="00E26EF6" w:rsidRDefault="00915077">
            <w:pPr>
              <w:spacing w:before="0" w:after="0"/>
              <w:rPr>
                <w:rFonts w:ascii="Times New Roman" w:hAnsi="Times New Roman"/>
                <w:b/>
                <w:sz w:val="24"/>
                <w:highlight w:val="lightGray"/>
                <w:u w:val="single"/>
              </w:rPr>
            </w:pPr>
          </w:p>
        </w:tc>
      </w:tr>
      <w:tr w:rsidR="00915077" w:rsidRPr="00E26EF6" w14:paraId="3BE197CE" w14:textId="77777777" w:rsidTr="00E10B85">
        <w:tc>
          <w:tcPr>
            <w:tcW w:w="1568" w:type="dxa"/>
          </w:tcPr>
          <w:p w14:paraId="50AFF662"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0600</w:t>
            </w:r>
          </w:p>
        </w:tc>
        <w:tc>
          <w:tcPr>
            <w:tcW w:w="7436" w:type="dxa"/>
          </w:tcPr>
          <w:p w14:paraId="098BDB3B" w14:textId="60FD329F" w:rsidR="00915077" w:rsidRPr="00E26EF6" w:rsidRDefault="00E026FB">
            <w:pPr>
              <w:spacing w:before="0" w:after="0"/>
              <w:rPr>
                <w:rFonts w:ascii="Times New Roman" w:hAnsi="Times New Roman"/>
                <w:b/>
                <w:bCs/>
                <w:sz w:val="24"/>
                <w:u w:val="single"/>
              </w:rPr>
            </w:pPr>
            <w:r w:rsidRPr="00E26EF6">
              <w:rPr>
                <w:rFonts w:ascii="Times New Roman" w:hAnsi="Times New Roman"/>
                <w:b/>
                <w:bCs/>
                <w:sz w:val="24"/>
                <w:u w:val="single"/>
              </w:rPr>
              <w:t>POZYCJE PODLEGAJĄCE PRZEPISOM ART. 254 UST. 2 LIT. a) CRR</w:t>
            </w:r>
          </w:p>
          <w:p w14:paraId="556620CD" w14:textId="77777777" w:rsidR="00915077" w:rsidRPr="00E26EF6" w:rsidRDefault="00915077">
            <w:pPr>
              <w:spacing w:before="0" w:after="0"/>
              <w:rPr>
                <w:rFonts w:ascii="Times New Roman" w:hAnsi="Times New Roman"/>
                <w:b/>
                <w:bCs/>
                <w:sz w:val="24"/>
                <w:u w:val="single"/>
              </w:rPr>
            </w:pPr>
          </w:p>
          <w:p w14:paraId="4A05456B" w14:textId="21792B61" w:rsidR="00915077" w:rsidRPr="00E26EF6" w:rsidRDefault="001E0C80">
            <w:pPr>
              <w:spacing w:before="0" w:after="0"/>
              <w:rPr>
                <w:rFonts w:ascii="Times New Roman" w:hAnsi="Times New Roman"/>
                <w:sz w:val="24"/>
              </w:rPr>
            </w:pPr>
            <w:r w:rsidRPr="00E26EF6">
              <w:rPr>
                <w:rFonts w:ascii="Times New Roman" w:hAnsi="Times New Roman"/>
                <w:sz w:val="24"/>
              </w:rPr>
              <w:t>Art. 254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CRR</w:t>
            </w:r>
          </w:p>
          <w:p w14:paraId="4744F7C2" w14:textId="77777777" w:rsidR="00915077" w:rsidRPr="00E26EF6" w:rsidRDefault="00915077">
            <w:pPr>
              <w:spacing w:before="0" w:after="0"/>
              <w:rPr>
                <w:rFonts w:ascii="Times New Roman" w:hAnsi="Times New Roman"/>
                <w:sz w:val="24"/>
                <w:highlight w:val="lightGray"/>
              </w:rPr>
            </w:pPr>
          </w:p>
        </w:tc>
      </w:tr>
      <w:tr w:rsidR="00915077" w:rsidRPr="00E26EF6" w14:paraId="501BCF2F" w14:textId="77777777" w:rsidTr="00E10B85">
        <w:tc>
          <w:tcPr>
            <w:tcW w:w="1568" w:type="dxa"/>
          </w:tcPr>
          <w:p w14:paraId="58899ADE"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0610</w:t>
            </w:r>
          </w:p>
        </w:tc>
        <w:tc>
          <w:tcPr>
            <w:tcW w:w="7436" w:type="dxa"/>
          </w:tcPr>
          <w:p w14:paraId="3207191B" w14:textId="113C2A39"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 xml:space="preserve">POZYCJE PODLEGAJĄCE PRZEPISOM ART. 254 UST. 2 LIT. b) CRR </w:t>
            </w:r>
          </w:p>
          <w:p w14:paraId="555AEE35" w14:textId="77777777" w:rsidR="00915077" w:rsidRPr="00E26EF6" w:rsidRDefault="00915077">
            <w:pPr>
              <w:spacing w:before="0" w:after="0"/>
              <w:rPr>
                <w:rFonts w:ascii="Times New Roman" w:hAnsi="Times New Roman"/>
                <w:b/>
                <w:sz w:val="24"/>
                <w:u w:val="single"/>
              </w:rPr>
            </w:pPr>
          </w:p>
          <w:p w14:paraId="1C715972" w14:textId="400B8E65" w:rsidR="00915077" w:rsidRPr="00E26EF6" w:rsidRDefault="001E0C80">
            <w:pPr>
              <w:spacing w:before="0" w:after="0"/>
              <w:rPr>
                <w:rFonts w:ascii="Times New Roman" w:hAnsi="Times New Roman"/>
                <w:sz w:val="24"/>
              </w:rPr>
            </w:pPr>
            <w:r w:rsidRPr="00E26EF6">
              <w:rPr>
                <w:rFonts w:ascii="Times New Roman" w:hAnsi="Times New Roman"/>
                <w:sz w:val="24"/>
              </w:rPr>
              <w:t>Art. 254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CRR</w:t>
            </w:r>
          </w:p>
          <w:p w14:paraId="43813D5C" w14:textId="77777777" w:rsidR="00915077" w:rsidRPr="00E26EF6" w:rsidRDefault="00915077">
            <w:pPr>
              <w:spacing w:before="0" w:after="0"/>
              <w:rPr>
                <w:rFonts w:ascii="Times New Roman" w:hAnsi="Times New Roman"/>
                <w:b/>
                <w:sz w:val="24"/>
                <w:highlight w:val="lightGray"/>
                <w:u w:val="single"/>
              </w:rPr>
            </w:pPr>
          </w:p>
        </w:tc>
      </w:tr>
      <w:tr w:rsidR="00915077" w:rsidRPr="00E26EF6" w14:paraId="5778B0D0" w14:textId="77777777" w:rsidTr="00E10B85">
        <w:tc>
          <w:tcPr>
            <w:tcW w:w="1568" w:type="dxa"/>
          </w:tcPr>
          <w:p w14:paraId="55E812F8"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0620</w:t>
            </w:r>
          </w:p>
        </w:tc>
        <w:tc>
          <w:tcPr>
            <w:tcW w:w="7436" w:type="dxa"/>
          </w:tcPr>
          <w:p w14:paraId="432C8637" w14:textId="338BC9D0" w:rsidR="00915077" w:rsidRPr="00E26EF6" w:rsidRDefault="00E026FB">
            <w:pPr>
              <w:spacing w:before="0" w:after="0"/>
              <w:rPr>
                <w:rFonts w:ascii="Times New Roman" w:hAnsi="Times New Roman"/>
                <w:b/>
                <w:bCs/>
                <w:sz w:val="24"/>
                <w:u w:val="single"/>
              </w:rPr>
            </w:pPr>
            <w:r w:rsidRPr="00E26EF6">
              <w:rPr>
                <w:rFonts w:ascii="Times New Roman" w:hAnsi="Times New Roman"/>
                <w:b/>
                <w:bCs/>
                <w:sz w:val="24"/>
                <w:u w:val="single"/>
              </w:rPr>
              <w:t>POZYCJE PODLEGAJĄCE PRZEPISOM ART. 254 UST. 4 LUB ART. 258 UST. 2 CRR</w:t>
            </w:r>
          </w:p>
          <w:p w14:paraId="1E25C8D2" w14:textId="22017101" w:rsidR="00915077" w:rsidRPr="00E26EF6" w:rsidRDefault="00915077">
            <w:pPr>
              <w:spacing w:before="0" w:after="0"/>
              <w:rPr>
                <w:rFonts w:ascii="Times New Roman" w:hAnsi="Times New Roman"/>
                <w:sz w:val="24"/>
              </w:rPr>
            </w:pPr>
          </w:p>
          <w:p w14:paraId="2A95D5CA" w14:textId="00BC7B90" w:rsidR="00915077" w:rsidRPr="00E26EF6" w:rsidRDefault="00E026FB">
            <w:pPr>
              <w:spacing w:before="0" w:after="0"/>
              <w:rPr>
                <w:rFonts w:ascii="Times New Roman" w:hAnsi="Times New Roman"/>
                <w:sz w:val="24"/>
              </w:rPr>
            </w:pPr>
            <w:r w:rsidRPr="00E26EF6">
              <w:rPr>
                <w:rFonts w:ascii="Times New Roman" w:hAnsi="Times New Roman"/>
                <w:sz w:val="24"/>
              </w:rPr>
              <w:t>Pozycje sekurytyzacyjne traktowane według metody SEC-ERBA, jeżeli właściwe organy uniemożliwiły stosowanie metody SEC-IRBA lub SEC-SA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254 ust.</w:t>
            </w:r>
            <w:r w:rsidR="00023409" w:rsidRPr="00E26EF6">
              <w:rPr>
                <w:rFonts w:ascii="Times New Roman" w:hAnsi="Times New Roman"/>
                <w:sz w:val="24"/>
              </w:rPr>
              <w:t> </w:t>
            </w:r>
            <w:r w:rsidRPr="00E26EF6">
              <w:rPr>
                <w:rFonts w:ascii="Times New Roman" w:hAnsi="Times New Roman"/>
                <w:sz w:val="24"/>
              </w:rPr>
              <w:t>4</w:t>
            </w:r>
            <w:r w:rsidR="00E26EF6" w:rsidRPr="00E26EF6">
              <w:rPr>
                <w:rFonts w:ascii="Times New Roman" w:hAnsi="Times New Roman"/>
                <w:sz w:val="24"/>
              </w:rPr>
              <w:t xml:space="preserve"> i 2</w:t>
            </w:r>
            <w:r w:rsidRPr="00E26EF6">
              <w:rPr>
                <w:rFonts w:ascii="Times New Roman" w:hAnsi="Times New Roman"/>
                <w:sz w:val="24"/>
              </w:rPr>
              <w:t>58 ust.</w:t>
            </w:r>
            <w:r w:rsidR="00023409" w:rsidRPr="00E26EF6">
              <w:rPr>
                <w:rFonts w:ascii="Times New Roman" w:hAnsi="Times New Roman"/>
                <w:sz w:val="24"/>
              </w:rPr>
              <w:t> </w:t>
            </w:r>
            <w:r w:rsidRPr="00E26EF6">
              <w:rPr>
                <w:rFonts w:ascii="Times New Roman" w:hAnsi="Times New Roman"/>
                <w:sz w:val="24"/>
              </w:rPr>
              <w:t>2 CRR.</w:t>
            </w:r>
          </w:p>
          <w:p w14:paraId="51377462" w14:textId="77777777" w:rsidR="00915077" w:rsidRPr="00E26EF6" w:rsidRDefault="00915077">
            <w:pPr>
              <w:spacing w:before="0" w:after="0"/>
              <w:rPr>
                <w:rFonts w:ascii="Times New Roman" w:hAnsi="Times New Roman"/>
                <w:b/>
                <w:sz w:val="24"/>
                <w:highlight w:val="lightGray"/>
                <w:u w:val="single"/>
              </w:rPr>
            </w:pPr>
          </w:p>
        </w:tc>
      </w:tr>
      <w:tr w:rsidR="00915077" w:rsidRPr="00E26EF6" w14:paraId="0DE28F3C" w14:textId="77777777" w:rsidTr="00E10B85">
        <w:tc>
          <w:tcPr>
            <w:tcW w:w="1568" w:type="dxa"/>
          </w:tcPr>
          <w:p w14:paraId="4C23F3E7"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0630</w:t>
            </w:r>
          </w:p>
        </w:tc>
        <w:tc>
          <w:tcPr>
            <w:tcW w:w="7436" w:type="dxa"/>
          </w:tcPr>
          <w:p w14:paraId="1A50C4AE" w14:textId="77777777"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 xml:space="preserve">ZGODNIE Z HIERARCHIĄ METOD </w:t>
            </w:r>
          </w:p>
          <w:p w14:paraId="2795FFEF" w14:textId="77777777" w:rsidR="00915077" w:rsidRPr="00E26EF6" w:rsidRDefault="00915077">
            <w:pPr>
              <w:spacing w:before="0" w:after="0"/>
              <w:rPr>
                <w:rFonts w:ascii="Times New Roman" w:hAnsi="Times New Roman"/>
                <w:b/>
                <w:sz w:val="24"/>
                <w:u w:val="single"/>
              </w:rPr>
            </w:pPr>
          </w:p>
          <w:p w14:paraId="40883A8F" w14:textId="57939118" w:rsidR="00915077" w:rsidRPr="00E26EF6" w:rsidRDefault="00E026FB">
            <w:pPr>
              <w:spacing w:before="0" w:after="0"/>
              <w:rPr>
                <w:rFonts w:ascii="Times New Roman" w:hAnsi="Times New Roman"/>
                <w:sz w:val="24"/>
              </w:rPr>
            </w:pPr>
            <w:r w:rsidRPr="00E26EF6">
              <w:rPr>
                <w:rFonts w:ascii="Times New Roman" w:hAnsi="Times New Roman"/>
                <w:sz w:val="24"/>
              </w:rPr>
              <w:t>Pozycje sekurytyzacyjne,</w:t>
            </w:r>
            <w:r w:rsidR="00E26EF6" w:rsidRPr="00E26EF6">
              <w:rPr>
                <w:rFonts w:ascii="Times New Roman" w:hAnsi="Times New Roman"/>
                <w:sz w:val="24"/>
              </w:rPr>
              <w:t xml:space="preserve"> w prz</w:t>
            </w:r>
            <w:r w:rsidRPr="00E26EF6">
              <w:rPr>
                <w:rFonts w:ascii="Times New Roman" w:hAnsi="Times New Roman"/>
                <w:sz w:val="24"/>
              </w:rPr>
              <w:t>ypadku których zastosowano metodę SEC-ERBA zgodnie</w:t>
            </w:r>
            <w:r w:rsidR="00E26EF6" w:rsidRPr="00E26EF6">
              <w:rPr>
                <w:rFonts w:ascii="Times New Roman" w:hAnsi="Times New Roman"/>
                <w:sz w:val="24"/>
              </w:rPr>
              <w:t xml:space="preserve"> z hie</w:t>
            </w:r>
            <w:r w:rsidRPr="00E26EF6">
              <w:rPr>
                <w:rFonts w:ascii="Times New Roman" w:hAnsi="Times New Roman"/>
                <w:sz w:val="24"/>
              </w:rPr>
              <w:t>rarchią metod określoną</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254 ust.</w:t>
            </w:r>
            <w:r w:rsidR="00023409" w:rsidRPr="00E26EF6">
              <w:rPr>
                <w:rFonts w:ascii="Times New Roman" w:hAnsi="Times New Roman"/>
                <w:sz w:val="24"/>
              </w:rPr>
              <w:t> </w:t>
            </w:r>
            <w:r w:rsidRPr="00E26EF6">
              <w:rPr>
                <w:rFonts w:ascii="Times New Roman" w:hAnsi="Times New Roman"/>
                <w:sz w:val="24"/>
              </w:rPr>
              <w:t>1 CRR</w:t>
            </w:r>
          </w:p>
          <w:p w14:paraId="453B4568" w14:textId="77777777" w:rsidR="00915077" w:rsidRPr="00E26EF6" w:rsidRDefault="00915077">
            <w:pPr>
              <w:spacing w:before="0" w:after="0"/>
              <w:rPr>
                <w:rFonts w:ascii="Times New Roman" w:hAnsi="Times New Roman"/>
                <w:b/>
                <w:sz w:val="24"/>
                <w:highlight w:val="lightGray"/>
                <w:u w:val="single"/>
              </w:rPr>
            </w:pPr>
          </w:p>
        </w:tc>
      </w:tr>
      <w:tr w:rsidR="00915077" w:rsidRPr="00E26EF6" w14:paraId="56DC25F7" w14:textId="77777777" w:rsidTr="00E10B85">
        <w:tc>
          <w:tcPr>
            <w:tcW w:w="1568" w:type="dxa"/>
          </w:tcPr>
          <w:p w14:paraId="479DAC37"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0640</w:t>
            </w:r>
          </w:p>
        </w:tc>
        <w:tc>
          <w:tcPr>
            <w:tcW w:w="7436" w:type="dxa"/>
          </w:tcPr>
          <w:p w14:paraId="06E49566"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METODA WEWNĘTRZNYCH OSZACOWAŃ</w:t>
            </w:r>
          </w:p>
          <w:p w14:paraId="0A440E40" w14:textId="77777777" w:rsidR="00915077" w:rsidRPr="00E26EF6" w:rsidRDefault="00915077">
            <w:pPr>
              <w:spacing w:before="0" w:after="0"/>
              <w:jc w:val="left"/>
              <w:rPr>
                <w:rFonts w:ascii="Times New Roman" w:hAnsi="Times New Roman"/>
                <w:sz w:val="24"/>
              </w:rPr>
            </w:pPr>
          </w:p>
          <w:p w14:paraId="6FE35675" w14:textId="47AF8D10" w:rsidR="00915077" w:rsidRPr="00E26EF6" w:rsidRDefault="008F2C6B">
            <w:pPr>
              <w:spacing w:before="0" w:after="0"/>
              <w:rPr>
                <w:rFonts w:ascii="Times New Roman" w:hAnsi="Times New Roman"/>
                <w:sz w:val="24"/>
              </w:rPr>
            </w:pPr>
            <w:r w:rsidRPr="00E26EF6">
              <w:rPr>
                <w:rFonts w:ascii="Times New Roman" w:hAnsi="Times New Roman"/>
                <w:sz w:val="24"/>
              </w:rPr>
              <w:t>Art. 254 ust.</w:t>
            </w:r>
            <w:r w:rsidR="00023409" w:rsidRPr="00E26EF6">
              <w:rPr>
                <w:rFonts w:ascii="Times New Roman" w:hAnsi="Times New Roman"/>
                <w:sz w:val="24"/>
              </w:rPr>
              <w:t> </w:t>
            </w:r>
            <w:r w:rsidRPr="00E26EF6">
              <w:rPr>
                <w:rFonts w:ascii="Times New Roman" w:hAnsi="Times New Roman"/>
                <w:sz w:val="24"/>
              </w:rPr>
              <w:t>5 CRR dotyczący „metody wewnętrznych oszacowań”</w:t>
            </w:r>
            <w:r w:rsidR="00E26EF6" w:rsidRPr="00E26EF6">
              <w:rPr>
                <w:rFonts w:ascii="Times New Roman" w:hAnsi="Times New Roman"/>
                <w:sz w:val="24"/>
              </w:rPr>
              <w:t xml:space="preserve"> w odn</w:t>
            </w:r>
            <w:r w:rsidRPr="00E26EF6">
              <w:rPr>
                <w:rFonts w:ascii="Times New Roman" w:hAnsi="Times New Roman"/>
                <w:sz w:val="24"/>
              </w:rPr>
              <w:t>iesieniu do pozycji programów ABCP</w:t>
            </w:r>
          </w:p>
          <w:p w14:paraId="7F78C2F5" w14:textId="77777777" w:rsidR="00915077" w:rsidRPr="00E26EF6" w:rsidRDefault="00915077">
            <w:pPr>
              <w:spacing w:before="0" w:after="0"/>
              <w:jc w:val="left"/>
              <w:rPr>
                <w:rFonts w:ascii="Times New Roman" w:hAnsi="Times New Roman"/>
                <w:sz w:val="24"/>
                <w:highlight w:val="lightGray"/>
              </w:rPr>
            </w:pPr>
          </w:p>
        </w:tc>
      </w:tr>
      <w:tr w:rsidR="00915077" w:rsidRPr="00E26EF6" w14:paraId="0615923D" w14:textId="77777777" w:rsidTr="00E10B85">
        <w:tc>
          <w:tcPr>
            <w:tcW w:w="1568" w:type="dxa"/>
          </w:tcPr>
          <w:p w14:paraId="56A96366" w14:textId="77777777" w:rsidR="00915077" w:rsidRPr="00E26EF6" w:rsidDel="002122FF"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0650-0690</w:t>
            </w:r>
          </w:p>
        </w:tc>
        <w:tc>
          <w:tcPr>
            <w:tcW w:w="7436" w:type="dxa"/>
          </w:tcPr>
          <w:p w14:paraId="3B5724C2"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PODZIAŁ WEDŁUG ZAKRESÓW WAG RYZYKA</w:t>
            </w:r>
          </w:p>
          <w:p w14:paraId="192A051D" w14:textId="77777777" w:rsidR="00915077" w:rsidRPr="00E26EF6" w:rsidRDefault="00915077">
            <w:pPr>
              <w:spacing w:before="0" w:after="0"/>
              <w:jc w:val="left"/>
              <w:rPr>
                <w:rFonts w:ascii="Times New Roman" w:hAnsi="Times New Roman"/>
                <w:sz w:val="24"/>
              </w:rPr>
            </w:pPr>
          </w:p>
          <w:p w14:paraId="7C12ECD1" w14:textId="790D7869" w:rsidR="00915077" w:rsidRPr="00E26EF6" w:rsidRDefault="00E026FB">
            <w:pPr>
              <w:spacing w:before="0" w:after="0"/>
              <w:jc w:val="left"/>
              <w:rPr>
                <w:rFonts w:ascii="Times New Roman" w:hAnsi="Times New Roman"/>
                <w:sz w:val="24"/>
              </w:rPr>
            </w:pPr>
            <w:r w:rsidRPr="00E26EF6">
              <w:rPr>
                <w:rFonts w:ascii="Times New Roman" w:hAnsi="Times New Roman"/>
                <w:sz w:val="24"/>
              </w:rPr>
              <w:t>Ekspozycje według metody wewnętrznych oszacowań według przedziałów wag ryzyka</w:t>
            </w:r>
          </w:p>
          <w:p w14:paraId="7D141278"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6B79B5B6" w14:textId="77777777" w:rsidTr="00E10B85">
        <w:tc>
          <w:tcPr>
            <w:tcW w:w="1568" w:type="dxa"/>
          </w:tcPr>
          <w:p w14:paraId="0497DF64"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0700</w:t>
            </w:r>
          </w:p>
        </w:tc>
        <w:tc>
          <w:tcPr>
            <w:tcW w:w="7436" w:type="dxa"/>
          </w:tcPr>
          <w:p w14:paraId="5161BFC4" w14:textId="5170AB1D"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INNE (WAGA RYZYKA = 1 250</w:t>
            </w:r>
            <w:r w:rsidR="00023409" w:rsidRPr="00E26EF6">
              <w:rPr>
                <w:rFonts w:ascii="Times New Roman" w:hAnsi="Times New Roman"/>
                <w:b/>
                <w:sz w:val="24"/>
                <w:u w:val="single"/>
              </w:rPr>
              <w:t> </w:t>
            </w:r>
            <w:r w:rsidRPr="00E26EF6">
              <w:rPr>
                <w:rFonts w:ascii="Times New Roman" w:hAnsi="Times New Roman"/>
                <w:b/>
                <w:sz w:val="24"/>
                <w:u w:val="single"/>
              </w:rPr>
              <w:t>%)</w:t>
            </w:r>
          </w:p>
          <w:p w14:paraId="2E06A423" w14:textId="77777777" w:rsidR="00915077" w:rsidRPr="00E26EF6" w:rsidRDefault="00915077">
            <w:pPr>
              <w:spacing w:before="0" w:after="0"/>
              <w:jc w:val="left"/>
              <w:rPr>
                <w:rFonts w:ascii="Times New Roman" w:hAnsi="Times New Roman"/>
                <w:b/>
                <w:sz w:val="24"/>
                <w:u w:val="single"/>
              </w:rPr>
            </w:pPr>
          </w:p>
          <w:p w14:paraId="4FD395B3" w14:textId="573415A4" w:rsidR="00915077" w:rsidRPr="00E26EF6" w:rsidRDefault="00D021AF">
            <w:pPr>
              <w:spacing w:before="0" w:after="0"/>
              <w:jc w:val="left"/>
              <w:rPr>
                <w:rFonts w:ascii="Times New Roman" w:hAnsi="Times New Roman"/>
                <w:sz w:val="24"/>
              </w:rPr>
            </w:pPr>
            <w:r w:rsidRPr="00E26EF6">
              <w:rPr>
                <w:rFonts w:ascii="Times New Roman" w:hAnsi="Times New Roman"/>
                <w:sz w:val="24"/>
              </w:rPr>
              <w:t>Jeżeli nie zastosowano żadnej</w:t>
            </w:r>
            <w:r w:rsidR="00E26EF6" w:rsidRPr="00E26EF6">
              <w:rPr>
                <w:rFonts w:ascii="Times New Roman" w:hAnsi="Times New Roman"/>
                <w:sz w:val="24"/>
              </w:rPr>
              <w:t xml:space="preserve"> z pop</w:t>
            </w:r>
            <w:r w:rsidRPr="00E26EF6">
              <w:rPr>
                <w:rFonts w:ascii="Times New Roman" w:hAnsi="Times New Roman"/>
                <w:sz w:val="24"/>
              </w:rPr>
              <w:t>rzednich metod, wagę ryzyka równą 1 250</w:t>
            </w:r>
            <w:r w:rsidR="00023409" w:rsidRPr="00E26EF6">
              <w:rPr>
                <w:rFonts w:ascii="Times New Roman" w:hAnsi="Times New Roman"/>
                <w:sz w:val="24"/>
              </w:rPr>
              <w:t> </w:t>
            </w:r>
            <w:r w:rsidRPr="00E26EF6">
              <w:rPr>
                <w:rFonts w:ascii="Times New Roman" w:hAnsi="Times New Roman"/>
                <w:sz w:val="24"/>
              </w:rPr>
              <w:t>% przypisuje się pozycjom sekurytyzacyjnym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254 ust.</w:t>
            </w:r>
            <w:r w:rsidR="00023409" w:rsidRPr="00E26EF6">
              <w:rPr>
                <w:rFonts w:ascii="Times New Roman" w:hAnsi="Times New Roman"/>
                <w:sz w:val="24"/>
              </w:rPr>
              <w:t> </w:t>
            </w:r>
            <w:r w:rsidRPr="00E26EF6">
              <w:rPr>
                <w:rFonts w:ascii="Times New Roman" w:hAnsi="Times New Roman"/>
                <w:sz w:val="24"/>
              </w:rPr>
              <w:t>7 CRR.</w:t>
            </w:r>
          </w:p>
          <w:p w14:paraId="0322DCB5"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575497AC" w14:textId="77777777" w:rsidTr="00E10B85">
        <w:tc>
          <w:tcPr>
            <w:tcW w:w="1568" w:type="dxa"/>
          </w:tcPr>
          <w:p w14:paraId="373CFC88"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0710-0860</w:t>
            </w:r>
          </w:p>
        </w:tc>
        <w:tc>
          <w:tcPr>
            <w:tcW w:w="7436" w:type="dxa"/>
          </w:tcPr>
          <w:p w14:paraId="39B0D016"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KWOTA EKSPOZYCJI WAŻONEJ RYZYKIEM</w:t>
            </w:r>
          </w:p>
          <w:p w14:paraId="4F2BBE4C" w14:textId="77777777" w:rsidR="00915077" w:rsidRPr="00E26EF6" w:rsidRDefault="00915077">
            <w:pPr>
              <w:spacing w:before="0" w:after="0"/>
              <w:jc w:val="left"/>
              <w:rPr>
                <w:rFonts w:ascii="Times New Roman" w:hAnsi="Times New Roman"/>
                <w:sz w:val="24"/>
              </w:rPr>
            </w:pPr>
          </w:p>
          <w:p w14:paraId="5C304F6F" w14:textId="2CFF9653" w:rsidR="00915077" w:rsidRPr="00E26EF6" w:rsidRDefault="00E026FB">
            <w:pPr>
              <w:spacing w:before="0" w:after="0"/>
              <w:rPr>
                <w:rFonts w:ascii="Times New Roman" w:hAnsi="Times New Roman"/>
                <w:sz w:val="24"/>
              </w:rPr>
            </w:pPr>
            <w:r w:rsidRPr="00E26EF6">
              <w:rPr>
                <w:rFonts w:ascii="Times New Roman" w:hAnsi="Times New Roman"/>
                <w:sz w:val="24"/>
              </w:rPr>
              <w:lastRenderedPageBreak/>
              <w:t>Całkowita kwota ekspozycji ważonej ryzykiem obliczona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 5 sekcja 3 CRR, przed korektami wynikającymi</w:t>
            </w:r>
            <w:r w:rsidR="00E26EF6" w:rsidRPr="00E26EF6">
              <w:rPr>
                <w:rFonts w:ascii="Times New Roman" w:hAnsi="Times New Roman"/>
                <w:sz w:val="24"/>
              </w:rPr>
              <w:t xml:space="preserve"> z nie</w:t>
            </w:r>
            <w:r w:rsidRPr="00E26EF6">
              <w:rPr>
                <w:rFonts w:ascii="Times New Roman" w:hAnsi="Times New Roman"/>
                <w:sz w:val="24"/>
              </w:rPr>
              <w:t>dopasowania terminów zapadalności lub naruszenia przepisów dotyczących należytej staranności oraz</w:t>
            </w:r>
            <w:r w:rsidR="00E26EF6" w:rsidRPr="00E26EF6">
              <w:rPr>
                <w:rFonts w:ascii="Times New Roman" w:hAnsi="Times New Roman"/>
                <w:sz w:val="24"/>
              </w:rPr>
              <w:t xml:space="preserve"> z wył</w:t>
            </w:r>
            <w:r w:rsidRPr="00E26EF6">
              <w:rPr>
                <w:rFonts w:ascii="Times New Roman" w:hAnsi="Times New Roman"/>
                <w:sz w:val="24"/>
              </w:rPr>
              <w:t xml:space="preserve">ączeniem jakiekolwiek kwoty ekspozycji ważonej ryzykiem odpowiadającej ekspozycjom przeniesionym do innego wzoru wskutek wypływów. </w:t>
            </w:r>
          </w:p>
          <w:p w14:paraId="44644FC2" w14:textId="77777777" w:rsidR="00915077" w:rsidRPr="00E26EF6" w:rsidRDefault="00915077">
            <w:pPr>
              <w:spacing w:before="0" w:after="0"/>
              <w:rPr>
                <w:rFonts w:ascii="Times New Roman" w:hAnsi="Times New Roman"/>
                <w:sz w:val="24"/>
                <w:highlight w:val="lightGray"/>
              </w:rPr>
            </w:pPr>
          </w:p>
        </w:tc>
      </w:tr>
      <w:tr w:rsidR="00915077" w:rsidRPr="00E26EF6" w14:paraId="3B5BB759" w14:textId="77777777" w:rsidTr="00E10B85">
        <w:tc>
          <w:tcPr>
            <w:tcW w:w="1568" w:type="dxa"/>
          </w:tcPr>
          <w:p w14:paraId="634B8549"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0840</w:t>
            </w:r>
          </w:p>
        </w:tc>
        <w:tc>
          <w:tcPr>
            <w:tcW w:w="7436" w:type="dxa"/>
          </w:tcPr>
          <w:p w14:paraId="63453F9F"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METODA WEWNĘTRZNYCH OSZACOWAŃ: ŚREDNIA WAGA RYZYKA (%)</w:t>
            </w:r>
          </w:p>
          <w:p w14:paraId="72A6AB7F" w14:textId="77777777" w:rsidR="00915077" w:rsidRPr="00E26EF6" w:rsidRDefault="00915077">
            <w:pPr>
              <w:spacing w:before="0" w:after="0"/>
              <w:rPr>
                <w:rFonts w:ascii="Times New Roman" w:hAnsi="Times New Roman"/>
                <w:sz w:val="24"/>
              </w:rPr>
            </w:pPr>
          </w:p>
          <w:p w14:paraId="7F0E2730" w14:textId="77777777" w:rsidR="00915077" w:rsidRPr="00E26EF6" w:rsidRDefault="00E026FB">
            <w:pPr>
              <w:spacing w:before="0" w:after="0"/>
              <w:jc w:val="left"/>
              <w:rPr>
                <w:rFonts w:ascii="Times New Roman" w:hAnsi="Times New Roman"/>
                <w:sz w:val="24"/>
              </w:rPr>
            </w:pPr>
            <w:r w:rsidRPr="00E26EF6">
              <w:rPr>
                <w:rFonts w:ascii="Times New Roman" w:hAnsi="Times New Roman"/>
                <w:sz w:val="24"/>
              </w:rPr>
              <w:t>W tej kolumnie zgłasza się średnie ważone ekspozycją wagi ryzyka pozycji sekurytyzacyjnych.</w:t>
            </w:r>
          </w:p>
          <w:p w14:paraId="5D02469C" w14:textId="77777777" w:rsidR="00915077" w:rsidRPr="00E26EF6" w:rsidRDefault="00915077">
            <w:pPr>
              <w:spacing w:before="0" w:after="0"/>
              <w:jc w:val="left"/>
              <w:rPr>
                <w:rFonts w:ascii="Times New Roman" w:hAnsi="Times New Roman"/>
                <w:sz w:val="24"/>
                <w:highlight w:val="lightGray"/>
              </w:rPr>
            </w:pPr>
          </w:p>
        </w:tc>
      </w:tr>
      <w:tr w:rsidR="00915077" w:rsidRPr="00E26EF6" w14:paraId="12CC8BA0" w14:textId="77777777" w:rsidTr="00E10B85">
        <w:tc>
          <w:tcPr>
            <w:tcW w:w="1568" w:type="dxa"/>
          </w:tcPr>
          <w:p w14:paraId="4895A1A8"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0860</w:t>
            </w:r>
          </w:p>
        </w:tc>
        <w:tc>
          <w:tcPr>
            <w:tcW w:w="7436" w:type="dxa"/>
          </w:tcPr>
          <w:p w14:paraId="2F677915" w14:textId="77777777"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KWOTA EKSPOZYCJI WAŻONEJ RYZYKIEM – W TYM: SEKURYTYZACJE SYNTETYCZNE</w:t>
            </w:r>
          </w:p>
          <w:p w14:paraId="2F9CE64F" w14:textId="77777777" w:rsidR="00915077" w:rsidRPr="00E26EF6" w:rsidRDefault="00915077">
            <w:pPr>
              <w:spacing w:before="0" w:after="0"/>
              <w:jc w:val="left"/>
              <w:rPr>
                <w:rFonts w:ascii="Times New Roman" w:hAnsi="Times New Roman"/>
                <w:sz w:val="24"/>
              </w:rPr>
            </w:pPr>
          </w:p>
          <w:p w14:paraId="313C29B6" w14:textId="17CF251B" w:rsidR="00915077" w:rsidRPr="00E26EF6" w:rsidRDefault="00E026FB">
            <w:pPr>
              <w:spacing w:before="0" w:after="0"/>
              <w:rPr>
                <w:rFonts w:ascii="Times New Roman" w:hAnsi="Times New Roman"/>
                <w:sz w:val="24"/>
              </w:rPr>
            </w:pPr>
            <w:r w:rsidRPr="00E26EF6">
              <w:rPr>
                <w:rFonts w:ascii="Times New Roman" w:hAnsi="Times New Roman"/>
                <w:sz w:val="24"/>
              </w:rPr>
              <w:t>W odniesieniu do sekurytyzacji syntetycznych związanych</w:t>
            </w:r>
            <w:r w:rsidR="00E26EF6" w:rsidRPr="00E26EF6">
              <w:rPr>
                <w:rFonts w:ascii="Times New Roman" w:hAnsi="Times New Roman"/>
                <w:sz w:val="24"/>
              </w:rPr>
              <w:t xml:space="preserve"> z nie</w:t>
            </w:r>
            <w:r w:rsidRPr="00E26EF6">
              <w:rPr>
                <w:rFonts w:ascii="Times New Roman" w:hAnsi="Times New Roman"/>
                <w:sz w:val="24"/>
              </w:rPr>
              <w:t>dopasowaniem terminów zapadalności przy zgłaszaniu kwoty</w:t>
            </w:r>
            <w:r w:rsidR="00E26EF6" w:rsidRPr="00E26EF6">
              <w:rPr>
                <w:rFonts w:ascii="Times New Roman" w:hAnsi="Times New Roman"/>
                <w:sz w:val="24"/>
              </w:rPr>
              <w:t xml:space="preserve"> w tej</w:t>
            </w:r>
            <w:r w:rsidRPr="00E26EF6">
              <w:rPr>
                <w:rFonts w:ascii="Times New Roman" w:hAnsi="Times New Roman"/>
                <w:sz w:val="24"/>
              </w:rPr>
              <w:t xml:space="preserve"> kolumnie ignoruje się niedopasowanie terminów zapadalności.</w:t>
            </w:r>
          </w:p>
          <w:p w14:paraId="6C18E9C1" w14:textId="77777777" w:rsidR="00915077" w:rsidRPr="00E26EF6" w:rsidRDefault="00915077">
            <w:pPr>
              <w:spacing w:before="0" w:after="0"/>
              <w:jc w:val="left"/>
              <w:rPr>
                <w:rFonts w:ascii="Times New Roman" w:hAnsi="Times New Roman"/>
                <w:sz w:val="24"/>
                <w:highlight w:val="lightGray"/>
              </w:rPr>
            </w:pPr>
          </w:p>
        </w:tc>
      </w:tr>
      <w:tr w:rsidR="00915077" w:rsidRPr="00E26EF6" w14:paraId="01314054" w14:textId="77777777" w:rsidTr="00E10B85">
        <w:tc>
          <w:tcPr>
            <w:tcW w:w="1568" w:type="dxa"/>
          </w:tcPr>
          <w:p w14:paraId="4C152C00"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0870</w:t>
            </w:r>
          </w:p>
        </w:tc>
        <w:tc>
          <w:tcPr>
            <w:tcW w:w="7436" w:type="dxa"/>
          </w:tcPr>
          <w:p w14:paraId="6345E2A6"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KOREKTA KWOTY EKSPOZYCJI WAŻONEJ RYZYKIEM WYNIKAJĄCA Z NIEDOPASOWANIA TERMINÓW ZAPADALNOŚCI</w:t>
            </w:r>
          </w:p>
          <w:p w14:paraId="0B14F4AB" w14:textId="77777777" w:rsidR="00915077" w:rsidRPr="00E26EF6" w:rsidRDefault="00915077">
            <w:pPr>
              <w:spacing w:before="0" w:after="0"/>
              <w:jc w:val="left"/>
              <w:rPr>
                <w:rFonts w:ascii="Times New Roman" w:hAnsi="Times New Roman"/>
                <w:b/>
                <w:sz w:val="24"/>
                <w:u w:val="single"/>
              </w:rPr>
            </w:pPr>
          </w:p>
          <w:p w14:paraId="3DFAE8FC" w14:textId="5680F1BE" w:rsidR="00915077" w:rsidRPr="00E26EF6" w:rsidRDefault="008F2C6B">
            <w:pPr>
              <w:spacing w:before="0" w:after="0"/>
              <w:rPr>
                <w:rFonts w:ascii="Times New Roman" w:hAnsi="Times New Roman"/>
                <w:sz w:val="24"/>
              </w:rPr>
            </w:pPr>
            <w:r w:rsidRPr="00E26EF6">
              <w:rPr>
                <w:rFonts w:ascii="Times New Roman" w:hAnsi="Times New Roman"/>
                <w:sz w:val="24"/>
              </w:rPr>
              <w:t>Uwzględnia się niedopasowanie terminów zapadalności</w:t>
            </w:r>
            <w:r w:rsidR="00E26EF6" w:rsidRPr="00E26EF6">
              <w:rPr>
                <w:rFonts w:ascii="Times New Roman" w:hAnsi="Times New Roman"/>
                <w:sz w:val="24"/>
              </w:rPr>
              <w:t xml:space="preserve"> w odn</w:t>
            </w:r>
            <w:r w:rsidRPr="00E26EF6">
              <w:rPr>
                <w:rFonts w:ascii="Times New Roman" w:hAnsi="Times New Roman"/>
                <w:sz w:val="24"/>
              </w:rPr>
              <w:t>iesieniu do sekurytyzacji syntetycznych RW*-RW(SP), obliczone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252 CRR,</w:t>
            </w:r>
            <w:r w:rsidR="00E26EF6" w:rsidRPr="00E26EF6">
              <w:rPr>
                <w:rFonts w:ascii="Times New Roman" w:hAnsi="Times New Roman"/>
                <w:sz w:val="24"/>
              </w:rPr>
              <w:t xml:space="preserve"> z wyj</w:t>
            </w:r>
            <w:r w:rsidRPr="00E26EF6">
              <w:rPr>
                <w:rFonts w:ascii="Times New Roman" w:hAnsi="Times New Roman"/>
                <w:sz w:val="24"/>
              </w:rPr>
              <w:t>ątkiem przypadków transz podlegających ważeniu ryzykiem</w:t>
            </w:r>
            <w:r w:rsidR="00E26EF6" w:rsidRPr="00E26EF6">
              <w:rPr>
                <w:rFonts w:ascii="Times New Roman" w:hAnsi="Times New Roman"/>
                <w:sz w:val="24"/>
              </w:rPr>
              <w:t xml:space="preserve"> o wad</w:t>
            </w:r>
            <w:r w:rsidRPr="00E26EF6">
              <w:rPr>
                <w:rFonts w:ascii="Times New Roman" w:hAnsi="Times New Roman"/>
                <w:sz w:val="24"/>
              </w:rPr>
              <w:t>ze 1 250</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w któ</w:t>
            </w:r>
            <w:r w:rsidRPr="00E26EF6">
              <w:rPr>
                <w:rFonts w:ascii="Times New Roman" w:hAnsi="Times New Roman"/>
                <w:sz w:val="24"/>
              </w:rPr>
              <w:t>rych kwota, którą należy zgłosić, wynosi zero. RW(SP) obejmuje nie tylko kwoty ekspozycji ważone ryzykiem zgłoszone</w:t>
            </w:r>
            <w:r w:rsidR="00E26EF6" w:rsidRPr="00E26EF6">
              <w:rPr>
                <w:rFonts w:ascii="Times New Roman" w:hAnsi="Times New Roman"/>
                <w:sz w:val="24"/>
              </w:rPr>
              <w:t xml:space="preserve"> w kol</w:t>
            </w:r>
            <w:r w:rsidRPr="00E26EF6">
              <w:rPr>
                <w:rFonts w:ascii="Times New Roman" w:hAnsi="Times New Roman"/>
                <w:sz w:val="24"/>
              </w:rPr>
              <w:t>umnie 0650, ale też kwoty ekspozycji ważone ryzykiem odnoszące się do ekspozycji przeniesionych poprzez wypływy do innych wzorów.</w:t>
            </w:r>
          </w:p>
          <w:p w14:paraId="5DC8F379" w14:textId="77777777" w:rsidR="00915077" w:rsidRPr="00E26EF6" w:rsidRDefault="00915077">
            <w:pPr>
              <w:spacing w:before="0" w:after="0"/>
              <w:rPr>
                <w:rFonts w:ascii="Times New Roman" w:hAnsi="Times New Roman"/>
                <w:sz w:val="24"/>
                <w:highlight w:val="lightGray"/>
              </w:rPr>
            </w:pPr>
          </w:p>
        </w:tc>
      </w:tr>
      <w:tr w:rsidR="00915077" w:rsidRPr="00E26EF6" w14:paraId="2ED3783F" w14:textId="77777777" w:rsidTr="00E10B85">
        <w:tc>
          <w:tcPr>
            <w:tcW w:w="1568" w:type="dxa"/>
          </w:tcPr>
          <w:p w14:paraId="597D820C" w14:textId="77777777" w:rsidR="00915077" w:rsidRPr="00E26EF6" w:rsidDel="002122FF"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0880</w:t>
            </w:r>
          </w:p>
        </w:tc>
        <w:tc>
          <w:tcPr>
            <w:tcW w:w="7436" w:type="dxa"/>
          </w:tcPr>
          <w:p w14:paraId="3EF2F4A8" w14:textId="1ACA04E1"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OGÓLNY SKUTEK (KOREKTA) WYNIKAJĄCY Z NARUSZENIA PRZEPISÓW ROZDZIAŁU 2 ROZPORZĄDZENIA (UE) 2017/2402</w:t>
            </w:r>
            <w:r w:rsidRPr="00E26EF6">
              <w:rPr>
                <w:rStyle w:val="FootnoteReference"/>
                <w:rFonts w:ascii="Times New Roman" w:hAnsi="Times New Roman"/>
                <w:sz w:val="24"/>
                <w:szCs w:val="24"/>
                <w:vertAlign w:val="superscript"/>
              </w:rPr>
              <w:footnoteReference w:id="12"/>
            </w:r>
          </w:p>
          <w:p w14:paraId="09A09E5C" w14:textId="77777777" w:rsidR="00915077" w:rsidRPr="00E26EF6" w:rsidRDefault="00915077">
            <w:pPr>
              <w:spacing w:before="0" w:after="0"/>
              <w:jc w:val="left"/>
              <w:rPr>
                <w:rFonts w:ascii="Times New Roman" w:hAnsi="Times New Roman"/>
                <w:sz w:val="24"/>
              </w:rPr>
            </w:pPr>
          </w:p>
          <w:p w14:paraId="71E7F447" w14:textId="0E65C796" w:rsidR="00915077" w:rsidRPr="00E26EF6" w:rsidRDefault="00BB22D4">
            <w:pPr>
              <w:spacing w:before="0" w:after="0"/>
              <w:jc w:val="left"/>
              <w:rPr>
                <w:rFonts w:ascii="Times New Roman" w:eastAsia="Arial"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270a CRR</w:t>
            </w:r>
            <w:r w:rsidR="00E26EF6" w:rsidRPr="00E26EF6">
              <w:rPr>
                <w:rFonts w:ascii="Times New Roman" w:hAnsi="Times New Roman"/>
                <w:sz w:val="24"/>
              </w:rPr>
              <w:t xml:space="preserve"> w prz</w:t>
            </w:r>
            <w:r w:rsidRPr="00E26EF6">
              <w:rPr>
                <w:rFonts w:ascii="Times New Roman" w:hAnsi="Times New Roman"/>
                <w:sz w:val="24"/>
              </w:rPr>
              <w:t>ypadku niespełnienia określonych wymogów przez instytucję właściwe organy nakładają proporcjonalną dodatkową wagę ryzyka</w:t>
            </w:r>
            <w:r w:rsidR="00E26EF6" w:rsidRPr="00E26EF6">
              <w:rPr>
                <w:rFonts w:ascii="Times New Roman" w:hAnsi="Times New Roman"/>
                <w:sz w:val="24"/>
              </w:rPr>
              <w:t xml:space="preserve"> w wys</w:t>
            </w:r>
            <w:r w:rsidRPr="00E26EF6">
              <w:rPr>
                <w:rFonts w:ascii="Times New Roman" w:hAnsi="Times New Roman"/>
                <w:sz w:val="24"/>
              </w:rPr>
              <w:t>okości co najmniej 250</w:t>
            </w:r>
            <w:r w:rsidR="00023409" w:rsidRPr="00E26EF6">
              <w:rPr>
                <w:rFonts w:ascii="Times New Roman" w:hAnsi="Times New Roman"/>
                <w:sz w:val="24"/>
              </w:rPr>
              <w:t> </w:t>
            </w:r>
            <w:r w:rsidRPr="00E26EF6">
              <w:rPr>
                <w:rFonts w:ascii="Times New Roman" w:hAnsi="Times New Roman"/>
                <w:sz w:val="24"/>
              </w:rPr>
              <w:t>% wagi ryzyka (maksymalnie do wysokości 1 250</w:t>
            </w:r>
            <w:r w:rsidR="00023409" w:rsidRPr="00E26EF6">
              <w:rPr>
                <w:rFonts w:ascii="Times New Roman" w:hAnsi="Times New Roman"/>
                <w:sz w:val="24"/>
              </w:rPr>
              <w:t> </w:t>
            </w:r>
            <w:r w:rsidRPr="00E26EF6">
              <w:rPr>
                <w:rFonts w:ascii="Times New Roman" w:hAnsi="Times New Roman"/>
                <w:sz w:val="24"/>
              </w:rPr>
              <w:t xml:space="preserve">%), którą zastosuje się do stosownych pozycji sekurytyzacyjnych na mocy części trzeciej tytuł II rozdział 5 sekcja 3 CRR. </w:t>
            </w:r>
          </w:p>
          <w:p w14:paraId="6A934538"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3D1344FD" w14:textId="77777777" w:rsidTr="00E10B85">
        <w:tc>
          <w:tcPr>
            <w:tcW w:w="1568" w:type="dxa"/>
          </w:tcPr>
          <w:p w14:paraId="01B8C8E1"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0890</w:t>
            </w:r>
          </w:p>
        </w:tc>
        <w:tc>
          <w:tcPr>
            <w:tcW w:w="7436" w:type="dxa"/>
          </w:tcPr>
          <w:p w14:paraId="28FF17DC"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PRZED UWZGLĘDNIENIEM PUŁAPU</w:t>
            </w:r>
          </w:p>
          <w:p w14:paraId="5D432EA3" w14:textId="77777777" w:rsidR="00915077" w:rsidRPr="00E26EF6" w:rsidRDefault="00915077">
            <w:pPr>
              <w:spacing w:before="0" w:after="0"/>
              <w:jc w:val="left"/>
              <w:rPr>
                <w:rFonts w:ascii="Times New Roman" w:hAnsi="Times New Roman"/>
                <w:b/>
                <w:sz w:val="24"/>
                <w:u w:val="single"/>
              </w:rPr>
            </w:pPr>
          </w:p>
          <w:p w14:paraId="7560FA47" w14:textId="7A6CABEC" w:rsidR="00915077" w:rsidRPr="00E26EF6" w:rsidRDefault="00E026FB">
            <w:pPr>
              <w:spacing w:before="0" w:after="0"/>
              <w:jc w:val="left"/>
              <w:rPr>
                <w:rFonts w:ascii="Times New Roman" w:eastAsia="Arial" w:hAnsi="Times New Roman"/>
                <w:sz w:val="24"/>
              </w:rPr>
            </w:pPr>
            <w:r w:rsidRPr="00E26EF6">
              <w:rPr>
                <w:rFonts w:ascii="Times New Roman" w:hAnsi="Times New Roman"/>
                <w:sz w:val="24"/>
              </w:rPr>
              <w:t>Całkowita kwota ekspozycji ważonej ryzykiem obliczona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 5 sekcja 3 CRR przed uwzględnieniem pułapów określonych</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267</w:t>
            </w:r>
            <w:r w:rsidR="00E26EF6" w:rsidRPr="00E26EF6">
              <w:rPr>
                <w:rFonts w:ascii="Times New Roman" w:hAnsi="Times New Roman"/>
                <w:sz w:val="24"/>
              </w:rPr>
              <w:t xml:space="preserve"> i 2</w:t>
            </w:r>
            <w:r w:rsidRPr="00E26EF6">
              <w:rPr>
                <w:rFonts w:ascii="Times New Roman" w:hAnsi="Times New Roman"/>
                <w:sz w:val="24"/>
              </w:rPr>
              <w:t xml:space="preserve">68 CRR. </w:t>
            </w:r>
          </w:p>
          <w:p w14:paraId="246E788B"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13A017A6" w14:textId="77777777" w:rsidTr="00E10B85">
        <w:tc>
          <w:tcPr>
            <w:tcW w:w="1568" w:type="dxa"/>
          </w:tcPr>
          <w:p w14:paraId="274A653E"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0900</w:t>
            </w:r>
          </w:p>
        </w:tc>
        <w:tc>
          <w:tcPr>
            <w:tcW w:w="7436" w:type="dxa"/>
          </w:tcPr>
          <w:p w14:paraId="6C1AD25D"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 ZMNIEJSZENIE ZE WZGLĘDU NA PUŁAP WAGI RYZYKA</w:t>
            </w:r>
          </w:p>
          <w:p w14:paraId="5C0527A1" w14:textId="77777777" w:rsidR="00915077" w:rsidRPr="00E26EF6" w:rsidRDefault="00915077">
            <w:pPr>
              <w:spacing w:before="0" w:after="0"/>
              <w:jc w:val="left"/>
              <w:rPr>
                <w:rFonts w:ascii="Times New Roman" w:hAnsi="Times New Roman"/>
                <w:b/>
                <w:sz w:val="24"/>
                <w:u w:val="single"/>
              </w:rPr>
            </w:pPr>
          </w:p>
          <w:p w14:paraId="4CCE306B" w14:textId="79126DC1" w:rsidR="00915077" w:rsidRPr="00E26EF6" w:rsidRDefault="00BB22D4">
            <w:pPr>
              <w:spacing w:before="0" w:after="0"/>
              <w:jc w:val="left"/>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267 CRR instytucja, która zawsze zna skład ekspozycji bazowych, może przypisać uprzywilejowanej pozycji sekurytyzacyjnej maksymalną wagę ryzyka równą średniej wadze ryzyka ważonej ekspozycją, która miałaby zastosowanie do ekspozycji bazowych, tak jakby nie zostały one objęte sekurytyzacją.</w:t>
            </w:r>
          </w:p>
          <w:p w14:paraId="1D24460D"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6A644888" w14:textId="77777777" w:rsidTr="00E10B85">
        <w:tc>
          <w:tcPr>
            <w:tcW w:w="1568" w:type="dxa"/>
          </w:tcPr>
          <w:p w14:paraId="7FB7F43F"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0910</w:t>
            </w:r>
          </w:p>
        </w:tc>
        <w:tc>
          <w:tcPr>
            <w:tcW w:w="7436" w:type="dxa"/>
          </w:tcPr>
          <w:p w14:paraId="4F2216E3"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 ZMNIEJSZENIE ZE WZGLĘDU NA OGÓLNY PUŁAP</w:t>
            </w:r>
          </w:p>
          <w:p w14:paraId="69D4E1FF" w14:textId="77777777" w:rsidR="00915077" w:rsidRPr="00E26EF6" w:rsidRDefault="00915077">
            <w:pPr>
              <w:spacing w:before="0" w:after="0"/>
              <w:jc w:val="left"/>
              <w:rPr>
                <w:rFonts w:ascii="Times New Roman" w:hAnsi="Times New Roman"/>
                <w:b/>
                <w:sz w:val="24"/>
                <w:u w:val="single"/>
              </w:rPr>
            </w:pPr>
          </w:p>
          <w:p w14:paraId="26EEE42E" w14:textId="22BDD59D" w:rsidR="00915077" w:rsidRPr="00E26EF6" w:rsidRDefault="00BB22D4">
            <w:pPr>
              <w:spacing w:before="0" w:after="0"/>
              <w:jc w:val="left"/>
              <w:rPr>
                <w:rFonts w:ascii="Times New Roman" w:hAnsi="Times New Roman"/>
                <w:sz w:val="24"/>
              </w:rPr>
            </w:pPr>
            <w:r w:rsidRPr="00E26EF6">
              <w:rPr>
                <w:rFonts w:ascii="Times New Roman" w:hAnsi="Times New Roman"/>
                <w:sz w:val="24"/>
              </w:rPr>
              <w:lastRenderedPageBreak/>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268 CRR instytucja inicjująca, instytucja sponsorująca lub inna instytucja stosujące metodę SEC-IRBA, bądź instytucja inicjująca lub instytucja sponsorująca stosujące metodę SEC-SA lub SEC-ERBA mogą stosować</w:t>
            </w:r>
            <w:r w:rsidR="00E26EF6" w:rsidRPr="00E26EF6">
              <w:rPr>
                <w:rFonts w:ascii="Times New Roman" w:hAnsi="Times New Roman"/>
                <w:sz w:val="24"/>
              </w:rPr>
              <w:t xml:space="preserve"> w odn</w:t>
            </w:r>
            <w:r w:rsidRPr="00E26EF6">
              <w:rPr>
                <w:rFonts w:ascii="Times New Roman" w:hAnsi="Times New Roman"/>
                <w:sz w:val="24"/>
              </w:rPr>
              <w:t>iesieniu do posiadanej przez siebie pozycji sekurytyzacyjnej maksymalne wymogi kapitałowe równe wymogom kapitałowym, które zostałyby obliczone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 2 lub</w:t>
            </w:r>
            <w:r w:rsidR="00023409" w:rsidRPr="00E26EF6">
              <w:rPr>
                <w:rFonts w:ascii="Times New Roman" w:hAnsi="Times New Roman"/>
                <w:sz w:val="24"/>
              </w:rPr>
              <w:t> </w:t>
            </w:r>
            <w:r w:rsidRPr="00E26EF6">
              <w:rPr>
                <w:rFonts w:ascii="Times New Roman" w:hAnsi="Times New Roman"/>
                <w:sz w:val="24"/>
              </w:rPr>
              <w:t>3</w:t>
            </w:r>
            <w:r w:rsidR="00E26EF6" w:rsidRPr="00E26EF6">
              <w:rPr>
                <w:rFonts w:ascii="Times New Roman" w:hAnsi="Times New Roman"/>
                <w:sz w:val="24"/>
              </w:rPr>
              <w:t xml:space="preserve"> w odn</w:t>
            </w:r>
            <w:r w:rsidRPr="00E26EF6">
              <w:rPr>
                <w:rFonts w:ascii="Times New Roman" w:hAnsi="Times New Roman"/>
                <w:sz w:val="24"/>
              </w:rPr>
              <w:t>iesieniu do ekspozycji bazowych, tak jakby nie zostały one objęte sekurytyzacją.</w:t>
            </w:r>
          </w:p>
          <w:p w14:paraId="35B48BCF"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72F6EAE4" w14:textId="77777777" w:rsidTr="00E10B85">
        <w:tc>
          <w:tcPr>
            <w:tcW w:w="1568" w:type="dxa"/>
          </w:tcPr>
          <w:p w14:paraId="243F7C6C" w14:textId="77777777" w:rsidR="00915077" w:rsidRPr="00E26EF6" w:rsidRDefault="00E026FB">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0920</w:t>
            </w:r>
          </w:p>
        </w:tc>
        <w:tc>
          <w:tcPr>
            <w:tcW w:w="7436" w:type="dxa"/>
          </w:tcPr>
          <w:p w14:paraId="32950E1B"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CAŁKOWITA KWOTA EKSPOZYCJI WAŻONEJ RYZYKIEM</w:t>
            </w:r>
          </w:p>
          <w:p w14:paraId="1B4AF79B" w14:textId="77777777" w:rsidR="00915077" w:rsidRPr="00E26EF6" w:rsidRDefault="00915077">
            <w:pPr>
              <w:spacing w:before="0" w:after="0"/>
              <w:jc w:val="left"/>
              <w:rPr>
                <w:rFonts w:ascii="Times New Roman" w:hAnsi="Times New Roman"/>
                <w:b/>
                <w:sz w:val="24"/>
                <w:u w:val="single"/>
              </w:rPr>
            </w:pPr>
          </w:p>
          <w:p w14:paraId="2609A7F6" w14:textId="6CFC0154" w:rsidR="00915077" w:rsidRPr="00E26EF6" w:rsidRDefault="00E026FB">
            <w:pPr>
              <w:spacing w:before="0" w:after="0"/>
              <w:jc w:val="left"/>
              <w:rPr>
                <w:rFonts w:ascii="Times New Roman" w:hAnsi="Times New Roman"/>
                <w:b/>
                <w:sz w:val="24"/>
                <w:u w:val="single"/>
              </w:rPr>
            </w:pPr>
            <w:r w:rsidRPr="00E26EF6">
              <w:rPr>
                <w:rFonts w:ascii="Times New Roman" w:hAnsi="Times New Roman"/>
                <w:sz w:val="24"/>
              </w:rPr>
              <w:t>Całkowita kwota ekspozycji ważonej ryzykiem obliczono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 5 sekcja 3 CRR,</w:t>
            </w:r>
            <w:r w:rsidR="00E26EF6" w:rsidRPr="00E26EF6">
              <w:rPr>
                <w:rFonts w:ascii="Times New Roman" w:hAnsi="Times New Roman"/>
                <w:sz w:val="24"/>
              </w:rPr>
              <w:t xml:space="preserve"> z uwz</w:t>
            </w:r>
            <w:r w:rsidRPr="00E26EF6">
              <w:rPr>
                <w:rFonts w:ascii="Times New Roman" w:hAnsi="Times New Roman"/>
                <w:sz w:val="24"/>
              </w:rPr>
              <w:t>ględnieniem całkowitej kwoty ekspozycji ważonej ryzykiem, jak określono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247 ust.</w:t>
            </w:r>
            <w:r w:rsidR="00023409" w:rsidRPr="00E26EF6">
              <w:rPr>
                <w:rFonts w:ascii="Times New Roman" w:hAnsi="Times New Roman"/>
                <w:sz w:val="24"/>
              </w:rPr>
              <w:t> </w:t>
            </w:r>
            <w:r w:rsidRPr="00E26EF6">
              <w:rPr>
                <w:rFonts w:ascii="Times New Roman" w:hAnsi="Times New Roman"/>
                <w:sz w:val="24"/>
              </w:rPr>
              <w:t>6 CRR.</w:t>
            </w:r>
          </w:p>
          <w:p w14:paraId="5B7D5A1D"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000B7A6E" w14:textId="77777777" w:rsidTr="00E10B85">
        <w:tc>
          <w:tcPr>
            <w:tcW w:w="1568" w:type="dxa"/>
          </w:tcPr>
          <w:p w14:paraId="059E1D4D"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0930</w:t>
            </w:r>
          </w:p>
        </w:tc>
        <w:tc>
          <w:tcPr>
            <w:tcW w:w="7436" w:type="dxa"/>
          </w:tcPr>
          <w:p w14:paraId="1DD6B8D0" w14:textId="77777777" w:rsidR="00915077" w:rsidRPr="00E26EF6" w:rsidRDefault="00E026FB">
            <w:pPr>
              <w:spacing w:before="0" w:after="0"/>
              <w:jc w:val="left"/>
              <w:rPr>
                <w:rFonts w:ascii="Times New Roman" w:hAnsi="Times New Roman"/>
                <w:b/>
                <w:sz w:val="24"/>
                <w:u w:val="single"/>
              </w:rPr>
            </w:pPr>
            <w:r w:rsidRPr="00E26EF6">
              <w:rPr>
                <w:rFonts w:ascii="Times New Roman" w:hAnsi="Times New Roman"/>
                <w:b/>
                <w:sz w:val="24"/>
                <w:u w:val="single"/>
              </w:rPr>
              <w:t>POZYCJA UZUPEŁNIAJĄCA: KWOTA EKSPOZYCJI WAŻONEJ RYZYKIEM ODPOWIADAJĄCA WYPŁYWOM Z SEKURYTYZACJI DO INNYCH KATEGORII EKSPOZYCJI</w:t>
            </w:r>
          </w:p>
          <w:p w14:paraId="517CD2FC" w14:textId="77777777" w:rsidR="00915077" w:rsidRPr="00E26EF6" w:rsidRDefault="00915077">
            <w:pPr>
              <w:spacing w:before="0" w:after="0"/>
              <w:jc w:val="left"/>
              <w:rPr>
                <w:rFonts w:ascii="Times New Roman" w:hAnsi="Times New Roman"/>
                <w:sz w:val="24"/>
              </w:rPr>
            </w:pPr>
          </w:p>
          <w:p w14:paraId="3CB6FC11" w14:textId="41B35BBB" w:rsidR="00915077" w:rsidRPr="00E26EF6" w:rsidRDefault="00E026FB">
            <w:pPr>
              <w:spacing w:before="0" w:after="0"/>
              <w:rPr>
                <w:rFonts w:ascii="Times New Roman" w:hAnsi="Times New Roman"/>
                <w:sz w:val="24"/>
              </w:rPr>
            </w:pPr>
            <w:r w:rsidRPr="00E26EF6">
              <w:rPr>
                <w:rFonts w:ascii="Times New Roman" w:hAnsi="Times New Roman"/>
                <w:sz w:val="24"/>
              </w:rPr>
              <w:t>Kwota ekspozycji ważona ryzykiem wynikająca</w:t>
            </w:r>
            <w:r w:rsidR="00E26EF6" w:rsidRPr="00E26EF6">
              <w:rPr>
                <w:rFonts w:ascii="Times New Roman" w:hAnsi="Times New Roman"/>
                <w:sz w:val="24"/>
              </w:rPr>
              <w:t xml:space="preserve"> z prz</w:t>
            </w:r>
            <w:r w:rsidRPr="00E26EF6">
              <w:rPr>
                <w:rFonts w:ascii="Times New Roman" w:hAnsi="Times New Roman"/>
                <w:sz w:val="24"/>
              </w:rPr>
              <w:t>eniesienia ekspozycji na dostawcę środków ograniczania ryzyka,</w:t>
            </w:r>
            <w:r w:rsidR="00E26EF6" w:rsidRPr="00E26EF6">
              <w:rPr>
                <w:rFonts w:ascii="Times New Roman" w:hAnsi="Times New Roman"/>
                <w:sz w:val="24"/>
              </w:rPr>
              <w:t xml:space="preserve"> a tym</w:t>
            </w:r>
            <w:r w:rsidRPr="00E26EF6">
              <w:rPr>
                <w:rFonts w:ascii="Times New Roman" w:hAnsi="Times New Roman"/>
                <w:sz w:val="24"/>
              </w:rPr>
              <w:t xml:space="preserve"> samym obliczana</w:t>
            </w:r>
            <w:r w:rsidR="00E26EF6" w:rsidRPr="00E26EF6">
              <w:rPr>
                <w:rFonts w:ascii="Times New Roman" w:hAnsi="Times New Roman"/>
                <w:sz w:val="24"/>
              </w:rPr>
              <w:t xml:space="preserve"> w odp</w:t>
            </w:r>
            <w:r w:rsidRPr="00E26EF6">
              <w:rPr>
                <w:rFonts w:ascii="Times New Roman" w:hAnsi="Times New Roman"/>
                <w:sz w:val="24"/>
              </w:rPr>
              <w:t>owiednim wzorze, która uwzględniana jest przy obliczaniu pułapu dla pozycji sekurytyzacyjnych.</w:t>
            </w:r>
          </w:p>
          <w:p w14:paraId="52F0EEF1" w14:textId="77777777" w:rsidR="00915077" w:rsidRPr="00E26EF6" w:rsidRDefault="00915077">
            <w:pPr>
              <w:spacing w:before="0" w:after="0"/>
              <w:jc w:val="left"/>
              <w:rPr>
                <w:rFonts w:ascii="Times New Roman" w:hAnsi="Times New Roman"/>
                <w:sz w:val="24"/>
              </w:rPr>
            </w:pPr>
          </w:p>
        </w:tc>
      </w:tr>
    </w:tbl>
    <w:p w14:paraId="5364907F" w14:textId="77777777" w:rsidR="00915077" w:rsidRPr="00E26EF6" w:rsidRDefault="00915077">
      <w:pPr>
        <w:spacing w:before="0" w:after="0"/>
        <w:rPr>
          <w:rFonts w:ascii="Times New Roman" w:hAnsi="Times New Roman"/>
          <w:sz w:val="24"/>
        </w:rPr>
      </w:pPr>
    </w:p>
    <w:p w14:paraId="54083D5E" w14:textId="77777777" w:rsidR="00915077" w:rsidRPr="00E26EF6" w:rsidRDefault="00915077">
      <w:pPr>
        <w:spacing w:before="0" w:after="0"/>
        <w:rPr>
          <w:rFonts w:ascii="Times New Roman" w:hAnsi="Times New Roman"/>
          <w:sz w:val="24"/>
        </w:rPr>
      </w:pPr>
    </w:p>
    <w:p w14:paraId="5B270F78" w14:textId="672721CF" w:rsidR="00915077" w:rsidRPr="00E26EF6" w:rsidRDefault="00E026FB">
      <w:pPr>
        <w:pStyle w:val="InstructionsText2"/>
        <w:numPr>
          <w:ilvl w:val="0"/>
          <w:numId w:val="0"/>
        </w:numPr>
        <w:ind w:left="993"/>
      </w:pPr>
      <w:r w:rsidRPr="00E26EF6">
        <w:t>103.</w:t>
      </w:r>
      <w:r w:rsidRPr="00E26EF6">
        <w:tab/>
        <w:t xml:space="preserve"> Wzór podzielony jest na trzy główne zestawienia wierszy. Służy do gromadzenia danych na temat ekspozycji zainicjowanych/sponsorowanych/utrzymanych lub nabytych przez jednostki inicjujące, inwestorów</w:t>
      </w:r>
      <w:r w:rsidR="00E26EF6" w:rsidRPr="00E26EF6">
        <w:t xml:space="preserve"> i jed</w:t>
      </w:r>
      <w:r w:rsidRPr="00E26EF6">
        <w:t>nostki sponsorujące</w:t>
      </w:r>
      <w:r w:rsidR="00E26EF6" w:rsidRPr="00E26EF6">
        <w:t>. W prz</w:t>
      </w:r>
      <w:r w:rsidRPr="00E26EF6">
        <w:t>ypadku każdego</w:t>
      </w:r>
      <w:r w:rsidR="00E26EF6" w:rsidRPr="00E26EF6">
        <w:t xml:space="preserve"> z nic</w:t>
      </w:r>
      <w:r w:rsidRPr="00E26EF6">
        <w:t>h informacje podzielone są na pozycje bilansowe</w:t>
      </w:r>
      <w:r w:rsidR="00E26EF6" w:rsidRPr="00E26EF6">
        <w:t xml:space="preserve"> i poz</w:t>
      </w:r>
      <w:r w:rsidRPr="00E26EF6">
        <w:t>abilansowe oraz instrumenty pochodne,</w:t>
      </w:r>
      <w:r w:rsidR="00E26EF6" w:rsidRPr="00E26EF6">
        <w:t xml:space="preserve"> a tak</w:t>
      </w:r>
      <w:r w:rsidRPr="00E26EF6">
        <w:t>że określa się, czy polegają zróżnicowanemu traktowaniu kapitału, czy też nie.</w:t>
      </w:r>
    </w:p>
    <w:p w14:paraId="04896403" w14:textId="1808DBE7" w:rsidR="00915077" w:rsidRPr="00E26EF6" w:rsidRDefault="00E026FB">
      <w:pPr>
        <w:pStyle w:val="InstructionsText2"/>
        <w:numPr>
          <w:ilvl w:val="0"/>
          <w:numId w:val="0"/>
        </w:numPr>
        <w:ind w:left="993"/>
      </w:pPr>
      <w:r w:rsidRPr="00E26EF6">
        <w:t>104. Pozycje traktowane zgodnie z SEC-ERBA</w:t>
      </w:r>
      <w:r w:rsidR="00E26EF6" w:rsidRPr="00E26EF6">
        <w:t xml:space="preserve"> i poz</w:t>
      </w:r>
      <w:r w:rsidRPr="00E26EF6">
        <w:t>ycje bez ratingu (ekspozycje na dzień sprawozdawczy) dzieli się</w:t>
      </w:r>
      <w:r w:rsidR="00E26EF6" w:rsidRPr="00E26EF6">
        <w:t xml:space="preserve"> w faz</w:t>
      </w:r>
      <w:r w:rsidRPr="00E26EF6">
        <w:t>ie wstępnej według stopni jakości kredytowej (ostatnie zestawienie wierszy). Informacje te zgłaszają jednostki inicjujące</w:t>
      </w:r>
      <w:r w:rsidR="00E26EF6" w:rsidRPr="00E26EF6">
        <w:t xml:space="preserve"> i spo</w:t>
      </w:r>
      <w:r w:rsidRPr="00E26EF6">
        <w:t>nsorujące, jak również inwestorzy.</w:t>
      </w:r>
    </w:p>
    <w:p w14:paraId="25CE6C68" w14:textId="77777777" w:rsidR="00915077" w:rsidRPr="00E26EF6" w:rsidRDefault="00915077">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15077" w:rsidRPr="00E26EF6" w14:paraId="5F17B556" w14:textId="77777777" w:rsidTr="00E10B85">
        <w:tc>
          <w:tcPr>
            <w:tcW w:w="9145" w:type="dxa"/>
            <w:gridSpan w:val="2"/>
            <w:shd w:val="clear" w:color="auto" w:fill="CCCCCC"/>
          </w:tcPr>
          <w:p w14:paraId="7B2196C9" w14:textId="77777777" w:rsidR="00915077" w:rsidRPr="00E26EF6" w:rsidRDefault="00915077">
            <w:pPr>
              <w:autoSpaceDE w:val="0"/>
              <w:autoSpaceDN w:val="0"/>
              <w:adjustRightInd w:val="0"/>
              <w:spacing w:before="0" w:after="0"/>
              <w:rPr>
                <w:rFonts w:ascii="Times New Roman" w:hAnsi="Times New Roman"/>
                <w:bCs/>
                <w:sz w:val="24"/>
              </w:rPr>
            </w:pPr>
          </w:p>
          <w:p w14:paraId="52A2A863" w14:textId="77777777" w:rsidR="00915077" w:rsidRPr="00E26EF6" w:rsidRDefault="00E026FB">
            <w:pPr>
              <w:autoSpaceDE w:val="0"/>
              <w:autoSpaceDN w:val="0"/>
              <w:adjustRightInd w:val="0"/>
              <w:spacing w:before="0" w:after="0"/>
              <w:rPr>
                <w:rFonts w:ascii="Times New Roman" w:hAnsi="Times New Roman"/>
                <w:b/>
                <w:bCs/>
                <w:sz w:val="24"/>
              </w:rPr>
            </w:pPr>
            <w:r w:rsidRPr="00E26EF6">
              <w:rPr>
                <w:rFonts w:ascii="Times New Roman" w:hAnsi="Times New Roman"/>
                <w:b/>
                <w:bCs/>
                <w:sz w:val="24"/>
              </w:rPr>
              <w:t>Wiersze</w:t>
            </w:r>
          </w:p>
          <w:p w14:paraId="4522B21C"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4720E70A" w14:textId="77777777" w:rsidTr="00E10B85">
        <w:tc>
          <w:tcPr>
            <w:tcW w:w="1256" w:type="dxa"/>
          </w:tcPr>
          <w:p w14:paraId="2B9483ED"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0010</w:t>
            </w:r>
          </w:p>
        </w:tc>
        <w:tc>
          <w:tcPr>
            <w:tcW w:w="7889" w:type="dxa"/>
          </w:tcPr>
          <w:p w14:paraId="7B95F336"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xml:space="preserve">EKSPOZYCJE CAŁKOWITE </w:t>
            </w:r>
          </w:p>
          <w:p w14:paraId="42A04FD6" w14:textId="77777777" w:rsidR="00915077" w:rsidRPr="00E26EF6" w:rsidRDefault="00915077">
            <w:pPr>
              <w:autoSpaceDE w:val="0"/>
              <w:autoSpaceDN w:val="0"/>
              <w:adjustRightInd w:val="0"/>
              <w:spacing w:before="0" w:after="0"/>
              <w:jc w:val="left"/>
              <w:rPr>
                <w:rFonts w:ascii="Times New Roman" w:hAnsi="Times New Roman"/>
                <w:sz w:val="24"/>
              </w:rPr>
            </w:pPr>
          </w:p>
          <w:p w14:paraId="1B2389E7" w14:textId="6C992DB5"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Ekspozycje całkowite odnoszą się do całkowitej kwoty pozostających sekurytyzacji</w:t>
            </w:r>
            <w:r w:rsidR="00E26EF6" w:rsidRPr="00E26EF6">
              <w:rPr>
                <w:rFonts w:ascii="Times New Roman" w:hAnsi="Times New Roman"/>
                <w:sz w:val="24"/>
              </w:rPr>
              <w:t xml:space="preserve"> i res</w:t>
            </w:r>
            <w:r w:rsidRPr="00E26EF6">
              <w:rPr>
                <w:rFonts w:ascii="Times New Roman" w:hAnsi="Times New Roman"/>
                <w:sz w:val="24"/>
              </w:rPr>
              <w:t>ekurytyzacji</w:t>
            </w:r>
            <w:r w:rsidR="00E26EF6" w:rsidRPr="00E26EF6">
              <w:rPr>
                <w:rFonts w:ascii="Times New Roman" w:hAnsi="Times New Roman"/>
                <w:sz w:val="24"/>
              </w:rPr>
              <w:t>. W tym</w:t>
            </w:r>
            <w:r w:rsidRPr="00E26EF6">
              <w:rPr>
                <w:rFonts w:ascii="Times New Roman" w:hAnsi="Times New Roman"/>
                <w:sz w:val="24"/>
              </w:rPr>
              <w:t xml:space="preserve"> wierszu podsumowuje się wszystkie informacje zgłoszone przez jednostki inicjujące, jednostki sponsorujące</w:t>
            </w:r>
            <w:r w:rsidR="00E26EF6" w:rsidRPr="00E26EF6">
              <w:rPr>
                <w:rFonts w:ascii="Times New Roman" w:hAnsi="Times New Roman"/>
                <w:sz w:val="24"/>
              </w:rPr>
              <w:t xml:space="preserve"> i inw</w:t>
            </w:r>
            <w:r w:rsidRPr="00E26EF6">
              <w:rPr>
                <w:rFonts w:ascii="Times New Roman" w:hAnsi="Times New Roman"/>
                <w:sz w:val="24"/>
              </w:rPr>
              <w:t>estorów</w:t>
            </w:r>
            <w:r w:rsidR="00E26EF6" w:rsidRPr="00E26EF6">
              <w:rPr>
                <w:rFonts w:ascii="Times New Roman" w:hAnsi="Times New Roman"/>
                <w:sz w:val="24"/>
              </w:rPr>
              <w:t xml:space="preserve"> w kol</w:t>
            </w:r>
            <w:r w:rsidRPr="00E26EF6">
              <w:rPr>
                <w:rFonts w:ascii="Times New Roman" w:hAnsi="Times New Roman"/>
                <w:sz w:val="24"/>
              </w:rPr>
              <w:t>ejnych wierszach.</w:t>
            </w:r>
          </w:p>
          <w:p w14:paraId="3D6E2F7F"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75E477ED" w14:textId="77777777" w:rsidTr="00E10B85">
        <w:tc>
          <w:tcPr>
            <w:tcW w:w="1256" w:type="dxa"/>
          </w:tcPr>
          <w:p w14:paraId="544C448C"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0020</w:t>
            </w:r>
          </w:p>
        </w:tc>
        <w:tc>
          <w:tcPr>
            <w:tcW w:w="7889" w:type="dxa"/>
          </w:tcPr>
          <w:p w14:paraId="0CEE8781" w14:textId="01CF1853"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POZYCJE SEKURYTYZACYJNE</w:t>
            </w:r>
          </w:p>
          <w:p w14:paraId="35D10EC5"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30306A2B" w14:textId="1B737E2E" w:rsidR="00915077" w:rsidRPr="00E26EF6" w:rsidRDefault="00E026FB">
            <w:pPr>
              <w:autoSpaceDE w:val="0"/>
              <w:autoSpaceDN w:val="0"/>
              <w:adjustRightInd w:val="0"/>
              <w:spacing w:before="0" w:after="0"/>
              <w:jc w:val="left"/>
              <w:rPr>
                <w:rFonts w:ascii="Times New Roman" w:hAnsi="Times New Roman"/>
                <w:sz w:val="24"/>
              </w:rPr>
            </w:pPr>
            <w:r w:rsidRPr="00E26EF6">
              <w:rPr>
                <w:rFonts w:ascii="Times New Roman" w:hAnsi="Times New Roman"/>
                <w:sz w:val="24"/>
              </w:rPr>
              <w:t>Całkowita kwota pozostających pozycji sekurytyzacyjnych,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62 CRR, które nie stanowią resekurytyzacji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63 CRR.</w:t>
            </w:r>
          </w:p>
          <w:p w14:paraId="4C65BBDA" w14:textId="77777777" w:rsidR="00915077" w:rsidRPr="00E26EF6" w:rsidDel="002866DB"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2BC883E2" w14:textId="77777777" w:rsidTr="00E10B85">
        <w:tc>
          <w:tcPr>
            <w:tcW w:w="1256" w:type="dxa"/>
          </w:tcPr>
          <w:p w14:paraId="58D9C837"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0030</w:t>
            </w:r>
          </w:p>
        </w:tc>
        <w:tc>
          <w:tcPr>
            <w:tcW w:w="7889" w:type="dxa"/>
          </w:tcPr>
          <w:p w14:paraId="35E2CF68"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KWALIFIKUJĄCE SIĘ DO ZRÓŻNICOWANEGO TRAKTOWANIA KAPITAŁU</w:t>
            </w:r>
          </w:p>
          <w:p w14:paraId="593B920F"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4F8F63E5" w14:textId="774D06B3" w:rsidR="00915077" w:rsidRPr="00E26EF6" w:rsidRDefault="00E026FB">
            <w:pPr>
              <w:autoSpaceDE w:val="0"/>
              <w:autoSpaceDN w:val="0"/>
              <w:adjustRightInd w:val="0"/>
              <w:spacing w:before="0" w:after="0"/>
              <w:jc w:val="left"/>
              <w:rPr>
                <w:rFonts w:ascii="Times New Roman" w:hAnsi="Times New Roman"/>
                <w:sz w:val="24"/>
              </w:rPr>
            </w:pPr>
            <w:r w:rsidRPr="00E26EF6">
              <w:rPr>
                <w:rFonts w:ascii="Times New Roman" w:hAnsi="Times New Roman"/>
                <w:sz w:val="24"/>
              </w:rPr>
              <w:t>Całkowita kwota pozycji sekurytyzacyjnych, które spełniają kryteria art.</w:t>
            </w:r>
            <w:r w:rsidR="00023409" w:rsidRPr="00E26EF6">
              <w:rPr>
                <w:rFonts w:ascii="Times New Roman" w:hAnsi="Times New Roman"/>
                <w:sz w:val="24"/>
              </w:rPr>
              <w:t> </w:t>
            </w:r>
            <w:r w:rsidRPr="00E26EF6">
              <w:rPr>
                <w:rFonts w:ascii="Times New Roman" w:hAnsi="Times New Roman"/>
                <w:sz w:val="24"/>
              </w:rPr>
              <w:t>243 lub</w:t>
            </w:r>
            <w:r w:rsidR="00023409" w:rsidRPr="00E26EF6">
              <w:rPr>
                <w:rFonts w:ascii="Times New Roman" w:hAnsi="Times New Roman"/>
                <w:sz w:val="24"/>
              </w:rPr>
              <w:t> </w:t>
            </w:r>
            <w:r w:rsidRPr="00E26EF6">
              <w:rPr>
                <w:rFonts w:ascii="Times New Roman" w:hAnsi="Times New Roman"/>
                <w:sz w:val="24"/>
              </w:rPr>
              <w:t>270 CRR,</w:t>
            </w:r>
            <w:r w:rsidR="00E26EF6" w:rsidRPr="00E26EF6">
              <w:rPr>
                <w:rFonts w:ascii="Times New Roman" w:hAnsi="Times New Roman"/>
                <w:sz w:val="24"/>
              </w:rPr>
              <w:t xml:space="preserve"> a w zwi</w:t>
            </w:r>
            <w:r w:rsidRPr="00E26EF6">
              <w:rPr>
                <w:rFonts w:ascii="Times New Roman" w:hAnsi="Times New Roman"/>
                <w:sz w:val="24"/>
              </w:rPr>
              <w:t>ązku</w:t>
            </w:r>
            <w:r w:rsidR="00E26EF6" w:rsidRPr="00E26EF6">
              <w:rPr>
                <w:rFonts w:ascii="Times New Roman" w:hAnsi="Times New Roman"/>
                <w:sz w:val="24"/>
              </w:rPr>
              <w:t xml:space="preserve"> z tym</w:t>
            </w:r>
            <w:r w:rsidRPr="00E26EF6">
              <w:rPr>
                <w:rFonts w:ascii="Times New Roman" w:hAnsi="Times New Roman"/>
                <w:sz w:val="24"/>
              </w:rPr>
              <w:t xml:space="preserve"> kwalifikują się do zróżnicowanego traktowania kapitału.</w:t>
            </w:r>
          </w:p>
          <w:p w14:paraId="4AF81EF5" w14:textId="77777777" w:rsidR="00915077" w:rsidRPr="00E26EF6" w:rsidDel="002866DB"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5948BE37" w14:textId="77777777" w:rsidTr="00E10B85">
        <w:tc>
          <w:tcPr>
            <w:tcW w:w="1256" w:type="dxa"/>
          </w:tcPr>
          <w:p w14:paraId="467837A3"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0040</w:t>
            </w:r>
          </w:p>
        </w:tc>
        <w:tc>
          <w:tcPr>
            <w:tcW w:w="7889" w:type="dxa"/>
          </w:tcPr>
          <w:p w14:paraId="0CFB4D72"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xml:space="preserve">EKSPOZYCJE STS </w:t>
            </w:r>
          </w:p>
          <w:p w14:paraId="1FD6D11A"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0F209F40" w14:textId="7D9AC893" w:rsidR="00915077" w:rsidRPr="00E26EF6" w:rsidRDefault="00E026FB">
            <w:pPr>
              <w:autoSpaceDE w:val="0"/>
              <w:autoSpaceDN w:val="0"/>
              <w:adjustRightInd w:val="0"/>
              <w:spacing w:before="0" w:after="0"/>
              <w:jc w:val="left"/>
              <w:rPr>
                <w:rFonts w:ascii="Times New Roman" w:hAnsi="Times New Roman"/>
                <w:sz w:val="24"/>
              </w:rPr>
            </w:pPr>
            <w:r w:rsidRPr="00E26EF6">
              <w:rPr>
                <w:rFonts w:ascii="Times New Roman" w:hAnsi="Times New Roman"/>
                <w:sz w:val="24"/>
              </w:rPr>
              <w:t>Całkowita kwota pozycji sekurytyzacyjnych STS, które spełniają wymogi określone</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243 CRR.</w:t>
            </w:r>
          </w:p>
          <w:p w14:paraId="718A14B1" w14:textId="77777777" w:rsidR="00915077" w:rsidRPr="00E26EF6" w:rsidDel="002866DB"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7897C86A" w14:textId="77777777" w:rsidTr="00E10B85">
        <w:tc>
          <w:tcPr>
            <w:tcW w:w="1256" w:type="dxa"/>
          </w:tcPr>
          <w:p w14:paraId="56B61DD2"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0050</w:t>
            </w:r>
          </w:p>
        </w:tc>
        <w:tc>
          <w:tcPr>
            <w:tcW w:w="7889" w:type="dxa"/>
          </w:tcPr>
          <w:p w14:paraId="23A2D2F7"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xml:space="preserve">POZYCJA UPRZYWILEJOWANA W SEKURYTYZACJACH W SEKTORZE MŚP </w:t>
            </w:r>
          </w:p>
          <w:p w14:paraId="388400C2"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3B1DE0B4" w14:textId="593C6A48" w:rsidR="00915077" w:rsidRPr="00E26EF6" w:rsidRDefault="00E026FB">
            <w:pPr>
              <w:autoSpaceDE w:val="0"/>
              <w:autoSpaceDN w:val="0"/>
              <w:adjustRightInd w:val="0"/>
              <w:spacing w:before="0" w:after="0"/>
              <w:jc w:val="left"/>
              <w:rPr>
                <w:rFonts w:ascii="Times New Roman" w:hAnsi="Times New Roman"/>
                <w:sz w:val="24"/>
              </w:rPr>
            </w:pPr>
            <w:r w:rsidRPr="00E26EF6">
              <w:rPr>
                <w:rFonts w:ascii="Times New Roman" w:hAnsi="Times New Roman"/>
                <w:sz w:val="24"/>
              </w:rPr>
              <w:t>Całkowita kwota uprzywilejowanych pozycji sekurytyzacyjnych w MŚP, które spełniają warunki określone</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270 CRR.</w:t>
            </w:r>
          </w:p>
          <w:p w14:paraId="04422526" w14:textId="77777777" w:rsidR="00915077" w:rsidRPr="00E26EF6" w:rsidDel="002866DB"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2FFCA40F" w14:textId="77777777" w:rsidTr="00E10B85">
        <w:tc>
          <w:tcPr>
            <w:tcW w:w="1256" w:type="dxa"/>
          </w:tcPr>
          <w:p w14:paraId="71F091C0" w14:textId="3AE71409"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0060, 0120, 0170, 0240, 0290, 0360</w:t>
            </w:r>
            <w:r w:rsidR="00E26EF6" w:rsidRPr="00E26EF6">
              <w:rPr>
                <w:rFonts w:ascii="Times New Roman" w:hAnsi="Times New Roman"/>
                <w:bCs/>
                <w:sz w:val="24"/>
              </w:rPr>
              <w:t xml:space="preserve"> i 0</w:t>
            </w:r>
            <w:r w:rsidRPr="00E26EF6">
              <w:rPr>
                <w:rFonts w:ascii="Times New Roman" w:hAnsi="Times New Roman"/>
                <w:bCs/>
                <w:sz w:val="24"/>
              </w:rPr>
              <w:t>410</w:t>
            </w:r>
          </w:p>
        </w:tc>
        <w:tc>
          <w:tcPr>
            <w:tcW w:w="7889" w:type="dxa"/>
          </w:tcPr>
          <w:p w14:paraId="35146DB5"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NIEKWALIFIKUJĄCE SIĘ DO ZRÓŻNICOWANEGO TRAKTOWANIA KAPITAŁU</w:t>
            </w:r>
          </w:p>
          <w:p w14:paraId="6BC19570"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7C8EDDF9" w14:textId="26EA0B5B" w:rsidR="00915077" w:rsidRPr="00E26EF6" w:rsidRDefault="002409C1">
            <w:pPr>
              <w:autoSpaceDE w:val="0"/>
              <w:autoSpaceDN w:val="0"/>
              <w:adjustRightInd w:val="0"/>
              <w:spacing w:before="0" w:after="0"/>
              <w:jc w:val="left"/>
              <w:rPr>
                <w:rFonts w:ascii="Times New Roman" w:hAnsi="Times New Roman"/>
                <w:sz w:val="24"/>
              </w:rPr>
            </w:pPr>
            <w:r w:rsidRPr="00E26EF6">
              <w:rPr>
                <w:rFonts w:ascii="Times New Roman" w:hAnsi="Times New Roman"/>
                <w:sz w:val="24"/>
              </w:rPr>
              <w:t>Art. 254 ust.</w:t>
            </w:r>
            <w:r w:rsidR="00023409" w:rsidRPr="00E26EF6">
              <w:rPr>
                <w:rFonts w:ascii="Times New Roman" w:hAnsi="Times New Roman"/>
                <w:sz w:val="24"/>
              </w:rPr>
              <w:t> </w:t>
            </w:r>
            <w:r w:rsidRPr="00E26EF6">
              <w:rPr>
                <w:rFonts w:ascii="Times New Roman" w:hAnsi="Times New Roman"/>
                <w:sz w:val="24"/>
              </w:rPr>
              <w:t>1, 4, 5</w:t>
            </w:r>
            <w:r w:rsidR="00E26EF6" w:rsidRPr="00E26EF6">
              <w:rPr>
                <w:rFonts w:ascii="Times New Roman" w:hAnsi="Times New Roman"/>
                <w:sz w:val="24"/>
              </w:rPr>
              <w:t xml:space="preserve"> i 6</w:t>
            </w:r>
            <w:r w:rsidRPr="00E26EF6">
              <w:rPr>
                <w:rFonts w:ascii="Times New Roman" w:hAnsi="Times New Roman"/>
                <w:sz w:val="24"/>
              </w:rPr>
              <w:t xml:space="preserve"> oraz art.</w:t>
            </w:r>
            <w:r w:rsidR="00023409" w:rsidRPr="00E26EF6">
              <w:rPr>
                <w:rFonts w:ascii="Times New Roman" w:hAnsi="Times New Roman"/>
                <w:sz w:val="24"/>
              </w:rPr>
              <w:t> </w:t>
            </w:r>
            <w:r w:rsidRPr="00E26EF6">
              <w:rPr>
                <w:rFonts w:ascii="Times New Roman" w:hAnsi="Times New Roman"/>
                <w:sz w:val="24"/>
              </w:rPr>
              <w:t>259, 261, 263, 265, 266</w:t>
            </w:r>
            <w:r w:rsidR="00E26EF6" w:rsidRPr="00E26EF6">
              <w:rPr>
                <w:rFonts w:ascii="Times New Roman" w:hAnsi="Times New Roman"/>
                <w:sz w:val="24"/>
              </w:rPr>
              <w:t xml:space="preserve"> i 2</w:t>
            </w:r>
            <w:r w:rsidRPr="00E26EF6">
              <w:rPr>
                <w:rFonts w:ascii="Times New Roman" w:hAnsi="Times New Roman"/>
                <w:sz w:val="24"/>
              </w:rPr>
              <w:t>69 CRR</w:t>
            </w:r>
          </w:p>
          <w:p w14:paraId="0FE69611" w14:textId="77777777" w:rsidR="00915077" w:rsidRPr="00E26EF6" w:rsidRDefault="00915077">
            <w:pPr>
              <w:autoSpaceDE w:val="0"/>
              <w:autoSpaceDN w:val="0"/>
              <w:adjustRightInd w:val="0"/>
              <w:spacing w:before="0" w:after="0"/>
              <w:jc w:val="left"/>
              <w:rPr>
                <w:rFonts w:ascii="Times New Roman" w:hAnsi="Times New Roman"/>
                <w:sz w:val="24"/>
              </w:rPr>
            </w:pPr>
          </w:p>
          <w:p w14:paraId="1C17C05A" w14:textId="77777777" w:rsidR="00915077" w:rsidRPr="00E26EF6" w:rsidRDefault="00E026FB">
            <w:pPr>
              <w:autoSpaceDE w:val="0"/>
              <w:autoSpaceDN w:val="0"/>
              <w:adjustRightInd w:val="0"/>
              <w:spacing w:before="0" w:after="0"/>
              <w:jc w:val="left"/>
              <w:rPr>
                <w:rFonts w:ascii="Times New Roman" w:hAnsi="Times New Roman"/>
                <w:sz w:val="24"/>
              </w:rPr>
            </w:pPr>
            <w:r w:rsidRPr="00E26EF6">
              <w:rPr>
                <w:rFonts w:ascii="Times New Roman" w:hAnsi="Times New Roman"/>
                <w:sz w:val="24"/>
              </w:rPr>
              <w:t>Całkowita kwota pozycji sekurytyzacyjnych, które nie kwalifikują się do zróżnicowanego traktowania kapitału.</w:t>
            </w:r>
          </w:p>
          <w:p w14:paraId="563AFCAF"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361D432D" w14:textId="77777777" w:rsidTr="00E10B85">
        <w:tc>
          <w:tcPr>
            <w:tcW w:w="1256" w:type="dxa"/>
          </w:tcPr>
          <w:p w14:paraId="0A2EAF2A" w14:textId="342B8879"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0070, 0190, 0310</w:t>
            </w:r>
            <w:r w:rsidR="00E26EF6" w:rsidRPr="00E26EF6">
              <w:rPr>
                <w:rFonts w:ascii="Times New Roman" w:hAnsi="Times New Roman"/>
                <w:bCs/>
                <w:sz w:val="24"/>
              </w:rPr>
              <w:t xml:space="preserve"> i 0</w:t>
            </w:r>
            <w:r w:rsidRPr="00E26EF6">
              <w:rPr>
                <w:rFonts w:ascii="Times New Roman" w:hAnsi="Times New Roman"/>
                <w:bCs/>
                <w:sz w:val="24"/>
              </w:rPr>
              <w:t>430</w:t>
            </w:r>
          </w:p>
        </w:tc>
        <w:tc>
          <w:tcPr>
            <w:tcW w:w="7889" w:type="dxa"/>
          </w:tcPr>
          <w:p w14:paraId="3C029E52" w14:textId="5B9570D4"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POZYCJE RESEKURYTYZACYJNE</w:t>
            </w:r>
          </w:p>
          <w:p w14:paraId="4B80953E"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1EEA431E" w14:textId="5DAA4B8A" w:rsidR="00915077" w:rsidRPr="00E26EF6" w:rsidRDefault="00E026FB">
            <w:pPr>
              <w:autoSpaceDE w:val="0"/>
              <w:autoSpaceDN w:val="0"/>
              <w:adjustRightInd w:val="0"/>
              <w:spacing w:before="0" w:after="0"/>
              <w:jc w:val="left"/>
              <w:rPr>
                <w:rFonts w:ascii="Times New Roman" w:hAnsi="Times New Roman"/>
                <w:sz w:val="24"/>
              </w:rPr>
            </w:pPr>
            <w:r w:rsidRPr="00E26EF6">
              <w:rPr>
                <w:rFonts w:ascii="Times New Roman" w:hAnsi="Times New Roman"/>
                <w:sz w:val="24"/>
              </w:rPr>
              <w:t>Całkowita kwota pozostających pozycji resekurytyzacyjnych,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64 CRR.</w:t>
            </w:r>
          </w:p>
          <w:p w14:paraId="1C1D9657"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0F58EDFB" w14:textId="77777777" w:rsidTr="00E10B85">
        <w:tc>
          <w:tcPr>
            <w:tcW w:w="1256" w:type="dxa"/>
          </w:tcPr>
          <w:p w14:paraId="1BA6D856"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0080</w:t>
            </w:r>
          </w:p>
        </w:tc>
        <w:tc>
          <w:tcPr>
            <w:tcW w:w="7889" w:type="dxa"/>
          </w:tcPr>
          <w:p w14:paraId="6AC61D8D"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xml:space="preserve">JEDNOSTKA INICJUJĄCA: EKSPOZYCJE CAŁKOWITE </w:t>
            </w:r>
          </w:p>
          <w:p w14:paraId="4D68A0E9" w14:textId="77777777" w:rsidR="00915077" w:rsidRPr="00E26EF6" w:rsidRDefault="00915077">
            <w:pPr>
              <w:autoSpaceDE w:val="0"/>
              <w:autoSpaceDN w:val="0"/>
              <w:adjustRightInd w:val="0"/>
              <w:spacing w:before="0" w:after="0"/>
              <w:jc w:val="left"/>
              <w:rPr>
                <w:rFonts w:ascii="Times New Roman" w:hAnsi="Times New Roman"/>
                <w:sz w:val="24"/>
              </w:rPr>
            </w:pPr>
          </w:p>
          <w:p w14:paraId="41F1D9B2" w14:textId="509CA0E8"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Wiersz ten zawiera podsumowanie informacji na temat pozycji bilansowych</w:t>
            </w:r>
            <w:r w:rsidR="00E26EF6" w:rsidRPr="00E26EF6">
              <w:rPr>
                <w:rFonts w:ascii="Times New Roman" w:hAnsi="Times New Roman"/>
                <w:sz w:val="24"/>
              </w:rPr>
              <w:t xml:space="preserve"> i poz</w:t>
            </w:r>
            <w:r w:rsidRPr="00E26EF6">
              <w:rPr>
                <w:rFonts w:ascii="Times New Roman" w:hAnsi="Times New Roman"/>
                <w:sz w:val="24"/>
              </w:rPr>
              <w:t>abilansowych oraz instrumentów pochodnych tych pozycji sekurytyzacyjnych oraz resekurytyzacyjnych,</w:t>
            </w:r>
            <w:r w:rsidR="00E26EF6" w:rsidRPr="00E26EF6">
              <w:rPr>
                <w:rFonts w:ascii="Times New Roman" w:hAnsi="Times New Roman"/>
                <w:sz w:val="24"/>
              </w:rPr>
              <w:t xml:space="preserve"> w odn</w:t>
            </w:r>
            <w:r w:rsidRPr="00E26EF6">
              <w:rPr>
                <w:rFonts w:ascii="Times New Roman" w:hAnsi="Times New Roman"/>
                <w:sz w:val="24"/>
              </w:rPr>
              <w:t>iesieniu do których instytucja pełni rolę jednostki inicjującej,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13 CRR.</w:t>
            </w:r>
          </w:p>
          <w:p w14:paraId="76394D57" w14:textId="77777777" w:rsidR="00915077" w:rsidRPr="00E26EF6" w:rsidRDefault="00E026FB">
            <w:pPr>
              <w:autoSpaceDE w:val="0"/>
              <w:autoSpaceDN w:val="0"/>
              <w:adjustRightInd w:val="0"/>
              <w:spacing w:before="0" w:after="0"/>
              <w:rPr>
                <w:rFonts w:ascii="Times New Roman" w:hAnsi="Times New Roman"/>
                <w:b/>
                <w:sz w:val="24"/>
                <w:highlight w:val="lightGray"/>
                <w:u w:val="single"/>
              </w:rPr>
            </w:pPr>
            <w:r w:rsidRPr="00E26EF6">
              <w:rPr>
                <w:rFonts w:ascii="Times New Roman" w:hAnsi="Times New Roman"/>
                <w:b/>
                <w:sz w:val="24"/>
                <w:u w:val="single"/>
              </w:rPr>
              <w:t xml:space="preserve"> </w:t>
            </w:r>
          </w:p>
        </w:tc>
      </w:tr>
      <w:tr w:rsidR="00915077" w:rsidRPr="00E26EF6" w14:paraId="73B6FD08" w14:textId="77777777" w:rsidTr="00E10B85">
        <w:tc>
          <w:tcPr>
            <w:tcW w:w="1256" w:type="dxa"/>
          </w:tcPr>
          <w:p w14:paraId="61AE74E6"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0090-0130, 0210-0250 oraz 0330–0370</w:t>
            </w:r>
          </w:p>
        </w:tc>
        <w:tc>
          <w:tcPr>
            <w:tcW w:w="7889" w:type="dxa"/>
          </w:tcPr>
          <w:p w14:paraId="7CC776AA" w14:textId="629CD822"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xml:space="preserve">POZYCJE SEKURYTYZACYJNE: POZYCJE BILANSOWE </w:t>
            </w:r>
          </w:p>
          <w:p w14:paraId="0B20532B" w14:textId="77777777" w:rsidR="00915077" w:rsidRPr="00E26EF6" w:rsidRDefault="00915077">
            <w:pPr>
              <w:autoSpaceDE w:val="0"/>
              <w:autoSpaceDN w:val="0"/>
              <w:adjustRightInd w:val="0"/>
              <w:spacing w:before="0" w:after="0"/>
              <w:jc w:val="left"/>
              <w:rPr>
                <w:rFonts w:ascii="Times New Roman" w:hAnsi="Times New Roman"/>
                <w:sz w:val="24"/>
              </w:rPr>
            </w:pPr>
          </w:p>
          <w:p w14:paraId="72235263" w14:textId="588BF6FF" w:rsidR="00915077" w:rsidRPr="00E26EF6" w:rsidRDefault="00BB22D4">
            <w:pPr>
              <w:autoSpaceDE w:val="0"/>
              <w:autoSpaceDN w:val="0"/>
              <w:adjustRightInd w:val="0"/>
              <w:spacing w:before="0" w:after="0"/>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wartością ekspozycji</w:t>
            </w:r>
            <w:r w:rsidR="00E26EF6" w:rsidRPr="00E26EF6">
              <w:rPr>
                <w:rFonts w:ascii="Times New Roman" w:hAnsi="Times New Roman"/>
                <w:sz w:val="24"/>
              </w:rPr>
              <w:t xml:space="preserve"> z tyt</w:t>
            </w:r>
            <w:r w:rsidRPr="00E26EF6">
              <w:rPr>
                <w:rFonts w:ascii="Times New Roman" w:hAnsi="Times New Roman"/>
                <w:sz w:val="24"/>
              </w:rPr>
              <w:t>ułu bilansowej pozycji sekurytyzacyjnej jest jej wartość księgowa pozostająca po zastosowaniu</w:t>
            </w:r>
            <w:r w:rsidR="00E26EF6" w:rsidRPr="00E26EF6">
              <w:rPr>
                <w:rFonts w:ascii="Times New Roman" w:hAnsi="Times New Roman"/>
                <w:sz w:val="24"/>
              </w:rPr>
              <w:t xml:space="preserve"> w odn</w:t>
            </w:r>
            <w:r w:rsidRPr="00E26EF6">
              <w:rPr>
                <w:rFonts w:ascii="Times New Roman" w:hAnsi="Times New Roman"/>
                <w:sz w:val="24"/>
              </w:rPr>
              <w:t>iesieniu do sekurytyzacji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110 CRR wszelkich stosownych korekt</w:t>
            </w:r>
            <w:r w:rsidR="00E26EF6" w:rsidRPr="00E26EF6">
              <w:rPr>
                <w:rFonts w:ascii="Times New Roman" w:hAnsi="Times New Roman"/>
                <w:sz w:val="24"/>
              </w:rPr>
              <w:t xml:space="preserve"> z tyt</w:t>
            </w:r>
            <w:r w:rsidRPr="00E26EF6">
              <w:rPr>
                <w:rFonts w:ascii="Times New Roman" w:hAnsi="Times New Roman"/>
                <w:sz w:val="24"/>
              </w:rPr>
              <w:t>ułu szczególnego ryzyka kredytowego.</w:t>
            </w:r>
          </w:p>
          <w:p w14:paraId="757B8077" w14:textId="605CDB44"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Pozycje bilansowe dzieli się</w:t>
            </w:r>
            <w:r w:rsidR="00E26EF6" w:rsidRPr="00E26EF6">
              <w:rPr>
                <w:rFonts w:ascii="Times New Roman" w:hAnsi="Times New Roman"/>
                <w:sz w:val="24"/>
              </w:rPr>
              <w:t xml:space="preserve"> w cel</w:t>
            </w:r>
            <w:r w:rsidRPr="00E26EF6">
              <w:rPr>
                <w:rFonts w:ascii="Times New Roman" w:hAnsi="Times New Roman"/>
                <w:sz w:val="24"/>
              </w:rPr>
              <w:t>u zgromadzenia informacji dotyczących stosowania zróżnicowanego traktowania kapitału,</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243 CRR</w:t>
            </w:r>
            <w:r w:rsidR="00E26EF6" w:rsidRPr="00E26EF6">
              <w:rPr>
                <w:rFonts w:ascii="Times New Roman" w:hAnsi="Times New Roman"/>
                <w:sz w:val="24"/>
              </w:rPr>
              <w:t xml:space="preserve"> w wie</w:t>
            </w:r>
            <w:r w:rsidRPr="00E26EF6">
              <w:rPr>
                <w:rFonts w:ascii="Times New Roman" w:hAnsi="Times New Roman"/>
                <w:sz w:val="24"/>
              </w:rPr>
              <w:t>rszach 0100</w:t>
            </w:r>
            <w:r w:rsidR="00E26EF6" w:rsidRPr="00E26EF6">
              <w:rPr>
                <w:rFonts w:ascii="Times New Roman" w:hAnsi="Times New Roman"/>
                <w:sz w:val="24"/>
              </w:rPr>
              <w:t xml:space="preserve"> i 0</w:t>
            </w:r>
            <w:r w:rsidRPr="00E26EF6">
              <w:rPr>
                <w:rFonts w:ascii="Times New Roman" w:hAnsi="Times New Roman"/>
                <w:sz w:val="24"/>
              </w:rPr>
              <w:t>120 oraz informacji dotyczących całkowitej kwoty uprzywilejowanych pozycji sekurytyzacyjnych,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ust.</w:t>
            </w:r>
            <w:r w:rsidR="00023409" w:rsidRPr="00E26EF6">
              <w:rPr>
                <w:rFonts w:ascii="Times New Roman" w:hAnsi="Times New Roman"/>
                <w:sz w:val="24"/>
              </w:rPr>
              <w:t> </w:t>
            </w:r>
            <w:r w:rsidRPr="00E26EF6">
              <w:rPr>
                <w:rFonts w:ascii="Times New Roman" w:hAnsi="Times New Roman"/>
                <w:sz w:val="24"/>
              </w:rPr>
              <w:t>6 CRR</w:t>
            </w:r>
            <w:r w:rsidR="00E26EF6" w:rsidRPr="00E26EF6">
              <w:rPr>
                <w:rFonts w:ascii="Times New Roman" w:hAnsi="Times New Roman"/>
                <w:sz w:val="24"/>
              </w:rPr>
              <w:t xml:space="preserve"> w wie</w:t>
            </w:r>
            <w:r w:rsidRPr="00E26EF6">
              <w:rPr>
                <w:rFonts w:ascii="Times New Roman" w:hAnsi="Times New Roman"/>
                <w:sz w:val="24"/>
              </w:rPr>
              <w:t>rszach 0110</w:t>
            </w:r>
            <w:r w:rsidR="00E26EF6" w:rsidRPr="00E26EF6">
              <w:rPr>
                <w:rFonts w:ascii="Times New Roman" w:hAnsi="Times New Roman"/>
                <w:sz w:val="24"/>
              </w:rPr>
              <w:t xml:space="preserve"> i 0</w:t>
            </w:r>
            <w:r w:rsidRPr="00E26EF6">
              <w:rPr>
                <w:rFonts w:ascii="Times New Roman" w:hAnsi="Times New Roman"/>
                <w:sz w:val="24"/>
              </w:rPr>
              <w:t>130.</w:t>
            </w:r>
          </w:p>
          <w:p w14:paraId="1DFC50DD" w14:textId="77777777" w:rsidR="00915077" w:rsidRPr="00E26EF6" w:rsidRDefault="00915077">
            <w:pPr>
              <w:autoSpaceDE w:val="0"/>
              <w:autoSpaceDN w:val="0"/>
              <w:adjustRightInd w:val="0"/>
              <w:spacing w:before="0" w:after="0"/>
              <w:rPr>
                <w:rFonts w:ascii="Times New Roman" w:hAnsi="Times New Roman"/>
                <w:b/>
                <w:sz w:val="24"/>
                <w:highlight w:val="lightGray"/>
                <w:u w:val="single"/>
              </w:rPr>
            </w:pPr>
          </w:p>
        </w:tc>
      </w:tr>
      <w:tr w:rsidR="00915077" w:rsidRPr="00E26EF6" w14:paraId="4D2F6B40" w14:textId="77777777" w:rsidTr="00E10B85">
        <w:tc>
          <w:tcPr>
            <w:tcW w:w="1256" w:type="dxa"/>
          </w:tcPr>
          <w:p w14:paraId="4E161870"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0100, 0220 oraz 0340</w:t>
            </w:r>
          </w:p>
        </w:tc>
        <w:tc>
          <w:tcPr>
            <w:tcW w:w="7889" w:type="dxa"/>
          </w:tcPr>
          <w:p w14:paraId="40B45655"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KWALIFIKUJĄCE SIĘ DO ZRÓŻNICOWANEGO TRAKTOWANIA KAPITAŁU</w:t>
            </w:r>
          </w:p>
          <w:p w14:paraId="6160C5F5"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589721FE" w14:textId="474CBC98" w:rsidR="00915077" w:rsidRPr="00E26EF6" w:rsidRDefault="00E026FB">
            <w:pPr>
              <w:autoSpaceDE w:val="0"/>
              <w:autoSpaceDN w:val="0"/>
              <w:adjustRightInd w:val="0"/>
              <w:spacing w:before="0" w:after="0"/>
              <w:jc w:val="left"/>
              <w:rPr>
                <w:rFonts w:ascii="Times New Roman" w:hAnsi="Times New Roman"/>
                <w:sz w:val="24"/>
              </w:rPr>
            </w:pPr>
            <w:r w:rsidRPr="00E26EF6">
              <w:rPr>
                <w:rFonts w:ascii="Times New Roman" w:hAnsi="Times New Roman"/>
                <w:sz w:val="24"/>
              </w:rPr>
              <w:t>Całkowita kwota pozycji sekurytyzacyjnych, które spełniają kryteria art.</w:t>
            </w:r>
            <w:r w:rsidR="00023409" w:rsidRPr="00E26EF6">
              <w:rPr>
                <w:rFonts w:ascii="Times New Roman" w:hAnsi="Times New Roman"/>
                <w:sz w:val="24"/>
              </w:rPr>
              <w:t> </w:t>
            </w:r>
            <w:r w:rsidRPr="00E26EF6">
              <w:rPr>
                <w:rFonts w:ascii="Times New Roman" w:hAnsi="Times New Roman"/>
                <w:sz w:val="24"/>
              </w:rPr>
              <w:t>243 CRR,</w:t>
            </w:r>
            <w:r w:rsidR="00E26EF6" w:rsidRPr="00E26EF6">
              <w:rPr>
                <w:rFonts w:ascii="Times New Roman" w:hAnsi="Times New Roman"/>
                <w:sz w:val="24"/>
              </w:rPr>
              <w:t xml:space="preserve"> a w zwi</w:t>
            </w:r>
            <w:r w:rsidRPr="00E26EF6">
              <w:rPr>
                <w:rFonts w:ascii="Times New Roman" w:hAnsi="Times New Roman"/>
                <w:sz w:val="24"/>
              </w:rPr>
              <w:t>ązku</w:t>
            </w:r>
            <w:r w:rsidR="00E26EF6" w:rsidRPr="00E26EF6">
              <w:rPr>
                <w:rFonts w:ascii="Times New Roman" w:hAnsi="Times New Roman"/>
                <w:sz w:val="24"/>
              </w:rPr>
              <w:t xml:space="preserve"> z tym</w:t>
            </w:r>
            <w:r w:rsidRPr="00E26EF6">
              <w:rPr>
                <w:rFonts w:ascii="Times New Roman" w:hAnsi="Times New Roman"/>
                <w:sz w:val="24"/>
              </w:rPr>
              <w:t xml:space="preserve"> kwalifikują się do zróżnicowanego traktowania kapitału.</w:t>
            </w:r>
          </w:p>
          <w:p w14:paraId="38FFECE2"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467718DD" w14:textId="77777777" w:rsidTr="00E10B85">
        <w:tc>
          <w:tcPr>
            <w:tcW w:w="1256" w:type="dxa"/>
          </w:tcPr>
          <w:p w14:paraId="2F32453A"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0110, 0130, 0160, 0180, 0230, 0250, 0280, 0300, 0350, 0370, 400 oraz 420</w:t>
            </w:r>
          </w:p>
        </w:tc>
        <w:tc>
          <w:tcPr>
            <w:tcW w:w="7889" w:type="dxa"/>
          </w:tcPr>
          <w:p w14:paraId="369686C8"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W TYM: EKSPOZYCJE UPRZYWILEJOWANE</w:t>
            </w:r>
          </w:p>
          <w:p w14:paraId="47BD6FC9"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497656A6" w14:textId="1A1E441F" w:rsidR="00915077" w:rsidRPr="00E26EF6" w:rsidRDefault="00E026FB">
            <w:pPr>
              <w:autoSpaceDE w:val="0"/>
              <w:autoSpaceDN w:val="0"/>
              <w:adjustRightInd w:val="0"/>
              <w:spacing w:before="0" w:after="0"/>
              <w:jc w:val="left"/>
              <w:rPr>
                <w:rFonts w:ascii="Times New Roman" w:hAnsi="Times New Roman"/>
                <w:sz w:val="24"/>
              </w:rPr>
            </w:pPr>
            <w:r w:rsidRPr="00E26EF6">
              <w:rPr>
                <w:rFonts w:ascii="Times New Roman" w:hAnsi="Times New Roman"/>
                <w:sz w:val="24"/>
              </w:rPr>
              <w:t>Całkowita kwota uprzywilejowanych pozycji sekurytyzacyjnych zdefiniowana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ust.</w:t>
            </w:r>
            <w:r w:rsidR="00023409" w:rsidRPr="00E26EF6">
              <w:rPr>
                <w:rFonts w:ascii="Times New Roman" w:hAnsi="Times New Roman"/>
                <w:sz w:val="24"/>
              </w:rPr>
              <w:t> </w:t>
            </w:r>
            <w:r w:rsidRPr="00E26EF6">
              <w:rPr>
                <w:rFonts w:ascii="Times New Roman" w:hAnsi="Times New Roman"/>
                <w:sz w:val="24"/>
              </w:rPr>
              <w:t>6 CRR.</w:t>
            </w:r>
          </w:p>
          <w:p w14:paraId="5BE6F5F8"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7D7442D1" w14:textId="77777777" w:rsidTr="00E10B85">
        <w:tc>
          <w:tcPr>
            <w:tcW w:w="1256" w:type="dxa"/>
          </w:tcPr>
          <w:p w14:paraId="6201B418"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0140–0180, 0260–0300 oraz 0380–0420</w:t>
            </w:r>
          </w:p>
        </w:tc>
        <w:tc>
          <w:tcPr>
            <w:tcW w:w="7889" w:type="dxa"/>
          </w:tcPr>
          <w:p w14:paraId="7666E671" w14:textId="159866FD" w:rsidR="00915077" w:rsidRPr="00E26EF6" w:rsidRDefault="00E026FB">
            <w:pPr>
              <w:spacing w:before="0" w:after="0"/>
              <w:rPr>
                <w:rFonts w:ascii="Times New Roman" w:hAnsi="Times New Roman"/>
                <w:b/>
                <w:sz w:val="24"/>
                <w:u w:val="single"/>
              </w:rPr>
            </w:pPr>
            <w:r w:rsidRPr="00E26EF6">
              <w:rPr>
                <w:rFonts w:ascii="Times New Roman" w:hAnsi="Times New Roman"/>
                <w:b/>
                <w:sz w:val="24"/>
                <w:u w:val="single"/>
              </w:rPr>
              <w:t>POZYCJE SEKURYTYZACYJNE: POZYCJE POZABILANSOWE I INSTRUMENTY POCHODNE</w:t>
            </w:r>
          </w:p>
          <w:p w14:paraId="64A36234" w14:textId="77777777" w:rsidR="00915077" w:rsidRPr="00E26EF6" w:rsidRDefault="00915077">
            <w:pPr>
              <w:autoSpaceDE w:val="0"/>
              <w:autoSpaceDN w:val="0"/>
              <w:adjustRightInd w:val="0"/>
              <w:spacing w:before="0" w:after="0"/>
              <w:jc w:val="left"/>
              <w:rPr>
                <w:rFonts w:ascii="Times New Roman" w:hAnsi="Times New Roman"/>
                <w:sz w:val="24"/>
              </w:rPr>
            </w:pPr>
          </w:p>
          <w:p w14:paraId="6AFB471F" w14:textId="43657C3F" w:rsidR="00915077" w:rsidRPr="00E26EF6" w:rsidRDefault="00E026FB">
            <w:pPr>
              <w:autoSpaceDE w:val="0"/>
              <w:autoSpaceDN w:val="0"/>
              <w:adjustRightInd w:val="0"/>
              <w:spacing w:before="0" w:after="0"/>
              <w:rPr>
                <w:rFonts w:ascii="Times New Roman" w:hAnsi="Times New Roman"/>
                <w:i/>
                <w:sz w:val="24"/>
              </w:rPr>
            </w:pPr>
            <w:r w:rsidRPr="00E26EF6">
              <w:rPr>
                <w:rFonts w:ascii="Times New Roman" w:hAnsi="Times New Roman"/>
                <w:sz w:val="24"/>
              </w:rPr>
              <w:t>W wierszach tych gromadzone są informacje</w:t>
            </w:r>
            <w:r w:rsidR="00E26EF6" w:rsidRPr="00E26EF6">
              <w:rPr>
                <w:rFonts w:ascii="Times New Roman" w:hAnsi="Times New Roman"/>
                <w:sz w:val="24"/>
              </w:rPr>
              <w:t xml:space="preserve"> o poz</w:t>
            </w:r>
            <w:r w:rsidRPr="00E26EF6">
              <w:rPr>
                <w:rFonts w:ascii="Times New Roman" w:hAnsi="Times New Roman"/>
                <w:sz w:val="24"/>
              </w:rPr>
              <w:t>ycjach pozabilansowych</w:t>
            </w:r>
            <w:r w:rsidR="00E26EF6" w:rsidRPr="00E26EF6">
              <w:rPr>
                <w:rFonts w:ascii="Times New Roman" w:hAnsi="Times New Roman"/>
                <w:sz w:val="24"/>
              </w:rPr>
              <w:t xml:space="preserve"> i ins</w:t>
            </w:r>
            <w:r w:rsidRPr="00E26EF6">
              <w:rPr>
                <w:rFonts w:ascii="Times New Roman" w:hAnsi="Times New Roman"/>
                <w:sz w:val="24"/>
              </w:rPr>
              <w:t>trumentach pochodnych dotyczących pozycji sekurytyzacyjnych, wobec których stosuje się współczynnik konwersji</w:t>
            </w:r>
            <w:r w:rsidR="00E26EF6" w:rsidRPr="00E26EF6">
              <w:rPr>
                <w:rFonts w:ascii="Times New Roman" w:hAnsi="Times New Roman"/>
                <w:sz w:val="24"/>
              </w:rPr>
              <w:t xml:space="preserve"> w ram</w:t>
            </w:r>
            <w:r w:rsidRPr="00E26EF6">
              <w:rPr>
                <w:rFonts w:ascii="Times New Roman" w:hAnsi="Times New Roman"/>
                <w:sz w:val="24"/>
              </w:rPr>
              <w:t>ach koncepcji sekurytyzacji. Wartością ekspozycji</w:t>
            </w:r>
            <w:r w:rsidR="00E26EF6" w:rsidRPr="00E26EF6">
              <w:rPr>
                <w:rFonts w:ascii="Times New Roman" w:hAnsi="Times New Roman"/>
                <w:sz w:val="24"/>
              </w:rPr>
              <w:t xml:space="preserve"> z tyt</w:t>
            </w:r>
            <w:r w:rsidRPr="00E26EF6">
              <w:rPr>
                <w:rFonts w:ascii="Times New Roman" w:hAnsi="Times New Roman"/>
                <w:sz w:val="24"/>
              </w:rPr>
              <w:t>ułu pozabilansowej pozycji sekurytyzacyjnej jest jej wartość nominalna pomniejszona</w:t>
            </w:r>
            <w:r w:rsidR="00E26EF6" w:rsidRPr="00E26EF6">
              <w:rPr>
                <w:rFonts w:ascii="Times New Roman" w:hAnsi="Times New Roman"/>
                <w:sz w:val="24"/>
              </w:rPr>
              <w:t xml:space="preserve"> o war</w:t>
            </w:r>
            <w:r w:rsidRPr="00E26EF6">
              <w:rPr>
                <w:rFonts w:ascii="Times New Roman" w:hAnsi="Times New Roman"/>
                <w:sz w:val="24"/>
              </w:rPr>
              <w:t>tość wszelkich korekt</w:t>
            </w:r>
            <w:r w:rsidR="00E26EF6" w:rsidRPr="00E26EF6">
              <w:rPr>
                <w:rFonts w:ascii="Times New Roman" w:hAnsi="Times New Roman"/>
                <w:sz w:val="24"/>
              </w:rPr>
              <w:t xml:space="preserve"> z tyt</w:t>
            </w:r>
            <w:r w:rsidRPr="00E26EF6">
              <w:rPr>
                <w:rFonts w:ascii="Times New Roman" w:hAnsi="Times New Roman"/>
                <w:sz w:val="24"/>
              </w:rPr>
              <w:t xml:space="preserve">ułu </w:t>
            </w:r>
            <w:r w:rsidRPr="00E26EF6">
              <w:rPr>
                <w:rFonts w:ascii="Times New Roman" w:hAnsi="Times New Roman"/>
                <w:sz w:val="24"/>
              </w:rPr>
              <w:lastRenderedPageBreak/>
              <w:t>szczególnego ryzyka kredytowego dotyczących tej pozycji sekurytyzacyjnej</w:t>
            </w:r>
            <w:r w:rsidR="00E26EF6" w:rsidRPr="00E26EF6">
              <w:rPr>
                <w:rFonts w:ascii="Times New Roman" w:hAnsi="Times New Roman"/>
                <w:sz w:val="24"/>
              </w:rPr>
              <w:t xml:space="preserve"> i pom</w:t>
            </w:r>
            <w:r w:rsidRPr="00E26EF6">
              <w:rPr>
                <w:rFonts w:ascii="Times New Roman" w:hAnsi="Times New Roman"/>
                <w:sz w:val="24"/>
              </w:rPr>
              <w:t>nożona przez 100</w:t>
            </w:r>
            <w:r w:rsidR="00023409" w:rsidRPr="00E26EF6">
              <w:rPr>
                <w:rFonts w:ascii="Times New Roman" w:hAnsi="Times New Roman"/>
                <w:sz w:val="24"/>
              </w:rPr>
              <w:t> </w:t>
            </w:r>
            <w:r w:rsidRPr="00E26EF6">
              <w:rPr>
                <w:rFonts w:ascii="Times New Roman" w:hAnsi="Times New Roman"/>
                <w:sz w:val="24"/>
              </w:rPr>
              <w:t>% wartości współczynnika konwersji,</w:t>
            </w:r>
            <w:r w:rsidR="00E26EF6" w:rsidRPr="00E26EF6">
              <w:rPr>
                <w:rFonts w:ascii="Times New Roman" w:hAnsi="Times New Roman"/>
                <w:sz w:val="24"/>
              </w:rPr>
              <w:t xml:space="preserve"> o ile</w:t>
            </w:r>
            <w:r w:rsidRPr="00E26EF6">
              <w:rPr>
                <w:rFonts w:ascii="Times New Roman" w:hAnsi="Times New Roman"/>
                <w:sz w:val="24"/>
              </w:rPr>
              <w:t xml:space="preserve"> nie przewidziano inaczej.</w:t>
            </w:r>
          </w:p>
          <w:p w14:paraId="44E44F1F" w14:textId="77777777" w:rsidR="00915077" w:rsidRPr="00E26EF6" w:rsidRDefault="00915077">
            <w:pPr>
              <w:autoSpaceDE w:val="0"/>
              <w:autoSpaceDN w:val="0"/>
              <w:adjustRightInd w:val="0"/>
              <w:spacing w:before="0" w:after="0"/>
              <w:rPr>
                <w:rFonts w:ascii="Times New Roman" w:hAnsi="Times New Roman"/>
                <w:i/>
                <w:sz w:val="24"/>
              </w:rPr>
            </w:pPr>
          </w:p>
          <w:p w14:paraId="05BC309B" w14:textId="47FB5A71"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Pozabilansowe pozycje sekurytyzacyjne wynikające</w:t>
            </w:r>
            <w:r w:rsidR="00E26EF6" w:rsidRPr="00E26EF6">
              <w:rPr>
                <w:rFonts w:ascii="Times New Roman" w:hAnsi="Times New Roman"/>
                <w:sz w:val="24"/>
              </w:rPr>
              <w:t xml:space="preserve"> z ins</w:t>
            </w:r>
            <w:r w:rsidRPr="00E26EF6">
              <w:rPr>
                <w:rFonts w:ascii="Times New Roman" w:hAnsi="Times New Roman"/>
                <w:sz w:val="24"/>
              </w:rPr>
              <w:t>trumentu pochodnego wymienionego</w:t>
            </w:r>
            <w:r w:rsidR="00E26EF6" w:rsidRPr="00E26EF6">
              <w:rPr>
                <w:rFonts w:ascii="Times New Roman" w:hAnsi="Times New Roman"/>
                <w:sz w:val="24"/>
              </w:rPr>
              <w:t xml:space="preserve"> w zał</w:t>
            </w:r>
            <w:r w:rsidRPr="00E26EF6">
              <w:rPr>
                <w:rFonts w:ascii="Times New Roman" w:hAnsi="Times New Roman"/>
                <w:sz w:val="24"/>
              </w:rPr>
              <w:t>ączniku II do CRR określa się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 6 CRR. Wartość ekspozycji na ryzyko kredytowe kontrahenta</w:t>
            </w:r>
            <w:r w:rsidR="00E26EF6" w:rsidRPr="00E26EF6">
              <w:rPr>
                <w:rFonts w:ascii="Times New Roman" w:hAnsi="Times New Roman"/>
                <w:sz w:val="24"/>
              </w:rPr>
              <w:t xml:space="preserve"> z tyt</w:t>
            </w:r>
            <w:r w:rsidRPr="00E26EF6">
              <w:rPr>
                <w:rFonts w:ascii="Times New Roman" w:hAnsi="Times New Roman"/>
                <w:sz w:val="24"/>
              </w:rPr>
              <w:t>ułu instrumentu pochodnego wymienionego</w:t>
            </w:r>
            <w:r w:rsidR="00E26EF6" w:rsidRPr="00E26EF6">
              <w:rPr>
                <w:rFonts w:ascii="Times New Roman" w:hAnsi="Times New Roman"/>
                <w:sz w:val="24"/>
              </w:rPr>
              <w:t xml:space="preserve"> w zał</w:t>
            </w:r>
            <w:r w:rsidRPr="00E26EF6">
              <w:rPr>
                <w:rFonts w:ascii="Times New Roman" w:hAnsi="Times New Roman"/>
                <w:sz w:val="24"/>
              </w:rPr>
              <w:t>ączniku do II CRR określa się zgodnie</w:t>
            </w:r>
            <w:r w:rsidR="00E26EF6" w:rsidRPr="00E26EF6">
              <w:rPr>
                <w:rFonts w:ascii="Times New Roman" w:hAnsi="Times New Roman"/>
                <w:sz w:val="24"/>
              </w:rPr>
              <w:t xml:space="preserve"> z czę</w:t>
            </w:r>
            <w:r w:rsidRPr="00E26EF6">
              <w:rPr>
                <w:rFonts w:ascii="Times New Roman" w:hAnsi="Times New Roman"/>
                <w:sz w:val="24"/>
              </w:rPr>
              <w:t xml:space="preserve">ścią trzecią tytuł II rozdział 6 CRR. </w:t>
            </w:r>
          </w:p>
          <w:p w14:paraId="1FA163B5" w14:textId="77777777" w:rsidR="00915077" w:rsidRPr="00E26EF6" w:rsidRDefault="00915077">
            <w:pPr>
              <w:autoSpaceDE w:val="0"/>
              <w:autoSpaceDN w:val="0"/>
              <w:adjustRightInd w:val="0"/>
              <w:spacing w:before="0" w:after="0"/>
              <w:rPr>
                <w:rFonts w:ascii="Times New Roman" w:hAnsi="Times New Roman"/>
                <w:sz w:val="24"/>
              </w:rPr>
            </w:pPr>
          </w:p>
          <w:p w14:paraId="0D7ACF7A" w14:textId="5EA6BB49"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 odniesieniu do instrumentów wsparcia płynności, zobowiązań kredytowych</w:t>
            </w:r>
            <w:r w:rsidR="00E26EF6" w:rsidRPr="00E26EF6">
              <w:rPr>
                <w:rFonts w:ascii="Times New Roman" w:hAnsi="Times New Roman"/>
                <w:sz w:val="24"/>
              </w:rPr>
              <w:t xml:space="preserve"> i zal</w:t>
            </w:r>
            <w:r w:rsidRPr="00E26EF6">
              <w:rPr>
                <w:rFonts w:ascii="Times New Roman" w:hAnsi="Times New Roman"/>
                <w:sz w:val="24"/>
              </w:rPr>
              <w:t>iczek gotówkowych jednostki obsługującej instytucje podają niewykorzystane kwoty.</w:t>
            </w:r>
          </w:p>
          <w:p w14:paraId="3B76420E" w14:textId="77777777" w:rsidR="00915077" w:rsidRPr="00E26EF6" w:rsidRDefault="00915077">
            <w:pPr>
              <w:autoSpaceDE w:val="0"/>
              <w:autoSpaceDN w:val="0"/>
              <w:adjustRightInd w:val="0"/>
              <w:spacing w:before="0" w:after="0"/>
              <w:rPr>
                <w:rFonts w:ascii="Times New Roman" w:hAnsi="Times New Roman"/>
                <w:sz w:val="24"/>
              </w:rPr>
            </w:pPr>
          </w:p>
          <w:p w14:paraId="42D0D88B" w14:textId="0952AD54"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Jeżeli chodzi</w:t>
            </w:r>
            <w:r w:rsidR="00E26EF6" w:rsidRPr="00E26EF6">
              <w:rPr>
                <w:rFonts w:ascii="Times New Roman" w:hAnsi="Times New Roman"/>
                <w:sz w:val="24"/>
              </w:rPr>
              <w:t xml:space="preserve"> o sto</w:t>
            </w:r>
            <w:r w:rsidRPr="00E26EF6">
              <w:rPr>
                <w:rFonts w:ascii="Times New Roman" w:hAnsi="Times New Roman"/>
                <w:sz w:val="24"/>
              </w:rPr>
              <w:t>pę procentową</w:t>
            </w:r>
            <w:r w:rsidR="00E26EF6" w:rsidRPr="00E26EF6">
              <w:rPr>
                <w:rFonts w:ascii="Times New Roman" w:hAnsi="Times New Roman"/>
                <w:sz w:val="24"/>
              </w:rPr>
              <w:t xml:space="preserve"> i swa</w:t>
            </w:r>
            <w:r w:rsidRPr="00E26EF6">
              <w:rPr>
                <w:rFonts w:ascii="Times New Roman" w:hAnsi="Times New Roman"/>
                <w:sz w:val="24"/>
              </w:rPr>
              <w:t>py walutowe, podaje się wartość ekspozycji (obliczaną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248 ust.</w:t>
            </w:r>
            <w:r w:rsidR="00023409" w:rsidRPr="00E26EF6">
              <w:rPr>
                <w:rFonts w:ascii="Times New Roman" w:hAnsi="Times New Roman"/>
                <w:sz w:val="24"/>
              </w:rPr>
              <w:t> </w:t>
            </w:r>
            <w:r w:rsidRPr="00E26EF6">
              <w:rPr>
                <w:rFonts w:ascii="Times New Roman" w:hAnsi="Times New Roman"/>
                <w:sz w:val="24"/>
              </w:rPr>
              <w:t>1 CRR).</w:t>
            </w:r>
          </w:p>
          <w:p w14:paraId="611034F2" w14:textId="77777777" w:rsidR="00915077" w:rsidRPr="00E26EF6" w:rsidRDefault="00915077">
            <w:pPr>
              <w:autoSpaceDE w:val="0"/>
              <w:autoSpaceDN w:val="0"/>
              <w:adjustRightInd w:val="0"/>
              <w:spacing w:before="0" w:after="0"/>
              <w:rPr>
                <w:rFonts w:ascii="Times New Roman" w:hAnsi="Times New Roman"/>
                <w:sz w:val="24"/>
              </w:rPr>
            </w:pPr>
          </w:p>
          <w:p w14:paraId="45CC09B2" w14:textId="5D75A345"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Pozycje bilansowe</w:t>
            </w:r>
            <w:r w:rsidR="00E26EF6" w:rsidRPr="00E26EF6">
              <w:rPr>
                <w:rFonts w:ascii="Times New Roman" w:hAnsi="Times New Roman"/>
                <w:sz w:val="24"/>
              </w:rPr>
              <w:t xml:space="preserve"> i ins</w:t>
            </w:r>
            <w:r w:rsidRPr="00E26EF6">
              <w:rPr>
                <w:rFonts w:ascii="Times New Roman" w:hAnsi="Times New Roman"/>
                <w:sz w:val="24"/>
              </w:rPr>
              <w:t>trumenty pochodne dzieli się</w:t>
            </w:r>
            <w:r w:rsidR="00E26EF6" w:rsidRPr="00E26EF6">
              <w:rPr>
                <w:rFonts w:ascii="Times New Roman" w:hAnsi="Times New Roman"/>
                <w:sz w:val="24"/>
              </w:rPr>
              <w:t xml:space="preserve"> w cel</w:t>
            </w:r>
            <w:r w:rsidRPr="00E26EF6">
              <w:rPr>
                <w:rFonts w:ascii="Times New Roman" w:hAnsi="Times New Roman"/>
                <w:sz w:val="24"/>
              </w:rPr>
              <w:t>u zgromadzenia informacji dotyczących stosowania zróżnicowanego traktowania kapitału,</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270 CRR</w:t>
            </w:r>
            <w:r w:rsidR="00E26EF6" w:rsidRPr="00E26EF6">
              <w:rPr>
                <w:rFonts w:ascii="Times New Roman" w:hAnsi="Times New Roman"/>
                <w:sz w:val="24"/>
              </w:rPr>
              <w:t xml:space="preserve"> w wie</w:t>
            </w:r>
            <w:r w:rsidRPr="00E26EF6">
              <w:rPr>
                <w:rFonts w:ascii="Times New Roman" w:hAnsi="Times New Roman"/>
                <w:sz w:val="24"/>
              </w:rPr>
              <w:t>rszach 0150</w:t>
            </w:r>
            <w:r w:rsidR="00E26EF6" w:rsidRPr="00E26EF6">
              <w:rPr>
                <w:rFonts w:ascii="Times New Roman" w:hAnsi="Times New Roman"/>
                <w:sz w:val="24"/>
              </w:rPr>
              <w:t xml:space="preserve"> i 0</w:t>
            </w:r>
            <w:r w:rsidRPr="00E26EF6">
              <w:rPr>
                <w:rFonts w:ascii="Times New Roman" w:hAnsi="Times New Roman"/>
                <w:sz w:val="24"/>
              </w:rPr>
              <w:t>170 oraz informacji dotyczących całkowitej kwoty uprzywilejowanych pozycji sekurytyzacyjnych,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ust.</w:t>
            </w:r>
            <w:r w:rsidR="00023409" w:rsidRPr="00E26EF6">
              <w:rPr>
                <w:rFonts w:ascii="Times New Roman" w:hAnsi="Times New Roman"/>
                <w:sz w:val="24"/>
              </w:rPr>
              <w:t> </w:t>
            </w:r>
            <w:r w:rsidRPr="00E26EF6">
              <w:rPr>
                <w:rFonts w:ascii="Times New Roman" w:hAnsi="Times New Roman"/>
                <w:sz w:val="24"/>
              </w:rPr>
              <w:t>6 CRR</w:t>
            </w:r>
            <w:r w:rsidR="00E26EF6" w:rsidRPr="00E26EF6">
              <w:rPr>
                <w:rFonts w:ascii="Times New Roman" w:hAnsi="Times New Roman"/>
                <w:sz w:val="24"/>
              </w:rPr>
              <w:t xml:space="preserve"> w wie</w:t>
            </w:r>
            <w:r w:rsidRPr="00E26EF6">
              <w:rPr>
                <w:rFonts w:ascii="Times New Roman" w:hAnsi="Times New Roman"/>
                <w:sz w:val="24"/>
              </w:rPr>
              <w:t>rszach 0160</w:t>
            </w:r>
            <w:r w:rsidR="00E26EF6" w:rsidRPr="00E26EF6">
              <w:rPr>
                <w:rFonts w:ascii="Times New Roman" w:hAnsi="Times New Roman"/>
                <w:sz w:val="24"/>
              </w:rPr>
              <w:t xml:space="preserve"> i 0</w:t>
            </w:r>
            <w:r w:rsidRPr="00E26EF6">
              <w:rPr>
                <w:rFonts w:ascii="Times New Roman" w:hAnsi="Times New Roman"/>
                <w:sz w:val="24"/>
              </w:rPr>
              <w:t>180. Takie same odniesienia prawne stosuje się do wierszy 0100–0130.</w:t>
            </w:r>
          </w:p>
          <w:p w14:paraId="3F9CCD14"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16F69C0F" w14:textId="77777777" w:rsidTr="00E10B85">
        <w:tc>
          <w:tcPr>
            <w:tcW w:w="1256" w:type="dxa"/>
          </w:tcPr>
          <w:p w14:paraId="703441DC"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0150, 0270 oraz 0390</w:t>
            </w:r>
          </w:p>
        </w:tc>
        <w:tc>
          <w:tcPr>
            <w:tcW w:w="7889" w:type="dxa"/>
          </w:tcPr>
          <w:p w14:paraId="1FCF9188"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KWALIFIKUJĄCE SIĘ DO ZRÓŻNICOWANEGO TRAKTOWANIA KAPITAŁU</w:t>
            </w:r>
          </w:p>
          <w:p w14:paraId="790EC494"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4698481E" w14:textId="01B1FA35" w:rsidR="00915077" w:rsidRPr="00E26EF6" w:rsidRDefault="00E026FB">
            <w:pPr>
              <w:autoSpaceDE w:val="0"/>
              <w:autoSpaceDN w:val="0"/>
              <w:adjustRightInd w:val="0"/>
              <w:spacing w:before="0" w:after="0"/>
              <w:jc w:val="left"/>
              <w:rPr>
                <w:rFonts w:ascii="Times New Roman" w:hAnsi="Times New Roman"/>
                <w:sz w:val="24"/>
              </w:rPr>
            </w:pPr>
            <w:r w:rsidRPr="00E26EF6">
              <w:rPr>
                <w:rFonts w:ascii="Times New Roman" w:hAnsi="Times New Roman"/>
                <w:sz w:val="24"/>
              </w:rPr>
              <w:t>Całkowita kwota pozycji sekurytyzacyjnych, które spełniają kryteria art.</w:t>
            </w:r>
            <w:r w:rsidR="00023409" w:rsidRPr="00E26EF6">
              <w:rPr>
                <w:rFonts w:ascii="Times New Roman" w:hAnsi="Times New Roman"/>
                <w:sz w:val="24"/>
              </w:rPr>
              <w:t> </w:t>
            </w:r>
            <w:r w:rsidRPr="00E26EF6">
              <w:rPr>
                <w:rFonts w:ascii="Times New Roman" w:hAnsi="Times New Roman"/>
                <w:sz w:val="24"/>
              </w:rPr>
              <w:t>243 lub art.</w:t>
            </w:r>
            <w:r w:rsidR="00023409" w:rsidRPr="00E26EF6">
              <w:rPr>
                <w:rFonts w:ascii="Times New Roman" w:hAnsi="Times New Roman"/>
                <w:sz w:val="24"/>
              </w:rPr>
              <w:t> </w:t>
            </w:r>
            <w:r w:rsidRPr="00E26EF6">
              <w:rPr>
                <w:rFonts w:ascii="Times New Roman" w:hAnsi="Times New Roman"/>
                <w:sz w:val="24"/>
              </w:rPr>
              <w:t>270 CRR,</w:t>
            </w:r>
            <w:r w:rsidR="00E26EF6" w:rsidRPr="00E26EF6">
              <w:rPr>
                <w:rFonts w:ascii="Times New Roman" w:hAnsi="Times New Roman"/>
                <w:sz w:val="24"/>
              </w:rPr>
              <w:t xml:space="preserve"> a w zwi</w:t>
            </w:r>
            <w:r w:rsidRPr="00E26EF6">
              <w:rPr>
                <w:rFonts w:ascii="Times New Roman" w:hAnsi="Times New Roman"/>
                <w:sz w:val="24"/>
              </w:rPr>
              <w:t>ązku</w:t>
            </w:r>
            <w:r w:rsidR="00E26EF6" w:rsidRPr="00E26EF6">
              <w:rPr>
                <w:rFonts w:ascii="Times New Roman" w:hAnsi="Times New Roman"/>
                <w:sz w:val="24"/>
              </w:rPr>
              <w:t xml:space="preserve"> z tym</w:t>
            </w:r>
            <w:r w:rsidRPr="00E26EF6">
              <w:rPr>
                <w:rFonts w:ascii="Times New Roman" w:hAnsi="Times New Roman"/>
                <w:sz w:val="24"/>
              </w:rPr>
              <w:t xml:space="preserve"> kwalifikują się do zróżnicowanego traktowania kapitału.</w:t>
            </w:r>
          </w:p>
          <w:p w14:paraId="5B138588" w14:textId="77777777" w:rsidR="00915077" w:rsidRPr="00E26EF6" w:rsidRDefault="00915077">
            <w:pPr>
              <w:spacing w:before="0" w:after="0"/>
              <w:rPr>
                <w:rFonts w:ascii="Times New Roman" w:hAnsi="Times New Roman"/>
                <w:b/>
                <w:sz w:val="24"/>
                <w:highlight w:val="lightGray"/>
                <w:u w:val="single"/>
              </w:rPr>
            </w:pPr>
          </w:p>
        </w:tc>
      </w:tr>
      <w:tr w:rsidR="00915077" w:rsidRPr="00E26EF6" w14:paraId="5CE68763" w14:textId="77777777" w:rsidTr="00E10B85">
        <w:tc>
          <w:tcPr>
            <w:tcW w:w="1256" w:type="dxa"/>
          </w:tcPr>
          <w:p w14:paraId="0DCDA346"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0200</w:t>
            </w:r>
          </w:p>
        </w:tc>
        <w:tc>
          <w:tcPr>
            <w:tcW w:w="7889" w:type="dxa"/>
          </w:tcPr>
          <w:p w14:paraId="24FD7445"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xml:space="preserve">INWESTOR: EKSPOZYCJE CAŁKOWITE </w:t>
            </w:r>
          </w:p>
          <w:p w14:paraId="2A624B9E" w14:textId="77777777" w:rsidR="00915077" w:rsidRPr="00E26EF6" w:rsidRDefault="00915077">
            <w:pPr>
              <w:autoSpaceDE w:val="0"/>
              <w:autoSpaceDN w:val="0"/>
              <w:adjustRightInd w:val="0"/>
              <w:spacing w:before="0" w:after="0"/>
              <w:jc w:val="left"/>
              <w:rPr>
                <w:rFonts w:ascii="Times New Roman" w:hAnsi="Times New Roman"/>
                <w:sz w:val="24"/>
              </w:rPr>
            </w:pPr>
          </w:p>
          <w:p w14:paraId="17FBA9FE" w14:textId="25571046" w:rsidR="00915077" w:rsidRPr="00E26EF6" w:rsidRDefault="00E026FB">
            <w:pPr>
              <w:autoSpaceDE w:val="0"/>
              <w:autoSpaceDN w:val="0"/>
              <w:adjustRightInd w:val="0"/>
              <w:spacing w:before="0" w:after="0"/>
              <w:rPr>
                <w:rStyle w:val="FormatvorlageInstructionsTabelleText"/>
                <w:rFonts w:ascii="Times New Roman" w:hAnsi="Times New Roman"/>
                <w:sz w:val="24"/>
              </w:rPr>
            </w:pPr>
            <w:r w:rsidRPr="00E26EF6">
              <w:rPr>
                <w:rStyle w:val="FormatvorlageInstructionsTabelleText"/>
                <w:rFonts w:ascii="Times New Roman" w:hAnsi="Times New Roman"/>
                <w:sz w:val="24"/>
              </w:rPr>
              <w:t>Wiersz ten zawiera podsumowanie informacji na temat pozycji bilansowych</w:t>
            </w:r>
            <w:r w:rsidR="00E26EF6" w:rsidRPr="00E26EF6">
              <w:rPr>
                <w:rStyle w:val="FormatvorlageInstructionsTabelleText"/>
                <w:rFonts w:ascii="Times New Roman" w:hAnsi="Times New Roman"/>
                <w:sz w:val="24"/>
              </w:rPr>
              <w:t xml:space="preserve"> i poz</w:t>
            </w:r>
            <w:r w:rsidRPr="00E26EF6">
              <w:rPr>
                <w:rStyle w:val="FormatvorlageInstructionsTabelleText"/>
                <w:rFonts w:ascii="Times New Roman" w:hAnsi="Times New Roman"/>
                <w:sz w:val="24"/>
              </w:rPr>
              <w:t xml:space="preserve">abilansowych oraz instrumentów pochodnych tych pozycji sekurytyzacyjnych oraz </w:t>
            </w:r>
            <w:r w:rsidRPr="00E26EF6">
              <w:rPr>
                <w:rFonts w:ascii="Times New Roman" w:hAnsi="Times New Roman"/>
                <w:sz w:val="24"/>
              </w:rPr>
              <w:t>resekurytyzacyjnych,</w:t>
            </w:r>
            <w:r w:rsidR="00E26EF6" w:rsidRPr="00E26EF6">
              <w:rPr>
                <w:rStyle w:val="FormatvorlageInstructionsTabelleText"/>
                <w:rFonts w:ascii="Times New Roman" w:hAnsi="Times New Roman"/>
                <w:sz w:val="24"/>
              </w:rPr>
              <w:t xml:space="preserve"> w odn</w:t>
            </w:r>
            <w:r w:rsidRPr="00E26EF6">
              <w:rPr>
                <w:rStyle w:val="FormatvorlageInstructionsTabelleText"/>
                <w:rFonts w:ascii="Times New Roman" w:hAnsi="Times New Roman"/>
                <w:sz w:val="24"/>
              </w:rPr>
              <w:t xml:space="preserve">iesieniu do których instytucja pełni rolę inwestora. </w:t>
            </w:r>
          </w:p>
          <w:p w14:paraId="2CB53497" w14:textId="77777777" w:rsidR="00915077" w:rsidRPr="00E26EF6" w:rsidRDefault="00915077">
            <w:pPr>
              <w:autoSpaceDE w:val="0"/>
              <w:autoSpaceDN w:val="0"/>
              <w:adjustRightInd w:val="0"/>
              <w:spacing w:before="0" w:after="0"/>
              <w:rPr>
                <w:rStyle w:val="FormatvorlageInstructionsTabelleText"/>
                <w:rFonts w:ascii="Times New Roman" w:hAnsi="Times New Roman"/>
                <w:sz w:val="24"/>
              </w:rPr>
            </w:pPr>
          </w:p>
          <w:p w14:paraId="3EAF4AFD" w14:textId="63DFD8C2" w:rsidR="00915077" w:rsidRPr="00E26EF6" w:rsidRDefault="00E20FAC">
            <w:pPr>
              <w:autoSpaceDE w:val="0"/>
              <w:autoSpaceDN w:val="0"/>
              <w:adjustRightInd w:val="0"/>
              <w:spacing w:before="0" w:after="0"/>
              <w:rPr>
                <w:rStyle w:val="FormatvorlageInstructionsTabelleText"/>
                <w:rFonts w:ascii="Times New Roman" w:hAnsi="Times New Roman"/>
                <w:sz w:val="24"/>
              </w:rPr>
            </w:pPr>
            <w:r w:rsidRPr="00E26EF6">
              <w:rPr>
                <w:rStyle w:val="FormatvorlageInstructionsTabelleText"/>
                <w:rFonts w:ascii="Times New Roman" w:hAnsi="Times New Roman"/>
                <w:sz w:val="24"/>
              </w:rPr>
              <w:t>Dla celów tego wzoru inwestora rozumie się jako instytucję, która posiada pozycje sekurytyzacyjne</w:t>
            </w:r>
            <w:r w:rsidR="00E26EF6" w:rsidRPr="00E26EF6">
              <w:rPr>
                <w:rStyle w:val="FormatvorlageInstructionsTabelleText"/>
                <w:rFonts w:ascii="Times New Roman" w:hAnsi="Times New Roman"/>
                <w:sz w:val="24"/>
              </w:rPr>
              <w:t xml:space="preserve"> w tra</w:t>
            </w:r>
            <w:r w:rsidRPr="00E26EF6">
              <w:rPr>
                <w:rStyle w:val="FormatvorlageInstructionsTabelleText"/>
                <w:rFonts w:ascii="Times New Roman" w:hAnsi="Times New Roman"/>
                <w:sz w:val="24"/>
              </w:rPr>
              <w:t>nsakcji sekurytyzacyjnej,</w:t>
            </w:r>
            <w:r w:rsidR="00E26EF6" w:rsidRPr="00E26EF6">
              <w:rPr>
                <w:rStyle w:val="FormatvorlageInstructionsTabelleText"/>
                <w:rFonts w:ascii="Times New Roman" w:hAnsi="Times New Roman"/>
                <w:sz w:val="24"/>
              </w:rPr>
              <w:t xml:space="preserve"> w któ</w:t>
            </w:r>
            <w:r w:rsidRPr="00E26EF6">
              <w:rPr>
                <w:rStyle w:val="FormatvorlageInstructionsTabelleText"/>
                <w:rFonts w:ascii="Times New Roman" w:hAnsi="Times New Roman"/>
                <w:sz w:val="24"/>
              </w:rPr>
              <w:t>rej nie jest ani jednostką inicjującą, ani sponsorującą.</w:t>
            </w:r>
          </w:p>
          <w:p w14:paraId="65DCA659"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32F3D76F" w14:textId="77777777" w:rsidTr="00E10B85">
        <w:tc>
          <w:tcPr>
            <w:tcW w:w="1256" w:type="dxa"/>
          </w:tcPr>
          <w:p w14:paraId="12E4BFC1"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0320</w:t>
            </w:r>
          </w:p>
        </w:tc>
        <w:tc>
          <w:tcPr>
            <w:tcW w:w="7889" w:type="dxa"/>
          </w:tcPr>
          <w:p w14:paraId="6C9CF9F8" w14:textId="77777777"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xml:space="preserve">JEDNOSTKA SPONSORUJĄCA: EKSPOZYCJE CAŁKOWITE </w:t>
            </w:r>
          </w:p>
          <w:p w14:paraId="5D2E9B66" w14:textId="77777777" w:rsidR="00915077" w:rsidRPr="00E26EF6" w:rsidRDefault="00915077">
            <w:pPr>
              <w:autoSpaceDE w:val="0"/>
              <w:autoSpaceDN w:val="0"/>
              <w:adjustRightInd w:val="0"/>
              <w:spacing w:before="0" w:after="0"/>
              <w:jc w:val="left"/>
              <w:rPr>
                <w:rFonts w:ascii="Times New Roman" w:hAnsi="Times New Roman"/>
                <w:sz w:val="24"/>
              </w:rPr>
            </w:pPr>
          </w:p>
          <w:p w14:paraId="600C7F14" w14:textId="40FC27B2"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Wiersz ten zawiera podsumowanie informacji na temat pozycji bilansowych</w:t>
            </w:r>
            <w:r w:rsidR="00E26EF6" w:rsidRPr="00E26EF6">
              <w:rPr>
                <w:rFonts w:ascii="Times New Roman" w:hAnsi="Times New Roman"/>
                <w:sz w:val="24"/>
              </w:rPr>
              <w:t xml:space="preserve"> i poz</w:t>
            </w:r>
            <w:r w:rsidRPr="00E26EF6">
              <w:rPr>
                <w:rFonts w:ascii="Times New Roman" w:hAnsi="Times New Roman"/>
                <w:sz w:val="24"/>
              </w:rPr>
              <w:t>abilansowych oraz instrumentów pochodnych tych pozycji sekurytyzacyjnych oraz resekurytyzacyjnych,</w:t>
            </w:r>
            <w:r w:rsidR="00E26EF6" w:rsidRPr="00E26EF6">
              <w:rPr>
                <w:rFonts w:ascii="Times New Roman" w:hAnsi="Times New Roman"/>
                <w:sz w:val="24"/>
              </w:rPr>
              <w:t xml:space="preserve"> w odn</w:t>
            </w:r>
            <w:r w:rsidRPr="00E26EF6">
              <w:rPr>
                <w:rFonts w:ascii="Times New Roman" w:hAnsi="Times New Roman"/>
                <w:sz w:val="24"/>
              </w:rPr>
              <w:t>iesieniu do których instytucja pełni rolę jednostki sponsorującej,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14 CRR. Jeżeli jednostka sponsorująca sekurytyzuje również swoje aktywa własne, wypełnia wiersze przeznaczone dla jednostki inicjującej, przedstawiając informacje dotyczące sekurytyzowanych przez siebie aktywów własnych.</w:t>
            </w:r>
          </w:p>
          <w:p w14:paraId="5A74191A"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581F91D8" w14:textId="77777777" w:rsidTr="00E10B85">
        <w:tc>
          <w:tcPr>
            <w:tcW w:w="1256" w:type="dxa"/>
          </w:tcPr>
          <w:p w14:paraId="4F9C80C2" w14:textId="77777777" w:rsidR="00915077" w:rsidRPr="00E26EF6" w:rsidRDefault="00E026FB">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0440-0670</w:t>
            </w:r>
          </w:p>
        </w:tc>
        <w:tc>
          <w:tcPr>
            <w:tcW w:w="7889" w:type="dxa"/>
          </w:tcPr>
          <w:p w14:paraId="42047E99" w14:textId="6A05D7BB" w:rsidR="00915077" w:rsidRPr="00E26EF6" w:rsidRDefault="00E026FB">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PODZIAŁ POZOSTAJĄCYCH POZYCJI WEDŁUG STOPNIA JAKOŚCI KREDYTOWEJ W MOMENCIE INICJACJI</w:t>
            </w:r>
          </w:p>
          <w:p w14:paraId="4179918B"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6FD152CA" w14:textId="36386CA8"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 wierszach tych gromadzi się informacje na temat pozostających pozycji (w dniu sprawozdawczym),</w:t>
            </w:r>
            <w:r w:rsidR="00E26EF6" w:rsidRPr="00E26EF6">
              <w:rPr>
                <w:rFonts w:ascii="Times New Roman" w:hAnsi="Times New Roman"/>
                <w:sz w:val="24"/>
              </w:rPr>
              <w:t xml:space="preserve"> w odn</w:t>
            </w:r>
            <w:r w:rsidRPr="00E26EF6">
              <w:rPr>
                <w:rFonts w:ascii="Times New Roman" w:hAnsi="Times New Roman"/>
                <w:sz w:val="24"/>
              </w:rPr>
              <w:t>iesieniu do których</w:t>
            </w:r>
            <w:r w:rsidR="00E26EF6" w:rsidRPr="00E26EF6">
              <w:rPr>
                <w:rFonts w:ascii="Times New Roman" w:hAnsi="Times New Roman"/>
                <w:sz w:val="24"/>
              </w:rPr>
              <w:t xml:space="preserve"> w dni</w:t>
            </w:r>
            <w:r w:rsidRPr="00E26EF6">
              <w:rPr>
                <w:rFonts w:ascii="Times New Roman" w:hAnsi="Times New Roman"/>
                <w:sz w:val="24"/>
              </w:rPr>
              <w:t>u powstania (w fazie wstępnej) wyznaczono stopień jakości kredytowej (jak określono</w:t>
            </w:r>
            <w:r w:rsidR="00E26EF6" w:rsidRPr="00E26EF6">
              <w:rPr>
                <w:rFonts w:ascii="Times New Roman" w:hAnsi="Times New Roman"/>
                <w:sz w:val="24"/>
              </w:rPr>
              <w:t xml:space="preserve"> w tab</w:t>
            </w:r>
            <w:r w:rsidRPr="00E26EF6">
              <w:rPr>
                <w:rFonts w:ascii="Times New Roman" w:hAnsi="Times New Roman"/>
                <w:sz w:val="24"/>
              </w:rPr>
              <w:t>eli 1</w:t>
            </w:r>
            <w:r w:rsidR="00E26EF6" w:rsidRPr="00E26EF6">
              <w:rPr>
                <w:rFonts w:ascii="Times New Roman" w:hAnsi="Times New Roman"/>
                <w:sz w:val="24"/>
              </w:rPr>
              <w:t xml:space="preserve"> i 2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263 oraz</w:t>
            </w:r>
            <w:r w:rsidR="00E26EF6" w:rsidRPr="00E26EF6">
              <w:rPr>
                <w:rFonts w:ascii="Times New Roman" w:hAnsi="Times New Roman"/>
                <w:sz w:val="24"/>
              </w:rPr>
              <w:t xml:space="preserve"> w tab</w:t>
            </w:r>
            <w:r w:rsidRPr="00E26EF6">
              <w:rPr>
                <w:rFonts w:ascii="Times New Roman" w:hAnsi="Times New Roman"/>
                <w:sz w:val="24"/>
              </w:rPr>
              <w:t>elach 3</w:t>
            </w:r>
            <w:r w:rsidR="00E26EF6" w:rsidRPr="00E26EF6">
              <w:rPr>
                <w:rFonts w:ascii="Times New Roman" w:hAnsi="Times New Roman"/>
                <w:sz w:val="24"/>
              </w:rPr>
              <w:t xml:space="preserve"> i 4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264 CRR)</w:t>
            </w:r>
            <w:r w:rsidR="00E26EF6" w:rsidRPr="00E26EF6">
              <w:rPr>
                <w:rFonts w:ascii="Times New Roman" w:hAnsi="Times New Roman"/>
                <w:sz w:val="24"/>
              </w:rPr>
              <w:t>. W odn</w:t>
            </w:r>
            <w:r w:rsidRPr="00E26EF6">
              <w:rPr>
                <w:rFonts w:ascii="Times New Roman" w:hAnsi="Times New Roman"/>
                <w:sz w:val="24"/>
              </w:rPr>
              <w:t>iesieniu do pozycji sekurytyzacyjnych traktowanych</w:t>
            </w:r>
            <w:r w:rsidR="00E26EF6" w:rsidRPr="00E26EF6">
              <w:rPr>
                <w:rFonts w:ascii="Times New Roman" w:hAnsi="Times New Roman"/>
                <w:sz w:val="24"/>
              </w:rPr>
              <w:t xml:space="preserve"> w ram</w:t>
            </w:r>
            <w:r w:rsidRPr="00E26EF6">
              <w:rPr>
                <w:rFonts w:ascii="Times New Roman" w:hAnsi="Times New Roman"/>
                <w:sz w:val="24"/>
              </w:rPr>
              <w:t>ach metody wewnętrznych oszacowań, stopień jakości kredytowej stanowi stopień przypisywany</w:t>
            </w:r>
            <w:r w:rsidR="00E26EF6" w:rsidRPr="00E26EF6">
              <w:rPr>
                <w:rFonts w:ascii="Times New Roman" w:hAnsi="Times New Roman"/>
                <w:sz w:val="24"/>
              </w:rPr>
              <w:t xml:space="preserve"> w chw</w:t>
            </w:r>
            <w:r w:rsidRPr="00E26EF6">
              <w:rPr>
                <w:rFonts w:ascii="Times New Roman" w:hAnsi="Times New Roman"/>
                <w:sz w:val="24"/>
              </w:rPr>
              <w:t>ili przyznawania po raz pierwszy ratingu dotyczącego metody wewnętrznych oszacowań</w:t>
            </w:r>
            <w:r w:rsidR="00E26EF6" w:rsidRPr="00E26EF6">
              <w:rPr>
                <w:rFonts w:ascii="Times New Roman" w:hAnsi="Times New Roman"/>
                <w:sz w:val="24"/>
              </w:rPr>
              <w:t>. W prz</w:t>
            </w:r>
            <w:r w:rsidRPr="00E26EF6">
              <w:rPr>
                <w:rFonts w:ascii="Times New Roman" w:hAnsi="Times New Roman"/>
                <w:sz w:val="24"/>
              </w:rPr>
              <w:t>ypadku braku tych informacji zgłasza się najwcześniejsze dostępne dane równoważne stopniom jakości kredytowej.</w:t>
            </w:r>
          </w:p>
          <w:p w14:paraId="4C6212A8" w14:textId="77777777" w:rsidR="00915077" w:rsidRPr="00E26EF6" w:rsidRDefault="00915077">
            <w:pPr>
              <w:autoSpaceDE w:val="0"/>
              <w:autoSpaceDN w:val="0"/>
              <w:adjustRightInd w:val="0"/>
              <w:spacing w:before="0" w:after="0"/>
              <w:jc w:val="left"/>
              <w:rPr>
                <w:rFonts w:ascii="Times New Roman" w:hAnsi="Times New Roman"/>
                <w:sz w:val="24"/>
              </w:rPr>
            </w:pPr>
          </w:p>
          <w:p w14:paraId="697299DC" w14:textId="2EC07596" w:rsidR="00915077" w:rsidRPr="00E26EF6" w:rsidRDefault="00E026FB">
            <w:pPr>
              <w:autoSpaceDE w:val="0"/>
              <w:autoSpaceDN w:val="0"/>
              <w:adjustRightInd w:val="0"/>
              <w:spacing w:before="0" w:after="0"/>
              <w:rPr>
                <w:rFonts w:ascii="Times New Roman" w:hAnsi="Times New Roman"/>
                <w:sz w:val="24"/>
              </w:rPr>
            </w:pPr>
            <w:r w:rsidRPr="00E26EF6">
              <w:rPr>
                <w:rFonts w:ascii="Times New Roman" w:hAnsi="Times New Roman"/>
                <w:sz w:val="24"/>
              </w:rPr>
              <w:t>Wiersze te zgłasza się tylko</w:t>
            </w:r>
            <w:r w:rsidR="00E26EF6" w:rsidRPr="00E26EF6">
              <w:rPr>
                <w:rFonts w:ascii="Times New Roman" w:hAnsi="Times New Roman"/>
                <w:sz w:val="24"/>
              </w:rPr>
              <w:t xml:space="preserve"> w odn</w:t>
            </w:r>
            <w:r w:rsidRPr="00E26EF6">
              <w:rPr>
                <w:rFonts w:ascii="Times New Roman" w:hAnsi="Times New Roman"/>
                <w:sz w:val="24"/>
              </w:rPr>
              <w:t>iesieniu do kolumn 0180–0210, 0280, 0350–0640, 0700–0720, 0740, 0760–0830 oraz 0850.</w:t>
            </w:r>
          </w:p>
          <w:p w14:paraId="6C857D29" w14:textId="77777777" w:rsidR="00915077" w:rsidRPr="00E26EF6" w:rsidRDefault="00915077">
            <w:pPr>
              <w:autoSpaceDE w:val="0"/>
              <w:autoSpaceDN w:val="0"/>
              <w:adjustRightInd w:val="0"/>
              <w:spacing w:before="0" w:after="0"/>
              <w:jc w:val="left"/>
              <w:rPr>
                <w:rFonts w:ascii="Times New Roman" w:hAnsi="Times New Roman"/>
                <w:b/>
                <w:sz w:val="24"/>
                <w:u w:val="single"/>
              </w:rPr>
            </w:pPr>
          </w:p>
        </w:tc>
      </w:tr>
    </w:tbl>
    <w:p w14:paraId="4E2AE05D" w14:textId="77777777" w:rsidR="00915077" w:rsidRPr="00E26EF6" w:rsidRDefault="00915077">
      <w:pPr>
        <w:autoSpaceDE w:val="0"/>
        <w:autoSpaceDN w:val="0"/>
        <w:adjustRightInd w:val="0"/>
        <w:spacing w:before="0" w:after="0"/>
        <w:jc w:val="left"/>
        <w:rPr>
          <w:rFonts w:ascii="Times New Roman" w:hAnsi="Times New Roman"/>
          <w:sz w:val="24"/>
        </w:rPr>
      </w:pPr>
    </w:p>
    <w:p w14:paraId="5DEE21E8"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65" w:name="_Toc31014363"/>
      <w:r w:rsidRPr="00E26EF6">
        <w:rPr>
          <w:rFonts w:ascii="Times New Roman" w:hAnsi="Times New Roman"/>
          <w:sz w:val="24"/>
          <w:u w:val="none"/>
        </w:rPr>
        <w:t>3.9.</w:t>
      </w:r>
      <w:r w:rsidRPr="00E26EF6">
        <w:rPr>
          <w:rFonts w:ascii="Times New Roman" w:hAnsi="Times New Roman"/>
          <w:sz w:val="24"/>
          <w:u w:val="none"/>
        </w:rPr>
        <w:tab/>
      </w:r>
      <w:r w:rsidRPr="00E26EF6">
        <w:rPr>
          <w:rFonts w:ascii="Times New Roman" w:hAnsi="Times New Roman"/>
          <w:sz w:val="24"/>
        </w:rPr>
        <w:t>Szczegółowe informacje na temat sekurytyzacji (SEC SZCZEGÓŁY)</w:t>
      </w:r>
      <w:bookmarkEnd w:id="65"/>
    </w:p>
    <w:p w14:paraId="13979E1F" w14:textId="77777777" w:rsidR="00915077" w:rsidRPr="00E26EF6" w:rsidRDefault="00125707">
      <w:pPr>
        <w:pStyle w:val="Instructionsberschrift2"/>
        <w:numPr>
          <w:ilvl w:val="0"/>
          <w:numId w:val="0"/>
        </w:numPr>
        <w:ind w:left="357" w:hanging="357"/>
        <w:rPr>
          <w:rFonts w:ascii="Times New Roman" w:hAnsi="Times New Roman" w:cs="Times New Roman"/>
          <w:sz w:val="24"/>
          <w:u w:val="none"/>
        </w:rPr>
      </w:pPr>
      <w:bookmarkStart w:id="66" w:name="_Toc31014364"/>
      <w:r w:rsidRPr="00E26EF6">
        <w:rPr>
          <w:rFonts w:ascii="Times New Roman" w:hAnsi="Times New Roman"/>
          <w:sz w:val="24"/>
          <w:u w:val="none"/>
        </w:rPr>
        <w:t>3.9.1.</w:t>
      </w:r>
      <w:r w:rsidRPr="00E26EF6">
        <w:rPr>
          <w:rFonts w:ascii="Times New Roman" w:hAnsi="Times New Roman"/>
          <w:sz w:val="24"/>
          <w:u w:val="none"/>
        </w:rPr>
        <w:tab/>
        <w:t>Zakres stosowania wzoru SEC SZCZEGÓŁY</w:t>
      </w:r>
      <w:bookmarkEnd w:id="66"/>
    </w:p>
    <w:p w14:paraId="3A99C0C3" w14:textId="087B85B3" w:rsidR="00915077" w:rsidRPr="00E26EF6" w:rsidRDefault="00062A1F">
      <w:pPr>
        <w:pStyle w:val="InstructionsText2"/>
        <w:numPr>
          <w:ilvl w:val="0"/>
          <w:numId w:val="0"/>
        </w:numPr>
        <w:ind w:left="993"/>
      </w:pPr>
      <w:r w:rsidRPr="00E26EF6">
        <w:t>109.</w:t>
      </w:r>
      <w:r w:rsidRPr="00E26EF6">
        <w:tab/>
        <w:t xml:space="preserve"> W tych wzorach gromadzone są informacje na poziomie poszczególnych transakcji (w przeciwieństwie do informacji zagregowanych zgłaszanych we wzorach CR SEC, MKR SA SEC, MKR SA CTP, CA1 oraz CA2) dotyczące wszystkich sekurytyzacji,</w:t>
      </w:r>
      <w:r w:rsidR="00E26EF6" w:rsidRPr="00E26EF6">
        <w:t xml:space="preserve"> w któ</w:t>
      </w:r>
      <w:r w:rsidRPr="00E26EF6">
        <w:t>re zaangażowana jest instytucja sprawozdająca. Zgłasza się główne cechy każdej sekurytyzacji, takie jak charakter puli bazowej</w:t>
      </w:r>
      <w:r w:rsidR="00E26EF6" w:rsidRPr="00E26EF6">
        <w:t xml:space="preserve"> i wym</w:t>
      </w:r>
      <w:r w:rsidRPr="00E26EF6">
        <w:t>ogi</w:t>
      </w:r>
      <w:r w:rsidR="00E26EF6" w:rsidRPr="00E26EF6">
        <w:t xml:space="preserve"> w zak</w:t>
      </w:r>
      <w:r w:rsidRPr="00E26EF6">
        <w:t xml:space="preserve">resie funduszy własnych. </w:t>
      </w:r>
    </w:p>
    <w:p w14:paraId="3784C6D7" w14:textId="1A6133AB" w:rsidR="00915077" w:rsidRPr="00E26EF6" w:rsidRDefault="00062A1F">
      <w:pPr>
        <w:pStyle w:val="InstructionsText2"/>
        <w:numPr>
          <w:ilvl w:val="0"/>
          <w:numId w:val="0"/>
        </w:numPr>
        <w:ind w:left="993"/>
      </w:pPr>
      <w:r w:rsidRPr="00E26EF6">
        <w:t>110.</w:t>
      </w:r>
      <w:r w:rsidRPr="00E26EF6">
        <w:tab/>
        <w:t xml:space="preserve"> Wzory te zgłasza się</w:t>
      </w:r>
      <w:r w:rsidR="00E26EF6" w:rsidRPr="00E26EF6">
        <w:t xml:space="preserve"> w odn</w:t>
      </w:r>
      <w:r w:rsidRPr="00E26EF6">
        <w:t>iesieniu do:</w:t>
      </w:r>
    </w:p>
    <w:p w14:paraId="7BCD0350" w14:textId="5246626C" w:rsidR="00915077" w:rsidRPr="00E26EF6" w:rsidRDefault="00062A1F">
      <w:pPr>
        <w:pStyle w:val="InstructionsText2"/>
        <w:numPr>
          <w:ilvl w:val="0"/>
          <w:numId w:val="0"/>
        </w:numPr>
        <w:ind w:left="993"/>
      </w:pPr>
      <w:proofErr w:type="gramStart"/>
      <w:r w:rsidRPr="00E26EF6">
        <w:t>a</w:t>
      </w:r>
      <w:proofErr w:type="gramEnd"/>
      <w:r w:rsidRPr="00E26EF6">
        <w:t>.</w:t>
      </w:r>
      <w:r w:rsidRPr="00E26EF6">
        <w:tab/>
        <w:t>Sekurytyzacji utworzonych / sponsorowanych przez instytucję sprawozdającą,</w:t>
      </w:r>
      <w:r w:rsidR="00E26EF6" w:rsidRPr="00E26EF6">
        <w:t xml:space="preserve"> w tym w prz</w:t>
      </w:r>
      <w:r w:rsidRPr="00E26EF6">
        <w:t>ypadku gdy nie posiada ona żadnej pozycji</w:t>
      </w:r>
      <w:r w:rsidR="00E26EF6" w:rsidRPr="00E26EF6">
        <w:t xml:space="preserve"> w dan</w:t>
      </w:r>
      <w:r w:rsidRPr="00E26EF6">
        <w:t>ej sekurytyzacji</w:t>
      </w:r>
      <w:r w:rsidR="00E26EF6" w:rsidRPr="00E26EF6">
        <w:t>. W prz</w:t>
      </w:r>
      <w:r w:rsidRPr="00E26EF6">
        <w:t>ypadkach,</w:t>
      </w:r>
      <w:r w:rsidR="00E26EF6" w:rsidRPr="00E26EF6">
        <w:t xml:space="preserve"> w któ</w:t>
      </w:r>
      <w:r w:rsidRPr="00E26EF6">
        <w:t>rych instytucja posiada co najmniej jedną pozycję</w:t>
      </w:r>
      <w:r w:rsidR="00E26EF6" w:rsidRPr="00E26EF6">
        <w:t xml:space="preserve"> w dan</w:t>
      </w:r>
      <w:r w:rsidRPr="00E26EF6">
        <w:t>ej sekurytyzacji, niezależnie od tego, czy nastąpiło przeniesienie istotnej części ryzyka, instytucje zgłaszają informacje</w:t>
      </w:r>
      <w:r w:rsidR="00E26EF6" w:rsidRPr="00E26EF6">
        <w:t xml:space="preserve"> o wsz</w:t>
      </w:r>
      <w:r w:rsidRPr="00E26EF6">
        <w:t>ystkich posiadanych pozycjach (w portfelu bankowym lub handlowym). Posiadane pozycje obejmują pozycje nabyte zgodnie</w:t>
      </w:r>
      <w:r w:rsidR="00E26EF6" w:rsidRPr="00E26EF6">
        <w:t xml:space="preserve"> z art</w:t>
      </w:r>
      <w:r w:rsidRPr="00E26EF6">
        <w:t>.</w:t>
      </w:r>
      <w:r w:rsidR="00023409" w:rsidRPr="00E26EF6">
        <w:t> </w:t>
      </w:r>
      <w:r w:rsidRPr="00E26EF6">
        <w:t>6 rozporządzenia (UE) 2017/2402 oraz, gdy zastosowanie ma art.</w:t>
      </w:r>
      <w:r w:rsidR="00023409" w:rsidRPr="00E26EF6">
        <w:t> </w:t>
      </w:r>
      <w:r w:rsidRPr="00E26EF6">
        <w:t>43 ust.</w:t>
      </w:r>
      <w:r w:rsidR="00023409" w:rsidRPr="00E26EF6">
        <w:t> </w:t>
      </w:r>
      <w:r w:rsidRPr="00E26EF6">
        <w:t>6 tego rozporządzenia, art.</w:t>
      </w:r>
      <w:r w:rsidR="00023409" w:rsidRPr="00E26EF6">
        <w:t> </w:t>
      </w:r>
      <w:r w:rsidRPr="00E26EF6">
        <w:t>405 CRR</w:t>
      </w:r>
      <w:r w:rsidR="00E26EF6" w:rsidRPr="00E26EF6">
        <w:t xml:space="preserve"> w wer</w:t>
      </w:r>
      <w:r w:rsidRPr="00E26EF6">
        <w:t>sji mającej zastosowanie</w:t>
      </w:r>
      <w:r w:rsidR="00E26EF6" w:rsidRPr="00E26EF6">
        <w:t xml:space="preserve"> w dni</w:t>
      </w:r>
      <w:r w:rsidRPr="00E26EF6">
        <w:t>u 31 grudnia 2018</w:t>
      </w:r>
      <w:r w:rsidR="00023409" w:rsidRPr="00E26EF6">
        <w:t> </w:t>
      </w:r>
      <w:r w:rsidRPr="00E26EF6">
        <w:t>r.</w:t>
      </w:r>
    </w:p>
    <w:p w14:paraId="030512C5" w14:textId="34ABFD6D" w:rsidR="00915077" w:rsidRPr="00E26EF6" w:rsidRDefault="00062A1F">
      <w:pPr>
        <w:pStyle w:val="InstructionsText2"/>
        <w:numPr>
          <w:ilvl w:val="0"/>
          <w:numId w:val="0"/>
        </w:numPr>
        <w:ind w:left="993"/>
      </w:pPr>
      <w:proofErr w:type="gramStart"/>
      <w:r w:rsidRPr="00E26EF6">
        <w:t>b</w:t>
      </w:r>
      <w:proofErr w:type="gramEnd"/>
      <w:r w:rsidRPr="00E26EF6">
        <w:t>.</w:t>
      </w:r>
      <w:r w:rsidRPr="00E26EF6">
        <w:tab/>
        <w:t>sekurytyzacji,</w:t>
      </w:r>
      <w:r w:rsidR="00E26EF6" w:rsidRPr="00E26EF6">
        <w:t xml:space="preserve"> w ram</w:t>
      </w:r>
      <w:r w:rsidRPr="00E26EF6">
        <w:t>ach których ostateczne instrumenty bazowe są zobowiązaniami finansowymi wyemitowanymi pierwotnie przez instytucję sprawozdającą,</w:t>
      </w:r>
      <w:r w:rsidR="00E26EF6" w:rsidRPr="00E26EF6">
        <w:t xml:space="preserve"> a nas</w:t>
      </w:r>
      <w:r w:rsidRPr="00E26EF6">
        <w:t>tępnie (częściowo) nabytymi przez podmiot sekurytyzacyjny. Te instrumenty bazowe mogą obejmować obligacje zabezpieczone lub inne zobowiązania i są odpowiednio identyfikowane</w:t>
      </w:r>
      <w:r w:rsidR="00E26EF6" w:rsidRPr="00E26EF6">
        <w:t xml:space="preserve"> w kol</w:t>
      </w:r>
      <w:r w:rsidRPr="00E26EF6">
        <w:t>umnie 160.</w:t>
      </w:r>
    </w:p>
    <w:p w14:paraId="74ADC909" w14:textId="37AB28A4" w:rsidR="00915077" w:rsidRPr="00E26EF6" w:rsidRDefault="002409C1">
      <w:pPr>
        <w:pStyle w:val="InstructionsText2"/>
        <w:numPr>
          <w:ilvl w:val="0"/>
          <w:numId w:val="0"/>
        </w:numPr>
        <w:ind w:left="993"/>
      </w:pPr>
      <w:proofErr w:type="gramStart"/>
      <w:r w:rsidRPr="00E26EF6">
        <w:t>c</w:t>
      </w:r>
      <w:proofErr w:type="gramEnd"/>
      <w:r w:rsidRPr="00E26EF6">
        <w:t>.</w:t>
      </w:r>
      <w:r w:rsidRPr="00E26EF6">
        <w:tab/>
      </w:r>
      <w:proofErr w:type="gramStart"/>
      <w:r w:rsidRPr="00E26EF6">
        <w:t>posiadanych</w:t>
      </w:r>
      <w:proofErr w:type="gramEnd"/>
      <w:r w:rsidRPr="00E26EF6">
        <w:t xml:space="preserve"> pozycji</w:t>
      </w:r>
      <w:r w:rsidR="00E26EF6" w:rsidRPr="00E26EF6">
        <w:t xml:space="preserve"> w sek</w:t>
      </w:r>
      <w:r w:rsidRPr="00E26EF6">
        <w:t>urytyzacjach,</w:t>
      </w:r>
      <w:r w:rsidR="00E26EF6" w:rsidRPr="00E26EF6">
        <w:t xml:space="preserve"> w prz</w:t>
      </w:r>
      <w:r w:rsidRPr="00E26EF6">
        <w:t>ypadku gdy instytucja sprawozdająca nie jest ani jednostką inicjującą, ani jednostką sponsorującą (tj. zalicza się do inwestorów</w:t>
      </w:r>
      <w:r w:rsidR="00E26EF6" w:rsidRPr="00E26EF6">
        <w:t xml:space="preserve"> i pie</w:t>
      </w:r>
      <w:r w:rsidRPr="00E26EF6">
        <w:t>rwotnych kredytodawców).</w:t>
      </w:r>
    </w:p>
    <w:p w14:paraId="4A064453" w14:textId="5C5A9BD2" w:rsidR="00915077" w:rsidRPr="00E26EF6" w:rsidRDefault="00062A1F">
      <w:pPr>
        <w:pStyle w:val="InstructionsText2"/>
        <w:numPr>
          <w:ilvl w:val="0"/>
          <w:numId w:val="0"/>
        </w:numPr>
        <w:ind w:left="993"/>
      </w:pPr>
      <w:r w:rsidRPr="00E26EF6">
        <w:t>111.</w:t>
      </w:r>
      <w:r w:rsidRPr="00E26EF6">
        <w:tab/>
        <w:t xml:space="preserve"> Wzory te są zgłaszane przez grupy skonsolidowane</w:t>
      </w:r>
      <w:r w:rsidR="00E26EF6" w:rsidRPr="00E26EF6">
        <w:t xml:space="preserve"> i jed</w:t>
      </w:r>
      <w:r w:rsidRPr="00E26EF6">
        <w:t>nostki samodzielne znajdujące się</w:t>
      </w:r>
      <w:r w:rsidR="00E26EF6" w:rsidRPr="00E26EF6">
        <w:t xml:space="preserve"> w tym</w:t>
      </w:r>
      <w:r w:rsidRPr="00E26EF6">
        <w:t xml:space="preserve"> samym państwie</w:t>
      </w:r>
      <w:r w:rsidRPr="00E26EF6">
        <w:rPr>
          <w:vertAlign w:val="superscript"/>
        </w:rPr>
        <w:footnoteReference w:id="13"/>
      </w:r>
      <w:r w:rsidRPr="00E26EF6">
        <w:t>,</w:t>
      </w:r>
      <w:r w:rsidR="00E26EF6" w:rsidRPr="00E26EF6">
        <w:t xml:space="preserve"> w któ</w:t>
      </w:r>
      <w:r w:rsidRPr="00E26EF6">
        <w:t>rym podlegają wymogom</w:t>
      </w:r>
      <w:r w:rsidR="00E26EF6" w:rsidRPr="00E26EF6">
        <w:t xml:space="preserve"> w zak</w:t>
      </w:r>
      <w:r w:rsidRPr="00E26EF6">
        <w:t>resie funduszy własnych</w:t>
      </w:r>
      <w:r w:rsidR="00E26EF6" w:rsidRPr="00E26EF6">
        <w:t>. W prz</w:t>
      </w:r>
      <w:r w:rsidRPr="00E26EF6">
        <w:t>ypadku sekurytyzacji obejmującej więcej niż jeden podmiot</w:t>
      </w:r>
      <w:r w:rsidR="00E26EF6" w:rsidRPr="00E26EF6">
        <w:t xml:space="preserve"> z tej</w:t>
      </w:r>
      <w:r w:rsidRPr="00E26EF6">
        <w:t xml:space="preserve"> samej grupy skonsolidowanej przedstawia się szczegółowy podział według poszczególnych podmiotów. </w:t>
      </w:r>
    </w:p>
    <w:p w14:paraId="6D77FDD7" w14:textId="1FB28AA1" w:rsidR="00915077" w:rsidRPr="00E26EF6" w:rsidRDefault="00062A1F">
      <w:pPr>
        <w:pStyle w:val="InstructionsText2"/>
        <w:numPr>
          <w:ilvl w:val="0"/>
          <w:numId w:val="0"/>
        </w:numPr>
        <w:ind w:left="993"/>
      </w:pPr>
      <w:r w:rsidRPr="00E26EF6">
        <w:t>112.</w:t>
      </w:r>
      <w:r w:rsidRPr="00E26EF6">
        <w:tab/>
        <w:t xml:space="preserve"> W związku</w:t>
      </w:r>
      <w:r w:rsidR="00E26EF6" w:rsidRPr="00E26EF6">
        <w:t xml:space="preserve"> z art</w:t>
      </w:r>
      <w:r w:rsidRPr="00E26EF6">
        <w:t>.</w:t>
      </w:r>
      <w:r w:rsidR="00023409" w:rsidRPr="00E26EF6">
        <w:t> </w:t>
      </w:r>
      <w:r w:rsidRPr="00E26EF6">
        <w:t>5 rozporządzenia (UE) 2017/2402, który stanowi, że instytucje inwestujące</w:t>
      </w:r>
      <w:r w:rsidR="00E26EF6" w:rsidRPr="00E26EF6">
        <w:t xml:space="preserve"> w poz</w:t>
      </w:r>
      <w:r w:rsidRPr="00E26EF6">
        <w:t>ycje sekurytyzacyjne gromadzą wiele informacji na ich temat</w:t>
      </w:r>
      <w:r w:rsidR="00E26EF6" w:rsidRPr="00E26EF6">
        <w:t xml:space="preserve"> w cel</w:t>
      </w:r>
      <w:r w:rsidRPr="00E26EF6">
        <w:t>u zapewnienia zgodności</w:t>
      </w:r>
      <w:r w:rsidR="00E26EF6" w:rsidRPr="00E26EF6">
        <w:t xml:space="preserve"> z wym</w:t>
      </w:r>
      <w:r w:rsidRPr="00E26EF6">
        <w:t>ogami należytej staranności, zakres sprawozdawczości tego wzoru stosuje się do inwestorów</w:t>
      </w:r>
      <w:r w:rsidR="00E26EF6" w:rsidRPr="00E26EF6">
        <w:t xml:space="preserve"> w ogr</w:t>
      </w:r>
      <w:r w:rsidRPr="00E26EF6">
        <w:t>aniczonym stopniu</w:t>
      </w:r>
      <w:r w:rsidR="00E26EF6" w:rsidRPr="00E26EF6">
        <w:t>. W szc</w:t>
      </w:r>
      <w:r w:rsidRPr="00E26EF6">
        <w:t>zególności zgłaszają oni kolumny 010–040; 070–110; 161; 190; 290-300; 310–470.</w:t>
      </w:r>
    </w:p>
    <w:p w14:paraId="2F520B35" w14:textId="5769BBF6" w:rsidR="00915077" w:rsidRPr="00E26EF6" w:rsidRDefault="00062A1F">
      <w:pPr>
        <w:pStyle w:val="InstructionsText2"/>
        <w:numPr>
          <w:ilvl w:val="0"/>
          <w:numId w:val="0"/>
        </w:numPr>
        <w:ind w:left="993"/>
      </w:pPr>
      <w:r w:rsidRPr="00E26EF6">
        <w:lastRenderedPageBreak/>
        <w:t>113.</w:t>
      </w:r>
      <w:r w:rsidRPr="00E26EF6">
        <w:tab/>
        <w:t xml:space="preserve"> Instytucje pełniące rolę pierwotnych kredytodawców (i niebędące jednocześnie jednostką inicjującą lub jednostką sponsorującą</w:t>
      </w:r>
      <w:r w:rsidR="00E26EF6" w:rsidRPr="00E26EF6">
        <w:t xml:space="preserve"> w ram</w:t>
      </w:r>
      <w:r w:rsidRPr="00E26EF6">
        <w:t>ach tej samej sekurytyzacji) na ogół zgłaszają wzór</w:t>
      </w:r>
      <w:r w:rsidR="00E26EF6" w:rsidRPr="00E26EF6">
        <w:t xml:space="preserve"> w tak</w:t>
      </w:r>
      <w:r w:rsidRPr="00E26EF6">
        <w:t>im samym zakresie jak inwestorzy.</w:t>
      </w:r>
    </w:p>
    <w:p w14:paraId="7984AB85" w14:textId="0B3E5B67" w:rsidR="00915077" w:rsidRPr="00E26EF6" w:rsidRDefault="00E26EF6">
      <w:pPr>
        <w:pStyle w:val="Instructionsberschrift2"/>
        <w:numPr>
          <w:ilvl w:val="0"/>
          <w:numId w:val="0"/>
        </w:numPr>
        <w:ind w:left="357" w:hanging="357"/>
        <w:rPr>
          <w:rFonts w:ascii="Times New Roman" w:hAnsi="Times New Roman" w:cs="Times New Roman"/>
          <w:sz w:val="24"/>
          <w:u w:val="none"/>
        </w:rPr>
      </w:pPr>
      <w:bookmarkStart w:id="67" w:name="_Toc31014365"/>
      <w:r w:rsidRPr="00E26EF6">
        <w:rPr>
          <w:rFonts w:ascii="Times New Roman" w:hAnsi="Times New Roman"/>
          <w:sz w:val="24"/>
          <w:u w:val="none"/>
        </w:rPr>
        <w:t>3.9.2</w:t>
      </w:r>
      <w:r w:rsidRPr="00E26EF6">
        <w:rPr>
          <w:rFonts w:ascii="Times New Roman" w:hAnsi="Times New Roman"/>
          <w:sz w:val="24"/>
          <w:u w:val="none"/>
        </w:rPr>
        <w:tab/>
      </w:r>
      <w:r w:rsidR="00062A1F" w:rsidRPr="00E26EF6">
        <w:rPr>
          <w:rFonts w:ascii="Times New Roman" w:hAnsi="Times New Roman"/>
          <w:sz w:val="24"/>
          <w:u w:val="none"/>
        </w:rPr>
        <w:t>Podział wzoru SEC SZCZEGÓŁY</w:t>
      </w:r>
      <w:bookmarkEnd w:id="67"/>
    </w:p>
    <w:p w14:paraId="71B50127" w14:textId="0B39CB5C" w:rsidR="00915077" w:rsidRPr="00E26EF6" w:rsidRDefault="00CA4EB2">
      <w:pPr>
        <w:pStyle w:val="InstructionsText2"/>
        <w:numPr>
          <w:ilvl w:val="0"/>
          <w:numId w:val="0"/>
        </w:numPr>
        <w:ind w:left="993"/>
      </w:pPr>
      <w:r w:rsidRPr="00E26EF6">
        <w:t>113 a. Wzór SEC SZCZEGÓŁY składa się</w:t>
      </w:r>
      <w:r w:rsidR="00E26EF6" w:rsidRPr="00E26EF6">
        <w:t xml:space="preserve"> z dwó</w:t>
      </w:r>
      <w:r w:rsidRPr="00E26EF6">
        <w:t>ch wzorów. Wzór SEC SZCZEGÓŁY zawiera ogólny przegląd sekurytyzacji,</w:t>
      </w:r>
      <w:r w:rsidR="00E26EF6" w:rsidRPr="00E26EF6">
        <w:t xml:space="preserve"> a wzó</w:t>
      </w:r>
      <w:r w:rsidRPr="00E26EF6">
        <w:t xml:space="preserve">r SEC SZCZEGÓŁY 2 zawiera podział tych samych sekurytyzacji przez zastosowane podejście. </w:t>
      </w:r>
    </w:p>
    <w:p w14:paraId="47FA2E7A" w14:textId="37F765FC" w:rsidR="00915077" w:rsidRPr="00E26EF6" w:rsidRDefault="00CA4EB2">
      <w:pPr>
        <w:pStyle w:val="InstructionsText2"/>
        <w:numPr>
          <w:ilvl w:val="0"/>
          <w:numId w:val="0"/>
        </w:numPr>
        <w:ind w:left="1353" w:hanging="360"/>
      </w:pPr>
      <w:r w:rsidRPr="00E26EF6">
        <w:t>113b. Pozycje sekurytyzacyjne</w:t>
      </w:r>
      <w:r w:rsidR="00E26EF6" w:rsidRPr="00E26EF6">
        <w:t xml:space="preserve"> w por</w:t>
      </w:r>
      <w:r w:rsidRPr="00E26EF6">
        <w:t>tfelu handlowym zgłasza się wyłącznie</w:t>
      </w:r>
      <w:r w:rsidR="00E26EF6" w:rsidRPr="00E26EF6">
        <w:t xml:space="preserve"> w kol</w:t>
      </w:r>
      <w:r w:rsidRPr="00E26EF6">
        <w:t>umnach 005–020, 420, 430, 431, 432, 440 oraz 450–470</w:t>
      </w:r>
      <w:r w:rsidR="00E26EF6" w:rsidRPr="00E26EF6">
        <w:t>. W prz</w:t>
      </w:r>
      <w:r w:rsidRPr="00E26EF6">
        <w:t>ypadku kolumn 420, 430</w:t>
      </w:r>
      <w:r w:rsidR="00E26EF6" w:rsidRPr="00E26EF6">
        <w:t xml:space="preserve"> i 4</w:t>
      </w:r>
      <w:r w:rsidRPr="00E26EF6">
        <w:t>40 instytucje uwzględniają RW odpowiadający wymogowi pozycji netto</w:t>
      </w:r>
      <w:r w:rsidR="00E26EF6" w:rsidRPr="00E26EF6">
        <w:t xml:space="preserve"> w zak</w:t>
      </w:r>
      <w:r w:rsidRPr="00E26EF6">
        <w:t xml:space="preserve">resie funduszy własnych. </w:t>
      </w:r>
    </w:p>
    <w:p w14:paraId="63D5DB28" w14:textId="2A448940" w:rsidR="00915077" w:rsidRPr="00E26EF6" w:rsidRDefault="00E26EF6">
      <w:pPr>
        <w:pStyle w:val="Instructionsberschrift2"/>
        <w:numPr>
          <w:ilvl w:val="0"/>
          <w:numId w:val="0"/>
        </w:numPr>
        <w:ind w:left="357" w:hanging="357"/>
        <w:rPr>
          <w:rFonts w:ascii="Times New Roman" w:hAnsi="Times New Roman" w:cs="Times New Roman"/>
          <w:sz w:val="24"/>
          <w:u w:val="none"/>
        </w:rPr>
      </w:pPr>
      <w:bookmarkStart w:id="68" w:name="_Toc31014366"/>
      <w:r w:rsidRPr="00E26EF6">
        <w:rPr>
          <w:rFonts w:ascii="Times New Roman" w:hAnsi="Times New Roman"/>
          <w:sz w:val="24"/>
          <w:u w:val="none"/>
        </w:rPr>
        <w:t>3.9.3</w:t>
      </w:r>
      <w:r w:rsidRPr="00E26EF6">
        <w:rPr>
          <w:rFonts w:ascii="Times New Roman" w:hAnsi="Times New Roman"/>
          <w:sz w:val="24"/>
          <w:u w:val="none"/>
        </w:rPr>
        <w:tab/>
      </w:r>
      <w:r w:rsidR="00FC6275" w:rsidRPr="00E26EF6">
        <w:rPr>
          <w:rFonts w:ascii="Times New Roman" w:hAnsi="Times New Roman"/>
          <w:sz w:val="24"/>
          <w:u w:val="none"/>
        </w:rPr>
        <w:t>C 14.00 – Szczegółowe informacje na temat sekurytyzacji (SEC SZCZEGÓŁY)</w:t>
      </w:r>
      <w:bookmarkEnd w:id="6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15077" w:rsidRPr="00E26EF6" w14:paraId="26A3EDEF" w14:textId="77777777" w:rsidTr="00E10B85">
        <w:tc>
          <w:tcPr>
            <w:tcW w:w="9004" w:type="dxa"/>
            <w:gridSpan w:val="2"/>
            <w:shd w:val="clear" w:color="auto" w:fill="CCCCCC"/>
          </w:tcPr>
          <w:p w14:paraId="1E456965" w14:textId="77777777" w:rsidR="00915077" w:rsidRPr="00E26EF6" w:rsidRDefault="00915077">
            <w:pPr>
              <w:autoSpaceDE w:val="0"/>
              <w:autoSpaceDN w:val="0"/>
              <w:adjustRightInd w:val="0"/>
              <w:spacing w:before="0" w:after="0"/>
              <w:rPr>
                <w:rFonts w:ascii="Times New Roman" w:hAnsi="Times New Roman"/>
                <w:bCs/>
                <w:sz w:val="24"/>
              </w:rPr>
            </w:pPr>
          </w:p>
          <w:p w14:paraId="67E915B1" w14:textId="77777777" w:rsidR="00915077" w:rsidRPr="00E26EF6" w:rsidRDefault="00C55547">
            <w:pPr>
              <w:autoSpaceDE w:val="0"/>
              <w:autoSpaceDN w:val="0"/>
              <w:adjustRightInd w:val="0"/>
              <w:spacing w:before="0" w:after="0"/>
              <w:rPr>
                <w:rFonts w:ascii="Times New Roman" w:hAnsi="Times New Roman"/>
                <w:b/>
                <w:bCs/>
                <w:sz w:val="24"/>
              </w:rPr>
            </w:pPr>
            <w:r w:rsidRPr="00E26EF6">
              <w:rPr>
                <w:rFonts w:ascii="Times New Roman" w:hAnsi="Times New Roman"/>
                <w:b/>
                <w:sz w:val="24"/>
              </w:rPr>
              <w:t>Kolumny</w:t>
            </w:r>
          </w:p>
          <w:p w14:paraId="73F20482"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61E4AA35" w14:textId="77777777" w:rsidTr="00E10B85">
        <w:tc>
          <w:tcPr>
            <w:tcW w:w="1101" w:type="dxa"/>
          </w:tcPr>
          <w:p w14:paraId="79EBA34A"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005</w:t>
            </w:r>
          </w:p>
        </w:tc>
        <w:tc>
          <w:tcPr>
            <w:tcW w:w="7903" w:type="dxa"/>
          </w:tcPr>
          <w:p w14:paraId="5FE45A4C"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NUMER WIERSZA</w:t>
            </w:r>
          </w:p>
          <w:p w14:paraId="5668FEBC" w14:textId="77777777" w:rsidR="00915077" w:rsidRPr="00E26EF6" w:rsidRDefault="00915077">
            <w:pPr>
              <w:spacing w:before="0" w:after="0"/>
              <w:jc w:val="left"/>
              <w:rPr>
                <w:rFonts w:ascii="Times New Roman" w:hAnsi="Times New Roman"/>
                <w:b/>
                <w:sz w:val="24"/>
                <w:u w:val="single"/>
              </w:rPr>
            </w:pPr>
          </w:p>
          <w:p w14:paraId="15014612" w14:textId="095C5409"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Numer wiersza stanowi identyfikator wiersza</w:t>
            </w:r>
            <w:r w:rsidR="00E26EF6" w:rsidRPr="00E26EF6">
              <w:rPr>
                <w:rFonts w:ascii="Times New Roman" w:hAnsi="Times New Roman"/>
                <w:sz w:val="24"/>
              </w:rPr>
              <w:t xml:space="preserve"> i jes</w:t>
            </w:r>
            <w:r w:rsidRPr="00E26EF6">
              <w:rPr>
                <w:rFonts w:ascii="Times New Roman" w:hAnsi="Times New Roman"/>
                <w:sz w:val="24"/>
              </w:rPr>
              <w:t>t niepowtarzalny dla każdego wiersza we wzorze. Numeracja następuje</w:t>
            </w:r>
            <w:r w:rsidR="00E26EF6" w:rsidRPr="00E26EF6">
              <w:rPr>
                <w:rFonts w:ascii="Times New Roman" w:hAnsi="Times New Roman"/>
                <w:sz w:val="24"/>
              </w:rPr>
              <w:t xml:space="preserve"> w kol</w:t>
            </w:r>
            <w:r w:rsidRPr="00E26EF6">
              <w:rPr>
                <w:rFonts w:ascii="Times New Roman" w:hAnsi="Times New Roman"/>
                <w:sz w:val="24"/>
              </w:rPr>
              <w:t>ejności numerycznej: 1, 2, 3 itd.</w:t>
            </w:r>
          </w:p>
          <w:p w14:paraId="6CE9D6DC" w14:textId="77777777" w:rsidR="00915077" w:rsidRPr="00E26EF6" w:rsidRDefault="00915077">
            <w:pPr>
              <w:autoSpaceDE w:val="0"/>
              <w:autoSpaceDN w:val="0"/>
              <w:adjustRightInd w:val="0"/>
              <w:spacing w:before="0" w:after="0"/>
              <w:rPr>
                <w:rFonts w:ascii="Times New Roman" w:hAnsi="Times New Roman"/>
                <w:b/>
                <w:sz w:val="24"/>
                <w:highlight w:val="lightGray"/>
                <w:u w:val="single"/>
              </w:rPr>
            </w:pPr>
          </w:p>
        </w:tc>
      </w:tr>
      <w:tr w:rsidR="00915077" w:rsidRPr="00E26EF6" w14:paraId="3BDF78D0" w14:textId="77777777" w:rsidTr="00E10B85">
        <w:tc>
          <w:tcPr>
            <w:tcW w:w="1101" w:type="dxa"/>
          </w:tcPr>
          <w:p w14:paraId="1C62AFDD"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010</w:t>
            </w:r>
          </w:p>
        </w:tc>
        <w:tc>
          <w:tcPr>
            <w:tcW w:w="7903" w:type="dxa"/>
          </w:tcPr>
          <w:p w14:paraId="11016763"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KOD WEWNĘTRZNY</w:t>
            </w:r>
          </w:p>
          <w:p w14:paraId="7DE7F9FB" w14:textId="77777777" w:rsidR="00915077" w:rsidRPr="00E26EF6" w:rsidRDefault="00915077">
            <w:pPr>
              <w:spacing w:before="0" w:after="0"/>
              <w:jc w:val="left"/>
              <w:rPr>
                <w:rFonts w:ascii="Times New Roman" w:hAnsi="Times New Roman"/>
                <w:sz w:val="24"/>
              </w:rPr>
            </w:pPr>
          </w:p>
          <w:p w14:paraId="476E1B27" w14:textId="77A05D14" w:rsidR="00915077" w:rsidRPr="00E26EF6" w:rsidRDefault="00D956C2">
            <w:pPr>
              <w:autoSpaceDE w:val="0"/>
              <w:autoSpaceDN w:val="0"/>
              <w:adjustRightInd w:val="0"/>
              <w:spacing w:before="0" w:after="0"/>
              <w:rPr>
                <w:rFonts w:ascii="Times New Roman" w:hAnsi="Times New Roman"/>
                <w:sz w:val="24"/>
              </w:rPr>
            </w:pPr>
            <w:r w:rsidRPr="00E26EF6">
              <w:rPr>
                <w:rFonts w:ascii="Times New Roman" w:hAnsi="Times New Roman"/>
                <w:sz w:val="24"/>
              </w:rPr>
              <w:t>Wewnętrzny (alfanumeryczny) kod stosowany przez instytucję</w:t>
            </w:r>
            <w:r w:rsidR="00E26EF6" w:rsidRPr="00E26EF6">
              <w:rPr>
                <w:rFonts w:ascii="Times New Roman" w:hAnsi="Times New Roman"/>
                <w:sz w:val="24"/>
              </w:rPr>
              <w:t xml:space="preserve"> w cel</w:t>
            </w:r>
            <w:r w:rsidRPr="00E26EF6">
              <w:rPr>
                <w:rFonts w:ascii="Times New Roman" w:hAnsi="Times New Roman"/>
                <w:sz w:val="24"/>
              </w:rPr>
              <w:t>u identyfikacji sekurytyzacji. Kod wewnętrzny związany jest</w:t>
            </w:r>
            <w:r w:rsidR="00E26EF6" w:rsidRPr="00E26EF6">
              <w:rPr>
                <w:rFonts w:ascii="Times New Roman" w:hAnsi="Times New Roman"/>
                <w:sz w:val="24"/>
              </w:rPr>
              <w:t xml:space="preserve"> z ide</w:t>
            </w:r>
            <w:r w:rsidRPr="00E26EF6">
              <w:rPr>
                <w:rFonts w:ascii="Times New Roman" w:hAnsi="Times New Roman"/>
                <w:sz w:val="24"/>
              </w:rPr>
              <w:t>ntyfikatorem transakcji sekurytyzacji.</w:t>
            </w:r>
          </w:p>
          <w:p w14:paraId="66148281"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3DA7E308" w14:textId="77777777" w:rsidTr="00E10B85">
        <w:tc>
          <w:tcPr>
            <w:tcW w:w="1101" w:type="dxa"/>
          </w:tcPr>
          <w:p w14:paraId="072A9743"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020</w:t>
            </w:r>
          </w:p>
        </w:tc>
        <w:tc>
          <w:tcPr>
            <w:tcW w:w="7903" w:type="dxa"/>
          </w:tcPr>
          <w:p w14:paraId="07F994B3"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IDENTYFIKATOR SEKURYTYZACJI</w:t>
            </w:r>
            <w:r w:rsidRPr="00E26EF6">
              <w:rPr>
                <w:rFonts w:ascii="Times New Roman" w:hAnsi="Times New Roman"/>
                <w:b/>
                <w:sz w:val="24"/>
              </w:rPr>
              <w:t xml:space="preserve"> (kod/nazwa)</w:t>
            </w:r>
          </w:p>
          <w:p w14:paraId="0CCA42B7" w14:textId="77777777" w:rsidR="00915077" w:rsidRPr="00E26EF6" w:rsidRDefault="00915077">
            <w:pPr>
              <w:spacing w:before="0" w:after="0"/>
              <w:jc w:val="left"/>
              <w:rPr>
                <w:rFonts w:ascii="Times New Roman" w:hAnsi="Times New Roman"/>
                <w:sz w:val="24"/>
              </w:rPr>
            </w:pPr>
          </w:p>
          <w:p w14:paraId="466E15FC" w14:textId="4D52BC80"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Kod używany do celów prawnej rejestracji transakcji sekurytyzacji lub, jeśli taki kod nie jest dostępny, nazwa, pod którą dana transakcja sekurytyzacji jest znana na rynku lub</w:t>
            </w:r>
            <w:r w:rsidR="00E26EF6" w:rsidRPr="00E26EF6">
              <w:rPr>
                <w:rFonts w:ascii="Times New Roman" w:hAnsi="Times New Roman"/>
                <w:sz w:val="24"/>
              </w:rPr>
              <w:t xml:space="preserve"> w ram</w:t>
            </w:r>
            <w:r w:rsidRPr="00E26EF6">
              <w:rPr>
                <w:rFonts w:ascii="Times New Roman" w:hAnsi="Times New Roman"/>
                <w:sz w:val="24"/>
              </w:rPr>
              <w:t>ach instytucji</w:t>
            </w:r>
            <w:r w:rsidR="00E26EF6" w:rsidRPr="00E26EF6">
              <w:rPr>
                <w:rFonts w:ascii="Times New Roman" w:hAnsi="Times New Roman"/>
                <w:sz w:val="24"/>
              </w:rPr>
              <w:t xml:space="preserve"> w prz</w:t>
            </w:r>
            <w:r w:rsidRPr="00E26EF6">
              <w:rPr>
                <w:rFonts w:ascii="Times New Roman" w:hAnsi="Times New Roman"/>
                <w:sz w:val="24"/>
              </w:rPr>
              <w:t>ypadku sekurytyzacji wewnętrznej lub prywatnej</w:t>
            </w:r>
            <w:r w:rsidR="00E26EF6" w:rsidRPr="00E26EF6">
              <w:rPr>
                <w:rFonts w:ascii="Times New Roman" w:hAnsi="Times New Roman"/>
                <w:sz w:val="24"/>
              </w:rPr>
              <w:t>. W prz</w:t>
            </w:r>
            <w:r w:rsidRPr="00E26EF6">
              <w:rPr>
                <w:rFonts w:ascii="Times New Roman" w:hAnsi="Times New Roman"/>
                <w:sz w:val="24"/>
              </w:rPr>
              <w:t>ypadku gdy dostępny jest Międzynarodowy Numer Identyfikacyjny Papierów Wartościowych (ISIN; np.</w:t>
            </w:r>
            <w:r w:rsidR="00E26EF6" w:rsidRPr="00E26EF6">
              <w:rPr>
                <w:rFonts w:ascii="Times New Roman" w:hAnsi="Times New Roman"/>
                <w:sz w:val="24"/>
              </w:rPr>
              <w:t xml:space="preserve"> w odn</w:t>
            </w:r>
            <w:r w:rsidRPr="00E26EF6">
              <w:rPr>
                <w:rFonts w:ascii="Times New Roman" w:hAnsi="Times New Roman"/>
                <w:sz w:val="24"/>
              </w:rPr>
              <w:t>iesieniu do transakcji publicznych),</w:t>
            </w:r>
            <w:r w:rsidR="00E26EF6" w:rsidRPr="00E26EF6">
              <w:rPr>
                <w:rFonts w:ascii="Times New Roman" w:hAnsi="Times New Roman"/>
                <w:sz w:val="24"/>
              </w:rPr>
              <w:t xml:space="preserve"> w kol</w:t>
            </w:r>
            <w:r w:rsidRPr="00E26EF6">
              <w:rPr>
                <w:rFonts w:ascii="Times New Roman" w:hAnsi="Times New Roman"/>
                <w:sz w:val="24"/>
              </w:rPr>
              <w:t>umnie tej zgłasza się znaki wspólne dla wszystkich transz sekurytyzacyjnych.</w:t>
            </w:r>
          </w:p>
          <w:p w14:paraId="084E4489"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6B879E4A" w14:textId="77777777" w:rsidTr="00E10B85">
        <w:tc>
          <w:tcPr>
            <w:tcW w:w="1101" w:type="dxa"/>
          </w:tcPr>
          <w:p w14:paraId="6CBD8AA3"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021</w:t>
            </w:r>
          </w:p>
        </w:tc>
        <w:tc>
          <w:tcPr>
            <w:tcW w:w="7903" w:type="dxa"/>
          </w:tcPr>
          <w:p w14:paraId="3E7C7C29"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SEKURYTYZACJA WEWNĄTRZGRUPOWA, PRYWATNA LUB PUBLICZNA?</w:t>
            </w:r>
          </w:p>
          <w:p w14:paraId="48B40EEE"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3EAD98BA" w14:textId="7777777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W tej kolumnie identyfikuje się, czy sekurytyzacja jest sekurytyzacją wewnątrzgrupową, prywatną lub publiczną.</w:t>
            </w:r>
          </w:p>
          <w:p w14:paraId="24C8F05D" w14:textId="77777777" w:rsidR="00915077" w:rsidRPr="00E26EF6" w:rsidRDefault="00915077">
            <w:pPr>
              <w:autoSpaceDE w:val="0"/>
              <w:autoSpaceDN w:val="0"/>
              <w:adjustRightInd w:val="0"/>
              <w:spacing w:before="0" w:after="0"/>
              <w:jc w:val="left"/>
              <w:rPr>
                <w:rFonts w:ascii="Times New Roman" w:hAnsi="Times New Roman"/>
                <w:sz w:val="24"/>
              </w:rPr>
            </w:pPr>
          </w:p>
          <w:p w14:paraId="4BB9DCA0" w14:textId="457A0255" w:rsidR="00915077" w:rsidRPr="00E26EF6" w:rsidRDefault="00E20FAC">
            <w:pPr>
              <w:autoSpaceDE w:val="0"/>
              <w:autoSpaceDN w:val="0"/>
              <w:adjustRightInd w:val="0"/>
              <w:spacing w:before="0" w:after="0"/>
              <w:jc w:val="left"/>
              <w:rPr>
                <w:rFonts w:ascii="Times New Roman" w:hAnsi="Times New Roman"/>
                <w:sz w:val="24"/>
              </w:rPr>
            </w:pPr>
            <w:r w:rsidRPr="00E26EF6">
              <w:rPr>
                <w:rFonts w:ascii="Times New Roman" w:hAnsi="Times New Roman"/>
                <w:sz w:val="24"/>
              </w:rPr>
              <w:t>Instytucje zgłaszają jeden</w:t>
            </w:r>
            <w:r w:rsidR="00E26EF6" w:rsidRPr="00E26EF6">
              <w:rPr>
                <w:rFonts w:ascii="Times New Roman" w:hAnsi="Times New Roman"/>
                <w:sz w:val="24"/>
              </w:rPr>
              <w:t xml:space="preserve"> z nas</w:t>
            </w:r>
            <w:r w:rsidRPr="00E26EF6">
              <w:rPr>
                <w:rFonts w:ascii="Times New Roman" w:hAnsi="Times New Roman"/>
                <w:sz w:val="24"/>
              </w:rPr>
              <w:t>tępujących skrótów:</w:t>
            </w:r>
          </w:p>
          <w:p w14:paraId="3451D2D9" w14:textId="77777777" w:rsidR="00915077" w:rsidRPr="00E26EF6" w:rsidRDefault="00915077">
            <w:pPr>
              <w:autoSpaceDE w:val="0"/>
              <w:autoSpaceDN w:val="0"/>
              <w:adjustRightInd w:val="0"/>
              <w:spacing w:before="0" w:after="0"/>
              <w:jc w:val="left"/>
              <w:rPr>
                <w:rFonts w:ascii="Times New Roman" w:hAnsi="Times New Roman"/>
                <w:sz w:val="24"/>
              </w:rPr>
            </w:pPr>
          </w:p>
          <w:p w14:paraId="421297D0" w14:textId="5E2E645C" w:rsidR="00915077" w:rsidRPr="00E26EF6"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E26EF6">
              <w:rPr>
                <w:rFonts w:ascii="Times New Roman" w:hAnsi="Times New Roman"/>
                <w:sz w:val="24"/>
              </w:rPr>
              <w:t>„PRI”</w:t>
            </w:r>
            <w:r w:rsidR="00E26EF6" w:rsidRPr="00E26EF6">
              <w:rPr>
                <w:rFonts w:ascii="Times New Roman" w:hAnsi="Times New Roman"/>
                <w:sz w:val="24"/>
              </w:rPr>
              <w:t xml:space="preserve"> w prz</w:t>
            </w:r>
            <w:r w:rsidRPr="00E26EF6">
              <w:rPr>
                <w:rFonts w:ascii="Times New Roman" w:hAnsi="Times New Roman"/>
                <w:sz w:val="24"/>
              </w:rPr>
              <w:t>ypadku sekurytyzacji prywatnej;</w:t>
            </w:r>
          </w:p>
          <w:p w14:paraId="4572E686" w14:textId="5F1805B4" w:rsidR="00915077" w:rsidRPr="00E26EF6"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E26EF6">
              <w:rPr>
                <w:rFonts w:ascii="Times New Roman" w:hAnsi="Times New Roman"/>
                <w:sz w:val="24"/>
              </w:rPr>
              <w:t>„INT”</w:t>
            </w:r>
            <w:r w:rsidR="00E26EF6" w:rsidRPr="00E26EF6">
              <w:rPr>
                <w:rFonts w:ascii="Times New Roman" w:hAnsi="Times New Roman"/>
                <w:sz w:val="24"/>
              </w:rPr>
              <w:t xml:space="preserve"> w prz</w:t>
            </w:r>
            <w:r w:rsidRPr="00E26EF6">
              <w:rPr>
                <w:rFonts w:ascii="Times New Roman" w:hAnsi="Times New Roman"/>
                <w:sz w:val="24"/>
              </w:rPr>
              <w:t>ypadku sekurytyzacji wewnątrzgrupowej;</w:t>
            </w:r>
          </w:p>
          <w:p w14:paraId="64026956" w14:textId="779DEF85" w:rsidR="00915077" w:rsidRPr="00E26EF6"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E26EF6">
              <w:rPr>
                <w:rFonts w:ascii="Times New Roman" w:hAnsi="Times New Roman"/>
                <w:sz w:val="24"/>
              </w:rPr>
              <w:t>„PUB”</w:t>
            </w:r>
            <w:r w:rsidR="00E26EF6" w:rsidRPr="00E26EF6">
              <w:rPr>
                <w:rFonts w:ascii="Times New Roman" w:hAnsi="Times New Roman"/>
                <w:sz w:val="24"/>
              </w:rPr>
              <w:t xml:space="preserve"> w prz</w:t>
            </w:r>
            <w:r w:rsidRPr="00E26EF6">
              <w:rPr>
                <w:rFonts w:ascii="Times New Roman" w:hAnsi="Times New Roman"/>
                <w:sz w:val="24"/>
              </w:rPr>
              <w:t>ypadku sekurytyzacji publicznej.</w:t>
            </w:r>
          </w:p>
          <w:p w14:paraId="4B8FED18"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1FD2A43D" w14:textId="77777777" w:rsidTr="00E10B85">
        <w:tc>
          <w:tcPr>
            <w:tcW w:w="1101" w:type="dxa"/>
            <w:shd w:val="clear" w:color="auto" w:fill="auto"/>
          </w:tcPr>
          <w:p w14:paraId="4CD05E4A"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110</w:t>
            </w:r>
          </w:p>
        </w:tc>
        <w:tc>
          <w:tcPr>
            <w:tcW w:w="7903" w:type="dxa"/>
            <w:shd w:val="clear" w:color="auto" w:fill="auto"/>
          </w:tcPr>
          <w:p w14:paraId="70BE1BD0"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ROLA INSTYTUCJI (JEDNOSTKA INICJUJĄCA / JEDNOSTKA SPONSORUJĄCA / PIERWOTNY KREDYTODAWCA / INWESTOR)</w:t>
            </w:r>
          </w:p>
          <w:p w14:paraId="483E0016" w14:textId="77777777" w:rsidR="00915077" w:rsidRPr="00E26EF6" w:rsidRDefault="00915077">
            <w:pPr>
              <w:autoSpaceDE w:val="0"/>
              <w:autoSpaceDN w:val="0"/>
              <w:adjustRightInd w:val="0"/>
              <w:spacing w:before="0" w:after="0"/>
              <w:jc w:val="left"/>
              <w:rPr>
                <w:rFonts w:ascii="Times New Roman" w:hAnsi="Times New Roman"/>
                <w:sz w:val="24"/>
              </w:rPr>
            </w:pPr>
          </w:p>
          <w:p w14:paraId="0D9619D9" w14:textId="77777777" w:rsidR="00915077" w:rsidRPr="00E26EF6" w:rsidRDefault="00E20FAC">
            <w:pPr>
              <w:autoSpaceDE w:val="0"/>
              <w:autoSpaceDN w:val="0"/>
              <w:adjustRightInd w:val="0"/>
              <w:spacing w:before="0" w:after="0"/>
              <w:jc w:val="left"/>
              <w:rPr>
                <w:rFonts w:ascii="Times New Roman" w:hAnsi="Times New Roman"/>
                <w:sz w:val="24"/>
              </w:rPr>
            </w:pPr>
            <w:r w:rsidRPr="00E26EF6">
              <w:rPr>
                <w:rFonts w:ascii="Times New Roman" w:hAnsi="Times New Roman"/>
                <w:sz w:val="24"/>
              </w:rPr>
              <w:t xml:space="preserve">Instytucje zgłaszają następujące skróty: </w:t>
            </w:r>
          </w:p>
          <w:p w14:paraId="526A42BE" w14:textId="7ED30745"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„O”</w:t>
            </w:r>
            <w:r w:rsidR="00E26EF6" w:rsidRPr="00E26EF6">
              <w:rPr>
                <w:rFonts w:ascii="Times New Roman" w:hAnsi="Times New Roman"/>
                <w:sz w:val="24"/>
              </w:rPr>
              <w:t xml:space="preserve"> w prz</w:t>
            </w:r>
            <w:r w:rsidRPr="00E26EF6">
              <w:rPr>
                <w:rFonts w:ascii="Times New Roman" w:hAnsi="Times New Roman"/>
                <w:sz w:val="24"/>
              </w:rPr>
              <w:t>ypadku jednostki inicjującej;</w:t>
            </w:r>
          </w:p>
          <w:p w14:paraId="518F539B" w14:textId="425AF7F2"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lastRenderedPageBreak/>
              <w:t>- „S”</w:t>
            </w:r>
            <w:r w:rsidR="00E26EF6" w:rsidRPr="00E26EF6">
              <w:rPr>
                <w:rFonts w:ascii="Times New Roman" w:hAnsi="Times New Roman"/>
                <w:sz w:val="24"/>
              </w:rPr>
              <w:t xml:space="preserve"> w prz</w:t>
            </w:r>
            <w:r w:rsidRPr="00E26EF6">
              <w:rPr>
                <w:rFonts w:ascii="Times New Roman" w:hAnsi="Times New Roman"/>
                <w:sz w:val="24"/>
              </w:rPr>
              <w:t>ypadku jednostki sponsorującej;</w:t>
            </w:r>
          </w:p>
          <w:p w14:paraId="02874052" w14:textId="0ECE6161"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„I”</w:t>
            </w:r>
            <w:r w:rsidR="00E26EF6" w:rsidRPr="00E26EF6">
              <w:rPr>
                <w:rFonts w:ascii="Times New Roman" w:hAnsi="Times New Roman"/>
                <w:sz w:val="24"/>
              </w:rPr>
              <w:t xml:space="preserve"> w prz</w:t>
            </w:r>
            <w:r w:rsidRPr="00E26EF6">
              <w:rPr>
                <w:rFonts w:ascii="Times New Roman" w:hAnsi="Times New Roman"/>
                <w:sz w:val="24"/>
              </w:rPr>
              <w:t xml:space="preserve">ypadku inwestora. </w:t>
            </w:r>
          </w:p>
          <w:p w14:paraId="19BB498E" w14:textId="6F6486D6"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„L”</w:t>
            </w:r>
            <w:r w:rsidR="00E26EF6" w:rsidRPr="00E26EF6">
              <w:rPr>
                <w:rFonts w:ascii="Times New Roman" w:hAnsi="Times New Roman"/>
                <w:sz w:val="24"/>
              </w:rPr>
              <w:t xml:space="preserve"> w prz</w:t>
            </w:r>
            <w:r w:rsidRPr="00E26EF6">
              <w:rPr>
                <w:rFonts w:ascii="Times New Roman" w:hAnsi="Times New Roman"/>
                <w:sz w:val="24"/>
              </w:rPr>
              <w:t>ypadku pierwotnego kredytodawcy;</w:t>
            </w:r>
          </w:p>
          <w:p w14:paraId="4101962B" w14:textId="77777777" w:rsidR="00915077" w:rsidRPr="00E26EF6" w:rsidRDefault="00915077">
            <w:pPr>
              <w:autoSpaceDE w:val="0"/>
              <w:autoSpaceDN w:val="0"/>
              <w:adjustRightInd w:val="0"/>
              <w:spacing w:before="0" w:after="0"/>
              <w:jc w:val="left"/>
              <w:rPr>
                <w:rFonts w:ascii="Times New Roman" w:hAnsi="Times New Roman"/>
                <w:sz w:val="24"/>
              </w:rPr>
            </w:pPr>
          </w:p>
          <w:p w14:paraId="74EAC855" w14:textId="50AF3570" w:rsidR="00915077" w:rsidRPr="00E26EF6" w:rsidRDefault="00E20FAC">
            <w:pPr>
              <w:autoSpaceDE w:val="0"/>
              <w:autoSpaceDN w:val="0"/>
              <w:adjustRightInd w:val="0"/>
              <w:spacing w:before="0" w:after="0"/>
              <w:jc w:val="left"/>
              <w:rPr>
                <w:rFonts w:ascii="Times New Roman" w:hAnsi="Times New Roman"/>
                <w:sz w:val="24"/>
              </w:rPr>
            </w:pPr>
            <w:r w:rsidRPr="00E26EF6">
              <w:rPr>
                <w:rFonts w:ascii="Times New Roman" w:hAnsi="Times New Roman"/>
                <w:sz w:val="24"/>
              </w:rPr>
              <w:t>Jednostka inicjująca,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13 CRR oraz jednostka sponsorująca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14 CRR. Zakłada się, że inwestorami są te instytucje, do których stosują się przepisy art.</w:t>
            </w:r>
            <w:r w:rsidR="00023409" w:rsidRPr="00E26EF6">
              <w:rPr>
                <w:rFonts w:ascii="Times New Roman" w:hAnsi="Times New Roman"/>
                <w:sz w:val="24"/>
              </w:rPr>
              <w:t> </w:t>
            </w:r>
            <w:r w:rsidRPr="00E26EF6">
              <w:rPr>
                <w:rFonts w:ascii="Times New Roman" w:hAnsi="Times New Roman"/>
                <w:sz w:val="24"/>
              </w:rPr>
              <w:t>5 rozporządzenia (UE) 2017/2402</w:t>
            </w:r>
            <w:r w:rsidR="00E26EF6" w:rsidRPr="00E26EF6">
              <w:rPr>
                <w:rFonts w:ascii="Times New Roman" w:hAnsi="Times New Roman"/>
                <w:sz w:val="24"/>
              </w:rPr>
              <w:t>. W prz</w:t>
            </w:r>
            <w:r w:rsidRPr="00E26EF6">
              <w:rPr>
                <w:rFonts w:ascii="Times New Roman" w:hAnsi="Times New Roman"/>
                <w:sz w:val="24"/>
              </w:rPr>
              <w:t>ypadku art.</w:t>
            </w:r>
            <w:r w:rsidR="00023409" w:rsidRPr="00E26EF6">
              <w:rPr>
                <w:rFonts w:ascii="Times New Roman" w:hAnsi="Times New Roman"/>
                <w:sz w:val="24"/>
              </w:rPr>
              <w:t> </w:t>
            </w:r>
            <w:r w:rsidRPr="00E26EF6">
              <w:rPr>
                <w:rFonts w:ascii="Times New Roman" w:hAnsi="Times New Roman"/>
                <w:sz w:val="24"/>
              </w:rPr>
              <w:t>43 ust.</w:t>
            </w:r>
            <w:r w:rsidR="00023409" w:rsidRPr="00E26EF6">
              <w:rPr>
                <w:rFonts w:ascii="Times New Roman" w:hAnsi="Times New Roman"/>
                <w:sz w:val="24"/>
              </w:rPr>
              <w:t> </w:t>
            </w:r>
            <w:r w:rsidRPr="00E26EF6">
              <w:rPr>
                <w:rFonts w:ascii="Times New Roman" w:hAnsi="Times New Roman"/>
                <w:sz w:val="24"/>
              </w:rPr>
              <w:t>5 rozporządzenia (UE) 2017/2402 zastosowanie mają art.</w:t>
            </w:r>
            <w:r w:rsidR="00023409" w:rsidRPr="00E26EF6">
              <w:rPr>
                <w:rFonts w:ascii="Times New Roman" w:hAnsi="Times New Roman"/>
                <w:sz w:val="24"/>
              </w:rPr>
              <w:t> </w:t>
            </w:r>
            <w:r w:rsidRPr="00E26EF6">
              <w:rPr>
                <w:rFonts w:ascii="Times New Roman" w:hAnsi="Times New Roman"/>
                <w:sz w:val="24"/>
              </w:rPr>
              <w:t>406</w:t>
            </w:r>
            <w:r w:rsidR="00E26EF6" w:rsidRPr="00E26EF6">
              <w:rPr>
                <w:rFonts w:ascii="Times New Roman" w:hAnsi="Times New Roman"/>
                <w:sz w:val="24"/>
              </w:rPr>
              <w:t xml:space="preserve"> i 4</w:t>
            </w:r>
            <w:r w:rsidRPr="00E26EF6">
              <w:rPr>
                <w:rFonts w:ascii="Times New Roman" w:hAnsi="Times New Roman"/>
                <w:sz w:val="24"/>
              </w:rPr>
              <w:t>07 CRR</w:t>
            </w:r>
            <w:r w:rsidR="00E26EF6" w:rsidRPr="00E26EF6">
              <w:rPr>
                <w:rFonts w:ascii="Times New Roman" w:hAnsi="Times New Roman"/>
                <w:sz w:val="24"/>
              </w:rPr>
              <w:t xml:space="preserve"> w wer</w:t>
            </w:r>
            <w:r w:rsidRPr="00E26EF6">
              <w:rPr>
                <w:rFonts w:ascii="Times New Roman" w:hAnsi="Times New Roman"/>
                <w:sz w:val="24"/>
              </w:rPr>
              <w:t>sji mającej zastosowanie</w:t>
            </w:r>
            <w:r w:rsidR="00E26EF6" w:rsidRPr="00E26EF6">
              <w:rPr>
                <w:rFonts w:ascii="Times New Roman" w:hAnsi="Times New Roman"/>
                <w:sz w:val="24"/>
              </w:rPr>
              <w:t xml:space="preserve"> w dni</w:t>
            </w:r>
            <w:r w:rsidRPr="00E26EF6">
              <w:rPr>
                <w:rFonts w:ascii="Times New Roman" w:hAnsi="Times New Roman"/>
                <w:sz w:val="24"/>
              </w:rPr>
              <w:t>u 31 grudnia 2018</w:t>
            </w:r>
            <w:r w:rsidR="00023409" w:rsidRPr="00E26EF6">
              <w:rPr>
                <w:rFonts w:ascii="Times New Roman" w:hAnsi="Times New Roman"/>
                <w:sz w:val="24"/>
              </w:rPr>
              <w:t> </w:t>
            </w:r>
            <w:r w:rsidRPr="00E26EF6">
              <w:rPr>
                <w:rFonts w:ascii="Times New Roman" w:hAnsi="Times New Roman"/>
                <w:sz w:val="24"/>
              </w:rPr>
              <w:t>r.</w:t>
            </w:r>
          </w:p>
          <w:p w14:paraId="6E14677A"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7C1F8386" w14:textId="77777777" w:rsidTr="00E10B85">
        <w:tc>
          <w:tcPr>
            <w:tcW w:w="1101" w:type="dxa"/>
          </w:tcPr>
          <w:p w14:paraId="6EF387CE"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lastRenderedPageBreak/>
              <w:t>030</w:t>
            </w:r>
          </w:p>
        </w:tc>
        <w:tc>
          <w:tcPr>
            <w:tcW w:w="7903" w:type="dxa"/>
          </w:tcPr>
          <w:p w14:paraId="0FADED43"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IDENTYFIKATOR JEDNOSTKI INICJUJĄCEJ</w:t>
            </w:r>
            <w:r w:rsidRPr="00E26EF6">
              <w:rPr>
                <w:rFonts w:ascii="Times New Roman" w:hAnsi="Times New Roman"/>
                <w:b/>
                <w:sz w:val="24"/>
              </w:rPr>
              <w:t xml:space="preserve"> (kod/nazwa)</w:t>
            </w:r>
          </w:p>
          <w:p w14:paraId="1E73EDE5" w14:textId="77777777" w:rsidR="00915077" w:rsidRPr="00E26EF6" w:rsidRDefault="00915077">
            <w:pPr>
              <w:autoSpaceDE w:val="0"/>
              <w:autoSpaceDN w:val="0"/>
              <w:adjustRightInd w:val="0"/>
              <w:spacing w:before="0" w:after="0"/>
              <w:jc w:val="left"/>
              <w:rPr>
                <w:rFonts w:ascii="Times New Roman" w:hAnsi="Times New Roman"/>
                <w:sz w:val="24"/>
              </w:rPr>
            </w:pPr>
          </w:p>
          <w:p w14:paraId="607A39C3" w14:textId="557D01F5"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kolumnie tej podaje się kod LEI mający zastosowanie do jednostki inicjującej, lub jeżeli nie jest dostępny, kod nadany przez organ nadzoru jednostce inicjującej lub, jeżeli taki kod nie jest dostępny, nazwę instytucji.</w:t>
            </w:r>
          </w:p>
          <w:p w14:paraId="4C06EA4C" w14:textId="77777777" w:rsidR="00915077" w:rsidRPr="00E26EF6" w:rsidRDefault="00915077">
            <w:pPr>
              <w:autoSpaceDE w:val="0"/>
              <w:autoSpaceDN w:val="0"/>
              <w:adjustRightInd w:val="0"/>
              <w:spacing w:before="0" w:after="0"/>
              <w:rPr>
                <w:rFonts w:ascii="Times New Roman" w:hAnsi="Times New Roman"/>
                <w:sz w:val="24"/>
              </w:rPr>
            </w:pPr>
          </w:p>
          <w:p w14:paraId="40573422" w14:textId="0DC5014E"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przypadku sekurytyzacji zbywanych przez wiele podmiotów, gdy instytucja sprawozdająca pełni rolę jednostki inicjującej, sponsorującej lub pierwotnego kredytodawcy, instytucja sprawozdająca podaje identyfikator wszystkich podmiotów należących do jej grupy skonsolidowanej, które biorą udział (jako jednostka inicjująca, jednostka sponsorująca lub pierwotny kredytodawca)</w:t>
            </w:r>
            <w:r w:rsidR="00E26EF6" w:rsidRPr="00E26EF6">
              <w:rPr>
                <w:rFonts w:ascii="Times New Roman" w:hAnsi="Times New Roman"/>
                <w:sz w:val="24"/>
              </w:rPr>
              <w:t xml:space="preserve"> w tra</w:t>
            </w:r>
            <w:r w:rsidRPr="00E26EF6">
              <w:rPr>
                <w:rFonts w:ascii="Times New Roman" w:hAnsi="Times New Roman"/>
                <w:sz w:val="24"/>
              </w:rPr>
              <w:t>nsakcji. Jeżeli taki kod jest niedostępny lub nieznany jednostce sprawozdającej, podaje się nazwę instytucji.</w:t>
            </w:r>
          </w:p>
          <w:p w14:paraId="6C77E3FA" w14:textId="77777777" w:rsidR="00915077" w:rsidRPr="00E26EF6" w:rsidRDefault="00915077">
            <w:pPr>
              <w:autoSpaceDE w:val="0"/>
              <w:autoSpaceDN w:val="0"/>
              <w:adjustRightInd w:val="0"/>
              <w:spacing w:before="0" w:after="0"/>
              <w:rPr>
                <w:rFonts w:ascii="Times New Roman" w:hAnsi="Times New Roman"/>
                <w:sz w:val="24"/>
              </w:rPr>
            </w:pPr>
          </w:p>
          <w:p w14:paraId="4E71CFAD" w14:textId="61AA6B52"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przypadku sekurytyzacji zbywanych przez wiele podmiotów, gdy instytucja sprawozdająca posiada pozycję</w:t>
            </w:r>
            <w:r w:rsidR="00E26EF6" w:rsidRPr="00E26EF6">
              <w:rPr>
                <w:rFonts w:ascii="Times New Roman" w:hAnsi="Times New Roman"/>
                <w:sz w:val="24"/>
              </w:rPr>
              <w:t xml:space="preserve"> w sek</w:t>
            </w:r>
            <w:r w:rsidRPr="00E26EF6">
              <w:rPr>
                <w:rFonts w:ascii="Times New Roman" w:hAnsi="Times New Roman"/>
                <w:sz w:val="24"/>
              </w:rPr>
              <w:t>urytyzacji</w:t>
            </w:r>
            <w:r w:rsidR="00E26EF6" w:rsidRPr="00E26EF6">
              <w:rPr>
                <w:rFonts w:ascii="Times New Roman" w:hAnsi="Times New Roman"/>
                <w:sz w:val="24"/>
              </w:rPr>
              <w:t xml:space="preserve"> w rol</w:t>
            </w:r>
            <w:r w:rsidRPr="00E26EF6">
              <w:rPr>
                <w:rFonts w:ascii="Times New Roman" w:hAnsi="Times New Roman"/>
                <w:sz w:val="24"/>
              </w:rPr>
              <w:t>i inwestora, instytucja sprawozdająca podaje identyfikator wszystkim poszczególnym jednostkom inicjującym zaangażowanym</w:t>
            </w:r>
            <w:r w:rsidR="00E26EF6" w:rsidRPr="00E26EF6">
              <w:rPr>
                <w:rFonts w:ascii="Times New Roman" w:hAnsi="Times New Roman"/>
                <w:sz w:val="24"/>
              </w:rPr>
              <w:t xml:space="preserve"> w sek</w:t>
            </w:r>
            <w:r w:rsidRPr="00E26EF6">
              <w:rPr>
                <w:rFonts w:ascii="Times New Roman" w:hAnsi="Times New Roman"/>
                <w:sz w:val="24"/>
              </w:rPr>
              <w:t>urytyzację,</w:t>
            </w:r>
            <w:r w:rsidR="00E26EF6" w:rsidRPr="00E26EF6">
              <w:rPr>
                <w:rFonts w:ascii="Times New Roman" w:hAnsi="Times New Roman"/>
                <w:sz w:val="24"/>
              </w:rPr>
              <w:t xml:space="preserve"> a gdy</w:t>
            </w:r>
            <w:r w:rsidRPr="00E26EF6">
              <w:rPr>
                <w:rFonts w:ascii="Times New Roman" w:hAnsi="Times New Roman"/>
                <w:sz w:val="24"/>
              </w:rPr>
              <w:t xml:space="preserve"> nie jest on dostępny, podaje nazwy poszczególnych jednostek inicjujących. Gdy nazwy nie są znane instytucji sprawozdającej, instytucja sprawozdająca zgłasza, że sekurytyzacja jest „zbywana przez wiele podmiotów”.</w:t>
            </w:r>
          </w:p>
          <w:p w14:paraId="7F390260" w14:textId="77777777" w:rsidR="00915077" w:rsidRPr="00E26EF6" w:rsidRDefault="00915077">
            <w:pPr>
              <w:autoSpaceDE w:val="0"/>
              <w:autoSpaceDN w:val="0"/>
              <w:adjustRightInd w:val="0"/>
              <w:spacing w:before="0" w:after="0"/>
              <w:rPr>
                <w:rFonts w:ascii="Times New Roman" w:hAnsi="Times New Roman"/>
                <w:sz w:val="24"/>
              </w:rPr>
            </w:pPr>
          </w:p>
          <w:p w14:paraId="491D179B"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1F46A12A" w14:textId="77777777" w:rsidTr="00E10B85">
        <w:tc>
          <w:tcPr>
            <w:tcW w:w="1101" w:type="dxa"/>
          </w:tcPr>
          <w:p w14:paraId="6005B34C"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040</w:t>
            </w:r>
          </w:p>
        </w:tc>
        <w:tc>
          <w:tcPr>
            <w:tcW w:w="7903" w:type="dxa"/>
          </w:tcPr>
          <w:p w14:paraId="55BC621E"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 xml:space="preserve">RODZAJ SEKURYTYZACJI: (TRADYCYJNA / SYNTETYCZNA / PROGRAM EMISJI ABCP / TRANSAKCJA ABCP) </w:t>
            </w:r>
          </w:p>
          <w:p w14:paraId="370D0E3D" w14:textId="77777777" w:rsidR="00915077" w:rsidRPr="00E26EF6" w:rsidRDefault="00915077">
            <w:pPr>
              <w:spacing w:before="0" w:after="0"/>
              <w:jc w:val="left"/>
              <w:rPr>
                <w:rFonts w:ascii="Times New Roman" w:hAnsi="Times New Roman"/>
                <w:sz w:val="24"/>
              </w:rPr>
            </w:pPr>
          </w:p>
          <w:p w14:paraId="0AE7FEDF" w14:textId="4933ADBF" w:rsidR="00915077" w:rsidRPr="00E26EF6" w:rsidRDefault="00E20FAC">
            <w:pPr>
              <w:autoSpaceDE w:val="0"/>
              <w:autoSpaceDN w:val="0"/>
              <w:adjustRightInd w:val="0"/>
              <w:spacing w:before="0" w:after="0"/>
              <w:jc w:val="left"/>
              <w:rPr>
                <w:rFonts w:ascii="Times New Roman" w:hAnsi="Times New Roman"/>
                <w:sz w:val="24"/>
              </w:rPr>
            </w:pPr>
            <w:r w:rsidRPr="00E26EF6">
              <w:rPr>
                <w:rFonts w:ascii="Times New Roman" w:hAnsi="Times New Roman"/>
                <w:sz w:val="24"/>
              </w:rPr>
              <w:t>Instytucje zgłaszają następujące skróty</w:t>
            </w:r>
            <w:proofErr w:type="gramStart"/>
            <w:r w:rsidRPr="00E26EF6">
              <w:rPr>
                <w:rFonts w:ascii="Times New Roman" w:hAnsi="Times New Roman"/>
                <w:sz w:val="24"/>
              </w:rPr>
              <w:t>:</w:t>
            </w:r>
            <w:r w:rsidRPr="00E26EF6">
              <w:rPr>
                <w:rFonts w:ascii="Times New Roman" w:hAnsi="Times New Roman"/>
                <w:sz w:val="24"/>
              </w:rPr>
              <w:br/>
              <w:t>– „AP</w:t>
            </w:r>
            <w:proofErr w:type="gramEnd"/>
            <w:r w:rsidRPr="00E26EF6">
              <w:rPr>
                <w:rFonts w:ascii="Times New Roman" w:hAnsi="Times New Roman"/>
                <w:sz w:val="24"/>
              </w:rPr>
              <w:t>”</w:t>
            </w:r>
            <w:r w:rsidR="00E26EF6" w:rsidRPr="00E26EF6">
              <w:rPr>
                <w:rFonts w:ascii="Times New Roman" w:hAnsi="Times New Roman"/>
                <w:sz w:val="24"/>
              </w:rPr>
              <w:t xml:space="preserve"> w odn</w:t>
            </w:r>
            <w:r w:rsidRPr="00E26EF6">
              <w:rPr>
                <w:rFonts w:ascii="Times New Roman" w:hAnsi="Times New Roman"/>
                <w:sz w:val="24"/>
              </w:rPr>
              <w:t>iesieniu do programu ABCP;</w:t>
            </w:r>
          </w:p>
          <w:p w14:paraId="01297A25" w14:textId="3D98BB53"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„AT”</w:t>
            </w:r>
            <w:r w:rsidR="00E26EF6" w:rsidRPr="00E26EF6">
              <w:rPr>
                <w:rFonts w:ascii="Times New Roman" w:hAnsi="Times New Roman"/>
                <w:sz w:val="24"/>
              </w:rPr>
              <w:t xml:space="preserve"> w odn</w:t>
            </w:r>
            <w:r w:rsidRPr="00E26EF6">
              <w:rPr>
                <w:rFonts w:ascii="Times New Roman" w:hAnsi="Times New Roman"/>
                <w:sz w:val="24"/>
              </w:rPr>
              <w:t>iesieniu do transakcji ABCP;</w:t>
            </w:r>
          </w:p>
          <w:p w14:paraId="2F3F9BB5" w14:textId="0E0A379D"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„T”</w:t>
            </w:r>
            <w:r w:rsidR="00E26EF6" w:rsidRPr="00E26EF6">
              <w:rPr>
                <w:rFonts w:ascii="Times New Roman" w:hAnsi="Times New Roman"/>
                <w:sz w:val="24"/>
              </w:rPr>
              <w:t xml:space="preserve"> w odn</w:t>
            </w:r>
            <w:r w:rsidRPr="00E26EF6">
              <w:rPr>
                <w:rFonts w:ascii="Times New Roman" w:hAnsi="Times New Roman"/>
                <w:sz w:val="24"/>
              </w:rPr>
              <w:t>iesieniu do sekurytyzacji tradycyjnej;</w:t>
            </w:r>
          </w:p>
          <w:p w14:paraId="3645466C" w14:textId="38518BF8"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„S”</w:t>
            </w:r>
            <w:r w:rsidR="00E26EF6" w:rsidRPr="00E26EF6">
              <w:rPr>
                <w:rFonts w:ascii="Times New Roman" w:hAnsi="Times New Roman"/>
                <w:sz w:val="24"/>
              </w:rPr>
              <w:t xml:space="preserve"> w odn</w:t>
            </w:r>
            <w:r w:rsidRPr="00E26EF6">
              <w:rPr>
                <w:rFonts w:ascii="Times New Roman" w:hAnsi="Times New Roman"/>
                <w:sz w:val="24"/>
              </w:rPr>
              <w:t xml:space="preserve">iesieniu do sekurytyzacji syntetycznej. </w:t>
            </w:r>
          </w:p>
          <w:p w14:paraId="1AAB7025" w14:textId="77777777" w:rsidR="00915077" w:rsidRPr="00E26EF6" w:rsidRDefault="00915077">
            <w:pPr>
              <w:autoSpaceDE w:val="0"/>
              <w:autoSpaceDN w:val="0"/>
              <w:adjustRightInd w:val="0"/>
              <w:spacing w:before="0" w:after="0"/>
              <w:jc w:val="left"/>
              <w:rPr>
                <w:rFonts w:ascii="Times New Roman" w:hAnsi="Times New Roman"/>
                <w:sz w:val="24"/>
              </w:rPr>
            </w:pPr>
            <w:bookmarkStart w:id="69" w:name="_GoBack"/>
            <w:bookmarkEnd w:id="69"/>
          </w:p>
          <w:p w14:paraId="3DFA0193" w14:textId="2FCEA243"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Definicje „programu emisji papierów dłużnych przedsiębiorstw zabezpieczonych aktywami”, „transakcji na papierach dłużnych przedsiębiorstw zabezpieczonych aktywami” oraz „sekurytyzacji syntetycznej” zamieszczono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pkt</w:t>
            </w:r>
            <w:r w:rsidR="00023409" w:rsidRPr="00E26EF6">
              <w:rPr>
                <w:rFonts w:ascii="Times New Roman" w:hAnsi="Times New Roman"/>
                <w:sz w:val="24"/>
              </w:rPr>
              <w:t> </w:t>
            </w:r>
            <w:r w:rsidRPr="00E26EF6">
              <w:rPr>
                <w:rFonts w:ascii="Times New Roman" w:hAnsi="Times New Roman"/>
                <w:sz w:val="24"/>
              </w:rPr>
              <w:t>11–14 CRR.</w:t>
            </w:r>
          </w:p>
          <w:p w14:paraId="3B1B3ED7"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38B30F06" w14:textId="77777777" w:rsidTr="00E10B85">
        <w:tc>
          <w:tcPr>
            <w:tcW w:w="1101" w:type="dxa"/>
          </w:tcPr>
          <w:p w14:paraId="73A180AD"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051</w:t>
            </w:r>
          </w:p>
        </w:tc>
        <w:tc>
          <w:tcPr>
            <w:tcW w:w="7903" w:type="dxa"/>
          </w:tcPr>
          <w:p w14:paraId="15D26470"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PODEJŚCIE KSIĘGOWE: CZY SEKURYTYZOWANE EKSPOZYCJE SĄ UJMOWANE W BILANSIE CZY SĄ Z NIEGO USUWANE?</w:t>
            </w:r>
          </w:p>
          <w:p w14:paraId="4363CC44" w14:textId="77777777" w:rsidR="00915077" w:rsidRPr="00E26EF6" w:rsidRDefault="00915077">
            <w:pPr>
              <w:autoSpaceDE w:val="0"/>
              <w:autoSpaceDN w:val="0"/>
              <w:adjustRightInd w:val="0"/>
              <w:spacing w:before="0" w:after="0"/>
              <w:jc w:val="left"/>
              <w:rPr>
                <w:rFonts w:ascii="Times New Roman" w:hAnsi="Times New Roman"/>
                <w:sz w:val="24"/>
              </w:rPr>
            </w:pPr>
          </w:p>
          <w:p w14:paraId="66A033A7" w14:textId="2DE9D8C1" w:rsidR="00915077" w:rsidRPr="00E26EF6" w:rsidRDefault="00784A19">
            <w:pPr>
              <w:autoSpaceDE w:val="0"/>
              <w:autoSpaceDN w:val="0"/>
              <w:adjustRightInd w:val="0"/>
              <w:spacing w:before="0" w:after="0"/>
              <w:jc w:val="left"/>
              <w:rPr>
                <w:rFonts w:ascii="Times New Roman" w:hAnsi="Times New Roman"/>
                <w:sz w:val="24"/>
              </w:rPr>
            </w:pPr>
            <w:r w:rsidRPr="00E26EF6">
              <w:rPr>
                <w:rFonts w:ascii="Times New Roman" w:hAnsi="Times New Roman"/>
                <w:sz w:val="24"/>
              </w:rPr>
              <w:t>Instytucje pełniące role jednostek inicjujących, jednostek sponsorujących</w:t>
            </w:r>
            <w:r w:rsidR="00E26EF6" w:rsidRPr="00E26EF6">
              <w:rPr>
                <w:rFonts w:ascii="Times New Roman" w:hAnsi="Times New Roman"/>
                <w:sz w:val="24"/>
              </w:rPr>
              <w:t xml:space="preserve"> i pie</w:t>
            </w:r>
            <w:r w:rsidRPr="00E26EF6">
              <w:rPr>
                <w:rFonts w:ascii="Times New Roman" w:hAnsi="Times New Roman"/>
                <w:sz w:val="24"/>
              </w:rPr>
              <w:t>rwotnych kredytodawców zgłaszają jeden</w:t>
            </w:r>
            <w:r w:rsidR="00E26EF6" w:rsidRPr="00E26EF6">
              <w:rPr>
                <w:rFonts w:ascii="Times New Roman" w:hAnsi="Times New Roman"/>
                <w:sz w:val="24"/>
              </w:rPr>
              <w:t xml:space="preserve"> z pon</w:t>
            </w:r>
            <w:r w:rsidRPr="00E26EF6">
              <w:rPr>
                <w:rFonts w:ascii="Times New Roman" w:hAnsi="Times New Roman"/>
                <w:sz w:val="24"/>
              </w:rPr>
              <w:t>iższych skrótów:</w:t>
            </w:r>
          </w:p>
          <w:p w14:paraId="2AEA7D8A" w14:textId="1150BD7D" w:rsidR="00915077" w:rsidRPr="00E26EF6" w:rsidRDefault="00C55547">
            <w:pPr>
              <w:autoSpaceDE w:val="0"/>
              <w:autoSpaceDN w:val="0"/>
              <w:adjustRightInd w:val="0"/>
              <w:spacing w:before="0" w:after="0"/>
              <w:ind w:left="1440" w:hanging="1440"/>
              <w:jc w:val="left"/>
              <w:rPr>
                <w:rFonts w:ascii="Times New Roman" w:hAnsi="Times New Roman"/>
                <w:sz w:val="24"/>
              </w:rPr>
            </w:pPr>
            <w:r w:rsidRPr="00E26EF6">
              <w:rPr>
                <w:rFonts w:ascii="Times New Roman" w:hAnsi="Times New Roman"/>
                <w:sz w:val="24"/>
              </w:rPr>
              <w:t>– „K”, jeżeli są całkowicie uznane</w:t>
            </w:r>
            <w:r w:rsidR="00E26EF6" w:rsidRPr="00E26EF6">
              <w:rPr>
                <w:rFonts w:ascii="Times New Roman" w:hAnsi="Times New Roman"/>
                <w:sz w:val="24"/>
              </w:rPr>
              <w:t xml:space="preserve"> w bil</w:t>
            </w:r>
            <w:r w:rsidRPr="00E26EF6">
              <w:rPr>
                <w:rFonts w:ascii="Times New Roman" w:hAnsi="Times New Roman"/>
                <w:sz w:val="24"/>
              </w:rPr>
              <w:t>ansie;</w:t>
            </w:r>
          </w:p>
          <w:p w14:paraId="00DED1E1" w14:textId="40AE1F9E"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„P”, jeżeli są częściowo usunięte</w:t>
            </w:r>
            <w:r w:rsidR="00E26EF6" w:rsidRPr="00E26EF6">
              <w:rPr>
                <w:rFonts w:ascii="Times New Roman" w:hAnsi="Times New Roman"/>
                <w:sz w:val="24"/>
              </w:rPr>
              <w:t xml:space="preserve"> z bil</w:t>
            </w:r>
            <w:r w:rsidRPr="00E26EF6">
              <w:rPr>
                <w:rFonts w:ascii="Times New Roman" w:hAnsi="Times New Roman"/>
                <w:sz w:val="24"/>
              </w:rPr>
              <w:t>ansu;</w:t>
            </w:r>
          </w:p>
          <w:p w14:paraId="7F2667CC" w14:textId="36FA37FA"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„R”, jeżeli są całkowicie usunięte</w:t>
            </w:r>
            <w:r w:rsidR="00E26EF6" w:rsidRPr="00E26EF6">
              <w:rPr>
                <w:rFonts w:ascii="Times New Roman" w:hAnsi="Times New Roman"/>
                <w:sz w:val="24"/>
              </w:rPr>
              <w:t xml:space="preserve"> z bil</w:t>
            </w:r>
            <w:r w:rsidRPr="00E26EF6">
              <w:rPr>
                <w:rFonts w:ascii="Times New Roman" w:hAnsi="Times New Roman"/>
                <w:sz w:val="24"/>
              </w:rPr>
              <w:t>ansu;</w:t>
            </w:r>
          </w:p>
          <w:p w14:paraId="7F68ECC0" w14:textId="7777777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„N”, jeżeli nie dotyczy.</w:t>
            </w:r>
          </w:p>
          <w:p w14:paraId="774F7FDA" w14:textId="77777777" w:rsidR="00915077" w:rsidRPr="00E26EF6" w:rsidRDefault="00915077">
            <w:pPr>
              <w:autoSpaceDE w:val="0"/>
              <w:autoSpaceDN w:val="0"/>
              <w:adjustRightInd w:val="0"/>
              <w:spacing w:before="0" w:after="0"/>
              <w:jc w:val="left"/>
              <w:rPr>
                <w:rFonts w:ascii="Times New Roman" w:hAnsi="Times New Roman"/>
                <w:sz w:val="24"/>
              </w:rPr>
            </w:pPr>
          </w:p>
          <w:p w14:paraId="3FE8C302" w14:textId="7517F8A6"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tej kolumnie podsumowuje się podejście księgowe do transakcji. Przeniesienie istotnej części ryzyka na podstawie art.</w:t>
            </w:r>
            <w:r w:rsidR="00023409" w:rsidRPr="00E26EF6">
              <w:rPr>
                <w:rFonts w:ascii="Times New Roman" w:hAnsi="Times New Roman"/>
                <w:sz w:val="24"/>
              </w:rPr>
              <w:t> </w:t>
            </w:r>
            <w:r w:rsidRPr="00E26EF6">
              <w:rPr>
                <w:rFonts w:ascii="Times New Roman" w:hAnsi="Times New Roman"/>
                <w:sz w:val="24"/>
              </w:rPr>
              <w:t>244</w:t>
            </w:r>
            <w:r w:rsidR="00E26EF6" w:rsidRPr="00E26EF6">
              <w:rPr>
                <w:rFonts w:ascii="Times New Roman" w:hAnsi="Times New Roman"/>
                <w:sz w:val="24"/>
              </w:rPr>
              <w:t xml:space="preserve"> i 2</w:t>
            </w:r>
            <w:r w:rsidRPr="00E26EF6">
              <w:rPr>
                <w:rFonts w:ascii="Times New Roman" w:hAnsi="Times New Roman"/>
                <w:sz w:val="24"/>
              </w:rPr>
              <w:t>45 CRR nie wpływa na podejście księgowe do transakcji</w:t>
            </w:r>
            <w:r w:rsidR="00E26EF6" w:rsidRPr="00E26EF6">
              <w:rPr>
                <w:rFonts w:ascii="Times New Roman" w:hAnsi="Times New Roman"/>
                <w:sz w:val="24"/>
              </w:rPr>
              <w:t xml:space="preserve"> w ram</w:t>
            </w:r>
            <w:r w:rsidRPr="00E26EF6">
              <w:rPr>
                <w:rFonts w:ascii="Times New Roman" w:hAnsi="Times New Roman"/>
                <w:sz w:val="24"/>
              </w:rPr>
              <w:t>ach stosownych standardów rachunkowości.</w:t>
            </w:r>
          </w:p>
          <w:p w14:paraId="5F8E0475" w14:textId="77777777" w:rsidR="00915077" w:rsidRPr="00E26EF6" w:rsidRDefault="00915077">
            <w:pPr>
              <w:autoSpaceDE w:val="0"/>
              <w:autoSpaceDN w:val="0"/>
              <w:adjustRightInd w:val="0"/>
              <w:spacing w:before="0" w:after="0"/>
              <w:rPr>
                <w:rFonts w:ascii="Times New Roman" w:hAnsi="Times New Roman"/>
                <w:sz w:val="24"/>
              </w:rPr>
            </w:pPr>
          </w:p>
          <w:p w14:paraId="664DE973" w14:textId="1B7EB95C"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przypadku sekurytyzacji zobowiązań jednostki inicjujące nie zgłaszają tej kolumny.</w:t>
            </w:r>
          </w:p>
          <w:p w14:paraId="5601BEA9" w14:textId="254F4123"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Odpowiedź „P” (częściowo usunięte</w:t>
            </w:r>
            <w:r w:rsidR="00E26EF6" w:rsidRPr="00E26EF6">
              <w:rPr>
                <w:rFonts w:ascii="Times New Roman" w:hAnsi="Times New Roman"/>
                <w:sz w:val="24"/>
              </w:rPr>
              <w:t xml:space="preserve"> z bil</w:t>
            </w:r>
            <w:r w:rsidRPr="00E26EF6">
              <w:rPr>
                <w:rFonts w:ascii="Times New Roman" w:hAnsi="Times New Roman"/>
                <w:sz w:val="24"/>
              </w:rPr>
              <w:t>ansu) zgłasza się, gdy aktywa sekurytyzowane są uznawane</w:t>
            </w:r>
            <w:r w:rsidR="00E26EF6" w:rsidRPr="00E26EF6">
              <w:rPr>
                <w:rFonts w:ascii="Times New Roman" w:hAnsi="Times New Roman"/>
                <w:sz w:val="24"/>
              </w:rPr>
              <w:t xml:space="preserve"> w bil</w:t>
            </w:r>
            <w:r w:rsidRPr="00E26EF6">
              <w:rPr>
                <w:rFonts w:ascii="Times New Roman" w:hAnsi="Times New Roman"/>
                <w:sz w:val="24"/>
              </w:rPr>
              <w:t>ansie</w:t>
            </w:r>
            <w:r w:rsidR="00E26EF6" w:rsidRPr="00E26EF6">
              <w:rPr>
                <w:rFonts w:ascii="Times New Roman" w:hAnsi="Times New Roman"/>
                <w:sz w:val="24"/>
              </w:rPr>
              <w:t xml:space="preserve"> w zak</w:t>
            </w:r>
            <w:r w:rsidRPr="00E26EF6">
              <w:rPr>
                <w:rFonts w:ascii="Times New Roman" w:hAnsi="Times New Roman"/>
                <w:sz w:val="24"/>
              </w:rPr>
              <w:t>resie trwającego zaangażowania jednostki sprawozdającej zgodnie</w:t>
            </w:r>
            <w:r w:rsidR="00E26EF6" w:rsidRPr="00E26EF6">
              <w:rPr>
                <w:rFonts w:ascii="Times New Roman" w:hAnsi="Times New Roman"/>
                <w:sz w:val="24"/>
              </w:rPr>
              <w:t xml:space="preserve"> z prz</w:t>
            </w:r>
            <w:r w:rsidRPr="00E26EF6">
              <w:rPr>
                <w:rFonts w:ascii="Times New Roman" w:hAnsi="Times New Roman"/>
                <w:sz w:val="24"/>
              </w:rPr>
              <w:t>episami MSSF 9 pkt</w:t>
            </w:r>
            <w:r w:rsidR="00023409" w:rsidRPr="00E26EF6">
              <w:rPr>
                <w:rFonts w:ascii="Times New Roman" w:hAnsi="Times New Roman"/>
                <w:sz w:val="24"/>
              </w:rPr>
              <w:t> </w:t>
            </w:r>
            <w:r w:rsidRPr="00E26EF6">
              <w:rPr>
                <w:rFonts w:ascii="Times New Roman" w:hAnsi="Times New Roman"/>
                <w:sz w:val="24"/>
              </w:rPr>
              <w:t>3.2.16 – 3.2.21.</w:t>
            </w:r>
          </w:p>
          <w:p w14:paraId="1BFC4A17"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29433D54" w14:textId="77777777" w:rsidTr="00E10B85">
        <w:tc>
          <w:tcPr>
            <w:tcW w:w="1101" w:type="dxa"/>
          </w:tcPr>
          <w:p w14:paraId="48543BA3"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lastRenderedPageBreak/>
              <w:t>060</w:t>
            </w:r>
          </w:p>
        </w:tc>
        <w:tc>
          <w:tcPr>
            <w:tcW w:w="7903" w:type="dxa"/>
          </w:tcPr>
          <w:p w14:paraId="6280A99D"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SPOSÓB UJMOWANIA WYPŁACALNOŚCI: CZY POZYCJE SEKURYTYZACYJNE PODLEGAJĄ WYMOGOM W ZAKRESIE FUNDUSZY WŁASNYCH?</w:t>
            </w:r>
          </w:p>
          <w:p w14:paraId="7CF7DE39" w14:textId="77777777" w:rsidR="00915077" w:rsidRPr="00E26EF6" w:rsidRDefault="00915077">
            <w:pPr>
              <w:autoSpaceDE w:val="0"/>
              <w:autoSpaceDN w:val="0"/>
              <w:adjustRightInd w:val="0"/>
              <w:spacing w:before="0" w:after="0"/>
              <w:jc w:val="left"/>
              <w:rPr>
                <w:rFonts w:ascii="Times New Roman" w:hAnsi="Times New Roman"/>
                <w:sz w:val="24"/>
              </w:rPr>
            </w:pPr>
          </w:p>
          <w:p w14:paraId="4C152A04" w14:textId="7777777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xml:space="preserve">Następujące skróty podają wyłącznie jednostki inicjujące: </w:t>
            </w:r>
          </w:p>
          <w:p w14:paraId="62F9B84A" w14:textId="5FCBFE6E"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„N” – nie podlegają wymogom</w:t>
            </w:r>
            <w:r w:rsidR="00E26EF6" w:rsidRPr="00E26EF6">
              <w:rPr>
                <w:rFonts w:ascii="Times New Roman" w:hAnsi="Times New Roman"/>
                <w:sz w:val="24"/>
              </w:rPr>
              <w:t xml:space="preserve"> w zak</w:t>
            </w:r>
            <w:r w:rsidRPr="00E26EF6">
              <w:rPr>
                <w:rFonts w:ascii="Times New Roman" w:hAnsi="Times New Roman"/>
                <w:sz w:val="24"/>
              </w:rPr>
              <w:t>resie funduszy własnych;</w:t>
            </w:r>
          </w:p>
          <w:p w14:paraId="211FCABF" w14:textId="7777777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„B” – portfel bankowy;</w:t>
            </w:r>
          </w:p>
          <w:p w14:paraId="5BB1CF63" w14:textId="7777777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„T” – portfel handlowy;</w:t>
            </w:r>
          </w:p>
          <w:p w14:paraId="4F6DE62D" w14:textId="11C1C96B"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„A” – częściowo</w:t>
            </w:r>
            <w:r w:rsidR="00E26EF6" w:rsidRPr="00E26EF6">
              <w:rPr>
                <w:rFonts w:ascii="Times New Roman" w:hAnsi="Times New Roman"/>
                <w:sz w:val="24"/>
              </w:rPr>
              <w:t xml:space="preserve"> w obu</w:t>
            </w:r>
            <w:r w:rsidRPr="00E26EF6">
              <w:rPr>
                <w:rFonts w:ascii="Times New Roman" w:hAnsi="Times New Roman"/>
                <w:sz w:val="24"/>
              </w:rPr>
              <w:t xml:space="preserve"> portfelach. </w:t>
            </w:r>
          </w:p>
          <w:p w14:paraId="462424B0" w14:textId="77777777" w:rsidR="00915077" w:rsidRPr="00E26EF6" w:rsidRDefault="00915077">
            <w:pPr>
              <w:autoSpaceDE w:val="0"/>
              <w:autoSpaceDN w:val="0"/>
              <w:adjustRightInd w:val="0"/>
              <w:spacing w:before="0" w:after="0"/>
              <w:jc w:val="left"/>
              <w:rPr>
                <w:rFonts w:ascii="Times New Roman" w:hAnsi="Times New Roman"/>
                <w:sz w:val="24"/>
              </w:rPr>
            </w:pPr>
          </w:p>
          <w:p w14:paraId="73A053B1" w14:textId="2868C68C"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Art. 109, 244</w:t>
            </w:r>
            <w:r w:rsidR="00E26EF6" w:rsidRPr="00E26EF6">
              <w:rPr>
                <w:rFonts w:ascii="Times New Roman" w:hAnsi="Times New Roman"/>
                <w:sz w:val="24"/>
              </w:rPr>
              <w:t xml:space="preserve"> i 2</w:t>
            </w:r>
            <w:r w:rsidRPr="00E26EF6">
              <w:rPr>
                <w:rFonts w:ascii="Times New Roman" w:hAnsi="Times New Roman"/>
                <w:sz w:val="24"/>
              </w:rPr>
              <w:t>45 CRR.</w:t>
            </w:r>
          </w:p>
          <w:p w14:paraId="68B7B2BF" w14:textId="77777777" w:rsidR="00915077" w:rsidRPr="00E26EF6" w:rsidRDefault="00915077">
            <w:pPr>
              <w:autoSpaceDE w:val="0"/>
              <w:autoSpaceDN w:val="0"/>
              <w:adjustRightInd w:val="0"/>
              <w:spacing w:before="0" w:after="0"/>
              <w:rPr>
                <w:rFonts w:ascii="Times New Roman" w:hAnsi="Times New Roman"/>
                <w:sz w:val="24"/>
              </w:rPr>
            </w:pPr>
          </w:p>
          <w:p w14:paraId="6A51368E" w14:textId="3CF5902C"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tej kolumnie podsumowuje się sposób ujmowania przez jednostkę inicjującą wypłacalności</w:t>
            </w:r>
            <w:r w:rsidR="00E26EF6" w:rsidRPr="00E26EF6">
              <w:rPr>
                <w:rFonts w:ascii="Times New Roman" w:hAnsi="Times New Roman"/>
                <w:sz w:val="24"/>
              </w:rPr>
              <w:t xml:space="preserve"> w odn</w:t>
            </w:r>
            <w:r w:rsidRPr="00E26EF6">
              <w:rPr>
                <w:rFonts w:ascii="Times New Roman" w:hAnsi="Times New Roman"/>
                <w:sz w:val="24"/>
              </w:rPr>
              <w:t>iesieniu do programu sekurytyzacyjnego. To wskazuje, czy wymogi</w:t>
            </w:r>
            <w:r w:rsidR="00E26EF6" w:rsidRPr="00E26EF6">
              <w:rPr>
                <w:rFonts w:ascii="Times New Roman" w:hAnsi="Times New Roman"/>
                <w:sz w:val="24"/>
              </w:rPr>
              <w:t xml:space="preserve"> w zak</w:t>
            </w:r>
            <w:r w:rsidRPr="00E26EF6">
              <w:rPr>
                <w:rFonts w:ascii="Times New Roman" w:hAnsi="Times New Roman"/>
                <w:sz w:val="24"/>
              </w:rPr>
              <w:t xml:space="preserve">resie funduszy własnych oblicza się na podstawie sekurytyzowanych ekspozycji czy pozycji sekurytyzacyjnych (portfel bankowy / handlowy). </w:t>
            </w:r>
          </w:p>
          <w:p w14:paraId="48A6D860" w14:textId="77777777" w:rsidR="00915077" w:rsidRPr="00E26EF6" w:rsidRDefault="00915077">
            <w:pPr>
              <w:autoSpaceDE w:val="0"/>
              <w:autoSpaceDN w:val="0"/>
              <w:adjustRightInd w:val="0"/>
              <w:spacing w:before="0" w:after="0"/>
              <w:rPr>
                <w:rFonts w:ascii="Times New Roman" w:hAnsi="Times New Roman"/>
                <w:sz w:val="24"/>
              </w:rPr>
            </w:pPr>
          </w:p>
          <w:p w14:paraId="43C7BF34" w14:textId="2C4789E7" w:rsidR="00915077" w:rsidRPr="00E26EF6" w:rsidRDefault="007F1970">
            <w:pPr>
              <w:autoSpaceDE w:val="0"/>
              <w:autoSpaceDN w:val="0"/>
              <w:adjustRightInd w:val="0"/>
              <w:spacing w:before="0" w:after="0"/>
              <w:rPr>
                <w:rFonts w:ascii="Times New Roman" w:hAnsi="Times New Roman"/>
                <w:sz w:val="24"/>
              </w:rPr>
            </w:pPr>
            <w:r w:rsidRPr="00E26EF6">
              <w:rPr>
                <w:rFonts w:ascii="Times New Roman" w:hAnsi="Times New Roman"/>
                <w:sz w:val="24"/>
              </w:rPr>
              <w:t>Gdy wymogi</w:t>
            </w:r>
            <w:r w:rsidR="00E26EF6" w:rsidRPr="00E26EF6">
              <w:rPr>
                <w:rFonts w:ascii="Times New Roman" w:hAnsi="Times New Roman"/>
                <w:sz w:val="24"/>
              </w:rPr>
              <w:t xml:space="preserve"> w zak</w:t>
            </w:r>
            <w:r w:rsidRPr="00E26EF6">
              <w:rPr>
                <w:rFonts w:ascii="Times New Roman" w:hAnsi="Times New Roman"/>
                <w:sz w:val="24"/>
              </w:rPr>
              <w:t xml:space="preserve">resie funduszy własnych są oparte na </w:t>
            </w:r>
            <w:r w:rsidRPr="00E26EF6">
              <w:rPr>
                <w:rFonts w:ascii="Times New Roman" w:hAnsi="Times New Roman"/>
                <w:i/>
                <w:sz w:val="24"/>
              </w:rPr>
              <w:t>sekurytyzowanych ekspozycjach</w:t>
            </w:r>
            <w:r w:rsidRPr="00E26EF6">
              <w:rPr>
                <w:rFonts w:ascii="Times New Roman" w:hAnsi="Times New Roman"/>
                <w:sz w:val="24"/>
              </w:rPr>
              <w:t xml:space="preserve"> (</w:t>
            </w:r>
            <w:r w:rsidRPr="00113518">
              <w:rPr>
                <w:rFonts w:ascii="Times New Roman" w:hAnsi="Times New Roman"/>
                <w:sz w:val="24"/>
                <w:highlight w:val="cyan"/>
              </w:rPr>
              <w:t>gdyż</w:t>
            </w:r>
            <w:r w:rsidRPr="00E26EF6">
              <w:rPr>
                <w:rFonts w:ascii="Times New Roman" w:hAnsi="Times New Roman"/>
                <w:sz w:val="24"/>
              </w:rPr>
              <w:t xml:space="preserve"> </w:t>
            </w:r>
            <w:r w:rsidRPr="00113518">
              <w:rPr>
                <w:rFonts w:ascii="Times New Roman" w:hAnsi="Times New Roman"/>
                <w:sz w:val="24"/>
                <w:highlight w:val="cyan"/>
              </w:rPr>
              <w:t>nie</w:t>
            </w:r>
            <w:r w:rsidRPr="00E26EF6">
              <w:rPr>
                <w:rFonts w:ascii="Times New Roman" w:hAnsi="Times New Roman"/>
                <w:sz w:val="24"/>
              </w:rPr>
              <w:t xml:space="preserve"> </w:t>
            </w:r>
            <w:r w:rsidRPr="00113518">
              <w:rPr>
                <w:rFonts w:ascii="Times New Roman" w:hAnsi="Times New Roman"/>
                <w:sz w:val="24"/>
                <w:highlight w:val="cyan"/>
              </w:rPr>
              <w:t>osiągnięto</w:t>
            </w:r>
            <w:r w:rsidRPr="00E26EF6">
              <w:rPr>
                <w:rFonts w:ascii="Times New Roman" w:hAnsi="Times New Roman"/>
                <w:sz w:val="24"/>
              </w:rPr>
              <w:t xml:space="preserve"> przeniesienia istotnej części ryzyka), obliczenia wymogów</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z tyt</w:t>
            </w:r>
            <w:r w:rsidRPr="00E26EF6">
              <w:rPr>
                <w:rFonts w:ascii="Times New Roman" w:hAnsi="Times New Roman"/>
                <w:sz w:val="24"/>
              </w:rPr>
              <w:t>ułu ryzyka kredytowego zgłasza się we wzorze CR SA</w:t>
            </w:r>
            <w:r w:rsidR="00E26EF6" w:rsidRPr="00E26EF6">
              <w:rPr>
                <w:rFonts w:ascii="Times New Roman" w:hAnsi="Times New Roman"/>
                <w:sz w:val="24"/>
              </w:rPr>
              <w:t xml:space="preserve"> w odn</w:t>
            </w:r>
            <w:r w:rsidRPr="00E26EF6">
              <w:rPr>
                <w:rFonts w:ascii="Times New Roman" w:hAnsi="Times New Roman"/>
                <w:sz w:val="24"/>
              </w:rPr>
              <w:t>iesieniu do tych sekurytyzowanych ekspozycji, przypadku których stosuje się metodę standardową, lub</w:t>
            </w:r>
            <w:r w:rsidR="00E26EF6" w:rsidRPr="00E26EF6">
              <w:rPr>
                <w:rFonts w:ascii="Times New Roman" w:hAnsi="Times New Roman"/>
                <w:sz w:val="24"/>
              </w:rPr>
              <w:t xml:space="preserve"> w sza</w:t>
            </w:r>
            <w:r w:rsidRPr="00E26EF6">
              <w:rPr>
                <w:rFonts w:ascii="Times New Roman" w:hAnsi="Times New Roman"/>
                <w:sz w:val="24"/>
              </w:rPr>
              <w:t>blonie CR IRB</w:t>
            </w:r>
            <w:r w:rsidR="00E26EF6" w:rsidRPr="00E26EF6">
              <w:rPr>
                <w:rFonts w:ascii="Times New Roman" w:hAnsi="Times New Roman"/>
                <w:sz w:val="24"/>
              </w:rPr>
              <w:t xml:space="preserve"> w odn</w:t>
            </w:r>
            <w:r w:rsidRPr="00E26EF6">
              <w:rPr>
                <w:rFonts w:ascii="Times New Roman" w:hAnsi="Times New Roman"/>
                <w:sz w:val="24"/>
              </w:rPr>
              <w:t>iesieniu do tych sekurytyzowanych ekspozycji, przypadku których instytucja stosuje metodę wewnętrznych ratingów.</w:t>
            </w:r>
          </w:p>
          <w:p w14:paraId="60FF100C" w14:textId="77777777" w:rsidR="00915077" w:rsidRPr="00E26EF6" w:rsidRDefault="00915077">
            <w:pPr>
              <w:autoSpaceDE w:val="0"/>
              <w:autoSpaceDN w:val="0"/>
              <w:adjustRightInd w:val="0"/>
              <w:spacing w:before="0" w:after="0"/>
              <w:rPr>
                <w:rFonts w:ascii="Times New Roman" w:hAnsi="Times New Roman"/>
                <w:sz w:val="24"/>
              </w:rPr>
            </w:pPr>
          </w:p>
          <w:p w14:paraId="34177440" w14:textId="662F7654"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Jeśli natomiast wymogi</w:t>
            </w:r>
            <w:r w:rsidR="00E26EF6" w:rsidRPr="00E26EF6">
              <w:rPr>
                <w:rFonts w:ascii="Times New Roman" w:hAnsi="Times New Roman"/>
                <w:sz w:val="24"/>
              </w:rPr>
              <w:t xml:space="preserve"> w zak</w:t>
            </w:r>
            <w:r w:rsidRPr="00E26EF6">
              <w:rPr>
                <w:rFonts w:ascii="Times New Roman" w:hAnsi="Times New Roman"/>
                <w:sz w:val="24"/>
              </w:rPr>
              <w:t xml:space="preserve">resie funduszy własnych są oparte na </w:t>
            </w:r>
            <w:r w:rsidRPr="00E26EF6">
              <w:rPr>
                <w:rFonts w:ascii="Times New Roman" w:hAnsi="Times New Roman"/>
                <w:i/>
                <w:sz w:val="24"/>
              </w:rPr>
              <w:t>pozycjach sekurytyzacyjnych posiadanych</w:t>
            </w:r>
            <w:r w:rsidR="00E26EF6" w:rsidRPr="00E26EF6">
              <w:rPr>
                <w:rFonts w:ascii="Times New Roman" w:hAnsi="Times New Roman"/>
                <w:i/>
                <w:sz w:val="24"/>
              </w:rPr>
              <w:t xml:space="preserve"> w por</w:t>
            </w:r>
            <w:r w:rsidRPr="00E26EF6">
              <w:rPr>
                <w:rFonts w:ascii="Times New Roman" w:hAnsi="Times New Roman"/>
                <w:i/>
                <w:sz w:val="24"/>
              </w:rPr>
              <w:t>tfelu bankowym</w:t>
            </w:r>
            <w:r w:rsidRPr="00E26EF6">
              <w:rPr>
                <w:rFonts w:ascii="Times New Roman" w:hAnsi="Times New Roman"/>
                <w:sz w:val="24"/>
              </w:rPr>
              <w:t xml:space="preserve"> (gdy osiągnięto przeniesienie istotnej części ryzyka), informacje dotyczące obliczenia wymogów</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z tyt</w:t>
            </w:r>
            <w:r w:rsidRPr="00E26EF6">
              <w:rPr>
                <w:rFonts w:ascii="Times New Roman" w:hAnsi="Times New Roman"/>
                <w:sz w:val="24"/>
              </w:rPr>
              <w:t>ułu ryzyka kredytowego zgłasza się we wzorze CR SEC</w:t>
            </w:r>
            <w:r w:rsidR="00E26EF6" w:rsidRPr="00E26EF6">
              <w:rPr>
                <w:rFonts w:ascii="Times New Roman" w:hAnsi="Times New Roman"/>
                <w:sz w:val="24"/>
              </w:rPr>
              <w:t>. W prz</w:t>
            </w:r>
            <w:r w:rsidRPr="00E26EF6">
              <w:rPr>
                <w:rFonts w:ascii="Times New Roman" w:hAnsi="Times New Roman"/>
                <w:sz w:val="24"/>
              </w:rPr>
              <w:t xml:space="preserve">ypadku </w:t>
            </w:r>
            <w:r w:rsidRPr="00E26EF6">
              <w:rPr>
                <w:rFonts w:ascii="Times New Roman" w:hAnsi="Times New Roman"/>
                <w:i/>
                <w:sz w:val="24"/>
              </w:rPr>
              <w:t>pozycji sekurytyzacyjnych posiadanych</w:t>
            </w:r>
            <w:r w:rsidR="00E26EF6" w:rsidRPr="00E26EF6">
              <w:rPr>
                <w:rFonts w:ascii="Times New Roman" w:hAnsi="Times New Roman"/>
                <w:i/>
                <w:sz w:val="24"/>
              </w:rPr>
              <w:t xml:space="preserve"> w por</w:t>
            </w:r>
            <w:r w:rsidRPr="00E26EF6">
              <w:rPr>
                <w:rFonts w:ascii="Times New Roman" w:hAnsi="Times New Roman"/>
                <w:i/>
                <w:sz w:val="24"/>
              </w:rPr>
              <w:t xml:space="preserve">tfelu handlowym </w:t>
            </w:r>
            <w:r w:rsidRPr="00E26EF6">
              <w:rPr>
                <w:rFonts w:ascii="Times New Roman" w:hAnsi="Times New Roman"/>
                <w:sz w:val="24"/>
              </w:rPr>
              <w:t>informacje dotyczące obliczenia wymogów</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z tyt</w:t>
            </w:r>
            <w:r w:rsidRPr="00E26EF6">
              <w:rPr>
                <w:rFonts w:ascii="Times New Roman" w:hAnsi="Times New Roman"/>
                <w:sz w:val="24"/>
              </w:rPr>
              <w:t>ułu ryzyka rynkowego zgłasza się we wzorze MKR SA TDI (znormalizowane ryzyko ogólne</w:t>
            </w:r>
            <w:r w:rsidR="00E26EF6" w:rsidRPr="00E26EF6">
              <w:rPr>
                <w:rFonts w:ascii="Times New Roman" w:hAnsi="Times New Roman"/>
                <w:sz w:val="24"/>
              </w:rPr>
              <w:t xml:space="preserve"> z tyt</w:t>
            </w:r>
            <w:r w:rsidRPr="00E26EF6">
              <w:rPr>
                <w:rFonts w:ascii="Times New Roman" w:hAnsi="Times New Roman"/>
                <w:sz w:val="24"/>
              </w:rPr>
              <w:t>ułu pozycji) oraz we wzorze MKR SA SEC lub MKR SA CTP (znormalizowane ryzyko szczególne</w:t>
            </w:r>
            <w:r w:rsidR="00E26EF6" w:rsidRPr="00E26EF6">
              <w:rPr>
                <w:rFonts w:ascii="Times New Roman" w:hAnsi="Times New Roman"/>
                <w:sz w:val="24"/>
              </w:rPr>
              <w:t xml:space="preserve"> z tyt</w:t>
            </w:r>
            <w:r w:rsidRPr="00E26EF6">
              <w:rPr>
                <w:rFonts w:ascii="Times New Roman" w:hAnsi="Times New Roman"/>
                <w:sz w:val="24"/>
              </w:rPr>
              <w:t>ułu pozycji) lub we wzorze MKR IM (modele wewnętrzne).</w:t>
            </w:r>
          </w:p>
          <w:p w14:paraId="02D39791" w14:textId="77777777"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przypadku sekurytyzacji zobowiązań jednostki inicjujące nie zgłaszają tej kolumny.</w:t>
            </w:r>
          </w:p>
          <w:p w14:paraId="0A6A40C3"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083C831B" w14:textId="77777777" w:rsidTr="00E10B85">
        <w:tc>
          <w:tcPr>
            <w:tcW w:w="1101" w:type="dxa"/>
          </w:tcPr>
          <w:p w14:paraId="13948ABD"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061</w:t>
            </w:r>
          </w:p>
        </w:tc>
        <w:tc>
          <w:tcPr>
            <w:tcW w:w="7903" w:type="dxa"/>
          </w:tcPr>
          <w:p w14:paraId="449B26F9"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PRZENIESIENIE ISTOTNEJ CZĘŚCI RYZYKA</w:t>
            </w:r>
          </w:p>
          <w:p w14:paraId="0F330A65"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34227E16" w14:textId="7777777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Następujące skróty podają wyłącznie jednostki inicjujące:</w:t>
            </w:r>
          </w:p>
          <w:p w14:paraId="2A4BF114" w14:textId="319596BD"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„N” nie stosuje się do przeniesienia istotnej części ryzyka,</w:t>
            </w:r>
            <w:r w:rsidR="00E26EF6" w:rsidRPr="00E26EF6">
              <w:rPr>
                <w:rFonts w:ascii="Times New Roman" w:hAnsi="Times New Roman"/>
                <w:sz w:val="24"/>
              </w:rPr>
              <w:t xml:space="preserve"> a jed</w:t>
            </w:r>
            <w:r w:rsidRPr="00E26EF6">
              <w:rPr>
                <w:rFonts w:ascii="Times New Roman" w:hAnsi="Times New Roman"/>
                <w:sz w:val="24"/>
              </w:rPr>
              <w:t>nostka sprawozdawcza dokonuje ważenia ryzyka swoich sekurytyzowanych ekspozycji;</w:t>
            </w:r>
          </w:p>
          <w:p w14:paraId="3E6C5300" w14:textId="6FB0F964"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„A” osiągnięto przeniesienie istotnej części ryzyka</w:t>
            </w:r>
            <w:r w:rsidR="00E26EF6" w:rsidRPr="00E26EF6">
              <w:rPr>
                <w:rFonts w:ascii="Times New Roman" w:hAnsi="Times New Roman"/>
                <w:sz w:val="24"/>
              </w:rPr>
              <w:t xml:space="preserve"> w ram</w:t>
            </w:r>
            <w:r w:rsidRPr="00E26EF6">
              <w:rPr>
                <w:rFonts w:ascii="Times New Roman" w:hAnsi="Times New Roman"/>
                <w:sz w:val="24"/>
              </w:rPr>
              <w:t>ach art.</w:t>
            </w:r>
            <w:r w:rsidR="00023409" w:rsidRPr="00E26EF6">
              <w:rPr>
                <w:rFonts w:ascii="Times New Roman" w:hAnsi="Times New Roman"/>
                <w:sz w:val="24"/>
              </w:rPr>
              <w:t> </w:t>
            </w:r>
            <w:r w:rsidRPr="00E26EF6">
              <w:rPr>
                <w:rFonts w:ascii="Times New Roman" w:hAnsi="Times New Roman"/>
                <w:sz w:val="24"/>
              </w:rPr>
              <w:t>244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lub art.</w:t>
            </w:r>
            <w:r w:rsidR="00023409" w:rsidRPr="00E26EF6">
              <w:rPr>
                <w:rFonts w:ascii="Times New Roman" w:hAnsi="Times New Roman"/>
                <w:sz w:val="24"/>
              </w:rPr>
              <w:t> </w:t>
            </w:r>
            <w:r w:rsidRPr="00E26EF6">
              <w:rPr>
                <w:rFonts w:ascii="Times New Roman" w:hAnsi="Times New Roman"/>
                <w:sz w:val="24"/>
              </w:rPr>
              <w:t>245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CRR;</w:t>
            </w:r>
          </w:p>
          <w:p w14:paraId="5CB8EC75" w14:textId="2D017531"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„B” osiągnięto przeniesienie istotnej części ryzyka</w:t>
            </w:r>
            <w:r w:rsidR="00E26EF6" w:rsidRPr="00E26EF6">
              <w:rPr>
                <w:rFonts w:ascii="Times New Roman" w:hAnsi="Times New Roman"/>
                <w:sz w:val="24"/>
              </w:rPr>
              <w:t xml:space="preserve"> w ram</w:t>
            </w:r>
            <w:r w:rsidRPr="00E26EF6">
              <w:rPr>
                <w:rFonts w:ascii="Times New Roman" w:hAnsi="Times New Roman"/>
                <w:sz w:val="24"/>
              </w:rPr>
              <w:t>ach art.</w:t>
            </w:r>
            <w:r w:rsidR="00023409" w:rsidRPr="00E26EF6">
              <w:rPr>
                <w:rFonts w:ascii="Times New Roman" w:hAnsi="Times New Roman"/>
                <w:sz w:val="24"/>
              </w:rPr>
              <w:t> </w:t>
            </w:r>
            <w:r w:rsidRPr="00E26EF6">
              <w:rPr>
                <w:rFonts w:ascii="Times New Roman" w:hAnsi="Times New Roman"/>
                <w:sz w:val="24"/>
              </w:rPr>
              <w:t>244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lub art.</w:t>
            </w:r>
            <w:r w:rsidR="00023409" w:rsidRPr="00E26EF6">
              <w:rPr>
                <w:rFonts w:ascii="Times New Roman" w:hAnsi="Times New Roman"/>
                <w:sz w:val="24"/>
              </w:rPr>
              <w:t> </w:t>
            </w:r>
            <w:r w:rsidRPr="00E26EF6">
              <w:rPr>
                <w:rFonts w:ascii="Times New Roman" w:hAnsi="Times New Roman"/>
                <w:sz w:val="24"/>
              </w:rPr>
              <w:t>245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CRR;</w:t>
            </w:r>
          </w:p>
          <w:p w14:paraId="3D542CF4" w14:textId="03FF47E3"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„C” osiągnięto przeniesienie istotnej części ryzyka</w:t>
            </w:r>
            <w:r w:rsidR="00E26EF6" w:rsidRPr="00E26EF6">
              <w:rPr>
                <w:rFonts w:ascii="Times New Roman" w:hAnsi="Times New Roman"/>
                <w:sz w:val="24"/>
              </w:rPr>
              <w:t xml:space="preserve"> w ram</w:t>
            </w:r>
            <w:r w:rsidRPr="00E26EF6">
              <w:rPr>
                <w:rFonts w:ascii="Times New Roman" w:hAnsi="Times New Roman"/>
                <w:sz w:val="24"/>
              </w:rPr>
              <w:t>ach art.</w:t>
            </w:r>
            <w:r w:rsidR="00023409" w:rsidRPr="00E26EF6">
              <w:rPr>
                <w:rFonts w:ascii="Times New Roman" w:hAnsi="Times New Roman"/>
                <w:sz w:val="24"/>
              </w:rPr>
              <w:t> </w:t>
            </w:r>
            <w:r w:rsidRPr="00E26EF6">
              <w:rPr>
                <w:rFonts w:ascii="Times New Roman" w:hAnsi="Times New Roman"/>
                <w:sz w:val="24"/>
              </w:rPr>
              <w:t>244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a) lub art.</w:t>
            </w:r>
            <w:r w:rsidR="00023409" w:rsidRPr="00E26EF6">
              <w:rPr>
                <w:rFonts w:ascii="Times New Roman" w:hAnsi="Times New Roman"/>
                <w:sz w:val="24"/>
              </w:rPr>
              <w:t> </w:t>
            </w:r>
            <w:r w:rsidRPr="00E26EF6">
              <w:rPr>
                <w:rFonts w:ascii="Times New Roman" w:hAnsi="Times New Roman"/>
                <w:sz w:val="24"/>
              </w:rPr>
              <w:t>245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a) CRR;</w:t>
            </w:r>
          </w:p>
          <w:p w14:paraId="614D6E6C" w14:textId="1D3B314F"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„D” zastosowanie 1 250</w:t>
            </w:r>
            <w:r w:rsidR="00023409" w:rsidRPr="00E26EF6">
              <w:rPr>
                <w:rFonts w:ascii="Times New Roman" w:hAnsi="Times New Roman"/>
                <w:sz w:val="24"/>
              </w:rPr>
              <w:t> </w:t>
            </w:r>
            <w:r w:rsidRPr="00E26EF6">
              <w:rPr>
                <w:rFonts w:ascii="Times New Roman" w:hAnsi="Times New Roman"/>
                <w:sz w:val="24"/>
              </w:rPr>
              <w:t>% RW lub odjęcie utrzymanych pozycji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244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b) lub art.</w:t>
            </w:r>
            <w:r w:rsidR="00023409" w:rsidRPr="00E26EF6">
              <w:rPr>
                <w:rFonts w:ascii="Times New Roman" w:hAnsi="Times New Roman"/>
                <w:sz w:val="24"/>
              </w:rPr>
              <w:t> </w:t>
            </w:r>
            <w:r w:rsidRPr="00E26EF6">
              <w:rPr>
                <w:rFonts w:ascii="Times New Roman" w:hAnsi="Times New Roman"/>
                <w:sz w:val="24"/>
              </w:rPr>
              <w:t>245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b) CRR.</w:t>
            </w:r>
          </w:p>
          <w:p w14:paraId="729200A5" w14:textId="77777777" w:rsidR="00915077" w:rsidRPr="00E26EF6" w:rsidRDefault="00915077">
            <w:pPr>
              <w:autoSpaceDE w:val="0"/>
              <w:autoSpaceDN w:val="0"/>
              <w:adjustRightInd w:val="0"/>
              <w:spacing w:before="0" w:after="0"/>
              <w:jc w:val="left"/>
              <w:rPr>
                <w:rFonts w:ascii="Times New Roman" w:hAnsi="Times New Roman"/>
                <w:sz w:val="24"/>
              </w:rPr>
            </w:pPr>
          </w:p>
          <w:p w14:paraId="662FAADB" w14:textId="40FA7249" w:rsidR="00915077" w:rsidRPr="00E26EF6" w:rsidRDefault="00C55547">
            <w:pPr>
              <w:autoSpaceDE w:val="0"/>
              <w:autoSpaceDN w:val="0"/>
              <w:adjustRightInd w:val="0"/>
              <w:spacing w:before="0" w:after="0"/>
              <w:jc w:val="left"/>
              <w:rPr>
                <w:rFonts w:ascii="Times New Roman" w:hAnsi="Times New Roman"/>
                <w:sz w:val="24"/>
              </w:rPr>
            </w:pPr>
            <w:r w:rsidRPr="00113518">
              <w:rPr>
                <w:rFonts w:ascii="Times New Roman" w:hAnsi="Times New Roman"/>
                <w:sz w:val="24"/>
                <w:highlight w:val="yellow"/>
              </w:rPr>
              <w:t>W kolumnie tej podsumowuje się, czy osiągnięto istotne przeniesienie,</w:t>
            </w:r>
            <w:r w:rsidR="00E26EF6" w:rsidRPr="00113518">
              <w:rPr>
                <w:rFonts w:ascii="Times New Roman" w:hAnsi="Times New Roman"/>
                <w:sz w:val="24"/>
                <w:highlight w:val="yellow"/>
              </w:rPr>
              <w:t xml:space="preserve"> a jeś</w:t>
            </w:r>
            <w:r w:rsidRPr="00113518">
              <w:rPr>
                <w:rFonts w:ascii="Times New Roman" w:hAnsi="Times New Roman"/>
                <w:sz w:val="24"/>
                <w:highlight w:val="yellow"/>
              </w:rPr>
              <w:t>li tak, to</w:t>
            </w:r>
            <w:r w:rsidR="00E26EF6" w:rsidRPr="00113518">
              <w:rPr>
                <w:rFonts w:ascii="Times New Roman" w:hAnsi="Times New Roman"/>
                <w:sz w:val="24"/>
                <w:highlight w:val="yellow"/>
              </w:rPr>
              <w:t xml:space="preserve"> w jak</w:t>
            </w:r>
            <w:r w:rsidRPr="00113518">
              <w:rPr>
                <w:rFonts w:ascii="Times New Roman" w:hAnsi="Times New Roman"/>
                <w:sz w:val="24"/>
                <w:highlight w:val="yellow"/>
              </w:rPr>
              <w:t>i sposób. Osiągnięcie przeniesienia istotnej części ryzyka określi stosowny sposób ujmowania wypłacalności przez jednostkę inicjującą.</w:t>
            </w:r>
          </w:p>
          <w:p w14:paraId="4DBA8992" w14:textId="77777777" w:rsidR="00915077" w:rsidRPr="00E26EF6" w:rsidRDefault="00915077">
            <w:pPr>
              <w:spacing w:before="0" w:after="0"/>
              <w:jc w:val="left"/>
              <w:rPr>
                <w:sz w:val="24"/>
              </w:rPr>
            </w:pPr>
          </w:p>
        </w:tc>
      </w:tr>
      <w:tr w:rsidR="00915077" w:rsidRPr="00E26EF6" w14:paraId="73D0A23B" w14:textId="77777777" w:rsidTr="00E10B85">
        <w:tc>
          <w:tcPr>
            <w:tcW w:w="1101" w:type="dxa"/>
          </w:tcPr>
          <w:p w14:paraId="147E46DA"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070</w:t>
            </w:r>
          </w:p>
        </w:tc>
        <w:tc>
          <w:tcPr>
            <w:tcW w:w="7903" w:type="dxa"/>
          </w:tcPr>
          <w:p w14:paraId="4B70DAD5"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SEKURYTYZACJA CZY RESEKURYTYZACJA?</w:t>
            </w:r>
          </w:p>
          <w:p w14:paraId="4387FBB7" w14:textId="77777777" w:rsidR="00915077" w:rsidRPr="00E26EF6" w:rsidRDefault="00915077">
            <w:pPr>
              <w:autoSpaceDE w:val="0"/>
              <w:autoSpaceDN w:val="0"/>
              <w:adjustRightInd w:val="0"/>
              <w:spacing w:before="0" w:after="0"/>
              <w:jc w:val="left"/>
              <w:rPr>
                <w:rFonts w:ascii="Times New Roman" w:hAnsi="Times New Roman"/>
                <w:sz w:val="24"/>
              </w:rPr>
            </w:pPr>
          </w:p>
          <w:p w14:paraId="52D06941" w14:textId="29768796" w:rsidR="00915077" w:rsidRPr="00E26EF6" w:rsidRDefault="00BB22D4">
            <w:pPr>
              <w:autoSpaceDE w:val="0"/>
              <w:autoSpaceDN w:val="0"/>
              <w:adjustRightInd w:val="0"/>
              <w:spacing w:before="0" w:after="0"/>
              <w:jc w:val="left"/>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def</w:t>
            </w:r>
            <w:r w:rsidRPr="00E26EF6">
              <w:rPr>
                <w:rFonts w:ascii="Times New Roman" w:hAnsi="Times New Roman"/>
                <w:sz w:val="24"/>
              </w:rPr>
              <w:t>inicją „sekurytyzacji” zamieszczoną</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61 CRR oraz definicją „resekurytyzacji” zamieszczoną</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64 CRR, należy zgłaszać rodzaj instrumentu bazowego przy wykorzystaniu następujących skrótów:</w:t>
            </w:r>
          </w:p>
          <w:p w14:paraId="2062D149" w14:textId="0F8EC946"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„S”</w:t>
            </w:r>
            <w:r w:rsidR="00E26EF6" w:rsidRPr="00E26EF6">
              <w:rPr>
                <w:rFonts w:ascii="Times New Roman" w:hAnsi="Times New Roman"/>
                <w:sz w:val="24"/>
              </w:rPr>
              <w:t xml:space="preserve"> w prz</w:t>
            </w:r>
            <w:r w:rsidRPr="00E26EF6">
              <w:rPr>
                <w:rFonts w:ascii="Times New Roman" w:hAnsi="Times New Roman"/>
                <w:sz w:val="24"/>
              </w:rPr>
              <w:t>ypadku sekurytyzacji;</w:t>
            </w:r>
          </w:p>
          <w:p w14:paraId="0A039BDD" w14:textId="34A8697E"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 „R”</w:t>
            </w:r>
            <w:r w:rsidR="00E26EF6" w:rsidRPr="00E26EF6">
              <w:rPr>
                <w:rFonts w:ascii="Times New Roman" w:hAnsi="Times New Roman"/>
                <w:sz w:val="24"/>
              </w:rPr>
              <w:t xml:space="preserve"> w prz</w:t>
            </w:r>
            <w:r w:rsidRPr="00E26EF6">
              <w:rPr>
                <w:rFonts w:ascii="Times New Roman" w:hAnsi="Times New Roman"/>
                <w:sz w:val="24"/>
              </w:rPr>
              <w:t>ypadku resekurytyzacji.</w:t>
            </w:r>
          </w:p>
          <w:p w14:paraId="477F258E"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1B9412A4" w14:textId="77777777" w:rsidTr="00E10B85">
        <w:tc>
          <w:tcPr>
            <w:tcW w:w="1101" w:type="dxa"/>
          </w:tcPr>
          <w:p w14:paraId="25ECB5FC"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075</w:t>
            </w:r>
          </w:p>
        </w:tc>
        <w:tc>
          <w:tcPr>
            <w:tcW w:w="7903" w:type="dxa"/>
          </w:tcPr>
          <w:p w14:paraId="050E4477" w14:textId="77777777" w:rsidR="00915077" w:rsidRPr="00E26EF6" w:rsidRDefault="00C55547">
            <w:pPr>
              <w:tabs>
                <w:tab w:val="left" w:pos="3274"/>
              </w:tabs>
              <w:spacing w:before="0" w:after="0"/>
              <w:jc w:val="left"/>
              <w:rPr>
                <w:rFonts w:ascii="Times New Roman" w:hAnsi="Times New Roman"/>
                <w:b/>
                <w:sz w:val="24"/>
                <w:u w:val="single"/>
              </w:rPr>
            </w:pPr>
            <w:r w:rsidRPr="00E26EF6">
              <w:rPr>
                <w:rFonts w:ascii="Times New Roman" w:hAnsi="Times New Roman"/>
                <w:b/>
                <w:sz w:val="24"/>
                <w:u w:val="single"/>
              </w:rPr>
              <w:t>SEKURYTYZACJA STS CZY SEKURUTYZACJA INNA NIŻ STS?</w:t>
            </w:r>
          </w:p>
          <w:p w14:paraId="0F653A63" w14:textId="77777777" w:rsidR="00915077" w:rsidRPr="00E26EF6" w:rsidRDefault="00915077">
            <w:pPr>
              <w:spacing w:before="0" w:after="0"/>
              <w:jc w:val="left"/>
              <w:rPr>
                <w:rFonts w:ascii="Times New Roman" w:hAnsi="Times New Roman"/>
                <w:sz w:val="24"/>
              </w:rPr>
            </w:pPr>
          </w:p>
          <w:p w14:paraId="397DA170" w14:textId="77777777" w:rsidR="00915077" w:rsidRPr="00E26EF6" w:rsidRDefault="00C55547">
            <w:pPr>
              <w:spacing w:before="0" w:after="0"/>
              <w:jc w:val="left"/>
              <w:rPr>
                <w:rFonts w:ascii="Times New Roman" w:hAnsi="Times New Roman"/>
                <w:sz w:val="24"/>
              </w:rPr>
            </w:pPr>
            <w:r w:rsidRPr="00E26EF6">
              <w:rPr>
                <w:rFonts w:ascii="Times New Roman" w:hAnsi="Times New Roman"/>
                <w:sz w:val="24"/>
              </w:rPr>
              <w:t>Art. 18 rozporządzenia (UE) 2017/2402</w:t>
            </w:r>
          </w:p>
          <w:p w14:paraId="23A70561" w14:textId="77777777" w:rsidR="00915077" w:rsidRPr="00E26EF6" w:rsidRDefault="00915077">
            <w:pPr>
              <w:spacing w:before="0" w:after="0"/>
              <w:jc w:val="left"/>
              <w:rPr>
                <w:rFonts w:ascii="Times New Roman" w:hAnsi="Times New Roman"/>
                <w:sz w:val="24"/>
              </w:rPr>
            </w:pPr>
          </w:p>
          <w:p w14:paraId="59861CD9" w14:textId="67278EEC" w:rsidR="00915077" w:rsidRPr="00E26EF6" w:rsidRDefault="00C55547">
            <w:pPr>
              <w:spacing w:before="0" w:after="0"/>
              <w:jc w:val="left"/>
              <w:rPr>
                <w:rFonts w:ascii="Times New Roman" w:hAnsi="Times New Roman"/>
                <w:sz w:val="24"/>
              </w:rPr>
            </w:pPr>
            <w:r w:rsidRPr="00E26EF6">
              <w:rPr>
                <w:rFonts w:ascii="Times New Roman" w:hAnsi="Times New Roman"/>
                <w:sz w:val="24"/>
              </w:rPr>
              <w:t>Zgłasza się jeden</w:t>
            </w:r>
            <w:r w:rsidR="00E26EF6" w:rsidRPr="00E26EF6">
              <w:rPr>
                <w:rFonts w:ascii="Times New Roman" w:hAnsi="Times New Roman"/>
                <w:sz w:val="24"/>
              </w:rPr>
              <w:t xml:space="preserve"> z nas</w:t>
            </w:r>
            <w:r w:rsidRPr="00E26EF6">
              <w:rPr>
                <w:rFonts w:ascii="Times New Roman" w:hAnsi="Times New Roman"/>
                <w:sz w:val="24"/>
              </w:rPr>
              <w:t>tępujących skrótów:</w:t>
            </w:r>
          </w:p>
          <w:p w14:paraId="090D9D08" w14:textId="77777777" w:rsidR="00915077" w:rsidRPr="00E26EF6" w:rsidRDefault="00C55547">
            <w:pPr>
              <w:spacing w:before="0" w:after="0"/>
              <w:jc w:val="left"/>
              <w:rPr>
                <w:rFonts w:ascii="Times New Roman" w:hAnsi="Times New Roman"/>
                <w:sz w:val="24"/>
              </w:rPr>
            </w:pPr>
            <w:r w:rsidRPr="00E26EF6">
              <w:rPr>
                <w:rFonts w:ascii="Times New Roman" w:hAnsi="Times New Roman"/>
                <w:sz w:val="24"/>
              </w:rPr>
              <w:t>Y – Tak</w:t>
            </w:r>
          </w:p>
          <w:p w14:paraId="6A4DFA78" w14:textId="77777777" w:rsidR="00915077" w:rsidRPr="00E26EF6" w:rsidRDefault="00C55547">
            <w:pPr>
              <w:spacing w:before="0" w:after="0"/>
              <w:jc w:val="left"/>
              <w:rPr>
                <w:rFonts w:ascii="Times New Roman" w:hAnsi="Times New Roman"/>
                <w:sz w:val="24"/>
              </w:rPr>
            </w:pPr>
            <w:r w:rsidRPr="00E26EF6">
              <w:rPr>
                <w:rFonts w:ascii="Times New Roman" w:hAnsi="Times New Roman"/>
                <w:sz w:val="24"/>
              </w:rPr>
              <w:t>N – Nie</w:t>
            </w:r>
          </w:p>
          <w:p w14:paraId="4C8EC122"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5C84F17B" w14:textId="77777777" w:rsidTr="00E10B85">
        <w:tc>
          <w:tcPr>
            <w:tcW w:w="1101" w:type="dxa"/>
          </w:tcPr>
          <w:p w14:paraId="1A9BD687"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446</w:t>
            </w:r>
          </w:p>
        </w:tc>
        <w:tc>
          <w:tcPr>
            <w:tcW w:w="7903" w:type="dxa"/>
          </w:tcPr>
          <w:p w14:paraId="6781AE51"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CZY SEKURYTYZACJA KWALIFIKUJE SIĘ DO ZRÓŻNICOWANEGO TRAKTOWANIA KAPITAŁU?</w:t>
            </w:r>
          </w:p>
          <w:p w14:paraId="750938E2" w14:textId="77777777" w:rsidR="00915077" w:rsidRPr="00E26EF6" w:rsidRDefault="00915077">
            <w:pPr>
              <w:spacing w:before="0" w:after="0"/>
              <w:jc w:val="left"/>
              <w:rPr>
                <w:rFonts w:ascii="Times New Roman" w:hAnsi="Times New Roman"/>
                <w:sz w:val="24"/>
              </w:rPr>
            </w:pPr>
          </w:p>
          <w:p w14:paraId="7DD81FAC" w14:textId="2C5CE764" w:rsidR="00915077" w:rsidRPr="00E26EF6" w:rsidRDefault="00C55547">
            <w:pPr>
              <w:spacing w:before="0" w:after="0"/>
              <w:jc w:val="left"/>
              <w:rPr>
                <w:rFonts w:ascii="Times New Roman" w:hAnsi="Times New Roman"/>
                <w:sz w:val="24"/>
              </w:rPr>
            </w:pPr>
            <w:r w:rsidRPr="00E26EF6">
              <w:rPr>
                <w:rFonts w:ascii="Times New Roman" w:hAnsi="Times New Roman"/>
                <w:sz w:val="24"/>
              </w:rPr>
              <w:t>Art. 243</w:t>
            </w:r>
            <w:r w:rsidR="00E26EF6" w:rsidRPr="00E26EF6">
              <w:rPr>
                <w:rFonts w:ascii="Times New Roman" w:hAnsi="Times New Roman"/>
                <w:sz w:val="24"/>
              </w:rPr>
              <w:t xml:space="preserve"> i 2</w:t>
            </w:r>
            <w:r w:rsidRPr="00E26EF6">
              <w:rPr>
                <w:rFonts w:ascii="Times New Roman" w:hAnsi="Times New Roman"/>
                <w:sz w:val="24"/>
              </w:rPr>
              <w:t>70 CRR.</w:t>
            </w:r>
          </w:p>
          <w:p w14:paraId="67440723" w14:textId="77777777" w:rsidR="00915077" w:rsidRPr="00E26EF6" w:rsidRDefault="00915077">
            <w:pPr>
              <w:spacing w:before="0" w:after="0"/>
              <w:jc w:val="left"/>
              <w:rPr>
                <w:rFonts w:ascii="Times New Roman" w:hAnsi="Times New Roman"/>
                <w:sz w:val="24"/>
              </w:rPr>
            </w:pPr>
          </w:p>
          <w:p w14:paraId="37D2BB15" w14:textId="31271BFB" w:rsidR="00915077" w:rsidRPr="00E26EF6" w:rsidRDefault="00EE2BEA">
            <w:pPr>
              <w:spacing w:before="0" w:after="0"/>
              <w:jc w:val="left"/>
              <w:rPr>
                <w:rFonts w:ascii="Times New Roman" w:hAnsi="Times New Roman"/>
                <w:sz w:val="24"/>
              </w:rPr>
            </w:pPr>
            <w:r w:rsidRPr="00E26EF6">
              <w:rPr>
                <w:rFonts w:ascii="Times New Roman" w:hAnsi="Times New Roman"/>
                <w:sz w:val="24"/>
              </w:rPr>
              <w:t>Instytucje zgłaszają jeden</w:t>
            </w:r>
            <w:r w:rsidR="00E26EF6" w:rsidRPr="00E26EF6">
              <w:rPr>
                <w:rFonts w:ascii="Times New Roman" w:hAnsi="Times New Roman"/>
                <w:sz w:val="24"/>
              </w:rPr>
              <w:t xml:space="preserve"> z nas</w:t>
            </w:r>
            <w:r w:rsidRPr="00E26EF6">
              <w:rPr>
                <w:rFonts w:ascii="Times New Roman" w:hAnsi="Times New Roman"/>
                <w:sz w:val="24"/>
              </w:rPr>
              <w:t>tępujących skrótów:</w:t>
            </w:r>
          </w:p>
          <w:p w14:paraId="2A5FE7A7" w14:textId="77777777" w:rsidR="00915077" w:rsidRPr="00E26EF6" w:rsidRDefault="00C55547">
            <w:pPr>
              <w:spacing w:before="0" w:after="0"/>
              <w:jc w:val="left"/>
              <w:rPr>
                <w:rFonts w:ascii="Times New Roman" w:hAnsi="Times New Roman"/>
                <w:sz w:val="24"/>
              </w:rPr>
            </w:pPr>
            <w:r w:rsidRPr="00E26EF6">
              <w:rPr>
                <w:rFonts w:ascii="Times New Roman" w:hAnsi="Times New Roman"/>
                <w:sz w:val="24"/>
              </w:rPr>
              <w:t>Y</w:t>
            </w:r>
            <w:r w:rsidRPr="00E26EF6">
              <w:rPr>
                <w:rFonts w:ascii="Times New Roman" w:hAnsi="Times New Roman"/>
                <w:sz w:val="24"/>
              </w:rPr>
              <w:tab/>
              <w:t>– Tak</w:t>
            </w:r>
          </w:p>
          <w:p w14:paraId="3C46AF09" w14:textId="77777777" w:rsidR="00915077" w:rsidRPr="00E26EF6" w:rsidRDefault="00C55547">
            <w:pPr>
              <w:spacing w:before="0" w:after="0"/>
              <w:jc w:val="left"/>
              <w:rPr>
                <w:rFonts w:ascii="Times New Roman" w:hAnsi="Times New Roman"/>
                <w:sz w:val="24"/>
              </w:rPr>
            </w:pPr>
            <w:r w:rsidRPr="00E26EF6">
              <w:rPr>
                <w:rFonts w:ascii="Times New Roman" w:hAnsi="Times New Roman"/>
                <w:sz w:val="24"/>
              </w:rPr>
              <w:t>N</w:t>
            </w:r>
            <w:r w:rsidRPr="00E26EF6">
              <w:rPr>
                <w:rFonts w:ascii="Times New Roman" w:hAnsi="Times New Roman"/>
                <w:sz w:val="24"/>
              </w:rPr>
              <w:tab/>
              <w:t>– Nie</w:t>
            </w:r>
          </w:p>
          <w:p w14:paraId="7EB5BD0A" w14:textId="77777777" w:rsidR="00915077" w:rsidRPr="00E26EF6" w:rsidRDefault="00915077">
            <w:pPr>
              <w:spacing w:before="0" w:after="0"/>
              <w:jc w:val="left"/>
              <w:rPr>
                <w:rFonts w:ascii="Times New Roman" w:hAnsi="Times New Roman"/>
                <w:b/>
                <w:sz w:val="24"/>
                <w:u w:val="single"/>
              </w:rPr>
            </w:pPr>
          </w:p>
          <w:p w14:paraId="1D22217F" w14:textId="1A32239D" w:rsidR="00915077" w:rsidRPr="00E26EF6" w:rsidRDefault="00C55547">
            <w:pPr>
              <w:spacing w:before="0" w:after="0"/>
              <w:jc w:val="left"/>
              <w:rPr>
                <w:rFonts w:ascii="Times New Roman" w:hAnsi="Times New Roman"/>
                <w:sz w:val="24"/>
              </w:rPr>
            </w:pPr>
            <w:r w:rsidRPr="00E26EF6">
              <w:rPr>
                <w:rFonts w:ascii="Times New Roman" w:hAnsi="Times New Roman"/>
                <w:sz w:val="24"/>
              </w:rPr>
              <w:t>„Tak” zgłasza się zarówno</w:t>
            </w:r>
            <w:r w:rsidR="00E26EF6" w:rsidRPr="00E26EF6">
              <w:rPr>
                <w:rFonts w:ascii="Times New Roman" w:hAnsi="Times New Roman"/>
                <w:sz w:val="24"/>
              </w:rPr>
              <w:t xml:space="preserve"> w prz</w:t>
            </w:r>
            <w:r w:rsidRPr="00E26EF6">
              <w:rPr>
                <w:rFonts w:ascii="Times New Roman" w:hAnsi="Times New Roman"/>
                <w:sz w:val="24"/>
              </w:rPr>
              <w:t>ypadku sekurytyzacji STS kwalifikujących się do zróżnicowanego traktowania kapitału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243 CRR, jak</w:t>
            </w:r>
            <w:r w:rsidR="00E26EF6" w:rsidRPr="00E26EF6">
              <w:rPr>
                <w:rFonts w:ascii="Times New Roman" w:hAnsi="Times New Roman"/>
                <w:sz w:val="24"/>
              </w:rPr>
              <w:t xml:space="preserve"> i w prz</w:t>
            </w:r>
            <w:r w:rsidRPr="00E26EF6">
              <w:rPr>
                <w:rFonts w:ascii="Times New Roman" w:hAnsi="Times New Roman"/>
                <w:sz w:val="24"/>
              </w:rPr>
              <w:t>ypadku pozycji uprzywilejowanych</w:t>
            </w:r>
            <w:r w:rsidR="00E26EF6" w:rsidRPr="00E26EF6">
              <w:rPr>
                <w:rFonts w:ascii="Times New Roman" w:hAnsi="Times New Roman"/>
                <w:sz w:val="24"/>
              </w:rPr>
              <w:t xml:space="preserve"> w sek</w:t>
            </w:r>
            <w:r w:rsidRPr="00E26EF6">
              <w:rPr>
                <w:rFonts w:ascii="Times New Roman" w:hAnsi="Times New Roman"/>
                <w:sz w:val="24"/>
              </w:rPr>
              <w:t>urytyzacjach</w:t>
            </w:r>
            <w:r w:rsidR="00E26EF6" w:rsidRPr="00E26EF6">
              <w:rPr>
                <w:rFonts w:ascii="Times New Roman" w:hAnsi="Times New Roman"/>
                <w:sz w:val="24"/>
              </w:rPr>
              <w:t xml:space="preserve"> w sek</w:t>
            </w:r>
            <w:r w:rsidRPr="00E26EF6">
              <w:rPr>
                <w:rFonts w:ascii="Times New Roman" w:hAnsi="Times New Roman"/>
                <w:sz w:val="24"/>
              </w:rPr>
              <w:t>torze MŚP (niebędących sekurytyzacjami STS) kwalifikujących się do tego traktowania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270 CRR.</w:t>
            </w:r>
          </w:p>
          <w:p w14:paraId="416BB82A" w14:textId="77777777" w:rsidR="00915077" w:rsidRPr="00E26EF6" w:rsidRDefault="00915077">
            <w:pPr>
              <w:tabs>
                <w:tab w:val="left" w:pos="3274"/>
              </w:tabs>
              <w:spacing w:before="0" w:after="0"/>
              <w:jc w:val="left"/>
              <w:rPr>
                <w:rFonts w:ascii="Times New Roman" w:hAnsi="Times New Roman"/>
                <w:b/>
                <w:sz w:val="24"/>
                <w:highlight w:val="lightGray"/>
                <w:u w:val="single"/>
              </w:rPr>
            </w:pPr>
          </w:p>
        </w:tc>
      </w:tr>
      <w:tr w:rsidR="00915077" w:rsidRPr="00E26EF6" w14:paraId="2D795827" w14:textId="77777777" w:rsidTr="00E10B85">
        <w:tc>
          <w:tcPr>
            <w:tcW w:w="1101" w:type="dxa"/>
          </w:tcPr>
          <w:p w14:paraId="7330EDCC"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080-100</w:t>
            </w:r>
          </w:p>
        </w:tc>
        <w:tc>
          <w:tcPr>
            <w:tcW w:w="7903" w:type="dxa"/>
          </w:tcPr>
          <w:p w14:paraId="371F9D73" w14:textId="77777777" w:rsidR="00915077" w:rsidRPr="00E26EF6" w:rsidRDefault="00C55547">
            <w:pPr>
              <w:spacing w:before="0" w:after="0"/>
              <w:jc w:val="left"/>
              <w:rPr>
                <w:rFonts w:ascii="Times New Roman" w:hAnsi="Times New Roman"/>
                <w:sz w:val="24"/>
              </w:rPr>
            </w:pPr>
            <w:r w:rsidRPr="00E26EF6">
              <w:rPr>
                <w:rFonts w:ascii="Times New Roman" w:hAnsi="Times New Roman"/>
                <w:b/>
                <w:sz w:val="24"/>
                <w:u w:val="single"/>
              </w:rPr>
              <w:t>UTRZYMANIE</w:t>
            </w:r>
          </w:p>
          <w:p w14:paraId="52E825CF" w14:textId="77777777" w:rsidR="00915077" w:rsidRPr="00E26EF6" w:rsidRDefault="00915077">
            <w:pPr>
              <w:spacing w:before="0" w:after="0"/>
              <w:rPr>
                <w:rFonts w:ascii="Times New Roman" w:hAnsi="Times New Roman"/>
                <w:sz w:val="24"/>
              </w:rPr>
            </w:pPr>
          </w:p>
          <w:p w14:paraId="2EFF58A8" w14:textId="5202E9C3" w:rsidR="00915077" w:rsidRPr="00E26EF6" w:rsidRDefault="00C55547">
            <w:pPr>
              <w:spacing w:before="0" w:after="0"/>
              <w:rPr>
                <w:rFonts w:ascii="Times New Roman" w:hAnsi="Times New Roman"/>
                <w:sz w:val="24"/>
              </w:rPr>
            </w:pPr>
            <w:r w:rsidRPr="00E26EF6">
              <w:rPr>
                <w:rFonts w:ascii="Times New Roman" w:hAnsi="Times New Roman"/>
                <w:sz w:val="24"/>
              </w:rPr>
              <w:t>Art. 6 rozporządzenia (UE) 2017/2402</w:t>
            </w:r>
            <w:r w:rsidR="00E26EF6" w:rsidRPr="00E26EF6">
              <w:rPr>
                <w:rFonts w:ascii="Times New Roman" w:hAnsi="Times New Roman"/>
                <w:sz w:val="24"/>
              </w:rPr>
              <w:t>. W prz</w:t>
            </w:r>
            <w:r w:rsidRPr="00E26EF6">
              <w:rPr>
                <w:rFonts w:ascii="Times New Roman" w:hAnsi="Times New Roman"/>
                <w:sz w:val="24"/>
              </w:rPr>
              <w:t>ypadku art.</w:t>
            </w:r>
            <w:r w:rsidR="00023409" w:rsidRPr="00E26EF6">
              <w:rPr>
                <w:rFonts w:ascii="Times New Roman" w:hAnsi="Times New Roman"/>
                <w:sz w:val="24"/>
              </w:rPr>
              <w:t> </w:t>
            </w:r>
            <w:r w:rsidRPr="00E26EF6">
              <w:rPr>
                <w:rFonts w:ascii="Times New Roman" w:hAnsi="Times New Roman"/>
                <w:sz w:val="24"/>
              </w:rPr>
              <w:t>43 ust.</w:t>
            </w:r>
            <w:r w:rsidR="00023409" w:rsidRPr="00E26EF6">
              <w:rPr>
                <w:rFonts w:ascii="Times New Roman" w:hAnsi="Times New Roman"/>
                <w:sz w:val="24"/>
              </w:rPr>
              <w:t> </w:t>
            </w:r>
            <w:r w:rsidRPr="00E26EF6">
              <w:rPr>
                <w:rFonts w:ascii="Times New Roman" w:hAnsi="Times New Roman"/>
                <w:sz w:val="24"/>
              </w:rPr>
              <w:t>6 rozporządzenia (UE) 2017/2402 zastosowanie ma art.</w:t>
            </w:r>
            <w:r w:rsidR="00023409" w:rsidRPr="00E26EF6">
              <w:rPr>
                <w:rFonts w:ascii="Times New Roman" w:hAnsi="Times New Roman"/>
                <w:sz w:val="24"/>
              </w:rPr>
              <w:t> </w:t>
            </w:r>
            <w:r w:rsidRPr="00E26EF6">
              <w:rPr>
                <w:rFonts w:ascii="Times New Roman" w:hAnsi="Times New Roman"/>
                <w:sz w:val="24"/>
              </w:rPr>
              <w:t>405 CRR</w:t>
            </w:r>
            <w:r w:rsidR="00E26EF6" w:rsidRPr="00E26EF6">
              <w:rPr>
                <w:rFonts w:ascii="Times New Roman" w:hAnsi="Times New Roman"/>
                <w:sz w:val="24"/>
              </w:rPr>
              <w:t xml:space="preserve"> w wer</w:t>
            </w:r>
            <w:r w:rsidRPr="00E26EF6">
              <w:rPr>
                <w:rFonts w:ascii="Times New Roman" w:hAnsi="Times New Roman"/>
                <w:sz w:val="24"/>
              </w:rPr>
              <w:t>sji mającej zastosowanie</w:t>
            </w:r>
            <w:r w:rsidR="00E26EF6" w:rsidRPr="00E26EF6">
              <w:rPr>
                <w:rFonts w:ascii="Times New Roman" w:hAnsi="Times New Roman"/>
                <w:sz w:val="24"/>
              </w:rPr>
              <w:t xml:space="preserve"> w dni</w:t>
            </w:r>
            <w:r w:rsidRPr="00E26EF6">
              <w:rPr>
                <w:rFonts w:ascii="Times New Roman" w:hAnsi="Times New Roman"/>
                <w:sz w:val="24"/>
              </w:rPr>
              <w:t>u 31 grudnia 2018</w:t>
            </w:r>
            <w:r w:rsidR="00023409" w:rsidRPr="00E26EF6">
              <w:rPr>
                <w:rFonts w:ascii="Times New Roman" w:hAnsi="Times New Roman"/>
                <w:sz w:val="24"/>
              </w:rPr>
              <w:t> </w:t>
            </w:r>
            <w:r w:rsidRPr="00E26EF6">
              <w:rPr>
                <w:rFonts w:ascii="Times New Roman" w:hAnsi="Times New Roman"/>
                <w:sz w:val="24"/>
              </w:rPr>
              <w:t xml:space="preserve">r. </w:t>
            </w:r>
          </w:p>
          <w:p w14:paraId="14F8F26F" w14:textId="77777777" w:rsidR="00915077" w:rsidRPr="00E26EF6" w:rsidRDefault="00915077">
            <w:pPr>
              <w:spacing w:before="0" w:after="0"/>
              <w:jc w:val="left"/>
              <w:rPr>
                <w:rFonts w:ascii="Times New Roman" w:hAnsi="Times New Roman"/>
                <w:sz w:val="24"/>
                <w:highlight w:val="lightGray"/>
              </w:rPr>
            </w:pPr>
          </w:p>
        </w:tc>
      </w:tr>
      <w:tr w:rsidR="00915077" w:rsidRPr="00E26EF6" w14:paraId="2129CABA" w14:textId="77777777" w:rsidTr="00E10B85">
        <w:tc>
          <w:tcPr>
            <w:tcW w:w="1101" w:type="dxa"/>
          </w:tcPr>
          <w:p w14:paraId="2337A31E"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080</w:t>
            </w:r>
          </w:p>
        </w:tc>
        <w:tc>
          <w:tcPr>
            <w:tcW w:w="7903" w:type="dxa"/>
          </w:tcPr>
          <w:p w14:paraId="28796C4C"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RODZAJ STOSOWANEGO UTRZYMANIA</w:t>
            </w:r>
          </w:p>
          <w:p w14:paraId="553C7481" w14:textId="77777777" w:rsidR="00915077" w:rsidRPr="00E26EF6" w:rsidRDefault="00915077">
            <w:pPr>
              <w:spacing w:before="0" w:after="0"/>
              <w:jc w:val="left"/>
              <w:rPr>
                <w:rFonts w:ascii="Times New Roman" w:hAnsi="Times New Roman"/>
                <w:sz w:val="24"/>
              </w:rPr>
            </w:pPr>
          </w:p>
          <w:p w14:paraId="0B4E4AFD" w14:textId="7E69CBBC" w:rsidR="00915077" w:rsidRPr="00E26EF6" w:rsidRDefault="00C55547">
            <w:pPr>
              <w:spacing w:before="0" w:after="0"/>
              <w:rPr>
                <w:rFonts w:ascii="Times New Roman" w:hAnsi="Times New Roman"/>
                <w:sz w:val="24"/>
              </w:rPr>
            </w:pPr>
            <w:r w:rsidRPr="00E26EF6">
              <w:rPr>
                <w:rFonts w:ascii="Times New Roman" w:hAnsi="Times New Roman"/>
                <w:sz w:val="24"/>
              </w:rPr>
              <w:t>W odniesieniu do każdego zainicjowanego programu sekurytyzacyjnego zgłasza się odpowiedni rodzaj utrzymywania udziału gospodarczego netto, jak przewidziano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6 rozporządzenia (UE) 2017/2402:</w:t>
            </w:r>
          </w:p>
          <w:p w14:paraId="559F8262" w14:textId="77777777" w:rsidR="00915077" w:rsidRPr="00E26EF6" w:rsidRDefault="00915077">
            <w:pPr>
              <w:spacing w:before="0" w:after="0"/>
              <w:rPr>
                <w:rFonts w:ascii="Times New Roman" w:hAnsi="Times New Roman"/>
                <w:sz w:val="24"/>
              </w:rPr>
            </w:pPr>
          </w:p>
          <w:p w14:paraId="6359C576" w14:textId="54D47B80" w:rsidR="00915077" w:rsidRPr="00E26EF6" w:rsidRDefault="00C55547">
            <w:pPr>
              <w:spacing w:before="0" w:after="0"/>
              <w:rPr>
                <w:rFonts w:ascii="Times New Roman" w:hAnsi="Times New Roman"/>
                <w:sz w:val="24"/>
              </w:rPr>
            </w:pPr>
            <w:r w:rsidRPr="00E26EF6">
              <w:rPr>
                <w:rFonts w:ascii="Times New Roman" w:hAnsi="Times New Roman"/>
                <w:sz w:val="24"/>
              </w:rPr>
              <w:t xml:space="preserve">A – pionowy segment (pozycje sekurytyzacyjne): </w:t>
            </w:r>
            <w:r w:rsidRPr="00E26EF6">
              <w:rPr>
                <w:rFonts w:ascii="Times New Roman" w:hAnsi="Times New Roman"/>
                <w:i/>
                <w:sz w:val="24"/>
              </w:rPr>
              <w:t>„utrzymywanie nie mniej niż 5</w:t>
            </w:r>
            <w:r w:rsidR="00023409" w:rsidRPr="00E26EF6">
              <w:rPr>
                <w:rFonts w:ascii="Times New Roman" w:hAnsi="Times New Roman"/>
                <w:i/>
                <w:sz w:val="24"/>
              </w:rPr>
              <w:t> </w:t>
            </w:r>
            <w:r w:rsidRPr="00E26EF6">
              <w:rPr>
                <w:rFonts w:ascii="Times New Roman" w:hAnsi="Times New Roman"/>
                <w:i/>
                <w:sz w:val="24"/>
              </w:rPr>
              <w:t xml:space="preserve">% wartości nominalnej każdej transzy sprzedanej lub przekazanej inwestorom”. </w:t>
            </w:r>
          </w:p>
          <w:p w14:paraId="05F9343C" w14:textId="77777777" w:rsidR="00915077" w:rsidRPr="00E26EF6" w:rsidRDefault="00915077">
            <w:pPr>
              <w:spacing w:before="0" w:after="0"/>
              <w:rPr>
                <w:rFonts w:ascii="Times New Roman" w:hAnsi="Times New Roman"/>
                <w:sz w:val="24"/>
              </w:rPr>
            </w:pPr>
          </w:p>
          <w:p w14:paraId="445598A5" w14:textId="0ED91A80" w:rsidR="00915077" w:rsidRPr="00E26EF6" w:rsidRDefault="00C55547">
            <w:pPr>
              <w:spacing w:before="0" w:after="0"/>
              <w:rPr>
                <w:rFonts w:ascii="Times New Roman" w:hAnsi="Times New Roman"/>
                <w:sz w:val="24"/>
              </w:rPr>
            </w:pPr>
            <w:r w:rsidRPr="00E26EF6">
              <w:rPr>
                <w:rFonts w:ascii="Times New Roman" w:hAnsi="Times New Roman"/>
                <w:sz w:val="24"/>
              </w:rPr>
              <w:t>V – pionowy segment (sekurytyzowane ekspozycje): utrzymywanie nie mniej niż</w:t>
            </w:r>
            <w:r w:rsidRPr="00E26EF6">
              <w:rPr>
                <w:rFonts w:ascii="Times New Roman" w:hAnsi="Times New Roman"/>
                <w:i/>
                <w:sz w:val="24"/>
              </w:rPr>
              <w:t xml:space="preserve"> </w:t>
            </w:r>
            <w:r w:rsidRPr="00E26EF6">
              <w:rPr>
                <w:rFonts w:ascii="Times New Roman" w:hAnsi="Times New Roman"/>
                <w:sz w:val="24"/>
              </w:rPr>
              <w:t>5</w:t>
            </w:r>
            <w:r w:rsidR="00023409" w:rsidRPr="00E26EF6">
              <w:rPr>
                <w:rFonts w:ascii="Times New Roman" w:hAnsi="Times New Roman"/>
                <w:sz w:val="24"/>
              </w:rPr>
              <w:t> </w:t>
            </w:r>
            <w:r w:rsidRPr="00E26EF6">
              <w:rPr>
                <w:rFonts w:ascii="Times New Roman" w:hAnsi="Times New Roman"/>
                <w:sz w:val="24"/>
              </w:rPr>
              <w:t>% ryzyka kredytowego</w:t>
            </w:r>
            <w:r w:rsidR="00E26EF6" w:rsidRPr="00E26EF6">
              <w:rPr>
                <w:rFonts w:ascii="Times New Roman" w:hAnsi="Times New Roman"/>
                <w:sz w:val="24"/>
              </w:rPr>
              <w:t xml:space="preserve"> w odn</w:t>
            </w:r>
            <w:r w:rsidRPr="00E26EF6">
              <w:rPr>
                <w:rFonts w:ascii="Times New Roman" w:hAnsi="Times New Roman"/>
                <w:sz w:val="24"/>
              </w:rPr>
              <w:t>iesieniu do każdej sekurytyzowanej ekspozycji, gdy ryzyko kredytowe utrzymywane</w:t>
            </w:r>
            <w:r w:rsidR="00E26EF6" w:rsidRPr="00E26EF6">
              <w:rPr>
                <w:rFonts w:ascii="Times New Roman" w:hAnsi="Times New Roman"/>
                <w:sz w:val="24"/>
              </w:rPr>
              <w:t xml:space="preserve"> w ten</w:t>
            </w:r>
            <w:r w:rsidRPr="00E26EF6">
              <w:rPr>
                <w:rFonts w:ascii="Times New Roman" w:hAnsi="Times New Roman"/>
                <w:sz w:val="24"/>
              </w:rPr>
              <w:t xml:space="preserve"> sposób</w:t>
            </w:r>
            <w:r w:rsidR="00E26EF6" w:rsidRPr="00E26EF6">
              <w:rPr>
                <w:rFonts w:ascii="Times New Roman" w:hAnsi="Times New Roman"/>
                <w:sz w:val="24"/>
              </w:rPr>
              <w:t xml:space="preserve"> w odn</w:t>
            </w:r>
            <w:r w:rsidRPr="00E26EF6">
              <w:rPr>
                <w:rFonts w:ascii="Times New Roman" w:hAnsi="Times New Roman"/>
                <w:sz w:val="24"/>
              </w:rPr>
              <w:t>iesieniu do tych ekspozycji zawsze jest równe</w:t>
            </w:r>
            <w:r w:rsidR="00023409" w:rsidRPr="00E26EF6">
              <w:rPr>
                <w:rFonts w:ascii="Times New Roman" w:hAnsi="Times New Roman"/>
                <w:sz w:val="24"/>
              </w:rPr>
              <w:t xml:space="preserve"> </w:t>
            </w:r>
            <w:r w:rsidRPr="00E26EF6">
              <w:rPr>
                <w:rFonts w:ascii="Times New Roman" w:hAnsi="Times New Roman"/>
                <w:sz w:val="24"/>
              </w:rPr>
              <w:t>ryzyku kredytowemu sekurytyzowanemu</w:t>
            </w:r>
            <w:r w:rsidR="00E26EF6" w:rsidRPr="00E26EF6">
              <w:rPr>
                <w:rFonts w:ascii="Times New Roman" w:hAnsi="Times New Roman"/>
                <w:sz w:val="24"/>
              </w:rPr>
              <w:t xml:space="preserve"> w odn</w:t>
            </w:r>
            <w:r w:rsidRPr="00E26EF6">
              <w:rPr>
                <w:rFonts w:ascii="Times New Roman" w:hAnsi="Times New Roman"/>
                <w:sz w:val="24"/>
              </w:rPr>
              <w:t>iesieniu do tych samych ekspozycji lub niższe.</w:t>
            </w:r>
          </w:p>
          <w:p w14:paraId="22CDCA49" w14:textId="77777777" w:rsidR="00915077" w:rsidRPr="00E26EF6" w:rsidRDefault="00915077">
            <w:pPr>
              <w:spacing w:before="0" w:after="0"/>
              <w:rPr>
                <w:rFonts w:ascii="Times New Roman" w:hAnsi="Times New Roman"/>
                <w:sz w:val="24"/>
              </w:rPr>
            </w:pPr>
          </w:p>
          <w:p w14:paraId="4BD60BEA" w14:textId="751E0085" w:rsidR="00915077" w:rsidRPr="00E26EF6" w:rsidRDefault="00C55547">
            <w:pPr>
              <w:spacing w:before="0" w:after="0"/>
              <w:rPr>
                <w:rFonts w:ascii="Times New Roman" w:hAnsi="Times New Roman"/>
                <w:sz w:val="24"/>
              </w:rPr>
            </w:pPr>
            <w:r w:rsidRPr="00E26EF6">
              <w:rPr>
                <w:rFonts w:ascii="Times New Roman" w:hAnsi="Times New Roman"/>
                <w:sz w:val="24"/>
              </w:rPr>
              <w:t>B – ekspozycje odnawialne: „w przypadku sekurytyzacji ekspozycji odnawialnych – utrzymywanie przez jednostkę inicjującą udziału wynoszącego co najmniej 5</w:t>
            </w:r>
            <w:r w:rsidR="00023409" w:rsidRPr="00E26EF6">
              <w:rPr>
                <w:rFonts w:ascii="Times New Roman" w:hAnsi="Times New Roman"/>
                <w:sz w:val="24"/>
              </w:rPr>
              <w:t> </w:t>
            </w:r>
            <w:r w:rsidRPr="00E26EF6">
              <w:rPr>
                <w:rFonts w:ascii="Times New Roman" w:hAnsi="Times New Roman"/>
                <w:sz w:val="24"/>
              </w:rPr>
              <w:t xml:space="preserve">% wartości nominalnej sekurytyzowanych ekspozycji”. </w:t>
            </w:r>
          </w:p>
          <w:p w14:paraId="6D93EF17" w14:textId="77777777" w:rsidR="00915077" w:rsidRPr="00E26EF6" w:rsidRDefault="00915077">
            <w:pPr>
              <w:spacing w:before="0" w:after="0"/>
              <w:rPr>
                <w:rFonts w:ascii="Times New Roman" w:hAnsi="Times New Roman"/>
                <w:sz w:val="24"/>
              </w:rPr>
            </w:pPr>
          </w:p>
          <w:p w14:paraId="5F483273" w14:textId="43370F7F" w:rsidR="00915077" w:rsidRPr="00E26EF6" w:rsidRDefault="00C55547">
            <w:pPr>
              <w:spacing w:before="0" w:after="0"/>
              <w:rPr>
                <w:rFonts w:ascii="Times New Roman" w:hAnsi="Times New Roman"/>
                <w:sz w:val="24"/>
              </w:rPr>
            </w:pPr>
            <w:r w:rsidRPr="00E26EF6">
              <w:rPr>
                <w:rFonts w:ascii="Times New Roman" w:hAnsi="Times New Roman"/>
                <w:sz w:val="24"/>
              </w:rPr>
              <w:t>C – pozycje bilansowe: „utrzymywanie losowo wybranych ekspozycji odpowiadających nie mniej niż 5</w:t>
            </w:r>
            <w:r w:rsidR="00023409" w:rsidRPr="00E26EF6">
              <w:rPr>
                <w:rFonts w:ascii="Times New Roman" w:hAnsi="Times New Roman"/>
                <w:sz w:val="24"/>
              </w:rPr>
              <w:t> </w:t>
            </w:r>
            <w:r w:rsidRPr="00E26EF6">
              <w:rPr>
                <w:rFonts w:ascii="Times New Roman" w:hAnsi="Times New Roman"/>
                <w:sz w:val="24"/>
              </w:rPr>
              <w:t>% wartości nominalnej sekurytyzowanych ekspozycji, jeżeli</w:t>
            </w:r>
            <w:r w:rsidR="00E26EF6" w:rsidRPr="00E26EF6">
              <w:rPr>
                <w:rFonts w:ascii="Times New Roman" w:hAnsi="Times New Roman"/>
                <w:sz w:val="24"/>
              </w:rPr>
              <w:t xml:space="preserve"> w prz</w:t>
            </w:r>
            <w:r w:rsidRPr="00E26EF6">
              <w:rPr>
                <w:rFonts w:ascii="Times New Roman" w:hAnsi="Times New Roman"/>
                <w:sz w:val="24"/>
              </w:rPr>
              <w:t>eciwnym wypadku ekspozycje takie byłyby sekurytyzowane</w:t>
            </w:r>
            <w:r w:rsidR="00E26EF6" w:rsidRPr="00E26EF6">
              <w:rPr>
                <w:rFonts w:ascii="Times New Roman" w:hAnsi="Times New Roman"/>
                <w:sz w:val="24"/>
              </w:rPr>
              <w:t xml:space="preserve"> w dan</w:t>
            </w:r>
            <w:r w:rsidRPr="00E26EF6">
              <w:rPr>
                <w:rFonts w:ascii="Times New Roman" w:hAnsi="Times New Roman"/>
                <w:sz w:val="24"/>
              </w:rPr>
              <w:t>ej sekurytyzacji, pod warunkiem, że liczba potencjalnych sekurytyzowanych ekspozycji jest pierwotnie nie mniejsza niż 100”.</w:t>
            </w:r>
          </w:p>
          <w:p w14:paraId="6FC45199" w14:textId="77777777" w:rsidR="00915077" w:rsidRPr="00E26EF6" w:rsidRDefault="00915077">
            <w:pPr>
              <w:spacing w:before="0" w:after="0"/>
              <w:rPr>
                <w:rFonts w:ascii="Times New Roman" w:hAnsi="Times New Roman"/>
                <w:sz w:val="24"/>
              </w:rPr>
            </w:pPr>
          </w:p>
          <w:p w14:paraId="597B4308" w14:textId="6AF7088B" w:rsidR="00915077" w:rsidRPr="00E26EF6" w:rsidRDefault="00C55547">
            <w:pPr>
              <w:spacing w:before="0" w:after="0"/>
              <w:rPr>
                <w:rFonts w:ascii="Times New Roman" w:hAnsi="Times New Roman"/>
                <w:sz w:val="24"/>
              </w:rPr>
            </w:pPr>
            <w:r w:rsidRPr="00E26EF6">
              <w:rPr>
                <w:rFonts w:ascii="Times New Roman" w:hAnsi="Times New Roman"/>
                <w:sz w:val="24"/>
              </w:rPr>
              <w:t>D – pierwsza strata: „utrzymywanie transzy pierwszej straty oraz</w:t>
            </w:r>
            <w:r w:rsidR="00E26EF6" w:rsidRPr="00E26EF6">
              <w:rPr>
                <w:rFonts w:ascii="Times New Roman" w:hAnsi="Times New Roman"/>
                <w:sz w:val="24"/>
              </w:rPr>
              <w:t xml:space="preserve"> w raz</w:t>
            </w:r>
            <w:r w:rsidRPr="00E26EF6">
              <w:rPr>
                <w:rFonts w:ascii="Times New Roman" w:hAnsi="Times New Roman"/>
                <w:sz w:val="24"/>
              </w:rPr>
              <w:t>ie potrzeby innych transzy</w:t>
            </w:r>
            <w:r w:rsidR="00E26EF6" w:rsidRPr="00E26EF6">
              <w:rPr>
                <w:rFonts w:ascii="Times New Roman" w:hAnsi="Times New Roman"/>
                <w:sz w:val="24"/>
              </w:rPr>
              <w:t xml:space="preserve"> o tak</w:t>
            </w:r>
            <w:r w:rsidRPr="00E26EF6">
              <w:rPr>
                <w:rFonts w:ascii="Times New Roman" w:hAnsi="Times New Roman"/>
                <w:sz w:val="24"/>
              </w:rPr>
              <w:t>im samym lub wyższym profilu ryzyka niż transze przekazane lub sprzedane inwestorom</w:t>
            </w:r>
            <w:r w:rsidR="00E26EF6" w:rsidRPr="00E26EF6">
              <w:rPr>
                <w:rFonts w:ascii="Times New Roman" w:hAnsi="Times New Roman"/>
                <w:sz w:val="24"/>
              </w:rPr>
              <w:t xml:space="preserve"> i któ</w:t>
            </w:r>
            <w:r w:rsidRPr="00E26EF6">
              <w:rPr>
                <w:rFonts w:ascii="Times New Roman" w:hAnsi="Times New Roman"/>
                <w:sz w:val="24"/>
              </w:rPr>
              <w:t>rych termin zapadalności nie jest wcześniejszy niż transzy przekazanych lub sprzedanych inwestorom, tak aby utrzymana wartość wynosiła ogółem nie mniej niż 5</w:t>
            </w:r>
            <w:r w:rsidR="00023409" w:rsidRPr="00E26EF6">
              <w:rPr>
                <w:rFonts w:ascii="Times New Roman" w:hAnsi="Times New Roman"/>
                <w:sz w:val="24"/>
              </w:rPr>
              <w:t> </w:t>
            </w:r>
            <w:r w:rsidRPr="00E26EF6">
              <w:rPr>
                <w:rFonts w:ascii="Times New Roman" w:hAnsi="Times New Roman"/>
                <w:sz w:val="24"/>
              </w:rPr>
              <w:t>% wartości nominalnej sekurytyzowanych ekspozycji”.</w:t>
            </w:r>
          </w:p>
          <w:p w14:paraId="68C76BD6" w14:textId="77777777" w:rsidR="00915077" w:rsidRPr="00E26EF6" w:rsidRDefault="00915077">
            <w:pPr>
              <w:spacing w:before="0" w:after="0"/>
              <w:rPr>
                <w:rFonts w:ascii="Times New Roman" w:hAnsi="Times New Roman"/>
                <w:sz w:val="24"/>
              </w:rPr>
            </w:pPr>
          </w:p>
          <w:p w14:paraId="4580DA17" w14:textId="77DF5936" w:rsidR="00915077" w:rsidRPr="00E26EF6" w:rsidRDefault="00C55547">
            <w:pPr>
              <w:spacing w:before="0" w:after="0"/>
              <w:rPr>
                <w:rFonts w:ascii="Times New Roman" w:hAnsi="Times New Roman"/>
                <w:sz w:val="24"/>
              </w:rPr>
            </w:pPr>
            <w:r w:rsidRPr="00E26EF6">
              <w:rPr>
                <w:rFonts w:ascii="Times New Roman" w:hAnsi="Times New Roman"/>
                <w:sz w:val="24"/>
              </w:rPr>
              <w:t>E – wyłączone. Kod ten zgłasza się</w:t>
            </w:r>
            <w:r w:rsidR="00E26EF6" w:rsidRPr="00E26EF6">
              <w:rPr>
                <w:rFonts w:ascii="Times New Roman" w:hAnsi="Times New Roman"/>
                <w:sz w:val="24"/>
              </w:rPr>
              <w:t xml:space="preserve"> w prz</w:t>
            </w:r>
            <w:r w:rsidRPr="00E26EF6">
              <w:rPr>
                <w:rFonts w:ascii="Times New Roman" w:hAnsi="Times New Roman"/>
                <w:sz w:val="24"/>
              </w:rPr>
              <w:t>ypadku sekurytyzacji objętych zastosowaniem art.</w:t>
            </w:r>
            <w:r w:rsidR="00023409" w:rsidRPr="00E26EF6">
              <w:rPr>
                <w:rFonts w:ascii="Times New Roman" w:hAnsi="Times New Roman"/>
                <w:sz w:val="24"/>
              </w:rPr>
              <w:t> </w:t>
            </w:r>
            <w:r w:rsidRPr="00E26EF6">
              <w:rPr>
                <w:rFonts w:ascii="Times New Roman" w:hAnsi="Times New Roman"/>
                <w:sz w:val="24"/>
              </w:rPr>
              <w:t>6 ust.</w:t>
            </w:r>
            <w:r w:rsidR="00023409" w:rsidRPr="00E26EF6">
              <w:rPr>
                <w:rFonts w:ascii="Times New Roman" w:hAnsi="Times New Roman"/>
                <w:sz w:val="24"/>
              </w:rPr>
              <w:t> </w:t>
            </w:r>
            <w:r w:rsidRPr="00E26EF6">
              <w:rPr>
                <w:rFonts w:ascii="Times New Roman" w:hAnsi="Times New Roman"/>
                <w:sz w:val="24"/>
              </w:rPr>
              <w:t>6 rozporządzenia (UE) 2017/2402.</w:t>
            </w:r>
          </w:p>
          <w:p w14:paraId="7B3B8D07" w14:textId="77777777" w:rsidR="00915077" w:rsidRPr="00E26EF6" w:rsidRDefault="00915077">
            <w:pPr>
              <w:spacing w:before="0" w:after="0"/>
              <w:rPr>
                <w:rFonts w:ascii="Times New Roman" w:hAnsi="Times New Roman"/>
                <w:sz w:val="24"/>
              </w:rPr>
            </w:pPr>
          </w:p>
          <w:p w14:paraId="369E3C3B" w14:textId="0CC762F6" w:rsidR="00915077" w:rsidRPr="00E26EF6" w:rsidRDefault="00C55547">
            <w:pPr>
              <w:spacing w:before="0" w:after="0"/>
              <w:rPr>
                <w:rFonts w:ascii="Times New Roman" w:hAnsi="Times New Roman"/>
                <w:sz w:val="24"/>
              </w:rPr>
            </w:pPr>
            <w:r w:rsidRPr="00E26EF6">
              <w:rPr>
                <w:rFonts w:ascii="Times New Roman" w:hAnsi="Times New Roman"/>
                <w:sz w:val="24"/>
              </w:rPr>
              <w:t>U – naruszenie lub dane nieznane. Kod ten zgłasza się, gdy instytucja sprawozdająca nie wie</w:t>
            </w:r>
            <w:r w:rsidR="00E26EF6" w:rsidRPr="00E26EF6">
              <w:rPr>
                <w:rFonts w:ascii="Times New Roman" w:hAnsi="Times New Roman"/>
                <w:sz w:val="24"/>
              </w:rPr>
              <w:t xml:space="preserve"> z cał</w:t>
            </w:r>
            <w:r w:rsidRPr="00E26EF6">
              <w:rPr>
                <w:rFonts w:ascii="Times New Roman" w:hAnsi="Times New Roman"/>
                <w:sz w:val="24"/>
              </w:rPr>
              <w:t>ą pewnością, jaki rodzaj utrzymywania jest stosowany, lub</w:t>
            </w:r>
            <w:r w:rsidR="00E26EF6" w:rsidRPr="00E26EF6">
              <w:rPr>
                <w:rFonts w:ascii="Times New Roman" w:hAnsi="Times New Roman"/>
                <w:sz w:val="24"/>
              </w:rPr>
              <w:t xml:space="preserve"> w prz</w:t>
            </w:r>
            <w:r w:rsidRPr="00E26EF6">
              <w:rPr>
                <w:rFonts w:ascii="Times New Roman" w:hAnsi="Times New Roman"/>
                <w:sz w:val="24"/>
              </w:rPr>
              <w:t>ypadku niezgodności</w:t>
            </w:r>
            <w:r w:rsidR="00E26EF6" w:rsidRPr="00E26EF6">
              <w:rPr>
                <w:rFonts w:ascii="Times New Roman" w:hAnsi="Times New Roman"/>
                <w:sz w:val="24"/>
              </w:rPr>
              <w:t xml:space="preserve"> z prz</w:t>
            </w:r>
            <w:r w:rsidRPr="00E26EF6">
              <w:rPr>
                <w:rFonts w:ascii="Times New Roman" w:hAnsi="Times New Roman"/>
                <w:sz w:val="24"/>
              </w:rPr>
              <w:t>episami.</w:t>
            </w:r>
          </w:p>
          <w:p w14:paraId="6F79727B"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4BA4A4DE" w14:textId="77777777" w:rsidTr="00E10B85">
        <w:tc>
          <w:tcPr>
            <w:tcW w:w="1101" w:type="dxa"/>
          </w:tcPr>
          <w:p w14:paraId="5B5306BA"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090</w:t>
            </w:r>
          </w:p>
        </w:tc>
        <w:tc>
          <w:tcPr>
            <w:tcW w:w="7903" w:type="dxa"/>
          </w:tcPr>
          <w:p w14:paraId="1B360083"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 UTRZYMANIA W DNIU SPRAWOZDAWCZYM</w:t>
            </w:r>
          </w:p>
          <w:p w14:paraId="01BE6D7F" w14:textId="77777777" w:rsidR="00915077" w:rsidRPr="00E26EF6" w:rsidRDefault="00915077">
            <w:pPr>
              <w:spacing w:before="0" w:after="0"/>
              <w:jc w:val="left"/>
              <w:rPr>
                <w:rFonts w:ascii="Times New Roman" w:hAnsi="Times New Roman"/>
                <w:sz w:val="24"/>
              </w:rPr>
            </w:pPr>
          </w:p>
          <w:p w14:paraId="017B54B1" w14:textId="1E06E820" w:rsidR="00915077" w:rsidRPr="00E26EF6" w:rsidRDefault="00C55547">
            <w:pPr>
              <w:spacing w:before="0" w:after="0"/>
              <w:rPr>
                <w:rFonts w:ascii="Times New Roman" w:hAnsi="Times New Roman"/>
                <w:i/>
                <w:sz w:val="24"/>
              </w:rPr>
            </w:pPr>
            <w:r w:rsidRPr="00E26EF6">
              <w:rPr>
                <w:rFonts w:ascii="Times New Roman" w:hAnsi="Times New Roman"/>
                <w:sz w:val="24"/>
              </w:rPr>
              <w:t xml:space="preserve">Utrzymywany </w:t>
            </w:r>
            <w:r w:rsidRPr="00E26EF6">
              <w:rPr>
                <w:rFonts w:ascii="Times New Roman" w:hAnsi="Times New Roman"/>
                <w:i/>
                <w:sz w:val="24"/>
              </w:rPr>
              <w:t>istotny udział gospodarczy netto jednostki inicjującej, jednostki sponsorującej lub pierwotnego kredytodawcy</w:t>
            </w:r>
            <w:r w:rsidRPr="00E26EF6">
              <w:rPr>
                <w:rFonts w:ascii="Times New Roman" w:hAnsi="Times New Roman"/>
                <w:sz w:val="24"/>
              </w:rPr>
              <w:t xml:space="preserve"> jest nie mniejszy niż 5</w:t>
            </w:r>
            <w:r w:rsidR="00023409" w:rsidRPr="00E26EF6">
              <w:rPr>
                <w:rFonts w:ascii="Times New Roman" w:hAnsi="Times New Roman"/>
                <w:sz w:val="24"/>
              </w:rPr>
              <w:t> </w:t>
            </w:r>
            <w:r w:rsidRPr="00E26EF6">
              <w:rPr>
                <w:rFonts w:ascii="Times New Roman" w:hAnsi="Times New Roman"/>
                <w:sz w:val="24"/>
              </w:rPr>
              <w:t>% (w dniu powstania).</w:t>
            </w:r>
          </w:p>
          <w:p w14:paraId="736CBC94" w14:textId="77777777" w:rsidR="00915077" w:rsidRPr="00E26EF6" w:rsidRDefault="00915077">
            <w:pPr>
              <w:spacing w:before="0" w:after="0"/>
              <w:rPr>
                <w:rFonts w:ascii="Times New Roman" w:hAnsi="Times New Roman"/>
                <w:i/>
                <w:sz w:val="24"/>
              </w:rPr>
            </w:pPr>
          </w:p>
          <w:p w14:paraId="2D8B6608" w14:textId="759A871B" w:rsidR="00915077" w:rsidRPr="00E26EF6" w:rsidRDefault="00C55547">
            <w:pPr>
              <w:autoSpaceDE w:val="0"/>
              <w:autoSpaceDN w:val="0"/>
              <w:adjustRightInd w:val="0"/>
              <w:spacing w:before="0" w:after="0"/>
              <w:rPr>
                <w:rFonts w:ascii="Times New Roman" w:hAnsi="Times New Roman"/>
                <w:i/>
                <w:sz w:val="24"/>
              </w:rPr>
            </w:pPr>
            <w:r w:rsidRPr="00E26EF6">
              <w:rPr>
                <w:rFonts w:ascii="Times New Roman" w:hAnsi="Times New Roman"/>
                <w:sz w:val="24"/>
              </w:rPr>
              <w:t>Kolumny tej nie zgłasza się, gdy</w:t>
            </w:r>
            <w:r w:rsidR="00E26EF6" w:rsidRPr="00E26EF6">
              <w:rPr>
                <w:rFonts w:ascii="Times New Roman" w:hAnsi="Times New Roman"/>
                <w:sz w:val="24"/>
              </w:rPr>
              <w:t xml:space="preserve"> w kol</w:t>
            </w:r>
            <w:r w:rsidRPr="00E26EF6">
              <w:rPr>
                <w:rFonts w:ascii="Times New Roman" w:hAnsi="Times New Roman"/>
                <w:sz w:val="24"/>
              </w:rPr>
              <w:t>umnie 080 (Rodzaj stosowanego utrzymania) zgłoszono kody „E” (wyłączone) lub „N” (nie dotyczy).</w:t>
            </w:r>
          </w:p>
          <w:p w14:paraId="57D619B2" w14:textId="77777777" w:rsidR="00915077" w:rsidRPr="00E26EF6" w:rsidRDefault="00915077">
            <w:pPr>
              <w:spacing w:before="0" w:after="0"/>
              <w:jc w:val="left"/>
              <w:rPr>
                <w:rFonts w:ascii="Times New Roman" w:hAnsi="Times New Roman"/>
                <w:sz w:val="24"/>
                <w:highlight w:val="lightGray"/>
              </w:rPr>
            </w:pPr>
          </w:p>
        </w:tc>
      </w:tr>
      <w:tr w:rsidR="00915077" w:rsidRPr="00E26EF6" w14:paraId="40B36568" w14:textId="77777777" w:rsidTr="00E10B85">
        <w:tc>
          <w:tcPr>
            <w:tcW w:w="1101" w:type="dxa"/>
          </w:tcPr>
          <w:p w14:paraId="0655C560"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100</w:t>
            </w:r>
          </w:p>
        </w:tc>
        <w:tc>
          <w:tcPr>
            <w:tcW w:w="7903" w:type="dxa"/>
          </w:tcPr>
          <w:p w14:paraId="2381967E"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ZGODNOŚĆ Z WYMOGIEM DOTYCZĄCYM UTRZYMANIA?</w:t>
            </w:r>
          </w:p>
          <w:p w14:paraId="3D773677" w14:textId="77777777" w:rsidR="00915077" w:rsidRPr="00E26EF6" w:rsidRDefault="00915077">
            <w:pPr>
              <w:spacing w:before="0" w:after="0"/>
              <w:jc w:val="left"/>
              <w:rPr>
                <w:rFonts w:ascii="Times New Roman" w:hAnsi="Times New Roman"/>
                <w:b/>
                <w:sz w:val="24"/>
                <w:u w:val="single"/>
              </w:rPr>
            </w:pPr>
          </w:p>
          <w:p w14:paraId="21715324" w14:textId="77777777" w:rsidR="00915077" w:rsidRPr="00E26EF6" w:rsidRDefault="00EE2BEA">
            <w:pPr>
              <w:spacing w:before="0" w:after="0"/>
              <w:jc w:val="left"/>
              <w:rPr>
                <w:rFonts w:ascii="Times New Roman" w:hAnsi="Times New Roman"/>
                <w:sz w:val="24"/>
              </w:rPr>
            </w:pPr>
            <w:r w:rsidRPr="00E26EF6">
              <w:rPr>
                <w:rFonts w:ascii="Times New Roman" w:hAnsi="Times New Roman"/>
                <w:sz w:val="24"/>
              </w:rPr>
              <w:t>Instytucje zgłaszają następujące skróty:</w:t>
            </w:r>
          </w:p>
          <w:p w14:paraId="138F52BD" w14:textId="77777777" w:rsidR="00915077" w:rsidRPr="00E26EF6" w:rsidRDefault="00C55547">
            <w:pPr>
              <w:tabs>
                <w:tab w:val="left" w:pos="317"/>
                <w:tab w:val="left" w:pos="600"/>
              </w:tabs>
              <w:spacing w:before="0" w:after="0"/>
              <w:jc w:val="left"/>
              <w:rPr>
                <w:rFonts w:ascii="Times New Roman" w:hAnsi="Times New Roman"/>
                <w:sz w:val="24"/>
              </w:rPr>
            </w:pPr>
            <w:r w:rsidRPr="00E26EF6">
              <w:rPr>
                <w:rFonts w:ascii="Times New Roman" w:hAnsi="Times New Roman"/>
                <w:sz w:val="24"/>
              </w:rPr>
              <w:t>Y</w:t>
            </w:r>
            <w:r w:rsidRPr="00E26EF6">
              <w:rPr>
                <w:rFonts w:ascii="Times New Roman" w:hAnsi="Times New Roman"/>
                <w:sz w:val="24"/>
              </w:rPr>
              <w:tab/>
              <w:t>-</w:t>
            </w:r>
            <w:r w:rsidRPr="00E26EF6">
              <w:rPr>
                <w:rFonts w:ascii="Times New Roman" w:hAnsi="Times New Roman"/>
                <w:sz w:val="24"/>
              </w:rPr>
              <w:tab/>
              <w:t>Tak;</w:t>
            </w:r>
          </w:p>
          <w:p w14:paraId="7C65DB26" w14:textId="77777777" w:rsidR="00915077" w:rsidRPr="00E26EF6" w:rsidRDefault="00C55547">
            <w:pPr>
              <w:tabs>
                <w:tab w:val="left" w:pos="317"/>
                <w:tab w:val="left" w:pos="600"/>
              </w:tabs>
              <w:spacing w:before="0" w:after="0"/>
              <w:jc w:val="left"/>
              <w:rPr>
                <w:rFonts w:ascii="Times New Roman" w:hAnsi="Times New Roman"/>
                <w:sz w:val="24"/>
              </w:rPr>
            </w:pPr>
            <w:r w:rsidRPr="00E26EF6">
              <w:rPr>
                <w:rFonts w:ascii="Times New Roman" w:hAnsi="Times New Roman"/>
                <w:sz w:val="24"/>
              </w:rPr>
              <w:t>N</w:t>
            </w:r>
            <w:r w:rsidRPr="00E26EF6">
              <w:rPr>
                <w:rFonts w:ascii="Times New Roman" w:hAnsi="Times New Roman"/>
                <w:sz w:val="24"/>
              </w:rPr>
              <w:tab/>
              <w:t>-</w:t>
            </w:r>
            <w:r w:rsidRPr="00E26EF6">
              <w:rPr>
                <w:rFonts w:ascii="Times New Roman" w:hAnsi="Times New Roman"/>
                <w:sz w:val="24"/>
              </w:rPr>
              <w:tab/>
              <w:t>Nie.</w:t>
            </w:r>
          </w:p>
          <w:p w14:paraId="6A952D60" w14:textId="77777777" w:rsidR="00915077" w:rsidRPr="00E26EF6" w:rsidRDefault="00915077">
            <w:pPr>
              <w:spacing w:before="0" w:after="0"/>
              <w:jc w:val="left"/>
              <w:rPr>
                <w:rFonts w:ascii="Times New Roman" w:hAnsi="Times New Roman"/>
                <w:sz w:val="24"/>
              </w:rPr>
            </w:pPr>
          </w:p>
          <w:p w14:paraId="77FA9D5B" w14:textId="01920232" w:rsidR="00915077" w:rsidRPr="00E26EF6" w:rsidRDefault="00C55547">
            <w:pPr>
              <w:autoSpaceDE w:val="0"/>
              <w:autoSpaceDN w:val="0"/>
              <w:adjustRightInd w:val="0"/>
              <w:spacing w:before="0" w:after="0"/>
              <w:rPr>
                <w:rFonts w:ascii="Times New Roman" w:hAnsi="Times New Roman"/>
                <w:i/>
                <w:sz w:val="24"/>
              </w:rPr>
            </w:pPr>
            <w:r w:rsidRPr="00E26EF6">
              <w:rPr>
                <w:rFonts w:ascii="Times New Roman" w:hAnsi="Times New Roman"/>
                <w:sz w:val="24"/>
              </w:rPr>
              <w:t>Kolumny tej nie zgłasza się, gdy</w:t>
            </w:r>
            <w:r w:rsidR="00E26EF6" w:rsidRPr="00E26EF6">
              <w:rPr>
                <w:rFonts w:ascii="Times New Roman" w:hAnsi="Times New Roman"/>
                <w:sz w:val="24"/>
              </w:rPr>
              <w:t xml:space="preserve"> w kol</w:t>
            </w:r>
            <w:r w:rsidRPr="00E26EF6">
              <w:rPr>
                <w:rFonts w:ascii="Times New Roman" w:hAnsi="Times New Roman"/>
                <w:sz w:val="24"/>
              </w:rPr>
              <w:t>umnie 080 (Rodzaj stosowanego utrzymania) zgłoszono kod „E” (wyłączone).</w:t>
            </w:r>
          </w:p>
          <w:p w14:paraId="647391F6"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3B97E3E5" w14:textId="77777777" w:rsidTr="00E10B85">
        <w:tc>
          <w:tcPr>
            <w:tcW w:w="1101" w:type="dxa"/>
          </w:tcPr>
          <w:p w14:paraId="3D4614DB"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120–130</w:t>
            </w:r>
          </w:p>
        </w:tc>
        <w:tc>
          <w:tcPr>
            <w:tcW w:w="7903" w:type="dxa"/>
          </w:tcPr>
          <w:p w14:paraId="449AF9BD" w14:textId="77777777" w:rsidR="00915077" w:rsidRPr="00E26EF6" w:rsidRDefault="00C55547">
            <w:pPr>
              <w:autoSpaceDE w:val="0"/>
              <w:autoSpaceDN w:val="0"/>
              <w:adjustRightInd w:val="0"/>
              <w:spacing w:before="0" w:after="0"/>
              <w:jc w:val="left"/>
              <w:rPr>
                <w:rFonts w:ascii="Times New Roman" w:hAnsi="Times New Roman"/>
                <w:b/>
                <w:sz w:val="24"/>
              </w:rPr>
            </w:pPr>
            <w:r w:rsidRPr="00E26EF6">
              <w:rPr>
                <w:rFonts w:ascii="Times New Roman" w:hAnsi="Times New Roman"/>
                <w:b/>
                <w:sz w:val="24"/>
              </w:rPr>
              <w:t>PROGRAMY INNE NIŻ PROGRAM ABCP</w:t>
            </w:r>
          </w:p>
          <w:p w14:paraId="086B9BE2" w14:textId="77777777" w:rsidR="00915077" w:rsidRPr="00E26EF6" w:rsidRDefault="00915077">
            <w:pPr>
              <w:autoSpaceDE w:val="0"/>
              <w:autoSpaceDN w:val="0"/>
              <w:adjustRightInd w:val="0"/>
              <w:spacing w:before="0" w:after="0"/>
              <w:jc w:val="left"/>
              <w:rPr>
                <w:rFonts w:ascii="Times New Roman" w:hAnsi="Times New Roman"/>
                <w:sz w:val="24"/>
              </w:rPr>
            </w:pPr>
          </w:p>
          <w:p w14:paraId="2347E6E0" w14:textId="7F82CEF8"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Z uwagi na szczególną naturę programów ABCP wynikającą</w:t>
            </w:r>
            <w:r w:rsidR="00E26EF6" w:rsidRPr="00E26EF6">
              <w:rPr>
                <w:rFonts w:ascii="Times New Roman" w:hAnsi="Times New Roman"/>
                <w:sz w:val="24"/>
              </w:rPr>
              <w:t xml:space="preserve"> z fak</w:t>
            </w:r>
            <w:r w:rsidRPr="00E26EF6">
              <w:rPr>
                <w:rFonts w:ascii="Times New Roman" w:hAnsi="Times New Roman"/>
                <w:sz w:val="24"/>
              </w:rPr>
              <w:t>tu, że składają się</w:t>
            </w:r>
            <w:r w:rsidR="00E26EF6" w:rsidRPr="00E26EF6">
              <w:rPr>
                <w:rFonts w:ascii="Times New Roman" w:hAnsi="Times New Roman"/>
                <w:sz w:val="24"/>
              </w:rPr>
              <w:t xml:space="preserve"> z kil</w:t>
            </w:r>
            <w:r w:rsidRPr="00E26EF6">
              <w:rPr>
                <w:rFonts w:ascii="Times New Roman" w:hAnsi="Times New Roman"/>
                <w:sz w:val="24"/>
              </w:rPr>
              <w:t>ku pojedynczych pozycji sekurytyzacyjnych, programy ABCP (jak określono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ust.</w:t>
            </w:r>
            <w:r w:rsidR="00023409" w:rsidRPr="00E26EF6">
              <w:rPr>
                <w:rFonts w:ascii="Times New Roman" w:hAnsi="Times New Roman"/>
                <w:sz w:val="24"/>
              </w:rPr>
              <w:t> </w:t>
            </w:r>
            <w:r w:rsidRPr="00E26EF6">
              <w:rPr>
                <w:rFonts w:ascii="Times New Roman" w:hAnsi="Times New Roman"/>
                <w:sz w:val="24"/>
              </w:rPr>
              <w:t>11 CRR) wyłączone są</w:t>
            </w:r>
            <w:r w:rsidR="00E26EF6" w:rsidRPr="00E26EF6">
              <w:rPr>
                <w:rFonts w:ascii="Times New Roman" w:hAnsi="Times New Roman"/>
                <w:sz w:val="24"/>
              </w:rPr>
              <w:t xml:space="preserve"> z obo</w:t>
            </w:r>
            <w:r w:rsidRPr="00E26EF6">
              <w:rPr>
                <w:rFonts w:ascii="Times New Roman" w:hAnsi="Times New Roman"/>
                <w:sz w:val="24"/>
              </w:rPr>
              <w:t>wiązku zgłaszania informacji</w:t>
            </w:r>
            <w:r w:rsidR="00E26EF6" w:rsidRPr="00E26EF6">
              <w:rPr>
                <w:rFonts w:ascii="Times New Roman" w:hAnsi="Times New Roman"/>
                <w:sz w:val="24"/>
              </w:rPr>
              <w:t xml:space="preserve"> w kol</w:t>
            </w:r>
            <w:r w:rsidRPr="00E26EF6">
              <w:rPr>
                <w:rFonts w:ascii="Times New Roman" w:hAnsi="Times New Roman"/>
                <w:sz w:val="24"/>
              </w:rPr>
              <w:t>umnach 120, 121</w:t>
            </w:r>
            <w:r w:rsidR="00E26EF6" w:rsidRPr="00E26EF6">
              <w:rPr>
                <w:rFonts w:ascii="Times New Roman" w:hAnsi="Times New Roman"/>
                <w:sz w:val="24"/>
              </w:rPr>
              <w:t xml:space="preserve"> i 1</w:t>
            </w:r>
            <w:r w:rsidRPr="00E26EF6">
              <w:rPr>
                <w:rFonts w:ascii="Times New Roman" w:hAnsi="Times New Roman"/>
                <w:sz w:val="24"/>
              </w:rPr>
              <w:t>30.</w:t>
            </w:r>
          </w:p>
          <w:p w14:paraId="1870D494" w14:textId="77777777" w:rsidR="00915077" w:rsidRPr="00E26EF6" w:rsidRDefault="00915077">
            <w:pPr>
              <w:spacing w:before="0" w:after="0"/>
              <w:jc w:val="left"/>
              <w:rPr>
                <w:rFonts w:ascii="Times New Roman" w:hAnsi="Times New Roman"/>
                <w:sz w:val="24"/>
                <w:highlight w:val="lightGray"/>
              </w:rPr>
            </w:pPr>
          </w:p>
        </w:tc>
      </w:tr>
      <w:tr w:rsidR="00915077" w:rsidRPr="00E26EF6" w14:paraId="29BDE928" w14:textId="77777777" w:rsidTr="00E10B85">
        <w:tc>
          <w:tcPr>
            <w:tcW w:w="1101" w:type="dxa"/>
          </w:tcPr>
          <w:p w14:paraId="4D0E8F86"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120</w:t>
            </w:r>
          </w:p>
        </w:tc>
        <w:tc>
          <w:tcPr>
            <w:tcW w:w="7903" w:type="dxa"/>
          </w:tcPr>
          <w:p w14:paraId="42A4DE86" w14:textId="77777777" w:rsidR="00915077" w:rsidRPr="00E26EF6" w:rsidRDefault="00C55547">
            <w:pPr>
              <w:spacing w:before="0" w:after="0"/>
              <w:jc w:val="left"/>
              <w:rPr>
                <w:rFonts w:ascii="Times New Roman" w:hAnsi="Times New Roman"/>
                <w:b/>
                <w:sz w:val="24"/>
              </w:rPr>
            </w:pPr>
            <w:r w:rsidRPr="00E26EF6">
              <w:rPr>
                <w:rFonts w:ascii="Times New Roman" w:hAnsi="Times New Roman"/>
                <w:b/>
                <w:sz w:val="24"/>
              </w:rPr>
              <w:t>DZIEŃ POWSTANIA (mm/rrrr)</w:t>
            </w:r>
          </w:p>
          <w:p w14:paraId="49F98229" w14:textId="77777777" w:rsidR="00915077" w:rsidRPr="00E26EF6" w:rsidRDefault="00915077">
            <w:pPr>
              <w:spacing w:before="0" w:after="0"/>
              <w:jc w:val="left"/>
              <w:rPr>
                <w:rFonts w:ascii="Times New Roman" w:hAnsi="Times New Roman"/>
                <w:sz w:val="24"/>
              </w:rPr>
            </w:pPr>
          </w:p>
          <w:p w14:paraId="040343AD" w14:textId="011AF70A"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Miesiąc</w:t>
            </w:r>
            <w:r w:rsidR="00E26EF6" w:rsidRPr="00E26EF6">
              <w:rPr>
                <w:rFonts w:ascii="Times New Roman" w:hAnsi="Times New Roman"/>
                <w:sz w:val="24"/>
              </w:rPr>
              <w:t xml:space="preserve"> i rok</w:t>
            </w:r>
            <w:r w:rsidRPr="00E26EF6">
              <w:rPr>
                <w:rFonts w:ascii="Times New Roman" w:hAnsi="Times New Roman"/>
                <w:sz w:val="24"/>
              </w:rPr>
              <w:t xml:space="preserve"> dnia powstania (np. data graniczna lub data zamknięcia puli) sekurytyzacji zgłasza</w:t>
            </w:r>
            <w:r w:rsidR="00E26EF6" w:rsidRPr="00E26EF6">
              <w:rPr>
                <w:rFonts w:ascii="Times New Roman" w:hAnsi="Times New Roman"/>
                <w:sz w:val="24"/>
              </w:rPr>
              <w:t xml:space="preserve"> w nas</w:t>
            </w:r>
            <w:r w:rsidRPr="00E26EF6">
              <w:rPr>
                <w:rFonts w:ascii="Times New Roman" w:hAnsi="Times New Roman"/>
                <w:sz w:val="24"/>
              </w:rPr>
              <w:t>tępującym formacie: „mm/rrrr”.</w:t>
            </w:r>
          </w:p>
          <w:p w14:paraId="0C480317" w14:textId="77777777" w:rsidR="00915077" w:rsidRPr="00E26EF6" w:rsidRDefault="00915077">
            <w:pPr>
              <w:autoSpaceDE w:val="0"/>
              <w:autoSpaceDN w:val="0"/>
              <w:adjustRightInd w:val="0"/>
              <w:spacing w:before="0" w:after="0"/>
              <w:rPr>
                <w:rFonts w:ascii="Times New Roman" w:hAnsi="Times New Roman"/>
                <w:sz w:val="24"/>
              </w:rPr>
            </w:pPr>
          </w:p>
          <w:p w14:paraId="41AB4885" w14:textId="03F257EB"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przypadku każdego programu sekurytyzacyjnego dzień powstania nie może ulec zmianie między poszczególnymi dniami sprawozdawczymi</w:t>
            </w:r>
            <w:r w:rsidR="00E26EF6" w:rsidRPr="00E26EF6">
              <w:rPr>
                <w:rFonts w:ascii="Times New Roman" w:hAnsi="Times New Roman"/>
                <w:sz w:val="24"/>
              </w:rPr>
              <w:t>. W szc</w:t>
            </w:r>
            <w:r w:rsidRPr="00E26EF6">
              <w:rPr>
                <w:rFonts w:ascii="Times New Roman" w:hAnsi="Times New Roman"/>
                <w:sz w:val="24"/>
              </w:rPr>
              <w:t xml:space="preserve">zególnym przypadku programów sekurytyzacyjnych opartych na pulach otwartych dniem powstania jest data pierwszej emisji papierów wartościowych. </w:t>
            </w:r>
          </w:p>
          <w:p w14:paraId="6309F4E0" w14:textId="77777777" w:rsidR="00915077" w:rsidRPr="00E26EF6" w:rsidRDefault="00915077">
            <w:pPr>
              <w:autoSpaceDE w:val="0"/>
              <w:autoSpaceDN w:val="0"/>
              <w:adjustRightInd w:val="0"/>
              <w:spacing w:before="0" w:after="0"/>
              <w:rPr>
                <w:rFonts w:ascii="Times New Roman" w:hAnsi="Times New Roman"/>
                <w:sz w:val="24"/>
              </w:rPr>
            </w:pPr>
          </w:p>
          <w:p w14:paraId="1004180F" w14:textId="7D439170"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Informację tę zgłasza się, nawet gdy jednostka sprawozdająca nie posiada pozycji</w:t>
            </w:r>
            <w:r w:rsidR="00E26EF6" w:rsidRPr="00E26EF6">
              <w:rPr>
                <w:rFonts w:ascii="Times New Roman" w:hAnsi="Times New Roman"/>
                <w:sz w:val="24"/>
              </w:rPr>
              <w:t xml:space="preserve"> w ram</w:t>
            </w:r>
            <w:r w:rsidRPr="00E26EF6">
              <w:rPr>
                <w:rFonts w:ascii="Times New Roman" w:hAnsi="Times New Roman"/>
                <w:sz w:val="24"/>
              </w:rPr>
              <w:t>ach danej sekurytyzacji.</w:t>
            </w:r>
          </w:p>
          <w:p w14:paraId="081BB365"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14C2F7C0" w14:textId="77777777" w:rsidTr="00E10B85">
        <w:tc>
          <w:tcPr>
            <w:tcW w:w="1101" w:type="dxa"/>
          </w:tcPr>
          <w:p w14:paraId="75A67799"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121</w:t>
            </w:r>
          </w:p>
        </w:tc>
        <w:tc>
          <w:tcPr>
            <w:tcW w:w="7903" w:type="dxa"/>
          </w:tcPr>
          <w:p w14:paraId="0E472125"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DATA OSTATNIEJ EMISJI (mm/rrrr)</w:t>
            </w:r>
          </w:p>
          <w:p w14:paraId="59CF45F5" w14:textId="77777777" w:rsidR="00915077" w:rsidRPr="00E26EF6" w:rsidRDefault="00915077">
            <w:pPr>
              <w:spacing w:before="0" w:after="0"/>
              <w:jc w:val="left"/>
              <w:rPr>
                <w:rFonts w:ascii="Times New Roman" w:hAnsi="Times New Roman"/>
                <w:b/>
                <w:sz w:val="24"/>
                <w:u w:val="single"/>
              </w:rPr>
            </w:pPr>
          </w:p>
          <w:p w14:paraId="7FBBA6B6" w14:textId="773FC82F" w:rsidR="00915077" w:rsidRPr="00E26EF6" w:rsidRDefault="00C55547">
            <w:pPr>
              <w:spacing w:before="0" w:after="0"/>
              <w:jc w:val="left"/>
              <w:rPr>
                <w:rFonts w:ascii="Times New Roman" w:hAnsi="Times New Roman"/>
                <w:sz w:val="24"/>
              </w:rPr>
            </w:pPr>
            <w:r w:rsidRPr="00E26EF6">
              <w:rPr>
                <w:rFonts w:ascii="Times New Roman" w:hAnsi="Times New Roman"/>
                <w:sz w:val="24"/>
              </w:rPr>
              <w:t>Miesiąc</w:t>
            </w:r>
            <w:r w:rsidR="00E26EF6" w:rsidRPr="00E26EF6">
              <w:rPr>
                <w:rFonts w:ascii="Times New Roman" w:hAnsi="Times New Roman"/>
                <w:sz w:val="24"/>
              </w:rPr>
              <w:t xml:space="preserve"> i rok</w:t>
            </w:r>
            <w:r w:rsidRPr="00E26EF6">
              <w:rPr>
                <w:rFonts w:ascii="Times New Roman" w:hAnsi="Times New Roman"/>
                <w:sz w:val="24"/>
              </w:rPr>
              <w:t xml:space="preserve"> dnia ostatniej emisji papierów wartościowych</w:t>
            </w:r>
            <w:r w:rsidR="00E26EF6" w:rsidRPr="00E26EF6">
              <w:rPr>
                <w:rFonts w:ascii="Times New Roman" w:hAnsi="Times New Roman"/>
                <w:sz w:val="24"/>
              </w:rPr>
              <w:t xml:space="preserve"> w ram</w:t>
            </w:r>
            <w:r w:rsidRPr="00E26EF6">
              <w:rPr>
                <w:rFonts w:ascii="Times New Roman" w:hAnsi="Times New Roman"/>
                <w:sz w:val="24"/>
              </w:rPr>
              <w:t>ach sekurytyzacji zgłasza się</w:t>
            </w:r>
            <w:r w:rsidR="00E26EF6" w:rsidRPr="00E26EF6">
              <w:rPr>
                <w:rFonts w:ascii="Times New Roman" w:hAnsi="Times New Roman"/>
                <w:sz w:val="24"/>
              </w:rPr>
              <w:t xml:space="preserve"> w nas</w:t>
            </w:r>
            <w:r w:rsidRPr="00E26EF6">
              <w:rPr>
                <w:rFonts w:ascii="Times New Roman" w:hAnsi="Times New Roman"/>
                <w:sz w:val="24"/>
              </w:rPr>
              <w:t>tępującym formacie: „mm/rrrr”.</w:t>
            </w:r>
          </w:p>
          <w:p w14:paraId="5CF784BC" w14:textId="77777777" w:rsidR="00915077" w:rsidRPr="00E26EF6" w:rsidRDefault="00915077">
            <w:pPr>
              <w:spacing w:before="0" w:after="0"/>
              <w:jc w:val="left"/>
              <w:rPr>
                <w:rFonts w:ascii="Times New Roman" w:hAnsi="Times New Roman"/>
                <w:sz w:val="24"/>
              </w:rPr>
            </w:pPr>
          </w:p>
          <w:p w14:paraId="1EABFA70" w14:textId="4B1712D8" w:rsidR="00915077" w:rsidRPr="00E26EF6" w:rsidRDefault="00C55547">
            <w:pPr>
              <w:spacing w:before="0" w:after="0"/>
              <w:jc w:val="left"/>
              <w:rPr>
                <w:rFonts w:ascii="Times New Roman" w:hAnsi="Times New Roman"/>
                <w:sz w:val="24"/>
              </w:rPr>
            </w:pPr>
            <w:r w:rsidRPr="00E26EF6">
              <w:rPr>
                <w:rFonts w:ascii="Times New Roman" w:hAnsi="Times New Roman"/>
                <w:sz w:val="24"/>
              </w:rPr>
              <w:lastRenderedPageBreak/>
              <w:t>Rozporządzenie (UE) 2017/2402 ma zastosowanie wyłącznie do sekurytyzacji papierów wartościowych emitowanych</w:t>
            </w:r>
            <w:r w:rsidR="00E26EF6" w:rsidRPr="00E26EF6">
              <w:rPr>
                <w:rFonts w:ascii="Times New Roman" w:hAnsi="Times New Roman"/>
                <w:sz w:val="24"/>
              </w:rPr>
              <w:t xml:space="preserve"> w lub</w:t>
            </w:r>
            <w:r w:rsidRPr="00E26EF6">
              <w:rPr>
                <w:rFonts w:ascii="Times New Roman" w:hAnsi="Times New Roman"/>
                <w:sz w:val="24"/>
              </w:rPr>
              <w:t xml:space="preserve"> po dniu 1 stycznia 2019</w:t>
            </w:r>
            <w:r w:rsidR="00023409" w:rsidRPr="00E26EF6">
              <w:rPr>
                <w:rFonts w:ascii="Times New Roman" w:hAnsi="Times New Roman"/>
                <w:sz w:val="24"/>
              </w:rPr>
              <w:t> </w:t>
            </w:r>
            <w:r w:rsidRPr="00E26EF6">
              <w:rPr>
                <w:rFonts w:ascii="Times New Roman" w:hAnsi="Times New Roman"/>
                <w:sz w:val="24"/>
              </w:rPr>
              <w:t>r. Dzień ostatniej emisji papierów wartościowych określa, czy każdy program sekurytyzacyjny wchodzi</w:t>
            </w:r>
            <w:r w:rsidR="00E26EF6" w:rsidRPr="00E26EF6">
              <w:rPr>
                <w:rFonts w:ascii="Times New Roman" w:hAnsi="Times New Roman"/>
                <w:sz w:val="24"/>
              </w:rPr>
              <w:t xml:space="preserve"> w zak</w:t>
            </w:r>
            <w:r w:rsidRPr="00E26EF6">
              <w:rPr>
                <w:rFonts w:ascii="Times New Roman" w:hAnsi="Times New Roman"/>
                <w:sz w:val="24"/>
              </w:rPr>
              <w:t>res rozporządzenia (UE) 2017/2402.</w:t>
            </w:r>
          </w:p>
          <w:p w14:paraId="46B361DF" w14:textId="77777777" w:rsidR="00915077" w:rsidRPr="00E26EF6" w:rsidRDefault="00915077">
            <w:pPr>
              <w:spacing w:before="0" w:after="0"/>
              <w:jc w:val="left"/>
              <w:rPr>
                <w:rFonts w:ascii="Times New Roman" w:hAnsi="Times New Roman"/>
                <w:sz w:val="24"/>
              </w:rPr>
            </w:pPr>
          </w:p>
          <w:p w14:paraId="6ABE70EA" w14:textId="3A3DA21F" w:rsidR="00915077" w:rsidRPr="00E26EF6" w:rsidRDefault="00C55547">
            <w:pPr>
              <w:spacing w:before="0" w:after="0"/>
              <w:jc w:val="left"/>
              <w:rPr>
                <w:rFonts w:ascii="Times New Roman" w:hAnsi="Times New Roman"/>
                <w:sz w:val="24"/>
              </w:rPr>
            </w:pPr>
            <w:r w:rsidRPr="00E26EF6">
              <w:rPr>
                <w:rFonts w:ascii="Times New Roman" w:hAnsi="Times New Roman"/>
                <w:sz w:val="24"/>
              </w:rPr>
              <w:t>Informację tę zgłasza się, nawet gdy jednostka sprawozdająca nie posiada pozycji</w:t>
            </w:r>
            <w:r w:rsidR="00E26EF6" w:rsidRPr="00E26EF6">
              <w:rPr>
                <w:rFonts w:ascii="Times New Roman" w:hAnsi="Times New Roman"/>
                <w:sz w:val="24"/>
              </w:rPr>
              <w:t xml:space="preserve"> w ram</w:t>
            </w:r>
            <w:r w:rsidRPr="00E26EF6">
              <w:rPr>
                <w:rFonts w:ascii="Times New Roman" w:hAnsi="Times New Roman"/>
                <w:sz w:val="24"/>
              </w:rPr>
              <w:t>ach danej sekurytyzacji.</w:t>
            </w:r>
          </w:p>
          <w:p w14:paraId="26FEB719"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04911088" w14:textId="77777777" w:rsidTr="00E10B85">
        <w:tc>
          <w:tcPr>
            <w:tcW w:w="1101" w:type="dxa"/>
          </w:tcPr>
          <w:p w14:paraId="16A74709"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130</w:t>
            </w:r>
          </w:p>
        </w:tc>
        <w:tc>
          <w:tcPr>
            <w:tcW w:w="7903" w:type="dxa"/>
          </w:tcPr>
          <w:p w14:paraId="2A5CE648"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CAŁKOWITA KWOTA SEKURYTYZOWANYCH EKSPOZYCJI W DNIU POWSTANIA</w:t>
            </w:r>
          </w:p>
          <w:p w14:paraId="48FB32F8" w14:textId="77777777" w:rsidR="00915077" w:rsidRPr="00E26EF6" w:rsidRDefault="00915077">
            <w:pPr>
              <w:spacing w:before="0" w:after="0"/>
              <w:jc w:val="left"/>
              <w:rPr>
                <w:rFonts w:ascii="Times New Roman" w:hAnsi="Times New Roman"/>
                <w:sz w:val="24"/>
              </w:rPr>
            </w:pPr>
          </w:p>
          <w:p w14:paraId="67DF33A0" w14:textId="6944676E"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kolumnie tej przedstawia się kwotę (obliczoną na podstawie pierwotnych ekspozycji przed uwzględnieniem współczynników konwersji) sekurytyzowanego portfela</w:t>
            </w:r>
            <w:r w:rsidR="00E26EF6" w:rsidRPr="00E26EF6">
              <w:rPr>
                <w:rFonts w:ascii="Times New Roman" w:hAnsi="Times New Roman"/>
                <w:sz w:val="24"/>
              </w:rPr>
              <w:t xml:space="preserve"> w dni</w:t>
            </w:r>
            <w:r w:rsidRPr="00E26EF6">
              <w:rPr>
                <w:rFonts w:ascii="Times New Roman" w:hAnsi="Times New Roman"/>
                <w:sz w:val="24"/>
              </w:rPr>
              <w:t xml:space="preserve">u powstania. </w:t>
            </w:r>
          </w:p>
          <w:p w14:paraId="78CC71AA" w14:textId="77777777" w:rsidR="00915077" w:rsidRPr="00E26EF6" w:rsidRDefault="00915077">
            <w:pPr>
              <w:autoSpaceDE w:val="0"/>
              <w:autoSpaceDN w:val="0"/>
              <w:adjustRightInd w:val="0"/>
              <w:spacing w:before="0" w:after="0"/>
              <w:rPr>
                <w:rFonts w:ascii="Times New Roman" w:hAnsi="Times New Roman"/>
                <w:sz w:val="24"/>
              </w:rPr>
            </w:pPr>
          </w:p>
          <w:p w14:paraId="56318037" w14:textId="099B7B92" w:rsidR="00915077" w:rsidRPr="00E26EF6" w:rsidRDefault="005E5070">
            <w:pPr>
              <w:autoSpaceDE w:val="0"/>
              <w:autoSpaceDN w:val="0"/>
              <w:adjustRightInd w:val="0"/>
              <w:spacing w:before="0" w:after="0"/>
              <w:rPr>
                <w:rFonts w:ascii="Times New Roman" w:hAnsi="Times New Roman"/>
                <w:sz w:val="24"/>
              </w:rPr>
            </w:pPr>
            <w:r w:rsidRPr="00E26EF6">
              <w:rPr>
                <w:rFonts w:ascii="Times New Roman" w:hAnsi="Times New Roman"/>
                <w:sz w:val="24"/>
              </w:rPr>
              <w:t>W przypadku programów sekurytyzacyjnych opartych na pulach otwartych zgłasza się kwotę odnoszącą się do dnia powstania pierwszej emisji papierów wartościowych</w:t>
            </w:r>
            <w:r w:rsidR="00E26EF6" w:rsidRPr="00E26EF6">
              <w:rPr>
                <w:rFonts w:ascii="Times New Roman" w:hAnsi="Times New Roman"/>
                <w:sz w:val="24"/>
              </w:rPr>
              <w:t>. W prz</w:t>
            </w:r>
            <w:r w:rsidRPr="00E26EF6">
              <w:rPr>
                <w:rFonts w:ascii="Times New Roman" w:hAnsi="Times New Roman"/>
                <w:sz w:val="24"/>
              </w:rPr>
              <w:t>ypadku sekurytyzacji tradycyjnych nie uwzględnia się żadnych innych aktywów puli sekurytyzacyjnej</w:t>
            </w:r>
            <w:r w:rsidR="00E26EF6" w:rsidRPr="00E26EF6">
              <w:rPr>
                <w:rFonts w:ascii="Times New Roman" w:hAnsi="Times New Roman"/>
                <w:sz w:val="24"/>
              </w:rPr>
              <w:t>. W prz</w:t>
            </w:r>
            <w:r w:rsidRPr="00E26EF6">
              <w:rPr>
                <w:rFonts w:ascii="Times New Roman" w:hAnsi="Times New Roman"/>
                <w:sz w:val="24"/>
              </w:rPr>
              <w:t>ypadku programów sekurytyzacyjnych</w:t>
            </w:r>
            <w:r w:rsidR="00E26EF6" w:rsidRPr="00E26EF6">
              <w:rPr>
                <w:rFonts w:ascii="Times New Roman" w:hAnsi="Times New Roman"/>
                <w:sz w:val="24"/>
              </w:rPr>
              <w:t xml:space="preserve"> z wie</w:t>
            </w:r>
            <w:r w:rsidRPr="00E26EF6">
              <w:rPr>
                <w:rFonts w:ascii="Times New Roman" w:hAnsi="Times New Roman"/>
                <w:sz w:val="24"/>
              </w:rPr>
              <w:t>loma zbywającymi (tj.</w:t>
            </w:r>
            <w:r w:rsidR="00E26EF6" w:rsidRPr="00E26EF6">
              <w:rPr>
                <w:rFonts w:ascii="Times New Roman" w:hAnsi="Times New Roman"/>
                <w:sz w:val="24"/>
              </w:rPr>
              <w:t xml:space="preserve"> z wię</w:t>
            </w:r>
            <w:r w:rsidRPr="00E26EF6">
              <w:rPr>
                <w:rFonts w:ascii="Times New Roman" w:hAnsi="Times New Roman"/>
                <w:sz w:val="24"/>
              </w:rPr>
              <w:t>cej niż jedną jednostką inicjującą) zgłasza się tylko kwotę odpowiadającą wkładowi jednostki sprawozdającej</w:t>
            </w:r>
            <w:r w:rsidR="00E26EF6" w:rsidRPr="00E26EF6">
              <w:rPr>
                <w:rFonts w:ascii="Times New Roman" w:hAnsi="Times New Roman"/>
                <w:sz w:val="24"/>
              </w:rPr>
              <w:t xml:space="preserve"> w sek</w:t>
            </w:r>
            <w:r w:rsidRPr="00E26EF6">
              <w:rPr>
                <w:rFonts w:ascii="Times New Roman" w:hAnsi="Times New Roman"/>
                <w:sz w:val="24"/>
              </w:rPr>
              <w:t>urytyzowany portfel</w:t>
            </w:r>
            <w:r w:rsidR="00E26EF6" w:rsidRPr="00E26EF6">
              <w:rPr>
                <w:rFonts w:ascii="Times New Roman" w:hAnsi="Times New Roman"/>
                <w:sz w:val="24"/>
              </w:rPr>
              <w:t>. W prz</w:t>
            </w:r>
            <w:r w:rsidRPr="00E26EF6">
              <w:rPr>
                <w:rFonts w:ascii="Times New Roman" w:hAnsi="Times New Roman"/>
                <w:sz w:val="24"/>
              </w:rPr>
              <w:t>ypadku sekurytyzacji zobowiązań zgłasza się tylko kwoty wyemitowane przez jednostkę sprawozdającą.</w:t>
            </w:r>
          </w:p>
          <w:p w14:paraId="4410A8C1" w14:textId="77777777" w:rsidR="00915077" w:rsidRPr="00E26EF6" w:rsidRDefault="00915077">
            <w:pPr>
              <w:autoSpaceDE w:val="0"/>
              <w:autoSpaceDN w:val="0"/>
              <w:adjustRightInd w:val="0"/>
              <w:spacing w:before="0" w:after="0"/>
              <w:rPr>
                <w:rFonts w:ascii="Times New Roman" w:hAnsi="Times New Roman"/>
                <w:sz w:val="24"/>
              </w:rPr>
            </w:pPr>
          </w:p>
          <w:p w14:paraId="4E26C7BC" w14:textId="6FE87BB2"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Informację tę zgłasza się, nawet gdy jednostka sprawozdająca nie posiada pozycji</w:t>
            </w:r>
            <w:r w:rsidR="00E26EF6" w:rsidRPr="00E26EF6">
              <w:rPr>
                <w:rFonts w:ascii="Times New Roman" w:hAnsi="Times New Roman"/>
                <w:sz w:val="24"/>
              </w:rPr>
              <w:t xml:space="preserve"> w ram</w:t>
            </w:r>
            <w:r w:rsidRPr="00E26EF6">
              <w:rPr>
                <w:rFonts w:ascii="Times New Roman" w:hAnsi="Times New Roman"/>
                <w:sz w:val="24"/>
              </w:rPr>
              <w:t>ach danej sekurytyzacji.</w:t>
            </w:r>
          </w:p>
          <w:p w14:paraId="40C9460C"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0034138D" w14:textId="77777777" w:rsidTr="00E10B85">
        <w:tc>
          <w:tcPr>
            <w:tcW w:w="1101" w:type="dxa"/>
          </w:tcPr>
          <w:p w14:paraId="4C33E089"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140-225</w:t>
            </w:r>
          </w:p>
        </w:tc>
        <w:tc>
          <w:tcPr>
            <w:tcW w:w="7903" w:type="dxa"/>
          </w:tcPr>
          <w:p w14:paraId="7D39CB45"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SEKURYTYZOWANE EKSPOZYCJE</w:t>
            </w:r>
          </w:p>
          <w:p w14:paraId="2D381EAA" w14:textId="77777777" w:rsidR="00915077" w:rsidRPr="00E26EF6" w:rsidRDefault="00915077">
            <w:pPr>
              <w:autoSpaceDE w:val="0"/>
              <w:autoSpaceDN w:val="0"/>
              <w:adjustRightInd w:val="0"/>
              <w:spacing w:before="0" w:after="0"/>
              <w:jc w:val="left"/>
              <w:rPr>
                <w:rFonts w:ascii="Times New Roman" w:hAnsi="Times New Roman"/>
                <w:sz w:val="24"/>
              </w:rPr>
            </w:pPr>
          </w:p>
          <w:p w14:paraId="5CFD1854" w14:textId="77777777"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kolumnach 140–225 jednostka sprawozdająca musi zgłosić informacje na temat kilku właściwości sekurytyzowanego portfela.</w:t>
            </w:r>
          </w:p>
          <w:p w14:paraId="749B2DAC"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0AB7A1D4" w14:textId="77777777" w:rsidTr="00E10B85">
        <w:tc>
          <w:tcPr>
            <w:tcW w:w="1101" w:type="dxa"/>
          </w:tcPr>
          <w:p w14:paraId="68DEC9A2"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140</w:t>
            </w:r>
          </w:p>
        </w:tc>
        <w:tc>
          <w:tcPr>
            <w:tcW w:w="7903" w:type="dxa"/>
          </w:tcPr>
          <w:p w14:paraId="45EA3BA5"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KWOTA CAŁKOWITA</w:t>
            </w:r>
          </w:p>
          <w:p w14:paraId="45FF1177" w14:textId="77777777" w:rsidR="00915077" w:rsidRPr="00E26EF6" w:rsidRDefault="00915077">
            <w:pPr>
              <w:spacing w:before="0" w:after="0"/>
              <w:jc w:val="left"/>
              <w:rPr>
                <w:rFonts w:ascii="Times New Roman" w:hAnsi="Times New Roman"/>
                <w:sz w:val="24"/>
              </w:rPr>
            </w:pPr>
          </w:p>
          <w:p w14:paraId="654DEAFA" w14:textId="2229FD0F"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Instytucje zgłaszają wartość sekurytyzowanego portfela na dzień sprawozdawczy, tj. pozostającą kwotę należną sekurytyzowanych ekspozycji</w:t>
            </w:r>
            <w:r w:rsidR="00E26EF6" w:rsidRPr="00E26EF6">
              <w:rPr>
                <w:rFonts w:ascii="Times New Roman" w:hAnsi="Times New Roman"/>
                <w:sz w:val="24"/>
              </w:rPr>
              <w:t>. W prz</w:t>
            </w:r>
            <w:r w:rsidRPr="00E26EF6">
              <w:rPr>
                <w:rFonts w:ascii="Times New Roman" w:hAnsi="Times New Roman"/>
                <w:sz w:val="24"/>
              </w:rPr>
              <w:t>ypadku sekurytyzacji tradycyjnych nie uwzględnia się żadnych innych aktywów puli sekurytyzacyjnej</w:t>
            </w:r>
            <w:r w:rsidR="00E26EF6" w:rsidRPr="00E26EF6">
              <w:rPr>
                <w:rFonts w:ascii="Times New Roman" w:hAnsi="Times New Roman"/>
                <w:sz w:val="24"/>
              </w:rPr>
              <w:t>. W prz</w:t>
            </w:r>
            <w:r w:rsidRPr="00E26EF6">
              <w:rPr>
                <w:rFonts w:ascii="Times New Roman" w:hAnsi="Times New Roman"/>
                <w:sz w:val="24"/>
              </w:rPr>
              <w:t>ypadku programów sekurytyzacyjnych</w:t>
            </w:r>
            <w:r w:rsidR="00E26EF6" w:rsidRPr="00E26EF6">
              <w:rPr>
                <w:rFonts w:ascii="Times New Roman" w:hAnsi="Times New Roman"/>
                <w:sz w:val="24"/>
              </w:rPr>
              <w:t xml:space="preserve"> z wie</w:t>
            </w:r>
            <w:r w:rsidRPr="00E26EF6">
              <w:rPr>
                <w:rFonts w:ascii="Times New Roman" w:hAnsi="Times New Roman"/>
                <w:sz w:val="24"/>
              </w:rPr>
              <w:t>loma zbywającymi (tj.</w:t>
            </w:r>
            <w:r w:rsidR="00E26EF6" w:rsidRPr="00E26EF6">
              <w:rPr>
                <w:rFonts w:ascii="Times New Roman" w:hAnsi="Times New Roman"/>
                <w:sz w:val="24"/>
              </w:rPr>
              <w:t xml:space="preserve"> z wię</w:t>
            </w:r>
            <w:r w:rsidRPr="00E26EF6">
              <w:rPr>
                <w:rFonts w:ascii="Times New Roman" w:hAnsi="Times New Roman"/>
                <w:sz w:val="24"/>
              </w:rPr>
              <w:t>cej niż jedną jednostką inicjującą) zgłasza się tylko kwotę odpowiadającą wkładowi jednostki sprawozdającej</w:t>
            </w:r>
            <w:r w:rsidR="00E26EF6" w:rsidRPr="00E26EF6">
              <w:rPr>
                <w:rFonts w:ascii="Times New Roman" w:hAnsi="Times New Roman"/>
                <w:sz w:val="24"/>
              </w:rPr>
              <w:t xml:space="preserve"> w sek</w:t>
            </w:r>
            <w:r w:rsidRPr="00E26EF6">
              <w:rPr>
                <w:rFonts w:ascii="Times New Roman" w:hAnsi="Times New Roman"/>
                <w:sz w:val="24"/>
              </w:rPr>
              <w:t>urytyzowany portfel</w:t>
            </w:r>
            <w:r w:rsidR="00E26EF6" w:rsidRPr="00E26EF6">
              <w:rPr>
                <w:rFonts w:ascii="Times New Roman" w:hAnsi="Times New Roman"/>
                <w:sz w:val="24"/>
              </w:rPr>
              <w:t>. W prz</w:t>
            </w:r>
            <w:r w:rsidRPr="00E26EF6">
              <w:rPr>
                <w:rFonts w:ascii="Times New Roman" w:hAnsi="Times New Roman"/>
                <w:sz w:val="24"/>
              </w:rPr>
              <w:t>ypadku programów sekurytyzacyjnych opartych na pulach zamkniętych (tj. gdy portfela aktywów sekurytyzowanych nie można powiększyć po dniu powstania) kwota będzie stopniowo zmniejszana.</w:t>
            </w:r>
          </w:p>
          <w:p w14:paraId="793C7679" w14:textId="77777777" w:rsidR="00915077" w:rsidRPr="00E26EF6" w:rsidRDefault="00915077">
            <w:pPr>
              <w:autoSpaceDE w:val="0"/>
              <w:autoSpaceDN w:val="0"/>
              <w:adjustRightInd w:val="0"/>
              <w:spacing w:before="0" w:after="0"/>
              <w:rPr>
                <w:rFonts w:ascii="Times New Roman" w:hAnsi="Times New Roman"/>
                <w:sz w:val="24"/>
              </w:rPr>
            </w:pPr>
          </w:p>
          <w:p w14:paraId="1F99F140" w14:textId="543746BB"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Informację tę zgłasza się, nawet gdy jednostka sprawozdająca nie posiada pozycji</w:t>
            </w:r>
            <w:r w:rsidR="00E26EF6" w:rsidRPr="00E26EF6">
              <w:rPr>
                <w:rFonts w:ascii="Times New Roman" w:hAnsi="Times New Roman"/>
                <w:sz w:val="24"/>
              </w:rPr>
              <w:t xml:space="preserve"> w ram</w:t>
            </w:r>
            <w:r w:rsidRPr="00E26EF6">
              <w:rPr>
                <w:rFonts w:ascii="Times New Roman" w:hAnsi="Times New Roman"/>
                <w:sz w:val="24"/>
              </w:rPr>
              <w:t>ach danej sekurytyzacji.</w:t>
            </w:r>
          </w:p>
          <w:p w14:paraId="6FC8F04D"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73C7DA2A" w14:textId="77777777" w:rsidTr="00E10B85">
        <w:tc>
          <w:tcPr>
            <w:tcW w:w="1101" w:type="dxa"/>
          </w:tcPr>
          <w:p w14:paraId="41C7EC33"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150</w:t>
            </w:r>
          </w:p>
        </w:tc>
        <w:tc>
          <w:tcPr>
            <w:tcW w:w="7903" w:type="dxa"/>
          </w:tcPr>
          <w:p w14:paraId="2DBD447C"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UDZIAŁ INSTYTUCJI (%)</w:t>
            </w:r>
          </w:p>
          <w:p w14:paraId="50F9085C" w14:textId="77777777" w:rsidR="00915077" w:rsidRPr="00E26EF6" w:rsidRDefault="00915077">
            <w:pPr>
              <w:spacing w:before="0" w:after="0"/>
              <w:jc w:val="left"/>
              <w:rPr>
                <w:rFonts w:ascii="Times New Roman" w:hAnsi="Times New Roman"/>
                <w:sz w:val="24"/>
              </w:rPr>
            </w:pPr>
          </w:p>
          <w:p w14:paraId="7CC29DEA" w14:textId="1C649217" w:rsidR="00915077" w:rsidRPr="00E26EF6" w:rsidRDefault="00EE2BEA">
            <w:pPr>
              <w:spacing w:before="0" w:after="0"/>
              <w:rPr>
                <w:rFonts w:ascii="Times New Roman" w:hAnsi="Times New Roman"/>
                <w:sz w:val="24"/>
              </w:rPr>
            </w:pPr>
            <w:r w:rsidRPr="00E26EF6">
              <w:rPr>
                <w:rFonts w:ascii="Times New Roman" w:hAnsi="Times New Roman"/>
                <w:sz w:val="24"/>
              </w:rPr>
              <w:t>Udział instytucji</w:t>
            </w:r>
            <w:r w:rsidR="00E26EF6" w:rsidRPr="00E26EF6">
              <w:rPr>
                <w:rFonts w:ascii="Times New Roman" w:hAnsi="Times New Roman"/>
                <w:sz w:val="24"/>
              </w:rPr>
              <w:t xml:space="preserve"> w sek</w:t>
            </w:r>
            <w:r w:rsidRPr="00E26EF6">
              <w:rPr>
                <w:rFonts w:ascii="Times New Roman" w:hAnsi="Times New Roman"/>
                <w:sz w:val="24"/>
              </w:rPr>
              <w:t>urytyzowanym portfelu (w ujęciu procentowym</w:t>
            </w:r>
            <w:r w:rsidR="00E26EF6" w:rsidRPr="00E26EF6">
              <w:rPr>
                <w:rFonts w:ascii="Times New Roman" w:hAnsi="Times New Roman"/>
                <w:sz w:val="24"/>
              </w:rPr>
              <w:t xml:space="preserve"> z dwo</w:t>
            </w:r>
            <w:r w:rsidRPr="00E26EF6">
              <w:rPr>
                <w:rFonts w:ascii="Times New Roman" w:hAnsi="Times New Roman"/>
                <w:sz w:val="24"/>
              </w:rPr>
              <w:t>ma miejscami po przecinku) na dzień sprawozdawczy. Wartością domyślnie zgłaszaną</w:t>
            </w:r>
            <w:r w:rsidR="00E26EF6" w:rsidRPr="00E26EF6">
              <w:rPr>
                <w:rFonts w:ascii="Times New Roman" w:hAnsi="Times New Roman"/>
                <w:sz w:val="24"/>
              </w:rPr>
              <w:t xml:space="preserve"> w tej</w:t>
            </w:r>
            <w:r w:rsidRPr="00E26EF6">
              <w:rPr>
                <w:rFonts w:ascii="Times New Roman" w:hAnsi="Times New Roman"/>
                <w:sz w:val="24"/>
              </w:rPr>
              <w:t xml:space="preserve"> kolumnie jest 100</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z wyj</w:t>
            </w:r>
            <w:r w:rsidRPr="00E26EF6">
              <w:rPr>
                <w:rFonts w:ascii="Times New Roman" w:hAnsi="Times New Roman"/>
                <w:sz w:val="24"/>
              </w:rPr>
              <w:t>ątkiem programów sekurytyzacyjnych</w:t>
            </w:r>
            <w:r w:rsidR="00E26EF6" w:rsidRPr="00E26EF6">
              <w:rPr>
                <w:rFonts w:ascii="Times New Roman" w:hAnsi="Times New Roman"/>
                <w:sz w:val="24"/>
              </w:rPr>
              <w:t xml:space="preserve"> z wie</w:t>
            </w:r>
            <w:r w:rsidRPr="00E26EF6">
              <w:rPr>
                <w:rFonts w:ascii="Times New Roman" w:hAnsi="Times New Roman"/>
                <w:sz w:val="24"/>
              </w:rPr>
              <w:t>loma zbywającymi</w:t>
            </w:r>
            <w:r w:rsidR="00E26EF6" w:rsidRPr="00E26EF6">
              <w:rPr>
                <w:rFonts w:ascii="Times New Roman" w:hAnsi="Times New Roman"/>
                <w:sz w:val="24"/>
              </w:rPr>
              <w:t>. W tak</w:t>
            </w:r>
            <w:r w:rsidRPr="00E26EF6">
              <w:rPr>
                <w:rFonts w:ascii="Times New Roman" w:hAnsi="Times New Roman"/>
                <w:sz w:val="24"/>
              </w:rPr>
              <w:t>im przypadku jednostka sprawozdająca zgłasza swój aktualny wkład</w:t>
            </w:r>
            <w:r w:rsidR="00E26EF6" w:rsidRPr="00E26EF6">
              <w:rPr>
                <w:rFonts w:ascii="Times New Roman" w:hAnsi="Times New Roman"/>
                <w:sz w:val="24"/>
              </w:rPr>
              <w:t xml:space="preserve"> w sek</w:t>
            </w:r>
            <w:r w:rsidRPr="00E26EF6">
              <w:rPr>
                <w:rFonts w:ascii="Times New Roman" w:hAnsi="Times New Roman"/>
                <w:sz w:val="24"/>
              </w:rPr>
              <w:t>urytyzowany portfel (odpowiadający wartości</w:t>
            </w:r>
            <w:r w:rsidR="00E26EF6" w:rsidRPr="00E26EF6">
              <w:rPr>
                <w:rFonts w:ascii="Times New Roman" w:hAnsi="Times New Roman"/>
                <w:sz w:val="24"/>
              </w:rPr>
              <w:t xml:space="preserve"> w kol</w:t>
            </w:r>
            <w:r w:rsidRPr="00E26EF6">
              <w:rPr>
                <w:rFonts w:ascii="Times New Roman" w:hAnsi="Times New Roman"/>
                <w:sz w:val="24"/>
              </w:rPr>
              <w:t>umnie 140).</w:t>
            </w:r>
          </w:p>
          <w:p w14:paraId="51311ACF" w14:textId="77777777" w:rsidR="00915077" w:rsidRPr="00E26EF6" w:rsidRDefault="00915077">
            <w:pPr>
              <w:spacing w:before="0" w:after="0"/>
              <w:rPr>
                <w:rFonts w:ascii="Times New Roman" w:hAnsi="Times New Roman"/>
                <w:sz w:val="24"/>
              </w:rPr>
            </w:pPr>
          </w:p>
          <w:p w14:paraId="63DE5A54" w14:textId="5F57FBAD"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Informację tę zgłasza się, nawet gdy jednostka sprawozdająca nie posiada pozycji</w:t>
            </w:r>
            <w:r w:rsidR="00E26EF6" w:rsidRPr="00E26EF6">
              <w:rPr>
                <w:rFonts w:ascii="Times New Roman" w:hAnsi="Times New Roman"/>
                <w:sz w:val="24"/>
              </w:rPr>
              <w:t xml:space="preserve"> w ram</w:t>
            </w:r>
            <w:r w:rsidRPr="00E26EF6">
              <w:rPr>
                <w:rFonts w:ascii="Times New Roman" w:hAnsi="Times New Roman"/>
                <w:sz w:val="24"/>
              </w:rPr>
              <w:t>ach danej sekurytyzacji.</w:t>
            </w:r>
          </w:p>
          <w:p w14:paraId="643C2E44"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7A56B349" w14:textId="77777777" w:rsidTr="00E10B85">
        <w:tc>
          <w:tcPr>
            <w:tcW w:w="1101" w:type="dxa"/>
          </w:tcPr>
          <w:p w14:paraId="550979F0" w14:textId="77777777" w:rsidR="00915077" w:rsidRPr="00E26EF6" w:rsidDel="00817047"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160</w:t>
            </w:r>
          </w:p>
        </w:tc>
        <w:tc>
          <w:tcPr>
            <w:tcW w:w="7903" w:type="dxa"/>
          </w:tcPr>
          <w:p w14:paraId="6797CF9E"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RODZAJ</w:t>
            </w:r>
          </w:p>
          <w:p w14:paraId="4604BBA9" w14:textId="77777777" w:rsidR="00915077" w:rsidRPr="00E26EF6" w:rsidRDefault="00915077">
            <w:pPr>
              <w:autoSpaceDE w:val="0"/>
              <w:autoSpaceDN w:val="0"/>
              <w:adjustRightInd w:val="0"/>
              <w:spacing w:before="0" w:after="0"/>
              <w:rPr>
                <w:rFonts w:ascii="Times New Roman" w:hAnsi="Times New Roman"/>
                <w:sz w:val="24"/>
              </w:rPr>
            </w:pPr>
          </w:p>
          <w:p w14:paraId="3EA02560" w14:textId="363E1FA7"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lastRenderedPageBreak/>
              <w:t>W kolumnie tej gromadzi się informacje na temat rodzaju aktywów („Zabezpieczenia hipoteczne na nieruchomości mieszkalnej” do „Inne ekspozycje obrotu hurtowego”) lub zobowiązań („Obligacje zabezpieczone” i „Inne zobowiązania”)</w:t>
            </w:r>
            <w:r w:rsidR="00E26EF6" w:rsidRPr="00E26EF6">
              <w:rPr>
                <w:rFonts w:ascii="Times New Roman" w:hAnsi="Times New Roman"/>
                <w:sz w:val="24"/>
              </w:rPr>
              <w:t xml:space="preserve"> w ram</w:t>
            </w:r>
            <w:r w:rsidRPr="00E26EF6">
              <w:rPr>
                <w:rFonts w:ascii="Times New Roman" w:hAnsi="Times New Roman"/>
                <w:sz w:val="24"/>
              </w:rPr>
              <w:t>ach sekurytyzowanego portfela. Instytucje zgłaszają jedną</w:t>
            </w:r>
            <w:r w:rsidR="00E26EF6" w:rsidRPr="00E26EF6">
              <w:rPr>
                <w:rFonts w:ascii="Times New Roman" w:hAnsi="Times New Roman"/>
                <w:sz w:val="24"/>
              </w:rPr>
              <w:t xml:space="preserve"> z nas</w:t>
            </w:r>
            <w:r w:rsidRPr="00E26EF6">
              <w:rPr>
                <w:rFonts w:ascii="Times New Roman" w:hAnsi="Times New Roman"/>
                <w:sz w:val="24"/>
              </w:rPr>
              <w:t>tępujących opcji, biorąc pod uwagę najwyższą wartość EAD:</w:t>
            </w:r>
          </w:p>
          <w:p w14:paraId="20C6ABB1" w14:textId="77777777" w:rsidR="00915077" w:rsidRPr="00E26EF6" w:rsidRDefault="00915077">
            <w:pPr>
              <w:autoSpaceDE w:val="0"/>
              <w:autoSpaceDN w:val="0"/>
              <w:adjustRightInd w:val="0"/>
              <w:spacing w:before="0" w:after="0"/>
              <w:jc w:val="left"/>
              <w:rPr>
                <w:rFonts w:ascii="Times New Roman" w:hAnsi="Times New Roman"/>
                <w:sz w:val="24"/>
              </w:rPr>
            </w:pPr>
          </w:p>
          <w:p w14:paraId="00B57AA6" w14:textId="77777777" w:rsidR="00915077" w:rsidRPr="00E26EF6" w:rsidRDefault="00C55547">
            <w:pPr>
              <w:autoSpaceDE w:val="0"/>
              <w:autoSpaceDN w:val="0"/>
              <w:adjustRightInd w:val="0"/>
              <w:spacing w:before="0" w:after="0"/>
              <w:jc w:val="left"/>
              <w:rPr>
                <w:rFonts w:ascii="Times New Roman" w:hAnsi="Times New Roman"/>
                <w:b/>
                <w:sz w:val="24"/>
              </w:rPr>
            </w:pPr>
            <w:r w:rsidRPr="00E26EF6">
              <w:rPr>
                <w:rFonts w:ascii="Times New Roman" w:hAnsi="Times New Roman"/>
                <w:b/>
                <w:sz w:val="24"/>
              </w:rPr>
              <w:t>Ekspozycje detaliczne:</w:t>
            </w:r>
          </w:p>
          <w:p w14:paraId="4D2EE182"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kredyty</w:t>
            </w:r>
            <w:proofErr w:type="gramEnd"/>
            <w:r w:rsidRPr="00E26EF6">
              <w:rPr>
                <w:rFonts w:ascii="Times New Roman" w:hAnsi="Times New Roman"/>
                <w:sz w:val="24"/>
              </w:rPr>
              <w:t xml:space="preserve"> hipoteczne; </w:t>
            </w:r>
          </w:p>
          <w:p w14:paraId="1A8E22B4" w14:textId="1293ACAE"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należności</w:t>
            </w:r>
            <w:proofErr w:type="gramEnd"/>
            <w:r w:rsidR="00E26EF6" w:rsidRPr="00E26EF6">
              <w:rPr>
                <w:rFonts w:ascii="Times New Roman" w:hAnsi="Times New Roman"/>
                <w:sz w:val="24"/>
              </w:rPr>
              <w:t xml:space="preserve"> z tyt</w:t>
            </w:r>
            <w:r w:rsidRPr="00E26EF6">
              <w:rPr>
                <w:rFonts w:ascii="Times New Roman" w:hAnsi="Times New Roman"/>
                <w:sz w:val="24"/>
              </w:rPr>
              <w:t xml:space="preserve">ułu kart kredytowych; </w:t>
            </w:r>
          </w:p>
          <w:p w14:paraId="59D6169A"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kredyty</w:t>
            </w:r>
            <w:proofErr w:type="gramEnd"/>
            <w:r w:rsidRPr="00E26EF6">
              <w:rPr>
                <w:rFonts w:ascii="Times New Roman" w:hAnsi="Times New Roman"/>
                <w:sz w:val="24"/>
              </w:rPr>
              <w:t xml:space="preserve"> konsumenckie;</w:t>
            </w:r>
          </w:p>
          <w:p w14:paraId="052DE92A"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kredyty</w:t>
            </w:r>
            <w:proofErr w:type="gramEnd"/>
            <w:r w:rsidRPr="00E26EF6">
              <w:rPr>
                <w:rFonts w:ascii="Times New Roman" w:hAnsi="Times New Roman"/>
                <w:sz w:val="24"/>
              </w:rPr>
              <w:t xml:space="preserve"> dla MŚP (traktowanych jako ekspozycje detaliczne);</w:t>
            </w:r>
          </w:p>
          <w:p w14:paraId="4D56B438"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inne</w:t>
            </w:r>
            <w:proofErr w:type="gramEnd"/>
            <w:r w:rsidRPr="00E26EF6">
              <w:rPr>
                <w:rFonts w:ascii="Times New Roman" w:hAnsi="Times New Roman"/>
                <w:sz w:val="24"/>
              </w:rPr>
              <w:t xml:space="preserve"> ekspozycje detaliczne.</w:t>
            </w:r>
          </w:p>
          <w:p w14:paraId="124C9885" w14:textId="77777777" w:rsidR="00915077" w:rsidRPr="00E26EF6" w:rsidRDefault="00915077">
            <w:pPr>
              <w:autoSpaceDE w:val="0"/>
              <w:autoSpaceDN w:val="0"/>
              <w:adjustRightInd w:val="0"/>
              <w:spacing w:before="0" w:after="0"/>
              <w:jc w:val="left"/>
              <w:rPr>
                <w:rFonts w:ascii="Times New Roman" w:hAnsi="Times New Roman"/>
                <w:sz w:val="24"/>
              </w:rPr>
            </w:pPr>
          </w:p>
          <w:p w14:paraId="1F83E76E" w14:textId="77777777" w:rsidR="00915077" w:rsidRPr="00E26EF6" w:rsidRDefault="00C55547">
            <w:pPr>
              <w:autoSpaceDE w:val="0"/>
              <w:autoSpaceDN w:val="0"/>
              <w:adjustRightInd w:val="0"/>
              <w:spacing w:before="0" w:after="0"/>
              <w:jc w:val="left"/>
              <w:rPr>
                <w:rFonts w:ascii="Times New Roman" w:hAnsi="Times New Roman"/>
                <w:b/>
                <w:sz w:val="24"/>
              </w:rPr>
            </w:pPr>
            <w:r w:rsidRPr="00E26EF6">
              <w:rPr>
                <w:rFonts w:ascii="Times New Roman" w:hAnsi="Times New Roman"/>
                <w:b/>
                <w:sz w:val="24"/>
              </w:rPr>
              <w:t>Handel hurtowy:</w:t>
            </w:r>
          </w:p>
          <w:p w14:paraId="22523AE2"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komercyjne</w:t>
            </w:r>
            <w:proofErr w:type="gramEnd"/>
            <w:r w:rsidRPr="00E26EF6">
              <w:rPr>
                <w:rFonts w:ascii="Times New Roman" w:hAnsi="Times New Roman"/>
                <w:sz w:val="24"/>
              </w:rPr>
              <w:t xml:space="preserve"> kredyty hipoteczne; </w:t>
            </w:r>
          </w:p>
          <w:p w14:paraId="47A9B45C"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leasing</w:t>
            </w:r>
            <w:proofErr w:type="gramEnd"/>
            <w:r w:rsidRPr="00E26EF6">
              <w:rPr>
                <w:rFonts w:ascii="Times New Roman" w:hAnsi="Times New Roman"/>
                <w:sz w:val="24"/>
              </w:rPr>
              <w:t xml:space="preserve">; </w:t>
            </w:r>
          </w:p>
          <w:p w14:paraId="54791978"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kredyty</w:t>
            </w:r>
            <w:proofErr w:type="gramEnd"/>
            <w:r w:rsidRPr="00E26EF6">
              <w:rPr>
                <w:rFonts w:ascii="Times New Roman" w:hAnsi="Times New Roman"/>
                <w:sz w:val="24"/>
              </w:rPr>
              <w:t xml:space="preserve"> dla przedsiębiorstw;</w:t>
            </w:r>
          </w:p>
          <w:p w14:paraId="44D2E796"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kredyty</w:t>
            </w:r>
            <w:proofErr w:type="gramEnd"/>
            <w:r w:rsidRPr="00E26EF6">
              <w:rPr>
                <w:rFonts w:ascii="Times New Roman" w:hAnsi="Times New Roman"/>
                <w:sz w:val="24"/>
              </w:rPr>
              <w:t xml:space="preserve"> dla MŚP (traktowanych jako przedsiębiorstwa); </w:t>
            </w:r>
          </w:p>
          <w:p w14:paraId="6A0B3AE8" w14:textId="4AD99086"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należności</w:t>
            </w:r>
            <w:proofErr w:type="gramEnd"/>
            <w:r w:rsidR="00E26EF6" w:rsidRPr="00E26EF6">
              <w:rPr>
                <w:rFonts w:ascii="Times New Roman" w:hAnsi="Times New Roman"/>
                <w:sz w:val="24"/>
              </w:rPr>
              <w:t xml:space="preserve"> z tyt</w:t>
            </w:r>
            <w:r w:rsidRPr="00E26EF6">
              <w:rPr>
                <w:rFonts w:ascii="Times New Roman" w:hAnsi="Times New Roman"/>
                <w:sz w:val="24"/>
              </w:rPr>
              <w:t>ułu dostaw</w:t>
            </w:r>
            <w:r w:rsidR="00E26EF6" w:rsidRPr="00E26EF6">
              <w:rPr>
                <w:rFonts w:ascii="Times New Roman" w:hAnsi="Times New Roman"/>
                <w:sz w:val="24"/>
              </w:rPr>
              <w:t xml:space="preserve"> i usł</w:t>
            </w:r>
            <w:r w:rsidRPr="00E26EF6">
              <w:rPr>
                <w:rFonts w:ascii="Times New Roman" w:hAnsi="Times New Roman"/>
                <w:sz w:val="24"/>
              </w:rPr>
              <w:t>ug;</w:t>
            </w:r>
          </w:p>
          <w:p w14:paraId="4BDFD92E"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inne</w:t>
            </w:r>
            <w:proofErr w:type="gramEnd"/>
            <w:r w:rsidRPr="00E26EF6">
              <w:rPr>
                <w:rFonts w:ascii="Times New Roman" w:hAnsi="Times New Roman"/>
                <w:sz w:val="24"/>
              </w:rPr>
              <w:t xml:space="preserve"> ekspozycje handlu hurtowego. </w:t>
            </w:r>
          </w:p>
          <w:p w14:paraId="659BA010" w14:textId="77777777" w:rsidR="00915077" w:rsidRPr="00E26EF6" w:rsidRDefault="00915077">
            <w:pPr>
              <w:autoSpaceDE w:val="0"/>
              <w:autoSpaceDN w:val="0"/>
              <w:adjustRightInd w:val="0"/>
              <w:spacing w:before="0" w:after="0"/>
              <w:jc w:val="left"/>
              <w:rPr>
                <w:rFonts w:ascii="Times New Roman" w:hAnsi="Times New Roman"/>
                <w:sz w:val="24"/>
              </w:rPr>
            </w:pPr>
          </w:p>
          <w:p w14:paraId="1E58644D" w14:textId="77777777" w:rsidR="00915077" w:rsidRPr="00E26EF6" w:rsidRDefault="00C55547">
            <w:pPr>
              <w:autoSpaceDE w:val="0"/>
              <w:autoSpaceDN w:val="0"/>
              <w:adjustRightInd w:val="0"/>
              <w:spacing w:before="0" w:after="0"/>
              <w:jc w:val="left"/>
              <w:rPr>
                <w:rFonts w:ascii="Times New Roman" w:hAnsi="Times New Roman"/>
                <w:b/>
                <w:sz w:val="24"/>
              </w:rPr>
            </w:pPr>
            <w:r w:rsidRPr="00E26EF6">
              <w:rPr>
                <w:rFonts w:ascii="Times New Roman" w:hAnsi="Times New Roman"/>
                <w:b/>
                <w:sz w:val="24"/>
              </w:rPr>
              <w:t>Zobowiązania:</w:t>
            </w:r>
          </w:p>
          <w:p w14:paraId="400C9352"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obligacje</w:t>
            </w:r>
            <w:proofErr w:type="gramEnd"/>
            <w:r w:rsidRPr="00E26EF6">
              <w:rPr>
                <w:rFonts w:ascii="Times New Roman" w:hAnsi="Times New Roman"/>
                <w:sz w:val="24"/>
              </w:rPr>
              <w:t xml:space="preserve"> zabezpieczone;</w:t>
            </w:r>
          </w:p>
          <w:p w14:paraId="3D7C9737" w14:textId="77777777" w:rsidR="00915077" w:rsidRPr="00E26EF6" w:rsidRDefault="00C55547">
            <w:p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inne</w:t>
            </w:r>
            <w:proofErr w:type="gramEnd"/>
            <w:r w:rsidRPr="00E26EF6">
              <w:rPr>
                <w:rFonts w:ascii="Times New Roman" w:hAnsi="Times New Roman"/>
                <w:sz w:val="24"/>
              </w:rPr>
              <w:t xml:space="preserve"> zobowiązania.</w:t>
            </w:r>
          </w:p>
          <w:p w14:paraId="6FC1FE6E" w14:textId="77777777" w:rsidR="00915077" w:rsidRPr="00E26EF6" w:rsidRDefault="00915077">
            <w:pPr>
              <w:autoSpaceDE w:val="0"/>
              <w:autoSpaceDN w:val="0"/>
              <w:adjustRightInd w:val="0"/>
              <w:spacing w:before="0" w:after="0"/>
              <w:jc w:val="left"/>
              <w:rPr>
                <w:rFonts w:ascii="Times New Roman" w:hAnsi="Times New Roman"/>
                <w:sz w:val="24"/>
              </w:rPr>
            </w:pPr>
          </w:p>
          <w:p w14:paraId="004ABFEB" w14:textId="4C0288DA" w:rsidR="00915077" w:rsidRPr="00E26EF6" w:rsidRDefault="005E5070">
            <w:pPr>
              <w:autoSpaceDE w:val="0"/>
              <w:autoSpaceDN w:val="0"/>
              <w:adjustRightInd w:val="0"/>
              <w:spacing w:before="0" w:after="0"/>
              <w:rPr>
                <w:rFonts w:ascii="Times New Roman" w:hAnsi="Times New Roman"/>
                <w:sz w:val="24"/>
              </w:rPr>
            </w:pPr>
            <w:r w:rsidRPr="00E26EF6">
              <w:rPr>
                <w:rFonts w:ascii="Times New Roman" w:hAnsi="Times New Roman"/>
                <w:sz w:val="24"/>
              </w:rPr>
              <w:t>W przypadku gdy pula sekurytyzowanych ekspozycji stanowi kombinację wymienionych wyżej rodzajów aktywów</w:t>
            </w:r>
            <w:r w:rsidR="00E26EF6" w:rsidRPr="00E26EF6">
              <w:rPr>
                <w:rFonts w:ascii="Times New Roman" w:hAnsi="Times New Roman"/>
                <w:sz w:val="24"/>
              </w:rPr>
              <w:t xml:space="preserve"> i zob</w:t>
            </w:r>
            <w:r w:rsidRPr="00E26EF6">
              <w:rPr>
                <w:rFonts w:ascii="Times New Roman" w:hAnsi="Times New Roman"/>
                <w:sz w:val="24"/>
              </w:rPr>
              <w:t>owiązań, instytucja wskazuje najważniejszy rodzaj</w:t>
            </w:r>
            <w:r w:rsidR="00E26EF6" w:rsidRPr="00E26EF6">
              <w:rPr>
                <w:rFonts w:ascii="Times New Roman" w:hAnsi="Times New Roman"/>
                <w:sz w:val="24"/>
              </w:rPr>
              <w:t>. W prz</w:t>
            </w:r>
            <w:r w:rsidRPr="00E26EF6">
              <w:rPr>
                <w:rFonts w:ascii="Times New Roman" w:hAnsi="Times New Roman"/>
                <w:sz w:val="24"/>
              </w:rPr>
              <w:t>ypadku resekurytyzacji instytucja odnosi się do ostatecznej bazowej puli aktywów. Rodzaj „Inne zobowiązania” obejmuje obligacje skarbowe oraz obligacje powiązane</w:t>
            </w:r>
            <w:r w:rsidR="00E26EF6" w:rsidRPr="00E26EF6">
              <w:rPr>
                <w:rFonts w:ascii="Times New Roman" w:hAnsi="Times New Roman"/>
                <w:sz w:val="24"/>
              </w:rPr>
              <w:t xml:space="preserve"> z ryz</w:t>
            </w:r>
            <w:r w:rsidRPr="00E26EF6">
              <w:rPr>
                <w:rFonts w:ascii="Times New Roman" w:hAnsi="Times New Roman"/>
                <w:sz w:val="24"/>
              </w:rPr>
              <w:t>ykiem kredytowym.</w:t>
            </w:r>
          </w:p>
          <w:p w14:paraId="4EB15AE2" w14:textId="77777777" w:rsidR="00915077" w:rsidRPr="00E26EF6" w:rsidRDefault="00915077">
            <w:pPr>
              <w:autoSpaceDE w:val="0"/>
              <w:autoSpaceDN w:val="0"/>
              <w:adjustRightInd w:val="0"/>
              <w:spacing w:before="0" w:after="0"/>
              <w:rPr>
                <w:rFonts w:ascii="Times New Roman" w:hAnsi="Times New Roman"/>
                <w:sz w:val="24"/>
              </w:rPr>
            </w:pPr>
          </w:p>
          <w:p w14:paraId="04F87902" w14:textId="77777777"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przypadku programów sekurytyzacyjnych opartych na pulach zamkniętych rodzaj nie może ulec zmianie między poszczególnymi dniami sprawozdawczymi.</w:t>
            </w:r>
          </w:p>
          <w:p w14:paraId="4B46E89D"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646A03A8" w14:textId="77777777" w:rsidTr="00E10B85">
        <w:tc>
          <w:tcPr>
            <w:tcW w:w="1101" w:type="dxa"/>
          </w:tcPr>
          <w:p w14:paraId="6B28F911"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171</w:t>
            </w:r>
          </w:p>
        </w:tc>
        <w:tc>
          <w:tcPr>
            <w:tcW w:w="7903" w:type="dxa"/>
          </w:tcPr>
          <w:p w14:paraId="1DE803A1"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 IRB W ZASTOSOWANEJ METODZIE</w:t>
            </w:r>
          </w:p>
          <w:p w14:paraId="68DFF41A" w14:textId="77777777" w:rsidR="00915077" w:rsidRPr="00E26EF6" w:rsidRDefault="00915077">
            <w:pPr>
              <w:spacing w:before="0" w:after="0"/>
              <w:jc w:val="left"/>
              <w:rPr>
                <w:rFonts w:ascii="Times New Roman" w:hAnsi="Times New Roman"/>
                <w:sz w:val="24"/>
              </w:rPr>
            </w:pPr>
          </w:p>
          <w:p w14:paraId="72A4879F" w14:textId="757C85C1"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kolumnie tej gromadzone są informacje na temat metody lub metod, które</w:t>
            </w:r>
            <w:r w:rsidR="00E26EF6" w:rsidRPr="00E26EF6">
              <w:rPr>
                <w:rFonts w:ascii="Times New Roman" w:hAnsi="Times New Roman"/>
                <w:sz w:val="24"/>
              </w:rPr>
              <w:t xml:space="preserve"> w dni</w:t>
            </w:r>
            <w:r w:rsidRPr="00E26EF6">
              <w:rPr>
                <w:rFonts w:ascii="Times New Roman" w:hAnsi="Times New Roman"/>
                <w:sz w:val="24"/>
              </w:rPr>
              <w:t>u sprawozdawczym instytucja zastosowałaby do sekurytyzowanych ekspozycji.</w:t>
            </w:r>
          </w:p>
          <w:p w14:paraId="2CF3DA78" w14:textId="77777777" w:rsidR="00915077" w:rsidRPr="00E26EF6" w:rsidRDefault="00915077">
            <w:pPr>
              <w:autoSpaceDE w:val="0"/>
              <w:autoSpaceDN w:val="0"/>
              <w:adjustRightInd w:val="0"/>
              <w:spacing w:before="0" w:after="0"/>
              <w:jc w:val="left"/>
              <w:rPr>
                <w:rFonts w:ascii="Times New Roman" w:hAnsi="Times New Roman"/>
                <w:sz w:val="24"/>
              </w:rPr>
            </w:pPr>
          </w:p>
          <w:p w14:paraId="2211033D" w14:textId="07340942"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Instytucje zgłaszają odsetek sekurytyzowanych ekspozycji, mierzony za pomocą wartości ekspozycji, do którego zastosowanie</w:t>
            </w:r>
            <w:r w:rsidR="00E26EF6" w:rsidRPr="00E26EF6">
              <w:rPr>
                <w:rFonts w:ascii="Times New Roman" w:hAnsi="Times New Roman"/>
                <w:sz w:val="24"/>
              </w:rPr>
              <w:t xml:space="preserve"> w dni</w:t>
            </w:r>
            <w:r w:rsidRPr="00E26EF6">
              <w:rPr>
                <w:rFonts w:ascii="Times New Roman" w:hAnsi="Times New Roman"/>
                <w:sz w:val="24"/>
              </w:rPr>
              <w:t xml:space="preserve">u sprawozdawczym ma metoda wewnętrznych ratingów. </w:t>
            </w:r>
          </w:p>
          <w:p w14:paraId="01B6063E" w14:textId="77777777" w:rsidR="00915077" w:rsidRPr="00E26EF6" w:rsidRDefault="00915077">
            <w:pPr>
              <w:autoSpaceDE w:val="0"/>
              <w:autoSpaceDN w:val="0"/>
              <w:adjustRightInd w:val="0"/>
              <w:spacing w:before="0" w:after="0"/>
              <w:rPr>
                <w:rFonts w:ascii="Times New Roman" w:hAnsi="Times New Roman"/>
                <w:sz w:val="24"/>
              </w:rPr>
            </w:pPr>
          </w:p>
          <w:p w14:paraId="3F1A2C26" w14:textId="25D4F396"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Informację tę zgłasza się, nawet gdy jednostka sprawozdająca nie posiada pozycji</w:t>
            </w:r>
            <w:r w:rsidR="00E26EF6" w:rsidRPr="00E26EF6">
              <w:rPr>
                <w:rFonts w:ascii="Times New Roman" w:hAnsi="Times New Roman"/>
                <w:sz w:val="24"/>
              </w:rPr>
              <w:t xml:space="preserve"> w ram</w:t>
            </w:r>
            <w:r w:rsidRPr="00E26EF6">
              <w:rPr>
                <w:rFonts w:ascii="Times New Roman" w:hAnsi="Times New Roman"/>
                <w:sz w:val="24"/>
              </w:rPr>
              <w:t xml:space="preserve">ach danej sekurytyzacji. Kolumna ta nie dotyczy jednak sekurytyzacji zobowiązań. </w:t>
            </w:r>
          </w:p>
          <w:p w14:paraId="6A1C8D6A"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6E9ED292" w14:textId="77777777" w:rsidTr="00E10B85">
        <w:tc>
          <w:tcPr>
            <w:tcW w:w="1101" w:type="dxa"/>
          </w:tcPr>
          <w:p w14:paraId="521B304D"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180</w:t>
            </w:r>
          </w:p>
        </w:tc>
        <w:tc>
          <w:tcPr>
            <w:tcW w:w="7903" w:type="dxa"/>
            <w:shd w:val="clear" w:color="auto" w:fill="auto"/>
          </w:tcPr>
          <w:p w14:paraId="7818E5DE"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LICZBA EKSPOZYCJI</w:t>
            </w:r>
          </w:p>
          <w:p w14:paraId="6E376510" w14:textId="77777777" w:rsidR="00915077" w:rsidRPr="00E26EF6" w:rsidRDefault="00915077">
            <w:pPr>
              <w:spacing w:before="0" w:after="0"/>
              <w:jc w:val="left"/>
              <w:rPr>
                <w:rFonts w:ascii="Times New Roman" w:hAnsi="Times New Roman"/>
                <w:sz w:val="24"/>
              </w:rPr>
            </w:pPr>
          </w:p>
          <w:p w14:paraId="5E2D1AE9" w14:textId="70024D4C"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Art. 259 ust. 4 CRR</w:t>
            </w:r>
          </w:p>
          <w:p w14:paraId="036E3F7B" w14:textId="77777777" w:rsidR="00915077" w:rsidRPr="00E26EF6" w:rsidRDefault="00915077">
            <w:pPr>
              <w:autoSpaceDE w:val="0"/>
              <w:autoSpaceDN w:val="0"/>
              <w:adjustRightInd w:val="0"/>
              <w:spacing w:before="0" w:after="0"/>
              <w:jc w:val="left"/>
              <w:rPr>
                <w:rFonts w:ascii="Times New Roman" w:hAnsi="Times New Roman"/>
                <w:sz w:val="24"/>
              </w:rPr>
            </w:pPr>
          </w:p>
          <w:p w14:paraId="3785F533" w14:textId="7DAE21BD"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Ta kolumna jest obowiązkowa dla instytucji stosujących metodę SEC-IRBA do pozycji sekurytyzacyjnych (a zatem zgłaszających co najmniej 95</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w kol</w:t>
            </w:r>
            <w:r w:rsidRPr="00E26EF6">
              <w:rPr>
                <w:rFonts w:ascii="Times New Roman" w:hAnsi="Times New Roman"/>
                <w:sz w:val="24"/>
              </w:rPr>
              <w:t>umnie 171). Instytucja zgłasza rzeczywistą liczbę ekspozycji.</w:t>
            </w:r>
          </w:p>
          <w:p w14:paraId="291C831D" w14:textId="235C5911" w:rsidR="00915077" w:rsidRPr="00E26EF6" w:rsidRDefault="00915077">
            <w:pPr>
              <w:autoSpaceDE w:val="0"/>
              <w:autoSpaceDN w:val="0"/>
              <w:adjustRightInd w:val="0"/>
              <w:spacing w:before="0" w:after="0"/>
              <w:jc w:val="left"/>
              <w:rPr>
                <w:rFonts w:ascii="Times New Roman" w:hAnsi="Times New Roman"/>
                <w:sz w:val="24"/>
              </w:rPr>
            </w:pPr>
          </w:p>
          <w:p w14:paraId="45DEC45B" w14:textId="5E74144C"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Kolumny tej nie zgłasza się</w:t>
            </w:r>
            <w:r w:rsidR="00E26EF6" w:rsidRPr="00E26EF6">
              <w:rPr>
                <w:rFonts w:ascii="Times New Roman" w:hAnsi="Times New Roman"/>
                <w:sz w:val="24"/>
              </w:rPr>
              <w:t xml:space="preserve"> w prz</w:t>
            </w:r>
            <w:r w:rsidRPr="00E26EF6">
              <w:rPr>
                <w:rFonts w:ascii="Times New Roman" w:hAnsi="Times New Roman"/>
                <w:sz w:val="24"/>
              </w:rPr>
              <w:t>ypadku sekurytyzacji zobowiązań ani gdy wymogi</w:t>
            </w:r>
            <w:r w:rsidR="00E26EF6" w:rsidRPr="00E26EF6">
              <w:rPr>
                <w:rFonts w:ascii="Times New Roman" w:hAnsi="Times New Roman"/>
                <w:sz w:val="24"/>
              </w:rPr>
              <w:t xml:space="preserve"> w zak</w:t>
            </w:r>
            <w:r w:rsidRPr="00E26EF6">
              <w:rPr>
                <w:rFonts w:ascii="Times New Roman" w:hAnsi="Times New Roman"/>
                <w:sz w:val="24"/>
              </w:rPr>
              <w:t>resie funduszy własnych są oparte na sekurytyzowanych ekspozycjach (w przypadku sekurytyzacji aktywów). Kolumny tej nie zgłasza się, gdy instytucja sprawozdająca nie posiada pozycji</w:t>
            </w:r>
            <w:r w:rsidR="00E26EF6" w:rsidRPr="00E26EF6">
              <w:rPr>
                <w:rFonts w:ascii="Times New Roman" w:hAnsi="Times New Roman"/>
                <w:sz w:val="24"/>
              </w:rPr>
              <w:t xml:space="preserve"> w ram</w:t>
            </w:r>
            <w:r w:rsidRPr="00E26EF6">
              <w:rPr>
                <w:rFonts w:ascii="Times New Roman" w:hAnsi="Times New Roman"/>
                <w:sz w:val="24"/>
              </w:rPr>
              <w:t>ach danej sekurytyzacji. Kolumny tej nie zgłaszają inwestorzy.</w:t>
            </w:r>
          </w:p>
          <w:p w14:paraId="0E1FA237"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6B1AC828" w14:textId="77777777" w:rsidTr="00E10B85">
        <w:tc>
          <w:tcPr>
            <w:tcW w:w="1101" w:type="dxa"/>
            <w:shd w:val="clear" w:color="auto" w:fill="auto"/>
          </w:tcPr>
          <w:p w14:paraId="5E012CE3"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181</w:t>
            </w:r>
          </w:p>
        </w:tc>
        <w:tc>
          <w:tcPr>
            <w:tcW w:w="7903" w:type="dxa"/>
            <w:shd w:val="clear" w:color="auto" w:fill="auto"/>
          </w:tcPr>
          <w:p w14:paraId="6E23F86C"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EKSPOZYCJE, KTÓRYCH DOTYCZY NIEWYKONANIE ZOBOWIĄZANIA „W” (%)</w:t>
            </w:r>
          </w:p>
          <w:p w14:paraId="74FE4004" w14:textId="77777777" w:rsidR="00915077" w:rsidRPr="00E26EF6" w:rsidRDefault="00915077">
            <w:pPr>
              <w:spacing w:before="0" w:after="0"/>
              <w:jc w:val="left"/>
              <w:rPr>
                <w:rFonts w:ascii="Times New Roman" w:hAnsi="Times New Roman"/>
                <w:b/>
                <w:sz w:val="24"/>
                <w:u w:val="single"/>
              </w:rPr>
            </w:pPr>
          </w:p>
          <w:p w14:paraId="58EAD229" w14:textId="384C4B6A" w:rsidR="00915077" w:rsidRPr="00E26EF6" w:rsidRDefault="00C55547">
            <w:pPr>
              <w:spacing w:before="0" w:after="0"/>
              <w:jc w:val="left"/>
              <w:rPr>
                <w:rFonts w:ascii="Times New Roman" w:hAnsi="Times New Roman"/>
                <w:sz w:val="24"/>
              </w:rPr>
            </w:pPr>
            <w:r w:rsidRPr="00E26EF6">
              <w:rPr>
                <w:rFonts w:ascii="Times New Roman" w:hAnsi="Times New Roman"/>
                <w:sz w:val="24"/>
              </w:rPr>
              <w:t>Art. 261 ust. 2 CRR</w:t>
            </w:r>
          </w:p>
          <w:p w14:paraId="438D60B6" w14:textId="77777777" w:rsidR="00915077" w:rsidRPr="00E26EF6" w:rsidRDefault="00915077">
            <w:pPr>
              <w:spacing w:before="0" w:after="0"/>
              <w:jc w:val="left"/>
              <w:rPr>
                <w:rFonts w:ascii="Times New Roman" w:hAnsi="Times New Roman"/>
                <w:sz w:val="24"/>
              </w:rPr>
            </w:pPr>
          </w:p>
          <w:p w14:paraId="21C3FC96" w14:textId="4A472DD9" w:rsidR="00915077" w:rsidRPr="00E26EF6" w:rsidRDefault="00C55547">
            <w:pPr>
              <w:spacing w:before="0" w:after="0"/>
              <w:jc w:val="left"/>
              <w:rPr>
                <w:rFonts w:ascii="Times New Roman" w:hAnsi="Times New Roman"/>
                <w:sz w:val="24"/>
              </w:rPr>
            </w:pPr>
            <w:r w:rsidRPr="00E26EF6">
              <w:rPr>
                <w:rFonts w:ascii="Times New Roman" w:hAnsi="Times New Roman"/>
                <w:sz w:val="24"/>
              </w:rPr>
              <w:t>Nawet gdy instytucja nie stosuje metody SEC-SA</w:t>
            </w:r>
            <w:r w:rsidR="00E26EF6" w:rsidRPr="00E26EF6">
              <w:rPr>
                <w:rFonts w:ascii="Times New Roman" w:hAnsi="Times New Roman"/>
                <w:sz w:val="24"/>
              </w:rPr>
              <w:t xml:space="preserve"> w odn</w:t>
            </w:r>
            <w:r w:rsidRPr="00E26EF6">
              <w:rPr>
                <w:rFonts w:ascii="Times New Roman" w:hAnsi="Times New Roman"/>
                <w:sz w:val="24"/>
              </w:rPr>
              <w:t>iesieniu do pozycji sekurytyzacyjnych, instytucja zgłasza czynnik „W” (dotyczący ekspozycji bazowych, których dotyczy niewykonanie zobowiązania), który oblicza się</w:t>
            </w:r>
            <w:r w:rsidR="00E26EF6" w:rsidRPr="00E26EF6">
              <w:rPr>
                <w:rFonts w:ascii="Times New Roman" w:hAnsi="Times New Roman"/>
                <w:sz w:val="24"/>
              </w:rPr>
              <w:t xml:space="preserve"> w spo</w:t>
            </w:r>
            <w:r w:rsidRPr="00E26EF6">
              <w:rPr>
                <w:rFonts w:ascii="Times New Roman" w:hAnsi="Times New Roman"/>
                <w:sz w:val="24"/>
              </w:rPr>
              <w:t>sób określony</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261 ust.</w:t>
            </w:r>
            <w:r w:rsidR="00023409" w:rsidRPr="00E26EF6">
              <w:rPr>
                <w:rFonts w:ascii="Times New Roman" w:hAnsi="Times New Roman"/>
                <w:sz w:val="24"/>
              </w:rPr>
              <w:t> </w:t>
            </w:r>
            <w:r w:rsidRPr="00E26EF6">
              <w:rPr>
                <w:rFonts w:ascii="Times New Roman" w:hAnsi="Times New Roman"/>
                <w:sz w:val="24"/>
              </w:rPr>
              <w:t xml:space="preserve">2 CRR. </w:t>
            </w:r>
          </w:p>
          <w:p w14:paraId="76BDD17E"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730B382C" w14:textId="77777777" w:rsidTr="00E10B85">
        <w:tc>
          <w:tcPr>
            <w:tcW w:w="1101" w:type="dxa"/>
            <w:shd w:val="clear" w:color="auto" w:fill="auto"/>
          </w:tcPr>
          <w:p w14:paraId="7D7D8A42" w14:textId="77777777" w:rsidR="00915077" w:rsidRPr="00E26EF6" w:rsidDel="00A749EA"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190</w:t>
            </w:r>
          </w:p>
        </w:tc>
        <w:tc>
          <w:tcPr>
            <w:tcW w:w="7903" w:type="dxa"/>
            <w:shd w:val="clear" w:color="auto" w:fill="auto"/>
          </w:tcPr>
          <w:p w14:paraId="542DFD30"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PAŃSTWO</w:t>
            </w:r>
          </w:p>
          <w:p w14:paraId="0356F3FB" w14:textId="77777777" w:rsidR="00915077" w:rsidRPr="00E26EF6" w:rsidRDefault="00915077">
            <w:pPr>
              <w:spacing w:before="0" w:after="0"/>
              <w:jc w:val="left"/>
              <w:rPr>
                <w:rFonts w:ascii="Times New Roman" w:hAnsi="Times New Roman"/>
                <w:sz w:val="24"/>
              </w:rPr>
            </w:pPr>
          </w:p>
          <w:p w14:paraId="39DA99FC" w14:textId="2226E2ED" w:rsidR="00915077" w:rsidRPr="00E26EF6" w:rsidRDefault="00EE2BEA">
            <w:pPr>
              <w:spacing w:before="0" w:after="0"/>
              <w:rPr>
                <w:rFonts w:ascii="Times New Roman" w:hAnsi="Times New Roman"/>
                <w:sz w:val="24"/>
              </w:rPr>
            </w:pPr>
            <w:r w:rsidRPr="00E26EF6">
              <w:rPr>
                <w:rFonts w:ascii="Times New Roman" w:hAnsi="Times New Roman"/>
                <w:sz w:val="24"/>
              </w:rPr>
              <w:t>Instytucje zgłaszają kod (ISO 3166-1 alfa-2) państwa pochodzenia ostatecznego instrumentu bazowego transakcji, tj. państwa bezpośredniego dłużnika sekurytyzowanych pierwotnych ekspozycji (według metody pełnego przeglądu)</w:t>
            </w:r>
            <w:r w:rsidR="00E26EF6" w:rsidRPr="00E26EF6">
              <w:rPr>
                <w:rFonts w:ascii="Times New Roman" w:hAnsi="Times New Roman"/>
                <w:sz w:val="24"/>
              </w:rPr>
              <w:t>. W prz</w:t>
            </w:r>
            <w:r w:rsidRPr="00E26EF6">
              <w:rPr>
                <w:rFonts w:ascii="Times New Roman" w:hAnsi="Times New Roman"/>
                <w:sz w:val="24"/>
              </w:rPr>
              <w:t>ypadku gdy pula sekurytyzacji dotyczy różnych państw, instytucja wskazuje najważniejsze państwo. Gdy żadne państwo nie przekracza progu 20</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w opa</w:t>
            </w:r>
            <w:r w:rsidRPr="00E26EF6">
              <w:rPr>
                <w:rFonts w:ascii="Times New Roman" w:hAnsi="Times New Roman"/>
                <w:sz w:val="24"/>
              </w:rPr>
              <w:t>rciu</w:t>
            </w:r>
            <w:r w:rsidR="00E26EF6" w:rsidRPr="00E26EF6">
              <w:rPr>
                <w:rFonts w:ascii="Times New Roman" w:hAnsi="Times New Roman"/>
                <w:sz w:val="24"/>
              </w:rPr>
              <w:t xml:space="preserve"> o kwo</w:t>
            </w:r>
            <w:r w:rsidRPr="00E26EF6">
              <w:rPr>
                <w:rFonts w:ascii="Times New Roman" w:hAnsi="Times New Roman"/>
                <w:sz w:val="24"/>
              </w:rPr>
              <w:t>tę aktywów/zobowiązań, zgłasza się pozycję „inne państwa”.</w:t>
            </w:r>
          </w:p>
          <w:p w14:paraId="12521C0F" w14:textId="77777777" w:rsidR="00915077" w:rsidRPr="00E26EF6" w:rsidRDefault="00915077">
            <w:pPr>
              <w:spacing w:before="0" w:after="0"/>
              <w:rPr>
                <w:rFonts w:ascii="Times New Roman" w:hAnsi="Times New Roman"/>
                <w:sz w:val="24"/>
                <w:highlight w:val="lightGray"/>
              </w:rPr>
            </w:pPr>
          </w:p>
        </w:tc>
      </w:tr>
      <w:tr w:rsidR="00915077" w:rsidRPr="00E26EF6" w14:paraId="3BEDBFD7" w14:textId="77777777" w:rsidTr="00E10B85">
        <w:tc>
          <w:tcPr>
            <w:tcW w:w="1101" w:type="dxa"/>
          </w:tcPr>
          <w:p w14:paraId="1076F031"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201</w:t>
            </w:r>
          </w:p>
        </w:tc>
        <w:tc>
          <w:tcPr>
            <w:tcW w:w="7903" w:type="dxa"/>
          </w:tcPr>
          <w:p w14:paraId="3DE9332F"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 xml:space="preserve">LGD (%) </w:t>
            </w:r>
          </w:p>
          <w:p w14:paraId="365D726F" w14:textId="77777777" w:rsidR="00915077" w:rsidRPr="00E26EF6" w:rsidRDefault="00915077">
            <w:pPr>
              <w:spacing w:before="0" w:after="0"/>
              <w:jc w:val="left"/>
              <w:rPr>
                <w:rFonts w:ascii="Times New Roman" w:hAnsi="Times New Roman"/>
                <w:sz w:val="24"/>
              </w:rPr>
            </w:pPr>
          </w:p>
          <w:p w14:paraId="39FBD66E" w14:textId="2B8C15B5"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Średnią stratę</w:t>
            </w:r>
            <w:r w:rsidR="00E26EF6" w:rsidRPr="00E26EF6">
              <w:rPr>
                <w:rFonts w:ascii="Times New Roman" w:hAnsi="Times New Roman"/>
                <w:sz w:val="24"/>
              </w:rPr>
              <w:t xml:space="preserve"> z tyt</w:t>
            </w:r>
            <w:r w:rsidRPr="00E26EF6">
              <w:rPr>
                <w:rFonts w:ascii="Times New Roman" w:hAnsi="Times New Roman"/>
                <w:sz w:val="24"/>
              </w:rPr>
              <w:t>ułu niewykonania zobowiązania ważoną ekspozycją (LGD) zgłaszają tylko instytucje stosujące metodę SEC-IRBA (a zatem zgłaszające co najmniej 95</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w kol</w:t>
            </w:r>
            <w:r w:rsidRPr="00E26EF6">
              <w:rPr>
                <w:rFonts w:ascii="Times New Roman" w:hAnsi="Times New Roman"/>
                <w:sz w:val="24"/>
              </w:rPr>
              <w:t>umnie 170). LGD oblicza się</w:t>
            </w:r>
            <w:r w:rsidR="00E26EF6" w:rsidRPr="00E26EF6">
              <w:rPr>
                <w:rFonts w:ascii="Times New Roman" w:hAnsi="Times New Roman"/>
                <w:sz w:val="24"/>
              </w:rPr>
              <w:t xml:space="preserve"> w spo</w:t>
            </w:r>
            <w:r w:rsidRPr="00E26EF6">
              <w:rPr>
                <w:rFonts w:ascii="Times New Roman" w:hAnsi="Times New Roman"/>
                <w:sz w:val="24"/>
              </w:rPr>
              <w:t>sób określony</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259 ust.</w:t>
            </w:r>
            <w:r w:rsidR="00023409" w:rsidRPr="00E26EF6">
              <w:rPr>
                <w:rFonts w:ascii="Times New Roman" w:hAnsi="Times New Roman"/>
                <w:sz w:val="24"/>
              </w:rPr>
              <w:t> </w:t>
            </w:r>
            <w:r w:rsidRPr="00E26EF6">
              <w:rPr>
                <w:rFonts w:ascii="Times New Roman" w:hAnsi="Times New Roman"/>
                <w:sz w:val="24"/>
              </w:rPr>
              <w:t xml:space="preserve">5 CRR. </w:t>
            </w:r>
          </w:p>
          <w:p w14:paraId="0D5E0617" w14:textId="69D0D1AD"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Kolumny tej nie zgłasza się</w:t>
            </w:r>
            <w:r w:rsidR="00E26EF6" w:rsidRPr="00E26EF6">
              <w:rPr>
                <w:rFonts w:ascii="Times New Roman" w:hAnsi="Times New Roman"/>
                <w:sz w:val="24"/>
              </w:rPr>
              <w:t xml:space="preserve"> w prz</w:t>
            </w:r>
            <w:r w:rsidRPr="00E26EF6">
              <w:rPr>
                <w:rFonts w:ascii="Times New Roman" w:hAnsi="Times New Roman"/>
                <w:sz w:val="24"/>
              </w:rPr>
              <w:t>ypadku sekurytyzacji zobowiązań ani gdy wymogi</w:t>
            </w:r>
            <w:r w:rsidR="00E26EF6" w:rsidRPr="00E26EF6">
              <w:rPr>
                <w:rFonts w:ascii="Times New Roman" w:hAnsi="Times New Roman"/>
                <w:sz w:val="24"/>
              </w:rPr>
              <w:t xml:space="preserve"> w zak</w:t>
            </w:r>
            <w:r w:rsidRPr="00E26EF6">
              <w:rPr>
                <w:rFonts w:ascii="Times New Roman" w:hAnsi="Times New Roman"/>
                <w:sz w:val="24"/>
              </w:rPr>
              <w:t xml:space="preserve">resie funduszy własnych są oparte na sekurytyzowanych ekspozycjach (w przypadku sekurytyzacji aktywów). </w:t>
            </w:r>
          </w:p>
          <w:p w14:paraId="6B1C68CF" w14:textId="77777777" w:rsidR="00915077" w:rsidRPr="00E26EF6" w:rsidRDefault="00915077">
            <w:pPr>
              <w:spacing w:before="0" w:after="0"/>
              <w:jc w:val="left"/>
              <w:rPr>
                <w:rFonts w:ascii="Times New Roman" w:hAnsi="Times New Roman"/>
                <w:sz w:val="24"/>
                <w:highlight w:val="lightGray"/>
              </w:rPr>
            </w:pPr>
          </w:p>
        </w:tc>
      </w:tr>
      <w:tr w:rsidR="00915077" w:rsidRPr="00E26EF6" w14:paraId="1293712A" w14:textId="77777777" w:rsidTr="00E10B85">
        <w:tc>
          <w:tcPr>
            <w:tcW w:w="1101" w:type="dxa"/>
          </w:tcPr>
          <w:p w14:paraId="2AE571A6"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202</w:t>
            </w:r>
          </w:p>
        </w:tc>
        <w:tc>
          <w:tcPr>
            <w:tcW w:w="7903" w:type="dxa"/>
          </w:tcPr>
          <w:p w14:paraId="3F45BF47"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EL (%)</w:t>
            </w:r>
          </w:p>
          <w:p w14:paraId="71C7D5B1" w14:textId="77777777" w:rsidR="00915077" w:rsidRPr="00E26EF6" w:rsidRDefault="00915077">
            <w:pPr>
              <w:spacing w:before="0" w:after="0"/>
              <w:jc w:val="left"/>
              <w:rPr>
                <w:rFonts w:ascii="Times New Roman" w:hAnsi="Times New Roman"/>
                <w:b/>
                <w:sz w:val="24"/>
                <w:u w:val="single"/>
              </w:rPr>
            </w:pPr>
          </w:p>
          <w:p w14:paraId="1A5DCB68" w14:textId="514B4DF8"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Średnią oczekiwaną stratę aktywów sekurytyzowanych ważoną ekspozycją (EL) zgłaszają tylko instytucje stosujące metodę SEC-IRBA (a zatem zgłaszające co najmniej 95</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w kol</w:t>
            </w:r>
            <w:r w:rsidRPr="00E26EF6">
              <w:rPr>
                <w:rFonts w:ascii="Times New Roman" w:hAnsi="Times New Roman"/>
                <w:sz w:val="24"/>
              </w:rPr>
              <w:t>umnie 171)</w:t>
            </w:r>
            <w:r w:rsidR="00E26EF6" w:rsidRPr="00E26EF6">
              <w:rPr>
                <w:rFonts w:ascii="Times New Roman" w:hAnsi="Times New Roman"/>
                <w:sz w:val="24"/>
              </w:rPr>
              <w:t>. W prz</w:t>
            </w:r>
            <w:r w:rsidRPr="00E26EF6">
              <w:rPr>
                <w:rFonts w:ascii="Times New Roman" w:hAnsi="Times New Roman"/>
                <w:sz w:val="24"/>
              </w:rPr>
              <w:t>ypadku aktywów sekurytyzowanych SA, zgłaszana EL jest konkretna dla konkretnych korekt ryzyka kredytowego,</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111 CRR. EL oblicza się</w:t>
            </w:r>
            <w:r w:rsidR="00E26EF6" w:rsidRPr="00E26EF6">
              <w:rPr>
                <w:rFonts w:ascii="Times New Roman" w:hAnsi="Times New Roman"/>
                <w:sz w:val="24"/>
              </w:rPr>
              <w:t xml:space="preserve"> w spo</w:t>
            </w:r>
            <w:r w:rsidRPr="00E26EF6">
              <w:rPr>
                <w:rFonts w:ascii="Times New Roman" w:hAnsi="Times New Roman"/>
                <w:sz w:val="24"/>
              </w:rPr>
              <w:t>sób określony</w:t>
            </w:r>
            <w:r w:rsidR="00E26EF6" w:rsidRPr="00E26EF6">
              <w:rPr>
                <w:rFonts w:ascii="Times New Roman" w:hAnsi="Times New Roman"/>
                <w:sz w:val="24"/>
              </w:rPr>
              <w:t xml:space="preserve"> w czę</w:t>
            </w:r>
            <w:r w:rsidRPr="00E26EF6">
              <w:rPr>
                <w:rFonts w:ascii="Times New Roman" w:hAnsi="Times New Roman"/>
                <w:sz w:val="24"/>
              </w:rPr>
              <w:t>ści trzeciej, tytuł II rozdział 3, sekcja 3 CRR. Kolumny tej nie zgłasza się</w:t>
            </w:r>
            <w:r w:rsidR="00E26EF6" w:rsidRPr="00E26EF6">
              <w:rPr>
                <w:rFonts w:ascii="Times New Roman" w:hAnsi="Times New Roman"/>
                <w:sz w:val="24"/>
              </w:rPr>
              <w:t xml:space="preserve"> w prz</w:t>
            </w:r>
            <w:r w:rsidRPr="00E26EF6">
              <w:rPr>
                <w:rFonts w:ascii="Times New Roman" w:hAnsi="Times New Roman"/>
                <w:sz w:val="24"/>
              </w:rPr>
              <w:t>ypadku sekurytyzacji zobowiązań ani gdy wymogi</w:t>
            </w:r>
            <w:r w:rsidR="00E26EF6" w:rsidRPr="00E26EF6">
              <w:rPr>
                <w:rFonts w:ascii="Times New Roman" w:hAnsi="Times New Roman"/>
                <w:sz w:val="24"/>
              </w:rPr>
              <w:t xml:space="preserve"> w zak</w:t>
            </w:r>
            <w:r w:rsidRPr="00E26EF6">
              <w:rPr>
                <w:rFonts w:ascii="Times New Roman" w:hAnsi="Times New Roman"/>
                <w:sz w:val="24"/>
              </w:rPr>
              <w:t>resie funduszy własnych są oparte na sekurytyzowanych ekspozycjach (w przypadku sekurytyzacji aktywów).</w:t>
            </w:r>
          </w:p>
          <w:p w14:paraId="1B512209"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2CA50EAA" w14:textId="77777777" w:rsidTr="00E10B85">
        <w:tc>
          <w:tcPr>
            <w:tcW w:w="1101" w:type="dxa"/>
          </w:tcPr>
          <w:p w14:paraId="3D690D15"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203</w:t>
            </w:r>
          </w:p>
        </w:tc>
        <w:tc>
          <w:tcPr>
            <w:tcW w:w="7903" w:type="dxa"/>
          </w:tcPr>
          <w:p w14:paraId="0227BAA5"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UL (%)</w:t>
            </w:r>
          </w:p>
          <w:p w14:paraId="49300184" w14:textId="77777777" w:rsidR="00915077" w:rsidRPr="00E26EF6" w:rsidRDefault="00915077">
            <w:pPr>
              <w:spacing w:before="0" w:after="0"/>
              <w:jc w:val="left"/>
              <w:rPr>
                <w:rFonts w:ascii="Times New Roman" w:hAnsi="Times New Roman"/>
                <w:b/>
                <w:sz w:val="24"/>
                <w:u w:val="single"/>
              </w:rPr>
            </w:pPr>
          </w:p>
          <w:p w14:paraId="51B6F9EC" w14:textId="26BBF075"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Średnią nieoczekiwaną stratę aktywów sekurytyzowanych ważoną ekspozycją (UL) zgłaszają tylko instytucje stosujące metodę SEC-IRBA (a zatem zgłaszające co najmniej 95</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w kol</w:t>
            </w:r>
            <w:r w:rsidRPr="00E26EF6">
              <w:rPr>
                <w:rFonts w:ascii="Times New Roman" w:hAnsi="Times New Roman"/>
                <w:sz w:val="24"/>
              </w:rPr>
              <w:t>umnie 170). UL aktywów jest równe kwocie ekspozycji ważonej ryzykiem pomnożonej przez 8</w:t>
            </w:r>
            <w:r w:rsidR="00023409" w:rsidRPr="00E26EF6">
              <w:rPr>
                <w:rFonts w:ascii="Times New Roman" w:hAnsi="Times New Roman"/>
                <w:sz w:val="24"/>
              </w:rPr>
              <w:t> </w:t>
            </w:r>
            <w:r w:rsidRPr="00E26EF6">
              <w:rPr>
                <w:rFonts w:ascii="Times New Roman" w:hAnsi="Times New Roman"/>
                <w:sz w:val="24"/>
              </w:rPr>
              <w:t>%. Kwotę ekspozycji ważonej ryzykiem oblicza się</w:t>
            </w:r>
            <w:r w:rsidR="00E26EF6" w:rsidRPr="00E26EF6">
              <w:rPr>
                <w:rFonts w:ascii="Times New Roman" w:hAnsi="Times New Roman"/>
                <w:sz w:val="24"/>
              </w:rPr>
              <w:t xml:space="preserve"> w spo</w:t>
            </w:r>
            <w:r w:rsidRPr="00E26EF6">
              <w:rPr>
                <w:rFonts w:ascii="Times New Roman" w:hAnsi="Times New Roman"/>
                <w:sz w:val="24"/>
              </w:rPr>
              <w:t>sób określony</w:t>
            </w:r>
            <w:r w:rsidR="00E26EF6" w:rsidRPr="00E26EF6">
              <w:rPr>
                <w:rFonts w:ascii="Times New Roman" w:hAnsi="Times New Roman"/>
                <w:sz w:val="24"/>
              </w:rPr>
              <w:t xml:space="preserve"> w czę</w:t>
            </w:r>
            <w:r w:rsidRPr="00E26EF6">
              <w:rPr>
                <w:rFonts w:ascii="Times New Roman" w:hAnsi="Times New Roman"/>
                <w:sz w:val="24"/>
              </w:rPr>
              <w:t>ści trzeciej, tytuł II rozdział 3, sekcja 2 CRR. Kolumny tej nie zgłasza się</w:t>
            </w:r>
            <w:r w:rsidR="00E26EF6" w:rsidRPr="00E26EF6">
              <w:rPr>
                <w:rFonts w:ascii="Times New Roman" w:hAnsi="Times New Roman"/>
                <w:sz w:val="24"/>
              </w:rPr>
              <w:t xml:space="preserve"> w prz</w:t>
            </w:r>
            <w:r w:rsidRPr="00E26EF6">
              <w:rPr>
                <w:rFonts w:ascii="Times New Roman" w:hAnsi="Times New Roman"/>
                <w:sz w:val="24"/>
              </w:rPr>
              <w:t>ypadku sekurytyzacji zobowiązań ani gdy wymogi</w:t>
            </w:r>
            <w:r w:rsidR="00E26EF6" w:rsidRPr="00E26EF6">
              <w:rPr>
                <w:rFonts w:ascii="Times New Roman" w:hAnsi="Times New Roman"/>
                <w:sz w:val="24"/>
              </w:rPr>
              <w:t xml:space="preserve"> w zak</w:t>
            </w:r>
            <w:r w:rsidRPr="00E26EF6">
              <w:rPr>
                <w:rFonts w:ascii="Times New Roman" w:hAnsi="Times New Roman"/>
                <w:sz w:val="24"/>
              </w:rPr>
              <w:t>resie funduszy własnych są oparte na sekurytyzowanych ekspozycjach (w przypadku sekurytyzacji aktywów).</w:t>
            </w:r>
          </w:p>
          <w:p w14:paraId="739EC2D3"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7F4B9387" w14:textId="77777777" w:rsidTr="00E10B85">
        <w:tc>
          <w:tcPr>
            <w:tcW w:w="1101" w:type="dxa"/>
          </w:tcPr>
          <w:p w14:paraId="53306CE5"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204</w:t>
            </w:r>
          </w:p>
        </w:tc>
        <w:tc>
          <w:tcPr>
            <w:tcW w:w="7903" w:type="dxa"/>
          </w:tcPr>
          <w:p w14:paraId="03CE5E91"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ŚREDNI TERMIN ZAPADALNOŚCI AKTYWÓW WAŻONY EKSPOZYCJĄ</w:t>
            </w:r>
          </w:p>
          <w:p w14:paraId="1F0E9E32" w14:textId="77777777" w:rsidR="00915077" w:rsidRPr="00E26EF6" w:rsidRDefault="00915077">
            <w:pPr>
              <w:spacing w:before="0" w:after="0"/>
              <w:jc w:val="left"/>
              <w:rPr>
                <w:rFonts w:ascii="Times New Roman" w:hAnsi="Times New Roman"/>
                <w:b/>
                <w:sz w:val="24"/>
                <w:u w:val="single"/>
              </w:rPr>
            </w:pPr>
          </w:p>
          <w:p w14:paraId="0ED79C83" w14:textId="43843F3B" w:rsidR="00915077" w:rsidRPr="00E26EF6" w:rsidRDefault="00C55547">
            <w:pPr>
              <w:spacing w:before="0" w:after="0"/>
              <w:jc w:val="left"/>
              <w:rPr>
                <w:rFonts w:ascii="Times New Roman" w:hAnsi="Times New Roman"/>
                <w:b/>
                <w:sz w:val="24"/>
                <w:u w:val="single"/>
              </w:rPr>
            </w:pPr>
            <w:r w:rsidRPr="00E26EF6">
              <w:rPr>
                <w:rFonts w:ascii="Times New Roman" w:hAnsi="Times New Roman"/>
                <w:sz w:val="24"/>
              </w:rPr>
              <w:t>Średni termin zapadalności aktywów sekurytyzowanych ważony ekspozycją</w:t>
            </w:r>
            <w:r w:rsidR="00E26EF6" w:rsidRPr="00E26EF6">
              <w:rPr>
                <w:rFonts w:ascii="Times New Roman" w:hAnsi="Times New Roman"/>
                <w:sz w:val="24"/>
              </w:rPr>
              <w:t xml:space="preserve"> w dni</w:t>
            </w:r>
            <w:r w:rsidRPr="00E26EF6">
              <w:rPr>
                <w:rFonts w:ascii="Times New Roman" w:hAnsi="Times New Roman"/>
                <w:sz w:val="24"/>
              </w:rPr>
              <w:t>u sprawozdawczym zgłaszają wszystkie instytucje bez względu na stosowane podejście obliczania wymogów kapitałowych. Instytucje obliczają termin zapadalności poszczególnych aktywów, jak określono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162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i f) CRR, bez zastosowania pięcioletniego pułapu.</w:t>
            </w:r>
          </w:p>
          <w:p w14:paraId="009C17D9"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51C4B4B4" w14:textId="77777777" w:rsidTr="00E10B85">
        <w:tc>
          <w:tcPr>
            <w:tcW w:w="1101" w:type="dxa"/>
          </w:tcPr>
          <w:p w14:paraId="1167AEFD"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210</w:t>
            </w:r>
          </w:p>
        </w:tc>
        <w:tc>
          <w:tcPr>
            <w:tcW w:w="7903" w:type="dxa"/>
          </w:tcPr>
          <w:p w14:paraId="51B0D230"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 KOREKTY WARTOŚCI I REZERWY</w:t>
            </w:r>
          </w:p>
          <w:p w14:paraId="077C50B6" w14:textId="77777777" w:rsidR="00915077" w:rsidRPr="00E26EF6" w:rsidRDefault="00915077">
            <w:pPr>
              <w:spacing w:before="0" w:after="0"/>
              <w:jc w:val="left"/>
              <w:rPr>
                <w:rFonts w:ascii="Times New Roman" w:hAnsi="Times New Roman"/>
                <w:sz w:val="24"/>
              </w:rPr>
            </w:pPr>
          </w:p>
          <w:p w14:paraId="4730FE5B" w14:textId="724178D2"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lastRenderedPageBreak/>
              <w:t>Korekty wartości</w:t>
            </w:r>
            <w:r w:rsidR="00E26EF6" w:rsidRPr="00E26EF6">
              <w:rPr>
                <w:rFonts w:ascii="Times New Roman" w:hAnsi="Times New Roman"/>
                <w:sz w:val="24"/>
              </w:rPr>
              <w:t xml:space="preserve"> i rez</w:t>
            </w:r>
            <w:r w:rsidRPr="00E26EF6">
              <w:rPr>
                <w:rFonts w:ascii="Times New Roman" w:hAnsi="Times New Roman"/>
                <w:sz w:val="24"/>
              </w:rPr>
              <w:t>erwy (art.</w:t>
            </w:r>
            <w:r w:rsidR="00023409" w:rsidRPr="00E26EF6">
              <w:rPr>
                <w:rFonts w:ascii="Times New Roman" w:hAnsi="Times New Roman"/>
                <w:sz w:val="24"/>
              </w:rPr>
              <w:t> </w:t>
            </w:r>
            <w:r w:rsidRPr="00E26EF6">
              <w:rPr>
                <w:rFonts w:ascii="Times New Roman" w:hAnsi="Times New Roman"/>
                <w:sz w:val="24"/>
              </w:rPr>
              <w:t>159 CRR) na wypadek strat kredytowych dokonane zgodnie ze standardami rachunkowości mającymi zastosowanie do jednostki sprawozdającej. Korekty wartości obejmują każdą kwotę uznaną</w:t>
            </w:r>
            <w:r w:rsidR="00E26EF6" w:rsidRPr="00E26EF6">
              <w:rPr>
                <w:rFonts w:ascii="Times New Roman" w:hAnsi="Times New Roman"/>
                <w:sz w:val="24"/>
              </w:rPr>
              <w:t xml:space="preserve"> w rac</w:t>
            </w:r>
            <w:r w:rsidRPr="00E26EF6">
              <w:rPr>
                <w:rFonts w:ascii="Times New Roman" w:hAnsi="Times New Roman"/>
                <w:sz w:val="24"/>
              </w:rPr>
              <w:t>hunku zysków</w:t>
            </w:r>
            <w:r w:rsidR="00E26EF6" w:rsidRPr="00E26EF6">
              <w:rPr>
                <w:rFonts w:ascii="Times New Roman" w:hAnsi="Times New Roman"/>
                <w:sz w:val="24"/>
              </w:rPr>
              <w:t xml:space="preserve"> i str</w:t>
            </w:r>
            <w:r w:rsidRPr="00E26EF6">
              <w:rPr>
                <w:rFonts w:ascii="Times New Roman" w:hAnsi="Times New Roman"/>
                <w:sz w:val="24"/>
              </w:rPr>
              <w:t>at jako strata kredytowa aktywów finansowych od czasu ich początkowego ujęcia</w:t>
            </w:r>
            <w:r w:rsidR="00E26EF6" w:rsidRPr="00E26EF6">
              <w:rPr>
                <w:rFonts w:ascii="Times New Roman" w:hAnsi="Times New Roman"/>
                <w:sz w:val="24"/>
              </w:rPr>
              <w:t xml:space="preserve"> w bil</w:t>
            </w:r>
            <w:r w:rsidRPr="00E26EF6">
              <w:rPr>
                <w:rFonts w:ascii="Times New Roman" w:hAnsi="Times New Roman"/>
                <w:sz w:val="24"/>
              </w:rPr>
              <w:t>ansie (w tym straty wynikające</w:t>
            </w:r>
            <w:r w:rsidR="00E26EF6" w:rsidRPr="00E26EF6">
              <w:rPr>
                <w:rFonts w:ascii="Times New Roman" w:hAnsi="Times New Roman"/>
                <w:sz w:val="24"/>
              </w:rPr>
              <w:t xml:space="preserve"> z ryz</w:t>
            </w:r>
            <w:r w:rsidRPr="00E26EF6">
              <w:rPr>
                <w:rFonts w:ascii="Times New Roman" w:hAnsi="Times New Roman"/>
                <w:sz w:val="24"/>
              </w:rPr>
              <w:t>yka kredytowego aktywów finansowych wycenione według wartości godziwej, których nie odejmuje się od wartości ekspozycji) plus dyskonto</w:t>
            </w:r>
            <w:r w:rsidR="00E26EF6" w:rsidRPr="00E26EF6">
              <w:rPr>
                <w:rFonts w:ascii="Times New Roman" w:hAnsi="Times New Roman"/>
                <w:sz w:val="24"/>
              </w:rPr>
              <w:t xml:space="preserve"> z tyt</w:t>
            </w:r>
            <w:r w:rsidRPr="00E26EF6">
              <w:rPr>
                <w:rFonts w:ascii="Times New Roman" w:hAnsi="Times New Roman"/>
                <w:sz w:val="24"/>
              </w:rPr>
              <w:t>ułu aktywów nabytych</w:t>
            </w:r>
            <w:r w:rsidR="00E26EF6" w:rsidRPr="00E26EF6">
              <w:rPr>
                <w:rFonts w:ascii="Times New Roman" w:hAnsi="Times New Roman"/>
                <w:sz w:val="24"/>
              </w:rPr>
              <w:t xml:space="preserve"> w prz</w:t>
            </w:r>
            <w:r w:rsidRPr="00E26EF6">
              <w:rPr>
                <w:rFonts w:ascii="Times New Roman" w:hAnsi="Times New Roman"/>
                <w:sz w:val="24"/>
              </w:rPr>
              <w:t>ypadku niewykonania zobowiązania,</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166 ust.</w:t>
            </w:r>
            <w:r w:rsidR="00023409" w:rsidRPr="00E26EF6">
              <w:rPr>
                <w:rFonts w:ascii="Times New Roman" w:hAnsi="Times New Roman"/>
                <w:sz w:val="24"/>
              </w:rPr>
              <w:t> </w:t>
            </w:r>
            <w:r w:rsidRPr="00E26EF6">
              <w:rPr>
                <w:rFonts w:ascii="Times New Roman" w:hAnsi="Times New Roman"/>
                <w:sz w:val="24"/>
              </w:rPr>
              <w:t>1 CRR. Rezerwy obejmują skumulowane kwoty strat kredytowych</w:t>
            </w:r>
            <w:r w:rsidR="00E26EF6" w:rsidRPr="00E26EF6">
              <w:rPr>
                <w:rFonts w:ascii="Times New Roman" w:hAnsi="Times New Roman"/>
                <w:sz w:val="24"/>
              </w:rPr>
              <w:t xml:space="preserve"> w poz</w:t>
            </w:r>
            <w:r w:rsidRPr="00E26EF6">
              <w:rPr>
                <w:rFonts w:ascii="Times New Roman" w:hAnsi="Times New Roman"/>
                <w:sz w:val="24"/>
              </w:rPr>
              <w:t>ycjach pozabilansowych.</w:t>
            </w:r>
          </w:p>
          <w:p w14:paraId="3D9AB14A" w14:textId="77777777" w:rsidR="00915077" w:rsidRPr="00E26EF6" w:rsidRDefault="00915077">
            <w:pPr>
              <w:autoSpaceDE w:val="0"/>
              <w:autoSpaceDN w:val="0"/>
              <w:adjustRightInd w:val="0"/>
              <w:spacing w:before="0" w:after="0"/>
              <w:jc w:val="left"/>
              <w:rPr>
                <w:rFonts w:ascii="Times New Roman" w:hAnsi="Times New Roman"/>
                <w:sz w:val="24"/>
              </w:rPr>
            </w:pPr>
          </w:p>
          <w:p w14:paraId="7290419E" w14:textId="0AA43B46"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kolumnie tej gromadzone są informacje na temat korekt wartości</w:t>
            </w:r>
            <w:r w:rsidR="00E26EF6" w:rsidRPr="00E26EF6">
              <w:rPr>
                <w:rFonts w:ascii="Times New Roman" w:hAnsi="Times New Roman"/>
                <w:sz w:val="24"/>
              </w:rPr>
              <w:t xml:space="preserve"> i rez</w:t>
            </w:r>
            <w:r w:rsidRPr="00E26EF6">
              <w:rPr>
                <w:rFonts w:ascii="Times New Roman" w:hAnsi="Times New Roman"/>
                <w:sz w:val="24"/>
              </w:rPr>
              <w:t>erw stosowanych do sekurytyzowanych ekspozycji. Niniejszej kolumny nie zgłasza się</w:t>
            </w:r>
            <w:r w:rsidR="00E26EF6" w:rsidRPr="00E26EF6">
              <w:rPr>
                <w:rFonts w:ascii="Times New Roman" w:hAnsi="Times New Roman"/>
                <w:sz w:val="24"/>
              </w:rPr>
              <w:t xml:space="preserve"> w prz</w:t>
            </w:r>
            <w:r w:rsidRPr="00E26EF6">
              <w:rPr>
                <w:rFonts w:ascii="Times New Roman" w:hAnsi="Times New Roman"/>
                <w:sz w:val="24"/>
              </w:rPr>
              <w:t>ypadku sekurytyzacji zobowiązań.</w:t>
            </w:r>
          </w:p>
          <w:p w14:paraId="23322D28" w14:textId="77777777" w:rsidR="00915077" w:rsidRPr="00E26EF6" w:rsidRDefault="00915077">
            <w:pPr>
              <w:autoSpaceDE w:val="0"/>
              <w:autoSpaceDN w:val="0"/>
              <w:adjustRightInd w:val="0"/>
              <w:spacing w:before="0" w:after="0"/>
              <w:rPr>
                <w:rFonts w:ascii="Times New Roman" w:hAnsi="Times New Roman"/>
                <w:sz w:val="24"/>
              </w:rPr>
            </w:pPr>
          </w:p>
          <w:p w14:paraId="56FB1A97" w14:textId="0ABA8721"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Informację tę zgłasza się, nawet gdy jednostka sprawozdająca nie posiada pozycji</w:t>
            </w:r>
            <w:r w:rsidR="00E26EF6" w:rsidRPr="00E26EF6">
              <w:rPr>
                <w:rFonts w:ascii="Times New Roman" w:hAnsi="Times New Roman"/>
                <w:sz w:val="24"/>
              </w:rPr>
              <w:t xml:space="preserve"> w ram</w:t>
            </w:r>
            <w:r w:rsidRPr="00E26EF6">
              <w:rPr>
                <w:rFonts w:ascii="Times New Roman" w:hAnsi="Times New Roman"/>
                <w:sz w:val="24"/>
              </w:rPr>
              <w:t xml:space="preserve">ach danej sekurytyzacji. </w:t>
            </w:r>
          </w:p>
          <w:p w14:paraId="7A38027F"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557AB33B" w14:textId="77777777" w:rsidTr="00E10B85">
        <w:tc>
          <w:tcPr>
            <w:tcW w:w="1101" w:type="dxa"/>
          </w:tcPr>
          <w:p w14:paraId="02552CE5"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lastRenderedPageBreak/>
              <w:t>221</w:t>
            </w:r>
          </w:p>
        </w:tc>
        <w:tc>
          <w:tcPr>
            <w:tcW w:w="7903" w:type="dxa"/>
          </w:tcPr>
          <w:p w14:paraId="18A7F5F5" w14:textId="77777777" w:rsidR="00915077" w:rsidRPr="00E26EF6" w:rsidRDefault="00C55547">
            <w:pPr>
              <w:spacing w:before="0" w:after="0"/>
              <w:jc w:val="left"/>
              <w:rPr>
                <w:rFonts w:ascii="Times New Roman" w:hAnsi="Times New Roman"/>
                <w:b/>
                <w:sz w:val="24"/>
                <w:u w:val="single"/>
                <w:vertAlign w:val="subscript"/>
              </w:rPr>
            </w:pPr>
            <w:r w:rsidRPr="00E26EF6">
              <w:rPr>
                <w:rFonts w:ascii="Times New Roman" w:hAnsi="Times New Roman"/>
                <w:b/>
                <w:sz w:val="24"/>
                <w:u w:val="single"/>
              </w:rPr>
              <w:t>WYMOGI W ZAKRESIE FUNDUSZY WŁASNYCH PRZED SEKURYTYZACJĄ (%) K</w:t>
            </w:r>
            <w:r w:rsidRPr="00E26EF6">
              <w:rPr>
                <w:rFonts w:ascii="Times New Roman" w:hAnsi="Times New Roman"/>
                <w:b/>
                <w:sz w:val="24"/>
                <w:u w:val="single"/>
                <w:vertAlign w:val="subscript"/>
              </w:rPr>
              <w:t>IRB</w:t>
            </w:r>
          </w:p>
          <w:p w14:paraId="7E936449" w14:textId="77777777" w:rsidR="00915077" w:rsidRPr="00E26EF6" w:rsidRDefault="00915077">
            <w:pPr>
              <w:spacing w:before="0" w:after="0"/>
              <w:jc w:val="left"/>
              <w:rPr>
                <w:rFonts w:ascii="Times New Roman" w:hAnsi="Times New Roman"/>
                <w:sz w:val="24"/>
              </w:rPr>
            </w:pPr>
          </w:p>
          <w:p w14:paraId="777B42C5" w14:textId="28846143"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Tę kolumnę zgłaszają tylko instytucje stosujące metodę SEC-IRBA (a zatem zgłaszające co najmniej 95</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w kol</w:t>
            </w:r>
            <w:r w:rsidRPr="00E26EF6">
              <w:rPr>
                <w:rFonts w:ascii="Times New Roman" w:hAnsi="Times New Roman"/>
                <w:sz w:val="24"/>
              </w:rPr>
              <w:t>umnie 171); gromadzi się</w:t>
            </w:r>
            <w:r w:rsidR="00E26EF6" w:rsidRPr="00E26EF6">
              <w:rPr>
                <w:rFonts w:ascii="Times New Roman" w:hAnsi="Times New Roman"/>
                <w:sz w:val="24"/>
              </w:rPr>
              <w:t xml:space="preserve"> w nie</w:t>
            </w:r>
            <w:r w:rsidRPr="00E26EF6">
              <w:rPr>
                <w:rFonts w:ascii="Times New Roman" w:hAnsi="Times New Roman"/>
                <w:sz w:val="24"/>
              </w:rPr>
              <w:t>j informacje na temat K</w:t>
            </w:r>
            <w:r w:rsidRPr="00E26EF6">
              <w:rPr>
                <w:rFonts w:ascii="Times New Roman" w:hAnsi="Times New Roman"/>
                <w:sz w:val="24"/>
                <w:vertAlign w:val="subscript"/>
              </w:rPr>
              <w:t>IRB</w:t>
            </w:r>
            <w:r w:rsidRPr="00E26EF6">
              <w:rPr>
                <w:rFonts w:ascii="Times New Roman" w:hAnsi="Times New Roman"/>
                <w:sz w:val="24"/>
              </w:rPr>
              <w:t>,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255 CRR. K</w:t>
            </w:r>
            <w:r w:rsidRPr="00E26EF6">
              <w:rPr>
                <w:rFonts w:ascii="Times New Roman" w:hAnsi="Times New Roman"/>
                <w:sz w:val="24"/>
                <w:vertAlign w:val="subscript"/>
              </w:rPr>
              <w:t>IRB</w:t>
            </w:r>
            <w:r w:rsidRPr="00E26EF6">
              <w:rPr>
                <w:rFonts w:ascii="Times New Roman" w:hAnsi="Times New Roman"/>
                <w:sz w:val="24"/>
              </w:rPr>
              <w:t xml:space="preserve"> wyraża się jako wartość procentową (z dwoma miejscami po przecinku).</w:t>
            </w:r>
          </w:p>
          <w:p w14:paraId="4EBD8251" w14:textId="77777777" w:rsidR="00915077" w:rsidRPr="00E26EF6" w:rsidRDefault="00915077">
            <w:pPr>
              <w:autoSpaceDE w:val="0"/>
              <w:autoSpaceDN w:val="0"/>
              <w:adjustRightInd w:val="0"/>
              <w:spacing w:before="0" w:after="0"/>
              <w:rPr>
                <w:rFonts w:ascii="Times New Roman" w:hAnsi="Times New Roman"/>
                <w:sz w:val="24"/>
              </w:rPr>
            </w:pPr>
          </w:p>
          <w:p w14:paraId="573D35EA" w14:textId="39C9912E"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Niniejszej kolumny nie zgłasza się</w:t>
            </w:r>
            <w:r w:rsidR="00E26EF6" w:rsidRPr="00E26EF6">
              <w:rPr>
                <w:rFonts w:ascii="Times New Roman" w:hAnsi="Times New Roman"/>
                <w:sz w:val="24"/>
              </w:rPr>
              <w:t xml:space="preserve"> w prz</w:t>
            </w:r>
            <w:r w:rsidRPr="00E26EF6">
              <w:rPr>
                <w:rFonts w:ascii="Times New Roman" w:hAnsi="Times New Roman"/>
                <w:sz w:val="24"/>
              </w:rPr>
              <w:t>ypadku sekurytyzacji zobowiązań</w:t>
            </w:r>
            <w:r w:rsidR="00E26EF6" w:rsidRPr="00E26EF6">
              <w:rPr>
                <w:rFonts w:ascii="Times New Roman" w:hAnsi="Times New Roman"/>
                <w:sz w:val="24"/>
              </w:rPr>
              <w:t>. W prz</w:t>
            </w:r>
            <w:r w:rsidRPr="00E26EF6">
              <w:rPr>
                <w:rFonts w:ascii="Times New Roman" w:hAnsi="Times New Roman"/>
                <w:sz w:val="24"/>
              </w:rPr>
              <w:t>ypadku sekurytyzacji aktywów informację tę zgłasza się, nawet gdy jednostka sprawozdająca nie posiada pozycji</w:t>
            </w:r>
            <w:r w:rsidR="00E26EF6" w:rsidRPr="00E26EF6">
              <w:rPr>
                <w:rFonts w:ascii="Times New Roman" w:hAnsi="Times New Roman"/>
                <w:sz w:val="24"/>
              </w:rPr>
              <w:t xml:space="preserve"> w ram</w:t>
            </w:r>
            <w:r w:rsidRPr="00E26EF6">
              <w:rPr>
                <w:rFonts w:ascii="Times New Roman" w:hAnsi="Times New Roman"/>
                <w:sz w:val="24"/>
              </w:rPr>
              <w:t xml:space="preserve">ach danej sekurytyzacji. </w:t>
            </w:r>
          </w:p>
          <w:p w14:paraId="624A3FB3"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2E47BDD5" w14:textId="77777777" w:rsidTr="00E10B85">
        <w:tc>
          <w:tcPr>
            <w:tcW w:w="1101" w:type="dxa"/>
          </w:tcPr>
          <w:p w14:paraId="5F3ACC47"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222</w:t>
            </w:r>
          </w:p>
        </w:tc>
        <w:tc>
          <w:tcPr>
            <w:tcW w:w="7903" w:type="dxa"/>
          </w:tcPr>
          <w:p w14:paraId="6DBBA492"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EKSPOZYCJI DETALICZNYCH W PULACH IRB</w:t>
            </w:r>
          </w:p>
          <w:p w14:paraId="52A55AA4" w14:textId="77777777" w:rsidR="00915077" w:rsidRPr="00E26EF6" w:rsidRDefault="00915077">
            <w:pPr>
              <w:autoSpaceDE w:val="0"/>
              <w:autoSpaceDN w:val="0"/>
              <w:adjustRightInd w:val="0"/>
              <w:spacing w:before="0" w:after="0"/>
              <w:jc w:val="left"/>
              <w:rPr>
                <w:rFonts w:ascii="Times New Roman" w:hAnsi="Times New Roman"/>
                <w:sz w:val="24"/>
              </w:rPr>
            </w:pPr>
          </w:p>
          <w:p w14:paraId="2C932B1C" w14:textId="220E4D62"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Pule IRB, zgodnie</w:t>
            </w:r>
            <w:r w:rsidR="00E26EF6" w:rsidRPr="00E26EF6">
              <w:rPr>
                <w:rFonts w:ascii="Times New Roman" w:hAnsi="Times New Roman"/>
                <w:sz w:val="24"/>
              </w:rPr>
              <w:t xml:space="preserve"> z def</w:t>
            </w:r>
            <w:r w:rsidRPr="00E26EF6">
              <w:rPr>
                <w:rFonts w:ascii="Times New Roman" w:hAnsi="Times New Roman"/>
                <w:sz w:val="24"/>
              </w:rPr>
              <w:t>inicją</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pkt</w:t>
            </w:r>
            <w:r w:rsidR="00023409" w:rsidRPr="00E26EF6">
              <w:rPr>
                <w:rFonts w:ascii="Times New Roman" w:hAnsi="Times New Roman"/>
                <w:sz w:val="24"/>
              </w:rPr>
              <w:t> </w:t>
            </w:r>
            <w:r w:rsidRPr="00E26EF6">
              <w:rPr>
                <w:rFonts w:ascii="Times New Roman" w:hAnsi="Times New Roman"/>
                <w:sz w:val="24"/>
              </w:rPr>
              <w:t>7 CRR, pod warunkiem że instytucja jest</w:t>
            </w:r>
            <w:r w:rsidR="00E26EF6" w:rsidRPr="00E26EF6">
              <w:rPr>
                <w:rFonts w:ascii="Times New Roman" w:hAnsi="Times New Roman"/>
                <w:sz w:val="24"/>
              </w:rPr>
              <w:t xml:space="preserve"> w sta</w:t>
            </w:r>
            <w:r w:rsidRPr="00E26EF6">
              <w:rPr>
                <w:rFonts w:ascii="Times New Roman" w:hAnsi="Times New Roman"/>
                <w:sz w:val="24"/>
              </w:rPr>
              <w:t>nie obliczyć K</w:t>
            </w:r>
            <w:r w:rsidRPr="00E26EF6">
              <w:rPr>
                <w:rFonts w:ascii="Times New Roman" w:hAnsi="Times New Roman"/>
                <w:sz w:val="24"/>
                <w:vertAlign w:val="subscript"/>
              </w:rPr>
              <w:t>IRB</w:t>
            </w:r>
            <w:r w:rsidRPr="00E26EF6">
              <w:rPr>
                <w:rFonts w:ascii="Times New Roman" w:hAnsi="Times New Roman"/>
                <w:sz w:val="24"/>
              </w:rPr>
              <w:t xml:space="preserve"> zgodnie</w:t>
            </w:r>
            <w:r w:rsidR="00E26EF6" w:rsidRPr="00E26EF6">
              <w:rPr>
                <w:rFonts w:ascii="Times New Roman" w:hAnsi="Times New Roman"/>
                <w:sz w:val="24"/>
              </w:rPr>
              <w:t xml:space="preserve"> z czę</w:t>
            </w:r>
            <w:r w:rsidRPr="00E26EF6">
              <w:rPr>
                <w:rFonts w:ascii="Times New Roman" w:hAnsi="Times New Roman"/>
                <w:sz w:val="24"/>
              </w:rPr>
              <w:t>ścią trzecią, tytuł II, rozdział 6, sekcja 3 CRR</w:t>
            </w:r>
            <w:r w:rsidR="00E26EF6" w:rsidRPr="00E26EF6">
              <w:rPr>
                <w:rFonts w:ascii="Times New Roman" w:hAnsi="Times New Roman"/>
                <w:sz w:val="24"/>
              </w:rPr>
              <w:t xml:space="preserve"> w odn</w:t>
            </w:r>
            <w:r w:rsidRPr="00E26EF6">
              <w:rPr>
                <w:rFonts w:ascii="Times New Roman" w:hAnsi="Times New Roman"/>
                <w:sz w:val="24"/>
              </w:rPr>
              <w:t>iesieniu do co najmniej 95</w:t>
            </w:r>
            <w:r w:rsidR="00023409" w:rsidRPr="00E26EF6">
              <w:rPr>
                <w:rFonts w:ascii="Times New Roman" w:hAnsi="Times New Roman"/>
                <w:sz w:val="24"/>
              </w:rPr>
              <w:t> </w:t>
            </w:r>
            <w:r w:rsidRPr="00E26EF6">
              <w:rPr>
                <w:rFonts w:ascii="Times New Roman" w:hAnsi="Times New Roman"/>
                <w:sz w:val="24"/>
              </w:rPr>
              <w:t>% kwoty ekspozycji bazowych (art.</w:t>
            </w:r>
            <w:r w:rsidR="00023409" w:rsidRPr="00E26EF6">
              <w:rPr>
                <w:rFonts w:ascii="Times New Roman" w:hAnsi="Times New Roman"/>
                <w:sz w:val="24"/>
              </w:rPr>
              <w:t> </w:t>
            </w:r>
            <w:r w:rsidRPr="00E26EF6">
              <w:rPr>
                <w:rFonts w:ascii="Times New Roman" w:hAnsi="Times New Roman"/>
                <w:sz w:val="24"/>
              </w:rPr>
              <w:t>259 ust.</w:t>
            </w:r>
            <w:r w:rsidR="00023409" w:rsidRPr="00E26EF6">
              <w:rPr>
                <w:rFonts w:ascii="Times New Roman" w:hAnsi="Times New Roman"/>
                <w:sz w:val="24"/>
              </w:rPr>
              <w:t> </w:t>
            </w:r>
            <w:r w:rsidRPr="00E26EF6">
              <w:rPr>
                <w:rFonts w:ascii="Times New Roman" w:hAnsi="Times New Roman"/>
                <w:sz w:val="24"/>
              </w:rPr>
              <w:t xml:space="preserve">2 CRR). </w:t>
            </w:r>
          </w:p>
          <w:p w14:paraId="24E9895F"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60E48A4A" w14:textId="77777777" w:rsidTr="00E10B85">
        <w:tc>
          <w:tcPr>
            <w:tcW w:w="1101" w:type="dxa"/>
          </w:tcPr>
          <w:p w14:paraId="114A5053"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223</w:t>
            </w:r>
          </w:p>
        </w:tc>
        <w:tc>
          <w:tcPr>
            <w:tcW w:w="7903" w:type="dxa"/>
          </w:tcPr>
          <w:p w14:paraId="6AF83F9D"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WYMOGI W ZAKRESIE FUNDUSZY WŁASNYCH PRZED SEKURYTYZACJĄ (%) K</w:t>
            </w:r>
            <w:r w:rsidRPr="00E26EF6">
              <w:rPr>
                <w:rFonts w:ascii="Times New Roman" w:hAnsi="Times New Roman"/>
                <w:b/>
                <w:sz w:val="24"/>
                <w:u w:val="single"/>
                <w:vertAlign w:val="subscript"/>
              </w:rPr>
              <w:t>sa</w:t>
            </w:r>
          </w:p>
          <w:p w14:paraId="50AD6478"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26F421F1" w14:textId="2D75D91D"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Nawet gdy instytucja nie stosuje metody SEC-SA</w:t>
            </w:r>
            <w:r w:rsidR="00E26EF6" w:rsidRPr="00E26EF6">
              <w:rPr>
                <w:rFonts w:ascii="Times New Roman" w:hAnsi="Times New Roman"/>
                <w:sz w:val="24"/>
              </w:rPr>
              <w:t xml:space="preserve"> w odn</w:t>
            </w:r>
            <w:r w:rsidRPr="00E26EF6">
              <w:rPr>
                <w:rFonts w:ascii="Times New Roman" w:hAnsi="Times New Roman"/>
                <w:sz w:val="24"/>
              </w:rPr>
              <w:t>iesieniu do pozycji sekurytyzacyjnych, instytucja zgłasza niniejszą kolumnę</w:t>
            </w:r>
            <w:r w:rsidR="00E26EF6" w:rsidRPr="00E26EF6">
              <w:rPr>
                <w:rFonts w:ascii="Times New Roman" w:hAnsi="Times New Roman"/>
                <w:sz w:val="24"/>
              </w:rPr>
              <w:t>. W nin</w:t>
            </w:r>
            <w:r w:rsidRPr="00E26EF6">
              <w:rPr>
                <w:rFonts w:ascii="Times New Roman" w:hAnsi="Times New Roman"/>
                <w:sz w:val="24"/>
              </w:rPr>
              <w:t>iejszej kolumnie gromadzi się informacje na temat K</w:t>
            </w:r>
            <w:r w:rsidRPr="00E26EF6">
              <w:rPr>
                <w:rFonts w:ascii="Times New Roman" w:hAnsi="Times New Roman"/>
                <w:sz w:val="24"/>
                <w:vertAlign w:val="subscript"/>
              </w:rPr>
              <w:t>SA</w:t>
            </w:r>
            <w:r w:rsidRPr="00E26EF6">
              <w:rPr>
                <w:rFonts w:ascii="Times New Roman" w:hAnsi="Times New Roman"/>
                <w:sz w:val="24"/>
              </w:rPr>
              <w:t>,</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255 ust.</w:t>
            </w:r>
            <w:r w:rsidR="00023409" w:rsidRPr="00E26EF6">
              <w:rPr>
                <w:rFonts w:ascii="Times New Roman" w:hAnsi="Times New Roman"/>
                <w:sz w:val="24"/>
              </w:rPr>
              <w:t> </w:t>
            </w:r>
            <w:r w:rsidRPr="00E26EF6">
              <w:rPr>
                <w:rFonts w:ascii="Times New Roman" w:hAnsi="Times New Roman"/>
                <w:sz w:val="24"/>
              </w:rPr>
              <w:t>6 CRR. K</w:t>
            </w:r>
            <w:r w:rsidRPr="00E26EF6">
              <w:rPr>
                <w:rFonts w:ascii="Times New Roman" w:hAnsi="Times New Roman"/>
                <w:sz w:val="24"/>
                <w:vertAlign w:val="subscript"/>
              </w:rPr>
              <w:t>SA</w:t>
            </w:r>
            <w:r w:rsidRPr="00E26EF6">
              <w:rPr>
                <w:rFonts w:ascii="Times New Roman" w:hAnsi="Times New Roman"/>
                <w:sz w:val="24"/>
              </w:rPr>
              <w:t xml:space="preserve"> wyraża się jako wartość procentową (z dwoma miejscami po przecinku).</w:t>
            </w:r>
          </w:p>
          <w:p w14:paraId="7EC6E5ED" w14:textId="77777777" w:rsidR="00915077" w:rsidRPr="00E26EF6" w:rsidRDefault="00915077">
            <w:pPr>
              <w:autoSpaceDE w:val="0"/>
              <w:autoSpaceDN w:val="0"/>
              <w:adjustRightInd w:val="0"/>
              <w:spacing w:before="0" w:after="0"/>
              <w:rPr>
                <w:rFonts w:ascii="Times New Roman" w:hAnsi="Times New Roman"/>
                <w:sz w:val="24"/>
              </w:rPr>
            </w:pPr>
          </w:p>
          <w:p w14:paraId="2F6FAAF6" w14:textId="1C88CFB4"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Niniejszej kolumny nie zgłasza się</w:t>
            </w:r>
            <w:r w:rsidR="00E26EF6" w:rsidRPr="00E26EF6">
              <w:rPr>
                <w:rFonts w:ascii="Times New Roman" w:hAnsi="Times New Roman"/>
                <w:sz w:val="24"/>
              </w:rPr>
              <w:t xml:space="preserve"> w prz</w:t>
            </w:r>
            <w:r w:rsidRPr="00E26EF6">
              <w:rPr>
                <w:rFonts w:ascii="Times New Roman" w:hAnsi="Times New Roman"/>
                <w:sz w:val="24"/>
              </w:rPr>
              <w:t>ypadku sekurytyzacji zobowiązań</w:t>
            </w:r>
            <w:r w:rsidR="00E26EF6" w:rsidRPr="00E26EF6">
              <w:rPr>
                <w:rFonts w:ascii="Times New Roman" w:hAnsi="Times New Roman"/>
                <w:sz w:val="24"/>
              </w:rPr>
              <w:t>. W prz</w:t>
            </w:r>
            <w:r w:rsidRPr="00E26EF6">
              <w:rPr>
                <w:rFonts w:ascii="Times New Roman" w:hAnsi="Times New Roman"/>
                <w:sz w:val="24"/>
              </w:rPr>
              <w:t>ypadku sekurytyzacji aktywów informację tę zgłasza się, nawet gdy jednostka sprawozdająca nie posiada pozycji</w:t>
            </w:r>
            <w:r w:rsidR="00E26EF6" w:rsidRPr="00E26EF6">
              <w:rPr>
                <w:rFonts w:ascii="Times New Roman" w:hAnsi="Times New Roman"/>
                <w:sz w:val="24"/>
              </w:rPr>
              <w:t xml:space="preserve"> w ram</w:t>
            </w:r>
            <w:r w:rsidRPr="00E26EF6">
              <w:rPr>
                <w:rFonts w:ascii="Times New Roman" w:hAnsi="Times New Roman"/>
                <w:sz w:val="24"/>
              </w:rPr>
              <w:t xml:space="preserve">ach danej sekurytyzacji. </w:t>
            </w:r>
          </w:p>
          <w:p w14:paraId="69FE6E90"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17C21F93" w14:textId="77777777" w:rsidTr="00E10B85">
        <w:tc>
          <w:tcPr>
            <w:tcW w:w="1101" w:type="dxa"/>
          </w:tcPr>
          <w:p w14:paraId="3A9A1C03"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225</w:t>
            </w:r>
          </w:p>
        </w:tc>
        <w:tc>
          <w:tcPr>
            <w:tcW w:w="7903" w:type="dxa"/>
          </w:tcPr>
          <w:p w14:paraId="453184D8" w14:textId="77777777" w:rsidR="00915077" w:rsidRPr="00E26EF6" w:rsidRDefault="00C55547">
            <w:pPr>
              <w:autoSpaceDE w:val="0"/>
              <w:autoSpaceDN w:val="0"/>
              <w:adjustRightInd w:val="0"/>
              <w:spacing w:before="0" w:after="0"/>
              <w:jc w:val="left"/>
              <w:rPr>
                <w:rFonts w:ascii="Times New Roman" w:hAnsi="Times New Roman"/>
                <w:b/>
                <w:sz w:val="24"/>
                <w:highlight w:val="lightGray"/>
                <w:u w:val="single"/>
              </w:rPr>
            </w:pPr>
            <w:r w:rsidRPr="00E26EF6">
              <w:rPr>
                <w:rFonts w:ascii="Times New Roman" w:hAnsi="Times New Roman"/>
                <w:b/>
                <w:sz w:val="24"/>
                <w:u w:val="single"/>
              </w:rPr>
              <w:t>POZYCJE UZUPEŁNIAJĄCE</w:t>
            </w:r>
          </w:p>
        </w:tc>
      </w:tr>
      <w:tr w:rsidR="00915077" w:rsidRPr="00E26EF6" w14:paraId="7F0CF1B3" w14:textId="77777777" w:rsidTr="00E10B85">
        <w:tc>
          <w:tcPr>
            <w:tcW w:w="1101" w:type="dxa"/>
          </w:tcPr>
          <w:p w14:paraId="0D41FA5C"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225</w:t>
            </w:r>
          </w:p>
        </w:tc>
        <w:tc>
          <w:tcPr>
            <w:tcW w:w="7903" w:type="dxa"/>
          </w:tcPr>
          <w:p w14:paraId="372E587D"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 xml:space="preserve">KOREKTY Z TYTUŁU RYZYKA KREDYTOWEGO W BIEŻĄCYM OKRESIE </w:t>
            </w:r>
          </w:p>
          <w:p w14:paraId="08058EAD"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583F3F77" w14:textId="549E1A72"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Art. 110 CRR</w:t>
            </w:r>
          </w:p>
          <w:p w14:paraId="0D72900D"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5A9945E1" w14:textId="77777777" w:rsidTr="00E10B85">
        <w:tc>
          <w:tcPr>
            <w:tcW w:w="1101" w:type="dxa"/>
          </w:tcPr>
          <w:p w14:paraId="2EA15BF6"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230-304</w:t>
            </w:r>
          </w:p>
        </w:tc>
        <w:tc>
          <w:tcPr>
            <w:tcW w:w="7903" w:type="dxa"/>
          </w:tcPr>
          <w:p w14:paraId="7F51B0A0"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PROGRAM SEKURYTYZACYJNY</w:t>
            </w:r>
          </w:p>
          <w:p w14:paraId="7BF1D62B" w14:textId="77777777" w:rsidR="00915077" w:rsidRPr="00E26EF6" w:rsidRDefault="00915077">
            <w:pPr>
              <w:autoSpaceDE w:val="0"/>
              <w:autoSpaceDN w:val="0"/>
              <w:adjustRightInd w:val="0"/>
              <w:spacing w:before="0" w:after="0"/>
              <w:jc w:val="left"/>
              <w:rPr>
                <w:rFonts w:ascii="Times New Roman" w:hAnsi="Times New Roman"/>
                <w:sz w:val="24"/>
                <w:u w:val="single"/>
              </w:rPr>
            </w:pPr>
          </w:p>
          <w:p w14:paraId="07B22D21" w14:textId="7ED33478"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W tym zestawieniu sześciu kolumn gromadzone są informacje na temat struktury sekurytyzacji na podstawie pozycji bilansowych/pozabilansowych, transz (uprzywilejowane / typu mezzanine / pierwszej straty) oraz terminu zapadalności</w:t>
            </w:r>
            <w:r w:rsidR="00E26EF6" w:rsidRPr="00E26EF6">
              <w:rPr>
                <w:rFonts w:ascii="Times New Roman" w:hAnsi="Times New Roman"/>
                <w:sz w:val="24"/>
              </w:rPr>
              <w:t xml:space="preserve"> w dni</w:t>
            </w:r>
            <w:r w:rsidRPr="00E26EF6">
              <w:rPr>
                <w:rFonts w:ascii="Times New Roman" w:hAnsi="Times New Roman"/>
                <w:sz w:val="24"/>
              </w:rPr>
              <w:t xml:space="preserve">u sprawozdawczym. </w:t>
            </w:r>
          </w:p>
          <w:p w14:paraId="597A080E" w14:textId="77777777" w:rsidR="00915077" w:rsidRPr="00E26EF6" w:rsidRDefault="00915077">
            <w:pPr>
              <w:autoSpaceDE w:val="0"/>
              <w:autoSpaceDN w:val="0"/>
              <w:adjustRightInd w:val="0"/>
              <w:spacing w:before="0" w:after="0"/>
              <w:rPr>
                <w:rFonts w:ascii="Times New Roman" w:hAnsi="Times New Roman"/>
                <w:sz w:val="24"/>
              </w:rPr>
            </w:pPr>
          </w:p>
          <w:p w14:paraId="3993DC59" w14:textId="72EFDDC9" w:rsidR="00915077" w:rsidRPr="00E26EF6" w:rsidRDefault="005E5070">
            <w:pPr>
              <w:spacing w:before="0" w:after="0"/>
              <w:rPr>
                <w:rFonts w:ascii="Times New Roman" w:hAnsi="Times New Roman"/>
                <w:sz w:val="24"/>
              </w:rPr>
            </w:pPr>
            <w:r w:rsidRPr="00E26EF6">
              <w:rPr>
                <w:rFonts w:ascii="Times New Roman" w:hAnsi="Times New Roman"/>
                <w:sz w:val="24"/>
              </w:rPr>
              <w:lastRenderedPageBreak/>
              <w:t>W przypadku programów sekurytyzacyjnych</w:t>
            </w:r>
            <w:r w:rsidR="00E26EF6" w:rsidRPr="00E26EF6">
              <w:rPr>
                <w:rFonts w:ascii="Times New Roman" w:hAnsi="Times New Roman"/>
                <w:sz w:val="24"/>
              </w:rPr>
              <w:t xml:space="preserve"> z wie</w:t>
            </w:r>
            <w:r w:rsidRPr="00E26EF6">
              <w:rPr>
                <w:rFonts w:ascii="Times New Roman" w:hAnsi="Times New Roman"/>
                <w:sz w:val="24"/>
              </w:rPr>
              <w:t>loma zbywającymi zgłasza się tylko kwotę odpowiadającą lub przypisywaną instytucji sprawozdającej.</w:t>
            </w:r>
          </w:p>
          <w:p w14:paraId="7879254F" w14:textId="77777777" w:rsidR="00915077" w:rsidRPr="00E26EF6" w:rsidRDefault="00915077">
            <w:pPr>
              <w:spacing w:before="0" w:after="0"/>
              <w:jc w:val="left"/>
              <w:rPr>
                <w:rFonts w:ascii="Times New Roman" w:hAnsi="Times New Roman"/>
                <w:sz w:val="24"/>
                <w:highlight w:val="lightGray"/>
              </w:rPr>
            </w:pPr>
          </w:p>
        </w:tc>
      </w:tr>
      <w:tr w:rsidR="00915077" w:rsidRPr="00E26EF6" w14:paraId="030979A3" w14:textId="77777777" w:rsidTr="00E10B85">
        <w:tc>
          <w:tcPr>
            <w:tcW w:w="1101" w:type="dxa"/>
          </w:tcPr>
          <w:p w14:paraId="451A9E15"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230-252</w:t>
            </w:r>
          </w:p>
        </w:tc>
        <w:tc>
          <w:tcPr>
            <w:tcW w:w="7903" w:type="dxa"/>
          </w:tcPr>
          <w:p w14:paraId="292F6133"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POZYCJE BILANSOWE</w:t>
            </w:r>
          </w:p>
          <w:p w14:paraId="19B0A5A4"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28CF3C54" w14:textId="0F7EA6FE"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W tym zestawieniu sześciu kolumn gromadzone są informacje na temat pozycji bilansowych</w:t>
            </w:r>
            <w:r w:rsidR="00E26EF6" w:rsidRPr="00E26EF6">
              <w:rPr>
                <w:rFonts w:ascii="Times New Roman" w:hAnsi="Times New Roman"/>
                <w:sz w:val="24"/>
              </w:rPr>
              <w:t xml:space="preserve"> z pod</w:t>
            </w:r>
            <w:r w:rsidRPr="00E26EF6">
              <w:rPr>
                <w:rFonts w:ascii="Times New Roman" w:hAnsi="Times New Roman"/>
                <w:sz w:val="24"/>
              </w:rPr>
              <w:t>ziałem na transze (uprzywilejowane/typu mezzanine/pierwszej straty).</w:t>
            </w:r>
          </w:p>
          <w:p w14:paraId="314A1B63"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37F222B7" w14:textId="77777777" w:rsidTr="00E10B85">
        <w:tc>
          <w:tcPr>
            <w:tcW w:w="1101" w:type="dxa"/>
          </w:tcPr>
          <w:p w14:paraId="1D8C1F6F"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230-232</w:t>
            </w:r>
          </w:p>
        </w:tc>
        <w:tc>
          <w:tcPr>
            <w:tcW w:w="7903" w:type="dxa"/>
          </w:tcPr>
          <w:p w14:paraId="239EA82A"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UPRZYWILEJOWANE</w:t>
            </w:r>
          </w:p>
          <w:p w14:paraId="18A61EA3"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7AB80D13" w14:textId="77777777" w:rsidTr="00E10B85">
        <w:tc>
          <w:tcPr>
            <w:tcW w:w="1101" w:type="dxa"/>
          </w:tcPr>
          <w:p w14:paraId="5F2A959A"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230</w:t>
            </w:r>
          </w:p>
        </w:tc>
        <w:tc>
          <w:tcPr>
            <w:tcW w:w="7903" w:type="dxa"/>
          </w:tcPr>
          <w:p w14:paraId="7FBA2DF3"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KWOTA</w:t>
            </w:r>
          </w:p>
          <w:p w14:paraId="2481D0E5"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2337A05C" w14:textId="0CB09E1F"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Kwota uprzywilejowanych pozycji sekurytyzacyjnych zdefiniowana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ust.</w:t>
            </w:r>
            <w:r w:rsidR="00023409" w:rsidRPr="00E26EF6">
              <w:rPr>
                <w:rFonts w:ascii="Times New Roman" w:hAnsi="Times New Roman"/>
                <w:sz w:val="24"/>
              </w:rPr>
              <w:t> </w:t>
            </w:r>
            <w:r w:rsidRPr="00E26EF6">
              <w:rPr>
                <w:rFonts w:ascii="Times New Roman" w:hAnsi="Times New Roman"/>
                <w:sz w:val="24"/>
              </w:rPr>
              <w:t>6 CRR.</w:t>
            </w:r>
          </w:p>
          <w:p w14:paraId="280FA19F"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74EF90DC" w14:textId="77777777" w:rsidTr="00E10B85">
        <w:tc>
          <w:tcPr>
            <w:tcW w:w="1101" w:type="dxa"/>
          </w:tcPr>
          <w:p w14:paraId="01DA9A93"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231</w:t>
            </w:r>
          </w:p>
        </w:tc>
        <w:tc>
          <w:tcPr>
            <w:tcW w:w="7903" w:type="dxa"/>
          </w:tcPr>
          <w:p w14:paraId="3A68B8DE"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PUNKT INICJUJĄCY (%)</w:t>
            </w:r>
          </w:p>
          <w:p w14:paraId="5E88F0B8"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4687AC0B" w14:textId="47251D2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Punkt inicjujący (%),</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256 ust.</w:t>
            </w:r>
            <w:r w:rsidR="00023409" w:rsidRPr="00E26EF6">
              <w:rPr>
                <w:rFonts w:ascii="Times New Roman" w:hAnsi="Times New Roman"/>
                <w:sz w:val="24"/>
              </w:rPr>
              <w:t> </w:t>
            </w:r>
            <w:r w:rsidRPr="00E26EF6">
              <w:rPr>
                <w:rFonts w:ascii="Times New Roman" w:hAnsi="Times New Roman"/>
                <w:sz w:val="24"/>
              </w:rPr>
              <w:t>1 CRR.</w:t>
            </w:r>
          </w:p>
          <w:p w14:paraId="5DDFFCBC"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6863D268" w14:textId="77777777" w:rsidTr="00E10B85">
        <w:tc>
          <w:tcPr>
            <w:tcW w:w="1101" w:type="dxa"/>
          </w:tcPr>
          <w:p w14:paraId="25953C96" w14:textId="38CBB76E"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232</w:t>
            </w:r>
            <w:r w:rsidR="00E26EF6" w:rsidRPr="00E26EF6">
              <w:rPr>
                <w:rFonts w:ascii="Times New Roman" w:hAnsi="Times New Roman"/>
                <w:sz w:val="24"/>
              </w:rPr>
              <w:t xml:space="preserve"> i 2</w:t>
            </w:r>
            <w:r w:rsidRPr="00E26EF6">
              <w:rPr>
                <w:rFonts w:ascii="Times New Roman" w:hAnsi="Times New Roman"/>
                <w:sz w:val="24"/>
              </w:rPr>
              <w:t>52</w:t>
            </w:r>
          </w:p>
        </w:tc>
        <w:tc>
          <w:tcPr>
            <w:tcW w:w="7903" w:type="dxa"/>
          </w:tcPr>
          <w:p w14:paraId="69421949"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CQS (Stopień jakości kredytowej)</w:t>
            </w:r>
          </w:p>
          <w:p w14:paraId="27D0FAB6"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172ECEE5" w14:textId="584892AB"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sz w:val="24"/>
              </w:rPr>
              <w:t>Stopnie jakości kredytowej przewidziane dla instytucji stosujących metodę SEC-ERBA (tabela 1</w:t>
            </w:r>
            <w:r w:rsidR="00E26EF6" w:rsidRPr="00E26EF6">
              <w:rPr>
                <w:rFonts w:ascii="Times New Roman" w:hAnsi="Times New Roman"/>
                <w:sz w:val="24"/>
              </w:rPr>
              <w:t xml:space="preserve"> i 2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263 oraz tabele 3</w:t>
            </w:r>
            <w:r w:rsidR="00E26EF6" w:rsidRPr="00E26EF6">
              <w:rPr>
                <w:rFonts w:ascii="Times New Roman" w:hAnsi="Times New Roman"/>
                <w:sz w:val="24"/>
              </w:rPr>
              <w:t xml:space="preserve"> i 4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264 CRR). Kolumny te zgłasza się</w:t>
            </w:r>
            <w:r w:rsidR="00E26EF6" w:rsidRPr="00E26EF6">
              <w:rPr>
                <w:rFonts w:ascii="Times New Roman" w:hAnsi="Times New Roman"/>
                <w:sz w:val="24"/>
              </w:rPr>
              <w:t xml:space="preserve"> w odn</w:t>
            </w:r>
            <w:r w:rsidRPr="00E26EF6">
              <w:rPr>
                <w:rFonts w:ascii="Times New Roman" w:hAnsi="Times New Roman"/>
                <w:sz w:val="24"/>
              </w:rPr>
              <w:t>iesieniu do wszystkich ocenianych transakcji, niezależnie od zastosowanej metody.</w:t>
            </w:r>
          </w:p>
          <w:p w14:paraId="79C3D232"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05A5C118" w14:textId="77777777" w:rsidTr="00E10B85">
        <w:tc>
          <w:tcPr>
            <w:tcW w:w="1101" w:type="dxa"/>
          </w:tcPr>
          <w:p w14:paraId="588BBE90"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240-242</w:t>
            </w:r>
          </w:p>
        </w:tc>
        <w:tc>
          <w:tcPr>
            <w:tcW w:w="7903" w:type="dxa"/>
          </w:tcPr>
          <w:p w14:paraId="041A91E7"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TYPU MEZZANINE</w:t>
            </w:r>
          </w:p>
          <w:p w14:paraId="0A5BFA80"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4A86FB45" w14:textId="77777777" w:rsidTr="00E10B85">
        <w:tc>
          <w:tcPr>
            <w:tcW w:w="1101" w:type="dxa"/>
          </w:tcPr>
          <w:p w14:paraId="42ED58DC"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240</w:t>
            </w:r>
          </w:p>
        </w:tc>
        <w:tc>
          <w:tcPr>
            <w:tcW w:w="7903" w:type="dxa"/>
          </w:tcPr>
          <w:p w14:paraId="2676D108"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KWOTA</w:t>
            </w:r>
          </w:p>
          <w:p w14:paraId="373DE2F8"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5C390D5F" w14:textId="7777777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Zgłaszana kwota obejmuje:</w:t>
            </w:r>
          </w:p>
          <w:p w14:paraId="13C2E815" w14:textId="7EE9418F" w:rsidR="00915077" w:rsidRPr="00E26EF6" w:rsidRDefault="00C55547">
            <w:pPr>
              <w:pStyle w:val="ListParagraph"/>
              <w:numPr>
                <w:ilvl w:val="0"/>
                <w:numId w:val="29"/>
              </w:num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pozycje</w:t>
            </w:r>
            <w:proofErr w:type="gramEnd"/>
            <w:r w:rsidRPr="00E26EF6">
              <w:rPr>
                <w:rFonts w:ascii="Times New Roman" w:hAnsi="Times New Roman"/>
                <w:sz w:val="24"/>
              </w:rPr>
              <w:t xml:space="preserve"> sekurytyzacyjne typu mezzanine zdefiniowane</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pkt</w:t>
            </w:r>
            <w:r w:rsidR="00023409" w:rsidRPr="00E26EF6">
              <w:rPr>
                <w:rFonts w:ascii="Times New Roman" w:hAnsi="Times New Roman"/>
                <w:sz w:val="24"/>
              </w:rPr>
              <w:t> </w:t>
            </w:r>
            <w:r w:rsidRPr="00E26EF6">
              <w:rPr>
                <w:rFonts w:ascii="Times New Roman" w:hAnsi="Times New Roman"/>
                <w:sz w:val="24"/>
              </w:rPr>
              <w:t>18 CRR;</w:t>
            </w:r>
          </w:p>
          <w:p w14:paraId="374E16B1" w14:textId="3764FCFD" w:rsidR="00915077" w:rsidRPr="00E26EF6" w:rsidRDefault="00C55547">
            <w:pPr>
              <w:pStyle w:val="ListParagraph"/>
              <w:numPr>
                <w:ilvl w:val="0"/>
                <w:numId w:val="29"/>
              </w:numPr>
              <w:autoSpaceDE w:val="0"/>
              <w:autoSpaceDN w:val="0"/>
              <w:adjustRightInd w:val="0"/>
              <w:spacing w:before="0" w:after="0"/>
              <w:jc w:val="left"/>
              <w:rPr>
                <w:rFonts w:ascii="Times New Roman" w:hAnsi="Times New Roman"/>
                <w:sz w:val="24"/>
              </w:rPr>
            </w:pPr>
            <w:proofErr w:type="gramStart"/>
            <w:r w:rsidRPr="00E26EF6">
              <w:rPr>
                <w:rFonts w:ascii="Times New Roman" w:hAnsi="Times New Roman"/>
                <w:sz w:val="24"/>
              </w:rPr>
              <w:t>dodatkowe</w:t>
            </w:r>
            <w:proofErr w:type="gramEnd"/>
            <w:r w:rsidRPr="00E26EF6">
              <w:rPr>
                <w:rFonts w:ascii="Times New Roman" w:hAnsi="Times New Roman"/>
                <w:sz w:val="24"/>
              </w:rPr>
              <w:t xml:space="preserve"> pozycje sekurytyzacyjne, które nie stanowią pozycji określonych</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ust.</w:t>
            </w:r>
            <w:r w:rsidR="00023409" w:rsidRPr="00E26EF6">
              <w:rPr>
                <w:rFonts w:ascii="Times New Roman" w:hAnsi="Times New Roman"/>
                <w:sz w:val="24"/>
              </w:rPr>
              <w:t> </w:t>
            </w:r>
            <w:r w:rsidRPr="00E26EF6">
              <w:rPr>
                <w:rFonts w:ascii="Times New Roman" w:hAnsi="Times New Roman"/>
                <w:sz w:val="24"/>
              </w:rPr>
              <w:t>6, 17 lub</w:t>
            </w:r>
            <w:r w:rsidR="00023409" w:rsidRPr="00E26EF6">
              <w:rPr>
                <w:rFonts w:ascii="Times New Roman" w:hAnsi="Times New Roman"/>
                <w:sz w:val="24"/>
              </w:rPr>
              <w:t> </w:t>
            </w:r>
            <w:r w:rsidRPr="00E26EF6">
              <w:rPr>
                <w:rFonts w:ascii="Times New Roman" w:hAnsi="Times New Roman"/>
                <w:sz w:val="24"/>
              </w:rPr>
              <w:t>18 CRR.</w:t>
            </w:r>
          </w:p>
          <w:p w14:paraId="49C94C75"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2F145853" w14:textId="77777777" w:rsidTr="00E10B85">
        <w:tc>
          <w:tcPr>
            <w:tcW w:w="1101" w:type="dxa"/>
          </w:tcPr>
          <w:p w14:paraId="37626CF2"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241</w:t>
            </w:r>
          </w:p>
        </w:tc>
        <w:tc>
          <w:tcPr>
            <w:tcW w:w="7903" w:type="dxa"/>
          </w:tcPr>
          <w:p w14:paraId="55FA4273"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LICZBA TRANSZ</w:t>
            </w:r>
          </w:p>
          <w:p w14:paraId="7CD41B01"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701CDE69" w14:textId="7777777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Liczba transz typu mezzanine.</w:t>
            </w:r>
          </w:p>
          <w:p w14:paraId="1E8D5576"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76EF4716" w14:textId="77777777" w:rsidTr="00E10B85">
        <w:tc>
          <w:tcPr>
            <w:tcW w:w="1101" w:type="dxa"/>
          </w:tcPr>
          <w:p w14:paraId="3A8D346E"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242</w:t>
            </w:r>
          </w:p>
        </w:tc>
        <w:tc>
          <w:tcPr>
            <w:tcW w:w="7903" w:type="dxa"/>
          </w:tcPr>
          <w:p w14:paraId="5621365A"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CQS NAJBARDZIEJ PODPORZĄDKOWANEJ TRANSZY</w:t>
            </w:r>
          </w:p>
          <w:p w14:paraId="532F0518"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4DE340DC" w14:textId="7C5E86B9"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Stopień jakości kredytowej, określony zgodnie</w:t>
            </w:r>
            <w:r w:rsidR="00E26EF6" w:rsidRPr="00E26EF6">
              <w:rPr>
                <w:rFonts w:ascii="Times New Roman" w:hAnsi="Times New Roman"/>
                <w:sz w:val="24"/>
              </w:rPr>
              <w:t xml:space="preserve"> z tab</w:t>
            </w:r>
            <w:r w:rsidRPr="00E26EF6">
              <w:rPr>
                <w:rFonts w:ascii="Times New Roman" w:hAnsi="Times New Roman"/>
                <w:sz w:val="24"/>
              </w:rPr>
              <w:t>elą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263</w:t>
            </w:r>
            <w:r w:rsidR="00E26EF6" w:rsidRPr="00E26EF6">
              <w:rPr>
                <w:rFonts w:ascii="Times New Roman" w:hAnsi="Times New Roman"/>
                <w:sz w:val="24"/>
              </w:rPr>
              <w:t xml:space="preserve"> i tab</w:t>
            </w:r>
            <w:r w:rsidRPr="00E26EF6">
              <w:rPr>
                <w:rFonts w:ascii="Times New Roman" w:hAnsi="Times New Roman"/>
                <w:sz w:val="24"/>
              </w:rPr>
              <w:t>elą 3</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264 CRR, najbardziej podporządkowanej transzy typu mezzanine. </w:t>
            </w:r>
          </w:p>
          <w:p w14:paraId="223C1B47"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2C48CBA7" w14:textId="77777777" w:rsidTr="00E10B85">
        <w:tc>
          <w:tcPr>
            <w:tcW w:w="1101" w:type="dxa"/>
          </w:tcPr>
          <w:p w14:paraId="5486FE18"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250-252</w:t>
            </w:r>
          </w:p>
        </w:tc>
        <w:tc>
          <w:tcPr>
            <w:tcW w:w="7903" w:type="dxa"/>
          </w:tcPr>
          <w:p w14:paraId="59CEB629"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PIERWSZEJ STRATY</w:t>
            </w:r>
          </w:p>
          <w:p w14:paraId="6A2F1BC2"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472C1508" w14:textId="77777777" w:rsidTr="00E10B85">
        <w:tc>
          <w:tcPr>
            <w:tcW w:w="1101" w:type="dxa"/>
          </w:tcPr>
          <w:p w14:paraId="7FB987E7"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250</w:t>
            </w:r>
          </w:p>
        </w:tc>
        <w:tc>
          <w:tcPr>
            <w:tcW w:w="7903" w:type="dxa"/>
          </w:tcPr>
          <w:p w14:paraId="0B9F98A4"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KWOTA</w:t>
            </w:r>
          </w:p>
          <w:p w14:paraId="04AF7877"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5AAD1923" w14:textId="10CBE1B2"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sz w:val="24"/>
              </w:rPr>
              <w:t>Kwota transzy pierwszej straty zdefiniowana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pkt</w:t>
            </w:r>
            <w:r w:rsidR="00023409" w:rsidRPr="00E26EF6">
              <w:rPr>
                <w:rFonts w:ascii="Times New Roman" w:hAnsi="Times New Roman"/>
                <w:sz w:val="24"/>
              </w:rPr>
              <w:t> </w:t>
            </w:r>
            <w:r w:rsidRPr="00E26EF6">
              <w:rPr>
                <w:rFonts w:ascii="Times New Roman" w:hAnsi="Times New Roman"/>
                <w:sz w:val="24"/>
              </w:rPr>
              <w:t>17 CRR.</w:t>
            </w:r>
          </w:p>
          <w:p w14:paraId="3DAA3E7D"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5503E2EE" w14:textId="77777777" w:rsidTr="00E10B85">
        <w:tc>
          <w:tcPr>
            <w:tcW w:w="1101" w:type="dxa"/>
          </w:tcPr>
          <w:p w14:paraId="012FA2A9"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251</w:t>
            </w:r>
          </w:p>
        </w:tc>
        <w:tc>
          <w:tcPr>
            <w:tcW w:w="7903" w:type="dxa"/>
          </w:tcPr>
          <w:p w14:paraId="1B7FDD34"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PUNKT KOŃCZĄCY (%)</w:t>
            </w:r>
          </w:p>
          <w:p w14:paraId="1355C306"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5C2785D2" w14:textId="0AECF9CD"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t>Punkt kończący (%),</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256 ust.</w:t>
            </w:r>
            <w:r w:rsidR="00023409" w:rsidRPr="00E26EF6">
              <w:rPr>
                <w:rFonts w:ascii="Times New Roman" w:hAnsi="Times New Roman"/>
                <w:sz w:val="24"/>
              </w:rPr>
              <w:t> </w:t>
            </w:r>
            <w:r w:rsidRPr="00E26EF6">
              <w:rPr>
                <w:rFonts w:ascii="Times New Roman" w:hAnsi="Times New Roman"/>
                <w:sz w:val="24"/>
              </w:rPr>
              <w:t>2 CRR.</w:t>
            </w:r>
          </w:p>
          <w:p w14:paraId="7345BA2A"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105D61AE" w14:textId="77777777" w:rsidTr="00E10B85">
        <w:tc>
          <w:tcPr>
            <w:tcW w:w="1101" w:type="dxa"/>
          </w:tcPr>
          <w:p w14:paraId="1125A01A"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260–280</w:t>
            </w:r>
          </w:p>
        </w:tc>
        <w:tc>
          <w:tcPr>
            <w:tcW w:w="7903" w:type="dxa"/>
          </w:tcPr>
          <w:p w14:paraId="6B7BBE8A" w14:textId="77777777" w:rsidR="00915077" w:rsidRPr="00E26EF6" w:rsidRDefault="00C55547">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POZYCJE POZABILANSOWE I INSTRUMENTY POCHODNE</w:t>
            </w:r>
          </w:p>
          <w:p w14:paraId="05499DB6"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7434000B" w14:textId="546709C7" w:rsidR="00915077" w:rsidRPr="00E26EF6" w:rsidRDefault="00C55547">
            <w:pPr>
              <w:autoSpaceDE w:val="0"/>
              <w:autoSpaceDN w:val="0"/>
              <w:adjustRightInd w:val="0"/>
              <w:spacing w:before="0" w:after="0"/>
              <w:jc w:val="left"/>
              <w:rPr>
                <w:rFonts w:ascii="Times New Roman" w:hAnsi="Times New Roman"/>
                <w:sz w:val="24"/>
              </w:rPr>
            </w:pPr>
            <w:r w:rsidRPr="00E26EF6">
              <w:rPr>
                <w:rFonts w:ascii="Times New Roman" w:hAnsi="Times New Roman"/>
                <w:sz w:val="24"/>
              </w:rPr>
              <w:lastRenderedPageBreak/>
              <w:t>W tym zestawieniu sześciu kolumn gromadzone są informacje na temat pozycji pozabilansowych</w:t>
            </w:r>
            <w:r w:rsidR="00E26EF6" w:rsidRPr="00E26EF6">
              <w:rPr>
                <w:rFonts w:ascii="Times New Roman" w:hAnsi="Times New Roman"/>
                <w:sz w:val="24"/>
              </w:rPr>
              <w:t xml:space="preserve"> i ins</w:t>
            </w:r>
            <w:r w:rsidRPr="00E26EF6">
              <w:rPr>
                <w:rFonts w:ascii="Times New Roman" w:hAnsi="Times New Roman"/>
                <w:sz w:val="24"/>
              </w:rPr>
              <w:t>trumentów pochodnych</w:t>
            </w:r>
            <w:r w:rsidR="00E26EF6" w:rsidRPr="00E26EF6">
              <w:rPr>
                <w:rFonts w:ascii="Times New Roman" w:hAnsi="Times New Roman"/>
                <w:sz w:val="24"/>
              </w:rPr>
              <w:t xml:space="preserve"> z pod</w:t>
            </w:r>
            <w:r w:rsidRPr="00E26EF6">
              <w:rPr>
                <w:rFonts w:ascii="Times New Roman" w:hAnsi="Times New Roman"/>
                <w:sz w:val="24"/>
              </w:rPr>
              <w:t>ziałem na transze (uprzywilejowane/typu mezzanine/pierwszej straty).</w:t>
            </w:r>
          </w:p>
          <w:p w14:paraId="09F2974B" w14:textId="3BCB2C90"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Stosuje się te same kryteria klasyfikacji transz co</w:t>
            </w:r>
            <w:r w:rsidR="00E26EF6" w:rsidRPr="00E26EF6">
              <w:rPr>
                <w:rFonts w:ascii="Times New Roman" w:hAnsi="Times New Roman"/>
                <w:sz w:val="24"/>
              </w:rPr>
              <w:t xml:space="preserve"> w prz</w:t>
            </w:r>
            <w:r w:rsidRPr="00E26EF6">
              <w:rPr>
                <w:rFonts w:ascii="Times New Roman" w:hAnsi="Times New Roman"/>
                <w:sz w:val="24"/>
              </w:rPr>
              <w:t>ypadku pozycji bilansowych.</w:t>
            </w:r>
          </w:p>
          <w:p w14:paraId="3AA2BDF0"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673943D6" w14:textId="77777777" w:rsidTr="00E10B85">
        <w:tc>
          <w:tcPr>
            <w:tcW w:w="1101" w:type="dxa"/>
            <w:shd w:val="clear" w:color="auto" w:fill="auto"/>
          </w:tcPr>
          <w:p w14:paraId="6978FA3E"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290-300</w:t>
            </w:r>
          </w:p>
        </w:tc>
        <w:tc>
          <w:tcPr>
            <w:tcW w:w="7903" w:type="dxa"/>
            <w:shd w:val="clear" w:color="auto" w:fill="auto"/>
          </w:tcPr>
          <w:p w14:paraId="612518E7" w14:textId="77777777" w:rsidR="00915077" w:rsidRPr="00E26EF6" w:rsidRDefault="00C55547">
            <w:pPr>
              <w:spacing w:before="0" w:after="0"/>
              <w:jc w:val="left"/>
              <w:rPr>
                <w:rFonts w:ascii="Times New Roman" w:hAnsi="Times New Roman"/>
                <w:b/>
                <w:sz w:val="24"/>
                <w:highlight w:val="lightGray"/>
                <w:u w:val="single"/>
              </w:rPr>
            </w:pPr>
            <w:r w:rsidRPr="00E26EF6">
              <w:rPr>
                <w:rFonts w:ascii="Times New Roman" w:hAnsi="Times New Roman"/>
                <w:b/>
                <w:sz w:val="24"/>
                <w:u w:val="single"/>
              </w:rPr>
              <w:t>TERMIN ZAPADALNOŚCI</w:t>
            </w:r>
          </w:p>
        </w:tc>
      </w:tr>
      <w:tr w:rsidR="00915077" w:rsidRPr="00E26EF6" w14:paraId="6AA63705" w14:textId="77777777" w:rsidTr="00E10B85">
        <w:tc>
          <w:tcPr>
            <w:tcW w:w="1101" w:type="dxa"/>
            <w:shd w:val="clear" w:color="auto" w:fill="auto"/>
          </w:tcPr>
          <w:p w14:paraId="1AEC547E" w14:textId="77777777" w:rsidR="00915077" w:rsidRPr="00E26EF6" w:rsidDel="00304CB1"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290</w:t>
            </w:r>
          </w:p>
        </w:tc>
        <w:tc>
          <w:tcPr>
            <w:tcW w:w="7903" w:type="dxa"/>
            <w:shd w:val="clear" w:color="auto" w:fill="auto"/>
          </w:tcPr>
          <w:p w14:paraId="777220E4"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PIERWSZY PRZEWIDYWALNY TERMIN ROZWIĄZANIA UMOWY</w:t>
            </w:r>
          </w:p>
          <w:p w14:paraId="7064B0BA" w14:textId="77777777" w:rsidR="00915077" w:rsidRPr="00E26EF6" w:rsidRDefault="00915077">
            <w:pPr>
              <w:spacing w:before="0" w:after="0"/>
              <w:jc w:val="left"/>
              <w:rPr>
                <w:rFonts w:ascii="Times New Roman" w:hAnsi="Times New Roman"/>
                <w:b/>
                <w:sz w:val="24"/>
                <w:u w:val="single"/>
              </w:rPr>
            </w:pPr>
          </w:p>
          <w:p w14:paraId="61DCD0F8" w14:textId="16C49001" w:rsidR="00915077" w:rsidRPr="00E26EF6" w:rsidRDefault="00C55547">
            <w:pPr>
              <w:spacing w:before="0" w:after="0"/>
              <w:jc w:val="left"/>
              <w:rPr>
                <w:rFonts w:ascii="Times New Roman" w:hAnsi="Times New Roman"/>
                <w:sz w:val="24"/>
              </w:rPr>
            </w:pPr>
            <w:r w:rsidRPr="00E26EF6">
              <w:rPr>
                <w:rFonts w:ascii="Times New Roman" w:hAnsi="Times New Roman"/>
                <w:sz w:val="24"/>
              </w:rPr>
              <w:t>Prawdopodobny termin rozwiązania umowy</w:t>
            </w:r>
            <w:r w:rsidR="00E26EF6" w:rsidRPr="00E26EF6">
              <w:rPr>
                <w:rFonts w:ascii="Times New Roman" w:hAnsi="Times New Roman"/>
                <w:sz w:val="24"/>
              </w:rPr>
              <w:t xml:space="preserve"> w odn</w:t>
            </w:r>
            <w:r w:rsidRPr="00E26EF6">
              <w:rPr>
                <w:rFonts w:ascii="Times New Roman" w:hAnsi="Times New Roman"/>
                <w:sz w:val="24"/>
              </w:rPr>
              <w:t>iesieniu do całej sekurytyzacji</w:t>
            </w:r>
            <w:r w:rsidR="00E26EF6" w:rsidRPr="00E26EF6">
              <w:rPr>
                <w:rFonts w:ascii="Times New Roman" w:hAnsi="Times New Roman"/>
                <w:sz w:val="24"/>
              </w:rPr>
              <w:t xml:space="preserve"> w świ</w:t>
            </w:r>
            <w:r w:rsidRPr="00E26EF6">
              <w:rPr>
                <w:rFonts w:ascii="Times New Roman" w:hAnsi="Times New Roman"/>
                <w:sz w:val="24"/>
              </w:rPr>
              <w:t>etle klauzul umownych</w:t>
            </w:r>
            <w:r w:rsidR="00E26EF6" w:rsidRPr="00E26EF6">
              <w:rPr>
                <w:rFonts w:ascii="Times New Roman" w:hAnsi="Times New Roman"/>
                <w:sz w:val="24"/>
              </w:rPr>
              <w:t xml:space="preserve"> i akt</w:t>
            </w:r>
            <w:r w:rsidRPr="00E26EF6">
              <w:rPr>
                <w:rFonts w:ascii="Times New Roman" w:hAnsi="Times New Roman"/>
                <w:sz w:val="24"/>
              </w:rPr>
              <w:t>ualnie przewidywanych warunków finansowych. Zwykle będzie to najwcześniejsza</w:t>
            </w:r>
            <w:r w:rsidR="00E26EF6" w:rsidRPr="00E26EF6">
              <w:rPr>
                <w:rFonts w:ascii="Times New Roman" w:hAnsi="Times New Roman"/>
                <w:sz w:val="24"/>
              </w:rPr>
              <w:t xml:space="preserve"> z nas</w:t>
            </w:r>
            <w:r w:rsidRPr="00E26EF6">
              <w:rPr>
                <w:rFonts w:ascii="Times New Roman" w:hAnsi="Times New Roman"/>
                <w:sz w:val="24"/>
              </w:rPr>
              <w:t xml:space="preserve">tępujących dat: </w:t>
            </w:r>
          </w:p>
          <w:p w14:paraId="6F49AE9B" w14:textId="77777777" w:rsidR="00915077" w:rsidRPr="00E26EF6" w:rsidRDefault="00915077">
            <w:pPr>
              <w:spacing w:before="0" w:after="0"/>
              <w:jc w:val="left"/>
              <w:rPr>
                <w:rFonts w:ascii="Times New Roman" w:hAnsi="Times New Roman"/>
                <w:sz w:val="24"/>
              </w:rPr>
            </w:pPr>
          </w:p>
          <w:p w14:paraId="78BC5B74" w14:textId="1F250811" w:rsidR="00915077" w:rsidRPr="00E26EF6" w:rsidRDefault="00C55547">
            <w:pPr>
              <w:spacing w:before="0" w:after="0"/>
              <w:jc w:val="left"/>
              <w:rPr>
                <w:rFonts w:ascii="Times New Roman" w:hAnsi="Times New Roman"/>
                <w:sz w:val="24"/>
              </w:rPr>
            </w:pPr>
            <w:r w:rsidRPr="00E26EF6">
              <w:rPr>
                <w:rFonts w:ascii="Times New Roman" w:hAnsi="Times New Roman"/>
                <w:sz w:val="24"/>
              </w:rPr>
              <w:t>(i</w:t>
            </w:r>
            <w:proofErr w:type="gramStart"/>
            <w:r w:rsidRPr="00E26EF6">
              <w:rPr>
                <w:rFonts w:ascii="Times New Roman" w:hAnsi="Times New Roman"/>
                <w:sz w:val="24"/>
              </w:rPr>
              <w:t>)</w:t>
            </w:r>
            <w:r w:rsidRPr="00E26EF6">
              <w:rPr>
                <w:rFonts w:ascii="Times New Roman" w:hAnsi="Times New Roman"/>
                <w:sz w:val="24"/>
              </w:rPr>
              <w:tab/>
              <w:t>termin</w:t>
            </w:r>
            <w:proofErr w:type="gramEnd"/>
            <w:r w:rsidRPr="00E26EF6">
              <w:rPr>
                <w:rFonts w:ascii="Times New Roman" w:hAnsi="Times New Roman"/>
                <w:sz w:val="24"/>
              </w:rPr>
              <w:t>,</w:t>
            </w:r>
            <w:r w:rsidR="00E26EF6" w:rsidRPr="00E26EF6">
              <w:rPr>
                <w:rFonts w:ascii="Times New Roman" w:hAnsi="Times New Roman"/>
                <w:sz w:val="24"/>
              </w:rPr>
              <w:t xml:space="preserve"> w któ</w:t>
            </w:r>
            <w:r w:rsidRPr="00E26EF6">
              <w:rPr>
                <w:rFonts w:ascii="Times New Roman" w:hAnsi="Times New Roman"/>
                <w:sz w:val="24"/>
              </w:rPr>
              <w:t>rym można po raz pierwszy skorzystać</w:t>
            </w:r>
            <w:r w:rsidR="00E26EF6" w:rsidRPr="00E26EF6">
              <w:rPr>
                <w:rFonts w:ascii="Times New Roman" w:hAnsi="Times New Roman"/>
                <w:sz w:val="24"/>
              </w:rPr>
              <w:t xml:space="preserve"> z opc</w:t>
            </w:r>
            <w:r w:rsidRPr="00E26EF6">
              <w:rPr>
                <w:rFonts w:ascii="Times New Roman" w:hAnsi="Times New Roman"/>
                <w:sz w:val="24"/>
              </w:rPr>
              <w:t>ji odkupu końcowego (określonej</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pkt</w:t>
            </w:r>
            <w:r w:rsidR="00023409" w:rsidRPr="00E26EF6">
              <w:rPr>
                <w:rFonts w:ascii="Times New Roman" w:hAnsi="Times New Roman"/>
                <w:sz w:val="24"/>
              </w:rPr>
              <w:t> </w:t>
            </w:r>
            <w:r w:rsidRPr="00E26EF6">
              <w:rPr>
                <w:rFonts w:ascii="Times New Roman" w:hAnsi="Times New Roman"/>
                <w:sz w:val="24"/>
              </w:rPr>
              <w:t>1 CRR), biorąc pod uwagę termin zapadalności ekspozycji bazowej oraz oczekiwany współczynnik wcześniejszej spłaty lub potencjalne działania renegocjacyjne;</w:t>
            </w:r>
          </w:p>
          <w:p w14:paraId="6D0D67C0" w14:textId="77777777" w:rsidR="00915077" w:rsidRPr="00E26EF6" w:rsidRDefault="00915077">
            <w:pPr>
              <w:spacing w:before="0" w:after="0"/>
              <w:jc w:val="left"/>
              <w:rPr>
                <w:rFonts w:ascii="Times New Roman" w:hAnsi="Times New Roman"/>
                <w:sz w:val="24"/>
              </w:rPr>
            </w:pPr>
          </w:p>
          <w:p w14:paraId="36521F45" w14:textId="5028A003" w:rsidR="00915077" w:rsidRPr="00E26EF6" w:rsidRDefault="00C55547">
            <w:pPr>
              <w:spacing w:before="0" w:after="0"/>
              <w:jc w:val="left"/>
              <w:rPr>
                <w:rFonts w:ascii="Times New Roman" w:hAnsi="Times New Roman"/>
                <w:sz w:val="24"/>
              </w:rPr>
            </w:pPr>
            <w:r w:rsidRPr="00E26EF6">
              <w:rPr>
                <w:rFonts w:ascii="Times New Roman" w:hAnsi="Times New Roman"/>
                <w:sz w:val="24"/>
              </w:rPr>
              <w:t>(ii</w:t>
            </w:r>
            <w:proofErr w:type="gramStart"/>
            <w:r w:rsidRPr="00E26EF6">
              <w:rPr>
                <w:rFonts w:ascii="Times New Roman" w:hAnsi="Times New Roman"/>
                <w:sz w:val="24"/>
              </w:rPr>
              <w:t>)</w:t>
            </w:r>
            <w:r w:rsidRPr="00E26EF6">
              <w:rPr>
                <w:rFonts w:ascii="Times New Roman" w:hAnsi="Times New Roman"/>
                <w:sz w:val="24"/>
              </w:rPr>
              <w:tab/>
              <w:t>termin</w:t>
            </w:r>
            <w:proofErr w:type="gramEnd"/>
            <w:r w:rsidRPr="00E26EF6">
              <w:rPr>
                <w:rFonts w:ascii="Times New Roman" w:hAnsi="Times New Roman"/>
                <w:sz w:val="24"/>
              </w:rPr>
              <w:t>,</w:t>
            </w:r>
            <w:r w:rsidR="00E26EF6" w:rsidRPr="00E26EF6">
              <w:rPr>
                <w:rFonts w:ascii="Times New Roman" w:hAnsi="Times New Roman"/>
                <w:sz w:val="24"/>
              </w:rPr>
              <w:t xml:space="preserve"> w któ</w:t>
            </w:r>
            <w:r w:rsidRPr="00E26EF6">
              <w:rPr>
                <w:rFonts w:ascii="Times New Roman" w:hAnsi="Times New Roman"/>
                <w:sz w:val="24"/>
              </w:rPr>
              <w:t>rym jednostka inicjująca może po raz pierwszy skorzystać</w:t>
            </w:r>
            <w:r w:rsidR="00E26EF6" w:rsidRPr="00E26EF6">
              <w:rPr>
                <w:rFonts w:ascii="Times New Roman" w:hAnsi="Times New Roman"/>
                <w:sz w:val="24"/>
              </w:rPr>
              <w:t xml:space="preserve"> z jak</w:t>
            </w:r>
            <w:r w:rsidRPr="00E26EF6">
              <w:rPr>
                <w:rFonts w:ascii="Times New Roman" w:hAnsi="Times New Roman"/>
                <w:sz w:val="24"/>
              </w:rPr>
              <w:t>iejkolwiek innej opcji kupna przewidzianej</w:t>
            </w:r>
            <w:r w:rsidR="00E26EF6" w:rsidRPr="00E26EF6">
              <w:rPr>
                <w:rFonts w:ascii="Times New Roman" w:hAnsi="Times New Roman"/>
                <w:sz w:val="24"/>
              </w:rPr>
              <w:t xml:space="preserve"> w kla</w:t>
            </w:r>
            <w:r w:rsidRPr="00E26EF6">
              <w:rPr>
                <w:rFonts w:ascii="Times New Roman" w:hAnsi="Times New Roman"/>
                <w:sz w:val="24"/>
              </w:rPr>
              <w:t>uzulach umownych sekurytyzacji, co spowodowałoby całkowity wykup sekurytyzacji.</w:t>
            </w:r>
          </w:p>
          <w:p w14:paraId="078670E9" w14:textId="77777777" w:rsidR="00915077" w:rsidRPr="00E26EF6" w:rsidRDefault="00915077">
            <w:pPr>
              <w:spacing w:before="0" w:after="0"/>
              <w:jc w:val="left"/>
              <w:rPr>
                <w:rFonts w:ascii="Times New Roman" w:hAnsi="Times New Roman"/>
                <w:sz w:val="24"/>
              </w:rPr>
            </w:pPr>
          </w:p>
          <w:p w14:paraId="4BA66220" w14:textId="3A550975"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Zgłasza się dzień, miesiąc</w:t>
            </w:r>
            <w:r w:rsidR="00E26EF6" w:rsidRPr="00E26EF6">
              <w:rPr>
                <w:rFonts w:ascii="Times New Roman" w:hAnsi="Times New Roman"/>
                <w:sz w:val="24"/>
              </w:rPr>
              <w:t xml:space="preserve"> i rok</w:t>
            </w:r>
            <w:r w:rsidRPr="00E26EF6">
              <w:rPr>
                <w:rFonts w:ascii="Times New Roman" w:hAnsi="Times New Roman"/>
                <w:sz w:val="24"/>
              </w:rPr>
              <w:t xml:space="preserve"> pierwszego oczekiwanego terminu rozwiązania umowy sekurytyzacji. Konkretny dzień zgłasza się, gdy te informacje są dostępne,</w:t>
            </w:r>
            <w:r w:rsidR="00E26EF6" w:rsidRPr="00E26EF6">
              <w:rPr>
                <w:rFonts w:ascii="Times New Roman" w:hAnsi="Times New Roman"/>
                <w:sz w:val="24"/>
              </w:rPr>
              <w:t xml:space="preserve"> w prz</w:t>
            </w:r>
            <w:r w:rsidRPr="00E26EF6">
              <w:rPr>
                <w:rFonts w:ascii="Times New Roman" w:hAnsi="Times New Roman"/>
                <w:sz w:val="24"/>
              </w:rPr>
              <w:t>eciwnym razie zgłasza się pierwszy dzień miesiąca.</w:t>
            </w:r>
          </w:p>
          <w:p w14:paraId="490F4A67" w14:textId="77777777" w:rsidR="00915077" w:rsidRPr="00E26EF6" w:rsidRDefault="00915077">
            <w:pPr>
              <w:spacing w:before="0" w:after="0"/>
              <w:jc w:val="left"/>
              <w:rPr>
                <w:rFonts w:ascii="Times New Roman" w:hAnsi="Times New Roman"/>
                <w:sz w:val="24"/>
                <w:highlight w:val="lightGray"/>
              </w:rPr>
            </w:pPr>
          </w:p>
        </w:tc>
      </w:tr>
      <w:tr w:rsidR="00915077" w:rsidRPr="00E26EF6" w14:paraId="24FD7BB3" w14:textId="77777777" w:rsidTr="00E10B85">
        <w:tc>
          <w:tcPr>
            <w:tcW w:w="1101" w:type="dxa"/>
            <w:shd w:val="clear" w:color="auto" w:fill="auto"/>
          </w:tcPr>
          <w:p w14:paraId="0599A059"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bCs/>
                <w:sz w:val="24"/>
              </w:rPr>
              <w:t>291</w:t>
            </w:r>
          </w:p>
        </w:tc>
        <w:tc>
          <w:tcPr>
            <w:tcW w:w="7903" w:type="dxa"/>
            <w:shd w:val="clear" w:color="auto" w:fill="auto"/>
          </w:tcPr>
          <w:p w14:paraId="71A92E87"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 xml:space="preserve">ZAWARTE W TRANSAKCJI OPCJE KUPNA PRZYSŁUGUJĄCE JEDNOSTCE INICJUJĄCEJ </w:t>
            </w:r>
          </w:p>
          <w:p w14:paraId="026AD3BA" w14:textId="77777777" w:rsidR="00915077" w:rsidRPr="00E26EF6" w:rsidRDefault="00915077">
            <w:pPr>
              <w:spacing w:before="0" w:after="0"/>
              <w:jc w:val="left"/>
              <w:rPr>
                <w:rFonts w:ascii="Times New Roman" w:hAnsi="Times New Roman"/>
                <w:b/>
                <w:sz w:val="24"/>
                <w:u w:val="single"/>
              </w:rPr>
            </w:pPr>
          </w:p>
          <w:p w14:paraId="57494296" w14:textId="149BA8DC" w:rsidR="00915077" w:rsidRPr="00E26EF6" w:rsidRDefault="00C55547">
            <w:pPr>
              <w:spacing w:before="0" w:after="0"/>
              <w:jc w:val="left"/>
              <w:rPr>
                <w:rFonts w:ascii="Times New Roman" w:hAnsi="Times New Roman"/>
                <w:sz w:val="24"/>
              </w:rPr>
            </w:pPr>
            <w:r w:rsidRPr="00E26EF6">
              <w:rPr>
                <w:rFonts w:ascii="Times New Roman" w:hAnsi="Times New Roman"/>
                <w:sz w:val="24"/>
              </w:rPr>
              <w:t>Rodzaj opcji kupna stosownej dla pierwszego oczekiwanego terminu rozwiązania umowy sekurytyzacji:</w:t>
            </w:r>
          </w:p>
          <w:p w14:paraId="308C614B" w14:textId="31866D8C" w:rsidR="00915077" w:rsidRPr="00E26EF6" w:rsidRDefault="00C55547">
            <w:pPr>
              <w:pStyle w:val="ListParagraph"/>
              <w:numPr>
                <w:ilvl w:val="0"/>
                <w:numId w:val="29"/>
              </w:numPr>
              <w:spacing w:before="0" w:after="0"/>
              <w:jc w:val="left"/>
              <w:rPr>
                <w:rFonts w:ascii="Times New Roman" w:hAnsi="Times New Roman"/>
                <w:sz w:val="24"/>
              </w:rPr>
            </w:pPr>
            <w:proofErr w:type="gramStart"/>
            <w:r w:rsidRPr="00E26EF6">
              <w:rPr>
                <w:rFonts w:ascii="Times New Roman" w:hAnsi="Times New Roman"/>
                <w:sz w:val="24"/>
              </w:rPr>
              <w:t>opcja</w:t>
            </w:r>
            <w:proofErr w:type="gramEnd"/>
            <w:r w:rsidRPr="00E26EF6">
              <w:rPr>
                <w:rFonts w:ascii="Times New Roman" w:hAnsi="Times New Roman"/>
                <w:sz w:val="24"/>
              </w:rPr>
              <w:t xml:space="preserve"> odkupu końcowego spełniająca wymogi art.</w:t>
            </w:r>
            <w:r w:rsidR="00023409" w:rsidRPr="00E26EF6">
              <w:rPr>
                <w:rFonts w:ascii="Times New Roman" w:hAnsi="Times New Roman"/>
                <w:sz w:val="24"/>
              </w:rPr>
              <w:t> </w:t>
            </w:r>
            <w:r w:rsidRPr="00E26EF6">
              <w:rPr>
                <w:rFonts w:ascii="Times New Roman" w:hAnsi="Times New Roman"/>
                <w:sz w:val="24"/>
              </w:rPr>
              <w:t>244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g);</w:t>
            </w:r>
          </w:p>
          <w:p w14:paraId="147D3AD6" w14:textId="77777777" w:rsidR="00915077" w:rsidRPr="00E26EF6" w:rsidRDefault="00C55547">
            <w:pPr>
              <w:pStyle w:val="ListParagraph"/>
              <w:numPr>
                <w:ilvl w:val="0"/>
                <w:numId w:val="29"/>
              </w:numPr>
              <w:spacing w:before="0" w:after="0"/>
              <w:jc w:val="left"/>
              <w:rPr>
                <w:rFonts w:ascii="Times New Roman" w:hAnsi="Times New Roman"/>
                <w:sz w:val="24"/>
              </w:rPr>
            </w:pPr>
            <w:proofErr w:type="gramStart"/>
            <w:r w:rsidRPr="00E26EF6">
              <w:rPr>
                <w:rFonts w:ascii="Times New Roman" w:hAnsi="Times New Roman"/>
                <w:sz w:val="24"/>
              </w:rPr>
              <w:t>inna</w:t>
            </w:r>
            <w:proofErr w:type="gramEnd"/>
            <w:r w:rsidRPr="00E26EF6">
              <w:rPr>
                <w:rFonts w:ascii="Times New Roman" w:hAnsi="Times New Roman"/>
                <w:sz w:val="24"/>
              </w:rPr>
              <w:t xml:space="preserve"> opcja odkupu końcowego;</w:t>
            </w:r>
          </w:p>
          <w:p w14:paraId="2346ED40" w14:textId="35342C21" w:rsidR="00915077" w:rsidRPr="00E26EF6" w:rsidRDefault="00C55547">
            <w:pPr>
              <w:pStyle w:val="ListParagraph"/>
              <w:numPr>
                <w:ilvl w:val="0"/>
                <w:numId w:val="29"/>
              </w:numPr>
              <w:spacing w:before="0" w:after="0"/>
              <w:jc w:val="left"/>
              <w:rPr>
                <w:rFonts w:ascii="Times New Roman" w:hAnsi="Times New Roman"/>
                <w:sz w:val="24"/>
              </w:rPr>
            </w:pPr>
            <w:proofErr w:type="gramStart"/>
            <w:r w:rsidRPr="00E26EF6">
              <w:rPr>
                <w:rFonts w:ascii="Times New Roman" w:hAnsi="Times New Roman"/>
                <w:sz w:val="24"/>
              </w:rPr>
              <w:t>inny</w:t>
            </w:r>
            <w:proofErr w:type="gramEnd"/>
            <w:r w:rsidRPr="00E26EF6">
              <w:rPr>
                <w:rFonts w:ascii="Times New Roman" w:hAnsi="Times New Roman"/>
                <w:sz w:val="24"/>
              </w:rPr>
              <w:t xml:space="preserve"> rodzaj opcji kupna.</w:t>
            </w:r>
          </w:p>
          <w:p w14:paraId="73086AFE"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228A076D" w14:textId="77777777" w:rsidTr="00E10B85">
        <w:tc>
          <w:tcPr>
            <w:tcW w:w="1101" w:type="dxa"/>
            <w:shd w:val="clear" w:color="auto" w:fill="auto"/>
          </w:tcPr>
          <w:p w14:paraId="2B7F4B62" w14:textId="77777777" w:rsidR="00915077" w:rsidRPr="00E26EF6" w:rsidDel="00304CB1"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300</w:t>
            </w:r>
          </w:p>
        </w:tc>
        <w:tc>
          <w:tcPr>
            <w:tcW w:w="7903" w:type="dxa"/>
            <w:shd w:val="clear" w:color="auto" w:fill="auto"/>
          </w:tcPr>
          <w:p w14:paraId="4D7BC1C5"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USTAWOWY OSTATECZNY TERMIN ZAPADALNOŚCI</w:t>
            </w:r>
          </w:p>
          <w:p w14:paraId="1FC5943C" w14:textId="77777777" w:rsidR="00915077" w:rsidRPr="00E26EF6" w:rsidRDefault="00915077">
            <w:pPr>
              <w:spacing w:before="0" w:after="0"/>
              <w:jc w:val="left"/>
              <w:rPr>
                <w:rFonts w:ascii="Times New Roman" w:hAnsi="Times New Roman"/>
                <w:b/>
                <w:sz w:val="24"/>
                <w:u w:val="single"/>
              </w:rPr>
            </w:pPr>
          </w:p>
          <w:p w14:paraId="79D48A53" w14:textId="2C5EF79A" w:rsidR="00915077" w:rsidRPr="00E26EF6" w:rsidRDefault="00C55547">
            <w:pPr>
              <w:spacing w:before="0" w:after="0"/>
              <w:jc w:val="left"/>
              <w:rPr>
                <w:rFonts w:ascii="Times New Roman" w:hAnsi="Times New Roman"/>
                <w:sz w:val="24"/>
              </w:rPr>
            </w:pPr>
            <w:r w:rsidRPr="00E26EF6">
              <w:rPr>
                <w:rFonts w:ascii="Times New Roman" w:hAnsi="Times New Roman"/>
                <w:sz w:val="24"/>
              </w:rPr>
              <w:t>Termin,</w:t>
            </w:r>
            <w:r w:rsidR="00E26EF6" w:rsidRPr="00E26EF6">
              <w:rPr>
                <w:rFonts w:ascii="Times New Roman" w:hAnsi="Times New Roman"/>
                <w:sz w:val="24"/>
              </w:rPr>
              <w:t xml:space="preserve"> w któ</w:t>
            </w:r>
            <w:r w:rsidRPr="00E26EF6">
              <w:rPr>
                <w:rFonts w:ascii="Times New Roman" w:hAnsi="Times New Roman"/>
                <w:sz w:val="24"/>
              </w:rPr>
              <w:t>rym zgodnie</w:t>
            </w:r>
            <w:r w:rsidR="00E26EF6" w:rsidRPr="00E26EF6">
              <w:rPr>
                <w:rFonts w:ascii="Times New Roman" w:hAnsi="Times New Roman"/>
                <w:sz w:val="24"/>
              </w:rPr>
              <w:t xml:space="preserve"> z pra</w:t>
            </w:r>
            <w:r w:rsidRPr="00E26EF6">
              <w:rPr>
                <w:rFonts w:ascii="Times New Roman" w:hAnsi="Times New Roman"/>
                <w:sz w:val="24"/>
              </w:rPr>
              <w:t>wem należy spłacić całość kwoty głównej sekurytyzacji oraz odsetki (na podstawie dokumentacji transakcji).</w:t>
            </w:r>
          </w:p>
          <w:p w14:paraId="69CB8BC2" w14:textId="77777777" w:rsidR="00915077" w:rsidRPr="00E26EF6" w:rsidRDefault="00915077">
            <w:pPr>
              <w:spacing w:before="0" w:after="0"/>
              <w:jc w:val="left"/>
              <w:rPr>
                <w:rFonts w:ascii="Times New Roman" w:hAnsi="Times New Roman"/>
                <w:sz w:val="24"/>
              </w:rPr>
            </w:pPr>
          </w:p>
          <w:p w14:paraId="40BD8A30" w14:textId="697379E4"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Zgłasza się dzień, miesiąc</w:t>
            </w:r>
            <w:r w:rsidR="00E26EF6" w:rsidRPr="00E26EF6">
              <w:rPr>
                <w:rFonts w:ascii="Times New Roman" w:hAnsi="Times New Roman"/>
                <w:sz w:val="24"/>
              </w:rPr>
              <w:t xml:space="preserve"> i rok</w:t>
            </w:r>
            <w:r w:rsidRPr="00E26EF6">
              <w:rPr>
                <w:rFonts w:ascii="Times New Roman" w:hAnsi="Times New Roman"/>
                <w:sz w:val="24"/>
              </w:rPr>
              <w:t xml:space="preserve"> ustawowego ostatecznego terminu zapadalności. Konkretny dzień zgłasza się, gdy te informacje są dostępne,</w:t>
            </w:r>
            <w:r w:rsidR="00E26EF6" w:rsidRPr="00E26EF6">
              <w:rPr>
                <w:rFonts w:ascii="Times New Roman" w:hAnsi="Times New Roman"/>
                <w:sz w:val="24"/>
              </w:rPr>
              <w:t xml:space="preserve"> w prz</w:t>
            </w:r>
            <w:r w:rsidRPr="00E26EF6">
              <w:rPr>
                <w:rFonts w:ascii="Times New Roman" w:hAnsi="Times New Roman"/>
                <w:sz w:val="24"/>
              </w:rPr>
              <w:t>eciwnym razie zgłasza się pierwszy dzień miesiąca.</w:t>
            </w:r>
          </w:p>
          <w:p w14:paraId="426B1ED1" w14:textId="77777777" w:rsidR="00915077" w:rsidRPr="00E26EF6" w:rsidRDefault="00915077">
            <w:pPr>
              <w:spacing w:before="0" w:after="0"/>
              <w:jc w:val="left"/>
              <w:rPr>
                <w:rFonts w:ascii="Times New Roman" w:hAnsi="Times New Roman"/>
                <w:sz w:val="24"/>
                <w:highlight w:val="lightGray"/>
              </w:rPr>
            </w:pPr>
          </w:p>
        </w:tc>
      </w:tr>
      <w:tr w:rsidR="00915077" w:rsidRPr="00E26EF6" w14:paraId="6E297872" w14:textId="77777777" w:rsidTr="00E10B85">
        <w:tc>
          <w:tcPr>
            <w:tcW w:w="1101" w:type="dxa"/>
            <w:shd w:val="clear" w:color="auto" w:fill="auto"/>
          </w:tcPr>
          <w:p w14:paraId="244BAFB9" w14:textId="77777777" w:rsidR="00915077" w:rsidRPr="00E26EF6" w:rsidRDefault="00C55547">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302-304</w:t>
            </w:r>
          </w:p>
        </w:tc>
        <w:tc>
          <w:tcPr>
            <w:tcW w:w="7903" w:type="dxa"/>
            <w:shd w:val="clear" w:color="auto" w:fill="auto"/>
          </w:tcPr>
          <w:p w14:paraId="06A11EDB" w14:textId="77777777" w:rsidR="00915077" w:rsidRPr="00E26EF6" w:rsidRDefault="00C55547">
            <w:pPr>
              <w:spacing w:before="0" w:after="0"/>
              <w:jc w:val="left"/>
              <w:rPr>
                <w:rFonts w:ascii="Times New Roman" w:hAnsi="Times New Roman"/>
                <w:b/>
                <w:sz w:val="24"/>
                <w:highlight w:val="lightGray"/>
                <w:u w:val="single"/>
              </w:rPr>
            </w:pPr>
            <w:r w:rsidRPr="00E26EF6">
              <w:rPr>
                <w:rFonts w:ascii="Times New Roman" w:hAnsi="Times New Roman"/>
                <w:b/>
                <w:sz w:val="24"/>
                <w:u w:val="single"/>
              </w:rPr>
              <w:t xml:space="preserve">POZYCJE UZUPEŁNIAJĄCE </w:t>
            </w:r>
          </w:p>
        </w:tc>
      </w:tr>
      <w:tr w:rsidR="00915077" w:rsidRPr="00E26EF6" w14:paraId="72A5FF23" w14:textId="77777777" w:rsidTr="00E10B85">
        <w:tc>
          <w:tcPr>
            <w:tcW w:w="1101" w:type="dxa"/>
            <w:shd w:val="clear" w:color="auto" w:fill="auto"/>
          </w:tcPr>
          <w:p w14:paraId="47FE92CB"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bCs/>
                <w:sz w:val="24"/>
              </w:rPr>
              <w:t>302</w:t>
            </w:r>
          </w:p>
        </w:tc>
        <w:tc>
          <w:tcPr>
            <w:tcW w:w="7903" w:type="dxa"/>
            <w:shd w:val="clear" w:color="auto" w:fill="auto"/>
          </w:tcPr>
          <w:p w14:paraId="0C524673"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PUNKT INICJUJĄCY SPRZEDANEGO RYZYKA (%)</w:t>
            </w:r>
          </w:p>
          <w:p w14:paraId="4B654EF1" w14:textId="77777777" w:rsidR="00915077" w:rsidRPr="00E26EF6" w:rsidRDefault="00915077">
            <w:pPr>
              <w:spacing w:before="0" w:after="0"/>
              <w:jc w:val="left"/>
              <w:rPr>
                <w:rFonts w:ascii="Times New Roman" w:hAnsi="Times New Roman"/>
                <w:b/>
                <w:sz w:val="24"/>
                <w:u w:val="single"/>
              </w:rPr>
            </w:pPr>
          </w:p>
          <w:p w14:paraId="089250FD" w14:textId="447C5A44" w:rsidR="00915077" w:rsidRPr="00E26EF6" w:rsidRDefault="00C55547">
            <w:pPr>
              <w:spacing w:before="0" w:after="0"/>
              <w:jc w:val="left"/>
              <w:rPr>
                <w:rFonts w:ascii="Times New Roman" w:hAnsi="Times New Roman"/>
                <w:b/>
                <w:sz w:val="24"/>
                <w:u w:val="single"/>
              </w:rPr>
            </w:pPr>
            <w:r w:rsidRPr="00E26EF6">
              <w:rPr>
                <w:rFonts w:ascii="Times New Roman" w:hAnsi="Times New Roman"/>
                <w:sz w:val="24"/>
              </w:rPr>
              <w:t>Jednostki inicjujące zgłaszają wyłącznie punkt inicjujący najbardziej podporządkowanej transzy sprzedanej na rzecz tradycyjnych sekurytyzacji lub chronionej przez osoby trzecie</w:t>
            </w:r>
            <w:r w:rsidR="00E26EF6" w:rsidRPr="00E26EF6">
              <w:rPr>
                <w:rFonts w:ascii="Times New Roman" w:hAnsi="Times New Roman"/>
                <w:sz w:val="24"/>
              </w:rPr>
              <w:t xml:space="preserve"> w prz</w:t>
            </w:r>
            <w:r w:rsidRPr="00E26EF6">
              <w:rPr>
                <w:rFonts w:ascii="Times New Roman" w:hAnsi="Times New Roman"/>
                <w:sz w:val="24"/>
              </w:rPr>
              <w:t>ypadku sekurytyzacji syntetycznych.</w:t>
            </w:r>
          </w:p>
          <w:p w14:paraId="7039C0CA"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279000E3" w14:textId="77777777" w:rsidTr="00E10B85">
        <w:tc>
          <w:tcPr>
            <w:tcW w:w="1101" w:type="dxa"/>
            <w:shd w:val="clear" w:color="auto" w:fill="auto"/>
          </w:tcPr>
          <w:p w14:paraId="6539E85C"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bCs/>
                <w:sz w:val="24"/>
              </w:rPr>
              <w:t>303</w:t>
            </w:r>
          </w:p>
        </w:tc>
        <w:tc>
          <w:tcPr>
            <w:tcW w:w="7903" w:type="dxa"/>
            <w:shd w:val="clear" w:color="auto" w:fill="auto"/>
          </w:tcPr>
          <w:p w14:paraId="7993FAFE"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PUNKT KOŃCZĄCY SPRZEDANEGO RYZYKA (%)</w:t>
            </w:r>
          </w:p>
          <w:p w14:paraId="3D10DFDB" w14:textId="77777777" w:rsidR="00915077" w:rsidRPr="00E26EF6" w:rsidRDefault="00915077">
            <w:pPr>
              <w:spacing w:before="0" w:after="0"/>
              <w:jc w:val="left"/>
              <w:rPr>
                <w:rFonts w:ascii="Times New Roman" w:hAnsi="Times New Roman"/>
                <w:b/>
                <w:sz w:val="24"/>
                <w:u w:val="single"/>
              </w:rPr>
            </w:pPr>
          </w:p>
          <w:p w14:paraId="4B689885" w14:textId="56F1C9E3" w:rsidR="00915077" w:rsidRPr="00E26EF6" w:rsidRDefault="00C55547">
            <w:pPr>
              <w:spacing w:before="0" w:after="0"/>
              <w:jc w:val="left"/>
              <w:rPr>
                <w:rFonts w:ascii="Times New Roman" w:hAnsi="Times New Roman"/>
                <w:sz w:val="24"/>
              </w:rPr>
            </w:pPr>
            <w:r w:rsidRPr="00E26EF6">
              <w:rPr>
                <w:rFonts w:ascii="Times New Roman" w:hAnsi="Times New Roman"/>
                <w:sz w:val="24"/>
              </w:rPr>
              <w:t>Jednostki inicjujące zgłaszają wyłącznie punkt kończący najstarszej transzy sprzedanej na rzecz tradycyjnych sekurytyzacji lub chronionej przez osoby trzecie</w:t>
            </w:r>
            <w:r w:rsidR="00E26EF6" w:rsidRPr="00E26EF6">
              <w:rPr>
                <w:rFonts w:ascii="Times New Roman" w:hAnsi="Times New Roman"/>
                <w:sz w:val="24"/>
              </w:rPr>
              <w:t xml:space="preserve"> w prz</w:t>
            </w:r>
            <w:r w:rsidRPr="00E26EF6">
              <w:rPr>
                <w:rFonts w:ascii="Times New Roman" w:hAnsi="Times New Roman"/>
                <w:sz w:val="24"/>
              </w:rPr>
              <w:t>ypadku sekurytyzacji syntetycznych.</w:t>
            </w:r>
          </w:p>
          <w:p w14:paraId="06AFF67E"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5F86659B" w14:textId="77777777" w:rsidTr="00E10B85">
        <w:tc>
          <w:tcPr>
            <w:tcW w:w="1101" w:type="dxa"/>
            <w:shd w:val="clear" w:color="auto" w:fill="auto"/>
          </w:tcPr>
          <w:p w14:paraId="5A7ED862"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bCs/>
                <w:sz w:val="24"/>
              </w:rPr>
              <w:t>304</w:t>
            </w:r>
          </w:p>
        </w:tc>
        <w:tc>
          <w:tcPr>
            <w:tcW w:w="7903" w:type="dxa"/>
            <w:shd w:val="clear" w:color="auto" w:fill="auto"/>
          </w:tcPr>
          <w:p w14:paraId="4F401239" w14:textId="77777777" w:rsidR="00915077" w:rsidRPr="00E26EF6" w:rsidRDefault="00C55547">
            <w:pPr>
              <w:spacing w:before="0" w:after="0"/>
              <w:jc w:val="left"/>
              <w:rPr>
                <w:rFonts w:ascii="Times New Roman" w:hAnsi="Times New Roman"/>
                <w:b/>
                <w:sz w:val="24"/>
                <w:u w:val="single"/>
              </w:rPr>
            </w:pPr>
            <w:r w:rsidRPr="00E26EF6">
              <w:rPr>
                <w:rFonts w:ascii="Times New Roman" w:hAnsi="Times New Roman"/>
                <w:b/>
                <w:sz w:val="24"/>
                <w:u w:val="single"/>
              </w:rPr>
              <w:t>TRANSFER RYZYKA DEKLAROWANY PRZEZ INSTYTUCJĘ INICJUJĄCĄ (%)</w:t>
            </w:r>
          </w:p>
          <w:p w14:paraId="680800C0" w14:textId="77777777" w:rsidR="00915077" w:rsidRPr="00E26EF6" w:rsidRDefault="00915077">
            <w:pPr>
              <w:spacing w:before="0" w:after="0"/>
              <w:jc w:val="left"/>
              <w:rPr>
                <w:rFonts w:ascii="Times New Roman" w:hAnsi="Times New Roman"/>
                <w:b/>
                <w:sz w:val="24"/>
                <w:u w:val="single"/>
              </w:rPr>
            </w:pPr>
          </w:p>
          <w:p w14:paraId="1611C31C" w14:textId="5DCD1756" w:rsidR="00915077" w:rsidRPr="00E26EF6" w:rsidRDefault="00C55547">
            <w:pPr>
              <w:spacing w:before="0" w:after="0"/>
              <w:jc w:val="left"/>
              <w:rPr>
                <w:rFonts w:ascii="Times New Roman" w:hAnsi="Times New Roman"/>
                <w:sz w:val="24"/>
              </w:rPr>
            </w:pPr>
            <w:r w:rsidRPr="00E26EF6">
              <w:rPr>
                <w:rFonts w:ascii="Times New Roman" w:hAnsi="Times New Roman"/>
                <w:sz w:val="24"/>
              </w:rPr>
              <w:t>Jednostki inicjujące zgłaszają wyłącznie oczekiwaną stratę (EL) plus nieoczekiwaną stratę (UL) aktywów sekurytyzowanych przekazanych stronom trzecim jako odsetek całkowitej EL plus UL. Zgłasza się EL I UL ekspozycji bazowych, które następnie przypisuje się poprzez sekurytyzację kaskadową do odpowiednich transz sekurytyzacyjnych</w:t>
            </w:r>
            <w:r w:rsidR="00E26EF6" w:rsidRPr="00E26EF6">
              <w:rPr>
                <w:rFonts w:ascii="Times New Roman" w:hAnsi="Times New Roman"/>
                <w:sz w:val="24"/>
              </w:rPr>
              <w:t>. W odn</w:t>
            </w:r>
            <w:r w:rsidRPr="00E26EF6">
              <w:rPr>
                <w:rFonts w:ascii="Times New Roman" w:hAnsi="Times New Roman"/>
                <w:sz w:val="24"/>
              </w:rPr>
              <w:t xml:space="preserve">iesieniu do banków SA EL stanowi konkretną korektę ryzyka kredytowego aktywów sekurytyzowanych, a UL stanowi wymóg kapitałowy sekurytyzowanych ekspozycji. </w:t>
            </w:r>
          </w:p>
          <w:p w14:paraId="4276B83A" w14:textId="77777777" w:rsidR="00915077" w:rsidRPr="00E26EF6" w:rsidRDefault="00915077">
            <w:pPr>
              <w:spacing w:before="0" w:after="0"/>
              <w:jc w:val="left"/>
              <w:rPr>
                <w:rFonts w:ascii="Times New Roman" w:hAnsi="Times New Roman"/>
                <w:b/>
                <w:sz w:val="24"/>
                <w:u w:val="single"/>
              </w:rPr>
            </w:pPr>
          </w:p>
        </w:tc>
      </w:tr>
    </w:tbl>
    <w:p w14:paraId="41F4D1A9" w14:textId="77777777" w:rsidR="00915077" w:rsidRPr="00E26EF6" w:rsidRDefault="00915077">
      <w:pPr>
        <w:spacing w:before="0" w:after="0"/>
        <w:jc w:val="left"/>
        <w:rPr>
          <w:rStyle w:val="InstructionsTabelleText"/>
          <w:rFonts w:ascii="Times New Roman" w:hAnsi="Times New Roman"/>
          <w:sz w:val="24"/>
        </w:rPr>
      </w:pPr>
    </w:p>
    <w:p w14:paraId="681C1EE1" w14:textId="77777777" w:rsidR="00915077" w:rsidRPr="00E26EF6" w:rsidRDefault="00FC6275">
      <w:pPr>
        <w:pStyle w:val="Instructionsberschrift2"/>
        <w:numPr>
          <w:ilvl w:val="0"/>
          <w:numId w:val="0"/>
        </w:numPr>
        <w:ind w:left="357" w:hanging="357"/>
        <w:rPr>
          <w:rFonts w:ascii="Times New Roman" w:hAnsi="Times New Roman" w:cs="Times New Roman"/>
          <w:sz w:val="24"/>
        </w:rPr>
      </w:pPr>
      <w:bookmarkStart w:id="70" w:name="_Toc31014367"/>
      <w:r w:rsidRPr="00E26EF6">
        <w:rPr>
          <w:rFonts w:ascii="Times New Roman" w:hAnsi="Times New Roman"/>
          <w:sz w:val="24"/>
          <w:u w:val="none"/>
        </w:rPr>
        <w:t>3.9.4.</w:t>
      </w:r>
      <w:r w:rsidRPr="00E26EF6">
        <w:rPr>
          <w:rFonts w:ascii="Times New Roman" w:hAnsi="Times New Roman"/>
          <w:sz w:val="24"/>
          <w:u w:val="none"/>
        </w:rPr>
        <w:tab/>
      </w:r>
      <w:r w:rsidRPr="00E26EF6">
        <w:rPr>
          <w:rFonts w:ascii="Times New Roman" w:hAnsi="Times New Roman"/>
          <w:sz w:val="24"/>
        </w:rPr>
        <w:t>C 14.01 – Szczegółowe informacje na temat sekurytyzacji według metody (SEC Szczegóły 2)</w:t>
      </w:r>
      <w:bookmarkEnd w:id="70"/>
    </w:p>
    <w:p w14:paraId="19D97974" w14:textId="4315E61C" w:rsidR="00915077" w:rsidRPr="00E26EF6" w:rsidRDefault="00CA4EB2">
      <w:pPr>
        <w:pStyle w:val="InstructionsText2"/>
        <w:numPr>
          <w:ilvl w:val="0"/>
          <w:numId w:val="0"/>
        </w:numPr>
      </w:pPr>
      <w:r w:rsidRPr="00E26EF6">
        <w:t>113c. Wzór SEC Szczegóły 2 zgłasza się osobno</w:t>
      </w:r>
      <w:r w:rsidR="00E26EF6" w:rsidRPr="00E26EF6">
        <w:t xml:space="preserve"> w odn</w:t>
      </w:r>
      <w:r w:rsidRPr="00E26EF6">
        <w:t>iesieniu do następujących metod:</w:t>
      </w:r>
    </w:p>
    <w:p w14:paraId="47151734" w14:textId="77777777" w:rsidR="00915077" w:rsidRPr="00E26EF6" w:rsidRDefault="00CA4EB2">
      <w:pPr>
        <w:pStyle w:val="InstructionsText2"/>
        <w:numPr>
          <w:ilvl w:val="0"/>
          <w:numId w:val="0"/>
        </w:numPr>
        <w:ind w:firstLine="423"/>
      </w:pPr>
      <w:r w:rsidRPr="00E26EF6">
        <w:t>1) SEC-IRBA;</w:t>
      </w:r>
    </w:p>
    <w:p w14:paraId="0F280B59" w14:textId="77777777" w:rsidR="00915077" w:rsidRPr="00E26EF6" w:rsidRDefault="00CA4EB2">
      <w:pPr>
        <w:pStyle w:val="InstructionsText2"/>
        <w:numPr>
          <w:ilvl w:val="0"/>
          <w:numId w:val="0"/>
        </w:numPr>
        <w:ind w:firstLine="423"/>
      </w:pPr>
      <w:r w:rsidRPr="00E26EF6">
        <w:t>2) SEC-SA;</w:t>
      </w:r>
    </w:p>
    <w:p w14:paraId="0E480690" w14:textId="77777777" w:rsidR="00915077" w:rsidRPr="00E26EF6" w:rsidRDefault="00CA4EB2">
      <w:pPr>
        <w:pStyle w:val="InstructionsText2"/>
        <w:numPr>
          <w:ilvl w:val="0"/>
          <w:numId w:val="0"/>
        </w:numPr>
        <w:ind w:firstLine="423"/>
      </w:pPr>
      <w:r w:rsidRPr="00E26EF6">
        <w:t>3) SEC-ERBA;</w:t>
      </w:r>
    </w:p>
    <w:p w14:paraId="7C3082BF" w14:textId="6E1B22B6" w:rsidR="00915077" w:rsidRPr="00E26EF6" w:rsidRDefault="00CA4EB2">
      <w:pPr>
        <w:pStyle w:val="InstructionsText2"/>
        <w:numPr>
          <w:ilvl w:val="0"/>
          <w:numId w:val="0"/>
        </w:numPr>
        <w:ind w:firstLine="423"/>
      </w:pPr>
      <w:r w:rsidRPr="00E26EF6">
        <w:t>4) 1 250</w:t>
      </w:r>
      <w:r w:rsidR="00023409" w:rsidRPr="00E26EF6">
        <w:t> </w:t>
      </w:r>
      <w:r w:rsidRPr="00E26EF6">
        <w:t>%.</w:t>
      </w:r>
    </w:p>
    <w:p w14:paraId="6C14E1AE" w14:textId="77777777" w:rsidR="00915077" w:rsidRPr="00E26EF6" w:rsidRDefault="00915077">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15077" w:rsidRPr="00E26EF6" w14:paraId="24B629CB" w14:textId="77777777" w:rsidTr="00E10B85">
        <w:tc>
          <w:tcPr>
            <w:tcW w:w="9004" w:type="dxa"/>
            <w:gridSpan w:val="2"/>
            <w:shd w:val="clear" w:color="auto" w:fill="CCCCCC"/>
          </w:tcPr>
          <w:p w14:paraId="7822B9A2" w14:textId="77777777" w:rsidR="00915077" w:rsidRPr="00E26EF6" w:rsidRDefault="00915077">
            <w:pPr>
              <w:autoSpaceDE w:val="0"/>
              <w:autoSpaceDN w:val="0"/>
              <w:adjustRightInd w:val="0"/>
              <w:spacing w:before="0" w:after="0"/>
              <w:rPr>
                <w:rFonts w:ascii="Times New Roman" w:hAnsi="Times New Roman"/>
                <w:bCs/>
                <w:sz w:val="24"/>
              </w:rPr>
            </w:pPr>
          </w:p>
          <w:p w14:paraId="67386B91" w14:textId="77777777" w:rsidR="00915077" w:rsidRPr="00E26EF6" w:rsidRDefault="00FC6275">
            <w:pPr>
              <w:autoSpaceDE w:val="0"/>
              <w:autoSpaceDN w:val="0"/>
              <w:adjustRightInd w:val="0"/>
              <w:spacing w:before="0" w:after="0"/>
              <w:rPr>
                <w:rFonts w:ascii="Times New Roman" w:hAnsi="Times New Roman"/>
                <w:b/>
                <w:bCs/>
                <w:sz w:val="24"/>
              </w:rPr>
            </w:pPr>
            <w:r w:rsidRPr="00E26EF6">
              <w:rPr>
                <w:rFonts w:ascii="Times New Roman" w:hAnsi="Times New Roman"/>
                <w:b/>
                <w:sz w:val="24"/>
              </w:rPr>
              <w:t>Kolumny</w:t>
            </w:r>
          </w:p>
          <w:p w14:paraId="7A839348"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46BFB097" w14:textId="77777777" w:rsidTr="00E10B85">
        <w:tc>
          <w:tcPr>
            <w:tcW w:w="1101" w:type="dxa"/>
          </w:tcPr>
          <w:p w14:paraId="7B6E154D"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005</w:t>
            </w:r>
          </w:p>
        </w:tc>
        <w:tc>
          <w:tcPr>
            <w:tcW w:w="7903" w:type="dxa"/>
          </w:tcPr>
          <w:p w14:paraId="493432E4"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NUMER WIERSZA</w:t>
            </w:r>
          </w:p>
          <w:p w14:paraId="729141D9" w14:textId="77777777" w:rsidR="00915077" w:rsidRPr="00E26EF6" w:rsidRDefault="00915077">
            <w:pPr>
              <w:spacing w:before="0" w:after="0"/>
              <w:jc w:val="left"/>
              <w:rPr>
                <w:rFonts w:ascii="Times New Roman" w:hAnsi="Times New Roman"/>
                <w:b/>
                <w:sz w:val="24"/>
                <w:u w:val="single"/>
              </w:rPr>
            </w:pPr>
          </w:p>
          <w:p w14:paraId="499806AF" w14:textId="225BF9B7" w:rsidR="00915077" w:rsidRPr="00E26EF6" w:rsidRDefault="00FC6275">
            <w:pPr>
              <w:autoSpaceDE w:val="0"/>
              <w:autoSpaceDN w:val="0"/>
              <w:adjustRightInd w:val="0"/>
              <w:spacing w:before="0" w:after="0"/>
              <w:rPr>
                <w:rFonts w:ascii="Times New Roman" w:hAnsi="Times New Roman"/>
                <w:sz w:val="24"/>
              </w:rPr>
            </w:pPr>
            <w:r w:rsidRPr="00E26EF6">
              <w:rPr>
                <w:rFonts w:ascii="Times New Roman" w:hAnsi="Times New Roman"/>
                <w:sz w:val="24"/>
              </w:rPr>
              <w:t>Numer wiersza stanowi identyfikator wiersza</w:t>
            </w:r>
            <w:r w:rsidR="00E26EF6" w:rsidRPr="00E26EF6">
              <w:rPr>
                <w:rFonts w:ascii="Times New Roman" w:hAnsi="Times New Roman"/>
                <w:sz w:val="24"/>
              </w:rPr>
              <w:t xml:space="preserve"> i jes</w:t>
            </w:r>
            <w:r w:rsidRPr="00E26EF6">
              <w:rPr>
                <w:rFonts w:ascii="Times New Roman" w:hAnsi="Times New Roman"/>
                <w:sz w:val="24"/>
              </w:rPr>
              <w:t>t niepowtarzalny dla każdego wiersza we wzorze. Numeracja następuje</w:t>
            </w:r>
            <w:r w:rsidR="00E26EF6" w:rsidRPr="00E26EF6">
              <w:rPr>
                <w:rFonts w:ascii="Times New Roman" w:hAnsi="Times New Roman"/>
                <w:sz w:val="24"/>
              </w:rPr>
              <w:t xml:space="preserve"> w kol</w:t>
            </w:r>
            <w:r w:rsidRPr="00E26EF6">
              <w:rPr>
                <w:rFonts w:ascii="Times New Roman" w:hAnsi="Times New Roman"/>
                <w:sz w:val="24"/>
              </w:rPr>
              <w:t>ejności numerycznej: 1, 2, 3 itd.</w:t>
            </w:r>
          </w:p>
          <w:p w14:paraId="6845544B" w14:textId="77777777" w:rsidR="00915077" w:rsidRPr="00E26EF6" w:rsidRDefault="00915077">
            <w:pPr>
              <w:autoSpaceDE w:val="0"/>
              <w:autoSpaceDN w:val="0"/>
              <w:adjustRightInd w:val="0"/>
              <w:spacing w:before="0" w:after="0"/>
              <w:rPr>
                <w:rFonts w:ascii="Times New Roman" w:hAnsi="Times New Roman"/>
                <w:b/>
                <w:sz w:val="24"/>
                <w:highlight w:val="lightGray"/>
                <w:u w:val="single"/>
              </w:rPr>
            </w:pPr>
          </w:p>
        </w:tc>
      </w:tr>
      <w:tr w:rsidR="00915077" w:rsidRPr="00E26EF6" w14:paraId="59423977" w14:textId="77777777" w:rsidTr="00E10B85">
        <w:tc>
          <w:tcPr>
            <w:tcW w:w="1101" w:type="dxa"/>
          </w:tcPr>
          <w:p w14:paraId="42E6678C"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010</w:t>
            </w:r>
          </w:p>
        </w:tc>
        <w:tc>
          <w:tcPr>
            <w:tcW w:w="7903" w:type="dxa"/>
          </w:tcPr>
          <w:p w14:paraId="1C1F45C5"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KOD WEWNĘTRZNY</w:t>
            </w:r>
          </w:p>
          <w:p w14:paraId="76C45D39" w14:textId="77777777" w:rsidR="00915077" w:rsidRPr="00E26EF6" w:rsidRDefault="00915077">
            <w:pPr>
              <w:spacing w:before="0" w:after="0"/>
              <w:jc w:val="left"/>
              <w:rPr>
                <w:rFonts w:ascii="Times New Roman" w:hAnsi="Times New Roman"/>
                <w:sz w:val="24"/>
              </w:rPr>
            </w:pPr>
          </w:p>
          <w:p w14:paraId="6639388F" w14:textId="73D57375" w:rsidR="00915077" w:rsidRPr="00E26EF6" w:rsidRDefault="00FC6275">
            <w:pPr>
              <w:autoSpaceDE w:val="0"/>
              <w:autoSpaceDN w:val="0"/>
              <w:adjustRightInd w:val="0"/>
              <w:spacing w:before="0" w:after="0"/>
              <w:rPr>
                <w:rFonts w:ascii="Times New Roman" w:hAnsi="Times New Roman"/>
                <w:sz w:val="24"/>
              </w:rPr>
            </w:pPr>
            <w:r w:rsidRPr="00E26EF6">
              <w:rPr>
                <w:rFonts w:ascii="Times New Roman" w:hAnsi="Times New Roman"/>
                <w:sz w:val="24"/>
              </w:rPr>
              <w:t>Wewnętrzny (alfanumeryczny) kod stosowany przez instytucję</w:t>
            </w:r>
            <w:r w:rsidR="00E26EF6" w:rsidRPr="00E26EF6">
              <w:rPr>
                <w:rFonts w:ascii="Times New Roman" w:hAnsi="Times New Roman"/>
                <w:sz w:val="24"/>
              </w:rPr>
              <w:t xml:space="preserve"> w cel</w:t>
            </w:r>
            <w:r w:rsidRPr="00E26EF6">
              <w:rPr>
                <w:rFonts w:ascii="Times New Roman" w:hAnsi="Times New Roman"/>
                <w:sz w:val="24"/>
              </w:rPr>
              <w:t>u identyfikacji sekurytyzacji. Kod wewnętrzny związany jest</w:t>
            </w:r>
            <w:r w:rsidR="00E26EF6" w:rsidRPr="00E26EF6">
              <w:rPr>
                <w:rFonts w:ascii="Times New Roman" w:hAnsi="Times New Roman"/>
                <w:sz w:val="24"/>
              </w:rPr>
              <w:t xml:space="preserve"> z ide</w:t>
            </w:r>
            <w:r w:rsidRPr="00E26EF6">
              <w:rPr>
                <w:rFonts w:ascii="Times New Roman" w:hAnsi="Times New Roman"/>
                <w:sz w:val="24"/>
              </w:rPr>
              <w:t>ntyfikatorem transakcji sekurytyzacji.</w:t>
            </w:r>
          </w:p>
          <w:p w14:paraId="3C3BB2AC"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57044FE5" w14:textId="77777777" w:rsidTr="00E10B85">
        <w:tc>
          <w:tcPr>
            <w:tcW w:w="1101" w:type="dxa"/>
          </w:tcPr>
          <w:p w14:paraId="5CA360EC"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020</w:t>
            </w:r>
          </w:p>
        </w:tc>
        <w:tc>
          <w:tcPr>
            <w:tcW w:w="7903" w:type="dxa"/>
          </w:tcPr>
          <w:p w14:paraId="02CA1DA6" w14:textId="77777777" w:rsidR="00915077" w:rsidRPr="00E26EF6" w:rsidRDefault="00FC6275">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IDENTYFIKATOR SEKURYTYZACJI</w:t>
            </w:r>
            <w:r w:rsidRPr="00E26EF6">
              <w:rPr>
                <w:rFonts w:ascii="Times New Roman" w:hAnsi="Times New Roman"/>
                <w:b/>
                <w:sz w:val="24"/>
              </w:rPr>
              <w:t xml:space="preserve"> (kod/nazwa)</w:t>
            </w:r>
          </w:p>
          <w:p w14:paraId="1EE0099A" w14:textId="77777777" w:rsidR="00915077" w:rsidRPr="00E26EF6" w:rsidRDefault="00915077">
            <w:pPr>
              <w:spacing w:before="0" w:after="0"/>
              <w:jc w:val="left"/>
              <w:rPr>
                <w:rFonts w:ascii="Times New Roman" w:hAnsi="Times New Roman"/>
                <w:sz w:val="24"/>
              </w:rPr>
            </w:pPr>
          </w:p>
          <w:p w14:paraId="13DD1771" w14:textId="5903D22C" w:rsidR="00915077" w:rsidRPr="00E26EF6" w:rsidRDefault="00FC6275">
            <w:pPr>
              <w:autoSpaceDE w:val="0"/>
              <w:autoSpaceDN w:val="0"/>
              <w:adjustRightInd w:val="0"/>
              <w:spacing w:before="0" w:after="0"/>
              <w:rPr>
                <w:rFonts w:ascii="Times New Roman" w:hAnsi="Times New Roman"/>
                <w:sz w:val="24"/>
              </w:rPr>
            </w:pPr>
            <w:r w:rsidRPr="00E26EF6">
              <w:rPr>
                <w:rFonts w:ascii="Times New Roman" w:hAnsi="Times New Roman"/>
                <w:sz w:val="24"/>
              </w:rPr>
              <w:t>Kod używany do celów prawnej rejestracji pozycji sekurytyzacyjnych lub transakcji sekurytyzacji</w:t>
            </w:r>
            <w:r w:rsidR="00E26EF6" w:rsidRPr="00E26EF6">
              <w:rPr>
                <w:rFonts w:ascii="Times New Roman" w:hAnsi="Times New Roman"/>
                <w:sz w:val="24"/>
              </w:rPr>
              <w:t xml:space="preserve"> w prz</w:t>
            </w:r>
            <w:r w:rsidRPr="00E26EF6">
              <w:rPr>
                <w:rFonts w:ascii="Times New Roman" w:hAnsi="Times New Roman"/>
                <w:sz w:val="24"/>
              </w:rPr>
              <w:t>ypadku gdy</w:t>
            </w:r>
            <w:r w:rsidR="00E26EF6" w:rsidRPr="00E26EF6">
              <w:rPr>
                <w:rFonts w:ascii="Times New Roman" w:hAnsi="Times New Roman"/>
                <w:sz w:val="24"/>
              </w:rPr>
              <w:t xml:space="preserve"> w tym</w:t>
            </w:r>
            <w:r w:rsidRPr="00E26EF6">
              <w:rPr>
                <w:rFonts w:ascii="Times New Roman" w:hAnsi="Times New Roman"/>
                <w:sz w:val="24"/>
              </w:rPr>
              <w:t xml:space="preserve"> samym wierszu można zgłosić kilka pozycji lub, jeśli taki kod nie jest dostępny, nazwa, pod którą dana pozycja sekurytyzacyjna lub transakcja sekurytyzacji jest znana na rynku lub</w:t>
            </w:r>
            <w:r w:rsidR="00E26EF6" w:rsidRPr="00E26EF6">
              <w:rPr>
                <w:rFonts w:ascii="Times New Roman" w:hAnsi="Times New Roman"/>
                <w:sz w:val="24"/>
              </w:rPr>
              <w:t xml:space="preserve"> w ram</w:t>
            </w:r>
            <w:r w:rsidRPr="00E26EF6">
              <w:rPr>
                <w:rFonts w:ascii="Times New Roman" w:hAnsi="Times New Roman"/>
                <w:sz w:val="24"/>
              </w:rPr>
              <w:t>ach instytucji</w:t>
            </w:r>
            <w:r w:rsidR="00E26EF6" w:rsidRPr="00E26EF6">
              <w:rPr>
                <w:rFonts w:ascii="Times New Roman" w:hAnsi="Times New Roman"/>
                <w:sz w:val="24"/>
              </w:rPr>
              <w:t xml:space="preserve"> w prz</w:t>
            </w:r>
            <w:r w:rsidRPr="00E26EF6">
              <w:rPr>
                <w:rFonts w:ascii="Times New Roman" w:hAnsi="Times New Roman"/>
                <w:sz w:val="24"/>
              </w:rPr>
              <w:t>ypadku sekurytyzacji wewnętrznej lub prywatnej</w:t>
            </w:r>
            <w:r w:rsidR="00E26EF6" w:rsidRPr="00E26EF6">
              <w:rPr>
                <w:rFonts w:ascii="Times New Roman" w:hAnsi="Times New Roman"/>
                <w:sz w:val="24"/>
              </w:rPr>
              <w:t>. W prz</w:t>
            </w:r>
            <w:r w:rsidRPr="00E26EF6">
              <w:rPr>
                <w:rFonts w:ascii="Times New Roman" w:hAnsi="Times New Roman"/>
                <w:sz w:val="24"/>
              </w:rPr>
              <w:t>ypadku gdy dostępny jest Międzynarodowy Numer Identyfikacyjny Papierów Wartościowych (ISIN; np.</w:t>
            </w:r>
            <w:r w:rsidR="00E26EF6" w:rsidRPr="00E26EF6">
              <w:rPr>
                <w:rFonts w:ascii="Times New Roman" w:hAnsi="Times New Roman"/>
                <w:sz w:val="24"/>
              </w:rPr>
              <w:t xml:space="preserve"> w odn</w:t>
            </w:r>
            <w:r w:rsidRPr="00E26EF6">
              <w:rPr>
                <w:rFonts w:ascii="Times New Roman" w:hAnsi="Times New Roman"/>
                <w:sz w:val="24"/>
              </w:rPr>
              <w:t>iesieniu do transakcji publicznych),</w:t>
            </w:r>
            <w:r w:rsidR="00E26EF6" w:rsidRPr="00E26EF6">
              <w:rPr>
                <w:rFonts w:ascii="Times New Roman" w:hAnsi="Times New Roman"/>
                <w:sz w:val="24"/>
              </w:rPr>
              <w:t xml:space="preserve"> w kol</w:t>
            </w:r>
            <w:r w:rsidRPr="00E26EF6">
              <w:rPr>
                <w:rFonts w:ascii="Times New Roman" w:hAnsi="Times New Roman"/>
                <w:sz w:val="24"/>
              </w:rPr>
              <w:t>umnie tej zgłasza się znaki wspólne dla wszystkich transz sekurytyzacyjnych.</w:t>
            </w:r>
          </w:p>
          <w:p w14:paraId="23D900E6"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553DE7E4" w14:textId="77777777" w:rsidTr="00E10B85">
        <w:tc>
          <w:tcPr>
            <w:tcW w:w="1101" w:type="dxa"/>
          </w:tcPr>
          <w:p w14:paraId="5B79E3F3"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310–400</w:t>
            </w:r>
          </w:p>
        </w:tc>
        <w:tc>
          <w:tcPr>
            <w:tcW w:w="7903" w:type="dxa"/>
          </w:tcPr>
          <w:p w14:paraId="6E2AC05C" w14:textId="71DC1195"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POZYCJE SEKURYTYZACYJNE: PIERWOTNA EKSPOZYCJA PRZED UWZGLĘDNIENIEM WSPÓŁCZYNNIKÓW KONWERSJI</w:t>
            </w:r>
          </w:p>
          <w:p w14:paraId="79227684" w14:textId="77777777" w:rsidR="00915077" w:rsidRPr="00E26EF6" w:rsidRDefault="00915077">
            <w:pPr>
              <w:spacing w:before="0" w:after="0"/>
              <w:jc w:val="left"/>
              <w:rPr>
                <w:rFonts w:ascii="Times New Roman" w:hAnsi="Times New Roman"/>
                <w:sz w:val="24"/>
              </w:rPr>
            </w:pPr>
          </w:p>
          <w:p w14:paraId="3A2991C7" w14:textId="42C60B50" w:rsidR="00915077" w:rsidRPr="00E26EF6" w:rsidRDefault="00FC6275">
            <w:pPr>
              <w:spacing w:before="0" w:after="0"/>
              <w:rPr>
                <w:rFonts w:ascii="Times New Roman" w:hAnsi="Times New Roman"/>
                <w:sz w:val="24"/>
              </w:rPr>
            </w:pPr>
            <w:r w:rsidRPr="00E26EF6">
              <w:rPr>
                <w:rFonts w:ascii="Times New Roman" w:hAnsi="Times New Roman"/>
                <w:sz w:val="24"/>
              </w:rPr>
              <w:t xml:space="preserve">W tym zestawieniu kolumn gromadzone są informacje na temat pozycji sekurytyzacyjnych podzielone według pozycji bilansowych/pozabilansowych oraz transz (uprzywilejowane/typu mezzanine/pierwszej straty) na dzień sprawozdawczy. </w:t>
            </w:r>
          </w:p>
          <w:p w14:paraId="67CA4174" w14:textId="77777777" w:rsidR="00915077" w:rsidRPr="00E26EF6" w:rsidRDefault="00915077">
            <w:pPr>
              <w:spacing w:before="0" w:after="0"/>
              <w:jc w:val="left"/>
              <w:rPr>
                <w:rFonts w:ascii="Times New Roman" w:hAnsi="Times New Roman"/>
                <w:sz w:val="24"/>
                <w:highlight w:val="lightGray"/>
              </w:rPr>
            </w:pPr>
          </w:p>
        </w:tc>
      </w:tr>
      <w:tr w:rsidR="00915077" w:rsidRPr="00E26EF6" w14:paraId="18FAD142" w14:textId="77777777" w:rsidTr="00E10B85">
        <w:tc>
          <w:tcPr>
            <w:tcW w:w="1101" w:type="dxa"/>
          </w:tcPr>
          <w:p w14:paraId="42F5ED1F"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310–330</w:t>
            </w:r>
          </w:p>
        </w:tc>
        <w:tc>
          <w:tcPr>
            <w:tcW w:w="7903" w:type="dxa"/>
          </w:tcPr>
          <w:p w14:paraId="6F968930"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 xml:space="preserve">POZYCJE BILANSOWE </w:t>
            </w:r>
          </w:p>
          <w:p w14:paraId="7D19E8D9" w14:textId="77777777" w:rsidR="00915077" w:rsidRPr="00E26EF6" w:rsidRDefault="00915077">
            <w:pPr>
              <w:spacing w:before="0" w:after="0"/>
              <w:jc w:val="left"/>
              <w:rPr>
                <w:rFonts w:ascii="Times New Roman" w:hAnsi="Times New Roman"/>
                <w:sz w:val="24"/>
              </w:rPr>
            </w:pPr>
          </w:p>
          <w:p w14:paraId="6606DB1E" w14:textId="40BF8803" w:rsidR="00915077" w:rsidRPr="00E26EF6" w:rsidRDefault="00FC6275">
            <w:pPr>
              <w:spacing w:before="0" w:after="0"/>
              <w:jc w:val="left"/>
              <w:rPr>
                <w:rFonts w:ascii="Times New Roman" w:hAnsi="Times New Roman"/>
                <w:sz w:val="24"/>
              </w:rPr>
            </w:pPr>
            <w:r w:rsidRPr="00E26EF6">
              <w:rPr>
                <w:rFonts w:ascii="Times New Roman" w:hAnsi="Times New Roman"/>
                <w:sz w:val="24"/>
              </w:rPr>
              <w:t>Stosuje się te same kryteria klasyfikacji transz jak zastosowane</w:t>
            </w:r>
            <w:r w:rsidR="00E26EF6" w:rsidRPr="00E26EF6">
              <w:rPr>
                <w:rFonts w:ascii="Times New Roman" w:hAnsi="Times New Roman"/>
                <w:sz w:val="24"/>
              </w:rPr>
              <w:t xml:space="preserve"> w prz</w:t>
            </w:r>
            <w:r w:rsidRPr="00E26EF6">
              <w:rPr>
                <w:rFonts w:ascii="Times New Roman" w:hAnsi="Times New Roman"/>
                <w:sz w:val="24"/>
              </w:rPr>
              <w:t>ypadku kolumn 230, 240</w:t>
            </w:r>
            <w:r w:rsidR="00E26EF6" w:rsidRPr="00E26EF6">
              <w:rPr>
                <w:rFonts w:ascii="Times New Roman" w:hAnsi="Times New Roman"/>
                <w:sz w:val="24"/>
              </w:rPr>
              <w:t xml:space="preserve"> i 2</w:t>
            </w:r>
            <w:r w:rsidRPr="00E26EF6">
              <w:rPr>
                <w:rFonts w:ascii="Times New Roman" w:hAnsi="Times New Roman"/>
                <w:sz w:val="24"/>
              </w:rPr>
              <w:t>50.</w:t>
            </w:r>
          </w:p>
          <w:p w14:paraId="30110BB4" w14:textId="77777777" w:rsidR="00915077" w:rsidRPr="00E26EF6" w:rsidRDefault="00915077">
            <w:pPr>
              <w:spacing w:before="0" w:after="0"/>
              <w:jc w:val="left"/>
              <w:rPr>
                <w:rFonts w:ascii="Times New Roman" w:hAnsi="Times New Roman"/>
                <w:sz w:val="24"/>
                <w:highlight w:val="lightGray"/>
              </w:rPr>
            </w:pPr>
          </w:p>
        </w:tc>
      </w:tr>
      <w:tr w:rsidR="00915077" w:rsidRPr="00E26EF6" w14:paraId="63BABDFF" w14:textId="77777777" w:rsidTr="00E10B85">
        <w:tc>
          <w:tcPr>
            <w:tcW w:w="1101" w:type="dxa"/>
          </w:tcPr>
          <w:p w14:paraId="693A94C9"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340-361</w:t>
            </w:r>
          </w:p>
        </w:tc>
        <w:tc>
          <w:tcPr>
            <w:tcW w:w="7903" w:type="dxa"/>
          </w:tcPr>
          <w:p w14:paraId="076ACBA0"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POZYCJE POZABILANSOWE I INSTRUMENTY POCHODNE</w:t>
            </w:r>
          </w:p>
          <w:p w14:paraId="27125C1E" w14:textId="77777777" w:rsidR="00915077" w:rsidRPr="00E26EF6" w:rsidRDefault="00915077">
            <w:pPr>
              <w:spacing w:before="0" w:after="0"/>
              <w:jc w:val="left"/>
              <w:rPr>
                <w:rFonts w:ascii="Times New Roman" w:hAnsi="Times New Roman"/>
                <w:sz w:val="24"/>
              </w:rPr>
            </w:pPr>
          </w:p>
          <w:p w14:paraId="0664BE13" w14:textId="1BA17945" w:rsidR="00915077" w:rsidRPr="00E26EF6" w:rsidRDefault="00FC6275">
            <w:pPr>
              <w:spacing w:before="0" w:after="0"/>
              <w:jc w:val="left"/>
              <w:rPr>
                <w:rFonts w:ascii="Times New Roman" w:hAnsi="Times New Roman"/>
                <w:sz w:val="24"/>
              </w:rPr>
            </w:pPr>
            <w:r w:rsidRPr="00E26EF6">
              <w:rPr>
                <w:rFonts w:ascii="Times New Roman" w:hAnsi="Times New Roman"/>
                <w:sz w:val="24"/>
              </w:rPr>
              <w:t>Stosuje się te same kryteria klasyfikacji transz jak zastosowane</w:t>
            </w:r>
            <w:r w:rsidR="00E26EF6" w:rsidRPr="00E26EF6">
              <w:rPr>
                <w:rFonts w:ascii="Times New Roman" w:hAnsi="Times New Roman"/>
                <w:sz w:val="24"/>
              </w:rPr>
              <w:t xml:space="preserve"> w prz</w:t>
            </w:r>
            <w:r w:rsidRPr="00E26EF6">
              <w:rPr>
                <w:rFonts w:ascii="Times New Roman" w:hAnsi="Times New Roman"/>
                <w:sz w:val="24"/>
              </w:rPr>
              <w:t>ypadku kolumn 260–280.</w:t>
            </w:r>
          </w:p>
          <w:p w14:paraId="61DC83D7" w14:textId="77777777" w:rsidR="00915077" w:rsidRPr="00E26EF6" w:rsidRDefault="00915077">
            <w:pPr>
              <w:spacing w:before="0" w:after="0"/>
              <w:jc w:val="left"/>
              <w:rPr>
                <w:rFonts w:ascii="Times New Roman" w:hAnsi="Times New Roman"/>
                <w:sz w:val="24"/>
                <w:highlight w:val="lightGray"/>
              </w:rPr>
            </w:pPr>
          </w:p>
        </w:tc>
      </w:tr>
      <w:tr w:rsidR="00915077" w:rsidRPr="00E26EF6" w14:paraId="49D31348" w14:textId="77777777" w:rsidTr="00E10B85">
        <w:tc>
          <w:tcPr>
            <w:tcW w:w="1101" w:type="dxa"/>
          </w:tcPr>
          <w:p w14:paraId="0E17D940" w14:textId="0E0782A2" w:rsidR="00915077" w:rsidRPr="00E26EF6"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351</w:t>
            </w:r>
            <w:r w:rsidR="00E26EF6" w:rsidRPr="00E26EF6">
              <w:rPr>
                <w:rFonts w:ascii="Times New Roman" w:hAnsi="Times New Roman"/>
                <w:sz w:val="24"/>
              </w:rPr>
              <w:t xml:space="preserve"> i 3</w:t>
            </w:r>
            <w:r w:rsidRPr="00E26EF6">
              <w:rPr>
                <w:rFonts w:ascii="Times New Roman" w:hAnsi="Times New Roman"/>
                <w:sz w:val="24"/>
              </w:rPr>
              <w:t>61</w:t>
            </w:r>
          </w:p>
        </w:tc>
        <w:tc>
          <w:tcPr>
            <w:tcW w:w="7903" w:type="dxa"/>
          </w:tcPr>
          <w:p w14:paraId="43F61828" w14:textId="77777777" w:rsidR="00915077" w:rsidRPr="00E26EF6" w:rsidRDefault="00FC6275">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RW odpowiadająca dostawcy ochrony kredytowej / instrumentowi</w:t>
            </w:r>
          </w:p>
          <w:p w14:paraId="5309A14E"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337E00F5" w14:textId="42EAE535" w:rsidR="00915077" w:rsidRPr="00E26EF6" w:rsidRDefault="00FC6275">
            <w:pPr>
              <w:autoSpaceDE w:val="0"/>
              <w:autoSpaceDN w:val="0"/>
              <w:adjustRightInd w:val="0"/>
              <w:spacing w:before="0" w:after="0"/>
              <w:jc w:val="left"/>
              <w:rPr>
                <w:rFonts w:ascii="Times New Roman" w:hAnsi="Times New Roman"/>
                <w:sz w:val="24"/>
              </w:rPr>
            </w:pPr>
            <w:r w:rsidRPr="00E26EF6">
              <w:rPr>
                <w:rFonts w:ascii="Times New Roman" w:hAnsi="Times New Roman"/>
                <w:sz w:val="24"/>
              </w:rPr>
              <w:t>% RW kwalifikowalnego gwaranta lub % RW odpowiadającego instrumentu, który zapewnia ochronę kredytową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249 CRR.</w:t>
            </w:r>
          </w:p>
          <w:p w14:paraId="03F785C2"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20282866" w14:textId="77777777" w:rsidTr="00E10B85">
        <w:tc>
          <w:tcPr>
            <w:tcW w:w="1101" w:type="dxa"/>
          </w:tcPr>
          <w:p w14:paraId="419786A6" w14:textId="77777777" w:rsidR="00915077" w:rsidRPr="00E26EF6"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370–400</w:t>
            </w:r>
          </w:p>
        </w:tc>
        <w:tc>
          <w:tcPr>
            <w:tcW w:w="7903" w:type="dxa"/>
          </w:tcPr>
          <w:p w14:paraId="6D1571CF" w14:textId="554B7FD2" w:rsidR="00915077" w:rsidRPr="00E26EF6" w:rsidRDefault="00FC6275">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POZYCJE UZUPEŁNIAJĄCE: POZYCJE POZABILANSOWE I INSTRUMENTY POCHODNE PRZED UWZGLĘDNIENIEM WSPÓŁCZYNNIKÓW KONWERSJI</w:t>
            </w:r>
          </w:p>
          <w:p w14:paraId="6ABBF46E"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479CFEE5" w14:textId="0C4EB54D" w:rsidR="00915077" w:rsidRPr="00E26EF6" w:rsidRDefault="00FC6275">
            <w:pPr>
              <w:autoSpaceDE w:val="0"/>
              <w:autoSpaceDN w:val="0"/>
              <w:adjustRightInd w:val="0"/>
              <w:spacing w:before="0" w:after="0"/>
              <w:rPr>
                <w:rFonts w:ascii="Times New Roman" w:hAnsi="Times New Roman"/>
                <w:sz w:val="24"/>
              </w:rPr>
            </w:pPr>
            <w:r w:rsidRPr="00E26EF6">
              <w:rPr>
                <w:rFonts w:ascii="Times New Roman" w:hAnsi="Times New Roman"/>
                <w:sz w:val="24"/>
              </w:rPr>
              <w:t>W tym zestawieniu kolumn gromadzone są dodatkowe informacje na temat sumy pozycji pozabilansowych</w:t>
            </w:r>
            <w:r w:rsidR="00E26EF6" w:rsidRPr="00E26EF6">
              <w:rPr>
                <w:rFonts w:ascii="Times New Roman" w:hAnsi="Times New Roman"/>
                <w:sz w:val="24"/>
              </w:rPr>
              <w:t xml:space="preserve"> i ins</w:t>
            </w:r>
            <w:r w:rsidRPr="00E26EF6">
              <w:rPr>
                <w:rFonts w:ascii="Times New Roman" w:hAnsi="Times New Roman"/>
                <w:sz w:val="24"/>
              </w:rPr>
              <w:t>trumentów pochodnych (które są już zgłoszone</w:t>
            </w:r>
            <w:r w:rsidR="00E26EF6" w:rsidRPr="00E26EF6">
              <w:rPr>
                <w:rFonts w:ascii="Times New Roman" w:hAnsi="Times New Roman"/>
                <w:sz w:val="24"/>
              </w:rPr>
              <w:t xml:space="preserve"> w ram</w:t>
            </w:r>
            <w:r w:rsidRPr="00E26EF6">
              <w:rPr>
                <w:rFonts w:ascii="Times New Roman" w:hAnsi="Times New Roman"/>
                <w:sz w:val="24"/>
              </w:rPr>
              <w:t>ach innego podziału</w:t>
            </w:r>
            <w:r w:rsidR="00E26EF6" w:rsidRPr="00E26EF6">
              <w:rPr>
                <w:rFonts w:ascii="Times New Roman" w:hAnsi="Times New Roman"/>
                <w:sz w:val="24"/>
              </w:rPr>
              <w:t xml:space="preserve"> w kol</w:t>
            </w:r>
            <w:r w:rsidRPr="00E26EF6">
              <w:rPr>
                <w:rFonts w:ascii="Times New Roman" w:hAnsi="Times New Roman"/>
                <w:sz w:val="24"/>
              </w:rPr>
              <w:t>umnach 340-361).</w:t>
            </w:r>
          </w:p>
          <w:p w14:paraId="6CEB7659" w14:textId="77777777" w:rsidR="00915077" w:rsidRPr="00E26EF6" w:rsidRDefault="00915077">
            <w:pPr>
              <w:autoSpaceDE w:val="0"/>
              <w:autoSpaceDN w:val="0"/>
              <w:adjustRightInd w:val="0"/>
              <w:spacing w:before="0" w:after="0"/>
              <w:jc w:val="left"/>
              <w:rPr>
                <w:rFonts w:ascii="Times New Roman" w:hAnsi="Times New Roman"/>
                <w:sz w:val="24"/>
                <w:highlight w:val="lightGray"/>
              </w:rPr>
            </w:pPr>
          </w:p>
        </w:tc>
      </w:tr>
      <w:tr w:rsidR="00915077" w:rsidRPr="00E26EF6" w14:paraId="1450EA12" w14:textId="77777777" w:rsidTr="00E10B85">
        <w:tc>
          <w:tcPr>
            <w:tcW w:w="1101" w:type="dxa"/>
          </w:tcPr>
          <w:p w14:paraId="3FA29278" w14:textId="77777777" w:rsidR="00915077" w:rsidRPr="00E26EF6"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370</w:t>
            </w:r>
          </w:p>
        </w:tc>
        <w:tc>
          <w:tcPr>
            <w:tcW w:w="7903" w:type="dxa"/>
          </w:tcPr>
          <w:p w14:paraId="5AD9CF06" w14:textId="77777777" w:rsidR="00915077" w:rsidRPr="00E26EF6" w:rsidRDefault="00FC6275">
            <w:pPr>
              <w:autoSpaceDE w:val="0"/>
              <w:autoSpaceDN w:val="0"/>
              <w:adjustRightInd w:val="0"/>
              <w:spacing w:before="0" w:after="0"/>
              <w:jc w:val="left"/>
              <w:rPr>
                <w:rFonts w:ascii="Times New Roman" w:hAnsi="Times New Roman"/>
                <w:b/>
                <w:sz w:val="24"/>
                <w:u w:val="single"/>
              </w:rPr>
            </w:pPr>
            <w:r w:rsidRPr="00E26EF6">
              <w:rPr>
                <w:rFonts w:ascii="Times New Roman" w:hAnsi="Times New Roman"/>
                <w:b/>
                <w:sz w:val="24"/>
                <w:u w:val="single"/>
              </w:rPr>
              <w:t>BEZPOŚREDNIE SUBSTYTUTY KREDYTU</w:t>
            </w:r>
          </w:p>
          <w:p w14:paraId="70E7F351" w14:textId="77777777" w:rsidR="00915077" w:rsidRPr="00E26EF6" w:rsidRDefault="00915077">
            <w:pPr>
              <w:autoSpaceDE w:val="0"/>
              <w:autoSpaceDN w:val="0"/>
              <w:adjustRightInd w:val="0"/>
              <w:spacing w:before="0" w:after="0"/>
              <w:jc w:val="left"/>
              <w:rPr>
                <w:rFonts w:ascii="Times New Roman" w:hAnsi="Times New Roman"/>
                <w:b/>
                <w:sz w:val="24"/>
                <w:u w:val="single"/>
              </w:rPr>
            </w:pPr>
          </w:p>
          <w:p w14:paraId="0D6E57F9" w14:textId="3C059962" w:rsidR="00915077" w:rsidRPr="00E26EF6" w:rsidRDefault="00FC6275">
            <w:pPr>
              <w:spacing w:before="0" w:after="0"/>
              <w:rPr>
                <w:rFonts w:ascii="Times New Roman" w:hAnsi="Times New Roman"/>
                <w:sz w:val="24"/>
              </w:rPr>
            </w:pPr>
            <w:r w:rsidRPr="00E26EF6">
              <w:rPr>
                <w:rFonts w:ascii="Times New Roman" w:hAnsi="Times New Roman"/>
                <w:sz w:val="24"/>
              </w:rPr>
              <w:t>Kolumna ta ma zastosowanie do pozycji sekurytyzacyjnych posiadanych przez jednostkę inicjującą</w:t>
            </w:r>
            <w:r w:rsidR="00E26EF6" w:rsidRPr="00E26EF6">
              <w:rPr>
                <w:rFonts w:ascii="Times New Roman" w:hAnsi="Times New Roman"/>
                <w:sz w:val="24"/>
              </w:rPr>
              <w:t xml:space="preserve"> i gwa</w:t>
            </w:r>
            <w:r w:rsidRPr="00E26EF6">
              <w:rPr>
                <w:rFonts w:ascii="Times New Roman" w:hAnsi="Times New Roman"/>
                <w:sz w:val="24"/>
              </w:rPr>
              <w:t>rantowanych bezpośrednimi substytutami kredytu.</w:t>
            </w:r>
          </w:p>
          <w:p w14:paraId="5D31B483" w14:textId="77777777" w:rsidR="00915077" w:rsidRPr="00E26EF6" w:rsidRDefault="00915077">
            <w:pPr>
              <w:spacing w:before="0" w:after="0"/>
              <w:rPr>
                <w:rFonts w:ascii="Times New Roman" w:hAnsi="Times New Roman"/>
                <w:sz w:val="24"/>
              </w:rPr>
            </w:pPr>
          </w:p>
          <w:p w14:paraId="56E6E340" w14:textId="7E81AE97" w:rsidR="00915077" w:rsidRPr="00E26EF6" w:rsidRDefault="00BB22D4">
            <w:pPr>
              <w:spacing w:before="0" w:after="0"/>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zał</w:t>
            </w:r>
            <w:r w:rsidRPr="00E26EF6">
              <w:rPr>
                <w:rFonts w:ascii="Times New Roman" w:hAnsi="Times New Roman"/>
                <w:sz w:val="24"/>
              </w:rPr>
              <w:t>ącznikiem I do CRR następujące pozycje pozabilansowe pełnego ryzyka traktuje się jak bezpośrednie substytuty kredytu:</w:t>
            </w:r>
          </w:p>
          <w:p w14:paraId="72A8EA09" w14:textId="77777777" w:rsidR="00915077" w:rsidRPr="00E26EF6" w:rsidRDefault="00915077">
            <w:pPr>
              <w:spacing w:before="0" w:after="0"/>
              <w:rPr>
                <w:rFonts w:ascii="Times New Roman" w:hAnsi="Times New Roman"/>
                <w:sz w:val="24"/>
              </w:rPr>
            </w:pPr>
          </w:p>
          <w:p w14:paraId="552748AA" w14:textId="77777777" w:rsidR="00915077" w:rsidRPr="00E26EF6" w:rsidRDefault="00FC6275">
            <w:pPr>
              <w:spacing w:before="0" w:after="0"/>
              <w:rPr>
                <w:rFonts w:ascii="Times New Roman" w:hAnsi="Times New Roman"/>
                <w:i/>
                <w:sz w:val="24"/>
              </w:rPr>
            </w:pPr>
            <w:r w:rsidRPr="00E26EF6">
              <w:rPr>
                <w:rFonts w:ascii="Times New Roman" w:hAnsi="Times New Roman"/>
                <w:i/>
                <w:sz w:val="24"/>
              </w:rPr>
              <w:t>- gwarancje mające charakter substytutu kredytu;</w:t>
            </w:r>
          </w:p>
          <w:p w14:paraId="5F1B8317" w14:textId="77777777" w:rsidR="00915077" w:rsidRPr="00E26EF6" w:rsidRDefault="00FC6275">
            <w:pPr>
              <w:spacing w:before="0" w:after="0"/>
              <w:rPr>
                <w:rFonts w:ascii="Times New Roman" w:hAnsi="Times New Roman"/>
                <w:i/>
                <w:sz w:val="24"/>
              </w:rPr>
            </w:pPr>
            <w:r w:rsidRPr="00E26EF6">
              <w:rPr>
                <w:rFonts w:ascii="Times New Roman" w:hAnsi="Times New Roman"/>
                <w:i/>
                <w:sz w:val="24"/>
              </w:rPr>
              <w:t>- nieodwołalne akredytywy „standby” mające charakter substytutu kredytu.</w:t>
            </w:r>
          </w:p>
          <w:p w14:paraId="3D80E152" w14:textId="77777777" w:rsidR="00915077" w:rsidRPr="00E26EF6" w:rsidRDefault="00915077">
            <w:pPr>
              <w:autoSpaceDE w:val="0"/>
              <w:autoSpaceDN w:val="0"/>
              <w:adjustRightInd w:val="0"/>
              <w:spacing w:before="0" w:after="0"/>
              <w:jc w:val="left"/>
              <w:rPr>
                <w:rFonts w:ascii="Times New Roman" w:hAnsi="Times New Roman"/>
                <w:b/>
                <w:sz w:val="24"/>
                <w:highlight w:val="lightGray"/>
                <w:u w:val="single"/>
              </w:rPr>
            </w:pPr>
          </w:p>
        </w:tc>
      </w:tr>
      <w:tr w:rsidR="00915077" w:rsidRPr="00E26EF6" w14:paraId="78D623ED" w14:textId="77777777" w:rsidTr="00E10B85">
        <w:tc>
          <w:tcPr>
            <w:tcW w:w="1101" w:type="dxa"/>
          </w:tcPr>
          <w:p w14:paraId="7F3081DD"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380</w:t>
            </w:r>
          </w:p>
        </w:tc>
        <w:tc>
          <w:tcPr>
            <w:tcW w:w="7903" w:type="dxa"/>
          </w:tcPr>
          <w:p w14:paraId="02F2E683"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IRS / CRS</w:t>
            </w:r>
          </w:p>
          <w:p w14:paraId="3B81E05E" w14:textId="77777777" w:rsidR="00915077" w:rsidRPr="00E26EF6" w:rsidRDefault="00915077">
            <w:pPr>
              <w:spacing w:before="0" w:after="0"/>
              <w:jc w:val="left"/>
              <w:rPr>
                <w:rFonts w:ascii="Times New Roman" w:hAnsi="Times New Roman"/>
                <w:sz w:val="24"/>
              </w:rPr>
            </w:pPr>
          </w:p>
          <w:p w14:paraId="00895983" w14:textId="1B79216B" w:rsidR="00915077" w:rsidRPr="00E26EF6" w:rsidRDefault="00FC6275">
            <w:pPr>
              <w:spacing w:before="0" w:after="0"/>
              <w:rPr>
                <w:rFonts w:ascii="Times New Roman" w:hAnsi="Times New Roman"/>
                <w:sz w:val="24"/>
              </w:rPr>
            </w:pPr>
            <w:r w:rsidRPr="00E26EF6">
              <w:rPr>
                <w:rFonts w:ascii="Times New Roman" w:hAnsi="Times New Roman"/>
                <w:sz w:val="24"/>
              </w:rPr>
              <w:t>Skrót IRS oznacza swapy stopy procentowej, natomiast skrót CRS oznacza swapy walutowe. Te instrumenty pochodne wymieniono</w:t>
            </w:r>
            <w:r w:rsidR="00E26EF6" w:rsidRPr="00E26EF6">
              <w:rPr>
                <w:rFonts w:ascii="Times New Roman" w:hAnsi="Times New Roman"/>
                <w:sz w:val="24"/>
              </w:rPr>
              <w:t xml:space="preserve"> w zał</w:t>
            </w:r>
            <w:r w:rsidRPr="00E26EF6">
              <w:rPr>
                <w:rFonts w:ascii="Times New Roman" w:hAnsi="Times New Roman"/>
                <w:sz w:val="24"/>
              </w:rPr>
              <w:t>ączniku II do CRR.</w:t>
            </w:r>
          </w:p>
          <w:p w14:paraId="303B9529" w14:textId="77777777" w:rsidR="00915077" w:rsidRPr="00E26EF6" w:rsidRDefault="00915077">
            <w:pPr>
              <w:spacing w:before="0" w:after="0"/>
              <w:jc w:val="left"/>
              <w:rPr>
                <w:rFonts w:ascii="Times New Roman" w:hAnsi="Times New Roman"/>
                <w:sz w:val="24"/>
                <w:highlight w:val="lightGray"/>
              </w:rPr>
            </w:pPr>
          </w:p>
        </w:tc>
      </w:tr>
      <w:tr w:rsidR="00915077" w:rsidRPr="00E26EF6" w14:paraId="185C7415" w14:textId="77777777" w:rsidTr="00E10B85">
        <w:tc>
          <w:tcPr>
            <w:tcW w:w="1101" w:type="dxa"/>
          </w:tcPr>
          <w:p w14:paraId="4A2D453A"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390</w:t>
            </w:r>
          </w:p>
        </w:tc>
        <w:tc>
          <w:tcPr>
            <w:tcW w:w="7903" w:type="dxa"/>
          </w:tcPr>
          <w:p w14:paraId="45C5A98C"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INSTRUMENTY WSPARCIA PŁYNNOŚCI</w:t>
            </w:r>
          </w:p>
          <w:p w14:paraId="4B0633C7" w14:textId="77777777" w:rsidR="00915077" w:rsidRPr="00E26EF6" w:rsidRDefault="00915077">
            <w:pPr>
              <w:spacing w:before="0" w:after="0"/>
              <w:jc w:val="left"/>
              <w:rPr>
                <w:rFonts w:ascii="Times New Roman" w:hAnsi="Times New Roman"/>
                <w:sz w:val="24"/>
              </w:rPr>
            </w:pPr>
          </w:p>
          <w:p w14:paraId="47FD43EA" w14:textId="61A8102C" w:rsidR="00915077" w:rsidRPr="00E26EF6" w:rsidRDefault="00FC6275">
            <w:pPr>
              <w:spacing w:before="0" w:after="0"/>
              <w:rPr>
                <w:rFonts w:ascii="Times New Roman" w:hAnsi="Times New Roman"/>
                <w:sz w:val="24"/>
              </w:rPr>
            </w:pPr>
            <w:r w:rsidRPr="00E26EF6">
              <w:rPr>
                <w:rFonts w:ascii="Times New Roman" w:hAnsi="Times New Roman"/>
                <w:sz w:val="24"/>
              </w:rPr>
              <w:t>Instrumenty wsparcia płynności zdefiniowano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242 ust.</w:t>
            </w:r>
            <w:r w:rsidR="00023409" w:rsidRPr="00E26EF6">
              <w:rPr>
                <w:rFonts w:ascii="Times New Roman" w:hAnsi="Times New Roman"/>
                <w:sz w:val="24"/>
              </w:rPr>
              <w:t> </w:t>
            </w:r>
            <w:r w:rsidRPr="00E26EF6">
              <w:rPr>
                <w:rFonts w:ascii="Times New Roman" w:hAnsi="Times New Roman"/>
                <w:sz w:val="24"/>
              </w:rPr>
              <w:t>3 CRR.</w:t>
            </w:r>
          </w:p>
          <w:p w14:paraId="5A23540E" w14:textId="77777777" w:rsidR="00915077" w:rsidRPr="00E26EF6" w:rsidRDefault="00915077">
            <w:pPr>
              <w:spacing w:before="0" w:after="0"/>
              <w:rPr>
                <w:rFonts w:ascii="Times New Roman" w:hAnsi="Times New Roman"/>
                <w:sz w:val="24"/>
                <w:highlight w:val="lightGray"/>
              </w:rPr>
            </w:pPr>
          </w:p>
        </w:tc>
      </w:tr>
      <w:tr w:rsidR="00915077" w:rsidRPr="00E26EF6" w14:paraId="0D87AF86" w14:textId="77777777" w:rsidTr="00E10B85">
        <w:tc>
          <w:tcPr>
            <w:tcW w:w="1101" w:type="dxa"/>
          </w:tcPr>
          <w:p w14:paraId="2DDDF8AF"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400</w:t>
            </w:r>
          </w:p>
        </w:tc>
        <w:tc>
          <w:tcPr>
            <w:tcW w:w="7903" w:type="dxa"/>
          </w:tcPr>
          <w:p w14:paraId="379A2E1D"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 xml:space="preserve">INNE </w:t>
            </w:r>
          </w:p>
          <w:p w14:paraId="30E7CE86" w14:textId="77777777" w:rsidR="00915077" w:rsidRPr="00E26EF6" w:rsidRDefault="00915077">
            <w:pPr>
              <w:spacing w:before="0" w:after="0"/>
              <w:jc w:val="left"/>
              <w:rPr>
                <w:rFonts w:ascii="Times New Roman" w:hAnsi="Times New Roman"/>
                <w:sz w:val="24"/>
              </w:rPr>
            </w:pPr>
          </w:p>
          <w:p w14:paraId="47EAC92A" w14:textId="7EB306EE" w:rsidR="00915077" w:rsidRPr="00E26EF6" w:rsidRDefault="001C3443">
            <w:pPr>
              <w:spacing w:before="0" w:after="0"/>
              <w:rPr>
                <w:rFonts w:ascii="Times New Roman" w:hAnsi="Times New Roman"/>
                <w:sz w:val="24"/>
              </w:rPr>
            </w:pPr>
            <w:r w:rsidRPr="00E26EF6">
              <w:rPr>
                <w:rFonts w:ascii="Times New Roman" w:hAnsi="Times New Roman"/>
                <w:sz w:val="24"/>
              </w:rPr>
              <w:t>Pozostające pozycje pozabilansowe.</w:t>
            </w:r>
          </w:p>
          <w:p w14:paraId="15342BF9" w14:textId="77777777" w:rsidR="00915077" w:rsidRPr="00E26EF6" w:rsidRDefault="00915077">
            <w:pPr>
              <w:spacing w:before="0" w:after="0"/>
              <w:jc w:val="left"/>
              <w:rPr>
                <w:rFonts w:ascii="Times New Roman" w:hAnsi="Times New Roman"/>
                <w:sz w:val="24"/>
                <w:highlight w:val="lightGray"/>
              </w:rPr>
            </w:pPr>
          </w:p>
        </w:tc>
      </w:tr>
      <w:tr w:rsidR="00915077" w:rsidRPr="00E26EF6" w14:paraId="123D3B8A" w14:textId="77777777" w:rsidTr="00E10B85">
        <w:tc>
          <w:tcPr>
            <w:tcW w:w="1101" w:type="dxa"/>
          </w:tcPr>
          <w:p w14:paraId="296566C5"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411</w:t>
            </w:r>
          </w:p>
        </w:tc>
        <w:tc>
          <w:tcPr>
            <w:tcW w:w="7903" w:type="dxa"/>
          </w:tcPr>
          <w:p w14:paraId="32246B29"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WARTOŚĆ EKSPOZYCJI</w:t>
            </w:r>
          </w:p>
          <w:p w14:paraId="3A2FC455" w14:textId="77777777" w:rsidR="00915077" w:rsidRPr="00E26EF6" w:rsidRDefault="00915077">
            <w:pPr>
              <w:spacing w:before="0" w:after="0"/>
              <w:jc w:val="left"/>
              <w:rPr>
                <w:rFonts w:ascii="Times New Roman" w:hAnsi="Times New Roman"/>
                <w:b/>
                <w:sz w:val="24"/>
                <w:u w:val="single"/>
              </w:rPr>
            </w:pPr>
          </w:p>
          <w:p w14:paraId="558BD2CF" w14:textId="724DDECE" w:rsidR="00915077" w:rsidRPr="00E26EF6" w:rsidRDefault="00FC6275">
            <w:pPr>
              <w:spacing w:before="0" w:after="0"/>
              <w:rPr>
                <w:rFonts w:ascii="Times New Roman" w:hAnsi="Times New Roman"/>
                <w:sz w:val="24"/>
              </w:rPr>
            </w:pPr>
            <w:r w:rsidRPr="00E26EF6">
              <w:rPr>
                <w:rFonts w:ascii="Times New Roman" w:hAnsi="Times New Roman"/>
                <w:sz w:val="24"/>
              </w:rPr>
              <w:t>Informacje te są ściśle związane</w:t>
            </w:r>
            <w:r w:rsidR="00E26EF6" w:rsidRPr="00E26EF6">
              <w:rPr>
                <w:rFonts w:ascii="Times New Roman" w:hAnsi="Times New Roman"/>
                <w:sz w:val="24"/>
              </w:rPr>
              <w:t xml:space="preserve"> z kol</w:t>
            </w:r>
            <w:r w:rsidRPr="00E26EF6">
              <w:rPr>
                <w:rFonts w:ascii="Times New Roman" w:hAnsi="Times New Roman"/>
                <w:sz w:val="24"/>
              </w:rPr>
              <w:t>umną 0180 we wzorze CR SEC.</w:t>
            </w:r>
          </w:p>
          <w:p w14:paraId="7023388C"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418CFD31" w14:textId="77777777" w:rsidTr="00E10B85">
        <w:tc>
          <w:tcPr>
            <w:tcW w:w="1101" w:type="dxa"/>
          </w:tcPr>
          <w:p w14:paraId="5221C72B"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420</w:t>
            </w:r>
          </w:p>
        </w:tc>
        <w:tc>
          <w:tcPr>
            <w:tcW w:w="7903" w:type="dxa"/>
          </w:tcPr>
          <w:p w14:paraId="74E292A3"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 WARTOŚĆ EKSPOZYCJI POMNIEJSZAJĄCA FUNDUSZE WŁASNE</w:t>
            </w:r>
          </w:p>
          <w:p w14:paraId="33206523" w14:textId="77777777" w:rsidR="00915077" w:rsidRPr="00E26EF6" w:rsidRDefault="00915077">
            <w:pPr>
              <w:spacing w:before="0" w:after="0"/>
              <w:jc w:val="left"/>
              <w:rPr>
                <w:rFonts w:ascii="Times New Roman" w:hAnsi="Times New Roman"/>
                <w:sz w:val="24"/>
              </w:rPr>
            </w:pPr>
          </w:p>
          <w:p w14:paraId="7CD4B52C" w14:textId="123FB7BC" w:rsidR="00915077" w:rsidRPr="00E26EF6" w:rsidRDefault="00FC6275">
            <w:pPr>
              <w:spacing w:before="0" w:after="0"/>
              <w:rPr>
                <w:rFonts w:ascii="Times New Roman" w:hAnsi="Times New Roman"/>
                <w:sz w:val="24"/>
              </w:rPr>
            </w:pPr>
            <w:r w:rsidRPr="00E26EF6">
              <w:rPr>
                <w:rFonts w:ascii="Times New Roman" w:hAnsi="Times New Roman"/>
                <w:sz w:val="24"/>
              </w:rPr>
              <w:t>Informacje te są ściśle związane</w:t>
            </w:r>
            <w:r w:rsidR="00E26EF6" w:rsidRPr="00E26EF6">
              <w:rPr>
                <w:rFonts w:ascii="Times New Roman" w:hAnsi="Times New Roman"/>
                <w:sz w:val="24"/>
              </w:rPr>
              <w:t xml:space="preserve"> z kol</w:t>
            </w:r>
            <w:r w:rsidRPr="00E26EF6">
              <w:rPr>
                <w:rFonts w:ascii="Times New Roman" w:hAnsi="Times New Roman"/>
                <w:sz w:val="24"/>
              </w:rPr>
              <w:t>umną 0190 we wzorze CR SEC.</w:t>
            </w:r>
          </w:p>
          <w:p w14:paraId="07374170" w14:textId="77777777" w:rsidR="00915077" w:rsidRPr="00E26EF6" w:rsidRDefault="00915077">
            <w:pPr>
              <w:spacing w:before="0" w:after="0"/>
              <w:rPr>
                <w:rFonts w:ascii="Times New Roman" w:hAnsi="Times New Roman"/>
                <w:sz w:val="24"/>
              </w:rPr>
            </w:pPr>
          </w:p>
          <w:p w14:paraId="6DD62141" w14:textId="77777777" w:rsidR="00915077" w:rsidRPr="00E26EF6" w:rsidRDefault="00FC6275">
            <w:pPr>
              <w:spacing w:before="0" w:after="0"/>
              <w:rPr>
                <w:rFonts w:ascii="Times New Roman" w:hAnsi="Times New Roman"/>
                <w:sz w:val="24"/>
              </w:rPr>
            </w:pPr>
            <w:r w:rsidRPr="00E26EF6">
              <w:rPr>
                <w:rFonts w:ascii="Times New Roman" w:hAnsi="Times New Roman"/>
                <w:sz w:val="24"/>
              </w:rPr>
              <w:t>W kolumnie tej zgłasza się wartość ujemną.</w:t>
            </w:r>
          </w:p>
          <w:p w14:paraId="4AC6A3F6" w14:textId="77777777" w:rsidR="00915077" w:rsidRPr="00E26EF6" w:rsidRDefault="00915077">
            <w:pPr>
              <w:spacing w:before="0" w:after="0"/>
              <w:jc w:val="left"/>
              <w:rPr>
                <w:rFonts w:ascii="Times New Roman" w:hAnsi="Times New Roman"/>
                <w:sz w:val="24"/>
                <w:highlight w:val="lightGray"/>
              </w:rPr>
            </w:pPr>
          </w:p>
        </w:tc>
      </w:tr>
      <w:tr w:rsidR="00915077" w:rsidRPr="00E26EF6" w14:paraId="7B6F2701" w14:textId="77777777" w:rsidTr="00E10B85">
        <w:tc>
          <w:tcPr>
            <w:tcW w:w="1101" w:type="dxa"/>
          </w:tcPr>
          <w:p w14:paraId="58DA1F0F" w14:textId="77777777" w:rsidR="00915077" w:rsidRPr="00E26EF6" w:rsidDel="00304CB1"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430</w:t>
            </w:r>
          </w:p>
        </w:tc>
        <w:tc>
          <w:tcPr>
            <w:tcW w:w="7903" w:type="dxa"/>
          </w:tcPr>
          <w:p w14:paraId="42E66F9F"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CAŁKOWITA KWOTA EKSPOZYCJI WAŻONEJ RYZYKIEM PRZED UWZGLĘDNIENIEM PUŁAPU</w:t>
            </w:r>
          </w:p>
          <w:p w14:paraId="1D54F331" w14:textId="77777777" w:rsidR="00915077" w:rsidRPr="00E26EF6" w:rsidRDefault="00915077">
            <w:pPr>
              <w:spacing w:before="0" w:after="0"/>
              <w:jc w:val="left"/>
              <w:rPr>
                <w:rFonts w:ascii="Times New Roman" w:hAnsi="Times New Roman"/>
                <w:sz w:val="24"/>
              </w:rPr>
            </w:pPr>
          </w:p>
          <w:p w14:paraId="5F025CC4" w14:textId="3CD567ED" w:rsidR="00915077" w:rsidRPr="00E26EF6" w:rsidRDefault="00FC6275">
            <w:pPr>
              <w:spacing w:before="0" w:after="0"/>
              <w:rPr>
                <w:rFonts w:ascii="Times New Roman" w:hAnsi="Times New Roman"/>
                <w:sz w:val="24"/>
              </w:rPr>
            </w:pPr>
            <w:r w:rsidRPr="00E26EF6">
              <w:rPr>
                <w:rFonts w:ascii="Times New Roman" w:hAnsi="Times New Roman"/>
                <w:sz w:val="24"/>
              </w:rPr>
              <w:t>W kolumnie tej gromadzone są informacje na temat kwoty ekspozycji ważonej ryzykiem przed uwzględnieniem pułapu mającego zastosowanie do pozycji sekurytyzacyjnych (tj. do programów sekurytyzacyjnych</w:t>
            </w:r>
            <w:r w:rsidR="00E26EF6" w:rsidRPr="00E26EF6">
              <w:rPr>
                <w:rFonts w:ascii="Times New Roman" w:hAnsi="Times New Roman"/>
                <w:sz w:val="24"/>
              </w:rPr>
              <w:t xml:space="preserve"> z prz</w:t>
            </w:r>
            <w:r w:rsidRPr="00E26EF6">
              <w:rPr>
                <w:rFonts w:ascii="Times New Roman" w:hAnsi="Times New Roman"/>
                <w:sz w:val="24"/>
              </w:rPr>
              <w:t>eniesieniem istotnej części ryzyka)</w:t>
            </w:r>
            <w:r w:rsidR="00E26EF6" w:rsidRPr="00E26EF6">
              <w:rPr>
                <w:rFonts w:ascii="Times New Roman" w:hAnsi="Times New Roman"/>
                <w:sz w:val="24"/>
              </w:rPr>
              <w:t>. W prz</w:t>
            </w:r>
            <w:r w:rsidRPr="00E26EF6">
              <w:rPr>
                <w:rFonts w:ascii="Times New Roman" w:hAnsi="Times New Roman"/>
                <w:sz w:val="24"/>
              </w:rPr>
              <w:t>ypadku programów sekurytyzacyjnych bez przeniesienia istotnej części ryzyka (tj. gdy kwota ekspozycji ważonej ryzykiem wyznaczana jest na podstawie sekurytyzowanych ekspozycji),</w:t>
            </w:r>
            <w:r w:rsidR="00E26EF6" w:rsidRPr="00E26EF6">
              <w:rPr>
                <w:rFonts w:ascii="Times New Roman" w:hAnsi="Times New Roman"/>
                <w:sz w:val="24"/>
              </w:rPr>
              <w:t xml:space="preserve"> w kol</w:t>
            </w:r>
            <w:r w:rsidRPr="00E26EF6">
              <w:rPr>
                <w:rFonts w:ascii="Times New Roman" w:hAnsi="Times New Roman"/>
                <w:sz w:val="24"/>
              </w:rPr>
              <w:t>umnie tej nie zgłasza się żadnych danych.</w:t>
            </w:r>
          </w:p>
          <w:p w14:paraId="78ADAD5B" w14:textId="77777777" w:rsidR="00915077" w:rsidRPr="00E26EF6" w:rsidRDefault="00915077">
            <w:pPr>
              <w:spacing w:before="0" w:after="0"/>
              <w:jc w:val="left"/>
              <w:rPr>
                <w:rFonts w:ascii="Times New Roman" w:hAnsi="Times New Roman"/>
                <w:sz w:val="24"/>
              </w:rPr>
            </w:pPr>
          </w:p>
          <w:p w14:paraId="39E07A50" w14:textId="6EC0903E" w:rsidR="00915077" w:rsidRPr="00E26EF6" w:rsidRDefault="00FC6275">
            <w:pPr>
              <w:spacing w:before="0" w:after="0"/>
              <w:jc w:val="left"/>
              <w:rPr>
                <w:rFonts w:ascii="Times New Roman" w:hAnsi="Times New Roman"/>
                <w:sz w:val="24"/>
              </w:rPr>
            </w:pPr>
            <w:r w:rsidRPr="00E26EF6">
              <w:rPr>
                <w:rFonts w:ascii="Times New Roman" w:hAnsi="Times New Roman"/>
                <w:sz w:val="24"/>
              </w:rPr>
              <w:t>Kolumny tej nie zgłasza się</w:t>
            </w:r>
            <w:r w:rsidR="00E26EF6" w:rsidRPr="00E26EF6">
              <w:rPr>
                <w:rFonts w:ascii="Times New Roman" w:hAnsi="Times New Roman"/>
                <w:sz w:val="24"/>
              </w:rPr>
              <w:t xml:space="preserve"> w prz</w:t>
            </w:r>
            <w:r w:rsidRPr="00E26EF6">
              <w:rPr>
                <w:rFonts w:ascii="Times New Roman" w:hAnsi="Times New Roman"/>
                <w:sz w:val="24"/>
              </w:rPr>
              <w:t xml:space="preserve">ypadku sekurytyzacji zobowiązań. </w:t>
            </w:r>
          </w:p>
          <w:p w14:paraId="73C12B72" w14:textId="77777777" w:rsidR="00915077" w:rsidRPr="00E26EF6" w:rsidRDefault="00915077">
            <w:pPr>
              <w:spacing w:before="0" w:after="0"/>
              <w:jc w:val="left"/>
              <w:rPr>
                <w:rFonts w:ascii="Times New Roman" w:hAnsi="Times New Roman"/>
                <w:sz w:val="24"/>
              </w:rPr>
            </w:pPr>
          </w:p>
          <w:p w14:paraId="54ACB331" w14:textId="4938F749" w:rsidR="00915077" w:rsidRPr="00E26EF6" w:rsidRDefault="00FC6275">
            <w:pPr>
              <w:spacing w:before="0" w:after="0"/>
              <w:jc w:val="left"/>
              <w:rPr>
                <w:rFonts w:ascii="Times New Roman" w:hAnsi="Times New Roman"/>
                <w:sz w:val="24"/>
              </w:rPr>
            </w:pPr>
            <w:r w:rsidRPr="00E26EF6">
              <w:rPr>
                <w:rFonts w:ascii="Times New Roman" w:hAnsi="Times New Roman"/>
                <w:sz w:val="24"/>
              </w:rPr>
              <w:t>W przypadku sekurytyzacji</w:t>
            </w:r>
            <w:r w:rsidR="00E26EF6" w:rsidRPr="00E26EF6">
              <w:rPr>
                <w:rFonts w:ascii="Times New Roman" w:hAnsi="Times New Roman"/>
                <w:sz w:val="24"/>
              </w:rPr>
              <w:t xml:space="preserve"> w por</w:t>
            </w:r>
            <w:r w:rsidRPr="00E26EF6">
              <w:rPr>
                <w:rFonts w:ascii="Times New Roman" w:hAnsi="Times New Roman"/>
                <w:sz w:val="24"/>
              </w:rPr>
              <w:t>tfelu handlowym, zgłasza się kwotę ekspozycji ważonej ryzykiem dotyczącą konkretnego ryzyka. Zob. odpowiednio kolumna 570 we wzorze MKR SA SEC lub kolumna 410</w:t>
            </w:r>
            <w:r w:rsidR="00E26EF6" w:rsidRPr="00E26EF6">
              <w:rPr>
                <w:rFonts w:ascii="Times New Roman" w:hAnsi="Times New Roman"/>
                <w:sz w:val="24"/>
              </w:rPr>
              <w:t xml:space="preserve"> i 4</w:t>
            </w:r>
            <w:r w:rsidRPr="00E26EF6">
              <w:rPr>
                <w:rFonts w:ascii="Times New Roman" w:hAnsi="Times New Roman"/>
                <w:sz w:val="24"/>
              </w:rPr>
              <w:t xml:space="preserve">20 (stosowna dla wymogu dotyczącego funduszy własnych) we wzorze MKR SA CTP. </w:t>
            </w:r>
          </w:p>
          <w:p w14:paraId="00634588"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75EBB5F1" w14:textId="77777777" w:rsidTr="00E10B85">
        <w:tc>
          <w:tcPr>
            <w:tcW w:w="1101" w:type="dxa"/>
          </w:tcPr>
          <w:p w14:paraId="72383ED5" w14:textId="77777777" w:rsidR="00915077" w:rsidRPr="00E26EF6"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431</w:t>
            </w:r>
          </w:p>
        </w:tc>
        <w:tc>
          <w:tcPr>
            <w:tcW w:w="7903" w:type="dxa"/>
          </w:tcPr>
          <w:p w14:paraId="72CF6823"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 ZMNIEJSZENIE ZE WZGLĘDU NA PUŁAP WAGI RYZYKA</w:t>
            </w:r>
          </w:p>
          <w:p w14:paraId="19DB032C" w14:textId="77777777" w:rsidR="00915077" w:rsidRPr="00E26EF6" w:rsidRDefault="00915077">
            <w:pPr>
              <w:spacing w:before="0" w:after="0"/>
              <w:jc w:val="left"/>
              <w:rPr>
                <w:rFonts w:ascii="Times New Roman" w:hAnsi="Times New Roman"/>
                <w:b/>
                <w:sz w:val="24"/>
                <w:u w:val="single"/>
              </w:rPr>
            </w:pPr>
          </w:p>
          <w:p w14:paraId="02157D97" w14:textId="1AFC0212" w:rsidR="00915077" w:rsidRPr="00E26EF6" w:rsidRDefault="00FC6275">
            <w:pPr>
              <w:spacing w:before="0" w:after="0"/>
              <w:jc w:val="left"/>
              <w:rPr>
                <w:rFonts w:ascii="Times New Roman" w:hAnsi="Times New Roman"/>
                <w:sz w:val="24"/>
              </w:rPr>
            </w:pPr>
            <w:r w:rsidRPr="00E26EF6">
              <w:rPr>
                <w:rFonts w:ascii="Times New Roman" w:hAnsi="Times New Roman"/>
                <w:sz w:val="24"/>
              </w:rPr>
              <w:t>Art. 267 CRR</w:t>
            </w:r>
          </w:p>
          <w:p w14:paraId="0D7FABBA"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0BCA0CA8" w14:textId="77777777" w:rsidTr="00E10B85">
        <w:tc>
          <w:tcPr>
            <w:tcW w:w="1101" w:type="dxa"/>
          </w:tcPr>
          <w:p w14:paraId="6EAFD84F" w14:textId="77777777" w:rsidR="00915077" w:rsidRPr="00E26EF6"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432</w:t>
            </w:r>
          </w:p>
        </w:tc>
        <w:tc>
          <w:tcPr>
            <w:tcW w:w="7903" w:type="dxa"/>
          </w:tcPr>
          <w:p w14:paraId="6B0A2EFB"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 ZMNIEJSZENIE ZE WZGLĘDU NA OGÓLNY PUŁAP</w:t>
            </w:r>
          </w:p>
          <w:p w14:paraId="00B93CC3" w14:textId="77777777" w:rsidR="00915077" w:rsidRPr="00E26EF6" w:rsidRDefault="00915077">
            <w:pPr>
              <w:spacing w:before="0" w:after="0"/>
              <w:jc w:val="left"/>
              <w:rPr>
                <w:rFonts w:ascii="Times New Roman" w:hAnsi="Times New Roman"/>
                <w:b/>
                <w:sz w:val="24"/>
                <w:u w:val="single"/>
              </w:rPr>
            </w:pPr>
          </w:p>
          <w:p w14:paraId="5D5CB5C4" w14:textId="74AB04EA" w:rsidR="00915077" w:rsidRPr="00E26EF6" w:rsidRDefault="00FC6275">
            <w:pPr>
              <w:spacing w:before="0" w:after="0"/>
              <w:jc w:val="left"/>
              <w:rPr>
                <w:rFonts w:ascii="Times New Roman" w:hAnsi="Times New Roman"/>
                <w:sz w:val="24"/>
              </w:rPr>
            </w:pPr>
            <w:r w:rsidRPr="00E26EF6">
              <w:rPr>
                <w:rFonts w:ascii="Times New Roman" w:hAnsi="Times New Roman"/>
                <w:sz w:val="24"/>
              </w:rPr>
              <w:t>Art. 268 CRR</w:t>
            </w:r>
          </w:p>
          <w:p w14:paraId="48B6117F"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5507B657" w14:textId="77777777" w:rsidTr="00E10B85">
        <w:tc>
          <w:tcPr>
            <w:tcW w:w="1101" w:type="dxa"/>
          </w:tcPr>
          <w:p w14:paraId="61544280" w14:textId="77777777" w:rsidR="00915077" w:rsidRPr="00E26EF6" w:rsidRDefault="00FC6275">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440</w:t>
            </w:r>
          </w:p>
        </w:tc>
        <w:tc>
          <w:tcPr>
            <w:tcW w:w="7903" w:type="dxa"/>
          </w:tcPr>
          <w:p w14:paraId="78880E8D"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CAŁKOWITA KWOTA EKSPOZYCJI WAŻONEJ RYZYKIEM PO UWZGLĘDNIENIU PUŁAPU</w:t>
            </w:r>
          </w:p>
          <w:p w14:paraId="16A32033" w14:textId="77777777" w:rsidR="00915077" w:rsidRPr="00E26EF6" w:rsidRDefault="00915077">
            <w:pPr>
              <w:spacing w:before="0" w:after="0"/>
              <w:jc w:val="left"/>
              <w:rPr>
                <w:rFonts w:ascii="Times New Roman" w:hAnsi="Times New Roman"/>
                <w:sz w:val="24"/>
              </w:rPr>
            </w:pPr>
          </w:p>
          <w:p w14:paraId="0B170A70" w14:textId="37B6CD55" w:rsidR="00915077" w:rsidRPr="00E26EF6" w:rsidRDefault="00FC6275">
            <w:pPr>
              <w:spacing w:before="0" w:after="0"/>
              <w:rPr>
                <w:rFonts w:ascii="Times New Roman" w:hAnsi="Times New Roman"/>
                <w:sz w:val="24"/>
              </w:rPr>
            </w:pPr>
            <w:r w:rsidRPr="00E26EF6">
              <w:rPr>
                <w:rFonts w:ascii="Times New Roman" w:hAnsi="Times New Roman"/>
                <w:sz w:val="24"/>
              </w:rPr>
              <w:t>W kolumnie tej gromadzone są informacje na temat kwoty ekspozycji ważonej ryzykiem po uwzględnieniu pułapu mającego zastosowanie do pozycji sekurytyzacyjnych (tj. do programów sekurytyzacyjnych</w:t>
            </w:r>
            <w:r w:rsidR="00E26EF6" w:rsidRPr="00E26EF6">
              <w:rPr>
                <w:rFonts w:ascii="Times New Roman" w:hAnsi="Times New Roman"/>
                <w:sz w:val="24"/>
              </w:rPr>
              <w:t xml:space="preserve"> z prz</w:t>
            </w:r>
            <w:r w:rsidRPr="00E26EF6">
              <w:rPr>
                <w:rFonts w:ascii="Times New Roman" w:hAnsi="Times New Roman"/>
                <w:sz w:val="24"/>
              </w:rPr>
              <w:t>eniesieniem istotnej części ryzyka)</w:t>
            </w:r>
            <w:r w:rsidR="00E26EF6" w:rsidRPr="00E26EF6">
              <w:rPr>
                <w:rFonts w:ascii="Times New Roman" w:hAnsi="Times New Roman"/>
                <w:sz w:val="24"/>
              </w:rPr>
              <w:t>. W prz</w:t>
            </w:r>
            <w:r w:rsidRPr="00E26EF6">
              <w:rPr>
                <w:rFonts w:ascii="Times New Roman" w:hAnsi="Times New Roman"/>
                <w:sz w:val="24"/>
              </w:rPr>
              <w:t>ypadku programów sekurytyzacyjnych bez przeniesienia istotnej części ryzyka (tj. gdy wymogi</w:t>
            </w:r>
            <w:r w:rsidR="00E26EF6" w:rsidRPr="00E26EF6">
              <w:rPr>
                <w:rFonts w:ascii="Times New Roman" w:hAnsi="Times New Roman"/>
                <w:sz w:val="24"/>
              </w:rPr>
              <w:t xml:space="preserve"> w zak</w:t>
            </w:r>
            <w:r w:rsidRPr="00E26EF6">
              <w:rPr>
                <w:rFonts w:ascii="Times New Roman" w:hAnsi="Times New Roman"/>
                <w:sz w:val="24"/>
              </w:rPr>
              <w:t>resie funduszy własnych wyznaczane są na podstawie sekurytyzowanych ekspozycji),</w:t>
            </w:r>
            <w:r w:rsidR="00E26EF6" w:rsidRPr="00E26EF6">
              <w:rPr>
                <w:rFonts w:ascii="Times New Roman" w:hAnsi="Times New Roman"/>
                <w:sz w:val="24"/>
              </w:rPr>
              <w:t xml:space="preserve"> w kol</w:t>
            </w:r>
            <w:r w:rsidRPr="00E26EF6">
              <w:rPr>
                <w:rFonts w:ascii="Times New Roman" w:hAnsi="Times New Roman"/>
                <w:sz w:val="24"/>
              </w:rPr>
              <w:t>umnie tej nie zgłasza się żadnych danych.</w:t>
            </w:r>
          </w:p>
          <w:p w14:paraId="0DF83039" w14:textId="77777777" w:rsidR="00915077" w:rsidRPr="00E26EF6" w:rsidRDefault="00915077">
            <w:pPr>
              <w:spacing w:before="0" w:after="0"/>
              <w:rPr>
                <w:rFonts w:ascii="Times New Roman" w:hAnsi="Times New Roman"/>
                <w:sz w:val="24"/>
              </w:rPr>
            </w:pPr>
          </w:p>
          <w:p w14:paraId="055EC3C4" w14:textId="6748CB39" w:rsidR="00915077" w:rsidRPr="00E26EF6" w:rsidRDefault="00FC6275">
            <w:pPr>
              <w:spacing w:before="0" w:after="0"/>
              <w:rPr>
                <w:rFonts w:ascii="Times New Roman" w:hAnsi="Times New Roman"/>
                <w:sz w:val="24"/>
              </w:rPr>
            </w:pPr>
            <w:r w:rsidRPr="00E26EF6">
              <w:rPr>
                <w:rFonts w:ascii="Times New Roman" w:hAnsi="Times New Roman"/>
                <w:sz w:val="24"/>
              </w:rPr>
              <w:t>Kolumny tej nie zgłasza się</w:t>
            </w:r>
            <w:r w:rsidR="00E26EF6" w:rsidRPr="00E26EF6">
              <w:rPr>
                <w:rFonts w:ascii="Times New Roman" w:hAnsi="Times New Roman"/>
                <w:sz w:val="24"/>
              </w:rPr>
              <w:t xml:space="preserve"> w prz</w:t>
            </w:r>
            <w:r w:rsidRPr="00E26EF6">
              <w:rPr>
                <w:rFonts w:ascii="Times New Roman" w:hAnsi="Times New Roman"/>
                <w:sz w:val="24"/>
              </w:rPr>
              <w:t xml:space="preserve">ypadku sekurytyzacji zobowiązań. </w:t>
            </w:r>
          </w:p>
          <w:p w14:paraId="1F88ED81" w14:textId="77777777" w:rsidR="00915077" w:rsidRPr="00E26EF6" w:rsidRDefault="00915077">
            <w:pPr>
              <w:spacing w:before="0" w:after="0"/>
              <w:rPr>
                <w:rFonts w:ascii="Times New Roman" w:hAnsi="Times New Roman"/>
                <w:sz w:val="24"/>
              </w:rPr>
            </w:pPr>
          </w:p>
          <w:p w14:paraId="630C2349" w14:textId="0B761E69" w:rsidR="00915077" w:rsidRPr="00E26EF6" w:rsidRDefault="00FC6275">
            <w:pPr>
              <w:spacing w:before="0" w:after="0"/>
              <w:rPr>
                <w:rFonts w:ascii="Times New Roman" w:hAnsi="Times New Roman"/>
                <w:sz w:val="24"/>
              </w:rPr>
            </w:pPr>
            <w:r w:rsidRPr="00E26EF6">
              <w:rPr>
                <w:rFonts w:ascii="Times New Roman" w:hAnsi="Times New Roman"/>
                <w:sz w:val="24"/>
              </w:rPr>
              <w:t>W przypadku sekurytyzacji</w:t>
            </w:r>
            <w:r w:rsidR="00E26EF6" w:rsidRPr="00E26EF6">
              <w:rPr>
                <w:rFonts w:ascii="Times New Roman" w:hAnsi="Times New Roman"/>
                <w:sz w:val="24"/>
              </w:rPr>
              <w:t xml:space="preserve"> w por</w:t>
            </w:r>
            <w:r w:rsidRPr="00E26EF6">
              <w:rPr>
                <w:rFonts w:ascii="Times New Roman" w:hAnsi="Times New Roman"/>
                <w:sz w:val="24"/>
              </w:rPr>
              <w:t>tfelu handlowym, zgłasza się kwotę ekspozycji ważonej ryzykiem dotyczącą konkretnego ryzyka. Zob. odpowiednio kolumna 600 we wzorze MKR SA SEC lub kolumna 450 we wzorze MKR SA CTP.</w:t>
            </w:r>
          </w:p>
          <w:p w14:paraId="63B294EA" w14:textId="77777777" w:rsidR="00915077" w:rsidRPr="00E26EF6" w:rsidRDefault="00915077">
            <w:pPr>
              <w:spacing w:before="0" w:after="0"/>
              <w:jc w:val="left"/>
              <w:rPr>
                <w:rFonts w:ascii="Times New Roman" w:hAnsi="Times New Roman"/>
                <w:sz w:val="24"/>
                <w:highlight w:val="lightGray"/>
              </w:rPr>
            </w:pPr>
          </w:p>
        </w:tc>
      </w:tr>
      <w:tr w:rsidR="00915077" w:rsidRPr="00E26EF6" w14:paraId="1297821E" w14:textId="77777777" w:rsidTr="00E10B85">
        <w:tc>
          <w:tcPr>
            <w:tcW w:w="1101" w:type="dxa"/>
          </w:tcPr>
          <w:p w14:paraId="23EAFF93" w14:textId="77777777" w:rsidR="00915077" w:rsidRPr="00E26EF6"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447-448</w:t>
            </w:r>
          </w:p>
        </w:tc>
        <w:tc>
          <w:tcPr>
            <w:tcW w:w="7903" w:type="dxa"/>
          </w:tcPr>
          <w:p w14:paraId="095B6753" w14:textId="77777777" w:rsidR="00915077" w:rsidRPr="00E26EF6" w:rsidRDefault="00FC6275">
            <w:pPr>
              <w:spacing w:before="0" w:after="0"/>
              <w:jc w:val="left"/>
              <w:rPr>
                <w:rFonts w:ascii="Times New Roman" w:hAnsi="Times New Roman"/>
                <w:b/>
                <w:sz w:val="24"/>
                <w:highlight w:val="lightGray"/>
                <w:u w:val="single"/>
              </w:rPr>
            </w:pPr>
            <w:r w:rsidRPr="00E26EF6">
              <w:rPr>
                <w:rFonts w:ascii="Times New Roman" w:hAnsi="Times New Roman"/>
                <w:b/>
                <w:sz w:val="24"/>
                <w:u w:val="single"/>
              </w:rPr>
              <w:t>POZYCJE UZUPEŁNIAJĄCE</w:t>
            </w:r>
          </w:p>
        </w:tc>
      </w:tr>
      <w:tr w:rsidR="00915077" w:rsidRPr="00E26EF6" w14:paraId="29E4D611" w14:textId="77777777" w:rsidTr="00E10B85">
        <w:tc>
          <w:tcPr>
            <w:tcW w:w="1101" w:type="dxa"/>
          </w:tcPr>
          <w:p w14:paraId="59677DC2" w14:textId="77777777" w:rsidR="00915077" w:rsidRPr="00E26EF6"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447</w:t>
            </w:r>
          </w:p>
        </w:tc>
        <w:tc>
          <w:tcPr>
            <w:tcW w:w="7903" w:type="dxa"/>
          </w:tcPr>
          <w:p w14:paraId="7250528A"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KWOTA EKSPOZYCJI WAŻONEJ RYZYKIEM WEDŁUG SEC-ERBA</w:t>
            </w:r>
          </w:p>
          <w:p w14:paraId="0E7B7AE3" w14:textId="77777777" w:rsidR="00915077" w:rsidRPr="00E26EF6" w:rsidRDefault="00915077">
            <w:pPr>
              <w:spacing w:before="0" w:after="0"/>
              <w:jc w:val="left"/>
              <w:rPr>
                <w:rFonts w:ascii="Times New Roman" w:hAnsi="Times New Roman"/>
                <w:b/>
                <w:sz w:val="24"/>
                <w:u w:val="single"/>
              </w:rPr>
            </w:pPr>
          </w:p>
          <w:p w14:paraId="32260898" w14:textId="4FABA366" w:rsidR="00915077" w:rsidRPr="00E26EF6" w:rsidRDefault="00FC6275">
            <w:pPr>
              <w:spacing w:before="0" w:after="0"/>
              <w:jc w:val="left"/>
              <w:rPr>
                <w:rFonts w:ascii="Times New Roman" w:hAnsi="Times New Roman"/>
                <w:sz w:val="24"/>
              </w:rPr>
            </w:pPr>
            <w:r w:rsidRPr="00E26EF6">
              <w:rPr>
                <w:rFonts w:ascii="Times New Roman" w:hAnsi="Times New Roman"/>
                <w:sz w:val="24"/>
              </w:rPr>
              <w:t>Art. 263</w:t>
            </w:r>
            <w:r w:rsidR="00E26EF6" w:rsidRPr="00E26EF6">
              <w:rPr>
                <w:rFonts w:ascii="Times New Roman" w:hAnsi="Times New Roman"/>
                <w:sz w:val="24"/>
              </w:rPr>
              <w:t xml:space="preserve"> i 2</w:t>
            </w:r>
            <w:r w:rsidRPr="00E26EF6">
              <w:rPr>
                <w:rFonts w:ascii="Times New Roman" w:hAnsi="Times New Roman"/>
                <w:sz w:val="24"/>
              </w:rPr>
              <w:t>64 CRR. Niniejszą kolumnę zgłasza się wyłącznie</w:t>
            </w:r>
            <w:r w:rsidR="00E26EF6" w:rsidRPr="00E26EF6">
              <w:rPr>
                <w:rFonts w:ascii="Times New Roman" w:hAnsi="Times New Roman"/>
                <w:sz w:val="24"/>
              </w:rPr>
              <w:t xml:space="preserve"> w odn</w:t>
            </w:r>
            <w:r w:rsidRPr="00E26EF6">
              <w:rPr>
                <w:rFonts w:ascii="Times New Roman" w:hAnsi="Times New Roman"/>
                <w:sz w:val="24"/>
              </w:rPr>
              <w:t>iesieniu do ocenianych transakcji przed zastosowaniem ograniczenia</w:t>
            </w:r>
            <w:r w:rsidR="00E26EF6" w:rsidRPr="00E26EF6">
              <w:rPr>
                <w:rFonts w:ascii="Times New Roman" w:hAnsi="Times New Roman"/>
                <w:sz w:val="24"/>
              </w:rPr>
              <w:t xml:space="preserve"> i nie</w:t>
            </w:r>
            <w:r w:rsidRPr="00E26EF6">
              <w:rPr>
                <w:rFonts w:ascii="Times New Roman" w:hAnsi="Times New Roman"/>
                <w:sz w:val="24"/>
              </w:rPr>
              <w:t xml:space="preserve"> zgłasza się jej</w:t>
            </w:r>
            <w:r w:rsidR="00E26EF6" w:rsidRPr="00E26EF6">
              <w:rPr>
                <w:rFonts w:ascii="Times New Roman" w:hAnsi="Times New Roman"/>
                <w:sz w:val="24"/>
              </w:rPr>
              <w:t xml:space="preserve"> w odn</w:t>
            </w:r>
            <w:r w:rsidRPr="00E26EF6">
              <w:rPr>
                <w:rFonts w:ascii="Times New Roman" w:hAnsi="Times New Roman"/>
                <w:sz w:val="24"/>
              </w:rPr>
              <w:t>iesieniu do transakcji</w:t>
            </w:r>
            <w:r w:rsidR="00E26EF6" w:rsidRPr="00E26EF6">
              <w:rPr>
                <w:rFonts w:ascii="Times New Roman" w:hAnsi="Times New Roman"/>
                <w:sz w:val="24"/>
              </w:rPr>
              <w:t xml:space="preserve"> w ram</w:t>
            </w:r>
            <w:r w:rsidRPr="00E26EF6">
              <w:rPr>
                <w:rFonts w:ascii="Times New Roman" w:hAnsi="Times New Roman"/>
                <w:sz w:val="24"/>
              </w:rPr>
              <w:t xml:space="preserve">ach SEC-ERBA. </w:t>
            </w:r>
          </w:p>
          <w:p w14:paraId="7824768C"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46017789" w14:textId="77777777" w:rsidTr="00E10B85">
        <w:tc>
          <w:tcPr>
            <w:tcW w:w="1101" w:type="dxa"/>
          </w:tcPr>
          <w:p w14:paraId="4AF511BB" w14:textId="77777777" w:rsidR="00915077" w:rsidRPr="00E26EF6"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448</w:t>
            </w:r>
          </w:p>
        </w:tc>
        <w:tc>
          <w:tcPr>
            <w:tcW w:w="7903" w:type="dxa"/>
          </w:tcPr>
          <w:p w14:paraId="36B61EAE"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KWOTA EKSPOZYCJI WAŻONEJ RYZYKIEM WEDŁUG SEC-SA</w:t>
            </w:r>
          </w:p>
          <w:p w14:paraId="03C3DAB2" w14:textId="77777777" w:rsidR="00915077" w:rsidRPr="00E26EF6" w:rsidRDefault="00915077">
            <w:pPr>
              <w:spacing w:before="0" w:after="0"/>
              <w:jc w:val="left"/>
              <w:rPr>
                <w:rFonts w:ascii="Times New Roman" w:hAnsi="Times New Roman"/>
                <w:b/>
                <w:sz w:val="24"/>
                <w:u w:val="single"/>
              </w:rPr>
            </w:pPr>
          </w:p>
          <w:p w14:paraId="0BA99E35" w14:textId="262707EE" w:rsidR="00915077" w:rsidRPr="00E26EF6" w:rsidRDefault="00FC6275">
            <w:pPr>
              <w:spacing w:before="0" w:after="0"/>
              <w:jc w:val="left"/>
              <w:rPr>
                <w:rFonts w:ascii="Times New Roman" w:hAnsi="Times New Roman"/>
                <w:sz w:val="24"/>
              </w:rPr>
            </w:pPr>
            <w:r w:rsidRPr="00E26EF6">
              <w:rPr>
                <w:rFonts w:ascii="Times New Roman" w:hAnsi="Times New Roman"/>
                <w:sz w:val="24"/>
              </w:rPr>
              <w:t>Art. 261</w:t>
            </w:r>
            <w:r w:rsidR="00E26EF6" w:rsidRPr="00E26EF6">
              <w:rPr>
                <w:rFonts w:ascii="Times New Roman" w:hAnsi="Times New Roman"/>
                <w:sz w:val="24"/>
              </w:rPr>
              <w:t xml:space="preserve"> i 2</w:t>
            </w:r>
            <w:r w:rsidRPr="00E26EF6">
              <w:rPr>
                <w:rFonts w:ascii="Times New Roman" w:hAnsi="Times New Roman"/>
                <w:sz w:val="24"/>
              </w:rPr>
              <w:t>62 CRR. Niniejszą kolumnę zgłasza się przed zastosowaniem ograniczenia</w:t>
            </w:r>
            <w:r w:rsidR="00E26EF6" w:rsidRPr="00E26EF6">
              <w:rPr>
                <w:rFonts w:ascii="Times New Roman" w:hAnsi="Times New Roman"/>
                <w:sz w:val="24"/>
              </w:rPr>
              <w:t xml:space="preserve"> i nie</w:t>
            </w:r>
            <w:r w:rsidRPr="00E26EF6">
              <w:rPr>
                <w:rFonts w:ascii="Times New Roman" w:hAnsi="Times New Roman"/>
                <w:sz w:val="24"/>
              </w:rPr>
              <w:t xml:space="preserve"> zgłasza się jej</w:t>
            </w:r>
            <w:r w:rsidR="00E26EF6" w:rsidRPr="00E26EF6">
              <w:rPr>
                <w:rFonts w:ascii="Times New Roman" w:hAnsi="Times New Roman"/>
                <w:sz w:val="24"/>
              </w:rPr>
              <w:t xml:space="preserve"> w odn</w:t>
            </w:r>
            <w:r w:rsidRPr="00E26EF6">
              <w:rPr>
                <w:rFonts w:ascii="Times New Roman" w:hAnsi="Times New Roman"/>
                <w:sz w:val="24"/>
              </w:rPr>
              <w:t>iesieniu do transakcji</w:t>
            </w:r>
            <w:r w:rsidR="00E26EF6" w:rsidRPr="00E26EF6">
              <w:rPr>
                <w:rFonts w:ascii="Times New Roman" w:hAnsi="Times New Roman"/>
                <w:sz w:val="24"/>
              </w:rPr>
              <w:t xml:space="preserve"> w ram</w:t>
            </w:r>
            <w:r w:rsidRPr="00E26EF6">
              <w:rPr>
                <w:rFonts w:ascii="Times New Roman" w:hAnsi="Times New Roman"/>
                <w:sz w:val="24"/>
              </w:rPr>
              <w:t>ach SEC-SA.</w:t>
            </w:r>
          </w:p>
          <w:p w14:paraId="05270BEF"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1AE066A2" w14:textId="77777777" w:rsidTr="00E10B85">
        <w:tc>
          <w:tcPr>
            <w:tcW w:w="1101" w:type="dxa"/>
            <w:shd w:val="clear" w:color="auto" w:fill="auto"/>
          </w:tcPr>
          <w:p w14:paraId="4153A6F3" w14:textId="77777777" w:rsidR="00915077" w:rsidRPr="00E26EF6" w:rsidRDefault="00677A91">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450-470</w:t>
            </w:r>
          </w:p>
        </w:tc>
        <w:tc>
          <w:tcPr>
            <w:tcW w:w="7903" w:type="dxa"/>
            <w:shd w:val="clear" w:color="auto" w:fill="auto"/>
          </w:tcPr>
          <w:p w14:paraId="41388C7F"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POZYCJE SEKURYTYZACYJNE – PORTFEL HANDLOWY</w:t>
            </w:r>
          </w:p>
          <w:p w14:paraId="3172C445"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915077" w:rsidRPr="00E26EF6" w:rsidDel="00304CB1"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915077" w:rsidRPr="00E26EF6" w:rsidRDefault="00FC6275">
            <w:pPr>
              <w:spacing w:before="0" w:after="0"/>
              <w:jc w:val="left"/>
              <w:rPr>
                <w:rFonts w:ascii="Times New Roman" w:hAnsi="Times New Roman"/>
                <w:b/>
                <w:sz w:val="24"/>
                <w:u w:val="single"/>
              </w:rPr>
            </w:pPr>
            <w:r w:rsidRPr="00E26EF6">
              <w:rPr>
                <w:rFonts w:ascii="Times New Roman" w:hAnsi="Times New Roman"/>
                <w:b/>
                <w:sz w:val="24"/>
                <w:u w:val="single"/>
              </w:rPr>
              <w:t>UJĘTE W KORELACYJNYM PORTFELU HANDLOWYM CZY NIEUJĘTE W KORELACYJNYM PORTFELU HANDLOWYM?</w:t>
            </w:r>
          </w:p>
          <w:p w14:paraId="0277A8CD" w14:textId="77777777" w:rsidR="00915077" w:rsidRPr="00E26EF6" w:rsidRDefault="00915077">
            <w:pPr>
              <w:spacing w:before="0" w:after="0"/>
              <w:jc w:val="left"/>
              <w:rPr>
                <w:rStyle w:val="InstructionsTabelleText"/>
                <w:rFonts w:ascii="Times New Roman" w:hAnsi="Times New Roman"/>
                <w:sz w:val="24"/>
              </w:rPr>
            </w:pPr>
          </w:p>
          <w:p w14:paraId="43936197" w14:textId="77777777" w:rsidR="00915077" w:rsidRPr="00E26EF6" w:rsidRDefault="00037FCC">
            <w:pPr>
              <w:spacing w:before="0" w:after="0"/>
              <w:jc w:val="left"/>
              <w:rPr>
                <w:rStyle w:val="InstructionsTabelleText"/>
                <w:rFonts w:ascii="Times New Roman" w:hAnsi="Times New Roman"/>
                <w:sz w:val="24"/>
              </w:rPr>
            </w:pPr>
            <w:r w:rsidRPr="00E26EF6">
              <w:rPr>
                <w:rStyle w:val="InstructionsTabelleText"/>
                <w:rFonts w:ascii="Times New Roman" w:hAnsi="Times New Roman"/>
                <w:sz w:val="24"/>
              </w:rPr>
              <w:t>Instytucje zgłaszają następujące skróty:</w:t>
            </w:r>
          </w:p>
          <w:p w14:paraId="0813C2A4" w14:textId="26B95072" w:rsidR="00915077" w:rsidRPr="00E26EF6" w:rsidRDefault="00FC6275">
            <w:pPr>
              <w:spacing w:before="0" w:after="0"/>
              <w:jc w:val="left"/>
              <w:rPr>
                <w:rStyle w:val="InstructionsTabelleText"/>
                <w:rFonts w:ascii="Times New Roman" w:hAnsi="Times New Roman"/>
                <w:sz w:val="24"/>
              </w:rPr>
            </w:pPr>
            <w:r w:rsidRPr="00E26EF6">
              <w:rPr>
                <w:rStyle w:val="InstructionsTabelleText"/>
                <w:rFonts w:ascii="Times New Roman" w:hAnsi="Times New Roman"/>
                <w:sz w:val="24"/>
              </w:rPr>
              <w:t>C – ujęte</w:t>
            </w:r>
            <w:r w:rsidR="00E26EF6" w:rsidRPr="00E26EF6">
              <w:rPr>
                <w:rStyle w:val="InstructionsTabelleText"/>
                <w:rFonts w:ascii="Times New Roman" w:hAnsi="Times New Roman"/>
                <w:sz w:val="24"/>
              </w:rPr>
              <w:t xml:space="preserve"> w kor</w:t>
            </w:r>
            <w:r w:rsidRPr="00E26EF6">
              <w:rPr>
                <w:rStyle w:val="InstructionsTabelleText"/>
                <w:rFonts w:ascii="Times New Roman" w:hAnsi="Times New Roman"/>
                <w:sz w:val="24"/>
              </w:rPr>
              <w:t>elacyjnym portfelu handlowym;</w:t>
            </w:r>
          </w:p>
          <w:p w14:paraId="791EBD74" w14:textId="189E3E18" w:rsidR="00915077" w:rsidRPr="00E26EF6" w:rsidRDefault="00FC6275">
            <w:pPr>
              <w:spacing w:before="0" w:after="0"/>
              <w:jc w:val="left"/>
              <w:rPr>
                <w:rStyle w:val="InstructionsTabelleText"/>
                <w:rFonts w:ascii="Times New Roman" w:hAnsi="Times New Roman"/>
                <w:sz w:val="24"/>
              </w:rPr>
            </w:pPr>
            <w:r w:rsidRPr="00E26EF6">
              <w:rPr>
                <w:rStyle w:val="InstructionsTabelleText"/>
                <w:rFonts w:ascii="Times New Roman" w:hAnsi="Times New Roman"/>
                <w:sz w:val="24"/>
              </w:rPr>
              <w:t>N – nieujęte</w:t>
            </w:r>
            <w:r w:rsidR="00E26EF6" w:rsidRPr="00E26EF6">
              <w:rPr>
                <w:rStyle w:val="InstructionsTabelleText"/>
                <w:rFonts w:ascii="Times New Roman" w:hAnsi="Times New Roman"/>
                <w:sz w:val="24"/>
              </w:rPr>
              <w:t xml:space="preserve"> w kor</w:t>
            </w:r>
            <w:r w:rsidRPr="00E26EF6">
              <w:rPr>
                <w:rStyle w:val="InstructionsTabelleText"/>
                <w:rFonts w:ascii="Times New Roman" w:hAnsi="Times New Roman"/>
                <w:sz w:val="24"/>
              </w:rPr>
              <w:t>elacyjnym portfelu handlowym.</w:t>
            </w:r>
          </w:p>
          <w:p w14:paraId="2B570DF8" w14:textId="77777777" w:rsidR="00915077" w:rsidRPr="00E26EF6" w:rsidRDefault="00915077">
            <w:pPr>
              <w:spacing w:before="0" w:after="0"/>
              <w:jc w:val="left"/>
              <w:rPr>
                <w:rFonts w:ascii="Times New Roman" w:hAnsi="Times New Roman"/>
                <w:b/>
                <w:sz w:val="24"/>
                <w:highlight w:val="lightGray"/>
                <w:u w:val="single"/>
              </w:rPr>
            </w:pPr>
          </w:p>
        </w:tc>
      </w:tr>
      <w:tr w:rsidR="00915077" w:rsidRPr="00E26EF6"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915077" w:rsidRPr="00E26EF6" w:rsidDel="00304CB1" w:rsidRDefault="00FC6275">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915077" w:rsidRPr="00E26EF6" w:rsidRDefault="00FC6275">
            <w:pPr>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POZYCJE NETTO – DŁUGIE/KRÓTKIE</w:t>
            </w:r>
          </w:p>
          <w:p w14:paraId="4D8B0BDD" w14:textId="77777777" w:rsidR="00915077" w:rsidRPr="00E26EF6" w:rsidRDefault="00915077">
            <w:pPr>
              <w:spacing w:before="0" w:after="0"/>
              <w:jc w:val="left"/>
              <w:rPr>
                <w:rFonts w:ascii="Times New Roman" w:hAnsi="Times New Roman"/>
                <w:b/>
                <w:sz w:val="24"/>
                <w:u w:val="single"/>
              </w:rPr>
            </w:pPr>
          </w:p>
          <w:p w14:paraId="6A52E9EF" w14:textId="77777777" w:rsidR="00915077" w:rsidRPr="00E26EF6" w:rsidRDefault="00FC6275">
            <w:pPr>
              <w:spacing w:before="0" w:after="0"/>
              <w:jc w:val="left"/>
              <w:rPr>
                <w:rStyle w:val="InstructionsTabelleText"/>
                <w:rFonts w:ascii="Times New Roman" w:hAnsi="Times New Roman"/>
                <w:sz w:val="24"/>
              </w:rPr>
            </w:pPr>
            <w:r w:rsidRPr="00E26EF6">
              <w:rPr>
                <w:rStyle w:val="InstructionsTabelleText"/>
                <w:rFonts w:ascii="Times New Roman" w:hAnsi="Times New Roman"/>
                <w:sz w:val="24"/>
              </w:rPr>
              <w:t xml:space="preserve">Zob. kolumny 050/060 odpowiednio we wzorze MKR SA SEC lub MKR SA CTP. </w:t>
            </w:r>
          </w:p>
          <w:p w14:paraId="09E56F10" w14:textId="77777777" w:rsidR="00915077" w:rsidRPr="00E26EF6" w:rsidRDefault="00915077">
            <w:pPr>
              <w:spacing w:before="0" w:after="0"/>
              <w:jc w:val="left"/>
              <w:rPr>
                <w:rFonts w:ascii="Times New Roman" w:hAnsi="Times New Roman"/>
                <w:b/>
                <w:sz w:val="24"/>
                <w:u w:val="single"/>
              </w:rPr>
            </w:pPr>
          </w:p>
        </w:tc>
      </w:tr>
    </w:tbl>
    <w:p w14:paraId="25C5EB8A" w14:textId="77777777" w:rsidR="00915077" w:rsidRPr="00E26EF6" w:rsidRDefault="00915077">
      <w:pPr>
        <w:spacing w:before="0" w:after="0"/>
        <w:jc w:val="left"/>
        <w:rPr>
          <w:rStyle w:val="InstructionsTabelleText"/>
          <w:rFonts w:ascii="Times New Roman" w:hAnsi="Times New Roman"/>
          <w:b/>
          <w:sz w:val="24"/>
        </w:rPr>
      </w:pPr>
    </w:p>
    <w:p w14:paraId="34E9DEE1" w14:textId="77777777" w:rsidR="00915077" w:rsidRPr="00E26EF6" w:rsidRDefault="00CE4C49">
      <w:pPr>
        <w:pStyle w:val="Instructionsberschrift2"/>
        <w:numPr>
          <w:ilvl w:val="0"/>
          <w:numId w:val="0"/>
        </w:numPr>
        <w:ind w:left="357" w:hanging="357"/>
        <w:rPr>
          <w:rFonts w:ascii="Times New Roman" w:hAnsi="Times New Roman" w:cs="Times New Roman"/>
          <w:sz w:val="24"/>
        </w:rPr>
      </w:pPr>
      <w:bookmarkStart w:id="71" w:name="_Toc31014368"/>
      <w:r w:rsidRPr="00E26EF6">
        <w:rPr>
          <w:rFonts w:ascii="Times New Roman" w:hAnsi="Times New Roman"/>
          <w:sz w:val="24"/>
        </w:rPr>
        <w:t>4.</w:t>
      </w:r>
      <w:r w:rsidRPr="00E26EF6">
        <w:rPr>
          <w:rFonts w:ascii="Times New Roman" w:hAnsi="Times New Roman"/>
          <w:sz w:val="24"/>
        </w:rPr>
        <w:tab/>
        <w:t>Wzory dotyczące ryzyka operacyjnego</w:t>
      </w:r>
      <w:bookmarkEnd w:id="71"/>
    </w:p>
    <w:p w14:paraId="0B183E1A" w14:textId="77777777" w:rsidR="00915077" w:rsidRPr="00E26EF6" w:rsidRDefault="00CE4C49">
      <w:pPr>
        <w:pStyle w:val="Instructionsberschrift2"/>
        <w:numPr>
          <w:ilvl w:val="0"/>
          <w:numId w:val="0"/>
        </w:numPr>
        <w:ind w:left="357" w:hanging="357"/>
        <w:rPr>
          <w:rFonts w:ascii="Times New Roman" w:hAnsi="Times New Roman" w:cs="Times New Roman"/>
          <w:sz w:val="24"/>
        </w:rPr>
      </w:pPr>
      <w:bookmarkStart w:id="72" w:name="_Toc31014369"/>
      <w:r w:rsidRPr="00E26EF6">
        <w:rPr>
          <w:rFonts w:ascii="Times New Roman" w:hAnsi="Times New Roman"/>
          <w:sz w:val="24"/>
        </w:rPr>
        <w:t>4.1</w:t>
      </w:r>
      <w:r w:rsidRPr="00E26EF6">
        <w:rPr>
          <w:rFonts w:ascii="Times New Roman" w:hAnsi="Times New Roman"/>
          <w:sz w:val="24"/>
        </w:rPr>
        <w:tab/>
      </w:r>
      <w:r w:rsidRPr="00E26EF6">
        <w:rPr>
          <w:rFonts w:ascii="Times New Roman" w:hAnsi="Times New Roman"/>
          <w:sz w:val="24"/>
        </w:rPr>
        <w:tab/>
        <w:t>C 16.00 – Ryzyko operacyjne (OPR)</w:t>
      </w:r>
      <w:bookmarkEnd w:id="72"/>
    </w:p>
    <w:p w14:paraId="3C130F30" w14:textId="77777777" w:rsidR="00915077" w:rsidRPr="00E26EF6" w:rsidRDefault="00CE4C49">
      <w:pPr>
        <w:pStyle w:val="Instructionsberschrift2"/>
        <w:numPr>
          <w:ilvl w:val="0"/>
          <w:numId w:val="0"/>
        </w:numPr>
        <w:ind w:left="357" w:hanging="357"/>
        <w:rPr>
          <w:rFonts w:ascii="Times New Roman" w:hAnsi="Times New Roman" w:cs="Times New Roman"/>
          <w:sz w:val="24"/>
          <w:u w:val="none"/>
        </w:rPr>
      </w:pPr>
      <w:bookmarkStart w:id="73" w:name="_Toc31014370"/>
      <w:r w:rsidRPr="00E26EF6">
        <w:rPr>
          <w:rFonts w:ascii="Times New Roman" w:hAnsi="Times New Roman"/>
          <w:sz w:val="24"/>
          <w:u w:val="none"/>
        </w:rPr>
        <w:t>4.1.1</w:t>
      </w:r>
      <w:r w:rsidRPr="00E26EF6">
        <w:rPr>
          <w:rFonts w:ascii="Times New Roman" w:hAnsi="Times New Roman"/>
          <w:sz w:val="24"/>
          <w:u w:val="none"/>
        </w:rPr>
        <w:tab/>
        <w:t>Uwagi ogólne</w:t>
      </w:r>
      <w:bookmarkEnd w:id="73"/>
      <w:r w:rsidRPr="00E26EF6">
        <w:rPr>
          <w:rFonts w:ascii="Times New Roman" w:hAnsi="Times New Roman"/>
          <w:sz w:val="24"/>
          <w:u w:val="none"/>
        </w:rPr>
        <w:t xml:space="preserve"> </w:t>
      </w:r>
    </w:p>
    <w:p w14:paraId="423A7091" w14:textId="2BF56FDA" w:rsidR="00915077" w:rsidRPr="00E26EF6" w:rsidRDefault="006660B9">
      <w:pPr>
        <w:pStyle w:val="InstructionsText2"/>
        <w:numPr>
          <w:ilvl w:val="0"/>
          <w:numId w:val="0"/>
        </w:numPr>
        <w:ind w:left="993"/>
      </w:pPr>
      <w:r w:rsidRPr="00E26EF6">
        <w:t>114.</w:t>
      </w:r>
      <w:r w:rsidRPr="00E26EF6">
        <w:tab/>
        <w:t xml:space="preserve"> Niniejszy wzór zawiera informacje na temat obliczania wymogów</w:t>
      </w:r>
      <w:r w:rsidR="00E26EF6" w:rsidRPr="00E26EF6">
        <w:t xml:space="preserve"> w zak</w:t>
      </w:r>
      <w:r w:rsidRPr="00E26EF6">
        <w:t>resie funduszy własnych zgodnie</w:t>
      </w:r>
      <w:r w:rsidR="00E26EF6" w:rsidRPr="00E26EF6">
        <w:t xml:space="preserve"> z art</w:t>
      </w:r>
      <w:r w:rsidRPr="00E26EF6">
        <w:t>.</w:t>
      </w:r>
      <w:r w:rsidR="00023409" w:rsidRPr="00E26EF6">
        <w:t> </w:t>
      </w:r>
      <w:r w:rsidRPr="00E26EF6">
        <w:t>312–324 CRR</w:t>
      </w:r>
      <w:r w:rsidR="00E26EF6" w:rsidRPr="00E26EF6">
        <w:t xml:space="preserve"> z tyt</w:t>
      </w:r>
      <w:r w:rsidRPr="00E26EF6">
        <w:t>ułu ryzyka operacyjnego według metody wskaźnika bazowego, metody standardowej, alternatywnej metody standardowej</w:t>
      </w:r>
      <w:r w:rsidR="00E26EF6" w:rsidRPr="00E26EF6">
        <w:t xml:space="preserve"> i met</w:t>
      </w:r>
      <w:r w:rsidRPr="00E26EF6">
        <w:t>od zaawansowanego pomiaru. Instytucja nie może stosować metody standardowej</w:t>
      </w:r>
      <w:r w:rsidR="00E26EF6" w:rsidRPr="00E26EF6">
        <w:t xml:space="preserve"> i alt</w:t>
      </w:r>
      <w:r w:rsidRPr="00E26EF6">
        <w:t>ernatywnej metody standardowej dla linii biznesowych „bankowość detaliczna” i „bankowość komercyjna”</w:t>
      </w:r>
      <w:r w:rsidR="00E26EF6" w:rsidRPr="00E26EF6">
        <w:t xml:space="preserve"> w tym</w:t>
      </w:r>
      <w:r w:rsidRPr="00E26EF6">
        <w:t xml:space="preserve"> samym czasie na poziomie jednostkowym.</w:t>
      </w:r>
    </w:p>
    <w:p w14:paraId="56FD3321" w14:textId="29E6B232" w:rsidR="00915077" w:rsidRPr="00E26EF6" w:rsidRDefault="00125707">
      <w:pPr>
        <w:pStyle w:val="InstructionsText2"/>
        <w:numPr>
          <w:ilvl w:val="0"/>
          <w:numId w:val="0"/>
        </w:numPr>
        <w:ind w:left="993"/>
      </w:pPr>
      <w:r w:rsidRPr="00E26EF6">
        <w:t>115. Instytucje korzystające</w:t>
      </w:r>
      <w:r w:rsidR="00E26EF6" w:rsidRPr="00E26EF6">
        <w:t xml:space="preserve"> z met</w:t>
      </w:r>
      <w:r w:rsidRPr="00E26EF6">
        <w:t>ody wskaźnika bazowego, metody standardowej lub alternatywnej metody standardowej obliczają swoje wymogi</w:t>
      </w:r>
      <w:r w:rsidR="00E26EF6" w:rsidRPr="00E26EF6">
        <w:t xml:space="preserve"> w zak</w:t>
      </w:r>
      <w:r w:rsidRPr="00E26EF6">
        <w:t>resie funduszy własnych</w:t>
      </w:r>
      <w:r w:rsidR="00E26EF6" w:rsidRPr="00E26EF6">
        <w:t xml:space="preserve"> w opa</w:t>
      </w:r>
      <w:r w:rsidRPr="00E26EF6">
        <w:t>rciu</w:t>
      </w:r>
      <w:r w:rsidR="00E26EF6" w:rsidRPr="00E26EF6">
        <w:t xml:space="preserve"> o inf</w:t>
      </w:r>
      <w:r w:rsidRPr="00E26EF6">
        <w:t>ormacje przedstawione na koniec roku obrotowego. Jeżeli dane zweryfikowane przez biegłego rewidenta nie są dostępne, instytucja może wykorzystać dane szacunkowe. Jeśli wykorzystywane są dane zweryfikowane przez biegłego rewidenta, instytucje zgłaszają te dane, przy czym powinny one pozostać niezmienione. Odstępstwa od tej zasady niezmieniania danych są możliwe, na przykład jeżeli</w:t>
      </w:r>
      <w:r w:rsidR="00E26EF6" w:rsidRPr="00E26EF6">
        <w:t xml:space="preserve"> w dan</w:t>
      </w:r>
      <w:r w:rsidRPr="00E26EF6">
        <w:t xml:space="preserve">ym okresie zaistnieją wyjątkowe okoliczności, takie jak niedawne nabycie lub zbycie podmiotów lub działalności. </w:t>
      </w:r>
    </w:p>
    <w:p w14:paraId="4A9F6BA1" w14:textId="721EDA96" w:rsidR="00915077" w:rsidRPr="00E26EF6" w:rsidRDefault="00125707">
      <w:pPr>
        <w:pStyle w:val="InstructionsText2"/>
        <w:numPr>
          <w:ilvl w:val="0"/>
          <w:numId w:val="0"/>
        </w:numPr>
        <w:ind w:left="993"/>
      </w:pPr>
      <w:r w:rsidRPr="00E26EF6">
        <w:t>116.</w:t>
      </w:r>
      <w:r w:rsidRPr="00E26EF6">
        <w:tab/>
        <w:t xml:space="preserve"> Jeżeli instytucja może udowodnić swojemu właściwemu organowi, że ze względu na wyjątkowe okoliczności, takie jako połączenie, nabycie lub zbycie podmiotów lub działalności, wykorzystanie średniej</w:t>
      </w:r>
      <w:r w:rsidR="00E26EF6" w:rsidRPr="00E26EF6">
        <w:t xml:space="preserve"> z trz</w:t>
      </w:r>
      <w:r w:rsidRPr="00E26EF6">
        <w:t>ech lat do obliczenia odpowiedniego wskaźnika prowadziłoby do błędnego oszacowania wymogu</w:t>
      </w:r>
      <w:r w:rsidR="00E26EF6" w:rsidRPr="00E26EF6">
        <w:t xml:space="preserve"> w zak</w:t>
      </w:r>
      <w:r w:rsidRPr="00E26EF6">
        <w:t>resie funduszy własnych</w:t>
      </w:r>
      <w:r w:rsidR="00E26EF6" w:rsidRPr="00E26EF6">
        <w:t xml:space="preserve"> z tyt</w:t>
      </w:r>
      <w:r w:rsidRPr="00E26EF6">
        <w:t>ułu ryzyka operacyjnego, właściwy organ może zezwolić instytucji na zmianę sposobu obliczania, tak aby uwzględnić takie sytuacje. Właściwy organ może</w:t>
      </w:r>
      <w:r w:rsidR="00E26EF6" w:rsidRPr="00E26EF6">
        <w:t xml:space="preserve"> z wła</w:t>
      </w:r>
      <w:r w:rsidRPr="00E26EF6">
        <w:t>snej inicjatywy nałożyć również na instytucję wymóg zmiany sposobu obliczenia</w:t>
      </w:r>
      <w:r w:rsidR="00E26EF6" w:rsidRPr="00E26EF6">
        <w:t>. W prz</w:t>
      </w:r>
      <w:r w:rsidRPr="00E26EF6">
        <w:t>ypadku gdy instytucja prowadzi działalność przez okres krótszy niż trzy lata, może do obliczania odpowiedniego wskaźnika wykorzystać prognozowane dane szacunkowe, pod warunkiem że zacznie stosować dane historyczne, gdy tylko dane te będą dostępne.</w:t>
      </w:r>
    </w:p>
    <w:p w14:paraId="60F0D5E1" w14:textId="39285A01" w:rsidR="00915077" w:rsidRPr="00E26EF6" w:rsidRDefault="00125707">
      <w:pPr>
        <w:pStyle w:val="InstructionsText2"/>
        <w:numPr>
          <w:ilvl w:val="0"/>
          <w:numId w:val="0"/>
        </w:numPr>
        <w:ind w:left="993"/>
      </w:pPr>
      <w:r w:rsidRPr="00E26EF6">
        <w:t>117.</w:t>
      </w:r>
      <w:r w:rsidRPr="00E26EF6">
        <w:tab/>
        <w:t xml:space="preserve"> W kolumnach tego wzoru przedstawia się informacje dotyczące wysokości odpowiedniego wskaźnika działalności bankowej objętej ryzykiem operacyjnym oraz kwoty kredytów</w:t>
      </w:r>
      <w:r w:rsidR="00E26EF6" w:rsidRPr="00E26EF6">
        <w:t xml:space="preserve"> i zal</w:t>
      </w:r>
      <w:r w:rsidRPr="00E26EF6">
        <w:t>iczek (tych ostatnich tylko</w:t>
      </w:r>
      <w:r w:rsidR="00E26EF6" w:rsidRPr="00E26EF6">
        <w:t xml:space="preserve"> w prz</w:t>
      </w:r>
      <w:r w:rsidRPr="00E26EF6">
        <w:t>ypadku stosowania alternatyw</w:t>
      </w:r>
      <w:r w:rsidRPr="00E26EF6">
        <w:lastRenderedPageBreak/>
        <w:t>nej metody standardowej)</w:t>
      </w:r>
      <w:r w:rsidR="00E26EF6" w:rsidRPr="00E26EF6">
        <w:t xml:space="preserve"> w cią</w:t>
      </w:r>
      <w:r w:rsidRPr="00E26EF6">
        <w:t>gu trzech ostatnich lat. Następnie zgłasza się informację na temat kwoty wymogów</w:t>
      </w:r>
      <w:r w:rsidR="00E26EF6" w:rsidRPr="00E26EF6">
        <w:t xml:space="preserve"> w zak</w:t>
      </w:r>
      <w:r w:rsidRPr="00E26EF6">
        <w:t>resie funduszy własnych</w:t>
      </w:r>
      <w:r w:rsidR="00E26EF6" w:rsidRPr="00E26EF6">
        <w:t xml:space="preserve"> z tyt</w:t>
      </w:r>
      <w:r w:rsidRPr="00E26EF6">
        <w:t>ułu ryzyka operacyjnego</w:t>
      </w:r>
      <w:r w:rsidR="00E26EF6" w:rsidRPr="00E26EF6">
        <w:t>. W sto</w:t>
      </w:r>
      <w:r w:rsidRPr="00E26EF6">
        <w:t>sownych przypadkach należy wyszczególnić, która część tej kwoty wynika</w:t>
      </w:r>
      <w:r w:rsidR="00E26EF6" w:rsidRPr="00E26EF6">
        <w:t xml:space="preserve"> z mec</w:t>
      </w:r>
      <w:r w:rsidRPr="00E26EF6">
        <w:t>hanizmu alokacji. Jeśli chodzi</w:t>
      </w:r>
      <w:r w:rsidR="00E26EF6" w:rsidRPr="00E26EF6">
        <w:t xml:space="preserve"> o met</w:t>
      </w:r>
      <w:r w:rsidRPr="00E26EF6">
        <w:t>ody zaawansowanego pomiaru, dodaje się pozycje uzupełniające, aby przedstawić szczegółowe dane dotyczące efektu oczekiwanej straty, dywersyfikacji</w:t>
      </w:r>
      <w:r w:rsidR="00E26EF6" w:rsidRPr="00E26EF6">
        <w:t xml:space="preserve"> i tec</w:t>
      </w:r>
      <w:r w:rsidRPr="00E26EF6">
        <w:t>hnik ograniczania ryzyka dla wymogu</w:t>
      </w:r>
      <w:r w:rsidR="00E26EF6" w:rsidRPr="00E26EF6">
        <w:t xml:space="preserve"> w zak</w:t>
      </w:r>
      <w:r w:rsidRPr="00E26EF6">
        <w:t>resie funduszy własnych</w:t>
      </w:r>
      <w:r w:rsidR="00E26EF6" w:rsidRPr="00E26EF6">
        <w:t xml:space="preserve"> z tyt</w:t>
      </w:r>
      <w:r w:rsidRPr="00E26EF6">
        <w:t>ułu ryzyka operacyjnego.</w:t>
      </w:r>
    </w:p>
    <w:p w14:paraId="124A0324" w14:textId="6147770A" w:rsidR="00915077" w:rsidRPr="00E26EF6" w:rsidRDefault="00125707">
      <w:pPr>
        <w:pStyle w:val="InstructionsText2"/>
        <w:numPr>
          <w:ilvl w:val="0"/>
          <w:numId w:val="0"/>
        </w:numPr>
        <w:ind w:left="993"/>
      </w:pPr>
      <w:r w:rsidRPr="00E26EF6">
        <w:t>118.</w:t>
      </w:r>
      <w:r w:rsidRPr="00E26EF6">
        <w:tab/>
        <w:t xml:space="preserve"> W wierszach przedstawia się informacje według metody obliczania wymogu</w:t>
      </w:r>
      <w:r w:rsidR="00E26EF6" w:rsidRPr="00E26EF6">
        <w:t xml:space="preserve"> w zak</w:t>
      </w:r>
      <w:r w:rsidRPr="00E26EF6">
        <w:t>resie funduszy własnych</w:t>
      </w:r>
      <w:r w:rsidR="00E26EF6" w:rsidRPr="00E26EF6">
        <w:t xml:space="preserve"> z tyt</w:t>
      </w:r>
      <w:r w:rsidRPr="00E26EF6">
        <w:t>ułu ryzyka operacyjnego wraz</w:t>
      </w:r>
      <w:r w:rsidR="00E26EF6" w:rsidRPr="00E26EF6">
        <w:t xml:space="preserve"> z wys</w:t>
      </w:r>
      <w:r w:rsidRPr="00E26EF6">
        <w:t>zczególnieniem linii biznesowych na potrzeby metody standardowej</w:t>
      </w:r>
      <w:r w:rsidR="00E26EF6" w:rsidRPr="00E26EF6">
        <w:t xml:space="preserve"> i alt</w:t>
      </w:r>
      <w:r w:rsidRPr="00E26EF6">
        <w:t>ernatywnej metody standardowej.</w:t>
      </w:r>
    </w:p>
    <w:p w14:paraId="3C672CDB" w14:textId="18407517" w:rsidR="00915077" w:rsidRPr="00E26EF6" w:rsidRDefault="00125707">
      <w:pPr>
        <w:pStyle w:val="InstructionsText2"/>
        <w:numPr>
          <w:ilvl w:val="0"/>
          <w:numId w:val="0"/>
        </w:numPr>
        <w:ind w:left="993"/>
      </w:pPr>
      <w:r w:rsidRPr="00E26EF6">
        <w:t>119.</w:t>
      </w:r>
      <w:r w:rsidRPr="00E26EF6">
        <w:tab/>
        <w:t xml:space="preserve"> Wzór ten przedstawiają wszystkie instytucje objęte wymogiem</w:t>
      </w:r>
      <w:r w:rsidR="00E26EF6" w:rsidRPr="00E26EF6">
        <w:t xml:space="preserve"> w zak</w:t>
      </w:r>
      <w:r w:rsidRPr="00E26EF6">
        <w:t>resie funduszy własnych</w:t>
      </w:r>
      <w:r w:rsidR="00E26EF6" w:rsidRPr="00E26EF6">
        <w:t xml:space="preserve"> z tyt</w:t>
      </w:r>
      <w:r w:rsidRPr="00E26EF6">
        <w:t>ułu ryzyka operacyjnego.</w:t>
      </w:r>
    </w:p>
    <w:p w14:paraId="5D30B0E9"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74" w:name="_Toc31014371"/>
      <w:r w:rsidRPr="00E26EF6">
        <w:rPr>
          <w:rFonts w:ascii="Times New Roman" w:hAnsi="Times New Roman"/>
          <w:sz w:val="24"/>
          <w:u w:val="none"/>
        </w:rPr>
        <w:t>4.1.2.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74"/>
    </w:p>
    <w:p w14:paraId="2FFFD54E" w14:textId="77777777" w:rsidR="00915077" w:rsidRPr="00E26EF6" w:rsidRDefault="0091507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915077" w:rsidRPr="00E26EF6" w14:paraId="0ED5FA59" w14:textId="77777777" w:rsidTr="00672D2A">
        <w:trPr>
          <w:trHeight w:val="553"/>
        </w:trPr>
        <w:tc>
          <w:tcPr>
            <w:tcW w:w="8862" w:type="dxa"/>
            <w:gridSpan w:val="2"/>
            <w:shd w:val="clear" w:color="auto" w:fill="CCCCCC"/>
          </w:tcPr>
          <w:p w14:paraId="04A6D214" w14:textId="77777777" w:rsidR="00915077" w:rsidRPr="00E26EF6" w:rsidRDefault="00AC6255">
            <w:pPr>
              <w:autoSpaceDE w:val="0"/>
              <w:autoSpaceDN w:val="0"/>
              <w:adjustRightInd w:val="0"/>
              <w:spacing w:after="0"/>
              <w:rPr>
                <w:rFonts w:ascii="Times New Roman" w:hAnsi="Times New Roman"/>
                <w:b/>
                <w:bCs/>
                <w:sz w:val="24"/>
                <w:highlight w:val="lightGray"/>
              </w:rPr>
            </w:pPr>
            <w:r w:rsidRPr="00E26EF6">
              <w:rPr>
                <w:rFonts w:ascii="Times New Roman" w:hAnsi="Times New Roman"/>
                <w:b/>
                <w:bCs/>
                <w:sz w:val="24"/>
              </w:rPr>
              <w:t>Kolumny</w:t>
            </w:r>
          </w:p>
        </w:tc>
      </w:tr>
      <w:tr w:rsidR="00915077" w:rsidRPr="00E26EF6" w14:paraId="75B0A424" w14:textId="77777777" w:rsidTr="00672D2A">
        <w:tc>
          <w:tcPr>
            <w:tcW w:w="985" w:type="dxa"/>
          </w:tcPr>
          <w:p w14:paraId="41F1DAD5"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010–030</w:t>
            </w:r>
          </w:p>
        </w:tc>
        <w:tc>
          <w:tcPr>
            <w:tcW w:w="7877" w:type="dxa"/>
          </w:tcPr>
          <w:p w14:paraId="7665078D" w14:textId="77777777" w:rsidR="00915077" w:rsidRPr="00E26EF6" w:rsidRDefault="00AC6255">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ODPOWIEDNI WSKAŹNIK</w:t>
            </w:r>
          </w:p>
          <w:p w14:paraId="1CDF94D3" w14:textId="77777777" w:rsidR="00915077" w:rsidRPr="00E26EF6" w:rsidRDefault="00915077">
            <w:pPr>
              <w:autoSpaceDE w:val="0"/>
              <w:autoSpaceDN w:val="0"/>
              <w:adjustRightInd w:val="0"/>
              <w:spacing w:before="0" w:after="0"/>
              <w:jc w:val="left"/>
              <w:rPr>
                <w:rFonts w:ascii="Times New Roman" w:hAnsi="Times New Roman"/>
                <w:bCs/>
                <w:sz w:val="24"/>
              </w:rPr>
            </w:pPr>
          </w:p>
          <w:p w14:paraId="485D2C02" w14:textId="2B24CB13" w:rsidR="00915077" w:rsidRPr="00E26EF6" w:rsidRDefault="00AC6255">
            <w:pPr>
              <w:autoSpaceDE w:val="0"/>
              <w:autoSpaceDN w:val="0"/>
              <w:adjustRightInd w:val="0"/>
              <w:spacing w:before="0" w:after="0"/>
              <w:rPr>
                <w:rFonts w:ascii="Times New Roman" w:hAnsi="Times New Roman"/>
                <w:sz w:val="24"/>
              </w:rPr>
            </w:pPr>
            <w:r w:rsidRPr="00E26EF6">
              <w:rPr>
                <w:rFonts w:ascii="Times New Roman" w:hAnsi="Times New Roman"/>
                <w:sz w:val="24"/>
              </w:rPr>
              <w:t>Instytucje korzystające</w:t>
            </w:r>
            <w:r w:rsidR="00E26EF6" w:rsidRPr="00E26EF6">
              <w:rPr>
                <w:rFonts w:ascii="Times New Roman" w:hAnsi="Times New Roman"/>
                <w:sz w:val="24"/>
              </w:rPr>
              <w:t xml:space="preserve"> z odp</w:t>
            </w:r>
            <w:r w:rsidRPr="00E26EF6">
              <w:rPr>
                <w:rFonts w:ascii="Times New Roman" w:hAnsi="Times New Roman"/>
                <w:sz w:val="24"/>
              </w:rPr>
              <w:t>owiedniego wskaźnika do obliczenia wymogu</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z tyt</w:t>
            </w:r>
            <w:r w:rsidRPr="00E26EF6">
              <w:rPr>
                <w:rFonts w:ascii="Times New Roman" w:hAnsi="Times New Roman"/>
                <w:sz w:val="24"/>
              </w:rPr>
              <w:t>ułu ryzyka operacyjnego (według metody wskaźnika bazowego, metody standardowej</w:t>
            </w:r>
            <w:r w:rsidR="00E26EF6" w:rsidRPr="00E26EF6">
              <w:rPr>
                <w:rFonts w:ascii="Times New Roman" w:hAnsi="Times New Roman"/>
                <w:sz w:val="24"/>
              </w:rPr>
              <w:t xml:space="preserve"> i alt</w:t>
            </w:r>
            <w:r w:rsidRPr="00E26EF6">
              <w:rPr>
                <w:rFonts w:ascii="Times New Roman" w:hAnsi="Times New Roman"/>
                <w:sz w:val="24"/>
              </w:rPr>
              <w:t>ernatywnej metody standardowej) zgłaszają odpowiedni wskaźnik dla poszczególnych lat</w:t>
            </w:r>
            <w:r w:rsidR="00E26EF6" w:rsidRPr="00E26EF6">
              <w:rPr>
                <w:rFonts w:ascii="Times New Roman" w:hAnsi="Times New Roman"/>
                <w:sz w:val="24"/>
              </w:rPr>
              <w:t xml:space="preserve"> w kol</w:t>
            </w:r>
            <w:r w:rsidRPr="00E26EF6">
              <w:rPr>
                <w:rFonts w:ascii="Times New Roman" w:hAnsi="Times New Roman"/>
                <w:sz w:val="24"/>
              </w:rPr>
              <w:t>umnach 010–030. Ponadto</w:t>
            </w:r>
            <w:r w:rsidR="00E26EF6" w:rsidRPr="00E26EF6">
              <w:rPr>
                <w:rFonts w:ascii="Times New Roman" w:hAnsi="Times New Roman"/>
                <w:sz w:val="24"/>
              </w:rPr>
              <w:t xml:space="preserve"> w prz</w:t>
            </w:r>
            <w:r w:rsidRPr="00E26EF6">
              <w:rPr>
                <w:rFonts w:ascii="Times New Roman" w:hAnsi="Times New Roman"/>
                <w:sz w:val="24"/>
              </w:rPr>
              <w:t>ypadku łącznego stosowania różnych metod,</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314 CRR, instytucje zgłaszają również –</w:t>
            </w:r>
            <w:r w:rsidR="00E26EF6" w:rsidRPr="00E26EF6">
              <w:rPr>
                <w:rFonts w:ascii="Times New Roman" w:hAnsi="Times New Roman"/>
                <w:sz w:val="24"/>
              </w:rPr>
              <w:t xml:space="preserve"> w cel</w:t>
            </w:r>
            <w:r w:rsidRPr="00E26EF6">
              <w:rPr>
                <w:rFonts w:ascii="Times New Roman" w:hAnsi="Times New Roman"/>
                <w:sz w:val="24"/>
              </w:rPr>
              <w:t>ach informacyjnych – odpowiedni wskaźnik dla działalności objętych metodami zaawansowanego pomiaru. Dotyczy to także wszystkich innych banków objętych metodami zaawansowanego pomiaru.</w:t>
            </w:r>
          </w:p>
          <w:p w14:paraId="396E1BE6" w14:textId="77777777" w:rsidR="00915077" w:rsidRPr="00E26EF6" w:rsidRDefault="00915077">
            <w:pPr>
              <w:autoSpaceDE w:val="0"/>
              <w:autoSpaceDN w:val="0"/>
              <w:adjustRightInd w:val="0"/>
              <w:spacing w:before="0" w:after="0"/>
              <w:rPr>
                <w:rFonts w:ascii="Times New Roman" w:hAnsi="Times New Roman"/>
                <w:bCs/>
                <w:strike/>
                <w:sz w:val="24"/>
              </w:rPr>
            </w:pPr>
          </w:p>
          <w:p w14:paraId="503111DB" w14:textId="2123377F" w:rsidR="00915077" w:rsidRPr="00E26EF6" w:rsidRDefault="00AC6255">
            <w:pPr>
              <w:autoSpaceDE w:val="0"/>
              <w:autoSpaceDN w:val="0"/>
              <w:adjustRightInd w:val="0"/>
              <w:spacing w:before="0" w:after="0"/>
              <w:rPr>
                <w:rFonts w:ascii="Times New Roman" w:hAnsi="Times New Roman"/>
                <w:bCs/>
                <w:sz w:val="24"/>
              </w:rPr>
            </w:pPr>
            <w:r w:rsidRPr="00E26EF6">
              <w:rPr>
                <w:rFonts w:ascii="Times New Roman" w:hAnsi="Times New Roman"/>
                <w:sz w:val="24"/>
              </w:rPr>
              <w:t>Dalej termin „odpowiedni wskaźnik” odnosi się do „sumy elementów” na koniec roku obrotowego,</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pkt</w:t>
            </w:r>
            <w:r w:rsidR="00023409" w:rsidRPr="00E26EF6">
              <w:rPr>
                <w:rFonts w:ascii="Times New Roman" w:hAnsi="Times New Roman"/>
                <w:sz w:val="24"/>
              </w:rPr>
              <w:t> </w:t>
            </w:r>
            <w:r w:rsidRPr="00E26EF6">
              <w:rPr>
                <w:rFonts w:ascii="Times New Roman" w:hAnsi="Times New Roman"/>
                <w:sz w:val="24"/>
              </w:rPr>
              <w:t>1 tabeli 1</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316 CRR. </w:t>
            </w:r>
          </w:p>
          <w:p w14:paraId="0586ED75" w14:textId="77777777" w:rsidR="00915077" w:rsidRPr="00E26EF6" w:rsidRDefault="00915077">
            <w:pPr>
              <w:autoSpaceDE w:val="0"/>
              <w:autoSpaceDN w:val="0"/>
              <w:adjustRightInd w:val="0"/>
              <w:spacing w:before="0" w:after="0"/>
              <w:rPr>
                <w:rFonts w:ascii="Times New Roman" w:hAnsi="Times New Roman"/>
                <w:sz w:val="24"/>
              </w:rPr>
            </w:pPr>
          </w:p>
          <w:p w14:paraId="24504E63" w14:textId="46CB0AFA" w:rsidR="00915077" w:rsidRPr="00E26EF6" w:rsidRDefault="001C3443">
            <w:pPr>
              <w:autoSpaceDE w:val="0"/>
              <w:autoSpaceDN w:val="0"/>
              <w:adjustRightInd w:val="0"/>
              <w:spacing w:before="0" w:after="0"/>
              <w:rPr>
                <w:rFonts w:ascii="Times New Roman" w:hAnsi="Times New Roman"/>
                <w:sz w:val="24"/>
              </w:rPr>
            </w:pPr>
            <w:r w:rsidRPr="00E26EF6">
              <w:rPr>
                <w:rFonts w:ascii="Times New Roman" w:hAnsi="Times New Roman"/>
                <w:sz w:val="24"/>
              </w:rPr>
              <w:t>Jeśli instytucja posiada dane dotyczące „odpowiedniego wskaźnika” za okres krótszy niż 3 lata, dostępne dane historyczne (dane zweryfikowane przez biegłego rewidenta) przypisywane są według pierwszeństwa do odpowiednich kolumn we wzorze. Jeśli na przykład dostępne są dane historyczne tylko za jeden rok, dane te zgłasza się</w:t>
            </w:r>
            <w:r w:rsidR="00E26EF6" w:rsidRPr="00E26EF6">
              <w:rPr>
                <w:rFonts w:ascii="Times New Roman" w:hAnsi="Times New Roman"/>
                <w:sz w:val="24"/>
              </w:rPr>
              <w:t xml:space="preserve"> w kol</w:t>
            </w:r>
            <w:r w:rsidRPr="00E26EF6">
              <w:rPr>
                <w:rFonts w:ascii="Times New Roman" w:hAnsi="Times New Roman"/>
                <w:sz w:val="24"/>
              </w:rPr>
              <w:t>umnie 030</w:t>
            </w:r>
            <w:r w:rsidR="00E26EF6" w:rsidRPr="00E26EF6">
              <w:rPr>
                <w:rFonts w:ascii="Times New Roman" w:hAnsi="Times New Roman"/>
                <w:sz w:val="24"/>
              </w:rPr>
              <w:t>. W sto</w:t>
            </w:r>
            <w:r w:rsidRPr="00E26EF6">
              <w:rPr>
                <w:rFonts w:ascii="Times New Roman" w:hAnsi="Times New Roman"/>
                <w:sz w:val="24"/>
              </w:rPr>
              <w:t>sownych przypadkach prognozowane dane szacunkowe ujmuje się następnie</w:t>
            </w:r>
            <w:r w:rsidR="00E26EF6" w:rsidRPr="00E26EF6">
              <w:rPr>
                <w:rFonts w:ascii="Times New Roman" w:hAnsi="Times New Roman"/>
                <w:sz w:val="24"/>
              </w:rPr>
              <w:t xml:space="preserve"> w kol</w:t>
            </w:r>
            <w:r w:rsidRPr="00E26EF6">
              <w:rPr>
                <w:rFonts w:ascii="Times New Roman" w:hAnsi="Times New Roman"/>
                <w:sz w:val="24"/>
              </w:rPr>
              <w:t>umnie 020 (oszacowania dla przyszłego roku) oraz</w:t>
            </w:r>
            <w:r w:rsidR="00E26EF6" w:rsidRPr="00E26EF6">
              <w:rPr>
                <w:rFonts w:ascii="Times New Roman" w:hAnsi="Times New Roman"/>
                <w:sz w:val="24"/>
              </w:rPr>
              <w:t xml:space="preserve"> w kol</w:t>
            </w:r>
            <w:r w:rsidRPr="00E26EF6">
              <w:rPr>
                <w:rFonts w:ascii="Times New Roman" w:hAnsi="Times New Roman"/>
                <w:sz w:val="24"/>
              </w:rPr>
              <w:t>umnie 010 (oszacowania dla roku +2).</w:t>
            </w:r>
          </w:p>
          <w:p w14:paraId="37DBFE3D" w14:textId="77777777" w:rsidR="00915077" w:rsidRPr="00E26EF6" w:rsidRDefault="00915077">
            <w:pPr>
              <w:autoSpaceDE w:val="0"/>
              <w:autoSpaceDN w:val="0"/>
              <w:adjustRightInd w:val="0"/>
              <w:spacing w:before="0" w:after="0"/>
              <w:rPr>
                <w:rFonts w:ascii="Times New Roman" w:hAnsi="Times New Roman"/>
                <w:i/>
                <w:sz w:val="24"/>
              </w:rPr>
            </w:pPr>
          </w:p>
          <w:p w14:paraId="0DB52E93" w14:textId="2C1C470D" w:rsidR="00915077" w:rsidRPr="00E26EF6" w:rsidRDefault="00AC6255">
            <w:pPr>
              <w:autoSpaceDE w:val="0"/>
              <w:autoSpaceDN w:val="0"/>
              <w:adjustRightInd w:val="0"/>
              <w:spacing w:before="0" w:after="0"/>
              <w:rPr>
                <w:rFonts w:ascii="Times New Roman" w:hAnsi="Times New Roman"/>
                <w:sz w:val="24"/>
              </w:rPr>
            </w:pPr>
            <w:r w:rsidRPr="00E26EF6">
              <w:rPr>
                <w:rFonts w:ascii="Times New Roman" w:hAnsi="Times New Roman"/>
                <w:sz w:val="24"/>
              </w:rPr>
              <w:t>Ponadto jeśli niedostępne są żadne dane historyczne dotyczące „odpowiedniego wskaźnika”, instytucja może wykorzystać prognozowane dane szacunkowe.</w:t>
            </w:r>
          </w:p>
          <w:p w14:paraId="7AC86AA8"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0E3385AA" w14:textId="77777777" w:rsidTr="00672D2A">
        <w:tc>
          <w:tcPr>
            <w:tcW w:w="985" w:type="dxa"/>
          </w:tcPr>
          <w:p w14:paraId="1495F5B0"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040-060</w:t>
            </w:r>
          </w:p>
        </w:tc>
        <w:tc>
          <w:tcPr>
            <w:tcW w:w="7877" w:type="dxa"/>
          </w:tcPr>
          <w:p w14:paraId="57FF171C" w14:textId="77777777" w:rsidR="00915077" w:rsidRPr="00E26EF6" w:rsidRDefault="00AC6255">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KREDYTY I ZALICZKI (W PRZYPADKU STOSOWANIA ALTERNATYWNEJ METODY STANDARDOWEJ)</w:t>
            </w:r>
          </w:p>
          <w:p w14:paraId="70267385" w14:textId="77777777" w:rsidR="00915077" w:rsidRPr="00E26EF6" w:rsidRDefault="00915077">
            <w:pPr>
              <w:autoSpaceDE w:val="0"/>
              <w:autoSpaceDN w:val="0"/>
              <w:adjustRightInd w:val="0"/>
              <w:spacing w:before="0" w:after="0"/>
              <w:jc w:val="left"/>
              <w:rPr>
                <w:rFonts w:ascii="Times New Roman" w:hAnsi="Times New Roman"/>
                <w:bCs/>
                <w:sz w:val="24"/>
              </w:rPr>
            </w:pPr>
          </w:p>
          <w:p w14:paraId="0E2ABA2B" w14:textId="45C26856" w:rsidR="00915077" w:rsidRPr="00E26EF6" w:rsidRDefault="00AC6255">
            <w:pPr>
              <w:autoSpaceDE w:val="0"/>
              <w:autoSpaceDN w:val="0"/>
              <w:adjustRightInd w:val="0"/>
              <w:spacing w:before="0" w:after="0"/>
              <w:rPr>
                <w:rFonts w:ascii="Times New Roman" w:hAnsi="Times New Roman"/>
                <w:sz w:val="24"/>
              </w:rPr>
            </w:pPr>
            <w:r w:rsidRPr="00E26EF6">
              <w:rPr>
                <w:rFonts w:ascii="Times New Roman" w:hAnsi="Times New Roman"/>
                <w:sz w:val="24"/>
              </w:rPr>
              <w:t>Kolumny te wykorzystuje się do zgłaszania kwot kredytów</w:t>
            </w:r>
            <w:r w:rsidR="00E26EF6" w:rsidRPr="00E26EF6">
              <w:rPr>
                <w:rFonts w:ascii="Times New Roman" w:hAnsi="Times New Roman"/>
                <w:sz w:val="24"/>
              </w:rPr>
              <w:t xml:space="preserve"> i zal</w:t>
            </w:r>
            <w:r w:rsidRPr="00E26EF6">
              <w:rPr>
                <w:rFonts w:ascii="Times New Roman" w:hAnsi="Times New Roman"/>
                <w:sz w:val="24"/>
              </w:rPr>
              <w:t>iczek,</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319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b) CRR, dla linii biznesowych „bankowość detaliczna” i „bankowość komercyjna”. Kwoty te są wykorzystywane do obliczenia alternatywnego odpowiedniego wskaźnika, który prowadzi do obliczenia wymogów</w:t>
            </w:r>
            <w:r w:rsidR="00E26EF6" w:rsidRPr="00E26EF6">
              <w:rPr>
                <w:rFonts w:ascii="Times New Roman" w:hAnsi="Times New Roman"/>
                <w:sz w:val="24"/>
              </w:rPr>
              <w:t xml:space="preserve"> w zak</w:t>
            </w:r>
            <w:r w:rsidRPr="00E26EF6">
              <w:rPr>
                <w:rFonts w:ascii="Times New Roman" w:hAnsi="Times New Roman"/>
                <w:sz w:val="24"/>
              </w:rPr>
              <w:t>resie funduszy własnych odpowiadających działalności objętej alternatywną metodą standardową (art.</w:t>
            </w:r>
            <w:r w:rsidR="00023409" w:rsidRPr="00E26EF6">
              <w:rPr>
                <w:rFonts w:ascii="Times New Roman" w:hAnsi="Times New Roman"/>
                <w:sz w:val="24"/>
              </w:rPr>
              <w:t> </w:t>
            </w:r>
            <w:r w:rsidRPr="00E26EF6">
              <w:rPr>
                <w:rFonts w:ascii="Times New Roman" w:hAnsi="Times New Roman"/>
                <w:sz w:val="24"/>
              </w:rPr>
              <w:t>319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 xml:space="preserve">a) CRR). </w:t>
            </w:r>
          </w:p>
          <w:p w14:paraId="1834B90C" w14:textId="77777777" w:rsidR="00915077" w:rsidRPr="00E26EF6" w:rsidRDefault="00915077">
            <w:pPr>
              <w:autoSpaceDE w:val="0"/>
              <w:autoSpaceDN w:val="0"/>
              <w:adjustRightInd w:val="0"/>
              <w:spacing w:before="0" w:after="0"/>
              <w:rPr>
                <w:rFonts w:ascii="Times New Roman" w:hAnsi="Times New Roman"/>
                <w:sz w:val="24"/>
              </w:rPr>
            </w:pPr>
          </w:p>
          <w:p w14:paraId="39ABC864" w14:textId="7E6D8FBF"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sz w:val="24"/>
              </w:rPr>
              <w:t>W przypadku linii biznesowej „bankowość komercyjna” uwzględnia się również papiery wartościowe</w:t>
            </w:r>
            <w:r w:rsidR="00E26EF6" w:rsidRPr="00E26EF6">
              <w:rPr>
                <w:rFonts w:ascii="Times New Roman" w:hAnsi="Times New Roman"/>
                <w:sz w:val="24"/>
              </w:rPr>
              <w:t xml:space="preserve"> z por</w:t>
            </w:r>
            <w:r w:rsidRPr="00E26EF6">
              <w:rPr>
                <w:rFonts w:ascii="Times New Roman" w:hAnsi="Times New Roman"/>
                <w:sz w:val="24"/>
              </w:rPr>
              <w:t>tfela bankowego.</w:t>
            </w:r>
          </w:p>
        </w:tc>
      </w:tr>
      <w:tr w:rsidR="00915077" w:rsidRPr="00E26EF6" w14:paraId="47DB7975" w14:textId="77777777" w:rsidTr="00672D2A">
        <w:tc>
          <w:tcPr>
            <w:tcW w:w="985" w:type="dxa"/>
          </w:tcPr>
          <w:p w14:paraId="699B7C5C"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070</w:t>
            </w:r>
          </w:p>
        </w:tc>
        <w:tc>
          <w:tcPr>
            <w:tcW w:w="7877" w:type="dxa"/>
          </w:tcPr>
          <w:p w14:paraId="0CFEB8B5" w14:textId="77777777" w:rsidR="00915077" w:rsidRPr="00E26EF6" w:rsidRDefault="00AC6255">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WYMÓG W ZAKRESIE FUNDUSZY WŁASNYCH</w:t>
            </w:r>
          </w:p>
          <w:p w14:paraId="23009EB8" w14:textId="77777777" w:rsidR="00915077" w:rsidRPr="00E26EF6" w:rsidRDefault="00915077">
            <w:pPr>
              <w:autoSpaceDE w:val="0"/>
              <w:autoSpaceDN w:val="0"/>
              <w:adjustRightInd w:val="0"/>
              <w:spacing w:before="0" w:after="0"/>
              <w:jc w:val="left"/>
              <w:rPr>
                <w:rFonts w:ascii="Times New Roman" w:hAnsi="Times New Roman"/>
                <w:sz w:val="24"/>
              </w:rPr>
            </w:pPr>
          </w:p>
          <w:p w14:paraId="69D5BDB3" w14:textId="685A5F7F" w:rsidR="00915077" w:rsidRPr="00E26EF6" w:rsidRDefault="00AC6255">
            <w:pPr>
              <w:autoSpaceDE w:val="0"/>
              <w:autoSpaceDN w:val="0"/>
              <w:adjustRightInd w:val="0"/>
              <w:spacing w:before="0" w:after="0"/>
              <w:jc w:val="left"/>
              <w:rPr>
                <w:rFonts w:ascii="Times New Roman" w:hAnsi="Times New Roman"/>
                <w:bCs/>
                <w:sz w:val="24"/>
                <w:highlight w:val="lightGray"/>
              </w:rPr>
            </w:pPr>
            <w:r w:rsidRPr="00E26EF6">
              <w:rPr>
                <w:rFonts w:ascii="Times New Roman" w:hAnsi="Times New Roman"/>
                <w:sz w:val="24"/>
              </w:rPr>
              <w:t>Wymóg</w:t>
            </w:r>
            <w:r w:rsidR="00E26EF6" w:rsidRPr="00E26EF6">
              <w:rPr>
                <w:rFonts w:ascii="Times New Roman" w:hAnsi="Times New Roman"/>
                <w:sz w:val="24"/>
              </w:rPr>
              <w:t xml:space="preserve"> w zak</w:t>
            </w:r>
            <w:r w:rsidRPr="00E26EF6">
              <w:rPr>
                <w:rFonts w:ascii="Times New Roman" w:hAnsi="Times New Roman"/>
                <w:sz w:val="24"/>
              </w:rPr>
              <w:t>resie funduszy własnych oblicza się według zastosowanych metod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312–324 CRR. Obliczoną kwotę zgłasza się</w:t>
            </w:r>
            <w:r w:rsidR="00E26EF6" w:rsidRPr="00E26EF6">
              <w:rPr>
                <w:rFonts w:ascii="Times New Roman" w:hAnsi="Times New Roman"/>
                <w:sz w:val="24"/>
              </w:rPr>
              <w:t xml:space="preserve"> w kol</w:t>
            </w:r>
            <w:r w:rsidRPr="00E26EF6">
              <w:rPr>
                <w:rFonts w:ascii="Times New Roman" w:hAnsi="Times New Roman"/>
                <w:sz w:val="24"/>
              </w:rPr>
              <w:t>umnie 070.</w:t>
            </w:r>
          </w:p>
        </w:tc>
      </w:tr>
      <w:tr w:rsidR="00915077" w:rsidRPr="00E26EF6" w14:paraId="49D9544B" w14:textId="77777777" w:rsidTr="00672D2A">
        <w:tc>
          <w:tcPr>
            <w:tcW w:w="985" w:type="dxa"/>
          </w:tcPr>
          <w:p w14:paraId="49CF59E4"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071</w:t>
            </w:r>
          </w:p>
        </w:tc>
        <w:tc>
          <w:tcPr>
            <w:tcW w:w="7877" w:type="dxa"/>
          </w:tcPr>
          <w:p w14:paraId="32B8583F" w14:textId="77777777" w:rsidR="00915077" w:rsidRPr="00E26EF6" w:rsidRDefault="00AC6255">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CAŁKOWITA KWOTA EKSPOZYCJI NA RYZYKO OPERACYJNE</w:t>
            </w:r>
          </w:p>
          <w:p w14:paraId="51215736" w14:textId="3B9CCEDA" w:rsidR="00915077" w:rsidRPr="00E26EF6" w:rsidRDefault="00AC6255">
            <w:pPr>
              <w:rPr>
                <w:rFonts w:ascii="Times New Roman" w:hAnsi="Times New Roman"/>
                <w:sz w:val="24"/>
              </w:rPr>
            </w:pPr>
            <w:r w:rsidRPr="00E26EF6">
              <w:rPr>
                <w:sz w:val="24"/>
              </w:rPr>
              <w:t xml:space="preserve">Art. 92 ust. 4 CRR </w:t>
            </w:r>
          </w:p>
          <w:p w14:paraId="071BA017" w14:textId="0A15A975" w:rsidR="00915077" w:rsidRPr="00E26EF6" w:rsidRDefault="00AC6255">
            <w:pPr>
              <w:rPr>
                <w:rStyle w:val="InstructionsTabelleberschrift"/>
                <w:rFonts w:ascii="Times New Roman" w:hAnsi="Times New Roman"/>
                <w:b w:val="0"/>
                <w:sz w:val="24"/>
                <w:highlight w:val="lightGray"/>
              </w:rPr>
            </w:pPr>
            <w:r w:rsidRPr="00E26EF6">
              <w:rPr>
                <w:sz w:val="24"/>
              </w:rPr>
              <w:t>Wymogi</w:t>
            </w:r>
            <w:r w:rsidR="00E26EF6" w:rsidRPr="00E26EF6">
              <w:rPr>
                <w:sz w:val="24"/>
              </w:rPr>
              <w:t xml:space="preserve"> w zak</w:t>
            </w:r>
            <w:r w:rsidRPr="00E26EF6">
              <w:rPr>
                <w:sz w:val="24"/>
              </w:rPr>
              <w:t>resie funduszy własnych</w:t>
            </w:r>
            <w:r w:rsidR="00E26EF6" w:rsidRPr="00E26EF6">
              <w:rPr>
                <w:sz w:val="24"/>
              </w:rPr>
              <w:t xml:space="preserve"> w kol</w:t>
            </w:r>
            <w:r w:rsidRPr="00E26EF6">
              <w:rPr>
                <w:sz w:val="24"/>
              </w:rPr>
              <w:t>umnie 070 pomnożone przez 12,5.</w:t>
            </w:r>
          </w:p>
        </w:tc>
      </w:tr>
      <w:tr w:rsidR="00915077" w:rsidRPr="00E26EF6" w14:paraId="3915C7EF" w14:textId="77777777" w:rsidTr="00672D2A">
        <w:tc>
          <w:tcPr>
            <w:tcW w:w="985" w:type="dxa"/>
          </w:tcPr>
          <w:p w14:paraId="31839518"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080</w:t>
            </w:r>
          </w:p>
        </w:tc>
        <w:tc>
          <w:tcPr>
            <w:tcW w:w="7877" w:type="dxa"/>
          </w:tcPr>
          <w:p w14:paraId="1FFB7703" w14:textId="77777777" w:rsidR="00915077" w:rsidRPr="00113518"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113518">
              <w:rPr>
                <w:rStyle w:val="InstructionsTabelleberschrift"/>
                <w:rFonts w:ascii="Times New Roman" w:hAnsi="Times New Roman"/>
                <w:sz w:val="24"/>
                <w:highlight w:val="yellow"/>
              </w:rPr>
              <w:t>W TYM: WYNIKAJĄCE Z MECHANIZMU ALOKACJI</w:t>
            </w:r>
          </w:p>
          <w:p w14:paraId="0D1177E6" w14:textId="77777777" w:rsidR="00915077" w:rsidRPr="00113518" w:rsidRDefault="00915077">
            <w:pPr>
              <w:autoSpaceDE w:val="0"/>
              <w:autoSpaceDN w:val="0"/>
              <w:adjustRightInd w:val="0"/>
              <w:spacing w:before="0" w:after="0"/>
              <w:jc w:val="left"/>
              <w:rPr>
                <w:rFonts w:ascii="Times New Roman" w:hAnsi="Times New Roman"/>
                <w:bCs/>
                <w:sz w:val="24"/>
                <w:highlight w:val="yellow"/>
              </w:rPr>
            </w:pPr>
          </w:p>
          <w:p w14:paraId="723162CE" w14:textId="2B6610E9" w:rsidR="00915077" w:rsidRPr="00E26EF6" w:rsidRDefault="003E7AEC">
            <w:pPr>
              <w:jc w:val="left"/>
              <w:rPr>
                <w:rFonts w:ascii="Times New Roman" w:hAnsi="Times New Roman"/>
                <w:bCs/>
                <w:sz w:val="24"/>
              </w:rPr>
            </w:pPr>
            <w:r w:rsidRPr="00113518">
              <w:rPr>
                <w:rFonts w:ascii="Times New Roman" w:hAnsi="Times New Roman"/>
                <w:bCs/>
                <w:sz w:val="24"/>
                <w:highlight w:val="yellow"/>
              </w:rPr>
              <w:t>Po przyznaniu zezwolenia na stosowanie metod zaawansowanego pomiaru na poziomie skonsolidowanym (art.</w:t>
            </w:r>
            <w:r w:rsidR="00023409" w:rsidRPr="00113518">
              <w:rPr>
                <w:rFonts w:ascii="Times New Roman" w:hAnsi="Times New Roman"/>
                <w:bCs/>
                <w:sz w:val="24"/>
                <w:highlight w:val="yellow"/>
              </w:rPr>
              <w:t> </w:t>
            </w:r>
            <w:r w:rsidRPr="00113518">
              <w:rPr>
                <w:rFonts w:ascii="Times New Roman" w:hAnsi="Times New Roman"/>
                <w:bCs/>
                <w:sz w:val="24"/>
                <w:highlight w:val="yellow"/>
              </w:rPr>
              <w:t>18 ust.</w:t>
            </w:r>
            <w:r w:rsidR="00023409" w:rsidRPr="00113518">
              <w:rPr>
                <w:rFonts w:ascii="Times New Roman" w:hAnsi="Times New Roman"/>
                <w:bCs/>
                <w:sz w:val="24"/>
                <w:highlight w:val="yellow"/>
              </w:rPr>
              <w:t> </w:t>
            </w:r>
            <w:r w:rsidRPr="00113518">
              <w:rPr>
                <w:rFonts w:ascii="Times New Roman" w:hAnsi="Times New Roman"/>
                <w:bCs/>
                <w:sz w:val="24"/>
                <w:highlight w:val="yellow"/>
              </w:rPr>
              <w:t>1 CRR)</w:t>
            </w:r>
            <w:r w:rsidRPr="00113518">
              <w:rPr>
                <w:rFonts w:ascii="Times New Roman" w:hAnsi="Times New Roman"/>
                <w:sz w:val="24"/>
                <w:highlight w:val="yellow"/>
              </w:rPr>
              <w:t xml:space="preserve"> zgodnie</w:t>
            </w:r>
            <w:r w:rsidR="00E26EF6" w:rsidRPr="00113518">
              <w:rPr>
                <w:rFonts w:ascii="Times New Roman" w:hAnsi="Times New Roman"/>
                <w:sz w:val="24"/>
                <w:highlight w:val="yellow"/>
              </w:rPr>
              <w:t xml:space="preserve"> z art</w:t>
            </w:r>
            <w:r w:rsidRPr="00113518">
              <w:rPr>
                <w:rFonts w:ascii="Times New Roman" w:hAnsi="Times New Roman"/>
                <w:sz w:val="24"/>
                <w:highlight w:val="yellow"/>
              </w:rPr>
              <w:t>.</w:t>
            </w:r>
            <w:r w:rsidR="00023409" w:rsidRPr="00113518">
              <w:rPr>
                <w:rFonts w:ascii="Times New Roman" w:hAnsi="Times New Roman"/>
                <w:sz w:val="24"/>
                <w:highlight w:val="yellow"/>
              </w:rPr>
              <w:t> </w:t>
            </w:r>
            <w:r w:rsidRPr="00113518">
              <w:rPr>
                <w:rFonts w:ascii="Times New Roman" w:hAnsi="Times New Roman"/>
                <w:sz w:val="24"/>
                <w:highlight w:val="yellow"/>
              </w:rPr>
              <w:t>312 ust.</w:t>
            </w:r>
            <w:r w:rsidR="00023409" w:rsidRPr="00113518">
              <w:rPr>
                <w:rFonts w:ascii="Times New Roman" w:hAnsi="Times New Roman"/>
                <w:sz w:val="24"/>
                <w:highlight w:val="yellow"/>
              </w:rPr>
              <w:t> </w:t>
            </w:r>
            <w:r w:rsidRPr="00113518">
              <w:rPr>
                <w:rFonts w:ascii="Times New Roman" w:hAnsi="Times New Roman"/>
                <w:sz w:val="24"/>
                <w:highlight w:val="yellow"/>
              </w:rPr>
              <w:t>2 CRR, kapitał ryzyka operacyjnego przypisuje się pomiędzy poszczególne podmioty wchodzące</w:t>
            </w:r>
            <w:r w:rsidR="00E26EF6" w:rsidRPr="00113518">
              <w:rPr>
                <w:rFonts w:ascii="Times New Roman" w:hAnsi="Times New Roman"/>
                <w:sz w:val="24"/>
                <w:highlight w:val="yellow"/>
              </w:rPr>
              <w:t xml:space="preserve"> w skł</w:t>
            </w:r>
            <w:r w:rsidRPr="00113518">
              <w:rPr>
                <w:rFonts w:ascii="Times New Roman" w:hAnsi="Times New Roman"/>
                <w:sz w:val="24"/>
                <w:highlight w:val="yellow"/>
              </w:rPr>
              <w:t>ad grupy na podstawie zastosowanej przez instytucje metodologii</w:t>
            </w:r>
            <w:r w:rsidR="00E26EF6" w:rsidRPr="00113518">
              <w:rPr>
                <w:rFonts w:ascii="Times New Roman" w:hAnsi="Times New Roman"/>
                <w:sz w:val="24"/>
                <w:highlight w:val="yellow"/>
              </w:rPr>
              <w:t xml:space="preserve"> w cel</w:t>
            </w:r>
            <w:r w:rsidRPr="00113518">
              <w:rPr>
                <w:rFonts w:ascii="Times New Roman" w:hAnsi="Times New Roman"/>
                <w:sz w:val="24"/>
                <w:highlight w:val="yellow"/>
              </w:rPr>
              <w:t>u uwzględnienia efektów dywersyfikacji</w:t>
            </w:r>
            <w:r w:rsidR="00E26EF6" w:rsidRPr="00113518">
              <w:rPr>
                <w:rFonts w:ascii="Times New Roman" w:hAnsi="Times New Roman"/>
                <w:sz w:val="24"/>
                <w:highlight w:val="yellow"/>
              </w:rPr>
              <w:t xml:space="preserve"> w sys</w:t>
            </w:r>
            <w:r w:rsidRPr="00113518">
              <w:rPr>
                <w:rFonts w:ascii="Times New Roman" w:hAnsi="Times New Roman"/>
                <w:sz w:val="24"/>
                <w:highlight w:val="yellow"/>
              </w:rPr>
              <w:t>temie pomiaru ryzyka stosowanym przez unijną kredytową instytucję dominującą</w:t>
            </w:r>
            <w:r w:rsidR="00E26EF6" w:rsidRPr="00113518">
              <w:rPr>
                <w:rFonts w:ascii="Times New Roman" w:hAnsi="Times New Roman"/>
                <w:sz w:val="24"/>
                <w:highlight w:val="yellow"/>
              </w:rPr>
              <w:t xml:space="preserve"> i jej</w:t>
            </w:r>
            <w:r w:rsidRPr="00113518">
              <w:rPr>
                <w:rFonts w:ascii="Times New Roman" w:hAnsi="Times New Roman"/>
                <w:sz w:val="24"/>
                <w:highlight w:val="yellow"/>
              </w:rPr>
              <w:t xml:space="preserve"> jednostki zależne lub wspólnie przez jednostki zależne unijnej dominującej finansowej spółki holdingowej lub unijnej dominującej finansowej spółki holdingowej</w:t>
            </w:r>
            <w:r w:rsidR="00E26EF6" w:rsidRPr="00113518">
              <w:rPr>
                <w:rFonts w:ascii="Times New Roman" w:hAnsi="Times New Roman"/>
                <w:sz w:val="24"/>
                <w:highlight w:val="yellow"/>
              </w:rPr>
              <w:t xml:space="preserve"> o dzi</w:t>
            </w:r>
            <w:r w:rsidRPr="00113518">
              <w:rPr>
                <w:rFonts w:ascii="Times New Roman" w:hAnsi="Times New Roman"/>
                <w:sz w:val="24"/>
                <w:highlight w:val="yellow"/>
              </w:rPr>
              <w:t>ałalności mieszanej</w:t>
            </w:r>
            <w:r w:rsidR="00E26EF6" w:rsidRPr="00113518">
              <w:rPr>
                <w:rFonts w:ascii="Times New Roman" w:hAnsi="Times New Roman"/>
                <w:sz w:val="24"/>
                <w:highlight w:val="yellow"/>
              </w:rPr>
              <w:t>. W kol</w:t>
            </w:r>
            <w:r w:rsidRPr="00113518">
              <w:rPr>
                <w:rFonts w:ascii="Times New Roman" w:hAnsi="Times New Roman"/>
                <w:sz w:val="24"/>
                <w:highlight w:val="yellow"/>
              </w:rPr>
              <w:t>umnie tej zgłasza się wynik tego przypisania.</w:t>
            </w:r>
            <w:r w:rsidRPr="00E26EF6">
              <w:rPr>
                <w:rFonts w:ascii="Times New Roman" w:hAnsi="Times New Roman"/>
                <w:sz w:val="24"/>
              </w:rPr>
              <w:t xml:space="preserve"> </w:t>
            </w:r>
          </w:p>
          <w:p w14:paraId="6BA87823"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05DAC788" w14:textId="77777777" w:rsidTr="00672D2A">
        <w:tc>
          <w:tcPr>
            <w:tcW w:w="985" w:type="dxa"/>
          </w:tcPr>
          <w:p w14:paraId="13A3E0FC"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090–120</w:t>
            </w:r>
          </w:p>
        </w:tc>
        <w:tc>
          <w:tcPr>
            <w:tcW w:w="7877" w:type="dxa"/>
          </w:tcPr>
          <w:p w14:paraId="10FAF020" w14:textId="77777777" w:rsidR="00915077" w:rsidRPr="00E26EF6" w:rsidRDefault="00AC6255">
            <w:pPr>
              <w:autoSpaceDE w:val="0"/>
              <w:autoSpaceDN w:val="0"/>
              <w:adjustRightInd w:val="0"/>
              <w:spacing w:before="0" w:after="0"/>
              <w:jc w:val="left"/>
              <w:rPr>
                <w:rStyle w:val="InstructionsTabelleberschrift"/>
                <w:rFonts w:ascii="Times New Roman" w:hAnsi="Times New Roman"/>
                <w:sz w:val="24"/>
                <w:highlight w:val="lightGray"/>
              </w:rPr>
            </w:pPr>
            <w:r w:rsidRPr="00E26EF6">
              <w:rPr>
                <w:rStyle w:val="InstructionsTabelleberschrift"/>
                <w:rFonts w:ascii="Times New Roman" w:hAnsi="Times New Roman"/>
                <w:sz w:val="24"/>
              </w:rPr>
              <w:t>POZYCJE UZUPEŁNIAJĄCE UJĘTE WEDŁUG METODY ZAAWANSOWANEGO POMIARU, KTÓRE NALEŻY ZGŁASZAĆ W STOSOWNYCH PRZYPADKACH</w:t>
            </w:r>
          </w:p>
        </w:tc>
      </w:tr>
      <w:tr w:rsidR="00915077" w:rsidRPr="00E26EF6" w14:paraId="35EEC7EB" w14:textId="77777777" w:rsidTr="00672D2A">
        <w:tc>
          <w:tcPr>
            <w:tcW w:w="985" w:type="dxa"/>
          </w:tcPr>
          <w:p w14:paraId="35255FF5"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090</w:t>
            </w:r>
          </w:p>
        </w:tc>
        <w:tc>
          <w:tcPr>
            <w:tcW w:w="7877" w:type="dxa"/>
          </w:tcPr>
          <w:p w14:paraId="75DF12A4" w14:textId="77777777" w:rsidR="00915077" w:rsidRPr="00E26EF6" w:rsidRDefault="00AC6255">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WYMÓG W ZAKRESIE FUNDUSZY WŁASNYCH PRZED ZŁAGODZENIEM W WYNIKU OCZEKIWANEJ STRATY, DYWERSYFIKACJI ORAZ TECHNIK OGRANICZANIA RYZYKA</w:t>
            </w:r>
          </w:p>
          <w:p w14:paraId="09DB1937" w14:textId="77777777" w:rsidR="00915077" w:rsidRPr="00E26EF6" w:rsidRDefault="00915077">
            <w:pPr>
              <w:autoSpaceDE w:val="0"/>
              <w:autoSpaceDN w:val="0"/>
              <w:adjustRightInd w:val="0"/>
              <w:spacing w:before="0" w:after="0"/>
              <w:jc w:val="left"/>
              <w:rPr>
                <w:rFonts w:ascii="Times New Roman" w:hAnsi="Times New Roman"/>
                <w:bCs/>
                <w:sz w:val="24"/>
              </w:rPr>
            </w:pPr>
          </w:p>
          <w:p w14:paraId="3562FB5E" w14:textId="28DADE0C" w:rsidR="00915077" w:rsidRPr="00E26EF6" w:rsidRDefault="00AC6255">
            <w:pPr>
              <w:autoSpaceDE w:val="0"/>
              <w:autoSpaceDN w:val="0"/>
              <w:adjustRightInd w:val="0"/>
              <w:spacing w:before="0" w:after="0"/>
              <w:rPr>
                <w:rFonts w:ascii="Times New Roman" w:hAnsi="Times New Roman"/>
                <w:sz w:val="24"/>
              </w:rPr>
            </w:pPr>
            <w:r w:rsidRPr="00E26EF6">
              <w:rPr>
                <w:rFonts w:ascii="Times New Roman" w:hAnsi="Times New Roman"/>
                <w:sz w:val="24"/>
              </w:rPr>
              <w:t>Wymóg</w:t>
            </w:r>
            <w:r w:rsidR="00E26EF6" w:rsidRPr="00E26EF6">
              <w:rPr>
                <w:rFonts w:ascii="Times New Roman" w:hAnsi="Times New Roman"/>
                <w:sz w:val="24"/>
              </w:rPr>
              <w:t xml:space="preserve"> w zak</w:t>
            </w:r>
            <w:r w:rsidRPr="00E26EF6">
              <w:rPr>
                <w:rFonts w:ascii="Times New Roman" w:hAnsi="Times New Roman"/>
                <w:sz w:val="24"/>
              </w:rPr>
              <w:t>resie funduszy własnych przedstawiony</w:t>
            </w:r>
            <w:r w:rsidR="00E26EF6" w:rsidRPr="00E26EF6">
              <w:rPr>
                <w:rFonts w:ascii="Times New Roman" w:hAnsi="Times New Roman"/>
                <w:sz w:val="24"/>
              </w:rPr>
              <w:t xml:space="preserve"> w kol</w:t>
            </w:r>
            <w:r w:rsidRPr="00E26EF6">
              <w:rPr>
                <w:rFonts w:ascii="Times New Roman" w:hAnsi="Times New Roman"/>
                <w:sz w:val="24"/>
              </w:rPr>
              <w:t>umnie 090 jest wymogiem zgłoszonym</w:t>
            </w:r>
            <w:r w:rsidR="00E26EF6" w:rsidRPr="00E26EF6">
              <w:rPr>
                <w:rFonts w:ascii="Times New Roman" w:hAnsi="Times New Roman"/>
                <w:sz w:val="24"/>
              </w:rPr>
              <w:t xml:space="preserve"> w kol</w:t>
            </w:r>
            <w:r w:rsidRPr="00E26EF6">
              <w:rPr>
                <w:rFonts w:ascii="Times New Roman" w:hAnsi="Times New Roman"/>
                <w:sz w:val="24"/>
              </w:rPr>
              <w:t>umnie 070, ale obliczonym przed uwzględnieniem złagodzenia</w:t>
            </w:r>
            <w:r w:rsidR="00E26EF6" w:rsidRPr="00E26EF6">
              <w:rPr>
                <w:rFonts w:ascii="Times New Roman" w:hAnsi="Times New Roman"/>
                <w:sz w:val="24"/>
              </w:rPr>
              <w:t xml:space="preserve"> w wyn</w:t>
            </w:r>
            <w:r w:rsidRPr="00E26EF6">
              <w:rPr>
                <w:rFonts w:ascii="Times New Roman" w:hAnsi="Times New Roman"/>
                <w:sz w:val="24"/>
              </w:rPr>
              <w:t>iku oczekiwanej straty, dywersyfikacji oraz technik ograniczania ryzyka (zob. poniżej).</w:t>
            </w:r>
          </w:p>
          <w:p w14:paraId="31521B51"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62BCB1ED" w14:textId="77777777" w:rsidTr="00672D2A">
        <w:tc>
          <w:tcPr>
            <w:tcW w:w="985" w:type="dxa"/>
          </w:tcPr>
          <w:p w14:paraId="247865E1"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100</w:t>
            </w:r>
          </w:p>
        </w:tc>
        <w:tc>
          <w:tcPr>
            <w:tcW w:w="7877" w:type="dxa"/>
          </w:tcPr>
          <w:p w14:paraId="39E9249B" w14:textId="77777777" w:rsidR="00915077" w:rsidRPr="00E26EF6" w:rsidRDefault="00AC6255">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 ZŁAGODZENIE WYMOGU W ZAKRESIE FUNDUSZY WŁASNYCH WYNIKAJĄCE Z UJĘCIA WSPÓŁCZYNNIKA OCZEKIWANEJ STRATY W NORMACH PROWADZENIA DZIAŁALNOŚCI</w:t>
            </w:r>
          </w:p>
          <w:p w14:paraId="402E2D2B" w14:textId="77777777" w:rsidR="00915077" w:rsidRPr="00E26EF6" w:rsidRDefault="00915077">
            <w:pPr>
              <w:autoSpaceDE w:val="0"/>
              <w:autoSpaceDN w:val="0"/>
              <w:adjustRightInd w:val="0"/>
              <w:spacing w:before="0" w:after="0"/>
              <w:jc w:val="left"/>
              <w:rPr>
                <w:rFonts w:ascii="Times New Roman" w:hAnsi="Times New Roman"/>
                <w:bCs/>
                <w:sz w:val="24"/>
              </w:rPr>
            </w:pPr>
          </w:p>
          <w:p w14:paraId="4687A2D0" w14:textId="2FD1BF7D" w:rsidR="00915077" w:rsidRPr="00E26EF6" w:rsidRDefault="00AC6255">
            <w:pPr>
              <w:autoSpaceDE w:val="0"/>
              <w:autoSpaceDN w:val="0"/>
              <w:adjustRightInd w:val="0"/>
              <w:spacing w:before="0" w:after="0"/>
              <w:rPr>
                <w:rFonts w:ascii="Times New Roman" w:hAnsi="Times New Roman"/>
                <w:sz w:val="24"/>
              </w:rPr>
            </w:pPr>
            <w:r w:rsidRPr="00E26EF6">
              <w:rPr>
                <w:rFonts w:ascii="Times New Roman" w:hAnsi="Times New Roman"/>
                <w:sz w:val="24"/>
              </w:rPr>
              <w:t>W kolumnie 100 zgłasza się złagodzenie wymogów</w:t>
            </w:r>
            <w:r w:rsidR="00E26EF6" w:rsidRPr="00E26EF6">
              <w:rPr>
                <w:rFonts w:ascii="Times New Roman" w:hAnsi="Times New Roman"/>
                <w:sz w:val="24"/>
              </w:rPr>
              <w:t xml:space="preserve"> w zak</w:t>
            </w:r>
            <w:r w:rsidRPr="00E26EF6">
              <w:rPr>
                <w:rFonts w:ascii="Times New Roman" w:hAnsi="Times New Roman"/>
                <w:sz w:val="24"/>
              </w:rPr>
              <w:t>resie funduszy własnych wynikające</w:t>
            </w:r>
            <w:r w:rsidR="00E26EF6" w:rsidRPr="00E26EF6">
              <w:rPr>
                <w:rFonts w:ascii="Times New Roman" w:hAnsi="Times New Roman"/>
                <w:sz w:val="24"/>
              </w:rPr>
              <w:t xml:space="preserve"> z uję</w:t>
            </w:r>
            <w:r w:rsidRPr="00E26EF6">
              <w:rPr>
                <w:rFonts w:ascii="Times New Roman" w:hAnsi="Times New Roman"/>
                <w:sz w:val="24"/>
              </w:rPr>
              <w:t>cia oczekiwanej straty</w:t>
            </w:r>
            <w:r w:rsidR="00E26EF6" w:rsidRPr="00E26EF6">
              <w:rPr>
                <w:rFonts w:ascii="Times New Roman" w:hAnsi="Times New Roman"/>
                <w:sz w:val="24"/>
              </w:rPr>
              <w:t xml:space="preserve"> w wew</w:t>
            </w:r>
            <w:r w:rsidRPr="00E26EF6">
              <w:rPr>
                <w:rFonts w:ascii="Times New Roman" w:hAnsi="Times New Roman"/>
                <w:sz w:val="24"/>
              </w:rPr>
              <w:t>nętrznych normach prowadzenia działalności (o których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CRR).</w:t>
            </w:r>
          </w:p>
          <w:p w14:paraId="5C7DD762"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1ABEA2AC" w14:textId="77777777" w:rsidTr="00672D2A">
        <w:tc>
          <w:tcPr>
            <w:tcW w:w="985" w:type="dxa"/>
          </w:tcPr>
          <w:p w14:paraId="7C02BD71"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110</w:t>
            </w:r>
          </w:p>
        </w:tc>
        <w:tc>
          <w:tcPr>
            <w:tcW w:w="7877" w:type="dxa"/>
          </w:tcPr>
          <w:p w14:paraId="102A8AEB" w14:textId="77777777" w:rsidR="00915077" w:rsidRPr="00E26EF6" w:rsidRDefault="00AC6255">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 ZŁAGODZENIE WYMOGU W ZAKRESIE FUNDUSZY WŁASNYCH W WYNIKU DYWERSYFIKACJI</w:t>
            </w:r>
          </w:p>
          <w:p w14:paraId="4B201E61" w14:textId="645EE38C" w:rsidR="00915077" w:rsidRPr="00E26EF6" w:rsidRDefault="00AC6255">
            <w:pPr>
              <w:rPr>
                <w:rFonts w:ascii="Times New Roman" w:hAnsi="Times New Roman"/>
                <w:sz w:val="24"/>
              </w:rPr>
            </w:pPr>
            <w:r w:rsidRPr="00E26EF6">
              <w:rPr>
                <w:rFonts w:ascii="Times New Roman" w:hAnsi="Times New Roman"/>
                <w:sz w:val="24"/>
              </w:rPr>
              <w:t>Efekt dywersyfikacji</w:t>
            </w:r>
            <w:r w:rsidR="00E26EF6" w:rsidRPr="00E26EF6">
              <w:rPr>
                <w:rFonts w:ascii="Times New Roman" w:hAnsi="Times New Roman"/>
                <w:sz w:val="24"/>
              </w:rPr>
              <w:t xml:space="preserve"> w kol</w:t>
            </w:r>
            <w:r w:rsidRPr="00E26EF6">
              <w:rPr>
                <w:rFonts w:ascii="Times New Roman" w:hAnsi="Times New Roman"/>
                <w:sz w:val="24"/>
              </w:rPr>
              <w:t>umnie 110 jest różnicą pomiędzy sumą wymogów</w:t>
            </w:r>
            <w:r w:rsidR="00E26EF6" w:rsidRPr="00E26EF6">
              <w:rPr>
                <w:rFonts w:ascii="Times New Roman" w:hAnsi="Times New Roman"/>
                <w:sz w:val="24"/>
              </w:rPr>
              <w:t xml:space="preserve"> w zak</w:t>
            </w:r>
            <w:r w:rsidRPr="00E26EF6">
              <w:rPr>
                <w:rFonts w:ascii="Times New Roman" w:hAnsi="Times New Roman"/>
                <w:sz w:val="24"/>
              </w:rPr>
              <w:t>resie funduszy własnych obliczaną oddzielnie dla każdej klasy ryzyka operacyjnego (tj.</w:t>
            </w:r>
            <w:r w:rsidR="00E26EF6" w:rsidRPr="00E26EF6">
              <w:rPr>
                <w:rFonts w:ascii="Times New Roman" w:hAnsi="Times New Roman"/>
                <w:sz w:val="24"/>
              </w:rPr>
              <w:t xml:space="preserve"> w syt</w:t>
            </w:r>
            <w:r w:rsidRPr="00E26EF6">
              <w:rPr>
                <w:rFonts w:ascii="Times New Roman" w:hAnsi="Times New Roman"/>
                <w:sz w:val="24"/>
              </w:rPr>
              <w:t>uacji „doskonałej zależności”) oraz zdywersyfikowanego wymogu</w:t>
            </w:r>
            <w:r w:rsidR="00E26EF6" w:rsidRPr="00E26EF6">
              <w:rPr>
                <w:rFonts w:ascii="Times New Roman" w:hAnsi="Times New Roman"/>
                <w:sz w:val="24"/>
              </w:rPr>
              <w:t xml:space="preserve"> w zak</w:t>
            </w:r>
            <w:r w:rsidRPr="00E26EF6">
              <w:rPr>
                <w:rFonts w:ascii="Times New Roman" w:hAnsi="Times New Roman"/>
                <w:sz w:val="24"/>
              </w:rPr>
              <w:t>resie funduszy własnych obliczonego</w:t>
            </w:r>
            <w:r w:rsidR="00E26EF6" w:rsidRPr="00E26EF6">
              <w:rPr>
                <w:rFonts w:ascii="Times New Roman" w:hAnsi="Times New Roman"/>
                <w:sz w:val="24"/>
              </w:rPr>
              <w:t xml:space="preserve"> z uwz</w:t>
            </w:r>
            <w:r w:rsidRPr="00E26EF6">
              <w:rPr>
                <w:rFonts w:ascii="Times New Roman" w:hAnsi="Times New Roman"/>
                <w:sz w:val="24"/>
              </w:rPr>
              <w:t>ględnieniem korelacji</w:t>
            </w:r>
            <w:r w:rsidR="00E26EF6" w:rsidRPr="00E26EF6">
              <w:rPr>
                <w:rFonts w:ascii="Times New Roman" w:hAnsi="Times New Roman"/>
                <w:sz w:val="24"/>
              </w:rPr>
              <w:t xml:space="preserve"> i zal</w:t>
            </w:r>
            <w:r w:rsidRPr="00E26EF6">
              <w:rPr>
                <w:rFonts w:ascii="Times New Roman" w:hAnsi="Times New Roman"/>
                <w:sz w:val="24"/>
              </w:rPr>
              <w:t>eżności (tj. przy założeniu niedoskonałej zależności między klasami ryzyka). Sytuacja „doskonałej zależności” występuje w „przypadku standardowym”, to jest gdy instytucja nie wykorzystuje wyraźnej struktury zależności pomiędzy klasami ryzyka,</w:t>
            </w:r>
            <w:r w:rsidR="00E26EF6" w:rsidRPr="00E26EF6">
              <w:rPr>
                <w:rFonts w:ascii="Times New Roman" w:hAnsi="Times New Roman"/>
                <w:sz w:val="24"/>
              </w:rPr>
              <w:t xml:space="preserve"> a tym</w:t>
            </w:r>
            <w:r w:rsidRPr="00E26EF6">
              <w:rPr>
                <w:rFonts w:ascii="Times New Roman" w:hAnsi="Times New Roman"/>
                <w:sz w:val="24"/>
              </w:rPr>
              <w:t xml:space="preserve"> samym kapitał według metod zaawansowanego pomiaru oblicza się jako sumę poszczególnych wartości ryzyka operacyjnego wybranej klasy ryzyka</w:t>
            </w:r>
            <w:r w:rsidR="00E26EF6" w:rsidRPr="00E26EF6">
              <w:rPr>
                <w:rFonts w:ascii="Times New Roman" w:hAnsi="Times New Roman"/>
                <w:sz w:val="24"/>
              </w:rPr>
              <w:t>. W tym</w:t>
            </w:r>
            <w:r w:rsidRPr="00E26EF6">
              <w:rPr>
                <w:rFonts w:ascii="Times New Roman" w:hAnsi="Times New Roman"/>
                <w:sz w:val="24"/>
              </w:rPr>
              <w:t xml:space="preserve"> przypadku przyjmuje się, że korelacja między klasami ryzyka wynosi 100</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a w kol</w:t>
            </w:r>
            <w:r w:rsidRPr="00E26EF6">
              <w:rPr>
                <w:rFonts w:ascii="Times New Roman" w:hAnsi="Times New Roman"/>
                <w:sz w:val="24"/>
              </w:rPr>
              <w:t>umnie należy wstawić wartość zerową. Kiedy natomiast instytucja oblicza wyraźną strukturę korelacji pomiędzy klasami ryzyka, musi zgłosić</w:t>
            </w:r>
            <w:r w:rsidR="00E26EF6" w:rsidRPr="00E26EF6">
              <w:rPr>
                <w:rFonts w:ascii="Times New Roman" w:hAnsi="Times New Roman"/>
                <w:sz w:val="24"/>
              </w:rPr>
              <w:t xml:space="preserve"> w tej</w:t>
            </w:r>
            <w:r w:rsidRPr="00E26EF6">
              <w:rPr>
                <w:rFonts w:ascii="Times New Roman" w:hAnsi="Times New Roman"/>
                <w:sz w:val="24"/>
              </w:rPr>
              <w:t xml:space="preserve"> kolumnie różnicę między kapitałem według metod zaawansowanego pomiaru wynikającym z „przypadku standardowego”</w:t>
            </w:r>
            <w:r w:rsidR="00E26EF6" w:rsidRPr="00E26EF6">
              <w:rPr>
                <w:rFonts w:ascii="Times New Roman" w:hAnsi="Times New Roman"/>
                <w:sz w:val="24"/>
              </w:rPr>
              <w:t xml:space="preserve"> a kap</w:t>
            </w:r>
            <w:r w:rsidRPr="00E26EF6">
              <w:rPr>
                <w:rFonts w:ascii="Times New Roman" w:hAnsi="Times New Roman"/>
                <w:sz w:val="24"/>
              </w:rPr>
              <w:t>itałem według metod zaawansowanego pomiaru uzyskanym po zastosowaniu struktury korelacji pomiędzy klasami ryzyka. Wartość ta odzwierciedla „zdolność dywersyfikacji” modelu według metod zaawansowanego pomiaru, tj. zdolność modelu do uchwycenia niejednoczesnego występowania poważnych przypadków strat wynikłych</w:t>
            </w:r>
            <w:r w:rsidR="00E26EF6" w:rsidRPr="00E26EF6">
              <w:rPr>
                <w:rFonts w:ascii="Times New Roman" w:hAnsi="Times New Roman"/>
                <w:sz w:val="24"/>
              </w:rPr>
              <w:t xml:space="preserve"> z ryz</w:t>
            </w:r>
            <w:r w:rsidRPr="00E26EF6">
              <w:rPr>
                <w:rFonts w:ascii="Times New Roman" w:hAnsi="Times New Roman"/>
                <w:sz w:val="24"/>
              </w:rPr>
              <w:t>yka operacyjnego</w:t>
            </w:r>
            <w:r w:rsidR="00E26EF6" w:rsidRPr="00E26EF6">
              <w:rPr>
                <w:rFonts w:ascii="Times New Roman" w:hAnsi="Times New Roman"/>
                <w:sz w:val="24"/>
              </w:rPr>
              <w:t>. W kol</w:t>
            </w:r>
            <w:r w:rsidRPr="00E26EF6">
              <w:rPr>
                <w:rFonts w:ascii="Times New Roman" w:hAnsi="Times New Roman"/>
                <w:sz w:val="24"/>
              </w:rPr>
              <w:t>umnie 110 należy zgłosić kwotę,</w:t>
            </w:r>
            <w:r w:rsidR="00E26EF6" w:rsidRPr="00E26EF6">
              <w:rPr>
                <w:rFonts w:ascii="Times New Roman" w:hAnsi="Times New Roman"/>
                <w:sz w:val="24"/>
              </w:rPr>
              <w:t xml:space="preserve"> o jak</w:t>
            </w:r>
            <w:r w:rsidRPr="00E26EF6">
              <w:rPr>
                <w:rFonts w:ascii="Times New Roman" w:hAnsi="Times New Roman"/>
                <w:sz w:val="24"/>
              </w:rPr>
              <w:t xml:space="preserve">ą </w:t>
            </w:r>
            <w:r w:rsidRPr="00E26EF6">
              <w:rPr>
                <w:rFonts w:ascii="Times New Roman" w:hAnsi="Times New Roman"/>
                <w:sz w:val="24"/>
              </w:rPr>
              <w:lastRenderedPageBreak/>
              <w:t>przyjęta struktura korelacji zmniejsza kapitał według metod zaawansowanego pomiaru</w:t>
            </w:r>
            <w:r w:rsidR="00E26EF6" w:rsidRPr="00E26EF6">
              <w:rPr>
                <w:rFonts w:ascii="Times New Roman" w:hAnsi="Times New Roman"/>
                <w:sz w:val="24"/>
              </w:rPr>
              <w:t xml:space="preserve"> w sto</w:t>
            </w:r>
            <w:r w:rsidRPr="00E26EF6">
              <w:rPr>
                <w:rFonts w:ascii="Times New Roman" w:hAnsi="Times New Roman"/>
                <w:sz w:val="24"/>
              </w:rPr>
              <w:t>sunku do założenia korelacji na poziomie 100</w:t>
            </w:r>
            <w:r w:rsidR="00023409" w:rsidRPr="00E26EF6">
              <w:rPr>
                <w:rFonts w:ascii="Times New Roman" w:hAnsi="Times New Roman"/>
                <w:sz w:val="24"/>
              </w:rPr>
              <w:t> </w:t>
            </w:r>
            <w:r w:rsidRPr="00E26EF6">
              <w:rPr>
                <w:rFonts w:ascii="Times New Roman" w:hAnsi="Times New Roman"/>
                <w:sz w:val="24"/>
              </w:rPr>
              <w:t>%.</w:t>
            </w:r>
          </w:p>
          <w:p w14:paraId="2A3A543E" w14:textId="77777777" w:rsidR="00915077" w:rsidRPr="00E26EF6" w:rsidRDefault="00915077">
            <w:pPr>
              <w:autoSpaceDE w:val="0"/>
              <w:autoSpaceDN w:val="0"/>
              <w:adjustRightInd w:val="0"/>
              <w:spacing w:before="0" w:after="0"/>
              <w:jc w:val="left"/>
              <w:rPr>
                <w:rFonts w:ascii="Times New Roman" w:hAnsi="Times New Roman"/>
                <w:bCs/>
                <w:sz w:val="24"/>
                <w:highlight w:val="lightGray"/>
              </w:rPr>
            </w:pPr>
          </w:p>
        </w:tc>
      </w:tr>
      <w:tr w:rsidR="00915077" w:rsidRPr="00E26EF6" w14:paraId="3B67DD76" w14:textId="77777777" w:rsidTr="00672D2A">
        <w:tc>
          <w:tcPr>
            <w:tcW w:w="985" w:type="dxa"/>
          </w:tcPr>
          <w:p w14:paraId="1E73534A"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lastRenderedPageBreak/>
              <w:t>120</w:t>
            </w:r>
          </w:p>
        </w:tc>
        <w:tc>
          <w:tcPr>
            <w:tcW w:w="7877" w:type="dxa"/>
          </w:tcPr>
          <w:p w14:paraId="494EF734" w14:textId="77777777" w:rsidR="00915077" w:rsidRPr="00E26EF6" w:rsidRDefault="00AC6255">
            <w:pPr>
              <w:autoSpaceDE w:val="0"/>
              <w:autoSpaceDN w:val="0"/>
              <w:adjustRightInd w:val="0"/>
              <w:spacing w:before="0" w:after="0"/>
              <w:jc w:val="left"/>
              <w:rPr>
                <w:rFonts w:ascii="Times New Roman" w:hAnsi="Times New Roman"/>
                <w:sz w:val="24"/>
              </w:rPr>
            </w:pPr>
            <w:r w:rsidRPr="00E26EF6">
              <w:rPr>
                <w:rStyle w:val="InstructionsTabelleberschrift"/>
                <w:rFonts w:ascii="Times New Roman" w:hAnsi="Times New Roman"/>
                <w:sz w:val="24"/>
              </w:rPr>
              <w:t>(-) ZŁAGODZENIE WYMOGU W ZAKRESIE FUNDUSZY WŁASNYCH W WYNIKU STOSOWANIA TECHNIK OGRANICZANIA RYZYKA (UBEZPIECZENIE I INNE MECHANIZMY TRANSFERU RYZYKA)</w:t>
            </w:r>
          </w:p>
          <w:p w14:paraId="756E5E01" w14:textId="77777777" w:rsidR="00915077" w:rsidRPr="00E26EF6" w:rsidRDefault="00915077">
            <w:pPr>
              <w:autoSpaceDE w:val="0"/>
              <w:autoSpaceDN w:val="0"/>
              <w:adjustRightInd w:val="0"/>
              <w:spacing w:before="0" w:after="0"/>
              <w:jc w:val="left"/>
              <w:rPr>
                <w:rFonts w:ascii="Times New Roman" w:hAnsi="Times New Roman"/>
                <w:sz w:val="24"/>
              </w:rPr>
            </w:pPr>
          </w:p>
          <w:p w14:paraId="26193D95" w14:textId="4D9DA1CD" w:rsidR="00915077" w:rsidRPr="00E26EF6" w:rsidRDefault="00AC6255">
            <w:pPr>
              <w:autoSpaceDE w:val="0"/>
              <w:autoSpaceDN w:val="0"/>
              <w:adjustRightInd w:val="0"/>
              <w:spacing w:before="0" w:after="0"/>
              <w:jc w:val="left"/>
              <w:rPr>
                <w:rFonts w:ascii="Times New Roman" w:hAnsi="Times New Roman"/>
                <w:sz w:val="24"/>
              </w:rPr>
            </w:pPr>
            <w:r w:rsidRPr="00E26EF6">
              <w:rPr>
                <w:rFonts w:ascii="Times New Roman" w:hAnsi="Times New Roman"/>
                <w:sz w:val="24"/>
              </w:rPr>
              <w:t>W kolumnie 120 zgłasza się wpływ ubezpieczenia</w:t>
            </w:r>
            <w:r w:rsidR="00E26EF6" w:rsidRPr="00E26EF6">
              <w:rPr>
                <w:rFonts w:ascii="Times New Roman" w:hAnsi="Times New Roman"/>
                <w:sz w:val="24"/>
              </w:rPr>
              <w:t xml:space="preserve"> i inn</w:t>
            </w:r>
            <w:r w:rsidRPr="00E26EF6">
              <w:rPr>
                <w:rFonts w:ascii="Times New Roman" w:hAnsi="Times New Roman"/>
                <w:sz w:val="24"/>
              </w:rPr>
              <w:t>ych mechanizmów transferu ryzyka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323 CRR.</w:t>
            </w:r>
          </w:p>
          <w:p w14:paraId="315C424A" w14:textId="77777777" w:rsidR="00915077" w:rsidRPr="00E26EF6" w:rsidRDefault="00915077">
            <w:pPr>
              <w:autoSpaceDE w:val="0"/>
              <w:autoSpaceDN w:val="0"/>
              <w:adjustRightInd w:val="0"/>
              <w:spacing w:before="0" w:after="0"/>
              <w:jc w:val="left"/>
              <w:rPr>
                <w:rFonts w:ascii="Times New Roman" w:hAnsi="Times New Roman"/>
                <w:bCs/>
                <w:sz w:val="24"/>
              </w:rPr>
            </w:pPr>
          </w:p>
        </w:tc>
      </w:tr>
    </w:tbl>
    <w:p w14:paraId="1AA7C3C6" w14:textId="77777777" w:rsidR="00915077" w:rsidRPr="00E26EF6" w:rsidRDefault="00915077">
      <w:pPr>
        <w:autoSpaceDE w:val="0"/>
        <w:autoSpaceDN w:val="0"/>
        <w:adjustRightInd w:val="0"/>
        <w:spacing w:before="0" w:after="0"/>
        <w:rPr>
          <w:rFonts w:ascii="Times New Roman" w:hAnsi="Times New Roman"/>
          <w:sz w:val="24"/>
        </w:rPr>
      </w:pPr>
    </w:p>
    <w:p w14:paraId="310E367B" w14:textId="77777777" w:rsidR="00915077" w:rsidRPr="00E26EF6" w:rsidRDefault="00915077">
      <w:pPr>
        <w:autoSpaceDE w:val="0"/>
        <w:autoSpaceDN w:val="0"/>
        <w:adjustRightInd w:val="0"/>
        <w:spacing w:before="0" w:after="0"/>
        <w:rPr>
          <w:rFonts w:ascii="Times New Roman" w:hAnsi="Times New Roman"/>
          <w:sz w:val="24"/>
        </w:rPr>
      </w:pPr>
    </w:p>
    <w:p w14:paraId="094CE554" w14:textId="77777777" w:rsidR="00915077" w:rsidRPr="00E26EF6" w:rsidRDefault="00915077">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915077" w:rsidRPr="00E26EF6" w14:paraId="20F9DBD6" w14:textId="77777777" w:rsidTr="00672D2A">
        <w:trPr>
          <w:trHeight w:val="518"/>
        </w:trPr>
        <w:tc>
          <w:tcPr>
            <w:tcW w:w="8862" w:type="dxa"/>
            <w:gridSpan w:val="2"/>
            <w:shd w:val="clear" w:color="auto" w:fill="CCCCCC"/>
          </w:tcPr>
          <w:p w14:paraId="6606766B" w14:textId="77777777" w:rsidR="00915077" w:rsidRPr="00E26EF6" w:rsidRDefault="00AC6255">
            <w:pPr>
              <w:autoSpaceDE w:val="0"/>
              <w:autoSpaceDN w:val="0"/>
              <w:adjustRightInd w:val="0"/>
              <w:spacing w:after="0"/>
              <w:rPr>
                <w:rFonts w:ascii="Times New Roman" w:hAnsi="Times New Roman"/>
                <w:b/>
                <w:bCs/>
                <w:sz w:val="24"/>
                <w:highlight w:val="lightGray"/>
              </w:rPr>
            </w:pPr>
            <w:r w:rsidRPr="00E26EF6">
              <w:rPr>
                <w:rFonts w:ascii="Times New Roman" w:hAnsi="Times New Roman"/>
                <w:b/>
                <w:bCs/>
                <w:sz w:val="24"/>
              </w:rPr>
              <w:t>Wiersze</w:t>
            </w:r>
          </w:p>
        </w:tc>
      </w:tr>
      <w:tr w:rsidR="00915077" w:rsidRPr="00E26EF6" w14:paraId="02B071F0" w14:textId="77777777" w:rsidTr="00672D2A">
        <w:tc>
          <w:tcPr>
            <w:tcW w:w="985" w:type="dxa"/>
          </w:tcPr>
          <w:p w14:paraId="2C7368F9"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 xml:space="preserve">010 </w:t>
            </w:r>
          </w:p>
        </w:tc>
        <w:tc>
          <w:tcPr>
            <w:tcW w:w="7877" w:type="dxa"/>
          </w:tcPr>
          <w:p w14:paraId="628EF631" w14:textId="77777777" w:rsidR="00915077" w:rsidRPr="00E26EF6" w:rsidRDefault="00AC6255">
            <w:pPr>
              <w:autoSpaceDE w:val="0"/>
              <w:autoSpaceDN w:val="0"/>
              <w:adjustRightInd w:val="0"/>
              <w:spacing w:before="0" w:after="0"/>
              <w:rPr>
                <w:rStyle w:val="InstructionsTabelleberschrift"/>
                <w:rFonts w:ascii="Times New Roman" w:hAnsi="Times New Roman"/>
                <w:sz w:val="24"/>
              </w:rPr>
            </w:pPr>
            <w:r w:rsidRPr="00E26EF6">
              <w:rPr>
                <w:rStyle w:val="InstructionsTabelleberschrift"/>
                <w:rFonts w:ascii="Times New Roman" w:hAnsi="Times New Roman"/>
                <w:sz w:val="24"/>
              </w:rPr>
              <w:t>DZIAŁALNOŚĆ BANKOWA OBJĘTA METODĄ WSKAŹNIKA BAZOWEGO</w:t>
            </w:r>
          </w:p>
          <w:p w14:paraId="2187988F" w14:textId="77777777" w:rsidR="00915077" w:rsidRPr="00E26EF6" w:rsidRDefault="00915077">
            <w:pPr>
              <w:pStyle w:val="PlainText"/>
              <w:jc w:val="both"/>
              <w:rPr>
                <w:rFonts w:ascii="Times New Roman" w:eastAsia="Times New Roman" w:hAnsi="Times New Roman"/>
                <w:sz w:val="24"/>
                <w:szCs w:val="24"/>
              </w:rPr>
            </w:pPr>
          </w:p>
          <w:p w14:paraId="69F468DC" w14:textId="4A597753" w:rsidR="00915077" w:rsidRPr="00E26EF6" w:rsidRDefault="00AC6255">
            <w:pPr>
              <w:pStyle w:val="PlainText"/>
              <w:jc w:val="both"/>
              <w:rPr>
                <w:rFonts w:ascii="Times New Roman" w:eastAsia="Times New Roman" w:hAnsi="Times New Roman"/>
                <w:sz w:val="24"/>
                <w:szCs w:val="24"/>
              </w:rPr>
            </w:pPr>
            <w:r w:rsidRPr="00E26EF6">
              <w:rPr>
                <w:rFonts w:ascii="Times New Roman" w:hAnsi="Times New Roman"/>
                <w:sz w:val="24"/>
                <w:szCs w:val="24"/>
              </w:rPr>
              <w:t>W wierszu tym przedstawia się kwoty odpowiadające działalności objętej metodą wskaźnika bazowego</w:t>
            </w:r>
            <w:r w:rsidR="00E26EF6" w:rsidRPr="00E26EF6">
              <w:rPr>
                <w:rFonts w:ascii="Times New Roman" w:hAnsi="Times New Roman"/>
                <w:sz w:val="24"/>
                <w:szCs w:val="24"/>
              </w:rPr>
              <w:t xml:space="preserve"> w cel</w:t>
            </w:r>
            <w:r w:rsidRPr="00E26EF6">
              <w:rPr>
                <w:rFonts w:ascii="Times New Roman" w:hAnsi="Times New Roman"/>
                <w:sz w:val="24"/>
                <w:szCs w:val="24"/>
              </w:rPr>
              <w:t>u obliczenia wymogu</w:t>
            </w:r>
            <w:r w:rsidR="00E26EF6" w:rsidRPr="00E26EF6">
              <w:rPr>
                <w:rFonts w:ascii="Times New Roman" w:hAnsi="Times New Roman"/>
                <w:sz w:val="24"/>
                <w:szCs w:val="24"/>
              </w:rPr>
              <w:t xml:space="preserve"> w zak</w:t>
            </w:r>
            <w:r w:rsidRPr="00E26EF6">
              <w:rPr>
                <w:rFonts w:ascii="Times New Roman" w:hAnsi="Times New Roman"/>
                <w:sz w:val="24"/>
                <w:szCs w:val="24"/>
              </w:rPr>
              <w:t>resie funduszy własnych</w:t>
            </w:r>
            <w:r w:rsidR="00E26EF6" w:rsidRPr="00E26EF6">
              <w:rPr>
                <w:rFonts w:ascii="Times New Roman" w:hAnsi="Times New Roman"/>
                <w:sz w:val="24"/>
                <w:szCs w:val="24"/>
              </w:rPr>
              <w:t xml:space="preserve"> z tyt</w:t>
            </w:r>
            <w:r w:rsidRPr="00E26EF6">
              <w:rPr>
                <w:rFonts w:ascii="Times New Roman" w:hAnsi="Times New Roman"/>
                <w:sz w:val="24"/>
                <w:szCs w:val="24"/>
              </w:rPr>
              <w:t>ułu ryzyka operacyjnego (art.</w:t>
            </w:r>
            <w:r w:rsidR="00023409" w:rsidRPr="00E26EF6">
              <w:rPr>
                <w:rFonts w:ascii="Times New Roman" w:hAnsi="Times New Roman"/>
                <w:sz w:val="24"/>
                <w:szCs w:val="24"/>
              </w:rPr>
              <w:t> </w:t>
            </w:r>
            <w:r w:rsidRPr="00E26EF6">
              <w:rPr>
                <w:rFonts w:ascii="Times New Roman" w:hAnsi="Times New Roman"/>
                <w:sz w:val="24"/>
                <w:szCs w:val="24"/>
              </w:rPr>
              <w:t>315</w:t>
            </w:r>
            <w:r w:rsidR="00E26EF6" w:rsidRPr="00E26EF6">
              <w:rPr>
                <w:rFonts w:ascii="Times New Roman" w:hAnsi="Times New Roman"/>
                <w:sz w:val="24"/>
                <w:szCs w:val="24"/>
              </w:rPr>
              <w:t xml:space="preserve"> i 3</w:t>
            </w:r>
            <w:r w:rsidRPr="00E26EF6">
              <w:rPr>
                <w:rFonts w:ascii="Times New Roman" w:hAnsi="Times New Roman"/>
                <w:sz w:val="24"/>
                <w:szCs w:val="24"/>
              </w:rPr>
              <w:t>16 CRR).</w:t>
            </w:r>
          </w:p>
          <w:p w14:paraId="6067A1A0" w14:textId="77777777" w:rsidR="00915077" w:rsidRPr="00E26EF6" w:rsidRDefault="00915077">
            <w:pPr>
              <w:pStyle w:val="PlainText"/>
              <w:jc w:val="both"/>
              <w:rPr>
                <w:rFonts w:ascii="Times New Roman" w:eastAsia="Times New Roman" w:hAnsi="Times New Roman"/>
                <w:bCs/>
                <w:sz w:val="24"/>
                <w:szCs w:val="24"/>
                <w:highlight w:val="lightGray"/>
              </w:rPr>
            </w:pPr>
          </w:p>
        </w:tc>
      </w:tr>
      <w:tr w:rsidR="00915077" w:rsidRPr="00E26EF6" w14:paraId="155512A8" w14:textId="77777777" w:rsidTr="00672D2A">
        <w:tc>
          <w:tcPr>
            <w:tcW w:w="985" w:type="dxa"/>
          </w:tcPr>
          <w:p w14:paraId="460FAC80"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020</w:t>
            </w:r>
          </w:p>
        </w:tc>
        <w:tc>
          <w:tcPr>
            <w:tcW w:w="7877" w:type="dxa"/>
          </w:tcPr>
          <w:p w14:paraId="625979B3" w14:textId="77777777" w:rsidR="00915077" w:rsidRPr="00E26EF6" w:rsidRDefault="00AC6255">
            <w:pPr>
              <w:autoSpaceDE w:val="0"/>
              <w:autoSpaceDN w:val="0"/>
              <w:adjustRightInd w:val="0"/>
              <w:spacing w:before="0" w:after="0"/>
              <w:rPr>
                <w:rStyle w:val="InstructionsTabelleberschrift"/>
                <w:rFonts w:ascii="Times New Roman" w:hAnsi="Times New Roman"/>
                <w:sz w:val="24"/>
              </w:rPr>
            </w:pPr>
            <w:r w:rsidRPr="00E26EF6">
              <w:rPr>
                <w:rStyle w:val="InstructionsTabelleberschrift"/>
                <w:rFonts w:ascii="Times New Roman" w:hAnsi="Times New Roman"/>
                <w:sz w:val="24"/>
              </w:rPr>
              <w:t>DZIAŁALNOŚĆ BANKOWA OBJĘTA METODĄ STANDARDOWĄ / ALTERNATYWNĄ METODĄ STANDARDOWĄ</w:t>
            </w:r>
          </w:p>
          <w:p w14:paraId="1D9EB8A6" w14:textId="77777777" w:rsidR="00915077" w:rsidRPr="00E26EF6" w:rsidRDefault="00915077">
            <w:pPr>
              <w:autoSpaceDE w:val="0"/>
              <w:autoSpaceDN w:val="0"/>
              <w:adjustRightInd w:val="0"/>
              <w:spacing w:before="0" w:after="0"/>
              <w:rPr>
                <w:rFonts w:ascii="Times New Roman" w:hAnsi="Times New Roman"/>
                <w:sz w:val="24"/>
              </w:rPr>
            </w:pPr>
          </w:p>
          <w:p w14:paraId="6D1E6C01" w14:textId="3869CAE4" w:rsidR="00915077" w:rsidRPr="00E26EF6" w:rsidRDefault="00AC6255">
            <w:pPr>
              <w:autoSpaceDE w:val="0"/>
              <w:autoSpaceDN w:val="0"/>
              <w:adjustRightInd w:val="0"/>
              <w:spacing w:before="0" w:after="0"/>
              <w:rPr>
                <w:rFonts w:ascii="Times New Roman" w:hAnsi="Times New Roman"/>
                <w:sz w:val="24"/>
              </w:rPr>
            </w:pPr>
            <w:r w:rsidRPr="00E26EF6">
              <w:rPr>
                <w:rFonts w:ascii="Times New Roman" w:hAnsi="Times New Roman"/>
                <w:sz w:val="24"/>
              </w:rPr>
              <w:t>Zgłasza się wymóg</w:t>
            </w:r>
            <w:r w:rsidR="00E26EF6" w:rsidRPr="00E26EF6">
              <w:rPr>
                <w:rFonts w:ascii="Times New Roman" w:hAnsi="Times New Roman"/>
                <w:sz w:val="24"/>
              </w:rPr>
              <w:t xml:space="preserve"> w zak</w:t>
            </w:r>
            <w:r w:rsidRPr="00E26EF6">
              <w:rPr>
                <w:rFonts w:ascii="Times New Roman" w:hAnsi="Times New Roman"/>
                <w:sz w:val="24"/>
              </w:rPr>
              <w:t>resie funduszy własnych obliczony według metody standardowej</w:t>
            </w:r>
            <w:r w:rsidR="00E26EF6" w:rsidRPr="00E26EF6">
              <w:rPr>
                <w:rFonts w:ascii="Times New Roman" w:hAnsi="Times New Roman"/>
                <w:sz w:val="24"/>
              </w:rPr>
              <w:t xml:space="preserve"> i alt</w:t>
            </w:r>
            <w:r w:rsidRPr="00E26EF6">
              <w:rPr>
                <w:rFonts w:ascii="Times New Roman" w:hAnsi="Times New Roman"/>
                <w:sz w:val="24"/>
              </w:rPr>
              <w:t>ernatywnej metody standardowej (art.</w:t>
            </w:r>
            <w:r w:rsidR="00023409" w:rsidRPr="00E26EF6">
              <w:rPr>
                <w:rFonts w:ascii="Times New Roman" w:hAnsi="Times New Roman"/>
                <w:sz w:val="24"/>
              </w:rPr>
              <w:t> </w:t>
            </w:r>
            <w:r w:rsidRPr="00E26EF6">
              <w:rPr>
                <w:rFonts w:ascii="Times New Roman" w:hAnsi="Times New Roman"/>
                <w:sz w:val="24"/>
              </w:rPr>
              <w:t>317, 318</w:t>
            </w:r>
            <w:r w:rsidR="00E26EF6" w:rsidRPr="00E26EF6">
              <w:rPr>
                <w:rFonts w:ascii="Times New Roman" w:hAnsi="Times New Roman"/>
                <w:sz w:val="24"/>
              </w:rPr>
              <w:t xml:space="preserve"> i 3</w:t>
            </w:r>
            <w:r w:rsidRPr="00E26EF6">
              <w:rPr>
                <w:rFonts w:ascii="Times New Roman" w:hAnsi="Times New Roman"/>
                <w:sz w:val="24"/>
              </w:rPr>
              <w:t>19 CRR).</w:t>
            </w:r>
          </w:p>
          <w:p w14:paraId="432248F1"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6228067A" w14:textId="77777777" w:rsidTr="00672D2A">
        <w:trPr>
          <w:trHeight w:val="1705"/>
        </w:trPr>
        <w:tc>
          <w:tcPr>
            <w:tcW w:w="985" w:type="dxa"/>
          </w:tcPr>
          <w:p w14:paraId="7BB966FB"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030–100</w:t>
            </w:r>
          </w:p>
        </w:tc>
        <w:tc>
          <w:tcPr>
            <w:tcW w:w="7877" w:type="dxa"/>
          </w:tcPr>
          <w:p w14:paraId="12B0B4FB" w14:textId="77777777" w:rsidR="00915077" w:rsidRPr="00E26EF6" w:rsidRDefault="00AC6255">
            <w:pPr>
              <w:rPr>
                <w:rStyle w:val="InstructionsTabelleberschrift"/>
                <w:rFonts w:ascii="Times New Roman" w:hAnsi="Times New Roman"/>
                <w:sz w:val="24"/>
              </w:rPr>
            </w:pPr>
            <w:r w:rsidRPr="00E26EF6">
              <w:rPr>
                <w:rStyle w:val="InstructionsTabelleberschrift"/>
                <w:rFonts w:ascii="Times New Roman" w:hAnsi="Times New Roman"/>
                <w:sz w:val="24"/>
              </w:rPr>
              <w:t>OBJĘTA METODĄ STANDARDOWA</w:t>
            </w:r>
          </w:p>
          <w:p w14:paraId="201BB629" w14:textId="0D796DE4" w:rsidR="00915077" w:rsidRPr="00E26EF6" w:rsidRDefault="001C3443">
            <w:pPr>
              <w:autoSpaceDE w:val="0"/>
              <w:autoSpaceDN w:val="0"/>
              <w:adjustRightInd w:val="0"/>
              <w:spacing w:before="0" w:after="0"/>
              <w:jc w:val="left"/>
              <w:rPr>
                <w:rFonts w:ascii="Times New Roman" w:hAnsi="Times New Roman"/>
                <w:bCs/>
                <w:sz w:val="24"/>
                <w:highlight w:val="lightGray"/>
              </w:rPr>
            </w:pPr>
            <w:r w:rsidRPr="00E26EF6">
              <w:rPr>
                <w:rFonts w:ascii="Times New Roman" w:hAnsi="Times New Roman"/>
                <w:sz w:val="24"/>
              </w:rPr>
              <w:t>W przypadku korzystania</w:t>
            </w:r>
            <w:r w:rsidR="00E26EF6" w:rsidRPr="00E26EF6">
              <w:rPr>
                <w:rFonts w:ascii="Times New Roman" w:hAnsi="Times New Roman"/>
                <w:sz w:val="24"/>
              </w:rPr>
              <w:t xml:space="preserve"> z met</w:t>
            </w:r>
            <w:r w:rsidRPr="00E26EF6">
              <w:rPr>
                <w:rFonts w:ascii="Times New Roman" w:hAnsi="Times New Roman"/>
                <w:sz w:val="24"/>
              </w:rPr>
              <w:t>ody standardowej</w:t>
            </w:r>
            <w:r w:rsidR="00E26EF6" w:rsidRPr="00E26EF6">
              <w:rPr>
                <w:rFonts w:ascii="Times New Roman" w:hAnsi="Times New Roman"/>
                <w:sz w:val="24"/>
              </w:rPr>
              <w:t xml:space="preserve"> w wie</w:t>
            </w:r>
            <w:r w:rsidRPr="00E26EF6">
              <w:rPr>
                <w:rFonts w:ascii="Times New Roman" w:hAnsi="Times New Roman"/>
                <w:sz w:val="24"/>
              </w:rPr>
              <w:t>rszach 030–100 wprowadza się odpowiedni wskaźnik dla każdego danego roku</w:t>
            </w:r>
            <w:r w:rsidR="00E26EF6" w:rsidRPr="00E26EF6">
              <w:rPr>
                <w:rFonts w:ascii="Times New Roman" w:hAnsi="Times New Roman"/>
                <w:sz w:val="24"/>
              </w:rPr>
              <w:t xml:space="preserve"> w odn</w:t>
            </w:r>
            <w:r w:rsidRPr="00E26EF6">
              <w:rPr>
                <w:rFonts w:ascii="Times New Roman" w:hAnsi="Times New Roman"/>
                <w:sz w:val="24"/>
              </w:rPr>
              <w:t>iesieniu do linii biznesowych,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CRR. Przyporządkowywanie działań do linii biznesowych jest zgodne</w:t>
            </w:r>
            <w:r w:rsidR="00E26EF6" w:rsidRPr="00E26EF6">
              <w:rPr>
                <w:rFonts w:ascii="Times New Roman" w:hAnsi="Times New Roman"/>
                <w:sz w:val="24"/>
              </w:rPr>
              <w:t xml:space="preserve"> z zas</w:t>
            </w:r>
            <w:r w:rsidRPr="00E26EF6">
              <w:rPr>
                <w:rFonts w:ascii="Times New Roman" w:hAnsi="Times New Roman"/>
                <w:sz w:val="24"/>
              </w:rPr>
              <w:t>adami określonymi</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318 CRR.</w:t>
            </w:r>
          </w:p>
        </w:tc>
      </w:tr>
      <w:tr w:rsidR="00915077" w:rsidRPr="00E26EF6" w14:paraId="76BCFFD6" w14:textId="77777777" w:rsidTr="00672D2A">
        <w:tc>
          <w:tcPr>
            <w:tcW w:w="985" w:type="dxa"/>
          </w:tcPr>
          <w:p w14:paraId="348D7061"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110–120</w:t>
            </w:r>
          </w:p>
        </w:tc>
        <w:tc>
          <w:tcPr>
            <w:tcW w:w="7877" w:type="dxa"/>
          </w:tcPr>
          <w:p w14:paraId="311D0EF5" w14:textId="77777777" w:rsidR="00915077" w:rsidRPr="00E26EF6" w:rsidRDefault="00AC6255">
            <w:pPr>
              <w:autoSpaceDE w:val="0"/>
              <w:autoSpaceDN w:val="0"/>
              <w:adjustRightInd w:val="0"/>
              <w:spacing w:before="0" w:after="0"/>
              <w:jc w:val="left"/>
              <w:rPr>
                <w:rStyle w:val="InstructionsTabelleberschrift"/>
                <w:rFonts w:ascii="Times New Roman" w:hAnsi="Times New Roman"/>
                <w:sz w:val="24"/>
              </w:rPr>
            </w:pPr>
            <w:r w:rsidRPr="00E26EF6">
              <w:rPr>
                <w:rStyle w:val="InstructionsTabelleberschrift"/>
                <w:rFonts w:ascii="Times New Roman" w:hAnsi="Times New Roman"/>
                <w:sz w:val="24"/>
              </w:rPr>
              <w:t>OBJĘTA ALTERNATYWNĄ METODĄ STANDARDOWĄ</w:t>
            </w:r>
          </w:p>
          <w:p w14:paraId="42D39F0D" w14:textId="3FCBD648" w:rsidR="00915077" w:rsidRPr="00E26EF6" w:rsidRDefault="00AC6255">
            <w:pPr>
              <w:rPr>
                <w:rFonts w:ascii="Times New Roman" w:hAnsi="Times New Roman"/>
                <w:sz w:val="24"/>
              </w:rPr>
            </w:pPr>
            <w:r w:rsidRPr="00E26EF6">
              <w:rPr>
                <w:rFonts w:ascii="Times New Roman" w:hAnsi="Times New Roman"/>
                <w:sz w:val="24"/>
              </w:rPr>
              <w:t>Instytucje stosujące alternatywną metodę standardową (art.</w:t>
            </w:r>
            <w:r w:rsidR="00023409" w:rsidRPr="00E26EF6">
              <w:rPr>
                <w:rFonts w:ascii="Times New Roman" w:hAnsi="Times New Roman"/>
                <w:sz w:val="24"/>
              </w:rPr>
              <w:t> </w:t>
            </w:r>
            <w:r w:rsidRPr="00E26EF6">
              <w:rPr>
                <w:rFonts w:ascii="Times New Roman" w:hAnsi="Times New Roman"/>
                <w:sz w:val="24"/>
              </w:rPr>
              <w:t>319 CRR) zgłaszają za odpowiednie lata odpowiedni wskaźnika osobno dla każdej linii biznesowej</w:t>
            </w:r>
            <w:r w:rsidR="00E26EF6" w:rsidRPr="00E26EF6">
              <w:rPr>
                <w:rFonts w:ascii="Times New Roman" w:hAnsi="Times New Roman"/>
                <w:sz w:val="24"/>
              </w:rPr>
              <w:t xml:space="preserve"> w wie</w:t>
            </w:r>
            <w:r w:rsidRPr="00E26EF6">
              <w:rPr>
                <w:rFonts w:ascii="Times New Roman" w:hAnsi="Times New Roman"/>
                <w:sz w:val="24"/>
              </w:rPr>
              <w:t>rszach 030–050</w:t>
            </w:r>
            <w:r w:rsidR="00E26EF6" w:rsidRPr="00E26EF6">
              <w:rPr>
                <w:rFonts w:ascii="Times New Roman" w:hAnsi="Times New Roman"/>
                <w:sz w:val="24"/>
              </w:rPr>
              <w:t xml:space="preserve"> i 0</w:t>
            </w:r>
            <w:r w:rsidRPr="00E26EF6">
              <w:rPr>
                <w:rFonts w:ascii="Times New Roman" w:hAnsi="Times New Roman"/>
                <w:sz w:val="24"/>
              </w:rPr>
              <w:t>80–100 oraz</w:t>
            </w:r>
            <w:r w:rsidR="00E26EF6" w:rsidRPr="00E26EF6">
              <w:rPr>
                <w:rFonts w:ascii="Times New Roman" w:hAnsi="Times New Roman"/>
                <w:sz w:val="24"/>
              </w:rPr>
              <w:t xml:space="preserve"> w wie</w:t>
            </w:r>
            <w:r w:rsidRPr="00E26EF6">
              <w:rPr>
                <w:rFonts w:ascii="Times New Roman" w:hAnsi="Times New Roman"/>
                <w:sz w:val="24"/>
              </w:rPr>
              <w:t>rszach 110</w:t>
            </w:r>
            <w:r w:rsidR="00E26EF6" w:rsidRPr="00E26EF6">
              <w:rPr>
                <w:rFonts w:ascii="Times New Roman" w:hAnsi="Times New Roman"/>
                <w:sz w:val="24"/>
              </w:rPr>
              <w:t xml:space="preserve"> i 1</w:t>
            </w:r>
            <w:r w:rsidRPr="00E26EF6">
              <w:rPr>
                <w:rFonts w:ascii="Times New Roman" w:hAnsi="Times New Roman"/>
                <w:sz w:val="24"/>
              </w:rPr>
              <w:t xml:space="preserve">20 dla linii biznesowych „Bankowość komercyjna” i „Bankowość detaliczna”. </w:t>
            </w:r>
          </w:p>
          <w:p w14:paraId="4B898B97" w14:textId="23EE6283"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Style w:val="InstructionsTabelleText"/>
                <w:rFonts w:ascii="Times New Roman" w:hAnsi="Times New Roman"/>
                <w:sz w:val="24"/>
              </w:rPr>
              <w:t>Wiersze 110</w:t>
            </w:r>
            <w:r w:rsidR="00E26EF6" w:rsidRPr="00E26EF6">
              <w:rPr>
                <w:rStyle w:val="InstructionsTabelleText"/>
                <w:rFonts w:ascii="Times New Roman" w:hAnsi="Times New Roman"/>
                <w:sz w:val="24"/>
              </w:rPr>
              <w:t xml:space="preserve"> i 1</w:t>
            </w:r>
            <w:r w:rsidRPr="00E26EF6">
              <w:rPr>
                <w:rStyle w:val="InstructionsTabelleText"/>
                <w:rFonts w:ascii="Times New Roman" w:hAnsi="Times New Roman"/>
                <w:sz w:val="24"/>
              </w:rPr>
              <w:t xml:space="preserve">20 przedstawiają wartość </w:t>
            </w:r>
            <w:r w:rsidRPr="00E26EF6">
              <w:rPr>
                <w:rFonts w:ascii="Times New Roman" w:hAnsi="Times New Roman"/>
                <w:sz w:val="24"/>
              </w:rPr>
              <w:t>odpowiedniego wskaźnika</w:t>
            </w:r>
            <w:r w:rsidR="00E26EF6" w:rsidRPr="00E26EF6">
              <w:rPr>
                <w:rFonts w:ascii="Times New Roman" w:hAnsi="Times New Roman"/>
                <w:sz w:val="24"/>
              </w:rPr>
              <w:t xml:space="preserve"> </w:t>
            </w:r>
            <w:r w:rsidR="00E26EF6" w:rsidRPr="00E26EF6">
              <w:rPr>
                <w:rStyle w:val="InstructionsTabelleText"/>
                <w:rFonts w:ascii="Times New Roman" w:hAnsi="Times New Roman"/>
                <w:sz w:val="24"/>
              </w:rPr>
              <w:t>w</w:t>
            </w:r>
            <w:r w:rsidR="00E26EF6" w:rsidRPr="00E26EF6">
              <w:rPr>
                <w:rFonts w:ascii="Times New Roman" w:hAnsi="Times New Roman"/>
                <w:sz w:val="24"/>
              </w:rPr>
              <w:t> </w:t>
            </w:r>
            <w:r w:rsidR="00E26EF6" w:rsidRPr="00E26EF6">
              <w:rPr>
                <w:rStyle w:val="InstructionsTabelleText"/>
                <w:rFonts w:ascii="Times New Roman" w:hAnsi="Times New Roman"/>
                <w:sz w:val="24"/>
              </w:rPr>
              <w:t>odn</w:t>
            </w:r>
            <w:r w:rsidRPr="00E26EF6">
              <w:rPr>
                <w:rStyle w:val="InstructionsTabelleText"/>
                <w:rFonts w:ascii="Times New Roman" w:hAnsi="Times New Roman"/>
                <w:sz w:val="24"/>
              </w:rPr>
              <w:t>iesieniu do działań objętych alternatywną metodą standardową, stosując podział na wartości odpowiadające linii biznesowej „bankowość komercyjna”</w:t>
            </w:r>
            <w:r w:rsidR="00E26EF6" w:rsidRPr="00E26EF6">
              <w:rPr>
                <w:rStyle w:val="InstructionsTabelleText"/>
                <w:rFonts w:ascii="Times New Roman" w:hAnsi="Times New Roman"/>
                <w:sz w:val="24"/>
              </w:rPr>
              <w:t xml:space="preserve"> i war</w:t>
            </w:r>
            <w:r w:rsidRPr="00E26EF6">
              <w:rPr>
                <w:rStyle w:val="InstructionsTabelleText"/>
                <w:rFonts w:ascii="Times New Roman" w:hAnsi="Times New Roman"/>
                <w:sz w:val="24"/>
              </w:rPr>
              <w:t>tości odpowiadające linii biznesowej „bankowość detaliczna”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319 </w:t>
            </w:r>
            <w:r w:rsidRPr="00E26EF6">
              <w:rPr>
                <w:rFonts w:ascii="Times New Roman" w:hAnsi="Times New Roman"/>
                <w:sz w:val="24"/>
              </w:rPr>
              <w:t>CRR</w:t>
            </w:r>
            <w:r w:rsidRPr="00E26EF6">
              <w:rPr>
                <w:rStyle w:val="InstructionsTabelleText"/>
                <w:rFonts w:ascii="Times New Roman" w:hAnsi="Times New Roman"/>
                <w:sz w:val="24"/>
              </w:rPr>
              <w:t>). Mogą istnieć kwoty, które należy zgłosić</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rszach odpowiadających „Bankowości komercyjnej” i „Bankowości detalicznej” według metody standardowej (wiersze 060</w:t>
            </w:r>
            <w:r w:rsidR="00E26EF6" w:rsidRPr="00E26EF6">
              <w:rPr>
                <w:rStyle w:val="InstructionsTabelleText"/>
                <w:rFonts w:ascii="Times New Roman" w:hAnsi="Times New Roman"/>
                <w:sz w:val="24"/>
              </w:rPr>
              <w:t xml:space="preserve"> i 0</w:t>
            </w:r>
            <w:r w:rsidRPr="00E26EF6">
              <w:rPr>
                <w:rStyle w:val="InstructionsTabelleText"/>
                <w:rFonts w:ascii="Times New Roman" w:hAnsi="Times New Roman"/>
                <w:sz w:val="24"/>
              </w:rPr>
              <w:t>70), jak również</w:t>
            </w:r>
            <w:r w:rsidR="00E26EF6" w:rsidRPr="00E26EF6">
              <w:rPr>
                <w:rStyle w:val="InstructionsTabelleText"/>
                <w:rFonts w:ascii="Times New Roman" w:hAnsi="Times New Roman"/>
                <w:sz w:val="24"/>
              </w:rPr>
              <w:t xml:space="preserve"> w wie</w:t>
            </w:r>
            <w:r w:rsidRPr="00E26EF6">
              <w:rPr>
                <w:rStyle w:val="InstructionsTabelleText"/>
                <w:rFonts w:ascii="Times New Roman" w:hAnsi="Times New Roman"/>
                <w:sz w:val="24"/>
              </w:rPr>
              <w:t>rszach 110</w:t>
            </w:r>
            <w:r w:rsidR="00E26EF6" w:rsidRPr="00E26EF6">
              <w:rPr>
                <w:rStyle w:val="InstructionsTabelleText"/>
                <w:rFonts w:ascii="Times New Roman" w:hAnsi="Times New Roman"/>
                <w:sz w:val="24"/>
              </w:rPr>
              <w:t xml:space="preserve"> i 1</w:t>
            </w:r>
            <w:r w:rsidRPr="00E26EF6">
              <w:rPr>
                <w:rStyle w:val="InstructionsTabelleText"/>
                <w:rFonts w:ascii="Times New Roman" w:hAnsi="Times New Roman"/>
                <w:sz w:val="24"/>
              </w:rPr>
              <w:t>20</w:t>
            </w:r>
            <w:r w:rsidR="00E26EF6" w:rsidRPr="00E26EF6">
              <w:rPr>
                <w:rStyle w:val="InstructionsTabelleText"/>
                <w:rFonts w:ascii="Times New Roman" w:hAnsi="Times New Roman"/>
                <w:sz w:val="24"/>
              </w:rPr>
              <w:t xml:space="preserve"> w prz</w:t>
            </w:r>
            <w:r w:rsidRPr="00E26EF6">
              <w:rPr>
                <w:rStyle w:val="InstructionsTabelleText"/>
                <w:rFonts w:ascii="Times New Roman" w:hAnsi="Times New Roman"/>
                <w:sz w:val="24"/>
              </w:rPr>
              <w:t>ypadku alternatywnej metody standardowej (np. gdy jednostka zależna jest objęta metodą standardową, natomiast jednostka dominująca jest objęta alternatywną metodą standardową).</w:t>
            </w:r>
          </w:p>
        </w:tc>
      </w:tr>
      <w:tr w:rsidR="00915077" w:rsidRPr="00E26EF6" w14:paraId="29C852E3" w14:textId="77777777" w:rsidTr="00672D2A">
        <w:tc>
          <w:tcPr>
            <w:tcW w:w="985" w:type="dxa"/>
          </w:tcPr>
          <w:p w14:paraId="4BAFA8BB" w14:textId="77777777" w:rsidR="00915077" w:rsidRPr="00E26EF6" w:rsidRDefault="00AC6255">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130</w:t>
            </w:r>
          </w:p>
        </w:tc>
        <w:tc>
          <w:tcPr>
            <w:tcW w:w="7877" w:type="dxa"/>
          </w:tcPr>
          <w:p w14:paraId="2CE8EEAB" w14:textId="77777777" w:rsidR="00915077" w:rsidRPr="00E26EF6" w:rsidRDefault="00AC6255">
            <w:pPr>
              <w:autoSpaceDE w:val="0"/>
              <w:autoSpaceDN w:val="0"/>
              <w:adjustRightInd w:val="0"/>
              <w:spacing w:before="0" w:after="0"/>
              <w:rPr>
                <w:rStyle w:val="InstructionsTabelleberschrift"/>
                <w:rFonts w:ascii="Times New Roman" w:hAnsi="Times New Roman"/>
                <w:sz w:val="24"/>
              </w:rPr>
            </w:pPr>
            <w:r w:rsidRPr="00E26EF6">
              <w:rPr>
                <w:rStyle w:val="InstructionsTabelleberschrift"/>
                <w:rFonts w:ascii="Times New Roman" w:hAnsi="Times New Roman"/>
                <w:sz w:val="24"/>
              </w:rPr>
              <w:t>DZIAŁALNOŚĆ BANKOWA OBJĘTA METODAMI ZAAWANSOWANEGO POMIARU</w:t>
            </w:r>
          </w:p>
          <w:p w14:paraId="7F18DCB3" w14:textId="77777777" w:rsidR="00915077" w:rsidRPr="00E26EF6" w:rsidRDefault="00915077">
            <w:pPr>
              <w:autoSpaceDE w:val="0"/>
              <w:autoSpaceDN w:val="0"/>
              <w:adjustRightInd w:val="0"/>
              <w:spacing w:before="0" w:after="0"/>
              <w:rPr>
                <w:rFonts w:ascii="Times New Roman" w:hAnsi="Times New Roman"/>
                <w:bCs/>
                <w:sz w:val="24"/>
              </w:rPr>
            </w:pPr>
          </w:p>
          <w:p w14:paraId="77D7C346" w14:textId="1B057721" w:rsidR="00915077" w:rsidRPr="00E26EF6" w:rsidRDefault="00AC6255">
            <w:pPr>
              <w:autoSpaceDE w:val="0"/>
              <w:autoSpaceDN w:val="0"/>
              <w:adjustRightInd w:val="0"/>
              <w:spacing w:before="0" w:after="0"/>
              <w:rPr>
                <w:rFonts w:ascii="Times New Roman" w:hAnsi="Times New Roman"/>
                <w:sz w:val="24"/>
              </w:rPr>
            </w:pPr>
            <w:r w:rsidRPr="00E26EF6">
              <w:rPr>
                <w:rFonts w:ascii="Times New Roman" w:hAnsi="Times New Roman"/>
                <w:sz w:val="24"/>
              </w:rPr>
              <w:t>Zgłasza się odpowiednie dane dotyczące instytucji stosujących metody zaawansowanego pomiaru (art.</w:t>
            </w:r>
            <w:r w:rsidR="00023409" w:rsidRPr="00E26EF6">
              <w:rPr>
                <w:rFonts w:ascii="Times New Roman" w:hAnsi="Times New Roman"/>
                <w:sz w:val="24"/>
              </w:rPr>
              <w:t> </w:t>
            </w:r>
            <w:r w:rsidRPr="00E26EF6">
              <w:rPr>
                <w:rFonts w:ascii="Times New Roman" w:hAnsi="Times New Roman"/>
                <w:sz w:val="24"/>
              </w:rPr>
              <w:t>312 ust.</w:t>
            </w:r>
            <w:r w:rsidR="00023409" w:rsidRPr="00E26EF6">
              <w:rPr>
                <w:rFonts w:ascii="Times New Roman" w:hAnsi="Times New Roman"/>
                <w:sz w:val="24"/>
              </w:rPr>
              <w:t> </w:t>
            </w:r>
            <w:r w:rsidRPr="00E26EF6">
              <w:rPr>
                <w:rFonts w:ascii="Times New Roman" w:hAnsi="Times New Roman"/>
                <w:sz w:val="24"/>
              </w:rPr>
              <w:t>2 oraz art.</w:t>
            </w:r>
            <w:r w:rsidR="00023409" w:rsidRPr="00E26EF6">
              <w:rPr>
                <w:rFonts w:ascii="Times New Roman" w:hAnsi="Times New Roman"/>
                <w:sz w:val="24"/>
              </w:rPr>
              <w:t> </w:t>
            </w:r>
            <w:r w:rsidRPr="00E26EF6">
              <w:rPr>
                <w:rFonts w:ascii="Times New Roman" w:hAnsi="Times New Roman"/>
                <w:sz w:val="24"/>
              </w:rPr>
              <w:t>321, 322</w:t>
            </w:r>
            <w:r w:rsidR="00E26EF6" w:rsidRPr="00E26EF6">
              <w:rPr>
                <w:rFonts w:ascii="Times New Roman" w:hAnsi="Times New Roman"/>
                <w:sz w:val="24"/>
              </w:rPr>
              <w:t xml:space="preserve"> i 3</w:t>
            </w:r>
            <w:r w:rsidRPr="00E26EF6">
              <w:rPr>
                <w:rFonts w:ascii="Times New Roman" w:hAnsi="Times New Roman"/>
                <w:sz w:val="24"/>
              </w:rPr>
              <w:t xml:space="preserve">23 CRR). </w:t>
            </w:r>
          </w:p>
          <w:p w14:paraId="2B6B4533" w14:textId="77777777" w:rsidR="00915077" w:rsidRPr="00E26EF6" w:rsidRDefault="00915077">
            <w:pPr>
              <w:autoSpaceDE w:val="0"/>
              <w:autoSpaceDN w:val="0"/>
              <w:adjustRightInd w:val="0"/>
              <w:spacing w:before="0" w:after="0"/>
              <w:rPr>
                <w:rFonts w:ascii="Times New Roman" w:hAnsi="Times New Roman"/>
                <w:sz w:val="24"/>
              </w:rPr>
            </w:pPr>
          </w:p>
          <w:p w14:paraId="4D4A773D" w14:textId="52345A01" w:rsidR="00915077" w:rsidRPr="00E26EF6" w:rsidRDefault="00A369C3">
            <w:pPr>
              <w:autoSpaceDE w:val="0"/>
              <w:autoSpaceDN w:val="0"/>
              <w:adjustRightInd w:val="0"/>
              <w:spacing w:before="0" w:after="0"/>
              <w:rPr>
                <w:rFonts w:ascii="Times New Roman" w:hAnsi="Times New Roman"/>
                <w:sz w:val="24"/>
              </w:rPr>
            </w:pPr>
            <w:r w:rsidRPr="00E26EF6">
              <w:rPr>
                <w:rFonts w:ascii="Times New Roman" w:hAnsi="Times New Roman"/>
                <w:sz w:val="24"/>
              </w:rPr>
              <w:lastRenderedPageBreak/>
              <w:t>W przypadku łącznego stosowania różnych metod,</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314 CRR, zgłasza się informacje na temat odpowiedniego wskaźnika dla działalności objętych metodami zaawansowanego pomiaru. Dotyczy to także wszystkich innych banków objętych metodami zaawansowanego pomiaru.</w:t>
            </w:r>
          </w:p>
          <w:p w14:paraId="3CCD4477" w14:textId="77777777" w:rsidR="00915077" w:rsidRPr="00E26EF6" w:rsidRDefault="00915077">
            <w:pPr>
              <w:autoSpaceDE w:val="0"/>
              <w:autoSpaceDN w:val="0"/>
              <w:adjustRightInd w:val="0"/>
              <w:spacing w:before="0" w:after="0"/>
              <w:rPr>
                <w:rFonts w:ascii="Times New Roman" w:hAnsi="Times New Roman"/>
                <w:bCs/>
                <w:sz w:val="24"/>
              </w:rPr>
            </w:pPr>
          </w:p>
        </w:tc>
      </w:tr>
    </w:tbl>
    <w:p w14:paraId="05209726" w14:textId="77777777" w:rsidR="00915077" w:rsidRPr="00E26EF6" w:rsidRDefault="00915077">
      <w:pPr>
        <w:pStyle w:val="PlainText"/>
        <w:jc w:val="both"/>
        <w:rPr>
          <w:rFonts w:ascii="Times New Roman" w:hAnsi="Times New Roman"/>
          <w:sz w:val="24"/>
          <w:szCs w:val="24"/>
        </w:rPr>
      </w:pPr>
    </w:p>
    <w:p w14:paraId="4E53479F" w14:textId="77777777" w:rsidR="00915077" w:rsidRPr="00E26EF6" w:rsidRDefault="00915077">
      <w:pPr>
        <w:rPr>
          <w:rFonts w:ascii="Times New Roman" w:hAnsi="Times New Roman"/>
          <w:sz w:val="24"/>
        </w:rPr>
      </w:pPr>
    </w:p>
    <w:p w14:paraId="6BEF8F27" w14:textId="17BBF0A5" w:rsidR="00915077" w:rsidRPr="00E26EF6" w:rsidRDefault="00125707">
      <w:pPr>
        <w:pStyle w:val="Instructionsberschrift2"/>
        <w:numPr>
          <w:ilvl w:val="0"/>
          <w:numId w:val="0"/>
        </w:numPr>
        <w:ind w:left="357" w:hanging="357"/>
        <w:rPr>
          <w:rFonts w:ascii="Times New Roman" w:hAnsi="Times New Roman" w:cs="Times New Roman"/>
          <w:sz w:val="24"/>
        </w:rPr>
      </w:pPr>
      <w:bookmarkStart w:id="75" w:name="_Toc31014372"/>
      <w:r w:rsidRPr="00E26EF6">
        <w:rPr>
          <w:rFonts w:ascii="Times New Roman" w:hAnsi="Times New Roman"/>
          <w:sz w:val="24"/>
          <w:u w:val="none"/>
        </w:rPr>
        <w:t>4.2.</w:t>
      </w:r>
      <w:r w:rsidRPr="00E26EF6">
        <w:rPr>
          <w:rFonts w:ascii="Times New Roman" w:hAnsi="Times New Roman"/>
          <w:sz w:val="24"/>
          <w:u w:val="none"/>
        </w:rPr>
        <w:tab/>
      </w:r>
      <w:r w:rsidRPr="00E26EF6">
        <w:rPr>
          <w:rFonts w:ascii="Times New Roman" w:hAnsi="Times New Roman"/>
          <w:sz w:val="24"/>
        </w:rPr>
        <w:t>Ryzyko operacyjne: Szczegółowe informacje na temat strat</w:t>
      </w:r>
      <w:r w:rsidR="00E26EF6" w:rsidRPr="00E26EF6">
        <w:rPr>
          <w:rFonts w:ascii="Times New Roman" w:hAnsi="Times New Roman"/>
          <w:sz w:val="24"/>
        </w:rPr>
        <w:t xml:space="preserve"> w ost</w:t>
      </w:r>
      <w:r w:rsidRPr="00E26EF6">
        <w:rPr>
          <w:rFonts w:ascii="Times New Roman" w:hAnsi="Times New Roman"/>
          <w:sz w:val="24"/>
        </w:rPr>
        <w:t>atnim roku (OPR SZCZEGÓŁY)</w:t>
      </w:r>
      <w:bookmarkEnd w:id="75"/>
    </w:p>
    <w:p w14:paraId="6053B6B0"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76" w:name="_Toc31014373"/>
      <w:r w:rsidRPr="00E26EF6">
        <w:rPr>
          <w:rFonts w:ascii="Times New Roman" w:hAnsi="Times New Roman"/>
          <w:sz w:val="24"/>
          <w:u w:val="none"/>
        </w:rPr>
        <w:t>4.2.1.</w:t>
      </w:r>
      <w:r w:rsidRPr="00E26EF6">
        <w:rPr>
          <w:rFonts w:ascii="Times New Roman" w:hAnsi="Times New Roman"/>
          <w:sz w:val="24"/>
          <w:u w:val="none"/>
        </w:rPr>
        <w:tab/>
      </w:r>
      <w:r w:rsidRPr="00E26EF6">
        <w:rPr>
          <w:rFonts w:ascii="Times New Roman" w:hAnsi="Times New Roman"/>
          <w:sz w:val="24"/>
        </w:rPr>
        <w:t>Uwagi ogólne</w:t>
      </w:r>
      <w:bookmarkEnd w:id="76"/>
    </w:p>
    <w:p w14:paraId="069470F5" w14:textId="1281876A" w:rsidR="00915077" w:rsidRPr="00E26EF6" w:rsidRDefault="00125707">
      <w:pPr>
        <w:pStyle w:val="InstructionsText2"/>
        <w:numPr>
          <w:ilvl w:val="0"/>
          <w:numId w:val="0"/>
        </w:numPr>
        <w:ind w:left="993"/>
      </w:pPr>
      <w:r w:rsidRPr="00E26EF6">
        <w:t>120.</w:t>
      </w:r>
      <w:r w:rsidRPr="00E26EF6">
        <w:tab/>
        <w:t xml:space="preserve"> Wzór C 17.01 (OPR SZCZEGÓŁY 1) zawiera streszczenie informacji dotyczących strat brutto</w:t>
      </w:r>
      <w:r w:rsidR="00E26EF6" w:rsidRPr="00E26EF6">
        <w:t xml:space="preserve"> i odz</w:t>
      </w:r>
      <w:r w:rsidRPr="00E26EF6">
        <w:t>yskanych należności odnotowanych przez instytucję</w:t>
      </w:r>
      <w:r w:rsidR="00E26EF6" w:rsidRPr="00E26EF6">
        <w:t xml:space="preserve"> w ost</w:t>
      </w:r>
      <w:r w:rsidRPr="00E26EF6">
        <w:t>atnim roku według rodzajów zdarzeń</w:t>
      </w:r>
      <w:r w:rsidR="00E26EF6" w:rsidRPr="00E26EF6">
        <w:t xml:space="preserve"> i lin</w:t>
      </w:r>
      <w:r w:rsidRPr="00E26EF6">
        <w:t>ii biznesowych. Wzór C 17.02 (OPR SZCZEGÓŁY 2) zawiera szczegółowe informacje na temat największych zdarzeń straty</w:t>
      </w:r>
      <w:r w:rsidR="00E26EF6" w:rsidRPr="00E26EF6">
        <w:t xml:space="preserve"> w ost</w:t>
      </w:r>
      <w:r w:rsidRPr="00E26EF6">
        <w:t xml:space="preserve">atnim roku. </w:t>
      </w:r>
    </w:p>
    <w:p w14:paraId="07BE1384" w14:textId="4F490204" w:rsidR="00915077" w:rsidRPr="00E26EF6" w:rsidRDefault="00125707">
      <w:pPr>
        <w:pStyle w:val="InstructionsText2"/>
        <w:numPr>
          <w:ilvl w:val="0"/>
          <w:numId w:val="0"/>
        </w:numPr>
        <w:ind w:left="993"/>
      </w:pPr>
      <w:r w:rsidRPr="00E26EF6">
        <w:t>121. Strat wynikłych</w:t>
      </w:r>
      <w:r w:rsidR="00E26EF6" w:rsidRPr="00E26EF6">
        <w:t xml:space="preserve"> z ryz</w:t>
      </w:r>
      <w:r w:rsidRPr="00E26EF6">
        <w:t>yka operacyjnego, które są związane</w:t>
      </w:r>
      <w:r w:rsidR="00E26EF6" w:rsidRPr="00E26EF6">
        <w:t xml:space="preserve"> z ryz</w:t>
      </w:r>
      <w:r w:rsidRPr="00E26EF6">
        <w:t>ykiem kredytowym</w:t>
      </w:r>
      <w:r w:rsidR="00E26EF6" w:rsidRPr="00E26EF6">
        <w:t xml:space="preserve"> i pod</w:t>
      </w:r>
      <w:r w:rsidRPr="00E26EF6">
        <w:t>legają wymogom</w:t>
      </w:r>
      <w:r w:rsidR="00E26EF6" w:rsidRPr="00E26EF6">
        <w:t xml:space="preserve"> w zak</w:t>
      </w:r>
      <w:r w:rsidRPr="00E26EF6">
        <w:t>resie funduszy własnych</w:t>
      </w:r>
      <w:r w:rsidR="00E26EF6" w:rsidRPr="00E26EF6">
        <w:t xml:space="preserve"> z tyt</w:t>
      </w:r>
      <w:r w:rsidRPr="00E26EF6">
        <w:t>ułu ryzyka kredytowego (graniczne zdarzenia ryzyka operacyjnego związane</w:t>
      </w:r>
      <w:r w:rsidR="00E26EF6" w:rsidRPr="00E26EF6">
        <w:t xml:space="preserve"> z kre</w:t>
      </w:r>
      <w:r w:rsidRPr="00E26EF6">
        <w:t xml:space="preserve">dytami), nie uwzględnia się ani we wzorze C 17.01, </w:t>
      </w:r>
      <w:proofErr w:type="gramStart"/>
      <w:r w:rsidRPr="00E26EF6">
        <w:t>ani</w:t>
      </w:r>
      <w:proofErr w:type="gramEnd"/>
      <w:r w:rsidRPr="00E26EF6">
        <w:t xml:space="preserve"> we wzorze C 17.02.</w:t>
      </w:r>
    </w:p>
    <w:p w14:paraId="21FF5E63" w14:textId="637CDA06" w:rsidR="00915077" w:rsidRPr="00E26EF6" w:rsidRDefault="00125707">
      <w:pPr>
        <w:pStyle w:val="InstructionsText2"/>
        <w:numPr>
          <w:ilvl w:val="0"/>
          <w:numId w:val="0"/>
        </w:numPr>
        <w:ind w:left="993"/>
      </w:pPr>
      <w:r w:rsidRPr="00E26EF6">
        <w:t>122</w:t>
      </w:r>
      <w:r w:rsidR="00E26EF6" w:rsidRPr="00E26EF6">
        <w:t>. W prz</w:t>
      </w:r>
      <w:r w:rsidRPr="00E26EF6">
        <w:t>ypadku łącznego stosowania różnych metod obliczania wymogów</w:t>
      </w:r>
      <w:r w:rsidR="00E26EF6" w:rsidRPr="00E26EF6">
        <w:t xml:space="preserve"> w zak</w:t>
      </w:r>
      <w:r w:rsidRPr="00E26EF6">
        <w:t>resie funduszy własnych</w:t>
      </w:r>
      <w:r w:rsidR="00E26EF6" w:rsidRPr="00E26EF6">
        <w:t xml:space="preserve"> z tyt</w:t>
      </w:r>
      <w:r w:rsidRPr="00E26EF6">
        <w:t>ułu ryzyka operacyjnego zgodnie</w:t>
      </w:r>
      <w:r w:rsidR="00E26EF6" w:rsidRPr="00E26EF6">
        <w:t xml:space="preserve"> z art</w:t>
      </w:r>
      <w:r w:rsidRPr="00E26EF6">
        <w:t>.</w:t>
      </w:r>
      <w:r w:rsidR="00023409" w:rsidRPr="00E26EF6">
        <w:t> </w:t>
      </w:r>
      <w:r w:rsidRPr="00E26EF6">
        <w:t>314 CRR straty</w:t>
      </w:r>
      <w:r w:rsidR="00E26EF6" w:rsidRPr="00E26EF6">
        <w:t xml:space="preserve"> i odz</w:t>
      </w:r>
      <w:r w:rsidRPr="00E26EF6">
        <w:t xml:space="preserve">yskane należności odnotowane przez instytucję zgłasza się we wzorze C 17.01 </w:t>
      </w:r>
      <w:proofErr w:type="gramStart"/>
      <w:r w:rsidRPr="00E26EF6">
        <w:t>i</w:t>
      </w:r>
      <w:proofErr w:type="gramEnd"/>
      <w:r w:rsidRPr="00E26EF6">
        <w:t xml:space="preserve"> C 17.02 </w:t>
      </w:r>
      <w:proofErr w:type="gramStart"/>
      <w:r w:rsidRPr="00E26EF6">
        <w:t>niezależnie</w:t>
      </w:r>
      <w:proofErr w:type="gramEnd"/>
      <w:r w:rsidRPr="00E26EF6">
        <w:t xml:space="preserve"> od zastosowanej metody obliczenia wymogów</w:t>
      </w:r>
      <w:r w:rsidR="00E26EF6" w:rsidRPr="00E26EF6">
        <w:t xml:space="preserve"> w zak</w:t>
      </w:r>
      <w:r w:rsidRPr="00E26EF6">
        <w:t>resie funduszy własnych.</w:t>
      </w:r>
    </w:p>
    <w:p w14:paraId="5CD4AE9D" w14:textId="3D22F992" w:rsidR="00915077" w:rsidRPr="00E26EF6" w:rsidRDefault="00125707">
      <w:pPr>
        <w:pStyle w:val="InstructionsText2"/>
        <w:numPr>
          <w:ilvl w:val="0"/>
          <w:numId w:val="0"/>
        </w:numPr>
        <w:ind w:left="993"/>
      </w:pPr>
      <w:r w:rsidRPr="00E26EF6">
        <w:t>123. „Straty brutto” oznaczają straty,</w:t>
      </w:r>
      <w:r w:rsidR="00E26EF6" w:rsidRPr="00E26EF6">
        <w:t xml:space="preserve"> o któ</w:t>
      </w:r>
      <w:r w:rsidRPr="00E26EF6">
        <w:t>rych mowa</w:t>
      </w:r>
      <w:r w:rsidR="00E26EF6" w:rsidRPr="00E26EF6">
        <w:t xml:space="preserve"> w art</w:t>
      </w:r>
      <w:r w:rsidRPr="00E26EF6">
        <w:t>.</w:t>
      </w:r>
      <w:r w:rsidR="00023409" w:rsidRPr="00E26EF6">
        <w:t> </w:t>
      </w:r>
      <w:r w:rsidRPr="00E26EF6">
        <w:t>322 ust.</w:t>
      </w:r>
      <w:r w:rsidR="00023409" w:rsidRPr="00E26EF6">
        <w:t> </w:t>
      </w:r>
      <w:r w:rsidRPr="00E26EF6">
        <w:t>3 lit.</w:t>
      </w:r>
      <w:r w:rsidR="00023409" w:rsidRPr="00E26EF6">
        <w:t> </w:t>
      </w:r>
      <w:r w:rsidRPr="00E26EF6">
        <w:t xml:space="preserve">b) CRR, wynikłe ze zdarzenia lub rodzaju zdarzenia ryzyka operacyjnego przed odzyskaniem jakichkolwiek należności, bez uszczerbku dla „szybko odzyskanych zdarzeń straty” zdefiniowanych poniżej. </w:t>
      </w:r>
    </w:p>
    <w:p w14:paraId="663BB525" w14:textId="4E21CA77" w:rsidR="00915077" w:rsidRPr="00E26EF6" w:rsidRDefault="00125707">
      <w:pPr>
        <w:pStyle w:val="InstructionsText2"/>
        <w:numPr>
          <w:ilvl w:val="0"/>
          <w:numId w:val="0"/>
        </w:numPr>
        <w:ind w:left="993"/>
      </w:pPr>
      <w:r w:rsidRPr="00E26EF6">
        <w:t>124. „Odzyskanie należności” oznacza niezależne, odrębne</w:t>
      </w:r>
      <w:r w:rsidR="00E26EF6" w:rsidRPr="00E26EF6">
        <w:t xml:space="preserve"> w cza</w:t>
      </w:r>
      <w:r w:rsidRPr="00E26EF6">
        <w:t>sie zdarzenie powiązane</w:t>
      </w:r>
      <w:r w:rsidR="00E26EF6" w:rsidRPr="00E26EF6">
        <w:t xml:space="preserve"> z pie</w:t>
      </w:r>
      <w:r w:rsidRPr="00E26EF6">
        <w:t>rwotną stratą wynikłą</w:t>
      </w:r>
      <w:r w:rsidR="00E26EF6" w:rsidRPr="00E26EF6">
        <w:t xml:space="preserve"> z ryz</w:t>
      </w:r>
      <w:r w:rsidRPr="00E26EF6">
        <w:t>yka operacyjnego,</w:t>
      </w:r>
      <w:r w:rsidR="00E26EF6" w:rsidRPr="00E26EF6">
        <w:t xml:space="preserve"> w ram</w:t>
      </w:r>
      <w:r w:rsidRPr="00E26EF6">
        <w:t>ach którego środki lub wpływy korzyści ekonomicznych otrzymywane są od osób pierwszych lub trzecich, takich jak zakłady ubezpieczeń lub inne podmioty. Odzyskane należności dzieli się na należności odzyskane</w:t>
      </w:r>
      <w:r w:rsidR="00E26EF6" w:rsidRPr="00E26EF6">
        <w:t xml:space="preserve"> z ube</w:t>
      </w:r>
      <w:r w:rsidRPr="00E26EF6">
        <w:t>zpieczenia</w:t>
      </w:r>
      <w:r w:rsidR="00E26EF6" w:rsidRPr="00E26EF6">
        <w:t xml:space="preserve"> i inn</w:t>
      </w:r>
      <w:r w:rsidRPr="00E26EF6">
        <w:t>ych mechanizmów transferu ryzyka oraz bezpośrednio odzyskane należności.</w:t>
      </w:r>
    </w:p>
    <w:p w14:paraId="1BA12CCD" w14:textId="2A52A415" w:rsidR="00915077" w:rsidRPr="00E26EF6" w:rsidRDefault="00125707">
      <w:pPr>
        <w:pStyle w:val="InstructionsText2"/>
        <w:numPr>
          <w:ilvl w:val="0"/>
          <w:numId w:val="0"/>
        </w:numPr>
        <w:ind w:left="993"/>
      </w:pPr>
      <w:r w:rsidRPr="00E26EF6">
        <w:t>125.</w:t>
      </w:r>
      <w:r w:rsidRPr="00E26EF6">
        <w:tab/>
        <w:t xml:space="preserve"> „Zdarzenia szybko odzyskanej straty” oznaczają zdarzenia ryzyka operacyjnego prowadzące do powstania strat, które są częściowo lub</w:t>
      </w:r>
      <w:r w:rsidR="00E26EF6" w:rsidRPr="00E26EF6">
        <w:t xml:space="preserve"> w peł</w:t>
      </w:r>
      <w:r w:rsidRPr="00E26EF6">
        <w:t>ni odzyskiwane</w:t>
      </w:r>
      <w:r w:rsidR="00E26EF6" w:rsidRPr="00E26EF6">
        <w:t xml:space="preserve"> w ter</w:t>
      </w:r>
      <w:r w:rsidRPr="00E26EF6">
        <w:t>minie pięciu dni roboczych</w:t>
      </w:r>
      <w:r w:rsidR="00E26EF6" w:rsidRPr="00E26EF6">
        <w:t>. W prz</w:t>
      </w:r>
      <w:r w:rsidRPr="00E26EF6">
        <w:t>ypadku szybko odzyskanego zdarzenia straty jedynie część straty, która nie została</w:t>
      </w:r>
      <w:r w:rsidR="00E26EF6" w:rsidRPr="00E26EF6">
        <w:t xml:space="preserve"> w peł</w:t>
      </w:r>
      <w:r w:rsidRPr="00E26EF6">
        <w:t>ni odzyskana (tzn. strata netto po częściowym szybkim odzyskaniu należności), ujmuje się</w:t>
      </w:r>
      <w:r w:rsidR="00E26EF6" w:rsidRPr="00E26EF6">
        <w:t xml:space="preserve"> w def</w:t>
      </w:r>
      <w:r w:rsidRPr="00E26EF6">
        <w:t>inicji strat brutto</w:t>
      </w:r>
      <w:r w:rsidR="00E26EF6" w:rsidRPr="00E26EF6">
        <w:t>. W zwi</w:t>
      </w:r>
      <w:r w:rsidRPr="00E26EF6">
        <w:t>ązku</w:t>
      </w:r>
      <w:r w:rsidR="00E26EF6" w:rsidRPr="00E26EF6">
        <w:t xml:space="preserve"> z pow</w:t>
      </w:r>
      <w:r w:rsidRPr="00E26EF6">
        <w:t>yższym zdarzeń straty prowadzących do strat, które są</w:t>
      </w:r>
      <w:r w:rsidR="00E26EF6" w:rsidRPr="00E26EF6">
        <w:t xml:space="preserve"> w peł</w:t>
      </w:r>
      <w:r w:rsidRPr="00E26EF6">
        <w:t>ni odzyskiwane</w:t>
      </w:r>
      <w:r w:rsidR="00E26EF6" w:rsidRPr="00E26EF6">
        <w:t xml:space="preserve"> w ter</w:t>
      </w:r>
      <w:r w:rsidRPr="00E26EF6">
        <w:t>minie pięciu dni roboczych, nie ujmuje się</w:t>
      </w:r>
      <w:r w:rsidR="00E26EF6" w:rsidRPr="00E26EF6">
        <w:t xml:space="preserve"> w def</w:t>
      </w:r>
      <w:r w:rsidRPr="00E26EF6">
        <w:t>inicji strat brutto, ani nie są one objęte sprawozdawczością we wzorze OPR SZCZEGÓŁY.</w:t>
      </w:r>
    </w:p>
    <w:p w14:paraId="11407E94" w14:textId="63E5CA56" w:rsidR="00915077" w:rsidRPr="00E26EF6" w:rsidRDefault="00125707">
      <w:pPr>
        <w:pStyle w:val="InstructionsText2"/>
        <w:numPr>
          <w:ilvl w:val="0"/>
          <w:numId w:val="0"/>
        </w:numPr>
        <w:ind w:left="993"/>
      </w:pPr>
      <w:r w:rsidRPr="00E26EF6">
        <w:t>126.</w:t>
      </w:r>
      <w:r w:rsidRPr="00E26EF6">
        <w:tab/>
        <w:t xml:space="preserve"> „Data rozliczenia” oznacza datę pierwszego ujęcia straty lub rezerwy</w:t>
      </w:r>
      <w:r w:rsidR="00E26EF6" w:rsidRPr="00E26EF6">
        <w:t xml:space="preserve"> w rac</w:t>
      </w:r>
      <w:r w:rsidRPr="00E26EF6">
        <w:t>hunku zysków</w:t>
      </w:r>
      <w:r w:rsidR="00E26EF6" w:rsidRPr="00E26EF6">
        <w:t xml:space="preserve"> i str</w:t>
      </w:r>
      <w:r w:rsidRPr="00E26EF6">
        <w:t>at</w:t>
      </w:r>
      <w:r w:rsidR="00E26EF6" w:rsidRPr="00E26EF6">
        <w:t xml:space="preserve"> w odn</w:t>
      </w:r>
      <w:r w:rsidRPr="00E26EF6">
        <w:t>iesieniu do straty wynikłej</w:t>
      </w:r>
      <w:r w:rsidR="00E26EF6" w:rsidRPr="00E26EF6">
        <w:t xml:space="preserve"> z ryz</w:t>
      </w:r>
      <w:r w:rsidRPr="00E26EF6">
        <w:t xml:space="preserve">yka operacyjnego. Data </w:t>
      </w:r>
      <w:r w:rsidRPr="00E26EF6">
        <w:lastRenderedPageBreak/>
        <w:t>ta jest późniejsza od „Daty zdarzenia” (tj. daty wystąpienia lub rozpoczęcia zdarzenia ryzyka operacyjnego) i „Daty wykrycia” (tj. daty, kiedy instytucja dowiedziała się</w:t>
      </w:r>
      <w:r w:rsidR="00E26EF6" w:rsidRPr="00E26EF6">
        <w:t xml:space="preserve"> o zda</w:t>
      </w:r>
      <w:r w:rsidRPr="00E26EF6">
        <w:t xml:space="preserve">rzeniu ryzyka operacyjnego). </w:t>
      </w:r>
    </w:p>
    <w:p w14:paraId="7244BFE4" w14:textId="49568268" w:rsidR="00915077" w:rsidRPr="00E26EF6" w:rsidRDefault="00125707">
      <w:pPr>
        <w:pStyle w:val="InstructionsText2"/>
        <w:numPr>
          <w:ilvl w:val="0"/>
          <w:numId w:val="0"/>
        </w:numPr>
        <w:ind w:left="993"/>
      </w:pPr>
      <w:r w:rsidRPr="00E26EF6">
        <w:t>127.</w:t>
      </w:r>
      <w:r w:rsidRPr="00E26EF6">
        <w:tab/>
        <w:t xml:space="preserve"> Straty wynikłe ze zwykłego zdarzenia ryzyka operacyjnego lub</w:t>
      </w:r>
      <w:r w:rsidR="00E26EF6" w:rsidRPr="00E26EF6">
        <w:t xml:space="preserve"> z wie</w:t>
      </w:r>
      <w:r w:rsidRPr="00E26EF6">
        <w:t>lu zdarzeń powiązanych</w:t>
      </w:r>
      <w:r w:rsidR="00E26EF6" w:rsidRPr="00E26EF6">
        <w:t xml:space="preserve"> z pie</w:t>
      </w:r>
      <w:r w:rsidRPr="00E26EF6">
        <w:t>rwotnym zdarzeniem ryzyka operacyjnego generującym zdarzenia lub straty („zdarzenie generujące”) są grupowane. Zgrupowane zdarzenia są traktowane</w:t>
      </w:r>
      <w:r w:rsidR="00E26EF6" w:rsidRPr="00E26EF6">
        <w:t xml:space="preserve"> i zgł</w:t>
      </w:r>
      <w:r w:rsidRPr="00E26EF6">
        <w:t>aszane jako jedno zdarzenie,</w:t>
      </w:r>
      <w:r w:rsidR="00E26EF6" w:rsidRPr="00E26EF6">
        <w:t xml:space="preserve"> w wyn</w:t>
      </w:r>
      <w:r w:rsidRPr="00E26EF6">
        <w:t>iku czego sumowane są powiązane kwoty strat brutto względnie kwoty korekt strat.</w:t>
      </w:r>
    </w:p>
    <w:p w14:paraId="52827CA5" w14:textId="3F59C1BB" w:rsidR="00915077" w:rsidRPr="00E26EF6" w:rsidRDefault="00125707">
      <w:pPr>
        <w:pStyle w:val="InstructionsText2"/>
        <w:numPr>
          <w:ilvl w:val="0"/>
          <w:numId w:val="0"/>
        </w:numPr>
        <w:ind w:left="993"/>
      </w:pPr>
      <w:r w:rsidRPr="00E26EF6">
        <w:t>128.</w:t>
      </w:r>
      <w:r w:rsidRPr="00E26EF6">
        <w:tab/>
        <w:t xml:space="preserve"> Dane liczbowe przekazywane</w:t>
      </w:r>
      <w:r w:rsidR="00E26EF6" w:rsidRPr="00E26EF6">
        <w:t xml:space="preserve"> w cze</w:t>
      </w:r>
      <w:r w:rsidRPr="00E26EF6">
        <w:t>rwcu danego roku są danymi przejściowymi, podczas gdy ostateczne dane liczbowe zgłaszane są</w:t>
      </w:r>
      <w:r w:rsidR="00E26EF6" w:rsidRPr="00E26EF6">
        <w:t xml:space="preserve"> w gru</w:t>
      </w:r>
      <w:r w:rsidRPr="00E26EF6">
        <w:t>dniu. Dane liczbowe przekazywane</w:t>
      </w:r>
      <w:r w:rsidR="00E26EF6" w:rsidRPr="00E26EF6">
        <w:t xml:space="preserve"> w cze</w:t>
      </w:r>
      <w:r w:rsidRPr="00E26EF6">
        <w:t>rwcu mają zatem sześciomiesięczny okres odniesienia (tj. od dnia 1 stycznia do dnia 30 czerwca roku kalendarzowego),</w:t>
      </w:r>
      <w:r w:rsidR="00E26EF6" w:rsidRPr="00E26EF6">
        <w:t xml:space="preserve"> a dan</w:t>
      </w:r>
      <w:r w:rsidRPr="00E26EF6">
        <w:t>e liczbowe przekazywane</w:t>
      </w:r>
      <w:r w:rsidR="00E26EF6" w:rsidRPr="00E26EF6">
        <w:t xml:space="preserve"> w gru</w:t>
      </w:r>
      <w:r w:rsidRPr="00E26EF6">
        <w:t>dniu – dwunastomiesięczny okres odniesienia (tj. od dnia 1 stycznia do dnia 31 grudnia roku kalendarzowego). Zarówno</w:t>
      </w:r>
      <w:r w:rsidR="00E26EF6" w:rsidRPr="00E26EF6">
        <w:t xml:space="preserve"> w prz</w:t>
      </w:r>
      <w:r w:rsidRPr="00E26EF6">
        <w:t>ypadku danych przekazywanych</w:t>
      </w:r>
      <w:r w:rsidR="00E26EF6" w:rsidRPr="00E26EF6">
        <w:t xml:space="preserve"> w cze</w:t>
      </w:r>
      <w:r w:rsidRPr="00E26EF6">
        <w:t>rwcu, jak</w:t>
      </w:r>
      <w:r w:rsidR="00E26EF6" w:rsidRPr="00E26EF6">
        <w:t xml:space="preserve"> i dan</w:t>
      </w:r>
      <w:r w:rsidRPr="00E26EF6">
        <w:t>ych przekazywanych</w:t>
      </w:r>
      <w:r w:rsidR="00E26EF6" w:rsidRPr="00E26EF6">
        <w:t xml:space="preserve"> w gru</w:t>
      </w:r>
      <w:r w:rsidRPr="00E26EF6">
        <w:t>dniu „poprzednie sprawozdawcze okresy odniesienia” oznaczają wszystkie sprawozdawcze okresy odniesienia do okresu upływającego</w:t>
      </w:r>
      <w:r w:rsidR="00E26EF6" w:rsidRPr="00E26EF6">
        <w:t xml:space="preserve"> z koń</w:t>
      </w:r>
      <w:r w:rsidRPr="00E26EF6">
        <w:t>cem poprzedzającego roku kalendarzowego włącznie.</w:t>
      </w:r>
    </w:p>
    <w:p w14:paraId="72F4B8A7" w14:textId="46DDC6C1" w:rsidR="00915077" w:rsidRPr="00E26EF6" w:rsidRDefault="00125707">
      <w:pPr>
        <w:pStyle w:val="InstructionsText2"/>
        <w:numPr>
          <w:ilvl w:val="0"/>
          <w:numId w:val="0"/>
        </w:numPr>
        <w:ind w:left="993"/>
      </w:pPr>
      <w:r w:rsidRPr="00E26EF6">
        <w:t>129.</w:t>
      </w:r>
      <w:r w:rsidRPr="00E26EF6">
        <w:tab/>
        <w:t xml:space="preserve"> W celu zweryfikowania zgodności</w:t>
      </w:r>
      <w:r w:rsidR="00E26EF6" w:rsidRPr="00E26EF6">
        <w:t xml:space="preserve"> z kry</w:t>
      </w:r>
      <w:r w:rsidRPr="00E26EF6">
        <w:t>terium określonym</w:t>
      </w:r>
      <w:r w:rsidR="00E26EF6" w:rsidRPr="00E26EF6">
        <w:t xml:space="preserve"> w art</w:t>
      </w:r>
      <w:r w:rsidRPr="00E26EF6">
        <w:t>.</w:t>
      </w:r>
      <w:r w:rsidR="00023409" w:rsidRPr="00E26EF6">
        <w:t> </w:t>
      </w:r>
      <w:r w:rsidRPr="00E26EF6">
        <w:t>5 lit.</w:t>
      </w:r>
      <w:r w:rsidR="00023409" w:rsidRPr="00E26EF6">
        <w:t> </w:t>
      </w:r>
      <w:r w:rsidRPr="00E26EF6">
        <w:t>b) pkt</w:t>
      </w:r>
      <w:r w:rsidR="00023409" w:rsidRPr="00E26EF6">
        <w:t> </w:t>
      </w:r>
      <w:r w:rsidRPr="00E26EF6">
        <w:t>2 lit.</w:t>
      </w:r>
      <w:r w:rsidR="00023409" w:rsidRPr="00E26EF6">
        <w:t> </w:t>
      </w:r>
      <w:r w:rsidRPr="00E26EF6">
        <w:t>b) ppkt (i) niniejszego rozporządzenia wykonawczego instytucja korzysta</w:t>
      </w:r>
      <w:r w:rsidR="00E26EF6" w:rsidRPr="00E26EF6">
        <w:t xml:space="preserve"> z naj</w:t>
      </w:r>
      <w:r w:rsidRPr="00E26EF6">
        <w:t>nowszych danych statystycznych dostępnych na stronie internetowej EUNB poświęconej ujawnianiu informacji organom nadzoru, aby uzyskać „łączną wartość sum bilansowych wszystkich instytucji</w:t>
      </w:r>
      <w:r w:rsidR="00E26EF6" w:rsidRPr="00E26EF6">
        <w:t xml:space="preserve"> w dan</w:t>
      </w:r>
      <w:r w:rsidRPr="00E26EF6">
        <w:t>ym państwie członkowskim”</w:t>
      </w:r>
      <w:r w:rsidR="00E26EF6" w:rsidRPr="00E26EF6">
        <w:t>. W cel</w:t>
      </w:r>
      <w:r w:rsidRPr="00E26EF6">
        <w:t>u zweryfikowania kryterium określonego</w:t>
      </w:r>
      <w:r w:rsidR="00E26EF6" w:rsidRPr="00E26EF6">
        <w:t xml:space="preserve"> w art</w:t>
      </w:r>
      <w:r w:rsidRPr="00E26EF6">
        <w:t>.</w:t>
      </w:r>
      <w:r w:rsidR="00023409" w:rsidRPr="00E26EF6">
        <w:t> </w:t>
      </w:r>
      <w:r w:rsidRPr="00E26EF6">
        <w:t>5 lit.</w:t>
      </w:r>
      <w:r w:rsidR="00023409" w:rsidRPr="00E26EF6">
        <w:t> </w:t>
      </w:r>
      <w:r w:rsidRPr="00E26EF6">
        <w:t>b) pkt</w:t>
      </w:r>
      <w:r w:rsidR="00023409" w:rsidRPr="00E26EF6">
        <w:t> </w:t>
      </w:r>
      <w:r w:rsidRPr="00E26EF6">
        <w:t>2 lit.</w:t>
      </w:r>
      <w:r w:rsidR="00023409" w:rsidRPr="00E26EF6">
        <w:t> </w:t>
      </w:r>
      <w:r w:rsidRPr="00E26EF6">
        <w:t>b) ppkt (iii) niniejszego rozporządzenia wykonawczego stosuje się wartość produktu krajowego brutto</w:t>
      </w:r>
      <w:r w:rsidR="00E26EF6" w:rsidRPr="00E26EF6">
        <w:t xml:space="preserve"> w cen</w:t>
      </w:r>
      <w:r w:rsidRPr="00E26EF6">
        <w:t>ach rynkowych zgodnie</w:t>
      </w:r>
      <w:r w:rsidR="00E26EF6" w:rsidRPr="00E26EF6">
        <w:t xml:space="preserve"> z def</w:t>
      </w:r>
      <w:r w:rsidRPr="00E26EF6">
        <w:t>inicją</w:t>
      </w:r>
      <w:r w:rsidR="00E26EF6" w:rsidRPr="00E26EF6">
        <w:t xml:space="preserve"> w pkt</w:t>
      </w:r>
      <w:r w:rsidR="00023409" w:rsidRPr="00E26EF6">
        <w:t> </w:t>
      </w:r>
      <w:r w:rsidRPr="00E26EF6">
        <w:t>8.89 załącznika A do rozporządzenia Parlamentu Europejskiego</w:t>
      </w:r>
      <w:r w:rsidR="00E26EF6" w:rsidRPr="00E26EF6">
        <w:t xml:space="preserve"> i Rad</w:t>
      </w:r>
      <w:r w:rsidRPr="00E26EF6">
        <w:t>y (UE) nr</w:t>
      </w:r>
      <w:r w:rsidR="00023409" w:rsidRPr="00E26EF6">
        <w:t> </w:t>
      </w:r>
      <w:r w:rsidRPr="00E26EF6">
        <w:t>549/2013 („ESA</w:t>
      </w:r>
      <w:proofErr w:type="gramStart"/>
      <w:r w:rsidRPr="00E26EF6">
        <w:t xml:space="preserve"> 2010”)</w:t>
      </w:r>
      <w:r w:rsidRPr="00E26EF6">
        <w:rPr>
          <w:rStyle w:val="FootnoteReference"/>
          <w:rFonts w:ascii="Times New Roman" w:hAnsi="Times New Roman"/>
          <w:sz w:val="24"/>
          <w:szCs w:val="24"/>
          <w:vertAlign w:val="superscript"/>
        </w:rPr>
        <w:footnoteReference w:id="14"/>
      </w:r>
      <w:r w:rsidRPr="00E26EF6">
        <w:t>, opublikowaną</w:t>
      </w:r>
      <w:proofErr w:type="gramEnd"/>
      <w:r w:rsidRPr="00E26EF6">
        <w:t xml:space="preserve"> przez Eurostat dla poprzedniego roku kalendarzowego.</w:t>
      </w:r>
    </w:p>
    <w:p w14:paraId="315CE265" w14:textId="2FCF599B" w:rsidR="00915077" w:rsidRPr="00E26EF6" w:rsidRDefault="00125707">
      <w:pPr>
        <w:pStyle w:val="Instructionsberschrift2"/>
        <w:numPr>
          <w:ilvl w:val="0"/>
          <w:numId w:val="0"/>
        </w:numPr>
        <w:ind w:left="357" w:hanging="357"/>
        <w:rPr>
          <w:rFonts w:ascii="Times New Roman" w:hAnsi="Times New Roman" w:cs="Times New Roman"/>
          <w:sz w:val="24"/>
        </w:rPr>
      </w:pPr>
      <w:bookmarkStart w:id="77" w:name="_Toc31014374"/>
      <w:r w:rsidRPr="00E26EF6">
        <w:rPr>
          <w:rFonts w:ascii="Times New Roman" w:hAnsi="Times New Roman"/>
          <w:sz w:val="24"/>
          <w:u w:val="none"/>
        </w:rPr>
        <w:t>4.2.2.</w:t>
      </w:r>
      <w:r w:rsidRPr="00E26EF6">
        <w:rPr>
          <w:rFonts w:ascii="Times New Roman" w:hAnsi="Times New Roman"/>
          <w:sz w:val="24"/>
          <w:u w:val="none"/>
        </w:rPr>
        <w:tab/>
      </w:r>
      <w:r w:rsidRPr="00E26EF6">
        <w:rPr>
          <w:rFonts w:ascii="Times New Roman" w:hAnsi="Times New Roman"/>
          <w:sz w:val="24"/>
        </w:rPr>
        <w:t>C 17.01: Ryzyko operacyjne: straty</w:t>
      </w:r>
      <w:r w:rsidR="00E26EF6" w:rsidRPr="00E26EF6">
        <w:rPr>
          <w:rFonts w:ascii="Times New Roman" w:hAnsi="Times New Roman"/>
          <w:sz w:val="24"/>
        </w:rPr>
        <w:t xml:space="preserve"> i odz</w:t>
      </w:r>
      <w:r w:rsidRPr="00E26EF6">
        <w:rPr>
          <w:rFonts w:ascii="Times New Roman" w:hAnsi="Times New Roman"/>
          <w:sz w:val="24"/>
        </w:rPr>
        <w:t>yskane należności według linii biznesowych</w:t>
      </w:r>
      <w:r w:rsidR="00E26EF6" w:rsidRPr="00E26EF6">
        <w:rPr>
          <w:rFonts w:ascii="Times New Roman" w:hAnsi="Times New Roman"/>
          <w:sz w:val="24"/>
        </w:rPr>
        <w:t xml:space="preserve"> i rod</w:t>
      </w:r>
      <w:r w:rsidRPr="00E26EF6">
        <w:rPr>
          <w:rFonts w:ascii="Times New Roman" w:hAnsi="Times New Roman"/>
          <w:sz w:val="24"/>
        </w:rPr>
        <w:t>zajów zdarzeń straty</w:t>
      </w:r>
      <w:r w:rsidR="00E26EF6" w:rsidRPr="00E26EF6">
        <w:rPr>
          <w:rFonts w:ascii="Times New Roman" w:hAnsi="Times New Roman"/>
          <w:sz w:val="24"/>
        </w:rPr>
        <w:t xml:space="preserve"> w ost</w:t>
      </w:r>
      <w:r w:rsidRPr="00E26EF6">
        <w:rPr>
          <w:rFonts w:ascii="Times New Roman" w:hAnsi="Times New Roman"/>
          <w:sz w:val="24"/>
        </w:rPr>
        <w:t>atnim roku (OPR SZCZEGÓŁY 1)</w:t>
      </w:r>
      <w:bookmarkEnd w:id="77"/>
    </w:p>
    <w:p w14:paraId="5365FCC1"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78" w:name="_Toc31014375"/>
      <w:r w:rsidRPr="00E26EF6">
        <w:rPr>
          <w:rFonts w:ascii="Times New Roman" w:hAnsi="Times New Roman"/>
          <w:sz w:val="24"/>
          <w:u w:val="none"/>
        </w:rPr>
        <w:t>4.2.2.1.</w:t>
      </w:r>
      <w:r w:rsidRPr="00E26EF6">
        <w:rPr>
          <w:rFonts w:ascii="Times New Roman" w:hAnsi="Times New Roman"/>
          <w:sz w:val="24"/>
          <w:u w:val="none"/>
        </w:rPr>
        <w:tab/>
      </w:r>
      <w:r w:rsidRPr="00E26EF6">
        <w:rPr>
          <w:rFonts w:ascii="Times New Roman" w:hAnsi="Times New Roman"/>
          <w:sz w:val="24"/>
        </w:rPr>
        <w:t>Uwagi ogólne</w:t>
      </w:r>
      <w:bookmarkEnd w:id="78"/>
    </w:p>
    <w:p w14:paraId="0A9E5D92" w14:textId="15341672" w:rsidR="00915077" w:rsidRPr="00E26EF6" w:rsidRDefault="00125707">
      <w:pPr>
        <w:pStyle w:val="InstructionsText2"/>
        <w:numPr>
          <w:ilvl w:val="0"/>
          <w:numId w:val="0"/>
        </w:numPr>
        <w:ind w:left="993"/>
      </w:pPr>
      <w:r w:rsidRPr="00E26EF6">
        <w:t xml:space="preserve">130. We wzorze C 17.01 </w:t>
      </w:r>
      <w:proofErr w:type="gramStart"/>
      <w:r w:rsidRPr="00E26EF6">
        <w:t>informacje</w:t>
      </w:r>
      <w:proofErr w:type="gramEnd"/>
      <w:r w:rsidRPr="00E26EF6">
        <w:t xml:space="preserve"> przedstawia się, rozkładając straty</w:t>
      </w:r>
      <w:r w:rsidR="00E26EF6" w:rsidRPr="00E26EF6">
        <w:t xml:space="preserve"> i odz</w:t>
      </w:r>
      <w:r w:rsidRPr="00E26EF6">
        <w:t>yskane należności przekraczające wewnętrzne progi na linie biznesowe (wykazane</w:t>
      </w:r>
      <w:r w:rsidR="00E26EF6" w:rsidRPr="00E26EF6">
        <w:t xml:space="preserve"> w tab</w:t>
      </w:r>
      <w:r w:rsidRPr="00E26EF6">
        <w:t>eli 2</w:t>
      </w:r>
      <w:r w:rsidR="00E26EF6" w:rsidRPr="00E26EF6">
        <w:t xml:space="preserve"> w art</w:t>
      </w:r>
      <w:r w:rsidRPr="00E26EF6">
        <w:t>.</w:t>
      </w:r>
      <w:r w:rsidR="00023409" w:rsidRPr="00E26EF6">
        <w:t> </w:t>
      </w:r>
      <w:r w:rsidRPr="00E26EF6">
        <w:t>317 CRR,</w:t>
      </w:r>
      <w:r w:rsidR="00E26EF6" w:rsidRPr="00E26EF6">
        <w:t xml:space="preserve"> w tym</w:t>
      </w:r>
      <w:r w:rsidRPr="00E26EF6">
        <w:t xml:space="preserve"> dodatkową linię biznesową „pozycje korporacyjne”,</w:t>
      </w:r>
      <w:r w:rsidR="00E26EF6" w:rsidRPr="00E26EF6">
        <w:t xml:space="preserve"> o któ</w:t>
      </w:r>
      <w:r w:rsidRPr="00E26EF6">
        <w:t>rej mowa</w:t>
      </w:r>
      <w:r w:rsidR="00E26EF6" w:rsidRPr="00E26EF6">
        <w:t xml:space="preserve"> w art</w:t>
      </w:r>
      <w:r w:rsidRPr="00E26EF6">
        <w:t>.</w:t>
      </w:r>
      <w:r w:rsidR="00023409" w:rsidRPr="00E26EF6">
        <w:t> </w:t>
      </w:r>
      <w:r w:rsidRPr="00E26EF6">
        <w:t>322 ust.</w:t>
      </w:r>
      <w:r w:rsidR="00023409" w:rsidRPr="00E26EF6">
        <w:t> </w:t>
      </w:r>
      <w:r w:rsidRPr="00E26EF6">
        <w:t>3 lit.</w:t>
      </w:r>
      <w:r w:rsidR="00023409" w:rsidRPr="00E26EF6">
        <w:t> </w:t>
      </w:r>
      <w:r w:rsidRPr="00E26EF6">
        <w:t>b) CRR)</w:t>
      </w:r>
      <w:r w:rsidR="00E26EF6" w:rsidRPr="00E26EF6">
        <w:t xml:space="preserve"> i rod</w:t>
      </w:r>
      <w:r w:rsidRPr="00E26EF6">
        <w:t>zaje zdarzeń straty (o których mowa</w:t>
      </w:r>
      <w:r w:rsidR="00E26EF6" w:rsidRPr="00E26EF6">
        <w:t xml:space="preserve"> w art</w:t>
      </w:r>
      <w:r w:rsidRPr="00E26EF6">
        <w:t>.</w:t>
      </w:r>
      <w:r w:rsidR="00023409" w:rsidRPr="00E26EF6">
        <w:t> </w:t>
      </w:r>
      <w:r w:rsidRPr="00E26EF6">
        <w:t>324 CRR). Możliwe jest rozłożenie strat odpowiadających jednemu zdarzeniu straty na kilka linii biznesowych.</w:t>
      </w:r>
    </w:p>
    <w:p w14:paraId="78785B44" w14:textId="426C9279" w:rsidR="00915077" w:rsidRPr="00E26EF6" w:rsidRDefault="00125707">
      <w:pPr>
        <w:pStyle w:val="InstructionsText2"/>
        <w:numPr>
          <w:ilvl w:val="0"/>
          <w:numId w:val="0"/>
        </w:numPr>
        <w:ind w:left="993"/>
      </w:pPr>
      <w:r w:rsidRPr="00E26EF6">
        <w:t>131</w:t>
      </w:r>
      <w:r w:rsidR="00E26EF6" w:rsidRPr="00E26EF6">
        <w:t>. W kol</w:t>
      </w:r>
      <w:r w:rsidRPr="00E26EF6">
        <w:t>umnach przedstawiono różne rodzaje zdarzeń straty</w:t>
      </w:r>
      <w:r w:rsidR="00E26EF6" w:rsidRPr="00E26EF6">
        <w:t xml:space="preserve"> i sum</w:t>
      </w:r>
      <w:r w:rsidRPr="00E26EF6">
        <w:t>y łączne</w:t>
      </w:r>
      <w:r w:rsidR="00E26EF6" w:rsidRPr="00E26EF6">
        <w:t xml:space="preserve"> w odn</w:t>
      </w:r>
      <w:r w:rsidRPr="00E26EF6">
        <w:t>iesieniu do każdej linii biznesowej wraz</w:t>
      </w:r>
      <w:r w:rsidR="00E26EF6" w:rsidRPr="00E26EF6">
        <w:t xml:space="preserve"> z poz</w:t>
      </w:r>
      <w:r w:rsidRPr="00E26EF6">
        <w:t>ycją uzupełniającą,</w:t>
      </w:r>
      <w:r w:rsidR="00E26EF6" w:rsidRPr="00E26EF6">
        <w:t xml:space="preserve"> w któ</w:t>
      </w:r>
      <w:r w:rsidRPr="00E26EF6">
        <w:t>rej wskazano najniższy wewnętrzny próg zastosowany przy gromadzeniu danych</w:t>
      </w:r>
      <w:r w:rsidR="00E26EF6" w:rsidRPr="00E26EF6">
        <w:t xml:space="preserve"> o str</w:t>
      </w:r>
      <w:r w:rsidRPr="00E26EF6">
        <w:t xml:space="preserve">atach, </w:t>
      </w:r>
      <w:r w:rsidRPr="00E26EF6">
        <w:lastRenderedPageBreak/>
        <w:t>podając</w:t>
      </w:r>
      <w:r w:rsidR="00E26EF6" w:rsidRPr="00E26EF6">
        <w:t xml:space="preserve"> w ram</w:t>
      </w:r>
      <w:r w:rsidRPr="00E26EF6">
        <w:t>ach każdej linii biznesowej najniższy</w:t>
      </w:r>
      <w:r w:rsidR="00E26EF6" w:rsidRPr="00E26EF6">
        <w:t xml:space="preserve"> i naj</w:t>
      </w:r>
      <w:r w:rsidRPr="00E26EF6">
        <w:t>wyższy próg,</w:t>
      </w:r>
      <w:r w:rsidR="00E26EF6" w:rsidRPr="00E26EF6">
        <w:t xml:space="preserve"> w prz</w:t>
      </w:r>
      <w:r w:rsidRPr="00E26EF6">
        <w:t>ypadku gdy istnieje więcej niż jeden.</w:t>
      </w:r>
    </w:p>
    <w:p w14:paraId="3C522681" w14:textId="69D97A25" w:rsidR="00915077" w:rsidRPr="00E26EF6" w:rsidRDefault="00125707">
      <w:pPr>
        <w:pStyle w:val="InstructionsText2"/>
        <w:numPr>
          <w:ilvl w:val="0"/>
          <w:numId w:val="0"/>
        </w:numPr>
        <w:ind w:left="993"/>
      </w:pPr>
      <w:r w:rsidRPr="00E26EF6">
        <w:t>132.</w:t>
      </w:r>
      <w:r w:rsidRPr="00E26EF6">
        <w:tab/>
        <w:t xml:space="preserve"> W wierszach przedstawia się linie biznesowe,</w:t>
      </w:r>
      <w:r w:rsidR="00E26EF6" w:rsidRPr="00E26EF6">
        <w:t xml:space="preserve"> a w ram</w:t>
      </w:r>
      <w:r w:rsidRPr="00E26EF6">
        <w:t>ach każdej linii biznesowej informacje dotyczące liczby zdarzeń straty (nowe zdarzenia straty), kwoty strat brutto (nowe zdarzenia), liczby zdarzeń straty objętych korektami strat, korekt strat dotyczących poprzednich okresów sprawozdawczych, maksymalnej pojedynczej straty, sumy pięciu największych strat oraz informacje dotyczące całkowitych odzyskanych należności (bezpośrednio odzyskane należności oraz należności odzyskane</w:t>
      </w:r>
      <w:r w:rsidR="00E26EF6" w:rsidRPr="00E26EF6">
        <w:t xml:space="preserve"> z ube</w:t>
      </w:r>
      <w:r w:rsidRPr="00E26EF6">
        <w:t>zpieczenia</w:t>
      </w:r>
      <w:r w:rsidR="00E26EF6" w:rsidRPr="00E26EF6">
        <w:t xml:space="preserve"> i inn</w:t>
      </w:r>
      <w:r w:rsidRPr="00E26EF6">
        <w:t>ych mechanizmów transferu ryzyka).</w:t>
      </w:r>
    </w:p>
    <w:p w14:paraId="369C04CC" w14:textId="4E93B6EB" w:rsidR="00915077" w:rsidRPr="00E26EF6" w:rsidRDefault="00125707">
      <w:pPr>
        <w:pStyle w:val="InstructionsText2"/>
        <w:numPr>
          <w:ilvl w:val="0"/>
          <w:numId w:val="0"/>
        </w:numPr>
        <w:ind w:left="993"/>
      </w:pPr>
      <w:r w:rsidRPr="00E26EF6">
        <w:t>133</w:t>
      </w:r>
      <w:r w:rsidR="00E26EF6" w:rsidRPr="00E26EF6">
        <w:t>. W odn</w:t>
      </w:r>
      <w:r w:rsidRPr="00E26EF6">
        <w:t>iesieniu do „linii biznesowych razem” dane dotyczące liczby zdarzeń straty</w:t>
      </w:r>
      <w:r w:rsidR="00E26EF6" w:rsidRPr="00E26EF6">
        <w:t xml:space="preserve"> i kwo</w:t>
      </w:r>
      <w:r w:rsidRPr="00E26EF6">
        <w:t>ty strat brutto zgłasza się również</w:t>
      </w:r>
      <w:r w:rsidR="00E26EF6" w:rsidRPr="00E26EF6">
        <w:t xml:space="preserve"> w odn</w:t>
      </w:r>
      <w:r w:rsidRPr="00E26EF6">
        <w:t>iesieniu do niektórych przedziałów ustalonych na podstawie określonych progów, tj.</w:t>
      </w:r>
      <w:r w:rsidR="00023409" w:rsidRPr="00E26EF6">
        <w:t> </w:t>
      </w:r>
      <w:r w:rsidRPr="00E26EF6">
        <w:t>10 000, 20 000, 100 000 oraz 1 000 000. Progi te określone są w EUR i są uwzględnione do celów porównywalności strat zgłaszanych przez instytucje. Progi te nie są zatem koniecznie związane</w:t>
      </w:r>
      <w:r w:rsidR="00E26EF6" w:rsidRPr="00E26EF6">
        <w:t xml:space="preserve"> z pro</w:t>
      </w:r>
      <w:r w:rsidRPr="00E26EF6">
        <w:t>gami minimalnych strat stosowanymi do celów gromadzenia wewnętrznych danych dotyczących strat, które są zgłaszane</w:t>
      </w:r>
      <w:r w:rsidR="00E26EF6" w:rsidRPr="00E26EF6">
        <w:t xml:space="preserve"> w inn</w:t>
      </w:r>
      <w:r w:rsidRPr="00E26EF6">
        <w:t>ej sekcji wzoru.</w:t>
      </w:r>
    </w:p>
    <w:p w14:paraId="1A70C919"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79" w:name="_Toc31014376"/>
      <w:r w:rsidRPr="00E26EF6">
        <w:rPr>
          <w:rFonts w:ascii="Times New Roman" w:hAnsi="Times New Roman"/>
          <w:sz w:val="24"/>
          <w:u w:val="none"/>
        </w:rPr>
        <w:t>4.2.2.2.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915077" w:rsidRPr="00E26EF6" w14:paraId="6133A103" w14:textId="77777777" w:rsidTr="00672D2A">
        <w:trPr>
          <w:trHeight w:val="576"/>
        </w:trPr>
        <w:tc>
          <w:tcPr>
            <w:tcW w:w="9180" w:type="dxa"/>
            <w:gridSpan w:val="2"/>
            <w:shd w:val="clear" w:color="auto" w:fill="CCCCCC"/>
          </w:tcPr>
          <w:p w14:paraId="73DF8664" w14:textId="77777777" w:rsidR="00915077" w:rsidRPr="00E26EF6" w:rsidRDefault="00FD54FC">
            <w:pPr>
              <w:autoSpaceDE w:val="0"/>
              <w:autoSpaceDN w:val="0"/>
              <w:adjustRightInd w:val="0"/>
              <w:spacing w:after="0"/>
              <w:rPr>
                <w:rFonts w:ascii="Times New Roman" w:hAnsi="Times New Roman"/>
                <w:b/>
                <w:bCs/>
                <w:sz w:val="24"/>
                <w:highlight w:val="lightGray"/>
              </w:rPr>
            </w:pPr>
            <w:r w:rsidRPr="00E26EF6">
              <w:rPr>
                <w:rFonts w:ascii="Times New Roman" w:hAnsi="Times New Roman"/>
                <w:b/>
                <w:bCs/>
                <w:sz w:val="24"/>
              </w:rPr>
              <w:t>Kolumny</w:t>
            </w:r>
          </w:p>
        </w:tc>
      </w:tr>
      <w:tr w:rsidR="00915077" w:rsidRPr="00E26EF6" w14:paraId="512463AA" w14:textId="77777777" w:rsidTr="00672D2A">
        <w:tc>
          <w:tcPr>
            <w:tcW w:w="985" w:type="dxa"/>
          </w:tcPr>
          <w:p w14:paraId="14B4E581" w14:textId="77777777" w:rsidR="00915077" w:rsidRPr="00E26EF6" w:rsidRDefault="00C93FC2">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0010–0070</w:t>
            </w:r>
          </w:p>
        </w:tc>
        <w:tc>
          <w:tcPr>
            <w:tcW w:w="8195" w:type="dxa"/>
          </w:tcPr>
          <w:p w14:paraId="7AD5518A" w14:textId="77777777" w:rsidR="00915077" w:rsidRPr="00E26EF6" w:rsidRDefault="00FD54FC">
            <w:pPr>
              <w:autoSpaceDE w:val="0"/>
              <w:autoSpaceDN w:val="0"/>
              <w:adjustRightInd w:val="0"/>
              <w:spacing w:before="0" w:after="0"/>
              <w:rPr>
                <w:rStyle w:val="InstructionsTabelleberschrift"/>
                <w:rFonts w:ascii="Times New Roman" w:hAnsi="Times New Roman"/>
                <w:sz w:val="24"/>
              </w:rPr>
            </w:pPr>
            <w:r w:rsidRPr="00E26EF6">
              <w:rPr>
                <w:rStyle w:val="InstructionsTabelleberschrift"/>
                <w:rFonts w:ascii="Times New Roman" w:hAnsi="Times New Roman"/>
                <w:sz w:val="24"/>
              </w:rPr>
              <w:t>RODZAJE ZDARZEŃ</w:t>
            </w:r>
          </w:p>
          <w:p w14:paraId="64A60681" w14:textId="6ADE2657" w:rsidR="00915077" w:rsidRPr="00E26EF6" w:rsidRDefault="00FD54FC">
            <w:pPr>
              <w:rPr>
                <w:rFonts w:ascii="Times New Roman" w:hAnsi="Times New Roman"/>
                <w:sz w:val="24"/>
              </w:rPr>
            </w:pPr>
            <w:r w:rsidRPr="00E26EF6">
              <w:rPr>
                <w:rFonts w:ascii="Times New Roman" w:hAnsi="Times New Roman"/>
                <w:sz w:val="24"/>
              </w:rPr>
              <w:t>Instytucje zgłaszają straty</w:t>
            </w:r>
            <w:r w:rsidR="00E26EF6" w:rsidRPr="00E26EF6">
              <w:rPr>
                <w:rFonts w:ascii="Times New Roman" w:hAnsi="Times New Roman"/>
                <w:sz w:val="24"/>
              </w:rPr>
              <w:t xml:space="preserve"> w odp</w:t>
            </w:r>
            <w:r w:rsidRPr="00E26EF6">
              <w:rPr>
                <w:rFonts w:ascii="Times New Roman" w:hAnsi="Times New Roman"/>
                <w:sz w:val="24"/>
              </w:rPr>
              <w:t>owiednich kolumnach od</w:t>
            </w:r>
            <w:r w:rsidR="00023409" w:rsidRPr="00E26EF6">
              <w:rPr>
                <w:rFonts w:ascii="Times New Roman" w:hAnsi="Times New Roman"/>
                <w:sz w:val="24"/>
              </w:rPr>
              <w:t> </w:t>
            </w:r>
            <w:r w:rsidRPr="00E26EF6">
              <w:rPr>
                <w:rFonts w:ascii="Times New Roman" w:hAnsi="Times New Roman"/>
                <w:sz w:val="24"/>
              </w:rPr>
              <w:t>010 do</w:t>
            </w:r>
            <w:r w:rsidR="00023409" w:rsidRPr="00E26EF6">
              <w:rPr>
                <w:rFonts w:ascii="Times New Roman" w:hAnsi="Times New Roman"/>
                <w:sz w:val="24"/>
              </w:rPr>
              <w:t> </w:t>
            </w:r>
            <w:r w:rsidRPr="00E26EF6">
              <w:rPr>
                <w:rFonts w:ascii="Times New Roman" w:hAnsi="Times New Roman"/>
                <w:sz w:val="24"/>
              </w:rPr>
              <w:t>070 według rodzajów zdarzeń straty,</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324 CRR. </w:t>
            </w:r>
          </w:p>
          <w:p w14:paraId="505467F1" w14:textId="18EB1166" w:rsidR="00915077" w:rsidRPr="00E26EF6" w:rsidRDefault="00FD54FC">
            <w:pPr>
              <w:rPr>
                <w:rFonts w:ascii="Times New Roman" w:hAnsi="Times New Roman"/>
                <w:bCs/>
                <w:sz w:val="24"/>
                <w:highlight w:val="lightGray"/>
              </w:rPr>
            </w:pPr>
            <w:r w:rsidRPr="00E26EF6">
              <w:rPr>
                <w:rFonts w:ascii="Times New Roman" w:hAnsi="Times New Roman"/>
                <w:bCs/>
                <w:sz w:val="24"/>
              </w:rPr>
              <w:t>Instytucje, które obliczają swoje wymogi</w:t>
            </w:r>
            <w:r w:rsidR="00E26EF6" w:rsidRPr="00E26EF6">
              <w:rPr>
                <w:rFonts w:ascii="Times New Roman" w:hAnsi="Times New Roman"/>
                <w:bCs/>
                <w:sz w:val="24"/>
              </w:rPr>
              <w:t xml:space="preserve"> w zak</w:t>
            </w:r>
            <w:r w:rsidRPr="00E26EF6">
              <w:rPr>
                <w:rFonts w:ascii="Times New Roman" w:hAnsi="Times New Roman"/>
                <w:bCs/>
                <w:sz w:val="24"/>
              </w:rPr>
              <w:t>resie funduszy własnych zgodnie</w:t>
            </w:r>
            <w:r w:rsidR="00E26EF6" w:rsidRPr="00E26EF6">
              <w:rPr>
                <w:rFonts w:ascii="Times New Roman" w:hAnsi="Times New Roman"/>
                <w:bCs/>
                <w:sz w:val="24"/>
              </w:rPr>
              <w:t xml:space="preserve"> z met</w:t>
            </w:r>
            <w:r w:rsidRPr="00E26EF6">
              <w:rPr>
                <w:rFonts w:ascii="Times New Roman" w:hAnsi="Times New Roman"/>
                <w:bCs/>
                <w:sz w:val="24"/>
              </w:rPr>
              <w:t>odą wskaźnika bazowego, mogą zgłaszać te straty,</w:t>
            </w:r>
            <w:r w:rsidR="00E26EF6" w:rsidRPr="00E26EF6">
              <w:rPr>
                <w:rFonts w:ascii="Times New Roman" w:hAnsi="Times New Roman"/>
                <w:bCs/>
                <w:sz w:val="24"/>
              </w:rPr>
              <w:t xml:space="preserve"> w odn</w:t>
            </w:r>
            <w:r w:rsidRPr="00E26EF6">
              <w:rPr>
                <w:rFonts w:ascii="Times New Roman" w:hAnsi="Times New Roman"/>
                <w:bCs/>
                <w:sz w:val="24"/>
              </w:rPr>
              <w:t>iesieniu do których nie zidentyfikowano rodzaju zdarzenia straty, wyłącznie</w:t>
            </w:r>
            <w:r w:rsidR="00E26EF6" w:rsidRPr="00E26EF6">
              <w:rPr>
                <w:rFonts w:ascii="Times New Roman" w:hAnsi="Times New Roman"/>
                <w:bCs/>
                <w:sz w:val="24"/>
              </w:rPr>
              <w:t xml:space="preserve"> w kol</w:t>
            </w:r>
            <w:r w:rsidRPr="00E26EF6">
              <w:rPr>
                <w:rFonts w:ascii="Times New Roman" w:hAnsi="Times New Roman"/>
                <w:bCs/>
                <w:sz w:val="24"/>
              </w:rPr>
              <w:t>umnie 080.</w:t>
            </w:r>
          </w:p>
        </w:tc>
      </w:tr>
      <w:tr w:rsidR="00915077" w:rsidRPr="00E26EF6" w14:paraId="7B954609" w14:textId="77777777" w:rsidTr="00672D2A">
        <w:tc>
          <w:tcPr>
            <w:tcW w:w="985" w:type="dxa"/>
          </w:tcPr>
          <w:p w14:paraId="7C1045CC" w14:textId="77777777" w:rsidR="00915077" w:rsidRPr="00E26EF6" w:rsidRDefault="00C93FC2">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0080</w:t>
            </w:r>
          </w:p>
        </w:tc>
        <w:tc>
          <w:tcPr>
            <w:tcW w:w="8195" w:type="dxa"/>
          </w:tcPr>
          <w:p w14:paraId="1752A989" w14:textId="77777777" w:rsidR="00915077" w:rsidRPr="00E26EF6" w:rsidRDefault="00FD54FC">
            <w:pPr>
              <w:autoSpaceDE w:val="0"/>
              <w:autoSpaceDN w:val="0"/>
              <w:adjustRightInd w:val="0"/>
              <w:spacing w:before="0" w:after="0"/>
              <w:rPr>
                <w:rStyle w:val="InstructionsTabelleberschrift"/>
                <w:rFonts w:ascii="Times New Roman" w:hAnsi="Times New Roman"/>
                <w:sz w:val="24"/>
              </w:rPr>
            </w:pPr>
            <w:r w:rsidRPr="00E26EF6">
              <w:rPr>
                <w:rStyle w:val="InstructionsTabelleberschrift"/>
                <w:rFonts w:ascii="Times New Roman" w:hAnsi="Times New Roman"/>
                <w:sz w:val="24"/>
              </w:rPr>
              <w:t>RODZAJE ZDARZEŃ STRATY RAZEM</w:t>
            </w:r>
          </w:p>
          <w:p w14:paraId="593E9B26" w14:textId="57525BE9" w:rsidR="00915077" w:rsidRPr="00E26EF6" w:rsidRDefault="00FD54FC">
            <w:pPr>
              <w:rPr>
                <w:rStyle w:val="InstructionsTabelleText"/>
                <w:rFonts w:ascii="Times New Roman" w:hAnsi="Times New Roman"/>
                <w:sz w:val="24"/>
              </w:rPr>
            </w:pPr>
            <w:r w:rsidRPr="00E26EF6">
              <w:rPr>
                <w:rStyle w:val="InstructionsTabelleText"/>
                <w:rFonts w:ascii="Times New Roman" w:hAnsi="Times New Roman"/>
                <w:sz w:val="24"/>
              </w:rPr>
              <w:t>W kolumnie 080</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każdej linii biznesowej instytucje zgłaszają łączną „liczbę zdarzeń straty (nowe zdarzenia straty</w:t>
            </w:r>
            <w:proofErr w:type="gramStart"/>
            <w:r w:rsidRPr="00E26EF6">
              <w:rPr>
                <w:rStyle w:val="InstructionsTabelleText"/>
                <w:rFonts w:ascii="Times New Roman" w:hAnsi="Times New Roman"/>
                <w:sz w:val="24"/>
              </w:rPr>
              <w:t>)”, łączną</w:t>
            </w:r>
            <w:proofErr w:type="gramEnd"/>
            <w:r w:rsidRPr="00E26EF6">
              <w:rPr>
                <w:rStyle w:val="InstructionsTabelleText"/>
                <w:rFonts w:ascii="Times New Roman" w:hAnsi="Times New Roman"/>
                <w:sz w:val="24"/>
              </w:rPr>
              <w:t xml:space="preserve"> „kwotę strat brutto (nowe zdarzenia straty)”, łączną „liczbę zdarzeń straty objętych korektami strat”, łączne „korekty strat dotyczących poprzednich okresów sprawozdawczych”, „maksymalną pojedynczą stratę”, „sumę pięciu największych strat”, łączne „całkowite bezpośrednio odzyskane należności” oraz łączne „całkowite należności odzyskane</w:t>
            </w:r>
            <w:r w:rsidR="00E26EF6" w:rsidRPr="00E26EF6">
              <w:rPr>
                <w:rStyle w:val="InstructionsTabelleText"/>
                <w:rFonts w:ascii="Times New Roman" w:hAnsi="Times New Roman"/>
                <w:sz w:val="24"/>
              </w:rPr>
              <w:t xml:space="preserve"> z ube</w:t>
            </w:r>
            <w:r w:rsidRPr="00E26EF6">
              <w:rPr>
                <w:rStyle w:val="InstructionsTabelleText"/>
                <w:rFonts w:ascii="Times New Roman" w:hAnsi="Times New Roman"/>
                <w:sz w:val="24"/>
              </w:rPr>
              <w:t>zpieczenia</w:t>
            </w:r>
            <w:r w:rsidR="00E26EF6" w:rsidRPr="00E26EF6">
              <w:rPr>
                <w:rStyle w:val="InstructionsTabelleText"/>
                <w:rFonts w:ascii="Times New Roman" w:hAnsi="Times New Roman"/>
                <w:sz w:val="24"/>
              </w:rPr>
              <w:t xml:space="preserve"> i inn</w:t>
            </w:r>
            <w:r w:rsidRPr="00E26EF6">
              <w:rPr>
                <w:rStyle w:val="InstructionsTabelleText"/>
                <w:rFonts w:ascii="Times New Roman" w:hAnsi="Times New Roman"/>
                <w:sz w:val="24"/>
              </w:rPr>
              <w:t>ych mechanizmów transferu ryzyka”.</w:t>
            </w:r>
          </w:p>
          <w:p w14:paraId="51D2EB5A" w14:textId="532E97C1" w:rsidR="00915077" w:rsidRPr="00E26EF6" w:rsidRDefault="00FD54FC">
            <w:pPr>
              <w:rPr>
                <w:rStyle w:val="InstructionsTabelleText"/>
                <w:rFonts w:ascii="Times New Roman" w:hAnsi="Times New Roman"/>
                <w:sz w:val="24"/>
              </w:rPr>
            </w:pPr>
            <w:r w:rsidRPr="00E26EF6">
              <w:rPr>
                <w:rStyle w:val="InstructionsTabelleText"/>
                <w:rFonts w:ascii="Times New Roman" w:hAnsi="Times New Roman"/>
                <w:sz w:val="24"/>
              </w:rPr>
              <w:t>Założywszy, że instytucja określiła rodzaje zdarzeń straty dla wszystkich strat, kolumna 080 pokazuje prostą agregację liczby zdarzeń straty, całkowitych kwot strat brutto, całkowitych kwot odzyskanych należności oraz „korekt strat dotyczących poprzednich okresów sprawozdawczych” zgłoszonych</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umnach od</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010 do</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070. </w:t>
            </w:r>
          </w:p>
          <w:p w14:paraId="239BC0C7" w14:textId="7778E69B" w:rsidR="00915077" w:rsidRPr="00E26EF6" w:rsidRDefault="00FD54FC">
            <w:pPr>
              <w:rPr>
                <w:rStyle w:val="InstructionsTabelleText"/>
                <w:rFonts w:ascii="Times New Roman" w:hAnsi="Times New Roman"/>
                <w:sz w:val="24"/>
              </w:rPr>
            </w:pPr>
            <w:r w:rsidRPr="00E26EF6">
              <w:rPr>
                <w:rStyle w:val="InstructionsTabelleText"/>
                <w:rFonts w:ascii="Times New Roman" w:hAnsi="Times New Roman"/>
                <w:sz w:val="24"/>
              </w:rPr>
              <w:t>„Maksymalna pojedyncza strata” zgłoszona</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080 oznacza maksymalną pojedynczą stratę</w:t>
            </w:r>
            <w:r w:rsidR="00E26EF6" w:rsidRPr="00E26EF6">
              <w:rPr>
                <w:rStyle w:val="InstructionsTabelleText"/>
                <w:rFonts w:ascii="Times New Roman" w:hAnsi="Times New Roman"/>
                <w:sz w:val="24"/>
              </w:rPr>
              <w:t xml:space="preserve"> w ram</w:t>
            </w:r>
            <w:r w:rsidRPr="00E26EF6">
              <w:rPr>
                <w:rStyle w:val="InstructionsTabelleText"/>
                <w:rFonts w:ascii="Times New Roman" w:hAnsi="Times New Roman"/>
                <w:sz w:val="24"/>
              </w:rPr>
              <w:t>ach linii biznesowej</w:t>
            </w:r>
            <w:r w:rsidR="00E26EF6" w:rsidRPr="00E26EF6">
              <w:rPr>
                <w:rStyle w:val="InstructionsTabelleText"/>
                <w:rFonts w:ascii="Times New Roman" w:hAnsi="Times New Roman"/>
                <w:sz w:val="24"/>
              </w:rPr>
              <w:t xml:space="preserve"> i jes</w:t>
            </w:r>
            <w:r w:rsidRPr="00E26EF6">
              <w:rPr>
                <w:rStyle w:val="InstructionsTabelleText"/>
                <w:rFonts w:ascii="Times New Roman" w:hAnsi="Times New Roman"/>
                <w:sz w:val="24"/>
              </w:rPr>
              <w:t>t identyczna</w:t>
            </w:r>
            <w:r w:rsidR="00E26EF6" w:rsidRPr="00E26EF6">
              <w:rPr>
                <w:rStyle w:val="InstructionsTabelleText"/>
                <w:rFonts w:ascii="Times New Roman" w:hAnsi="Times New Roman"/>
                <w:sz w:val="24"/>
              </w:rPr>
              <w:t xml:space="preserve"> z mak</w:t>
            </w:r>
            <w:r w:rsidRPr="00E26EF6">
              <w:rPr>
                <w:rStyle w:val="InstructionsTabelleText"/>
                <w:rFonts w:ascii="Times New Roman" w:hAnsi="Times New Roman"/>
                <w:sz w:val="24"/>
              </w:rPr>
              <w:t>symalną wartością „maksymalnych pojedynczych strat” zgłoszonych</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umnach od</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010 do</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070, założywszy, że instytucja określiła rodzaje zdarzeń straty dla wszystkich strat. </w:t>
            </w:r>
          </w:p>
          <w:p w14:paraId="293F470B" w14:textId="72EC6946" w:rsidR="00915077" w:rsidRPr="00E26EF6" w:rsidRDefault="00FD54FC">
            <w:pPr>
              <w:rPr>
                <w:rFonts w:ascii="Times New Roman" w:hAnsi="Times New Roman"/>
                <w:bCs/>
                <w:sz w:val="24"/>
                <w:highlight w:val="lightGray"/>
              </w:rPr>
            </w:pPr>
            <w:r w:rsidRPr="00E26EF6">
              <w:rPr>
                <w:rStyle w:val="InstructionsTabelleText"/>
                <w:rFonts w:ascii="Times New Roman" w:hAnsi="Times New Roman"/>
                <w:sz w:val="24"/>
              </w:rPr>
              <w:t>W odniesieniu do sumy pięciu największych strat</w:t>
            </w:r>
            <w:r w:rsidR="00E26EF6" w:rsidRPr="00E26EF6">
              <w:rPr>
                <w:rStyle w:val="InstructionsTabelleText"/>
                <w:rFonts w:ascii="Times New Roman" w:hAnsi="Times New Roman"/>
                <w:sz w:val="24"/>
              </w:rPr>
              <w:t xml:space="preserve"> w kol</w:t>
            </w:r>
            <w:r w:rsidRPr="00E26EF6">
              <w:rPr>
                <w:rStyle w:val="InstructionsTabelleText"/>
                <w:rFonts w:ascii="Times New Roman" w:hAnsi="Times New Roman"/>
                <w:sz w:val="24"/>
              </w:rPr>
              <w:t>umnie 080 zgłasza się sumę pięciu największych strat</w:t>
            </w:r>
            <w:r w:rsidR="00E26EF6" w:rsidRPr="00E26EF6">
              <w:rPr>
                <w:rStyle w:val="InstructionsTabelleText"/>
                <w:rFonts w:ascii="Times New Roman" w:hAnsi="Times New Roman"/>
                <w:sz w:val="24"/>
              </w:rPr>
              <w:t xml:space="preserve"> w ram</w:t>
            </w:r>
            <w:r w:rsidRPr="00E26EF6">
              <w:rPr>
                <w:rStyle w:val="InstructionsTabelleText"/>
                <w:rFonts w:ascii="Times New Roman" w:hAnsi="Times New Roman"/>
                <w:sz w:val="24"/>
              </w:rPr>
              <w:t>ach jednej linii biznesowej.</w:t>
            </w:r>
          </w:p>
        </w:tc>
      </w:tr>
      <w:tr w:rsidR="00915077" w:rsidRPr="00E26EF6" w14:paraId="3B74DBFF" w14:textId="77777777" w:rsidTr="00672D2A">
        <w:tc>
          <w:tcPr>
            <w:tcW w:w="985" w:type="dxa"/>
          </w:tcPr>
          <w:p w14:paraId="28ACCDB1" w14:textId="77777777" w:rsidR="00915077" w:rsidRPr="00E26EF6" w:rsidRDefault="00C93FC2">
            <w:pPr>
              <w:autoSpaceDE w:val="0"/>
              <w:autoSpaceDN w:val="0"/>
              <w:adjustRightInd w:val="0"/>
              <w:spacing w:before="0" w:after="0"/>
              <w:rPr>
                <w:rFonts w:ascii="Times New Roman" w:hAnsi="Times New Roman"/>
                <w:bCs/>
                <w:sz w:val="24"/>
                <w:highlight w:val="lightGray"/>
              </w:rPr>
            </w:pPr>
            <w:r w:rsidRPr="00E26EF6">
              <w:rPr>
                <w:rFonts w:ascii="Times New Roman" w:hAnsi="Times New Roman"/>
                <w:bCs/>
                <w:sz w:val="24"/>
              </w:rPr>
              <w:t>0090–0100</w:t>
            </w:r>
          </w:p>
        </w:tc>
        <w:tc>
          <w:tcPr>
            <w:tcW w:w="8195" w:type="dxa"/>
          </w:tcPr>
          <w:p w14:paraId="085BD40C" w14:textId="77777777" w:rsidR="00915077" w:rsidRPr="00E26EF6" w:rsidRDefault="00FD54FC">
            <w:pPr>
              <w:autoSpaceDE w:val="0"/>
              <w:autoSpaceDN w:val="0"/>
              <w:adjustRightInd w:val="0"/>
              <w:spacing w:before="0" w:after="0"/>
              <w:rPr>
                <w:rFonts w:ascii="Times New Roman" w:hAnsi="Times New Roman"/>
                <w:sz w:val="24"/>
              </w:rPr>
            </w:pPr>
            <w:r w:rsidRPr="00E26EF6">
              <w:rPr>
                <w:rStyle w:val="InstructionsTabelleberschrift"/>
                <w:rFonts w:ascii="Times New Roman" w:hAnsi="Times New Roman"/>
                <w:sz w:val="24"/>
              </w:rPr>
              <w:t>POZYCJA UZUPEŁNIAJĄCA: PRÓG STOSOWANY NA POTRZEBY GROMADZENIA DANYCH</w:t>
            </w:r>
          </w:p>
          <w:p w14:paraId="45E2948B" w14:textId="2A719B33" w:rsidR="00915077" w:rsidRPr="00E26EF6" w:rsidRDefault="00FD54FC">
            <w:pPr>
              <w:autoSpaceDE w:val="0"/>
              <w:autoSpaceDN w:val="0"/>
              <w:adjustRightInd w:val="0"/>
              <w:spacing w:before="0" w:after="0"/>
              <w:rPr>
                <w:rStyle w:val="InstructionsTabelleText"/>
                <w:rFonts w:ascii="Times New Roman" w:hAnsi="Times New Roman"/>
                <w:sz w:val="24"/>
              </w:rPr>
            </w:pPr>
            <w:r w:rsidRPr="00E26EF6">
              <w:rPr>
                <w:rStyle w:val="InstructionsTabelleText"/>
                <w:rFonts w:ascii="Times New Roman" w:hAnsi="Times New Roman"/>
                <w:sz w:val="24"/>
              </w:rPr>
              <w:t>W kolumnach 090</w:t>
            </w:r>
            <w:r w:rsidR="00E26EF6" w:rsidRPr="00E26EF6">
              <w:rPr>
                <w:rStyle w:val="InstructionsTabelleText"/>
                <w:rFonts w:ascii="Times New Roman" w:hAnsi="Times New Roman"/>
                <w:sz w:val="24"/>
              </w:rPr>
              <w:t xml:space="preserve"> i 1</w:t>
            </w:r>
            <w:r w:rsidRPr="00E26EF6">
              <w:rPr>
                <w:rStyle w:val="InstructionsTabelleText"/>
                <w:rFonts w:ascii="Times New Roman" w:hAnsi="Times New Roman"/>
                <w:sz w:val="24"/>
              </w:rPr>
              <w:t>00 instytucje zgłaszają progi minimalnych strat, które stosują do celów gromadzenia wewnętrznych danych</w:t>
            </w:r>
            <w:r w:rsidR="00E26EF6" w:rsidRPr="00E26EF6">
              <w:rPr>
                <w:rStyle w:val="InstructionsTabelleText"/>
                <w:rFonts w:ascii="Times New Roman" w:hAnsi="Times New Roman"/>
                <w:sz w:val="24"/>
              </w:rPr>
              <w:t xml:space="preserve"> o str</w:t>
            </w:r>
            <w:r w:rsidRPr="00E26EF6">
              <w:rPr>
                <w:rStyle w:val="InstructionsTabelleText"/>
                <w:rFonts w:ascii="Times New Roman" w:hAnsi="Times New Roman"/>
                <w:sz w:val="24"/>
              </w:rPr>
              <w:t>atach zgodnie</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322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c) zdanie ostatnie CRR. </w:t>
            </w:r>
          </w:p>
          <w:p w14:paraId="20697D94" w14:textId="675310EE" w:rsidR="00915077" w:rsidRPr="00E26EF6" w:rsidRDefault="001F6487">
            <w:pPr>
              <w:autoSpaceDE w:val="0"/>
              <w:autoSpaceDN w:val="0"/>
              <w:adjustRightInd w:val="0"/>
              <w:spacing w:before="0" w:after="0"/>
              <w:rPr>
                <w:rStyle w:val="InstructionsTabelleText"/>
                <w:rFonts w:ascii="Times New Roman" w:hAnsi="Times New Roman"/>
                <w:sz w:val="24"/>
              </w:rPr>
            </w:pPr>
            <w:r w:rsidRPr="00E26EF6">
              <w:rPr>
                <w:rStyle w:val="InstructionsTabelleText"/>
                <w:rFonts w:ascii="Times New Roman" w:hAnsi="Times New Roman"/>
                <w:sz w:val="24"/>
              </w:rPr>
              <w:t>Jeżeli instytucja stosuje tylko jeden próg</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 xml:space="preserve">iesieniu do każdej linii biznesowej, należy wypełnić jedynie kolumnę 090. </w:t>
            </w:r>
          </w:p>
          <w:p w14:paraId="0A034B85" w14:textId="25C23B7E" w:rsidR="00915077" w:rsidRPr="00E26EF6" w:rsidRDefault="001F6487">
            <w:pPr>
              <w:rPr>
                <w:rStyle w:val="InstructionsTabelleText"/>
                <w:rFonts w:ascii="Times New Roman" w:hAnsi="Times New Roman"/>
                <w:sz w:val="24"/>
              </w:rPr>
            </w:pPr>
            <w:r w:rsidRPr="00E26EF6">
              <w:rPr>
                <w:rStyle w:val="InstructionsTabelleText"/>
                <w:rFonts w:ascii="Times New Roman" w:hAnsi="Times New Roman"/>
                <w:sz w:val="24"/>
              </w:rPr>
              <w:lastRenderedPageBreak/>
              <w:t>W przypadku gdy istnieją różne progi stosowane</w:t>
            </w:r>
            <w:r w:rsidR="00E26EF6" w:rsidRPr="00E26EF6">
              <w:rPr>
                <w:rStyle w:val="InstructionsTabelleText"/>
                <w:rFonts w:ascii="Times New Roman" w:hAnsi="Times New Roman"/>
                <w:sz w:val="24"/>
              </w:rPr>
              <w:t xml:space="preserve"> w ram</w:t>
            </w:r>
            <w:r w:rsidRPr="00E26EF6">
              <w:rPr>
                <w:rStyle w:val="InstructionsTabelleText"/>
                <w:rFonts w:ascii="Times New Roman" w:hAnsi="Times New Roman"/>
                <w:sz w:val="24"/>
              </w:rPr>
              <w:t>ach tych samych regulacyjnych linii biznesowych, należy wypełnić również najwyższy obowiązujący próg (kolumna 100).</w:t>
            </w:r>
          </w:p>
        </w:tc>
      </w:tr>
    </w:tbl>
    <w:p w14:paraId="0D28A5B3" w14:textId="77777777" w:rsidR="00915077" w:rsidRPr="00E26EF6" w:rsidRDefault="00915077">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915077" w:rsidRPr="00E26EF6" w14:paraId="47512A96" w14:textId="77777777" w:rsidTr="00672D2A">
        <w:trPr>
          <w:trHeight w:val="504"/>
        </w:trPr>
        <w:tc>
          <w:tcPr>
            <w:tcW w:w="9180" w:type="dxa"/>
            <w:gridSpan w:val="2"/>
            <w:shd w:val="clear" w:color="auto" w:fill="CCCCCC"/>
          </w:tcPr>
          <w:p w14:paraId="6B697241" w14:textId="77777777" w:rsidR="00915077" w:rsidRPr="00E26EF6" w:rsidRDefault="00FD54FC">
            <w:pPr>
              <w:autoSpaceDE w:val="0"/>
              <w:autoSpaceDN w:val="0"/>
              <w:adjustRightInd w:val="0"/>
              <w:spacing w:after="0"/>
              <w:rPr>
                <w:rFonts w:ascii="Times New Roman" w:hAnsi="Times New Roman"/>
                <w:b/>
                <w:bCs/>
                <w:sz w:val="24"/>
                <w:highlight w:val="lightGray"/>
              </w:rPr>
            </w:pPr>
            <w:r w:rsidRPr="00E26EF6">
              <w:rPr>
                <w:rFonts w:ascii="Times New Roman" w:hAnsi="Times New Roman"/>
                <w:b/>
                <w:bCs/>
                <w:sz w:val="24"/>
              </w:rPr>
              <w:t>Wiersze</w:t>
            </w:r>
          </w:p>
        </w:tc>
      </w:tr>
      <w:tr w:rsidR="00915077" w:rsidRPr="00E26EF6" w14:paraId="06F4EB44" w14:textId="77777777" w:rsidTr="00672D2A">
        <w:tc>
          <w:tcPr>
            <w:tcW w:w="1101" w:type="dxa"/>
          </w:tcPr>
          <w:p w14:paraId="0FDBA9D1" w14:textId="77777777" w:rsidR="00915077" w:rsidRPr="00E26EF6" w:rsidRDefault="00C93FC2">
            <w:pPr>
              <w:rPr>
                <w:rFonts w:ascii="Times New Roman" w:hAnsi="Times New Roman"/>
                <w:bCs/>
                <w:sz w:val="24"/>
                <w:highlight w:val="lightGray"/>
              </w:rPr>
            </w:pPr>
            <w:r w:rsidRPr="00E26EF6">
              <w:rPr>
                <w:rFonts w:ascii="Times New Roman" w:hAnsi="Times New Roman"/>
                <w:sz w:val="24"/>
              </w:rPr>
              <w:t>0010</w:t>
            </w:r>
            <w:r w:rsidRPr="00E26EF6">
              <w:rPr>
                <w:rFonts w:ascii="Times New Roman" w:hAnsi="Times New Roman"/>
                <w:bCs/>
                <w:sz w:val="24"/>
              </w:rPr>
              <w:t>–0880</w:t>
            </w:r>
          </w:p>
        </w:tc>
        <w:tc>
          <w:tcPr>
            <w:tcW w:w="8079" w:type="dxa"/>
          </w:tcPr>
          <w:p w14:paraId="790E6AEC"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LINIE BIZNESOWE: FINANSOWANIE PRZEDSIĘBIORSTW, HANDEL I SPRZEDAŻ, DETALICZNA DZIAŁALNOŚĆ BROKERSKA, BANKOWOŚĆ KOMERCYJNA, BANKOWOŚĆ DETALICZNA, PŁATNOŚCI I ROZLICZENIA, USŁUGI POŚREDNICTWA, ZARZĄDZANIE AKTYWAMI, POZYCJE KORPORACYJNE</w:t>
            </w:r>
          </w:p>
          <w:p w14:paraId="3928E22F" w14:textId="7F0452F4" w:rsidR="00915077" w:rsidRPr="00E26EF6" w:rsidRDefault="00FD54FC">
            <w:pPr>
              <w:pStyle w:val="PlainText"/>
              <w:jc w:val="both"/>
              <w:rPr>
                <w:rFonts w:ascii="Times New Roman" w:hAnsi="Times New Roman"/>
                <w:sz w:val="24"/>
                <w:szCs w:val="24"/>
              </w:rPr>
            </w:pPr>
            <w:r w:rsidRPr="00E26EF6">
              <w:rPr>
                <w:rFonts w:ascii="Times New Roman" w:hAnsi="Times New Roman"/>
                <w:sz w:val="24"/>
                <w:szCs w:val="24"/>
              </w:rPr>
              <w:t>W odniesieniu do każdej linii biznesowej,</w:t>
            </w:r>
            <w:r w:rsidR="00E26EF6" w:rsidRPr="00E26EF6">
              <w:rPr>
                <w:rFonts w:ascii="Times New Roman" w:hAnsi="Times New Roman"/>
                <w:sz w:val="24"/>
                <w:szCs w:val="24"/>
              </w:rPr>
              <w:t xml:space="preserve"> o któ</w:t>
            </w:r>
            <w:r w:rsidRPr="00E26EF6">
              <w:rPr>
                <w:rFonts w:ascii="Times New Roman" w:hAnsi="Times New Roman"/>
                <w:sz w:val="24"/>
                <w:szCs w:val="24"/>
              </w:rPr>
              <w:t>rej mowa</w:t>
            </w:r>
            <w:r w:rsidR="00E26EF6" w:rsidRPr="00E26EF6">
              <w:rPr>
                <w:rFonts w:ascii="Times New Roman" w:hAnsi="Times New Roman"/>
                <w:sz w:val="24"/>
                <w:szCs w:val="24"/>
              </w:rPr>
              <w:t xml:space="preserve"> w tab</w:t>
            </w:r>
            <w:r w:rsidRPr="00E26EF6">
              <w:rPr>
                <w:rFonts w:ascii="Times New Roman" w:hAnsi="Times New Roman"/>
                <w:sz w:val="24"/>
                <w:szCs w:val="24"/>
              </w:rPr>
              <w:t>eli 2</w:t>
            </w:r>
            <w:r w:rsidR="00E26EF6" w:rsidRPr="00E26EF6">
              <w:rPr>
                <w:rFonts w:ascii="Times New Roman" w:hAnsi="Times New Roman"/>
                <w:sz w:val="24"/>
                <w:szCs w:val="24"/>
              </w:rPr>
              <w:t xml:space="preserve"> w art</w:t>
            </w:r>
            <w:r w:rsidRPr="00E26EF6">
              <w:rPr>
                <w:rFonts w:ascii="Times New Roman" w:hAnsi="Times New Roman"/>
                <w:sz w:val="24"/>
                <w:szCs w:val="24"/>
              </w:rPr>
              <w:t>.</w:t>
            </w:r>
            <w:r w:rsidR="00023409" w:rsidRPr="00E26EF6">
              <w:rPr>
                <w:rFonts w:ascii="Times New Roman" w:hAnsi="Times New Roman"/>
                <w:sz w:val="24"/>
                <w:szCs w:val="24"/>
              </w:rPr>
              <w:t> </w:t>
            </w:r>
            <w:r w:rsidRPr="00E26EF6">
              <w:rPr>
                <w:rFonts w:ascii="Times New Roman" w:hAnsi="Times New Roman"/>
                <w:sz w:val="24"/>
                <w:szCs w:val="24"/>
              </w:rPr>
              <w:t>317 ust.</w:t>
            </w:r>
            <w:r w:rsidR="00023409" w:rsidRPr="00E26EF6">
              <w:rPr>
                <w:rFonts w:ascii="Times New Roman" w:hAnsi="Times New Roman"/>
                <w:sz w:val="24"/>
                <w:szCs w:val="24"/>
              </w:rPr>
              <w:t> </w:t>
            </w:r>
            <w:r w:rsidRPr="00E26EF6">
              <w:rPr>
                <w:rFonts w:ascii="Times New Roman" w:hAnsi="Times New Roman"/>
                <w:sz w:val="24"/>
                <w:szCs w:val="24"/>
              </w:rPr>
              <w:t>4 CRR,</w:t>
            </w:r>
            <w:r w:rsidR="00E26EF6" w:rsidRPr="00E26EF6">
              <w:rPr>
                <w:rFonts w:ascii="Times New Roman" w:hAnsi="Times New Roman"/>
                <w:sz w:val="24"/>
                <w:szCs w:val="24"/>
              </w:rPr>
              <w:t xml:space="preserve"> w tym</w:t>
            </w:r>
            <w:r w:rsidRPr="00E26EF6">
              <w:rPr>
                <w:rFonts w:ascii="Times New Roman" w:hAnsi="Times New Roman"/>
                <w:sz w:val="24"/>
                <w:szCs w:val="24"/>
              </w:rPr>
              <w:t xml:space="preserve"> do dodatkowej linii biznesowej „pozycje korporacyjne”,</w:t>
            </w:r>
            <w:r w:rsidR="00E26EF6" w:rsidRPr="00E26EF6">
              <w:rPr>
                <w:rFonts w:ascii="Times New Roman" w:hAnsi="Times New Roman"/>
                <w:sz w:val="24"/>
                <w:szCs w:val="24"/>
              </w:rPr>
              <w:t xml:space="preserve"> o któ</w:t>
            </w:r>
            <w:r w:rsidRPr="00E26EF6">
              <w:rPr>
                <w:rFonts w:ascii="Times New Roman" w:hAnsi="Times New Roman"/>
                <w:sz w:val="24"/>
                <w:szCs w:val="24"/>
              </w:rPr>
              <w:t>rej mowa</w:t>
            </w:r>
            <w:r w:rsidR="00E26EF6" w:rsidRPr="00E26EF6">
              <w:rPr>
                <w:rFonts w:ascii="Times New Roman" w:hAnsi="Times New Roman"/>
                <w:sz w:val="24"/>
                <w:szCs w:val="24"/>
              </w:rPr>
              <w:t xml:space="preserve"> w art</w:t>
            </w:r>
            <w:r w:rsidRPr="00E26EF6">
              <w:rPr>
                <w:rFonts w:ascii="Times New Roman" w:hAnsi="Times New Roman"/>
                <w:sz w:val="24"/>
                <w:szCs w:val="24"/>
              </w:rPr>
              <w:t>.</w:t>
            </w:r>
            <w:r w:rsidR="00023409" w:rsidRPr="00E26EF6">
              <w:rPr>
                <w:rFonts w:ascii="Times New Roman" w:hAnsi="Times New Roman"/>
                <w:sz w:val="24"/>
                <w:szCs w:val="24"/>
              </w:rPr>
              <w:t> </w:t>
            </w:r>
            <w:r w:rsidRPr="00E26EF6">
              <w:rPr>
                <w:rFonts w:ascii="Times New Roman" w:hAnsi="Times New Roman"/>
                <w:sz w:val="24"/>
                <w:szCs w:val="24"/>
              </w:rPr>
              <w:t>322 ust.</w:t>
            </w:r>
            <w:r w:rsidR="00023409" w:rsidRPr="00E26EF6">
              <w:rPr>
                <w:rFonts w:ascii="Times New Roman" w:hAnsi="Times New Roman"/>
                <w:sz w:val="24"/>
                <w:szCs w:val="24"/>
              </w:rPr>
              <w:t> </w:t>
            </w:r>
            <w:r w:rsidRPr="00E26EF6">
              <w:rPr>
                <w:rFonts w:ascii="Times New Roman" w:hAnsi="Times New Roman"/>
                <w:sz w:val="24"/>
                <w:szCs w:val="24"/>
              </w:rPr>
              <w:t>3 lit.</w:t>
            </w:r>
            <w:r w:rsidR="00023409" w:rsidRPr="00E26EF6">
              <w:rPr>
                <w:rFonts w:ascii="Times New Roman" w:hAnsi="Times New Roman"/>
                <w:sz w:val="24"/>
                <w:szCs w:val="24"/>
              </w:rPr>
              <w:t> </w:t>
            </w:r>
            <w:r w:rsidRPr="00E26EF6">
              <w:rPr>
                <w:rFonts w:ascii="Times New Roman" w:hAnsi="Times New Roman"/>
                <w:sz w:val="24"/>
                <w:szCs w:val="24"/>
              </w:rPr>
              <w:t>b) CRR,</w:t>
            </w:r>
            <w:r w:rsidR="00E26EF6" w:rsidRPr="00E26EF6">
              <w:rPr>
                <w:rFonts w:ascii="Times New Roman" w:hAnsi="Times New Roman"/>
                <w:sz w:val="24"/>
                <w:szCs w:val="24"/>
              </w:rPr>
              <w:t xml:space="preserve"> i w odn</w:t>
            </w:r>
            <w:r w:rsidRPr="00E26EF6">
              <w:rPr>
                <w:rFonts w:ascii="Times New Roman" w:hAnsi="Times New Roman"/>
                <w:sz w:val="24"/>
                <w:szCs w:val="24"/>
              </w:rPr>
              <w:t>iesieniu do każdego rodzaju zdarzenia straty instytucja zgłasza następujące informacje według progów wewnętrznych: liczbę zdarzeń straty (nowe zdarzenia strat</w:t>
            </w:r>
            <w:r w:rsidR="00023409" w:rsidRPr="00E26EF6">
              <w:rPr>
                <w:rFonts w:ascii="Times New Roman" w:hAnsi="Times New Roman"/>
                <w:sz w:val="24"/>
                <w:szCs w:val="24"/>
              </w:rPr>
              <w:t>y)</w:t>
            </w:r>
            <w:r w:rsidRPr="00E26EF6">
              <w:rPr>
                <w:rFonts w:ascii="Times New Roman" w:hAnsi="Times New Roman"/>
                <w:sz w:val="24"/>
                <w:szCs w:val="24"/>
              </w:rPr>
              <w:t>, kwotę strat brutto (nowe zdarzenia strat</w:t>
            </w:r>
            <w:r w:rsidR="00023409" w:rsidRPr="00E26EF6">
              <w:rPr>
                <w:rFonts w:ascii="Times New Roman" w:hAnsi="Times New Roman"/>
                <w:sz w:val="24"/>
                <w:szCs w:val="24"/>
              </w:rPr>
              <w:t>y)</w:t>
            </w:r>
            <w:r w:rsidRPr="00E26EF6">
              <w:rPr>
                <w:rFonts w:ascii="Times New Roman" w:hAnsi="Times New Roman"/>
                <w:sz w:val="24"/>
                <w:szCs w:val="24"/>
              </w:rPr>
              <w:t>, liczbę zdarzeń straty objętych korektami strat, korekty strat dotyczących poprzednich okresów sprawozdawczych, maksymalną pojedynczą stratę, sumę pięciu największych strat, całkowite bezpośrednio odzyskane należności oraz całkowite należności odzyskane</w:t>
            </w:r>
            <w:r w:rsidR="00E26EF6" w:rsidRPr="00E26EF6">
              <w:rPr>
                <w:rFonts w:ascii="Times New Roman" w:hAnsi="Times New Roman"/>
                <w:sz w:val="24"/>
                <w:szCs w:val="24"/>
              </w:rPr>
              <w:t xml:space="preserve"> z ube</w:t>
            </w:r>
            <w:r w:rsidRPr="00E26EF6">
              <w:rPr>
                <w:rFonts w:ascii="Times New Roman" w:hAnsi="Times New Roman"/>
                <w:sz w:val="24"/>
                <w:szCs w:val="24"/>
              </w:rPr>
              <w:t>zpieczenia</w:t>
            </w:r>
            <w:r w:rsidR="00E26EF6" w:rsidRPr="00E26EF6">
              <w:rPr>
                <w:rFonts w:ascii="Times New Roman" w:hAnsi="Times New Roman"/>
                <w:sz w:val="24"/>
                <w:szCs w:val="24"/>
              </w:rPr>
              <w:t xml:space="preserve"> i inn</w:t>
            </w:r>
            <w:r w:rsidRPr="00E26EF6">
              <w:rPr>
                <w:rFonts w:ascii="Times New Roman" w:hAnsi="Times New Roman"/>
                <w:sz w:val="24"/>
                <w:szCs w:val="24"/>
              </w:rPr>
              <w:t>ych mechanizmów transferu ryzyka.</w:t>
            </w:r>
          </w:p>
          <w:p w14:paraId="707A080D" w14:textId="3AB3AFF2" w:rsidR="00915077" w:rsidRPr="00E26EF6" w:rsidRDefault="00FD54FC">
            <w:pPr>
              <w:rPr>
                <w:rFonts w:ascii="Times New Roman" w:hAnsi="Times New Roman"/>
                <w:sz w:val="24"/>
              </w:rPr>
            </w:pPr>
            <w:r w:rsidRPr="00E26EF6">
              <w:rPr>
                <w:rFonts w:ascii="Times New Roman" w:hAnsi="Times New Roman"/>
                <w:sz w:val="24"/>
              </w:rPr>
              <w:t>W odniesieniu do zdarzenia straty, które wpływa na więcej niż jedną linię biznesową, „kwotę strat brutto” rozkłada się na linie biznesowe, na które wywarło ono wpływ.</w:t>
            </w:r>
          </w:p>
          <w:p w14:paraId="1493D8E8" w14:textId="44F05763" w:rsidR="00915077" w:rsidRPr="00E26EF6" w:rsidRDefault="00FD54FC">
            <w:pPr>
              <w:rPr>
                <w:rFonts w:ascii="Times New Roman" w:hAnsi="Times New Roman"/>
                <w:bCs/>
                <w:sz w:val="24"/>
                <w:highlight w:val="lightGray"/>
              </w:rPr>
            </w:pPr>
            <w:r w:rsidRPr="00E26EF6">
              <w:rPr>
                <w:rFonts w:ascii="Times New Roman" w:hAnsi="Times New Roman"/>
                <w:sz w:val="24"/>
              </w:rPr>
              <w:t>Instytucje, które obliczają swoje wymogi</w:t>
            </w:r>
            <w:r w:rsidR="00E26EF6" w:rsidRPr="00E26EF6">
              <w:rPr>
                <w:rFonts w:ascii="Times New Roman" w:hAnsi="Times New Roman"/>
                <w:sz w:val="24"/>
              </w:rPr>
              <w:t xml:space="preserve"> w zak</w:t>
            </w:r>
            <w:r w:rsidRPr="00E26EF6">
              <w:rPr>
                <w:rFonts w:ascii="Times New Roman" w:hAnsi="Times New Roman"/>
                <w:sz w:val="24"/>
              </w:rPr>
              <w:t>resie funduszy własnych zgodnie</w:t>
            </w:r>
            <w:r w:rsidR="00E26EF6" w:rsidRPr="00E26EF6">
              <w:rPr>
                <w:rFonts w:ascii="Times New Roman" w:hAnsi="Times New Roman"/>
                <w:sz w:val="24"/>
              </w:rPr>
              <w:t xml:space="preserve"> z met</w:t>
            </w:r>
            <w:r w:rsidRPr="00E26EF6">
              <w:rPr>
                <w:rFonts w:ascii="Times New Roman" w:hAnsi="Times New Roman"/>
                <w:sz w:val="24"/>
              </w:rPr>
              <w:t>odą wskaźnika bazowego, mogą zgłaszać te straty,</w:t>
            </w:r>
            <w:r w:rsidR="00E26EF6" w:rsidRPr="00E26EF6">
              <w:rPr>
                <w:rFonts w:ascii="Times New Roman" w:hAnsi="Times New Roman"/>
                <w:sz w:val="24"/>
              </w:rPr>
              <w:t xml:space="preserve"> w odn</w:t>
            </w:r>
            <w:r w:rsidRPr="00E26EF6">
              <w:rPr>
                <w:rFonts w:ascii="Times New Roman" w:hAnsi="Times New Roman"/>
                <w:sz w:val="24"/>
              </w:rPr>
              <w:t>iesieniu do których nie zidentyfikowano linii biznesowej, wyłącznie</w:t>
            </w:r>
            <w:r w:rsidR="00E26EF6" w:rsidRPr="00E26EF6">
              <w:rPr>
                <w:rFonts w:ascii="Times New Roman" w:hAnsi="Times New Roman"/>
                <w:sz w:val="24"/>
              </w:rPr>
              <w:t xml:space="preserve"> w wie</w:t>
            </w:r>
            <w:r w:rsidRPr="00E26EF6">
              <w:rPr>
                <w:rFonts w:ascii="Times New Roman" w:hAnsi="Times New Roman"/>
                <w:sz w:val="24"/>
              </w:rPr>
              <w:t>rszach 910–980.</w:t>
            </w:r>
          </w:p>
        </w:tc>
      </w:tr>
      <w:tr w:rsidR="00915077" w:rsidRPr="00E26EF6" w14:paraId="6A147BD6" w14:textId="77777777" w:rsidTr="00672D2A">
        <w:tc>
          <w:tcPr>
            <w:tcW w:w="1101" w:type="dxa"/>
          </w:tcPr>
          <w:p w14:paraId="7CF23EE8"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t>0010, 0110, 0210, 0310, 0410, 0510, 0610, 0710, 0810</w:t>
            </w:r>
          </w:p>
        </w:tc>
        <w:tc>
          <w:tcPr>
            <w:tcW w:w="8079" w:type="dxa"/>
          </w:tcPr>
          <w:p w14:paraId="746434C0"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Liczba zdarzeń straty (nowe zdarzenia straty)</w:t>
            </w:r>
          </w:p>
          <w:p w14:paraId="4348AE4C" w14:textId="3921F98E" w:rsidR="00915077" w:rsidRPr="00E26EF6" w:rsidRDefault="00FD54FC">
            <w:pPr>
              <w:rPr>
                <w:rFonts w:ascii="Times New Roman" w:hAnsi="Times New Roman"/>
                <w:sz w:val="24"/>
              </w:rPr>
            </w:pPr>
            <w:r w:rsidRPr="00E26EF6">
              <w:rPr>
                <w:rFonts w:ascii="Times New Roman" w:hAnsi="Times New Roman"/>
                <w:sz w:val="24"/>
              </w:rPr>
              <w:t>Liczba zdarzeń straty jest liczbą zdarzeń straty,</w:t>
            </w:r>
            <w:r w:rsidR="00E26EF6" w:rsidRPr="00E26EF6">
              <w:rPr>
                <w:rFonts w:ascii="Times New Roman" w:hAnsi="Times New Roman"/>
                <w:sz w:val="24"/>
              </w:rPr>
              <w:t xml:space="preserve"> w odn</w:t>
            </w:r>
            <w:r w:rsidRPr="00E26EF6">
              <w:rPr>
                <w:rFonts w:ascii="Times New Roman" w:hAnsi="Times New Roman"/>
                <w:sz w:val="24"/>
              </w:rPr>
              <w:t>iesieniu do których</w:t>
            </w:r>
            <w:r w:rsidR="00E26EF6" w:rsidRPr="00E26EF6">
              <w:rPr>
                <w:rFonts w:ascii="Times New Roman" w:hAnsi="Times New Roman"/>
                <w:sz w:val="24"/>
              </w:rPr>
              <w:t xml:space="preserve"> w spr</w:t>
            </w:r>
            <w:r w:rsidRPr="00E26EF6">
              <w:rPr>
                <w:rFonts w:ascii="Times New Roman" w:hAnsi="Times New Roman"/>
                <w:sz w:val="24"/>
              </w:rPr>
              <w:t>awozdawczym okresie odniesienia zostały ujęte straty brutto.</w:t>
            </w:r>
          </w:p>
          <w:p w14:paraId="56537FE3" w14:textId="02E49BF5" w:rsidR="00915077" w:rsidRPr="00E26EF6" w:rsidRDefault="00FD54FC">
            <w:pPr>
              <w:rPr>
                <w:rFonts w:ascii="Times New Roman" w:hAnsi="Times New Roman"/>
                <w:sz w:val="24"/>
              </w:rPr>
            </w:pPr>
            <w:r w:rsidRPr="00E26EF6">
              <w:rPr>
                <w:rFonts w:ascii="Times New Roman" w:hAnsi="Times New Roman"/>
                <w:sz w:val="24"/>
              </w:rPr>
              <w:t>Liczba zdarzeń straty odnosi się do „nowych zdarzeń”, tj. zdarzeń ryzyka operacyjnego:</w:t>
            </w:r>
          </w:p>
          <w:p w14:paraId="5C5DFEFB" w14:textId="51633EEB" w:rsidR="00915077" w:rsidRPr="00E26EF6" w:rsidRDefault="00FD54FC">
            <w:pPr>
              <w:tabs>
                <w:tab w:val="left" w:pos="459"/>
              </w:tabs>
              <w:ind w:left="459" w:hanging="459"/>
              <w:rPr>
                <w:rFonts w:ascii="Times New Roman" w:hAnsi="Times New Roman"/>
                <w:sz w:val="24"/>
              </w:rPr>
            </w:pPr>
            <w:r w:rsidRPr="00E26EF6">
              <w:rPr>
                <w:rFonts w:ascii="Times New Roman" w:hAnsi="Times New Roman"/>
                <w:sz w:val="24"/>
              </w:rPr>
              <w:t>(i</w:t>
            </w:r>
            <w:proofErr w:type="gramStart"/>
            <w:r w:rsidRPr="00E26EF6">
              <w:rPr>
                <w:rFonts w:ascii="Times New Roman" w:hAnsi="Times New Roman"/>
                <w:sz w:val="24"/>
              </w:rPr>
              <w:t>)</w:t>
            </w:r>
            <w:r w:rsidRPr="00E26EF6">
              <w:rPr>
                <w:rFonts w:ascii="Times New Roman" w:hAnsi="Times New Roman"/>
                <w:sz w:val="24"/>
              </w:rPr>
              <w:tab/>
              <w:t>„ujętych</w:t>
            </w:r>
            <w:proofErr w:type="gramEnd"/>
            <w:r w:rsidRPr="00E26EF6">
              <w:rPr>
                <w:rFonts w:ascii="Times New Roman" w:hAnsi="Times New Roman"/>
                <w:sz w:val="24"/>
              </w:rPr>
              <w:t xml:space="preserve"> po raz pierwszy”</w:t>
            </w:r>
            <w:r w:rsidR="00E26EF6" w:rsidRPr="00E26EF6">
              <w:rPr>
                <w:rFonts w:ascii="Times New Roman" w:hAnsi="Times New Roman"/>
                <w:sz w:val="24"/>
              </w:rPr>
              <w:t xml:space="preserve"> w spr</w:t>
            </w:r>
            <w:r w:rsidRPr="00E26EF6">
              <w:rPr>
                <w:rFonts w:ascii="Times New Roman" w:hAnsi="Times New Roman"/>
                <w:sz w:val="24"/>
              </w:rPr>
              <w:t>awozdawczym okresie odniesienia; lub</w:t>
            </w:r>
          </w:p>
          <w:p w14:paraId="1D0BC305" w14:textId="3D9D6799" w:rsidR="00915077" w:rsidRPr="00E26EF6" w:rsidRDefault="00FD54FC">
            <w:pPr>
              <w:tabs>
                <w:tab w:val="left" w:pos="459"/>
              </w:tabs>
              <w:ind w:left="459" w:hanging="459"/>
              <w:rPr>
                <w:rFonts w:ascii="Times New Roman" w:hAnsi="Times New Roman"/>
                <w:sz w:val="24"/>
              </w:rPr>
            </w:pPr>
            <w:r w:rsidRPr="00E26EF6">
              <w:rPr>
                <w:rFonts w:ascii="Times New Roman" w:hAnsi="Times New Roman"/>
                <w:sz w:val="24"/>
              </w:rPr>
              <w:t>(ii</w:t>
            </w:r>
            <w:proofErr w:type="gramStart"/>
            <w:r w:rsidRPr="00E26EF6">
              <w:rPr>
                <w:rFonts w:ascii="Times New Roman" w:hAnsi="Times New Roman"/>
                <w:sz w:val="24"/>
              </w:rPr>
              <w:t>)</w:t>
            </w:r>
            <w:r w:rsidRPr="00E26EF6">
              <w:rPr>
                <w:rFonts w:ascii="Times New Roman" w:hAnsi="Times New Roman"/>
                <w:sz w:val="24"/>
              </w:rPr>
              <w:tab/>
              <w:t>„ujętych</w:t>
            </w:r>
            <w:proofErr w:type="gramEnd"/>
            <w:r w:rsidRPr="00E26EF6">
              <w:rPr>
                <w:rFonts w:ascii="Times New Roman" w:hAnsi="Times New Roman"/>
                <w:sz w:val="24"/>
              </w:rPr>
              <w:t xml:space="preserve"> po raz pierwszy”</w:t>
            </w:r>
            <w:r w:rsidR="00E26EF6" w:rsidRPr="00E26EF6">
              <w:rPr>
                <w:rFonts w:ascii="Times New Roman" w:hAnsi="Times New Roman"/>
                <w:sz w:val="24"/>
              </w:rPr>
              <w:t xml:space="preserve"> w pop</w:t>
            </w:r>
            <w:r w:rsidRPr="00E26EF6">
              <w:rPr>
                <w:rFonts w:ascii="Times New Roman" w:hAnsi="Times New Roman"/>
                <w:sz w:val="24"/>
              </w:rPr>
              <w:t>rzednim sprawozdawczym okresie odniesienia, jeżeli zdarzenie straty nie zostało uwzględnione</w:t>
            </w:r>
            <w:r w:rsidR="00E26EF6" w:rsidRPr="00E26EF6">
              <w:rPr>
                <w:rFonts w:ascii="Times New Roman" w:hAnsi="Times New Roman"/>
                <w:sz w:val="24"/>
              </w:rPr>
              <w:t xml:space="preserve"> w żad</w:t>
            </w:r>
            <w:r w:rsidRPr="00E26EF6">
              <w:rPr>
                <w:rFonts w:ascii="Times New Roman" w:hAnsi="Times New Roman"/>
                <w:sz w:val="24"/>
              </w:rPr>
              <w:t>nym poprzednim sprawozdaniu dla organów nadzoru, np. ponieważ zostało określone jako zdarzenie straty wynikłe</w:t>
            </w:r>
            <w:r w:rsidR="00E26EF6" w:rsidRPr="00E26EF6">
              <w:rPr>
                <w:rFonts w:ascii="Times New Roman" w:hAnsi="Times New Roman"/>
                <w:sz w:val="24"/>
              </w:rPr>
              <w:t xml:space="preserve"> z ryz</w:t>
            </w:r>
            <w:r w:rsidRPr="00E26EF6">
              <w:rPr>
                <w:rFonts w:ascii="Times New Roman" w:hAnsi="Times New Roman"/>
                <w:sz w:val="24"/>
              </w:rPr>
              <w:t>yka operacyjnego dopiero</w:t>
            </w:r>
            <w:r w:rsidR="00E26EF6" w:rsidRPr="00E26EF6">
              <w:rPr>
                <w:rFonts w:ascii="Times New Roman" w:hAnsi="Times New Roman"/>
                <w:sz w:val="24"/>
              </w:rPr>
              <w:t xml:space="preserve"> w bie</w:t>
            </w:r>
            <w:r w:rsidRPr="00E26EF6">
              <w:rPr>
                <w:rFonts w:ascii="Times New Roman" w:hAnsi="Times New Roman"/>
                <w:sz w:val="24"/>
              </w:rPr>
              <w:t>żącym sprawozdawczym okresie odniesienia lub ponieważ skumulowana strata możliwa do przypisania temu zdarzeniu straty (tj. pierwotna strata plus/minus wszystkie korekty straty dokonane</w:t>
            </w:r>
            <w:r w:rsidR="00E26EF6" w:rsidRPr="00E26EF6">
              <w:rPr>
                <w:rFonts w:ascii="Times New Roman" w:hAnsi="Times New Roman"/>
                <w:sz w:val="24"/>
              </w:rPr>
              <w:t xml:space="preserve"> w pop</w:t>
            </w:r>
            <w:r w:rsidRPr="00E26EF6">
              <w:rPr>
                <w:rFonts w:ascii="Times New Roman" w:hAnsi="Times New Roman"/>
                <w:sz w:val="24"/>
              </w:rPr>
              <w:t>rzednich sprawozdawczych okresach odniesienia) przekroczyła próg gromadzenia wewnętrznych danych dopiero</w:t>
            </w:r>
            <w:r w:rsidR="00E26EF6" w:rsidRPr="00E26EF6">
              <w:rPr>
                <w:rFonts w:ascii="Times New Roman" w:hAnsi="Times New Roman"/>
                <w:sz w:val="24"/>
              </w:rPr>
              <w:t xml:space="preserve"> w bie</w:t>
            </w:r>
            <w:r w:rsidRPr="00E26EF6">
              <w:rPr>
                <w:rFonts w:ascii="Times New Roman" w:hAnsi="Times New Roman"/>
                <w:sz w:val="24"/>
              </w:rPr>
              <w:t>żącym sprawozdawczym okresie odniesienia.</w:t>
            </w:r>
          </w:p>
          <w:p w14:paraId="67455681" w14:textId="23C82D8D" w:rsidR="00915077" w:rsidRPr="00E26EF6" w:rsidRDefault="00FD54FC">
            <w:pPr>
              <w:rPr>
                <w:rStyle w:val="InstructionsTabelleberschrift"/>
                <w:rFonts w:ascii="Times New Roman" w:hAnsi="Times New Roman"/>
                <w:sz w:val="24"/>
                <w:highlight w:val="lightGray"/>
              </w:rPr>
            </w:pPr>
            <w:r w:rsidRPr="00E26EF6">
              <w:rPr>
                <w:rFonts w:ascii="Times New Roman" w:hAnsi="Times New Roman"/>
                <w:sz w:val="24"/>
              </w:rPr>
              <w:t>„Nowe zdarzenia straty” nie obejmują zdarzeń straty „ujętych po raz pierwszy”</w:t>
            </w:r>
            <w:r w:rsidR="00E26EF6" w:rsidRPr="00E26EF6">
              <w:rPr>
                <w:rFonts w:ascii="Times New Roman" w:hAnsi="Times New Roman"/>
                <w:sz w:val="24"/>
              </w:rPr>
              <w:t xml:space="preserve"> w pop</w:t>
            </w:r>
            <w:r w:rsidRPr="00E26EF6">
              <w:rPr>
                <w:rFonts w:ascii="Times New Roman" w:hAnsi="Times New Roman"/>
                <w:sz w:val="24"/>
              </w:rPr>
              <w:t>rzednim sprawozdawczym okresie odniesienia, które zostały już uwzględnione</w:t>
            </w:r>
            <w:r w:rsidR="00E26EF6" w:rsidRPr="00E26EF6">
              <w:rPr>
                <w:rFonts w:ascii="Times New Roman" w:hAnsi="Times New Roman"/>
                <w:sz w:val="24"/>
              </w:rPr>
              <w:t xml:space="preserve"> w pop</w:t>
            </w:r>
            <w:r w:rsidRPr="00E26EF6">
              <w:rPr>
                <w:rFonts w:ascii="Times New Roman" w:hAnsi="Times New Roman"/>
                <w:sz w:val="24"/>
              </w:rPr>
              <w:t>rzednich sprawozdaniach dla organów nadzoru.</w:t>
            </w:r>
          </w:p>
        </w:tc>
      </w:tr>
      <w:tr w:rsidR="00915077" w:rsidRPr="00E26EF6" w14:paraId="280792D0" w14:textId="77777777" w:rsidTr="00672D2A">
        <w:tc>
          <w:tcPr>
            <w:tcW w:w="1101" w:type="dxa"/>
          </w:tcPr>
          <w:p w14:paraId="2EDFACF1"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t>0020, 0120, 0220, 0320, 0420, 0520, 0620, 0720, 0820</w:t>
            </w:r>
          </w:p>
        </w:tc>
        <w:tc>
          <w:tcPr>
            <w:tcW w:w="8079" w:type="dxa"/>
          </w:tcPr>
          <w:p w14:paraId="55FA581D"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Kwota strat brutto (nowe zdarzenia straty)</w:t>
            </w:r>
          </w:p>
          <w:p w14:paraId="00134414" w14:textId="219CBDAE" w:rsidR="00915077" w:rsidRPr="00E26EF6" w:rsidRDefault="00FD54FC">
            <w:pPr>
              <w:rPr>
                <w:rFonts w:ascii="Times New Roman" w:hAnsi="Times New Roman"/>
                <w:sz w:val="24"/>
              </w:rPr>
            </w:pPr>
            <w:r w:rsidRPr="00E26EF6">
              <w:rPr>
                <w:rFonts w:ascii="Times New Roman" w:hAnsi="Times New Roman"/>
                <w:sz w:val="24"/>
              </w:rPr>
              <w:t>Kwota strat brutto jest kwotą strat brutto dotyczących zdarzeń straty wynikłych</w:t>
            </w:r>
            <w:r w:rsidR="00E26EF6" w:rsidRPr="00E26EF6">
              <w:rPr>
                <w:rFonts w:ascii="Times New Roman" w:hAnsi="Times New Roman"/>
                <w:sz w:val="24"/>
              </w:rPr>
              <w:t xml:space="preserve"> z ryz</w:t>
            </w:r>
            <w:r w:rsidRPr="00E26EF6">
              <w:rPr>
                <w:rFonts w:ascii="Times New Roman" w:hAnsi="Times New Roman"/>
                <w:sz w:val="24"/>
              </w:rPr>
              <w:t>yka operacyjnego (np. opłaty bezpośrednie, rezerwy, rozrachunki). Wszystkie straty związane</w:t>
            </w:r>
            <w:r w:rsidR="00E26EF6" w:rsidRPr="00E26EF6">
              <w:rPr>
                <w:rFonts w:ascii="Times New Roman" w:hAnsi="Times New Roman"/>
                <w:sz w:val="24"/>
              </w:rPr>
              <w:t xml:space="preserve"> z poj</w:t>
            </w:r>
            <w:r w:rsidRPr="00E26EF6">
              <w:rPr>
                <w:rFonts w:ascii="Times New Roman" w:hAnsi="Times New Roman"/>
                <w:sz w:val="24"/>
              </w:rPr>
              <w:t>edynczym zdarzeniem straty, które są ujmowane</w:t>
            </w:r>
            <w:r w:rsidR="00E26EF6" w:rsidRPr="00E26EF6">
              <w:rPr>
                <w:rFonts w:ascii="Times New Roman" w:hAnsi="Times New Roman"/>
                <w:sz w:val="24"/>
              </w:rPr>
              <w:t xml:space="preserve"> w spr</w:t>
            </w:r>
            <w:r w:rsidRPr="00E26EF6">
              <w:rPr>
                <w:rFonts w:ascii="Times New Roman" w:hAnsi="Times New Roman"/>
                <w:sz w:val="24"/>
              </w:rPr>
              <w:t>awozdawczym okresie odniesienia, są sumowane</w:t>
            </w:r>
            <w:r w:rsidR="00E26EF6" w:rsidRPr="00E26EF6">
              <w:rPr>
                <w:rFonts w:ascii="Times New Roman" w:hAnsi="Times New Roman"/>
                <w:sz w:val="24"/>
              </w:rPr>
              <w:t xml:space="preserve"> i tra</w:t>
            </w:r>
            <w:r w:rsidRPr="00E26EF6">
              <w:rPr>
                <w:rFonts w:ascii="Times New Roman" w:hAnsi="Times New Roman"/>
                <w:sz w:val="24"/>
              </w:rPr>
              <w:t>ktowane jako strata brutto dla tego zdarzenia straty</w:t>
            </w:r>
            <w:r w:rsidR="00E26EF6" w:rsidRPr="00E26EF6">
              <w:rPr>
                <w:rFonts w:ascii="Times New Roman" w:hAnsi="Times New Roman"/>
                <w:sz w:val="24"/>
              </w:rPr>
              <w:t xml:space="preserve"> w dan</w:t>
            </w:r>
            <w:r w:rsidRPr="00E26EF6">
              <w:rPr>
                <w:rFonts w:ascii="Times New Roman" w:hAnsi="Times New Roman"/>
                <w:sz w:val="24"/>
              </w:rPr>
              <w:t>ym sprawozdawczym okresie odniesienia.</w:t>
            </w:r>
          </w:p>
          <w:p w14:paraId="7E276A2F" w14:textId="7F5477F4" w:rsidR="00915077" w:rsidRPr="00E26EF6" w:rsidRDefault="00FD54FC">
            <w:pPr>
              <w:rPr>
                <w:rFonts w:ascii="Times New Roman" w:hAnsi="Times New Roman"/>
                <w:sz w:val="24"/>
              </w:rPr>
            </w:pPr>
            <w:r w:rsidRPr="00E26EF6">
              <w:rPr>
                <w:rFonts w:ascii="Times New Roman" w:hAnsi="Times New Roman"/>
                <w:sz w:val="24"/>
              </w:rPr>
              <w:t>Zgłoszona kwota straty brutto odnosi się do „nowych zdarzeń straty”,</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wie</w:t>
            </w:r>
            <w:r w:rsidRPr="00E26EF6">
              <w:rPr>
                <w:rFonts w:ascii="Times New Roman" w:hAnsi="Times New Roman"/>
                <w:sz w:val="24"/>
              </w:rPr>
              <w:t>rszu powyżej niniejszej tabeli</w:t>
            </w:r>
            <w:r w:rsidR="00E26EF6" w:rsidRPr="00E26EF6">
              <w:rPr>
                <w:rFonts w:ascii="Times New Roman" w:hAnsi="Times New Roman"/>
                <w:sz w:val="24"/>
              </w:rPr>
              <w:t>. W prz</w:t>
            </w:r>
            <w:r w:rsidRPr="00E26EF6">
              <w:rPr>
                <w:rFonts w:ascii="Times New Roman" w:hAnsi="Times New Roman"/>
                <w:sz w:val="24"/>
              </w:rPr>
              <w:t>ypadku zdarzeń straty „ujętych po raz pierwszy”</w:t>
            </w:r>
            <w:r w:rsidR="00E26EF6" w:rsidRPr="00E26EF6">
              <w:rPr>
                <w:rFonts w:ascii="Times New Roman" w:hAnsi="Times New Roman"/>
                <w:sz w:val="24"/>
              </w:rPr>
              <w:t xml:space="preserve"> w pop</w:t>
            </w:r>
            <w:r w:rsidRPr="00E26EF6">
              <w:rPr>
                <w:rFonts w:ascii="Times New Roman" w:hAnsi="Times New Roman"/>
                <w:sz w:val="24"/>
              </w:rPr>
              <w:t>rzednim sprawozdawczym okresie odniesienia, które nie zostały uwzględnione</w:t>
            </w:r>
            <w:r w:rsidR="00E26EF6" w:rsidRPr="00E26EF6">
              <w:rPr>
                <w:rFonts w:ascii="Times New Roman" w:hAnsi="Times New Roman"/>
                <w:sz w:val="24"/>
              </w:rPr>
              <w:t xml:space="preserve"> w żad</w:t>
            </w:r>
            <w:r w:rsidRPr="00E26EF6">
              <w:rPr>
                <w:rFonts w:ascii="Times New Roman" w:hAnsi="Times New Roman"/>
                <w:sz w:val="24"/>
              </w:rPr>
              <w:t>nym poprzednim sprawozdaniu dla organów nadzoru, całkowita skumulowana strata do sprawozdawczego dnia odniesienia (tj. pierwotna strata plus/minus wszystkie korekty straty dokonane</w:t>
            </w:r>
            <w:r w:rsidR="00E26EF6" w:rsidRPr="00E26EF6">
              <w:rPr>
                <w:rFonts w:ascii="Times New Roman" w:hAnsi="Times New Roman"/>
                <w:sz w:val="24"/>
              </w:rPr>
              <w:t xml:space="preserve"> w pop</w:t>
            </w:r>
            <w:r w:rsidRPr="00E26EF6">
              <w:rPr>
                <w:rFonts w:ascii="Times New Roman" w:hAnsi="Times New Roman"/>
                <w:sz w:val="24"/>
              </w:rPr>
              <w:t xml:space="preserve">rzednich </w:t>
            </w:r>
            <w:r w:rsidRPr="00E26EF6">
              <w:rPr>
                <w:rFonts w:ascii="Times New Roman" w:hAnsi="Times New Roman"/>
                <w:sz w:val="24"/>
              </w:rPr>
              <w:lastRenderedPageBreak/>
              <w:t>sprawozdawczych okresach odniesienia) jest zgłaszana jako strata brutto na sprawozdawczy dzień odniesienia.</w:t>
            </w:r>
          </w:p>
          <w:p w14:paraId="492192BF" w14:textId="047AC907" w:rsidR="00915077" w:rsidRPr="00E26EF6" w:rsidRDefault="00FD54FC">
            <w:pPr>
              <w:rPr>
                <w:rStyle w:val="InstructionsTabelleberschrift"/>
                <w:rFonts w:ascii="Times New Roman" w:hAnsi="Times New Roman"/>
                <w:sz w:val="24"/>
                <w:highlight w:val="lightGray"/>
              </w:rPr>
            </w:pPr>
            <w:r w:rsidRPr="00E26EF6">
              <w:rPr>
                <w:rFonts w:ascii="Times New Roman" w:hAnsi="Times New Roman"/>
                <w:sz w:val="24"/>
              </w:rPr>
              <w:t>W kwotach, które należy zgłosić, nie uwzględnia się otrzymanych odzyskanych należności.</w:t>
            </w:r>
          </w:p>
        </w:tc>
      </w:tr>
      <w:tr w:rsidR="00915077" w:rsidRPr="00E26EF6" w14:paraId="2F31663E" w14:textId="77777777" w:rsidTr="00672D2A">
        <w:tc>
          <w:tcPr>
            <w:tcW w:w="1101" w:type="dxa"/>
          </w:tcPr>
          <w:p w14:paraId="4597FED8"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lastRenderedPageBreak/>
              <w:t>0030, 0130, 0230, 0330, 0430, 0530, 0630, 0730, 0830</w:t>
            </w:r>
          </w:p>
        </w:tc>
        <w:tc>
          <w:tcPr>
            <w:tcW w:w="8079" w:type="dxa"/>
          </w:tcPr>
          <w:p w14:paraId="731870AB"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Liczba zdarzeń straty objętych korektami strat</w:t>
            </w:r>
          </w:p>
          <w:p w14:paraId="0BA745E9" w14:textId="52BAAAE9" w:rsidR="00915077" w:rsidRPr="00E26EF6" w:rsidRDefault="00FD54FC">
            <w:pPr>
              <w:rPr>
                <w:rFonts w:ascii="Times New Roman" w:hAnsi="Times New Roman"/>
                <w:sz w:val="24"/>
              </w:rPr>
            </w:pPr>
            <w:r w:rsidRPr="00E26EF6">
              <w:rPr>
                <w:rFonts w:ascii="Times New Roman" w:hAnsi="Times New Roman"/>
                <w:sz w:val="24"/>
              </w:rPr>
              <w:t>Liczba zdarzeń straty objętych korektami strat jest to liczba zdarzeń straty wynikłych</w:t>
            </w:r>
            <w:r w:rsidR="00E26EF6" w:rsidRPr="00E26EF6">
              <w:rPr>
                <w:rFonts w:ascii="Times New Roman" w:hAnsi="Times New Roman"/>
                <w:sz w:val="24"/>
              </w:rPr>
              <w:t xml:space="preserve"> z ryz</w:t>
            </w:r>
            <w:r w:rsidRPr="00E26EF6">
              <w:rPr>
                <w:rFonts w:ascii="Times New Roman" w:hAnsi="Times New Roman"/>
                <w:sz w:val="24"/>
              </w:rPr>
              <w:t>yka operacyjnego „ujętych po raz pierwszy”</w:t>
            </w:r>
            <w:r w:rsidR="00E26EF6" w:rsidRPr="00E26EF6">
              <w:rPr>
                <w:rFonts w:ascii="Times New Roman" w:hAnsi="Times New Roman"/>
                <w:sz w:val="24"/>
              </w:rPr>
              <w:t xml:space="preserve"> w pop</w:t>
            </w:r>
            <w:r w:rsidRPr="00E26EF6">
              <w:rPr>
                <w:rFonts w:ascii="Times New Roman" w:hAnsi="Times New Roman"/>
                <w:sz w:val="24"/>
              </w:rPr>
              <w:t>rzednich sprawozdawczych okresach odniesienia</w:t>
            </w:r>
            <w:r w:rsidR="00E26EF6" w:rsidRPr="00E26EF6">
              <w:rPr>
                <w:rFonts w:ascii="Times New Roman" w:hAnsi="Times New Roman"/>
                <w:sz w:val="24"/>
              </w:rPr>
              <w:t xml:space="preserve"> i uwz</w:t>
            </w:r>
            <w:r w:rsidRPr="00E26EF6">
              <w:rPr>
                <w:rFonts w:ascii="Times New Roman" w:hAnsi="Times New Roman"/>
                <w:sz w:val="24"/>
              </w:rPr>
              <w:t>ględnionych już</w:t>
            </w:r>
            <w:r w:rsidR="00E26EF6" w:rsidRPr="00E26EF6">
              <w:rPr>
                <w:rFonts w:ascii="Times New Roman" w:hAnsi="Times New Roman"/>
                <w:sz w:val="24"/>
              </w:rPr>
              <w:t xml:space="preserve"> w pop</w:t>
            </w:r>
            <w:r w:rsidRPr="00E26EF6">
              <w:rPr>
                <w:rFonts w:ascii="Times New Roman" w:hAnsi="Times New Roman"/>
                <w:sz w:val="24"/>
              </w:rPr>
              <w:t>rzednich sprawozdaniach,</w:t>
            </w:r>
            <w:r w:rsidR="00E26EF6" w:rsidRPr="00E26EF6">
              <w:rPr>
                <w:rFonts w:ascii="Times New Roman" w:hAnsi="Times New Roman"/>
                <w:sz w:val="24"/>
              </w:rPr>
              <w:t xml:space="preserve"> w odn</w:t>
            </w:r>
            <w:r w:rsidRPr="00E26EF6">
              <w:rPr>
                <w:rFonts w:ascii="Times New Roman" w:hAnsi="Times New Roman"/>
                <w:sz w:val="24"/>
              </w:rPr>
              <w:t>iesieniu do których</w:t>
            </w:r>
            <w:r w:rsidR="00E26EF6" w:rsidRPr="00E26EF6">
              <w:rPr>
                <w:rFonts w:ascii="Times New Roman" w:hAnsi="Times New Roman"/>
                <w:sz w:val="24"/>
              </w:rPr>
              <w:t xml:space="preserve"> w bie</w:t>
            </w:r>
            <w:r w:rsidRPr="00E26EF6">
              <w:rPr>
                <w:rFonts w:ascii="Times New Roman" w:hAnsi="Times New Roman"/>
                <w:sz w:val="24"/>
              </w:rPr>
              <w:t xml:space="preserve">żącym sprawozdawczym okresie odniesienia dokonano korekt strat. </w:t>
            </w:r>
          </w:p>
          <w:p w14:paraId="2B31C3CD" w14:textId="667BE365" w:rsidR="00915077" w:rsidRPr="00E26EF6" w:rsidRDefault="001F6487">
            <w:pPr>
              <w:rPr>
                <w:b/>
                <w:sz w:val="24"/>
                <w:highlight w:val="lightGray"/>
              </w:rPr>
            </w:pPr>
            <w:r w:rsidRPr="00E26EF6">
              <w:rPr>
                <w:rFonts w:ascii="Times New Roman" w:hAnsi="Times New Roman"/>
                <w:sz w:val="24"/>
              </w:rPr>
              <w:t>Jeżeli</w:t>
            </w:r>
            <w:r w:rsidR="00E26EF6" w:rsidRPr="00E26EF6">
              <w:rPr>
                <w:rFonts w:ascii="Times New Roman" w:hAnsi="Times New Roman"/>
                <w:sz w:val="24"/>
              </w:rPr>
              <w:t xml:space="preserve"> w spr</w:t>
            </w:r>
            <w:r w:rsidRPr="00E26EF6">
              <w:rPr>
                <w:rFonts w:ascii="Times New Roman" w:hAnsi="Times New Roman"/>
                <w:sz w:val="24"/>
              </w:rPr>
              <w:t>awozdawczym okresie odniesienia dokonano</w:t>
            </w:r>
            <w:r w:rsidR="00E26EF6" w:rsidRPr="00E26EF6">
              <w:rPr>
                <w:rFonts w:ascii="Times New Roman" w:hAnsi="Times New Roman"/>
                <w:sz w:val="24"/>
              </w:rPr>
              <w:t xml:space="preserve"> w odn</w:t>
            </w:r>
            <w:r w:rsidRPr="00E26EF6">
              <w:rPr>
                <w:rFonts w:ascii="Times New Roman" w:hAnsi="Times New Roman"/>
                <w:sz w:val="24"/>
              </w:rPr>
              <w:t>iesieniu do zdarzenia straty więcej niż jednej korekty strat, sumę tych korekt strat liczy się jako jedną korektę</w:t>
            </w:r>
            <w:r w:rsidR="00E26EF6" w:rsidRPr="00E26EF6">
              <w:rPr>
                <w:rFonts w:ascii="Times New Roman" w:hAnsi="Times New Roman"/>
                <w:sz w:val="24"/>
              </w:rPr>
              <w:t xml:space="preserve"> w tym</w:t>
            </w:r>
            <w:r w:rsidRPr="00E26EF6">
              <w:rPr>
                <w:rFonts w:ascii="Times New Roman" w:hAnsi="Times New Roman"/>
                <w:sz w:val="24"/>
              </w:rPr>
              <w:t xml:space="preserve"> okresie.</w:t>
            </w:r>
          </w:p>
        </w:tc>
      </w:tr>
      <w:tr w:rsidR="00915077" w:rsidRPr="00E26EF6" w14:paraId="24028166" w14:textId="77777777" w:rsidTr="00672D2A">
        <w:tc>
          <w:tcPr>
            <w:tcW w:w="1101" w:type="dxa"/>
          </w:tcPr>
          <w:p w14:paraId="152C190A"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t>0040, 0140, 0240, 0340, 0440, 0540, 0640, 0</w:t>
            </w:r>
            <w:r w:rsidRPr="00E26EF6">
              <w:rPr>
                <w:rFonts w:ascii="Times New Roman" w:hAnsi="Times New Roman"/>
                <w:sz w:val="24"/>
              </w:rPr>
              <w:t>740</w:t>
            </w:r>
            <w:r w:rsidRPr="00E26EF6">
              <w:rPr>
                <w:rFonts w:ascii="Times New Roman" w:hAnsi="Times New Roman"/>
                <w:bCs/>
                <w:sz w:val="24"/>
              </w:rPr>
              <w:t>, 0840</w:t>
            </w:r>
          </w:p>
        </w:tc>
        <w:tc>
          <w:tcPr>
            <w:tcW w:w="8079" w:type="dxa"/>
          </w:tcPr>
          <w:p w14:paraId="57C9572B"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Korekty strat dotyczące poprzednich okresów sprawozdawczych</w:t>
            </w:r>
          </w:p>
          <w:p w14:paraId="6221F1D9" w14:textId="3EB9E979" w:rsidR="00915077" w:rsidRPr="00E26EF6" w:rsidRDefault="00FD54FC">
            <w:pPr>
              <w:rPr>
                <w:rFonts w:ascii="Times New Roman" w:hAnsi="Times New Roman"/>
                <w:sz w:val="24"/>
              </w:rPr>
            </w:pPr>
            <w:r w:rsidRPr="00E26EF6">
              <w:rPr>
                <w:rFonts w:ascii="Times New Roman" w:hAnsi="Times New Roman"/>
                <w:sz w:val="24"/>
              </w:rPr>
              <w:t>Korekty strat dotyczące poprzednich sprawozdawczych okresów odniesienia stanowią sumę następujących elementów (o wartości dodatniej lub ujemnej):</w:t>
            </w:r>
          </w:p>
          <w:p w14:paraId="4B47FAE2" w14:textId="2EC7F747" w:rsidR="00915077" w:rsidRPr="00E26EF6" w:rsidRDefault="00FD54FC">
            <w:pPr>
              <w:tabs>
                <w:tab w:val="left" w:pos="459"/>
              </w:tabs>
              <w:ind w:left="459" w:hanging="459"/>
              <w:rPr>
                <w:rFonts w:ascii="Times New Roman" w:hAnsi="Times New Roman"/>
                <w:sz w:val="24"/>
              </w:rPr>
            </w:pPr>
            <w:r w:rsidRPr="00E26EF6">
              <w:rPr>
                <w:rFonts w:ascii="Times New Roman" w:hAnsi="Times New Roman"/>
                <w:sz w:val="24"/>
              </w:rPr>
              <w:t>(i</w:t>
            </w:r>
            <w:proofErr w:type="gramStart"/>
            <w:r w:rsidRPr="00E26EF6">
              <w:rPr>
                <w:rFonts w:ascii="Times New Roman" w:hAnsi="Times New Roman"/>
                <w:sz w:val="24"/>
              </w:rPr>
              <w:t>)</w:t>
            </w:r>
            <w:r w:rsidRPr="00E26EF6">
              <w:rPr>
                <w:rFonts w:ascii="Times New Roman" w:hAnsi="Times New Roman"/>
                <w:sz w:val="24"/>
              </w:rPr>
              <w:tab/>
              <w:t>kwot</w:t>
            </w:r>
            <w:proofErr w:type="gramEnd"/>
            <w:r w:rsidRPr="00E26EF6">
              <w:rPr>
                <w:rFonts w:ascii="Times New Roman" w:hAnsi="Times New Roman"/>
                <w:sz w:val="24"/>
              </w:rPr>
              <w:t xml:space="preserve"> strat brutto dotyczących dodatnich korekt strat dokonanych</w:t>
            </w:r>
            <w:r w:rsidR="00E26EF6" w:rsidRPr="00E26EF6">
              <w:rPr>
                <w:rFonts w:ascii="Times New Roman" w:hAnsi="Times New Roman"/>
                <w:sz w:val="24"/>
              </w:rPr>
              <w:t xml:space="preserve"> w spr</w:t>
            </w:r>
            <w:r w:rsidRPr="00E26EF6">
              <w:rPr>
                <w:rFonts w:ascii="Times New Roman" w:hAnsi="Times New Roman"/>
                <w:sz w:val="24"/>
              </w:rPr>
              <w:t>awozdawczym okresie odniesienia (np.</w:t>
            </w:r>
            <w:r w:rsidR="00E26EF6" w:rsidRPr="00E26EF6">
              <w:rPr>
                <w:rFonts w:ascii="Times New Roman" w:hAnsi="Times New Roman"/>
                <w:sz w:val="24"/>
              </w:rPr>
              <w:t xml:space="preserve"> w wyn</w:t>
            </w:r>
            <w:r w:rsidRPr="00E26EF6">
              <w:rPr>
                <w:rFonts w:ascii="Times New Roman" w:hAnsi="Times New Roman"/>
                <w:sz w:val="24"/>
              </w:rPr>
              <w:t>iku zwiększenia rezerw, powiązanych zdarzeń straty, dodatkowych rozrachunków)</w:t>
            </w:r>
            <w:r w:rsidR="00E26EF6" w:rsidRPr="00E26EF6">
              <w:rPr>
                <w:rFonts w:ascii="Times New Roman" w:hAnsi="Times New Roman"/>
                <w:sz w:val="24"/>
              </w:rPr>
              <w:t xml:space="preserve"> w odn</w:t>
            </w:r>
            <w:r w:rsidRPr="00E26EF6">
              <w:rPr>
                <w:rFonts w:ascii="Times New Roman" w:hAnsi="Times New Roman"/>
                <w:sz w:val="24"/>
              </w:rPr>
              <w:t>iesieniu do zdarzeń ryzyka operacyjnego „ujętych po raz pierwszy”</w:t>
            </w:r>
            <w:r w:rsidR="00E26EF6" w:rsidRPr="00E26EF6">
              <w:rPr>
                <w:rFonts w:ascii="Times New Roman" w:hAnsi="Times New Roman"/>
                <w:sz w:val="24"/>
              </w:rPr>
              <w:t xml:space="preserve"> i zgł</w:t>
            </w:r>
            <w:r w:rsidRPr="00E26EF6">
              <w:rPr>
                <w:rFonts w:ascii="Times New Roman" w:hAnsi="Times New Roman"/>
                <w:sz w:val="24"/>
              </w:rPr>
              <w:t>oszonych</w:t>
            </w:r>
            <w:r w:rsidR="00E26EF6" w:rsidRPr="00E26EF6">
              <w:rPr>
                <w:rFonts w:ascii="Times New Roman" w:hAnsi="Times New Roman"/>
                <w:sz w:val="24"/>
              </w:rPr>
              <w:t xml:space="preserve"> w pop</w:t>
            </w:r>
            <w:r w:rsidRPr="00E26EF6">
              <w:rPr>
                <w:rFonts w:ascii="Times New Roman" w:hAnsi="Times New Roman"/>
                <w:sz w:val="24"/>
              </w:rPr>
              <w:t>rzednich sprawozdawczych okresach odniesienia;</w:t>
            </w:r>
          </w:p>
          <w:p w14:paraId="23707CE8" w14:textId="693C14A7" w:rsidR="00915077" w:rsidRPr="00E26EF6" w:rsidRDefault="00FD54FC">
            <w:pPr>
              <w:tabs>
                <w:tab w:val="left" w:pos="459"/>
              </w:tabs>
              <w:ind w:left="459" w:hanging="459"/>
              <w:rPr>
                <w:rFonts w:ascii="Times New Roman" w:hAnsi="Times New Roman"/>
                <w:sz w:val="24"/>
              </w:rPr>
            </w:pPr>
            <w:r w:rsidRPr="00E26EF6">
              <w:rPr>
                <w:rFonts w:ascii="Times New Roman" w:hAnsi="Times New Roman"/>
                <w:sz w:val="24"/>
              </w:rPr>
              <w:t>(ii</w:t>
            </w:r>
            <w:proofErr w:type="gramStart"/>
            <w:r w:rsidRPr="00E26EF6">
              <w:rPr>
                <w:rFonts w:ascii="Times New Roman" w:hAnsi="Times New Roman"/>
                <w:sz w:val="24"/>
              </w:rPr>
              <w:t>)</w:t>
            </w:r>
            <w:r w:rsidRPr="00E26EF6">
              <w:rPr>
                <w:rFonts w:ascii="Times New Roman" w:hAnsi="Times New Roman"/>
                <w:sz w:val="24"/>
              </w:rPr>
              <w:tab/>
              <w:t>kwot</w:t>
            </w:r>
            <w:proofErr w:type="gramEnd"/>
            <w:r w:rsidRPr="00E26EF6">
              <w:rPr>
                <w:rFonts w:ascii="Times New Roman" w:hAnsi="Times New Roman"/>
                <w:sz w:val="24"/>
              </w:rPr>
              <w:t xml:space="preserve"> strat brutto dotyczących ujemnych korekt strat dokonanych</w:t>
            </w:r>
            <w:r w:rsidR="00E26EF6" w:rsidRPr="00E26EF6">
              <w:rPr>
                <w:rFonts w:ascii="Times New Roman" w:hAnsi="Times New Roman"/>
                <w:sz w:val="24"/>
              </w:rPr>
              <w:t xml:space="preserve"> w spr</w:t>
            </w:r>
            <w:r w:rsidRPr="00E26EF6">
              <w:rPr>
                <w:rFonts w:ascii="Times New Roman" w:hAnsi="Times New Roman"/>
                <w:sz w:val="24"/>
              </w:rPr>
              <w:t>awozdawczym okresie odniesienia (np.</w:t>
            </w:r>
            <w:r w:rsidR="00E26EF6" w:rsidRPr="00E26EF6">
              <w:rPr>
                <w:rFonts w:ascii="Times New Roman" w:hAnsi="Times New Roman"/>
                <w:sz w:val="24"/>
              </w:rPr>
              <w:t xml:space="preserve"> z pow</w:t>
            </w:r>
            <w:r w:rsidRPr="00E26EF6">
              <w:rPr>
                <w:rFonts w:ascii="Times New Roman" w:hAnsi="Times New Roman"/>
                <w:sz w:val="24"/>
              </w:rPr>
              <w:t>odu zmniejszenia rezerw)</w:t>
            </w:r>
            <w:r w:rsidR="00E26EF6" w:rsidRPr="00E26EF6">
              <w:rPr>
                <w:rFonts w:ascii="Times New Roman" w:hAnsi="Times New Roman"/>
                <w:sz w:val="24"/>
              </w:rPr>
              <w:t xml:space="preserve"> w odn</w:t>
            </w:r>
            <w:r w:rsidRPr="00E26EF6">
              <w:rPr>
                <w:rFonts w:ascii="Times New Roman" w:hAnsi="Times New Roman"/>
                <w:sz w:val="24"/>
              </w:rPr>
              <w:t>iesieniu do zdarzeń straty wynikłych</w:t>
            </w:r>
            <w:r w:rsidR="00E26EF6" w:rsidRPr="00E26EF6">
              <w:rPr>
                <w:rFonts w:ascii="Times New Roman" w:hAnsi="Times New Roman"/>
                <w:sz w:val="24"/>
              </w:rPr>
              <w:t xml:space="preserve"> z ryz</w:t>
            </w:r>
            <w:r w:rsidRPr="00E26EF6">
              <w:rPr>
                <w:rFonts w:ascii="Times New Roman" w:hAnsi="Times New Roman"/>
                <w:sz w:val="24"/>
              </w:rPr>
              <w:t>yka operacyjnego „ujętych po raz pierwszy”</w:t>
            </w:r>
            <w:r w:rsidR="00E26EF6" w:rsidRPr="00E26EF6">
              <w:rPr>
                <w:rFonts w:ascii="Times New Roman" w:hAnsi="Times New Roman"/>
                <w:sz w:val="24"/>
              </w:rPr>
              <w:t xml:space="preserve"> i zgł</w:t>
            </w:r>
            <w:r w:rsidRPr="00E26EF6">
              <w:rPr>
                <w:rFonts w:ascii="Times New Roman" w:hAnsi="Times New Roman"/>
                <w:sz w:val="24"/>
              </w:rPr>
              <w:t>oszonych</w:t>
            </w:r>
            <w:r w:rsidR="00E26EF6" w:rsidRPr="00E26EF6">
              <w:rPr>
                <w:rFonts w:ascii="Times New Roman" w:hAnsi="Times New Roman"/>
                <w:sz w:val="24"/>
              </w:rPr>
              <w:t xml:space="preserve"> w pop</w:t>
            </w:r>
            <w:r w:rsidRPr="00E26EF6">
              <w:rPr>
                <w:rFonts w:ascii="Times New Roman" w:hAnsi="Times New Roman"/>
                <w:sz w:val="24"/>
              </w:rPr>
              <w:t xml:space="preserve">rzednich sprawozdawczych okresach odniesienia. </w:t>
            </w:r>
          </w:p>
          <w:p w14:paraId="2D748ABA" w14:textId="6710F51E" w:rsidR="00915077" w:rsidRPr="00E26EF6" w:rsidRDefault="001F6487">
            <w:pPr>
              <w:rPr>
                <w:rFonts w:ascii="Times New Roman" w:hAnsi="Times New Roman"/>
                <w:sz w:val="24"/>
              </w:rPr>
            </w:pPr>
            <w:r w:rsidRPr="00E26EF6">
              <w:rPr>
                <w:rFonts w:ascii="Times New Roman" w:hAnsi="Times New Roman"/>
                <w:sz w:val="24"/>
              </w:rPr>
              <w:t>Jeżeli</w:t>
            </w:r>
            <w:r w:rsidR="00E26EF6" w:rsidRPr="00E26EF6">
              <w:rPr>
                <w:rFonts w:ascii="Times New Roman" w:hAnsi="Times New Roman"/>
                <w:sz w:val="24"/>
              </w:rPr>
              <w:t xml:space="preserve"> w spr</w:t>
            </w:r>
            <w:r w:rsidRPr="00E26EF6">
              <w:rPr>
                <w:rFonts w:ascii="Times New Roman" w:hAnsi="Times New Roman"/>
                <w:sz w:val="24"/>
              </w:rPr>
              <w:t>awozdawczym okresie odniesienia dokonano</w:t>
            </w:r>
            <w:r w:rsidR="00E26EF6" w:rsidRPr="00E26EF6">
              <w:rPr>
                <w:rFonts w:ascii="Times New Roman" w:hAnsi="Times New Roman"/>
                <w:sz w:val="24"/>
              </w:rPr>
              <w:t xml:space="preserve"> w odn</w:t>
            </w:r>
            <w:r w:rsidRPr="00E26EF6">
              <w:rPr>
                <w:rFonts w:ascii="Times New Roman" w:hAnsi="Times New Roman"/>
                <w:sz w:val="24"/>
              </w:rPr>
              <w:t>iesieniu do zdarzenia straty więcej niż jednej korekty strat, kwoty wszystkich tych korekt strat sumuje się, uwzględniając znak korekty (dodatnia, ujemna). Sumę tę traktuje się jako korektę strat dla tego zdarzenia straty</w:t>
            </w:r>
            <w:r w:rsidR="00E26EF6" w:rsidRPr="00E26EF6">
              <w:rPr>
                <w:rFonts w:ascii="Times New Roman" w:hAnsi="Times New Roman"/>
                <w:sz w:val="24"/>
              </w:rPr>
              <w:t xml:space="preserve"> w dan</w:t>
            </w:r>
            <w:r w:rsidRPr="00E26EF6">
              <w:rPr>
                <w:rFonts w:ascii="Times New Roman" w:hAnsi="Times New Roman"/>
                <w:sz w:val="24"/>
              </w:rPr>
              <w:t>ym sprawozdawczym okresie odniesienia.</w:t>
            </w:r>
          </w:p>
          <w:p w14:paraId="6AFACF1E" w14:textId="7C2A1193" w:rsidR="00915077" w:rsidRPr="00E26EF6" w:rsidRDefault="001F6487">
            <w:pPr>
              <w:rPr>
                <w:rFonts w:ascii="Times New Roman" w:hAnsi="Times New Roman"/>
                <w:sz w:val="24"/>
              </w:rPr>
            </w:pPr>
            <w:r w:rsidRPr="00E26EF6">
              <w:rPr>
                <w:rFonts w:ascii="Times New Roman" w:hAnsi="Times New Roman"/>
                <w:sz w:val="24"/>
              </w:rPr>
              <w:t>Jeżeli</w:t>
            </w:r>
            <w:r w:rsidR="00E26EF6" w:rsidRPr="00E26EF6">
              <w:rPr>
                <w:rFonts w:ascii="Times New Roman" w:hAnsi="Times New Roman"/>
                <w:sz w:val="24"/>
              </w:rPr>
              <w:t xml:space="preserve"> w wyn</w:t>
            </w:r>
            <w:r w:rsidRPr="00E26EF6">
              <w:rPr>
                <w:rFonts w:ascii="Times New Roman" w:hAnsi="Times New Roman"/>
                <w:sz w:val="24"/>
              </w:rPr>
              <w:t>iku ujemnej korekty strat skorygowana kwota straty możliwa do przypisania zdarzeniu straty jest mniejsza od progu gromadzenia wewnętrznych danych instytucji, instytucja zgłasza całkowitą kwotę straty dla tego zdarzenia straty skumulowaną do czasu ostatniego zgłoszenia zdarzenia dla grudniowej daty odniesienia (tj. pierwotną stratę plus/minus wszystkie korekty straty dokonane</w:t>
            </w:r>
            <w:r w:rsidR="00E26EF6" w:rsidRPr="00E26EF6">
              <w:rPr>
                <w:rFonts w:ascii="Times New Roman" w:hAnsi="Times New Roman"/>
                <w:sz w:val="24"/>
              </w:rPr>
              <w:t xml:space="preserve"> w pop</w:t>
            </w:r>
            <w:r w:rsidRPr="00E26EF6">
              <w:rPr>
                <w:rFonts w:ascii="Times New Roman" w:hAnsi="Times New Roman"/>
                <w:sz w:val="24"/>
              </w:rPr>
              <w:t>rzednich sprawozdawczych okresach odniesienia) ze znakiem ujemnym zamiast kwoty samej ujemnej korekty strat.</w:t>
            </w:r>
          </w:p>
          <w:p w14:paraId="32E8B207" w14:textId="1128A6E7" w:rsidR="00915077" w:rsidRPr="00E26EF6" w:rsidRDefault="00FD54FC">
            <w:pPr>
              <w:rPr>
                <w:b/>
                <w:sz w:val="24"/>
                <w:highlight w:val="lightGray"/>
              </w:rPr>
            </w:pPr>
            <w:r w:rsidRPr="00E26EF6">
              <w:rPr>
                <w:rFonts w:ascii="Times New Roman" w:hAnsi="Times New Roman"/>
                <w:sz w:val="24"/>
              </w:rPr>
              <w:t>W kwotach, które należy zgłosić, nie uwzględnia się otrzymanych odzyskanych należności.</w:t>
            </w:r>
          </w:p>
        </w:tc>
      </w:tr>
      <w:tr w:rsidR="00915077" w:rsidRPr="00E26EF6" w14:paraId="57752AD3" w14:textId="77777777" w:rsidTr="00672D2A">
        <w:tc>
          <w:tcPr>
            <w:tcW w:w="1101" w:type="dxa"/>
          </w:tcPr>
          <w:p w14:paraId="0F2AEB24"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t>0050, 0150, 0250, 0350, 0450, 0550, 0650, 0750, 0850</w:t>
            </w:r>
          </w:p>
        </w:tc>
        <w:tc>
          <w:tcPr>
            <w:tcW w:w="8079" w:type="dxa"/>
          </w:tcPr>
          <w:p w14:paraId="7C8B89AF"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Maksymalna pojedyncza strata</w:t>
            </w:r>
          </w:p>
          <w:p w14:paraId="102DF4F7" w14:textId="2344A48A" w:rsidR="00915077" w:rsidRPr="00E26EF6" w:rsidRDefault="00FD54FC">
            <w:pPr>
              <w:rPr>
                <w:rFonts w:ascii="Times New Roman" w:hAnsi="Times New Roman"/>
                <w:sz w:val="24"/>
              </w:rPr>
            </w:pPr>
            <w:r w:rsidRPr="00E26EF6">
              <w:rPr>
                <w:rFonts w:ascii="Times New Roman" w:hAnsi="Times New Roman"/>
                <w:sz w:val="24"/>
              </w:rPr>
              <w:t>Maksymalna pojedyncza strata jest większą</w:t>
            </w:r>
            <w:r w:rsidR="00E26EF6" w:rsidRPr="00E26EF6">
              <w:rPr>
                <w:rFonts w:ascii="Times New Roman" w:hAnsi="Times New Roman"/>
                <w:sz w:val="24"/>
              </w:rPr>
              <w:t xml:space="preserve"> z nas</w:t>
            </w:r>
            <w:r w:rsidRPr="00E26EF6">
              <w:rPr>
                <w:rFonts w:ascii="Times New Roman" w:hAnsi="Times New Roman"/>
                <w:sz w:val="24"/>
              </w:rPr>
              <w:t>tępujących kwot:</w:t>
            </w:r>
          </w:p>
          <w:p w14:paraId="4E1B5AE8" w14:textId="02767C79" w:rsidR="00915077" w:rsidRPr="00E26EF6" w:rsidRDefault="00FD54FC">
            <w:pPr>
              <w:tabs>
                <w:tab w:val="left" w:pos="459"/>
              </w:tabs>
              <w:ind w:left="459" w:hanging="459"/>
              <w:rPr>
                <w:rFonts w:ascii="Times New Roman" w:hAnsi="Times New Roman"/>
                <w:sz w:val="24"/>
              </w:rPr>
            </w:pPr>
            <w:r w:rsidRPr="00E26EF6">
              <w:rPr>
                <w:rFonts w:ascii="Times New Roman" w:hAnsi="Times New Roman"/>
                <w:sz w:val="24"/>
              </w:rPr>
              <w:t>(i</w:t>
            </w:r>
            <w:proofErr w:type="gramStart"/>
            <w:r w:rsidRPr="00E26EF6">
              <w:rPr>
                <w:rFonts w:ascii="Times New Roman" w:hAnsi="Times New Roman"/>
                <w:sz w:val="24"/>
              </w:rPr>
              <w:t>)</w:t>
            </w:r>
            <w:r w:rsidRPr="00E26EF6">
              <w:rPr>
                <w:rFonts w:ascii="Times New Roman" w:hAnsi="Times New Roman"/>
                <w:sz w:val="24"/>
              </w:rPr>
              <w:tab/>
              <w:t>kwoty</w:t>
            </w:r>
            <w:proofErr w:type="gramEnd"/>
            <w:r w:rsidRPr="00E26EF6">
              <w:rPr>
                <w:rFonts w:ascii="Times New Roman" w:hAnsi="Times New Roman"/>
                <w:sz w:val="24"/>
              </w:rPr>
              <w:t xml:space="preserve"> największej straty brutto związanej ze zdarzeniem straty zgłoszonym po raz pierwszy</w:t>
            </w:r>
            <w:r w:rsidR="00E26EF6" w:rsidRPr="00E26EF6">
              <w:rPr>
                <w:rFonts w:ascii="Times New Roman" w:hAnsi="Times New Roman"/>
                <w:sz w:val="24"/>
              </w:rPr>
              <w:t xml:space="preserve"> w spr</w:t>
            </w:r>
            <w:r w:rsidRPr="00E26EF6">
              <w:rPr>
                <w:rFonts w:ascii="Times New Roman" w:hAnsi="Times New Roman"/>
                <w:sz w:val="24"/>
              </w:rPr>
              <w:t>awozdawczym okresie odniesienia; oraz</w:t>
            </w:r>
          </w:p>
          <w:p w14:paraId="0A7B5272" w14:textId="0998E18F" w:rsidR="00915077" w:rsidRPr="00E26EF6" w:rsidRDefault="00FD54FC">
            <w:pPr>
              <w:tabs>
                <w:tab w:val="left" w:pos="459"/>
              </w:tabs>
              <w:ind w:left="459" w:hanging="459"/>
              <w:rPr>
                <w:rFonts w:ascii="Times New Roman" w:hAnsi="Times New Roman"/>
                <w:sz w:val="24"/>
              </w:rPr>
            </w:pPr>
            <w:r w:rsidRPr="00113518">
              <w:rPr>
                <w:rFonts w:ascii="Times New Roman" w:hAnsi="Times New Roman"/>
                <w:sz w:val="24"/>
                <w:highlight w:val="yellow"/>
              </w:rPr>
              <w:t>(ii</w:t>
            </w:r>
            <w:proofErr w:type="gramStart"/>
            <w:r w:rsidRPr="00113518">
              <w:rPr>
                <w:rFonts w:ascii="Times New Roman" w:hAnsi="Times New Roman"/>
                <w:sz w:val="24"/>
                <w:highlight w:val="yellow"/>
              </w:rPr>
              <w:t>)</w:t>
            </w:r>
            <w:r w:rsidRPr="00113518">
              <w:rPr>
                <w:rFonts w:ascii="Times New Roman" w:hAnsi="Times New Roman"/>
                <w:sz w:val="24"/>
                <w:highlight w:val="yellow"/>
              </w:rPr>
              <w:tab/>
              <w:t>kwoty</w:t>
            </w:r>
            <w:proofErr w:type="gramEnd"/>
            <w:r w:rsidRPr="00113518">
              <w:rPr>
                <w:rFonts w:ascii="Times New Roman" w:hAnsi="Times New Roman"/>
                <w:sz w:val="24"/>
                <w:highlight w:val="yellow"/>
              </w:rPr>
              <w:t xml:space="preserve"> największej dodatniej korekty strat (zgodnie</w:t>
            </w:r>
            <w:r w:rsidR="00E26EF6" w:rsidRPr="00113518">
              <w:rPr>
                <w:rFonts w:ascii="Times New Roman" w:hAnsi="Times New Roman"/>
                <w:sz w:val="24"/>
                <w:highlight w:val="yellow"/>
              </w:rPr>
              <w:t xml:space="preserve"> z wie</w:t>
            </w:r>
            <w:r w:rsidRPr="00113518">
              <w:rPr>
                <w:rFonts w:ascii="Times New Roman" w:hAnsi="Times New Roman"/>
                <w:sz w:val="24"/>
                <w:highlight w:val="yellow"/>
              </w:rPr>
              <w:t>rszami 0040, 0140, …, 0840 powyżej) związanej ze zdarzeniem straty zgłoszonym po raz pierwszy</w:t>
            </w:r>
            <w:r w:rsidR="00E26EF6" w:rsidRPr="00113518">
              <w:rPr>
                <w:rFonts w:ascii="Times New Roman" w:hAnsi="Times New Roman"/>
                <w:sz w:val="24"/>
                <w:highlight w:val="yellow"/>
              </w:rPr>
              <w:t xml:space="preserve"> w pop</w:t>
            </w:r>
            <w:r w:rsidRPr="00113518">
              <w:rPr>
                <w:rFonts w:ascii="Times New Roman" w:hAnsi="Times New Roman"/>
                <w:sz w:val="24"/>
                <w:highlight w:val="yellow"/>
              </w:rPr>
              <w:t>rzednim sprawozdawczym okresie odniesienia.</w:t>
            </w:r>
          </w:p>
          <w:p w14:paraId="3816A2ED" w14:textId="1AF42AAC" w:rsidR="00915077" w:rsidRPr="00E26EF6" w:rsidRDefault="00FD54FC">
            <w:pPr>
              <w:rPr>
                <w:sz w:val="24"/>
                <w:highlight w:val="lightGray"/>
              </w:rPr>
            </w:pPr>
            <w:r w:rsidRPr="00E26EF6">
              <w:rPr>
                <w:rFonts w:ascii="Times New Roman" w:hAnsi="Times New Roman"/>
                <w:sz w:val="24"/>
              </w:rPr>
              <w:t>W kwotach, które należy zgłosić, nie uwzględnia się otrzymanych odzyskanych należności.</w:t>
            </w:r>
          </w:p>
        </w:tc>
      </w:tr>
      <w:tr w:rsidR="00915077" w:rsidRPr="00E26EF6" w14:paraId="4B199E8D" w14:textId="77777777" w:rsidTr="00672D2A">
        <w:tc>
          <w:tcPr>
            <w:tcW w:w="1101" w:type="dxa"/>
          </w:tcPr>
          <w:p w14:paraId="44F8BA7E"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t xml:space="preserve">0060, 0160, 0260, 0360, 0460, 0560, 0660, </w:t>
            </w:r>
            <w:r w:rsidRPr="00E26EF6">
              <w:rPr>
                <w:rFonts w:ascii="Times New Roman" w:hAnsi="Times New Roman"/>
                <w:bCs/>
                <w:sz w:val="24"/>
              </w:rPr>
              <w:lastRenderedPageBreak/>
              <w:t>0760, 0860</w:t>
            </w:r>
          </w:p>
        </w:tc>
        <w:tc>
          <w:tcPr>
            <w:tcW w:w="8079" w:type="dxa"/>
          </w:tcPr>
          <w:p w14:paraId="15174573"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lastRenderedPageBreak/>
              <w:t>Suma pięciu największych strat</w:t>
            </w:r>
          </w:p>
          <w:p w14:paraId="38CFFFCE" w14:textId="2415CD6C" w:rsidR="00915077" w:rsidRPr="00E26EF6" w:rsidRDefault="00FD54FC">
            <w:pPr>
              <w:rPr>
                <w:rFonts w:ascii="Times New Roman" w:hAnsi="Times New Roman"/>
                <w:sz w:val="24"/>
              </w:rPr>
            </w:pPr>
            <w:r w:rsidRPr="00E26EF6">
              <w:rPr>
                <w:rFonts w:ascii="Times New Roman" w:hAnsi="Times New Roman"/>
                <w:sz w:val="24"/>
              </w:rPr>
              <w:t>Suma pięciu największych strat jest sumą pięciu największych kwot spośród:</w:t>
            </w:r>
          </w:p>
          <w:p w14:paraId="1E955010" w14:textId="328EA350" w:rsidR="00915077" w:rsidRPr="00E26EF6" w:rsidRDefault="00FD54FC">
            <w:pPr>
              <w:tabs>
                <w:tab w:val="left" w:pos="459"/>
              </w:tabs>
              <w:ind w:left="459" w:hanging="459"/>
              <w:rPr>
                <w:rFonts w:ascii="Times New Roman" w:hAnsi="Times New Roman"/>
                <w:sz w:val="24"/>
              </w:rPr>
            </w:pPr>
            <w:r w:rsidRPr="00E26EF6">
              <w:rPr>
                <w:rFonts w:ascii="Times New Roman" w:hAnsi="Times New Roman"/>
                <w:sz w:val="24"/>
              </w:rPr>
              <w:t>(i</w:t>
            </w:r>
            <w:proofErr w:type="gramStart"/>
            <w:r w:rsidRPr="00E26EF6">
              <w:rPr>
                <w:rFonts w:ascii="Times New Roman" w:hAnsi="Times New Roman"/>
                <w:sz w:val="24"/>
              </w:rPr>
              <w:t>)</w:t>
            </w:r>
            <w:r w:rsidRPr="00E26EF6">
              <w:rPr>
                <w:rFonts w:ascii="Times New Roman" w:hAnsi="Times New Roman"/>
                <w:sz w:val="24"/>
              </w:rPr>
              <w:tab/>
              <w:t>kwot</w:t>
            </w:r>
            <w:proofErr w:type="gramEnd"/>
            <w:r w:rsidRPr="00E26EF6">
              <w:rPr>
                <w:rFonts w:ascii="Times New Roman" w:hAnsi="Times New Roman"/>
                <w:sz w:val="24"/>
              </w:rPr>
              <w:t xml:space="preserve"> strat brutto związanych ze zdarzeniami straty zgłoszonymi po raz pierwszy</w:t>
            </w:r>
            <w:r w:rsidR="00E26EF6" w:rsidRPr="00E26EF6">
              <w:rPr>
                <w:rFonts w:ascii="Times New Roman" w:hAnsi="Times New Roman"/>
                <w:sz w:val="24"/>
              </w:rPr>
              <w:t xml:space="preserve"> w spr</w:t>
            </w:r>
            <w:r w:rsidRPr="00E26EF6">
              <w:rPr>
                <w:rFonts w:ascii="Times New Roman" w:hAnsi="Times New Roman"/>
                <w:sz w:val="24"/>
              </w:rPr>
              <w:t>awozdawczym okresie odniesienia; oraz</w:t>
            </w:r>
          </w:p>
          <w:p w14:paraId="612D4190" w14:textId="2B0F8423" w:rsidR="00915077" w:rsidRPr="00E26EF6" w:rsidRDefault="00FD54FC">
            <w:pPr>
              <w:tabs>
                <w:tab w:val="left" w:pos="459"/>
              </w:tabs>
              <w:ind w:left="459" w:hanging="459"/>
              <w:rPr>
                <w:rFonts w:ascii="Times New Roman" w:hAnsi="Times New Roman"/>
                <w:sz w:val="24"/>
              </w:rPr>
            </w:pPr>
            <w:r w:rsidRPr="00E26EF6">
              <w:rPr>
                <w:rFonts w:ascii="Times New Roman" w:hAnsi="Times New Roman"/>
                <w:sz w:val="24"/>
              </w:rPr>
              <w:lastRenderedPageBreak/>
              <w:t>(ii</w:t>
            </w:r>
            <w:proofErr w:type="gramStart"/>
            <w:r w:rsidRPr="00E26EF6">
              <w:rPr>
                <w:rFonts w:ascii="Times New Roman" w:hAnsi="Times New Roman"/>
                <w:sz w:val="24"/>
              </w:rPr>
              <w:t>)</w:t>
            </w:r>
            <w:r w:rsidRPr="00E26EF6">
              <w:rPr>
                <w:rFonts w:ascii="Times New Roman" w:hAnsi="Times New Roman"/>
                <w:sz w:val="24"/>
              </w:rPr>
              <w:tab/>
              <w:t>kwot</w:t>
            </w:r>
            <w:proofErr w:type="gramEnd"/>
            <w:r w:rsidRPr="00E26EF6">
              <w:rPr>
                <w:rFonts w:ascii="Times New Roman" w:hAnsi="Times New Roman"/>
                <w:sz w:val="24"/>
              </w:rPr>
              <w:t xml:space="preserve"> dodatnich korekt strat (zgodnie</w:t>
            </w:r>
            <w:r w:rsidR="00E26EF6" w:rsidRPr="00E26EF6">
              <w:rPr>
                <w:rFonts w:ascii="Times New Roman" w:hAnsi="Times New Roman"/>
                <w:sz w:val="24"/>
              </w:rPr>
              <w:t xml:space="preserve"> z def</w:t>
            </w:r>
            <w:r w:rsidRPr="00E26EF6">
              <w:rPr>
                <w:rFonts w:ascii="Times New Roman" w:hAnsi="Times New Roman"/>
                <w:sz w:val="24"/>
              </w:rPr>
              <w:t>inicją dla wierszy 0040, 0140, …, 0840 powyżej) związanych ze zdarzeniami straty zgłoszonymi po raz pierwszy</w:t>
            </w:r>
            <w:r w:rsidR="00E26EF6" w:rsidRPr="00E26EF6">
              <w:rPr>
                <w:rFonts w:ascii="Times New Roman" w:hAnsi="Times New Roman"/>
                <w:sz w:val="24"/>
              </w:rPr>
              <w:t xml:space="preserve"> w pop</w:t>
            </w:r>
            <w:r w:rsidRPr="00E26EF6">
              <w:rPr>
                <w:rFonts w:ascii="Times New Roman" w:hAnsi="Times New Roman"/>
                <w:sz w:val="24"/>
              </w:rPr>
              <w:t>rzednim sprawozdawczym okresie odniesienia. Kwota, którą można zakwalifikować jako jedną</w:t>
            </w:r>
            <w:r w:rsidR="00E26EF6" w:rsidRPr="00E26EF6">
              <w:rPr>
                <w:rFonts w:ascii="Times New Roman" w:hAnsi="Times New Roman"/>
                <w:sz w:val="24"/>
              </w:rPr>
              <w:t xml:space="preserve"> z pię</w:t>
            </w:r>
            <w:r w:rsidRPr="00E26EF6">
              <w:rPr>
                <w:rFonts w:ascii="Times New Roman" w:hAnsi="Times New Roman"/>
                <w:sz w:val="24"/>
              </w:rPr>
              <w:t>ciu największych kwot, jest kwotą samej korekty strat,</w:t>
            </w:r>
            <w:r w:rsidR="00E26EF6" w:rsidRPr="00E26EF6">
              <w:rPr>
                <w:rFonts w:ascii="Times New Roman" w:hAnsi="Times New Roman"/>
                <w:sz w:val="24"/>
              </w:rPr>
              <w:t xml:space="preserve"> a nie</w:t>
            </w:r>
            <w:r w:rsidRPr="00E26EF6">
              <w:rPr>
                <w:rFonts w:ascii="Times New Roman" w:hAnsi="Times New Roman"/>
                <w:sz w:val="24"/>
              </w:rPr>
              <w:t xml:space="preserve"> całkowitą stratą związaną</w:t>
            </w:r>
            <w:r w:rsidR="00E26EF6" w:rsidRPr="00E26EF6">
              <w:rPr>
                <w:rFonts w:ascii="Times New Roman" w:hAnsi="Times New Roman"/>
                <w:sz w:val="24"/>
              </w:rPr>
              <w:t xml:space="preserve"> z odp</w:t>
            </w:r>
            <w:r w:rsidRPr="00E26EF6">
              <w:rPr>
                <w:rFonts w:ascii="Times New Roman" w:hAnsi="Times New Roman"/>
                <w:sz w:val="24"/>
              </w:rPr>
              <w:t>owiednim zdarzeniem straty przed korektą strat lub po takiej korekcie.</w:t>
            </w:r>
          </w:p>
          <w:p w14:paraId="203923A8" w14:textId="1F4A1F8D" w:rsidR="00915077" w:rsidRPr="00E26EF6" w:rsidRDefault="00FD54FC">
            <w:pPr>
              <w:rPr>
                <w:sz w:val="24"/>
                <w:highlight w:val="lightGray"/>
              </w:rPr>
            </w:pPr>
            <w:r w:rsidRPr="00E26EF6">
              <w:rPr>
                <w:rFonts w:ascii="Times New Roman" w:hAnsi="Times New Roman"/>
                <w:sz w:val="24"/>
              </w:rPr>
              <w:t>W kwotach, które należy zgłosić, nie uwzględnia się otrzymanych odzyskanych należności.</w:t>
            </w:r>
          </w:p>
        </w:tc>
      </w:tr>
      <w:tr w:rsidR="00915077" w:rsidRPr="00E26EF6" w14:paraId="413941A3" w14:textId="77777777" w:rsidTr="00672D2A">
        <w:tc>
          <w:tcPr>
            <w:tcW w:w="1101" w:type="dxa"/>
          </w:tcPr>
          <w:p w14:paraId="30E45BBE"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lastRenderedPageBreak/>
              <w:t>0070, 0170, 0270, 0370, 0470, 0570, 0670, 0770, 0870</w:t>
            </w:r>
          </w:p>
        </w:tc>
        <w:tc>
          <w:tcPr>
            <w:tcW w:w="8079" w:type="dxa"/>
          </w:tcPr>
          <w:p w14:paraId="43A05DAB" w14:textId="77777777" w:rsidR="00915077" w:rsidRPr="00E26EF6" w:rsidRDefault="00B34B0B">
            <w:pPr>
              <w:rPr>
                <w:sz w:val="24"/>
              </w:rPr>
            </w:pPr>
            <w:r w:rsidRPr="00E26EF6">
              <w:rPr>
                <w:rStyle w:val="InstructionsTabelleberschrift"/>
                <w:rFonts w:ascii="Times New Roman" w:hAnsi="Times New Roman"/>
                <w:sz w:val="24"/>
              </w:rPr>
              <w:t>Całkowite bezpośrednio odzyskane należności</w:t>
            </w:r>
          </w:p>
          <w:p w14:paraId="7A363432" w14:textId="2562C574" w:rsidR="00915077" w:rsidRPr="00E26EF6" w:rsidRDefault="00FD54FC">
            <w:pPr>
              <w:rPr>
                <w:rFonts w:ascii="Times New Roman" w:hAnsi="Times New Roman"/>
                <w:sz w:val="24"/>
              </w:rPr>
            </w:pPr>
            <w:r w:rsidRPr="00E26EF6">
              <w:rPr>
                <w:rFonts w:ascii="Times New Roman" w:hAnsi="Times New Roman"/>
                <w:sz w:val="24"/>
              </w:rPr>
              <w:t>Bezpośrednio odzyskane należności wynikające ze straty są to wszystkie otrzymane odzyskane należności wynikające ze straty</w:t>
            </w:r>
            <w:r w:rsidR="00E26EF6" w:rsidRPr="00E26EF6">
              <w:rPr>
                <w:rFonts w:ascii="Times New Roman" w:hAnsi="Times New Roman"/>
                <w:sz w:val="24"/>
              </w:rPr>
              <w:t xml:space="preserve"> z wyj</w:t>
            </w:r>
            <w:r w:rsidRPr="00E26EF6">
              <w:rPr>
                <w:rFonts w:ascii="Times New Roman" w:hAnsi="Times New Roman"/>
                <w:sz w:val="24"/>
              </w:rPr>
              <w:t>ątkiem tych, które są objęte art.</w:t>
            </w:r>
            <w:r w:rsidR="00023409" w:rsidRPr="00E26EF6">
              <w:rPr>
                <w:rFonts w:ascii="Times New Roman" w:hAnsi="Times New Roman"/>
                <w:sz w:val="24"/>
              </w:rPr>
              <w:t> </w:t>
            </w:r>
            <w:r w:rsidRPr="00E26EF6">
              <w:rPr>
                <w:rFonts w:ascii="Times New Roman" w:hAnsi="Times New Roman"/>
                <w:sz w:val="24"/>
              </w:rPr>
              <w:t>323 CRR zgodnie ze zgłoszeniem</w:t>
            </w:r>
            <w:r w:rsidR="00E26EF6" w:rsidRPr="00E26EF6">
              <w:rPr>
                <w:rFonts w:ascii="Times New Roman" w:hAnsi="Times New Roman"/>
                <w:sz w:val="24"/>
              </w:rPr>
              <w:t xml:space="preserve"> w wie</w:t>
            </w:r>
            <w:r w:rsidRPr="00E26EF6">
              <w:rPr>
                <w:rFonts w:ascii="Times New Roman" w:hAnsi="Times New Roman"/>
                <w:sz w:val="24"/>
              </w:rPr>
              <w:t xml:space="preserve">rszu niniejszej tabeli poniżej. </w:t>
            </w:r>
          </w:p>
          <w:p w14:paraId="0C7D6285" w14:textId="45BB5885" w:rsidR="00915077" w:rsidRPr="00E26EF6" w:rsidRDefault="00FD54FC">
            <w:pPr>
              <w:rPr>
                <w:b/>
                <w:sz w:val="24"/>
                <w:highlight w:val="lightGray"/>
              </w:rPr>
            </w:pPr>
            <w:r w:rsidRPr="00E26EF6">
              <w:rPr>
                <w:rFonts w:ascii="Times New Roman" w:hAnsi="Times New Roman"/>
                <w:sz w:val="24"/>
              </w:rPr>
              <w:t>Całkowite bezpośrednio odzyskane należności są sumą wszystkich bezpośrednio odzyskanych należności oraz korekt bezpośrednio odzyskanych należności ujętych</w:t>
            </w:r>
            <w:r w:rsidR="00E26EF6" w:rsidRPr="00E26EF6">
              <w:rPr>
                <w:rFonts w:ascii="Times New Roman" w:hAnsi="Times New Roman"/>
                <w:sz w:val="24"/>
              </w:rPr>
              <w:t xml:space="preserve"> w okr</w:t>
            </w:r>
            <w:r w:rsidRPr="00E26EF6">
              <w:rPr>
                <w:rFonts w:ascii="Times New Roman" w:hAnsi="Times New Roman"/>
                <w:sz w:val="24"/>
              </w:rPr>
              <w:t>esie sprawozdawczym</w:t>
            </w:r>
            <w:r w:rsidR="00E26EF6" w:rsidRPr="00E26EF6">
              <w:rPr>
                <w:rFonts w:ascii="Times New Roman" w:hAnsi="Times New Roman"/>
                <w:sz w:val="24"/>
              </w:rPr>
              <w:t xml:space="preserve"> i dot</w:t>
            </w:r>
            <w:r w:rsidRPr="00E26EF6">
              <w:rPr>
                <w:rFonts w:ascii="Times New Roman" w:hAnsi="Times New Roman"/>
                <w:sz w:val="24"/>
              </w:rPr>
              <w:t>yczących zdarzeń straty wynikających</w:t>
            </w:r>
            <w:r w:rsidR="00E26EF6" w:rsidRPr="00E26EF6">
              <w:rPr>
                <w:rFonts w:ascii="Times New Roman" w:hAnsi="Times New Roman"/>
                <w:sz w:val="24"/>
              </w:rPr>
              <w:t xml:space="preserve"> z ryz</w:t>
            </w:r>
            <w:r w:rsidRPr="00E26EF6">
              <w:rPr>
                <w:rFonts w:ascii="Times New Roman" w:hAnsi="Times New Roman"/>
                <w:sz w:val="24"/>
              </w:rPr>
              <w:t>yka operacyjnego ujętych po raz pierwszy</w:t>
            </w:r>
            <w:r w:rsidR="00E26EF6" w:rsidRPr="00E26EF6">
              <w:rPr>
                <w:rFonts w:ascii="Times New Roman" w:hAnsi="Times New Roman"/>
                <w:sz w:val="24"/>
              </w:rPr>
              <w:t xml:space="preserve"> w spr</w:t>
            </w:r>
            <w:r w:rsidRPr="00E26EF6">
              <w:rPr>
                <w:rFonts w:ascii="Times New Roman" w:hAnsi="Times New Roman"/>
                <w:sz w:val="24"/>
              </w:rPr>
              <w:t>awozdawczym okresie odniesienia lub</w:t>
            </w:r>
            <w:r w:rsidR="00E26EF6" w:rsidRPr="00E26EF6">
              <w:rPr>
                <w:rFonts w:ascii="Times New Roman" w:hAnsi="Times New Roman"/>
                <w:sz w:val="24"/>
              </w:rPr>
              <w:t xml:space="preserve"> w pop</w:t>
            </w:r>
            <w:r w:rsidRPr="00E26EF6">
              <w:rPr>
                <w:rFonts w:ascii="Times New Roman" w:hAnsi="Times New Roman"/>
                <w:sz w:val="24"/>
              </w:rPr>
              <w:t>rzednich sprawozdawczych okresach odniesienia.</w:t>
            </w:r>
          </w:p>
        </w:tc>
      </w:tr>
      <w:tr w:rsidR="00915077" w:rsidRPr="00E26EF6" w14:paraId="05698663" w14:textId="77777777" w:rsidTr="00672D2A">
        <w:tc>
          <w:tcPr>
            <w:tcW w:w="1101" w:type="dxa"/>
          </w:tcPr>
          <w:p w14:paraId="4C97E254"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t>0080, 0180, 0</w:t>
            </w:r>
            <w:r w:rsidRPr="00E26EF6">
              <w:rPr>
                <w:rFonts w:ascii="Times New Roman" w:hAnsi="Times New Roman"/>
                <w:sz w:val="24"/>
              </w:rPr>
              <w:t>280</w:t>
            </w:r>
            <w:r w:rsidRPr="00E26EF6">
              <w:rPr>
                <w:rFonts w:ascii="Times New Roman" w:hAnsi="Times New Roman"/>
                <w:bCs/>
                <w:sz w:val="24"/>
              </w:rPr>
              <w:t>, 0380, 0480, 0580, 0680, 0780, 0880</w:t>
            </w:r>
          </w:p>
        </w:tc>
        <w:tc>
          <w:tcPr>
            <w:tcW w:w="8079" w:type="dxa"/>
          </w:tcPr>
          <w:p w14:paraId="79D2A1BB" w14:textId="1E80B81F"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Całkowite należności odzyskane</w:t>
            </w:r>
            <w:r w:rsidR="00E26EF6" w:rsidRPr="00E26EF6">
              <w:rPr>
                <w:rStyle w:val="InstructionsTabelleberschrift"/>
                <w:rFonts w:ascii="Times New Roman" w:hAnsi="Times New Roman"/>
                <w:sz w:val="24"/>
              </w:rPr>
              <w:t xml:space="preserve"> z ube</w:t>
            </w:r>
            <w:r w:rsidRPr="00E26EF6">
              <w:rPr>
                <w:rStyle w:val="InstructionsTabelleberschrift"/>
                <w:rFonts w:ascii="Times New Roman" w:hAnsi="Times New Roman"/>
                <w:sz w:val="24"/>
              </w:rPr>
              <w:t>zpieczenia</w:t>
            </w:r>
            <w:r w:rsidR="00E26EF6" w:rsidRPr="00E26EF6">
              <w:rPr>
                <w:rStyle w:val="InstructionsTabelleberschrift"/>
                <w:rFonts w:ascii="Times New Roman" w:hAnsi="Times New Roman"/>
                <w:sz w:val="24"/>
              </w:rPr>
              <w:t xml:space="preserve"> i inn</w:t>
            </w:r>
            <w:r w:rsidRPr="00E26EF6">
              <w:rPr>
                <w:rStyle w:val="InstructionsTabelleberschrift"/>
                <w:rFonts w:ascii="Times New Roman" w:hAnsi="Times New Roman"/>
                <w:sz w:val="24"/>
              </w:rPr>
              <w:t>ych mechanizmów transferu ryzyka</w:t>
            </w:r>
          </w:p>
          <w:p w14:paraId="20936E62" w14:textId="3B746A26" w:rsidR="00915077" w:rsidRPr="00E26EF6" w:rsidRDefault="00FD54FC">
            <w:pPr>
              <w:rPr>
                <w:rFonts w:ascii="Times New Roman" w:hAnsi="Times New Roman"/>
                <w:sz w:val="24"/>
              </w:rPr>
            </w:pPr>
            <w:r w:rsidRPr="00E26EF6">
              <w:rPr>
                <w:rFonts w:ascii="Times New Roman" w:hAnsi="Times New Roman"/>
                <w:sz w:val="24"/>
              </w:rPr>
              <w:t>Należności odzyskane</w:t>
            </w:r>
            <w:r w:rsidR="00E26EF6" w:rsidRPr="00E26EF6">
              <w:rPr>
                <w:rFonts w:ascii="Times New Roman" w:hAnsi="Times New Roman"/>
                <w:sz w:val="24"/>
              </w:rPr>
              <w:t xml:space="preserve"> z ube</w:t>
            </w:r>
            <w:r w:rsidRPr="00E26EF6">
              <w:rPr>
                <w:rFonts w:ascii="Times New Roman" w:hAnsi="Times New Roman"/>
                <w:sz w:val="24"/>
              </w:rPr>
              <w:t>zpieczenia</w:t>
            </w:r>
            <w:r w:rsidR="00E26EF6" w:rsidRPr="00E26EF6">
              <w:rPr>
                <w:rFonts w:ascii="Times New Roman" w:hAnsi="Times New Roman"/>
                <w:sz w:val="24"/>
              </w:rPr>
              <w:t xml:space="preserve"> i inn</w:t>
            </w:r>
            <w:r w:rsidRPr="00E26EF6">
              <w:rPr>
                <w:rFonts w:ascii="Times New Roman" w:hAnsi="Times New Roman"/>
                <w:sz w:val="24"/>
              </w:rPr>
              <w:t>ych mechanizmów transferu ryzyka są to te odzyskane należności, które są objęte art.</w:t>
            </w:r>
            <w:r w:rsidR="00023409" w:rsidRPr="00E26EF6">
              <w:rPr>
                <w:rFonts w:ascii="Times New Roman" w:hAnsi="Times New Roman"/>
                <w:sz w:val="24"/>
              </w:rPr>
              <w:t> </w:t>
            </w:r>
            <w:r w:rsidRPr="00E26EF6">
              <w:rPr>
                <w:rFonts w:ascii="Times New Roman" w:hAnsi="Times New Roman"/>
                <w:sz w:val="24"/>
              </w:rPr>
              <w:t xml:space="preserve">323 CRR. </w:t>
            </w:r>
          </w:p>
          <w:p w14:paraId="52FE6B5C" w14:textId="33F85984" w:rsidR="00915077" w:rsidRPr="00E26EF6" w:rsidRDefault="00FD54FC">
            <w:pPr>
              <w:rPr>
                <w:sz w:val="24"/>
                <w:highlight w:val="lightGray"/>
              </w:rPr>
            </w:pPr>
            <w:r w:rsidRPr="00E26EF6">
              <w:rPr>
                <w:rFonts w:ascii="Times New Roman" w:hAnsi="Times New Roman"/>
                <w:sz w:val="24"/>
              </w:rPr>
              <w:t>Całkowite należności odzyskane</w:t>
            </w:r>
            <w:r w:rsidR="00E26EF6" w:rsidRPr="00E26EF6">
              <w:rPr>
                <w:rFonts w:ascii="Times New Roman" w:hAnsi="Times New Roman"/>
                <w:sz w:val="24"/>
              </w:rPr>
              <w:t xml:space="preserve"> z ube</w:t>
            </w:r>
            <w:r w:rsidRPr="00E26EF6">
              <w:rPr>
                <w:rFonts w:ascii="Times New Roman" w:hAnsi="Times New Roman"/>
                <w:sz w:val="24"/>
              </w:rPr>
              <w:t>zpieczenia</w:t>
            </w:r>
            <w:r w:rsidR="00E26EF6" w:rsidRPr="00E26EF6">
              <w:rPr>
                <w:rFonts w:ascii="Times New Roman" w:hAnsi="Times New Roman"/>
                <w:sz w:val="24"/>
              </w:rPr>
              <w:t xml:space="preserve"> i inn</w:t>
            </w:r>
            <w:r w:rsidRPr="00E26EF6">
              <w:rPr>
                <w:rFonts w:ascii="Times New Roman" w:hAnsi="Times New Roman"/>
                <w:sz w:val="24"/>
              </w:rPr>
              <w:t>ych mechanizmów transferu ryzyka są sumą wszystkich należności odzyskanych</w:t>
            </w:r>
            <w:r w:rsidR="00E26EF6" w:rsidRPr="00E26EF6">
              <w:rPr>
                <w:rFonts w:ascii="Times New Roman" w:hAnsi="Times New Roman"/>
                <w:sz w:val="24"/>
              </w:rPr>
              <w:t xml:space="preserve"> z ube</w:t>
            </w:r>
            <w:r w:rsidRPr="00E26EF6">
              <w:rPr>
                <w:rFonts w:ascii="Times New Roman" w:hAnsi="Times New Roman"/>
                <w:sz w:val="24"/>
              </w:rPr>
              <w:t>zpieczenia</w:t>
            </w:r>
            <w:r w:rsidR="00E26EF6" w:rsidRPr="00E26EF6">
              <w:rPr>
                <w:rFonts w:ascii="Times New Roman" w:hAnsi="Times New Roman"/>
                <w:sz w:val="24"/>
              </w:rPr>
              <w:t xml:space="preserve"> i inn</w:t>
            </w:r>
            <w:r w:rsidRPr="00E26EF6">
              <w:rPr>
                <w:rFonts w:ascii="Times New Roman" w:hAnsi="Times New Roman"/>
                <w:sz w:val="24"/>
              </w:rPr>
              <w:t>ych mechanizmów transferu ryzyka oraz korekt takich odzyskanych należności ujętych</w:t>
            </w:r>
            <w:r w:rsidR="00E26EF6" w:rsidRPr="00E26EF6">
              <w:rPr>
                <w:rFonts w:ascii="Times New Roman" w:hAnsi="Times New Roman"/>
                <w:sz w:val="24"/>
              </w:rPr>
              <w:t xml:space="preserve"> w spr</w:t>
            </w:r>
            <w:r w:rsidRPr="00E26EF6">
              <w:rPr>
                <w:rFonts w:ascii="Times New Roman" w:hAnsi="Times New Roman"/>
                <w:sz w:val="24"/>
              </w:rPr>
              <w:t>awozdawczym okresie odniesienia</w:t>
            </w:r>
            <w:r w:rsidR="00E26EF6" w:rsidRPr="00E26EF6">
              <w:rPr>
                <w:rFonts w:ascii="Times New Roman" w:hAnsi="Times New Roman"/>
                <w:sz w:val="24"/>
              </w:rPr>
              <w:t xml:space="preserve"> i dot</w:t>
            </w:r>
            <w:r w:rsidRPr="00E26EF6">
              <w:rPr>
                <w:rFonts w:ascii="Times New Roman" w:hAnsi="Times New Roman"/>
                <w:sz w:val="24"/>
              </w:rPr>
              <w:t>yczących zdarzeń straty wynikających</w:t>
            </w:r>
            <w:r w:rsidR="00E26EF6" w:rsidRPr="00E26EF6">
              <w:rPr>
                <w:rFonts w:ascii="Times New Roman" w:hAnsi="Times New Roman"/>
                <w:sz w:val="24"/>
              </w:rPr>
              <w:t xml:space="preserve"> z ryz</w:t>
            </w:r>
            <w:r w:rsidRPr="00E26EF6">
              <w:rPr>
                <w:rFonts w:ascii="Times New Roman" w:hAnsi="Times New Roman"/>
                <w:sz w:val="24"/>
              </w:rPr>
              <w:t>yka operacyjnego ujętych po raz pierwszy</w:t>
            </w:r>
            <w:r w:rsidR="00E26EF6" w:rsidRPr="00E26EF6">
              <w:rPr>
                <w:rFonts w:ascii="Times New Roman" w:hAnsi="Times New Roman"/>
                <w:sz w:val="24"/>
              </w:rPr>
              <w:t xml:space="preserve"> w spr</w:t>
            </w:r>
            <w:r w:rsidRPr="00E26EF6">
              <w:rPr>
                <w:rFonts w:ascii="Times New Roman" w:hAnsi="Times New Roman"/>
                <w:sz w:val="24"/>
              </w:rPr>
              <w:t>awozdawczym okresie odniesienia lub</w:t>
            </w:r>
            <w:r w:rsidR="00E26EF6" w:rsidRPr="00E26EF6">
              <w:rPr>
                <w:rFonts w:ascii="Times New Roman" w:hAnsi="Times New Roman"/>
                <w:sz w:val="24"/>
              </w:rPr>
              <w:t xml:space="preserve"> w pop</w:t>
            </w:r>
            <w:r w:rsidRPr="00E26EF6">
              <w:rPr>
                <w:rFonts w:ascii="Times New Roman" w:hAnsi="Times New Roman"/>
                <w:sz w:val="24"/>
              </w:rPr>
              <w:t>rzednich sprawozdawczych okresach odniesienia.</w:t>
            </w:r>
          </w:p>
        </w:tc>
      </w:tr>
      <w:tr w:rsidR="00915077" w:rsidRPr="00E26EF6" w14:paraId="1D4EE1B2" w14:textId="77777777" w:rsidTr="00672D2A">
        <w:tc>
          <w:tcPr>
            <w:tcW w:w="1101" w:type="dxa"/>
          </w:tcPr>
          <w:p w14:paraId="3C552EE6" w14:textId="77777777" w:rsidR="00915077" w:rsidRPr="00E26EF6" w:rsidRDefault="00C93FC2">
            <w:pPr>
              <w:rPr>
                <w:rFonts w:ascii="Times New Roman" w:hAnsi="Times New Roman"/>
                <w:bCs/>
                <w:sz w:val="24"/>
                <w:highlight w:val="lightGray"/>
              </w:rPr>
            </w:pPr>
            <w:r w:rsidRPr="00E26EF6">
              <w:rPr>
                <w:rFonts w:ascii="Times New Roman" w:hAnsi="Times New Roman"/>
                <w:sz w:val="24"/>
              </w:rPr>
              <w:t>0910</w:t>
            </w:r>
            <w:r w:rsidRPr="00E26EF6">
              <w:rPr>
                <w:rFonts w:ascii="Times New Roman" w:hAnsi="Times New Roman"/>
                <w:bCs/>
                <w:sz w:val="24"/>
              </w:rPr>
              <w:t>–0980</w:t>
            </w:r>
          </w:p>
        </w:tc>
        <w:tc>
          <w:tcPr>
            <w:tcW w:w="8079" w:type="dxa"/>
          </w:tcPr>
          <w:p w14:paraId="2AF50A78"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LINIE BIZNESOWE RAZEM</w:t>
            </w:r>
          </w:p>
          <w:p w14:paraId="159F5A10" w14:textId="389CCACA" w:rsidR="00915077" w:rsidRPr="00E26EF6" w:rsidRDefault="00FD54FC">
            <w:pPr>
              <w:rPr>
                <w:rFonts w:ascii="Times New Roman" w:hAnsi="Times New Roman"/>
                <w:sz w:val="24"/>
                <w:highlight w:val="lightGray"/>
              </w:rPr>
            </w:pPr>
            <w:r w:rsidRPr="00E26EF6">
              <w:rPr>
                <w:rFonts w:ascii="Times New Roman" w:hAnsi="Times New Roman"/>
                <w:sz w:val="24"/>
              </w:rPr>
              <w:t>W odniesieniu do każdego rodzaju zdarzenia straty (kolumny od</w:t>
            </w:r>
            <w:r w:rsidR="00023409" w:rsidRPr="00E26EF6">
              <w:rPr>
                <w:rFonts w:ascii="Times New Roman" w:hAnsi="Times New Roman"/>
                <w:sz w:val="24"/>
              </w:rPr>
              <w:t> </w:t>
            </w:r>
            <w:r w:rsidRPr="00E26EF6">
              <w:rPr>
                <w:rFonts w:ascii="Times New Roman" w:hAnsi="Times New Roman"/>
                <w:sz w:val="24"/>
              </w:rPr>
              <w:t>0010 do</w:t>
            </w:r>
            <w:r w:rsidR="00023409" w:rsidRPr="00E26EF6">
              <w:rPr>
                <w:rFonts w:ascii="Times New Roman" w:hAnsi="Times New Roman"/>
                <w:sz w:val="24"/>
              </w:rPr>
              <w:t> </w:t>
            </w:r>
            <w:r w:rsidRPr="00E26EF6">
              <w:rPr>
                <w:rFonts w:ascii="Times New Roman" w:hAnsi="Times New Roman"/>
                <w:sz w:val="24"/>
              </w:rPr>
              <w:t>0080) należy zgłosić informacje dotyczące linii biznesowych razem.</w:t>
            </w:r>
          </w:p>
        </w:tc>
      </w:tr>
      <w:tr w:rsidR="00915077" w:rsidRPr="00E26EF6" w14:paraId="52871EAA" w14:textId="77777777" w:rsidTr="00672D2A">
        <w:tc>
          <w:tcPr>
            <w:tcW w:w="1101" w:type="dxa"/>
          </w:tcPr>
          <w:p w14:paraId="763520E2"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t>0910–0914</w:t>
            </w:r>
          </w:p>
        </w:tc>
        <w:tc>
          <w:tcPr>
            <w:tcW w:w="8079" w:type="dxa"/>
          </w:tcPr>
          <w:p w14:paraId="6F3B7948" w14:textId="0F1C3828"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Liczba zdarzeń straty</w:t>
            </w:r>
          </w:p>
          <w:p w14:paraId="57A8B0AC" w14:textId="13CCBFE1" w:rsidR="00915077" w:rsidRPr="00E26EF6" w:rsidRDefault="00FD54FC">
            <w:pPr>
              <w:rPr>
                <w:rFonts w:ascii="Times New Roman" w:hAnsi="Times New Roman"/>
                <w:sz w:val="24"/>
              </w:rPr>
            </w:pPr>
            <w:r w:rsidRPr="00E26EF6">
              <w:rPr>
                <w:rFonts w:ascii="Times New Roman" w:hAnsi="Times New Roman"/>
                <w:sz w:val="24"/>
              </w:rPr>
              <w:t>W wierszu 0910 zgłasza się liczbę zdarzeń straty powyżej wewnętrznego progu według rodzajów zdarzeń straty</w:t>
            </w:r>
            <w:r w:rsidR="00E26EF6" w:rsidRPr="00E26EF6">
              <w:rPr>
                <w:rFonts w:ascii="Times New Roman" w:hAnsi="Times New Roman"/>
                <w:sz w:val="24"/>
              </w:rPr>
              <w:t xml:space="preserve"> w odn</w:t>
            </w:r>
            <w:r w:rsidRPr="00E26EF6">
              <w:rPr>
                <w:rFonts w:ascii="Times New Roman" w:hAnsi="Times New Roman"/>
                <w:sz w:val="24"/>
              </w:rPr>
              <w:t>iesieniu do linii biznesowych razem. Przedmiotowa wartość może być niższa niż agregacja liczby zdarzeń straty według linii biznesowych, ponieważ zdarzenia straty wywierające wielokrotny wpływ (wpływ</w:t>
            </w:r>
            <w:r w:rsidR="00E26EF6" w:rsidRPr="00E26EF6">
              <w:rPr>
                <w:rFonts w:ascii="Times New Roman" w:hAnsi="Times New Roman"/>
                <w:sz w:val="24"/>
              </w:rPr>
              <w:t xml:space="preserve"> w ram</w:t>
            </w:r>
            <w:r w:rsidRPr="00E26EF6">
              <w:rPr>
                <w:rFonts w:ascii="Times New Roman" w:hAnsi="Times New Roman"/>
                <w:sz w:val="24"/>
              </w:rPr>
              <w:t>ach różnych liniach biznesowych) uznaje się za jedno zdarzenie straty. Przedmiotowa wartość może być wyższa, jeżeli instytucja obliczająca swoje wymogi</w:t>
            </w:r>
            <w:r w:rsidR="00E26EF6" w:rsidRPr="00E26EF6">
              <w:rPr>
                <w:rFonts w:ascii="Times New Roman" w:hAnsi="Times New Roman"/>
                <w:sz w:val="24"/>
              </w:rPr>
              <w:t xml:space="preserve"> w zak</w:t>
            </w:r>
            <w:r w:rsidRPr="00E26EF6">
              <w:rPr>
                <w:rFonts w:ascii="Times New Roman" w:hAnsi="Times New Roman"/>
                <w:sz w:val="24"/>
              </w:rPr>
              <w:t>resie funduszy własnych zgodnie</w:t>
            </w:r>
            <w:r w:rsidR="00E26EF6" w:rsidRPr="00E26EF6">
              <w:rPr>
                <w:rFonts w:ascii="Times New Roman" w:hAnsi="Times New Roman"/>
                <w:sz w:val="24"/>
              </w:rPr>
              <w:t xml:space="preserve"> z met</w:t>
            </w:r>
            <w:r w:rsidRPr="00E26EF6">
              <w:rPr>
                <w:rFonts w:ascii="Times New Roman" w:hAnsi="Times New Roman"/>
                <w:sz w:val="24"/>
              </w:rPr>
              <w:t>odą wskaźnika bazowego nie jest</w:t>
            </w:r>
            <w:r w:rsidR="00E26EF6" w:rsidRPr="00E26EF6">
              <w:rPr>
                <w:rFonts w:ascii="Times New Roman" w:hAnsi="Times New Roman"/>
                <w:sz w:val="24"/>
              </w:rPr>
              <w:t xml:space="preserve"> w sta</w:t>
            </w:r>
            <w:r w:rsidRPr="00E26EF6">
              <w:rPr>
                <w:rFonts w:ascii="Times New Roman" w:hAnsi="Times New Roman"/>
                <w:sz w:val="24"/>
              </w:rPr>
              <w:t>nie</w:t>
            </w:r>
            <w:r w:rsidR="00E26EF6" w:rsidRPr="00E26EF6">
              <w:rPr>
                <w:rFonts w:ascii="Times New Roman" w:hAnsi="Times New Roman"/>
                <w:sz w:val="24"/>
              </w:rPr>
              <w:t xml:space="preserve"> w każ</w:t>
            </w:r>
            <w:r w:rsidRPr="00E26EF6">
              <w:rPr>
                <w:rFonts w:ascii="Times New Roman" w:hAnsi="Times New Roman"/>
                <w:sz w:val="24"/>
              </w:rPr>
              <w:t>dym przypadku zidentyfikować linii biznesowych, na które strata wywiera wpływ.</w:t>
            </w:r>
          </w:p>
          <w:p w14:paraId="7D8E9783" w14:textId="57BE800C" w:rsidR="00915077" w:rsidRPr="00E26EF6" w:rsidRDefault="00FD54FC">
            <w:pPr>
              <w:rPr>
                <w:rFonts w:ascii="Times New Roman" w:hAnsi="Times New Roman"/>
                <w:sz w:val="24"/>
              </w:rPr>
            </w:pPr>
            <w:r w:rsidRPr="00E26EF6">
              <w:rPr>
                <w:rFonts w:ascii="Times New Roman" w:hAnsi="Times New Roman"/>
                <w:sz w:val="24"/>
              </w:rPr>
              <w:t>W wierszach 0911–0914 zgłasza się liczbę zdarzeń straty</w:t>
            </w:r>
            <w:r w:rsidR="00E26EF6" w:rsidRPr="00E26EF6">
              <w:rPr>
                <w:rFonts w:ascii="Times New Roman" w:hAnsi="Times New Roman"/>
                <w:sz w:val="24"/>
              </w:rPr>
              <w:t xml:space="preserve"> o kwo</w:t>
            </w:r>
            <w:r w:rsidRPr="00E26EF6">
              <w:rPr>
                <w:rFonts w:ascii="Times New Roman" w:hAnsi="Times New Roman"/>
                <w:sz w:val="24"/>
              </w:rPr>
              <w:t>cie strat brutto zawierającej się</w:t>
            </w:r>
            <w:r w:rsidR="00E26EF6" w:rsidRPr="00E26EF6">
              <w:rPr>
                <w:rFonts w:ascii="Times New Roman" w:hAnsi="Times New Roman"/>
                <w:sz w:val="24"/>
              </w:rPr>
              <w:t xml:space="preserve"> w prz</w:t>
            </w:r>
            <w:r w:rsidRPr="00E26EF6">
              <w:rPr>
                <w:rFonts w:ascii="Times New Roman" w:hAnsi="Times New Roman"/>
                <w:sz w:val="24"/>
              </w:rPr>
              <w:t>edziałach określonych</w:t>
            </w:r>
            <w:r w:rsidR="00E26EF6" w:rsidRPr="00E26EF6">
              <w:rPr>
                <w:rFonts w:ascii="Times New Roman" w:hAnsi="Times New Roman"/>
                <w:sz w:val="24"/>
              </w:rPr>
              <w:t xml:space="preserve"> w odp</w:t>
            </w:r>
            <w:r w:rsidRPr="00E26EF6">
              <w:rPr>
                <w:rFonts w:ascii="Times New Roman" w:hAnsi="Times New Roman"/>
                <w:sz w:val="24"/>
              </w:rPr>
              <w:t>owiednich wierszach wzoru.</w:t>
            </w:r>
          </w:p>
          <w:p w14:paraId="62578568" w14:textId="67ADD1A9" w:rsidR="00915077" w:rsidRPr="00E26EF6" w:rsidRDefault="00FD54FC">
            <w:pPr>
              <w:rPr>
                <w:rFonts w:ascii="Times New Roman" w:hAnsi="Times New Roman"/>
                <w:sz w:val="24"/>
              </w:rPr>
            </w:pPr>
            <w:r w:rsidRPr="00E26EF6">
              <w:rPr>
                <w:rFonts w:ascii="Times New Roman" w:hAnsi="Times New Roman"/>
                <w:sz w:val="24"/>
              </w:rPr>
              <w:t>Pod warunkiem, że instytucja przypisała wszystkie swoje straty albo do linii biznesowej wymienionej</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ust.</w:t>
            </w:r>
            <w:r w:rsidR="00023409" w:rsidRPr="00E26EF6">
              <w:rPr>
                <w:rFonts w:ascii="Times New Roman" w:hAnsi="Times New Roman"/>
                <w:sz w:val="24"/>
              </w:rPr>
              <w:t> </w:t>
            </w:r>
            <w:r w:rsidRPr="00E26EF6">
              <w:rPr>
                <w:rFonts w:ascii="Times New Roman" w:hAnsi="Times New Roman"/>
                <w:sz w:val="24"/>
              </w:rPr>
              <w:t>4 CRR, lub do linii biznesowej „pozycje korporacyjne”,</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 względnie pod warunkiem, że instytucja określiła rodzaje zdarzeń straty dla wszystkich strat, poniższe stosuje się</w:t>
            </w:r>
            <w:r w:rsidR="00E26EF6" w:rsidRPr="00E26EF6">
              <w:rPr>
                <w:rFonts w:ascii="Times New Roman" w:hAnsi="Times New Roman"/>
                <w:sz w:val="24"/>
              </w:rPr>
              <w:t xml:space="preserve"> w sto</w:t>
            </w:r>
            <w:r w:rsidRPr="00E26EF6">
              <w:rPr>
                <w:rFonts w:ascii="Times New Roman" w:hAnsi="Times New Roman"/>
                <w:sz w:val="24"/>
              </w:rPr>
              <w:t>sownych przypadkach do kolumny 080:</w:t>
            </w:r>
          </w:p>
          <w:p w14:paraId="52A5DAB2" w14:textId="599F16B1" w:rsidR="00915077" w:rsidRPr="00E26EF6" w:rsidRDefault="00125707">
            <w:pPr>
              <w:ind w:left="360" w:hanging="360"/>
              <w:rPr>
                <w:rFonts w:ascii="Times New Roman" w:hAnsi="Times New Roman"/>
                <w:sz w:val="24"/>
              </w:rPr>
            </w:pPr>
            <w:r w:rsidRPr="00E26EF6">
              <w:rPr>
                <w:rFonts w:ascii="Times New Roman" w:hAnsi="Times New Roman"/>
                <w:sz w:val="24"/>
              </w:rPr>
              <w:t>-</w:t>
            </w:r>
            <w:r w:rsidRPr="00E26EF6">
              <w:rPr>
                <w:rFonts w:ascii="Times New Roman" w:hAnsi="Times New Roman"/>
                <w:sz w:val="24"/>
              </w:rPr>
              <w:tab/>
              <w:t>Całkowita liczba zdarzeń straty zgłoszonych</w:t>
            </w:r>
            <w:r w:rsidR="00E26EF6" w:rsidRPr="00E26EF6">
              <w:rPr>
                <w:rFonts w:ascii="Times New Roman" w:hAnsi="Times New Roman"/>
                <w:sz w:val="24"/>
              </w:rPr>
              <w:t xml:space="preserve"> w wie</w:t>
            </w:r>
            <w:r w:rsidRPr="00E26EF6">
              <w:rPr>
                <w:rFonts w:ascii="Times New Roman" w:hAnsi="Times New Roman"/>
                <w:sz w:val="24"/>
              </w:rPr>
              <w:t>rszach od</w:t>
            </w:r>
            <w:r w:rsidR="00023409" w:rsidRPr="00E26EF6">
              <w:rPr>
                <w:rFonts w:ascii="Times New Roman" w:hAnsi="Times New Roman"/>
                <w:sz w:val="24"/>
              </w:rPr>
              <w:t> </w:t>
            </w:r>
            <w:r w:rsidRPr="00E26EF6">
              <w:rPr>
                <w:rFonts w:ascii="Times New Roman" w:hAnsi="Times New Roman"/>
                <w:sz w:val="24"/>
              </w:rPr>
              <w:t>0910 do</w:t>
            </w:r>
            <w:r w:rsidR="00023409" w:rsidRPr="00E26EF6">
              <w:rPr>
                <w:rFonts w:ascii="Times New Roman" w:hAnsi="Times New Roman"/>
                <w:sz w:val="24"/>
              </w:rPr>
              <w:t> </w:t>
            </w:r>
            <w:r w:rsidRPr="00E26EF6">
              <w:rPr>
                <w:rFonts w:ascii="Times New Roman" w:hAnsi="Times New Roman"/>
                <w:sz w:val="24"/>
              </w:rPr>
              <w:t>0914 jest równa poziomej agregacji liczby zdarzeń straty</w:t>
            </w:r>
            <w:r w:rsidR="00E26EF6" w:rsidRPr="00E26EF6">
              <w:rPr>
                <w:rFonts w:ascii="Times New Roman" w:hAnsi="Times New Roman"/>
                <w:sz w:val="24"/>
              </w:rPr>
              <w:t xml:space="preserve"> w odp</w:t>
            </w:r>
            <w:r w:rsidRPr="00E26EF6">
              <w:rPr>
                <w:rFonts w:ascii="Times New Roman" w:hAnsi="Times New Roman"/>
                <w:sz w:val="24"/>
              </w:rPr>
              <w:t>owiednim wierszu, ponieważ</w:t>
            </w:r>
            <w:r w:rsidR="00E26EF6" w:rsidRPr="00E26EF6">
              <w:rPr>
                <w:rFonts w:ascii="Times New Roman" w:hAnsi="Times New Roman"/>
                <w:sz w:val="24"/>
              </w:rPr>
              <w:t xml:space="preserve"> w prz</w:t>
            </w:r>
            <w:r w:rsidRPr="00E26EF6">
              <w:rPr>
                <w:rFonts w:ascii="Times New Roman" w:hAnsi="Times New Roman"/>
                <w:sz w:val="24"/>
              </w:rPr>
              <w:t>edmiotowych wartościach zdarzenia straty wywierające wpływ</w:t>
            </w:r>
            <w:r w:rsidR="00E26EF6" w:rsidRPr="00E26EF6">
              <w:rPr>
                <w:rFonts w:ascii="Times New Roman" w:hAnsi="Times New Roman"/>
                <w:sz w:val="24"/>
              </w:rPr>
              <w:t xml:space="preserve"> w ram</w:t>
            </w:r>
            <w:r w:rsidRPr="00E26EF6">
              <w:rPr>
                <w:rFonts w:ascii="Times New Roman" w:hAnsi="Times New Roman"/>
                <w:sz w:val="24"/>
              </w:rPr>
              <w:t>ach różnych linii biznesowych zostały już uznane za jedno zdarzenie straty.</w:t>
            </w:r>
          </w:p>
          <w:p w14:paraId="3FC3B86E" w14:textId="09F27B1D" w:rsidR="00915077" w:rsidRPr="00E26EF6" w:rsidRDefault="00125707">
            <w:pPr>
              <w:ind w:left="360" w:hanging="360"/>
              <w:rPr>
                <w:rStyle w:val="InstructionsTabelleberschrift"/>
                <w:rFonts w:ascii="Times New Roman" w:hAnsi="Times New Roman"/>
                <w:b w:val="0"/>
                <w:bCs w:val="0"/>
                <w:sz w:val="24"/>
                <w:highlight w:val="lightGray"/>
                <w:u w:val="none"/>
              </w:rPr>
            </w:pPr>
            <w:r w:rsidRPr="00E26EF6">
              <w:rPr>
                <w:rStyle w:val="InstructionsTabelleberschrift"/>
                <w:rFonts w:ascii="Times New Roman" w:hAnsi="Times New Roman"/>
                <w:b w:val="0"/>
                <w:bCs w:val="0"/>
                <w:sz w:val="24"/>
                <w:u w:val="none"/>
              </w:rPr>
              <w:t>-</w:t>
            </w:r>
            <w:r w:rsidRPr="00E26EF6">
              <w:rPr>
                <w:rStyle w:val="InstructionsTabelleberschrift"/>
                <w:rFonts w:ascii="Times New Roman" w:hAnsi="Times New Roman"/>
                <w:b w:val="0"/>
                <w:bCs w:val="0"/>
                <w:sz w:val="24"/>
                <w:u w:val="none"/>
              </w:rPr>
              <w:tab/>
            </w:r>
            <w:r w:rsidRPr="00E26EF6">
              <w:rPr>
                <w:rFonts w:ascii="Times New Roman" w:hAnsi="Times New Roman"/>
                <w:sz w:val="24"/>
              </w:rPr>
              <w:t>Liczba zgłoszona</w:t>
            </w:r>
            <w:r w:rsidR="00E26EF6" w:rsidRPr="00E26EF6">
              <w:rPr>
                <w:rFonts w:ascii="Times New Roman" w:hAnsi="Times New Roman"/>
                <w:sz w:val="24"/>
              </w:rPr>
              <w:t xml:space="preserve"> w kol</w:t>
            </w:r>
            <w:r w:rsidRPr="00E26EF6">
              <w:rPr>
                <w:rFonts w:ascii="Times New Roman" w:hAnsi="Times New Roman"/>
                <w:sz w:val="24"/>
              </w:rPr>
              <w:t>umnie 0080,</w:t>
            </w:r>
            <w:r w:rsidR="00E26EF6" w:rsidRPr="00E26EF6">
              <w:rPr>
                <w:rFonts w:ascii="Times New Roman" w:hAnsi="Times New Roman"/>
                <w:sz w:val="24"/>
              </w:rPr>
              <w:t xml:space="preserve"> w wie</w:t>
            </w:r>
            <w:r w:rsidRPr="00E26EF6">
              <w:rPr>
                <w:rFonts w:ascii="Times New Roman" w:hAnsi="Times New Roman"/>
                <w:sz w:val="24"/>
              </w:rPr>
              <w:t>rszu 0910 nie musi być równa pionowej agregacji liczby zdarzeń straty ujętych</w:t>
            </w:r>
            <w:r w:rsidR="00E26EF6" w:rsidRPr="00E26EF6">
              <w:rPr>
                <w:rFonts w:ascii="Times New Roman" w:hAnsi="Times New Roman"/>
                <w:sz w:val="24"/>
              </w:rPr>
              <w:t xml:space="preserve"> w kol</w:t>
            </w:r>
            <w:r w:rsidRPr="00E26EF6">
              <w:rPr>
                <w:rFonts w:ascii="Times New Roman" w:hAnsi="Times New Roman"/>
                <w:sz w:val="24"/>
              </w:rPr>
              <w:t>umnie 080, ponieważ jedno zdarzenie straty wywiera wpływ</w:t>
            </w:r>
            <w:r w:rsidR="00E26EF6" w:rsidRPr="00E26EF6">
              <w:rPr>
                <w:rFonts w:ascii="Times New Roman" w:hAnsi="Times New Roman"/>
                <w:sz w:val="24"/>
              </w:rPr>
              <w:t xml:space="preserve"> w ram</w:t>
            </w:r>
            <w:r w:rsidRPr="00E26EF6">
              <w:rPr>
                <w:rFonts w:ascii="Times New Roman" w:hAnsi="Times New Roman"/>
                <w:sz w:val="24"/>
              </w:rPr>
              <w:t>ach różnych linii biznesowych jednocześnie.</w:t>
            </w:r>
          </w:p>
        </w:tc>
      </w:tr>
      <w:tr w:rsidR="00915077" w:rsidRPr="00E26EF6" w14:paraId="17C91CB1" w14:textId="77777777" w:rsidTr="00672D2A">
        <w:tc>
          <w:tcPr>
            <w:tcW w:w="1101" w:type="dxa"/>
          </w:tcPr>
          <w:p w14:paraId="24B03D45" w14:textId="77777777" w:rsidR="00915077" w:rsidRPr="00E26EF6" w:rsidRDefault="00C93FC2">
            <w:pPr>
              <w:rPr>
                <w:rFonts w:ascii="Times New Roman" w:hAnsi="Times New Roman"/>
                <w:bCs/>
                <w:sz w:val="24"/>
                <w:highlight w:val="lightGray"/>
              </w:rPr>
            </w:pPr>
            <w:r w:rsidRPr="00E26EF6">
              <w:rPr>
                <w:rFonts w:ascii="Times New Roman" w:hAnsi="Times New Roman"/>
                <w:bCs/>
                <w:sz w:val="24"/>
              </w:rPr>
              <w:lastRenderedPageBreak/>
              <w:t>0920–0924</w:t>
            </w:r>
          </w:p>
        </w:tc>
        <w:tc>
          <w:tcPr>
            <w:tcW w:w="8079" w:type="dxa"/>
          </w:tcPr>
          <w:p w14:paraId="182B4DEB"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Kwota strat brutto (nowe zdarzenia straty)</w:t>
            </w:r>
          </w:p>
          <w:p w14:paraId="5058FFA5" w14:textId="415BBE96" w:rsidR="00915077" w:rsidRPr="00E26EF6" w:rsidRDefault="00FD54FC">
            <w:pPr>
              <w:rPr>
                <w:rFonts w:ascii="Times New Roman" w:hAnsi="Times New Roman"/>
                <w:sz w:val="24"/>
              </w:rPr>
            </w:pPr>
            <w:r w:rsidRPr="00E26EF6">
              <w:rPr>
                <w:rFonts w:ascii="Times New Roman" w:hAnsi="Times New Roman"/>
                <w:sz w:val="24"/>
              </w:rPr>
              <w:t>Pod warunkiem, że instytucja przypisała wszystkie swoje straty albo do linii biznesowej wymienionej</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ust.</w:t>
            </w:r>
            <w:r w:rsidR="00023409" w:rsidRPr="00E26EF6">
              <w:rPr>
                <w:rFonts w:ascii="Times New Roman" w:hAnsi="Times New Roman"/>
                <w:sz w:val="24"/>
              </w:rPr>
              <w:t> </w:t>
            </w:r>
            <w:r w:rsidRPr="00E26EF6">
              <w:rPr>
                <w:rFonts w:ascii="Times New Roman" w:hAnsi="Times New Roman"/>
                <w:sz w:val="24"/>
              </w:rPr>
              <w:t>4 CRR, albo do linii biznesowej „pozycje korporacyjne”,</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 kwota strat brutto (nowe zdarzenia straty) zgłoszona</w:t>
            </w:r>
            <w:r w:rsidR="00E26EF6" w:rsidRPr="00E26EF6">
              <w:rPr>
                <w:rFonts w:ascii="Times New Roman" w:hAnsi="Times New Roman"/>
                <w:sz w:val="24"/>
              </w:rPr>
              <w:t xml:space="preserve"> w wie</w:t>
            </w:r>
            <w:r w:rsidRPr="00E26EF6">
              <w:rPr>
                <w:rFonts w:ascii="Times New Roman" w:hAnsi="Times New Roman"/>
                <w:sz w:val="24"/>
              </w:rPr>
              <w:t xml:space="preserve">rszu 0920 stanowi prostą agregację kwot strat brutto dla nowych zdarzeń dla każdej linii biznesowej. </w:t>
            </w:r>
          </w:p>
          <w:p w14:paraId="01543D87" w14:textId="4CD98F7B" w:rsidR="00915077" w:rsidRPr="00E26EF6" w:rsidRDefault="00FD54FC">
            <w:pPr>
              <w:rPr>
                <w:rStyle w:val="InstructionsTabelleberschrift"/>
                <w:rFonts w:ascii="Times New Roman" w:hAnsi="Times New Roman"/>
                <w:sz w:val="24"/>
                <w:highlight w:val="lightGray"/>
              </w:rPr>
            </w:pPr>
            <w:r w:rsidRPr="00E26EF6">
              <w:rPr>
                <w:rFonts w:ascii="Times New Roman" w:hAnsi="Times New Roman"/>
                <w:sz w:val="24"/>
              </w:rPr>
              <w:t>W wierszach 0921–0924 zgłasza się kwotę strat brutto dla zdarzeń straty</w:t>
            </w:r>
            <w:r w:rsidR="00E26EF6" w:rsidRPr="00E26EF6">
              <w:rPr>
                <w:rFonts w:ascii="Times New Roman" w:hAnsi="Times New Roman"/>
                <w:sz w:val="24"/>
              </w:rPr>
              <w:t xml:space="preserve"> o kwo</w:t>
            </w:r>
            <w:r w:rsidRPr="00E26EF6">
              <w:rPr>
                <w:rFonts w:ascii="Times New Roman" w:hAnsi="Times New Roman"/>
                <w:sz w:val="24"/>
              </w:rPr>
              <w:t>cie strat brutto zawierającej się</w:t>
            </w:r>
            <w:r w:rsidR="00E26EF6" w:rsidRPr="00E26EF6">
              <w:rPr>
                <w:rFonts w:ascii="Times New Roman" w:hAnsi="Times New Roman"/>
                <w:sz w:val="24"/>
              </w:rPr>
              <w:t xml:space="preserve"> w prz</w:t>
            </w:r>
            <w:r w:rsidRPr="00E26EF6">
              <w:rPr>
                <w:rFonts w:ascii="Times New Roman" w:hAnsi="Times New Roman"/>
                <w:sz w:val="24"/>
              </w:rPr>
              <w:t>edziałach określonych</w:t>
            </w:r>
            <w:r w:rsidR="00E26EF6" w:rsidRPr="00E26EF6">
              <w:rPr>
                <w:rFonts w:ascii="Times New Roman" w:hAnsi="Times New Roman"/>
                <w:sz w:val="24"/>
              </w:rPr>
              <w:t xml:space="preserve"> w odp</w:t>
            </w:r>
            <w:r w:rsidRPr="00E26EF6">
              <w:rPr>
                <w:rFonts w:ascii="Times New Roman" w:hAnsi="Times New Roman"/>
                <w:sz w:val="24"/>
              </w:rPr>
              <w:t>owiednich wierszach.</w:t>
            </w:r>
          </w:p>
        </w:tc>
      </w:tr>
      <w:tr w:rsidR="00915077" w:rsidRPr="00E26EF6" w14:paraId="0F05F6E4" w14:textId="77777777" w:rsidTr="00672D2A">
        <w:tc>
          <w:tcPr>
            <w:tcW w:w="1101" w:type="dxa"/>
          </w:tcPr>
          <w:p w14:paraId="195E7212" w14:textId="77777777" w:rsidR="00915077" w:rsidRPr="00E26EF6" w:rsidRDefault="00C93FC2">
            <w:pPr>
              <w:rPr>
                <w:rFonts w:ascii="Times New Roman" w:hAnsi="Times New Roman"/>
                <w:bCs/>
                <w:sz w:val="24"/>
                <w:highlight w:val="lightGray"/>
              </w:rPr>
            </w:pPr>
            <w:r w:rsidRPr="00E26EF6">
              <w:rPr>
                <w:rFonts w:ascii="Times New Roman" w:hAnsi="Times New Roman"/>
                <w:sz w:val="24"/>
              </w:rPr>
              <w:t>0930, 0</w:t>
            </w:r>
            <w:r w:rsidRPr="00E26EF6">
              <w:rPr>
                <w:rFonts w:ascii="Times New Roman" w:hAnsi="Times New Roman"/>
                <w:bCs/>
                <w:sz w:val="24"/>
              </w:rPr>
              <w:t>935, 0936</w:t>
            </w:r>
          </w:p>
        </w:tc>
        <w:tc>
          <w:tcPr>
            <w:tcW w:w="8079" w:type="dxa"/>
          </w:tcPr>
          <w:p w14:paraId="574ACB41" w14:textId="77777777" w:rsidR="00915077" w:rsidRPr="00E26EF6" w:rsidRDefault="00FD54FC">
            <w:pPr>
              <w:rPr>
                <w:rFonts w:ascii="Times New Roman" w:hAnsi="Times New Roman"/>
                <w:sz w:val="24"/>
              </w:rPr>
            </w:pPr>
            <w:r w:rsidRPr="00E26EF6">
              <w:rPr>
                <w:rStyle w:val="InstructionsTabelleberschrift"/>
                <w:rFonts w:ascii="Times New Roman" w:hAnsi="Times New Roman"/>
                <w:sz w:val="24"/>
              </w:rPr>
              <w:t>Liczba zdarzeń straty objętych korektami strat</w:t>
            </w:r>
          </w:p>
          <w:p w14:paraId="6B647356" w14:textId="34E27A99" w:rsidR="00915077" w:rsidRPr="00E26EF6" w:rsidRDefault="00FD54FC">
            <w:pPr>
              <w:rPr>
                <w:rFonts w:ascii="Times New Roman" w:hAnsi="Times New Roman"/>
                <w:sz w:val="24"/>
              </w:rPr>
            </w:pPr>
            <w:r w:rsidRPr="00E26EF6">
              <w:rPr>
                <w:rFonts w:ascii="Times New Roman" w:hAnsi="Times New Roman"/>
                <w:sz w:val="24"/>
              </w:rPr>
              <w:t>W wierszu 0930 zgłasza się całkowitą liczbę zdarzeń straty objętych korektami strat, jak zgłoszono we wierszach 0030, 0130, …, 0830. Przedmiotowa wartość może być niższa niż agregacja liczby zdarzeń straty objętych korektami strat według linii biznesowych, ponieważ zdarzenia straty wywierające wielokrotny wpływ (wpływ</w:t>
            </w:r>
            <w:r w:rsidR="00E26EF6" w:rsidRPr="00E26EF6">
              <w:rPr>
                <w:rFonts w:ascii="Times New Roman" w:hAnsi="Times New Roman"/>
                <w:sz w:val="24"/>
              </w:rPr>
              <w:t xml:space="preserve"> w ram</w:t>
            </w:r>
            <w:r w:rsidRPr="00E26EF6">
              <w:rPr>
                <w:rFonts w:ascii="Times New Roman" w:hAnsi="Times New Roman"/>
                <w:sz w:val="24"/>
              </w:rPr>
              <w:t>ach różnych liniach biznesowych) uznaje się za jedno zdarzenie straty. Przedmiotowa wartość może być wyższa, jeżeli instytucja obliczająca swoje wymogi</w:t>
            </w:r>
            <w:r w:rsidR="00E26EF6" w:rsidRPr="00E26EF6">
              <w:rPr>
                <w:rFonts w:ascii="Times New Roman" w:hAnsi="Times New Roman"/>
                <w:sz w:val="24"/>
              </w:rPr>
              <w:t xml:space="preserve"> w zak</w:t>
            </w:r>
            <w:r w:rsidRPr="00E26EF6">
              <w:rPr>
                <w:rFonts w:ascii="Times New Roman" w:hAnsi="Times New Roman"/>
                <w:sz w:val="24"/>
              </w:rPr>
              <w:t>resie funduszy własnych zgodnie</w:t>
            </w:r>
            <w:r w:rsidR="00E26EF6" w:rsidRPr="00E26EF6">
              <w:rPr>
                <w:rFonts w:ascii="Times New Roman" w:hAnsi="Times New Roman"/>
                <w:sz w:val="24"/>
              </w:rPr>
              <w:t xml:space="preserve"> z met</w:t>
            </w:r>
            <w:r w:rsidRPr="00E26EF6">
              <w:rPr>
                <w:rFonts w:ascii="Times New Roman" w:hAnsi="Times New Roman"/>
                <w:sz w:val="24"/>
              </w:rPr>
              <w:t>odą wskaźnika bazowego nie jest</w:t>
            </w:r>
            <w:r w:rsidR="00E26EF6" w:rsidRPr="00E26EF6">
              <w:rPr>
                <w:rFonts w:ascii="Times New Roman" w:hAnsi="Times New Roman"/>
                <w:sz w:val="24"/>
              </w:rPr>
              <w:t xml:space="preserve"> w sta</w:t>
            </w:r>
            <w:r w:rsidRPr="00E26EF6">
              <w:rPr>
                <w:rFonts w:ascii="Times New Roman" w:hAnsi="Times New Roman"/>
                <w:sz w:val="24"/>
              </w:rPr>
              <w:t>nie</w:t>
            </w:r>
            <w:r w:rsidR="00E26EF6" w:rsidRPr="00E26EF6">
              <w:rPr>
                <w:rFonts w:ascii="Times New Roman" w:hAnsi="Times New Roman"/>
                <w:sz w:val="24"/>
              </w:rPr>
              <w:t xml:space="preserve"> w każ</w:t>
            </w:r>
            <w:r w:rsidRPr="00E26EF6">
              <w:rPr>
                <w:rFonts w:ascii="Times New Roman" w:hAnsi="Times New Roman"/>
                <w:sz w:val="24"/>
              </w:rPr>
              <w:t>dym przypadku zidentyfikować linii biznesowych, na które strata wywiera wpływ.</w:t>
            </w:r>
          </w:p>
          <w:p w14:paraId="07A99000" w14:textId="3193C39E" w:rsidR="00915077" w:rsidRPr="00E26EF6" w:rsidRDefault="00FD54FC">
            <w:pPr>
              <w:rPr>
                <w:rStyle w:val="InstructionsTabelleberschrift"/>
                <w:rFonts w:ascii="Times New Roman" w:hAnsi="Times New Roman"/>
                <w:sz w:val="24"/>
                <w:highlight w:val="lightGray"/>
              </w:rPr>
            </w:pPr>
            <w:r w:rsidRPr="00E26EF6">
              <w:rPr>
                <w:rFonts w:ascii="Times New Roman" w:hAnsi="Times New Roman"/>
                <w:sz w:val="24"/>
              </w:rPr>
              <w:t>Liczbę zdarzeń straty objętych korektami strat dzieli się na liczbę zdarzeń straty,</w:t>
            </w:r>
            <w:r w:rsidR="00E26EF6" w:rsidRPr="00E26EF6">
              <w:rPr>
                <w:rFonts w:ascii="Times New Roman" w:hAnsi="Times New Roman"/>
                <w:sz w:val="24"/>
              </w:rPr>
              <w:t xml:space="preserve"> w odn</w:t>
            </w:r>
            <w:r w:rsidRPr="00E26EF6">
              <w:rPr>
                <w:rFonts w:ascii="Times New Roman" w:hAnsi="Times New Roman"/>
                <w:sz w:val="24"/>
              </w:rPr>
              <w:t>iesieniu do których</w:t>
            </w:r>
            <w:r w:rsidR="00E26EF6" w:rsidRPr="00E26EF6">
              <w:rPr>
                <w:rFonts w:ascii="Times New Roman" w:hAnsi="Times New Roman"/>
                <w:sz w:val="24"/>
              </w:rPr>
              <w:t xml:space="preserve"> w spr</w:t>
            </w:r>
            <w:r w:rsidRPr="00E26EF6">
              <w:rPr>
                <w:rFonts w:ascii="Times New Roman" w:hAnsi="Times New Roman"/>
                <w:sz w:val="24"/>
              </w:rPr>
              <w:t>awozdawczym okresie odniesienia dokonano dodatniej korekty strat, oraz liczbę zdarzeń straty,</w:t>
            </w:r>
            <w:r w:rsidR="00E26EF6" w:rsidRPr="00E26EF6">
              <w:rPr>
                <w:rFonts w:ascii="Times New Roman" w:hAnsi="Times New Roman"/>
                <w:sz w:val="24"/>
              </w:rPr>
              <w:t xml:space="preserve"> w odn</w:t>
            </w:r>
            <w:r w:rsidRPr="00E26EF6">
              <w:rPr>
                <w:rFonts w:ascii="Times New Roman" w:hAnsi="Times New Roman"/>
                <w:sz w:val="24"/>
              </w:rPr>
              <w:t>iesieniu do których</w:t>
            </w:r>
            <w:r w:rsidR="00E26EF6" w:rsidRPr="00E26EF6">
              <w:rPr>
                <w:rFonts w:ascii="Times New Roman" w:hAnsi="Times New Roman"/>
                <w:sz w:val="24"/>
              </w:rPr>
              <w:t xml:space="preserve"> w okr</w:t>
            </w:r>
            <w:r w:rsidRPr="00E26EF6">
              <w:rPr>
                <w:rFonts w:ascii="Times New Roman" w:hAnsi="Times New Roman"/>
                <w:sz w:val="24"/>
              </w:rPr>
              <w:t>esie sprawozdawczym dokonano ujemnej korekty strat (wszystkie zgłasza się ze znakiem dodatnim).</w:t>
            </w:r>
          </w:p>
        </w:tc>
      </w:tr>
      <w:tr w:rsidR="00915077" w:rsidRPr="00E26EF6" w14:paraId="7291468E" w14:textId="77777777" w:rsidTr="00672D2A">
        <w:tc>
          <w:tcPr>
            <w:tcW w:w="1101" w:type="dxa"/>
          </w:tcPr>
          <w:p w14:paraId="72DD46B7" w14:textId="77777777" w:rsidR="00915077" w:rsidRPr="00E26EF6" w:rsidRDefault="00C93FC2">
            <w:pPr>
              <w:rPr>
                <w:rFonts w:ascii="Times New Roman" w:hAnsi="Times New Roman"/>
                <w:sz w:val="24"/>
                <w:highlight w:val="lightGray"/>
              </w:rPr>
            </w:pPr>
            <w:r w:rsidRPr="00E26EF6">
              <w:rPr>
                <w:rFonts w:ascii="Times New Roman" w:hAnsi="Times New Roman"/>
                <w:sz w:val="24"/>
              </w:rPr>
              <w:t>0940, 0945, 0946</w:t>
            </w:r>
          </w:p>
        </w:tc>
        <w:tc>
          <w:tcPr>
            <w:tcW w:w="8079" w:type="dxa"/>
          </w:tcPr>
          <w:p w14:paraId="2DEEDC08" w14:textId="77777777" w:rsidR="00915077" w:rsidRPr="00E26EF6" w:rsidRDefault="00FD54FC">
            <w:pPr>
              <w:rPr>
                <w:rFonts w:ascii="Times New Roman" w:hAnsi="Times New Roman"/>
                <w:sz w:val="24"/>
              </w:rPr>
            </w:pPr>
            <w:r w:rsidRPr="00E26EF6">
              <w:rPr>
                <w:rStyle w:val="InstructionsTabelleberschrift"/>
                <w:rFonts w:ascii="Times New Roman" w:hAnsi="Times New Roman"/>
                <w:sz w:val="24"/>
              </w:rPr>
              <w:t>Korekty strat dotyczące poprzednich okresów sprawozdawczych</w:t>
            </w:r>
          </w:p>
          <w:p w14:paraId="3F7BFAFE" w14:textId="56FD7093" w:rsidR="00915077" w:rsidRPr="00E26EF6" w:rsidRDefault="00FD54FC">
            <w:pPr>
              <w:rPr>
                <w:rFonts w:ascii="Times New Roman" w:hAnsi="Times New Roman"/>
                <w:sz w:val="24"/>
              </w:rPr>
            </w:pPr>
            <w:r w:rsidRPr="00E26EF6">
              <w:rPr>
                <w:rFonts w:ascii="Times New Roman" w:hAnsi="Times New Roman"/>
                <w:sz w:val="24"/>
              </w:rPr>
              <w:t>W wierszu 0940 zgłasza się sumę kwot korekty strat dotyczących poprzednich okresów sprawozdawczych według linii biznesowych (jak zgłoszono we wierszach 0040, 0140, …, 0840). Pod warunkiem, że instytucja przypisała wszystkie swoje straty albo do linii biznesowej wymienionej</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ust.</w:t>
            </w:r>
            <w:r w:rsidR="00023409" w:rsidRPr="00E26EF6">
              <w:rPr>
                <w:rFonts w:ascii="Times New Roman" w:hAnsi="Times New Roman"/>
                <w:sz w:val="24"/>
              </w:rPr>
              <w:t> </w:t>
            </w:r>
            <w:r w:rsidRPr="00E26EF6">
              <w:rPr>
                <w:rFonts w:ascii="Times New Roman" w:hAnsi="Times New Roman"/>
                <w:sz w:val="24"/>
              </w:rPr>
              <w:t>4 CRR, albo do linii biznesowej „pozycje korporacyjne”,</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 kwota zgłoszona</w:t>
            </w:r>
            <w:r w:rsidR="00E26EF6" w:rsidRPr="00E26EF6">
              <w:rPr>
                <w:rFonts w:ascii="Times New Roman" w:hAnsi="Times New Roman"/>
                <w:sz w:val="24"/>
              </w:rPr>
              <w:t xml:space="preserve"> w wie</w:t>
            </w:r>
            <w:r w:rsidRPr="00E26EF6">
              <w:rPr>
                <w:rFonts w:ascii="Times New Roman" w:hAnsi="Times New Roman"/>
                <w:sz w:val="24"/>
              </w:rPr>
              <w:t>rszu 0940 stanowi prostą agregację korekt strat dotyczących poprzednich okresów sprawozdawczych zgłoszonych dla poszczególnych linii biznesowych.</w:t>
            </w:r>
          </w:p>
          <w:p w14:paraId="1258C52F" w14:textId="4D2F6E5D" w:rsidR="00915077" w:rsidRPr="00E26EF6" w:rsidRDefault="00FD54FC">
            <w:pPr>
              <w:rPr>
                <w:rFonts w:ascii="Times New Roman" w:hAnsi="Times New Roman"/>
                <w:sz w:val="24"/>
                <w:highlight w:val="lightGray"/>
              </w:rPr>
            </w:pPr>
            <w:r w:rsidRPr="00E26EF6">
              <w:rPr>
                <w:rFonts w:ascii="Times New Roman" w:hAnsi="Times New Roman"/>
                <w:sz w:val="24"/>
              </w:rPr>
              <w:t>Kwotę korekt strat dzieli się na kwotę dotyczącą zdarzeń straty,</w:t>
            </w:r>
            <w:r w:rsidR="00E26EF6" w:rsidRPr="00E26EF6">
              <w:rPr>
                <w:rFonts w:ascii="Times New Roman" w:hAnsi="Times New Roman"/>
                <w:sz w:val="24"/>
              </w:rPr>
              <w:t xml:space="preserve"> w odn</w:t>
            </w:r>
            <w:r w:rsidRPr="00E26EF6">
              <w:rPr>
                <w:rFonts w:ascii="Times New Roman" w:hAnsi="Times New Roman"/>
                <w:sz w:val="24"/>
              </w:rPr>
              <w:t>iesieniu do których</w:t>
            </w:r>
            <w:r w:rsidR="00E26EF6" w:rsidRPr="00E26EF6">
              <w:rPr>
                <w:rFonts w:ascii="Times New Roman" w:hAnsi="Times New Roman"/>
                <w:sz w:val="24"/>
              </w:rPr>
              <w:t xml:space="preserve"> w spr</w:t>
            </w:r>
            <w:r w:rsidRPr="00E26EF6">
              <w:rPr>
                <w:rFonts w:ascii="Times New Roman" w:hAnsi="Times New Roman"/>
                <w:sz w:val="24"/>
              </w:rPr>
              <w:t>awozdawczym okresie odniesienia dokonano dodatniej korekty strat (wiersz 0945, zgłaszana jako wartość dodatnia), oraz kwotę dotyczącą zdarzeń straty,</w:t>
            </w:r>
            <w:r w:rsidR="00E26EF6" w:rsidRPr="00E26EF6">
              <w:rPr>
                <w:rFonts w:ascii="Times New Roman" w:hAnsi="Times New Roman"/>
                <w:sz w:val="24"/>
              </w:rPr>
              <w:t xml:space="preserve"> w odn</w:t>
            </w:r>
            <w:r w:rsidRPr="00E26EF6">
              <w:rPr>
                <w:rFonts w:ascii="Times New Roman" w:hAnsi="Times New Roman"/>
                <w:sz w:val="24"/>
              </w:rPr>
              <w:t>iesieniu do których</w:t>
            </w:r>
            <w:r w:rsidR="00E26EF6" w:rsidRPr="00E26EF6">
              <w:rPr>
                <w:rFonts w:ascii="Times New Roman" w:hAnsi="Times New Roman"/>
                <w:sz w:val="24"/>
              </w:rPr>
              <w:t xml:space="preserve"> w okr</w:t>
            </w:r>
            <w:r w:rsidRPr="00E26EF6">
              <w:rPr>
                <w:rFonts w:ascii="Times New Roman" w:hAnsi="Times New Roman"/>
                <w:sz w:val="24"/>
              </w:rPr>
              <w:t>esie sprawozdawczym dokonano ujemnej korekty strat (wiersz 0946, zgłaszana jako wartość ujemna). Jeżeli</w:t>
            </w:r>
            <w:r w:rsidR="00E26EF6" w:rsidRPr="00E26EF6">
              <w:rPr>
                <w:rFonts w:ascii="Times New Roman" w:hAnsi="Times New Roman"/>
                <w:sz w:val="24"/>
              </w:rPr>
              <w:t xml:space="preserve"> w wyn</w:t>
            </w:r>
            <w:r w:rsidRPr="00E26EF6">
              <w:rPr>
                <w:rFonts w:ascii="Times New Roman" w:hAnsi="Times New Roman"/>
                <w:sz w:val="24"/>
              </w:rPr>
              <w:t>iku ujemnej korekty strat skorygowana kwota straty możliwa do przypisania zdarzeniu straty jest mniejsza od progu gromadzenia wewnętrznych danych instytucji, instytucja zgłasza całkowitą kwotę straty dla tego zdarzenia straty skumulowaną do czasu ostatniego zgłoszenia zdarzenia straty dla grudniowej daty odniesienia (tj. pierwotną stratę plus/minus wszystkie korekty straty dokonane</w:t>
            </w:r>
            <w:r w:rsidR="00E26EF6" w:rsidRPr="00E26EF6">
              <w:rPr>
                <w:rFonts w:ascii="Times New Roman" w:hAnsi="Times New Roman"/>
                <w:sz w:val="24"/>
              </w:rPr>
              <w:t xml:space="preserve"> w pop</w:t>
            </w:r>
            <w:r w:rsidRPr="00E26EF6">
              <w:rPr>
                <w:rFonts w:ascii="Times New Roman" w:hAnsi="Times New Roman"/>
                <w:sz w:val="24"/>
              </w:rPr>
              <w:t>rzednich sprawozdawczych okresach odniesienia) ze znakiem ujemnym we wierszu 946 zamiast kwoty samej ujemnej korekty strat.</w:t>
            </w:r>
          </w:p>
        </w:tc>
      </w:tr>
      <w:tr w:rsidR="00915077" w:rsidRPr="00E26EF6"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915077" w:rsidRPr="00E26EF6" w:rsidRDefault="00C93FC2">
            <w:pPr>
              <w:rPr>
                <w:rFonts w:ascii="Times New Roman" w:hAnsi="Times New Roman"/>
                <w:sz w:val="24"/>
                <w:highlight w:val="lightGray"/>
              </w:rPr>
            </w:pPr>
            <w:r w:rsidRPr="00E26EF6">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Maksymalna pojedyncza strata</w:t>
            </w:r>
          </w:p>
          <w:p w14:paraId="3AA118C4" w14:textId="76BF263A" w:rsidR="00915077" w:rsidRPr="00E26EF6" w:rsidRDefault="00FD54FC">
            <w:pPr>
              <w:rPr>
                <w:rFonts w:ascii="Times New Roman" w:hAnsi="Times New Roman"/>
                <w:sz w:val="24"/>
              </w:rPr>
            </w:pPr>
            <w:r w:rsidRPr="00E26EF6">
              <w:rPr>
                <w:rFonts w:ascii="Times New Roman" w:hAnsi="Times New Roman"/>
                <w:sz w:val="24"/>
              </w:rPr>
              <w:t>Pod warunkiem, że instytucja przypisała wszystkie swoje straty albo do linii biznesowej wymienionej</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ust.</w:t>
            </w:r>
            <w:r w:rsidR="00023409" w:rsidRPr="00E26EF6">
              <w:rPr>
                <w:rFonts w:ascii="Times New Roman" w:hAnsi="Times New Roman"/>
                <w:sz w:val="24"/>
              </w:rPr>
              <w:t> </w:t>
            </w:r>
            <w:r w:rsidRPr="00E26EF6">
              <w:rPr>
                <w:rFonts w:ascii="Times New Roman" w:hAnsi="Times New Roman"/>
                <w:sz w:val="24"/>
              </w:rPr>
              <w:t>4 CRR, albo do linii biznesowej „pozycje korporacyjne”,</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 maksymalna pojedyncza strata oznacza maksymalną stratę przekraczającą próg</w:t>
            </w:r>
            <w:r w:rsidR="00E26EF6" w:rsidRPr="00E26EF6">
              <w:rPr>
                <w:rFonts w:ascii="Times New Roman" w:hAnsi="Times New Roman"/>
                <w:sz w:val="24"/>
              </w:rPr>
              <w:t xml:space="preserve"> w odn</w:t>
            </w:r>
            <w:r w:rsidRPr="00E26EF6">
              <w:rPr>
                <w:rFonts w:ascii="Times New Roman" w:hAnsi="Times New Roman"/>
                <w:sz w:val="24"/>
              </w:rPr>
              <w:t>iesieniu do każdego rodzaju zdarzenia straty i we wszystkich liniach biznesowych. Przedmiotowe wartości mogą być wyższe niż najwyższa pojedyncza strata odnotowana</w:t>
            </w:r>
            <w:r w:rsidR="00E26EF6" w:rsidRPr="00E26EF6">
              <w:rPr>
                <w:rFonts w:ascii="Times New Roman" w:hAnsi="Times New Roman"/>
                <w:sz w:val="24"/>
              </w:rPr>
              <w:t xml:space="preserve"> w ram</w:t>
            </w:r>
            <w:r w:rsidRPr="00E26EF6">
              <w:rPr>
                <w:rFonts w:ascii="Times New Roman" w:hAnsi="Times New Roman"/>
                <w:sz w:val="24"/>
              </w:rPr>
              <w:t>ach każdej linii biznesowej, jeżeli zdarzenie straty wpływa na różne linie biznesowe.</w:t>
            </w:r>
          </w:p>
          <w:p w14:paraId="513FDB76" w14:textId="5116E1AA" w:rsidR="00915077" w:rsidRPr="00E26EF6" w:rsidRDefault="00FD54FC">
            <w:pPr>
              <w:rPr>
                <w:rFonts w:ascii="Times New Roman" w:hAnsi="Times New Roman"/>
                <w:sz w:val="24"/>
              </w:rPr>
            </w:pPr>
            <w:r w:rsidRPr="00E26EF6">
              <w:rPr>
                <w:rFonts w:ascii="Times New Roman" w:hAnsi="Times New Roman"/>
                <w:sz w:val="24"/>
              </w:rPr>
              <w:t>Pod warunkiem, że instytucja przypisała wszystkie swoje straty do linii biznesowej wymienionej</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ust.</w:t>
            </w:r>
            <w:r w:rsidR="00023409" w:rsidRPr="00E26EF6">
              <w:rPr>
                <w:rFonts w:ascii="Times New Roman" w:hAnsi="Times New Roman"/>
                <w:sz w:val="24"/>
              </w:rPr>
              <w:t> </w:t>
            </w:r>
            <w:r w:rsidRPr="00E26EF6">
              <w:rPr>
                <w:rFonts w:ascii="Times New Roman" w:hAnsi="Times New Roman"/>
                <w:sz w:val="24"/>
              </w:rPr>
              <w:t>4 CRR, lub do linii biznesowej „pozycje korporacyjne”,</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 względnie pod warunkiem, że instytucja określiła rodzaje zdarzeń straty dla wszystkich strat, poniższe stosuje się do kolumny 0080:</w:t>
            </w:r>
          </w:p>
          <w:p w14:paraId="19D329EB" w14:textId="2F3A9B3B" w:rsidR="00915077" w:rsidRPr="00E26EF6" w:rsidRDefault="00125707">
            <w:pPr>
              <w:ind w:left="360" w:hanging="360"/>
              <w:rPr>
                <w:rFonts w:ascii="Times New Roman" w:hAnsi="Times New Roman"/>
                <w:b/>
                <w:bCs/>
                <w:sz w:val="24"/>
                <w:u w:val="single"/>
              </w:rPr>
            </w:pPr>
            <w:r w:rsidRPr="00E26EF6">
              <w:rPr>
                <w:rFonts w:ascii="Times New Roman" w:hAnsi="Times New Roman"/>
                <w:bCs/>
                <w:sz w:val="24"/>
              </w:rPr>
              <w:lastRenderedPageBreak/>
              <w:t>-</w:t>
            </w:r>
            <w:r w:rsidRPr="00E26EF6">
              <w:rPr>
                <w:rFonts w:ascii="Times New Roman" w:hAnsi="Times New Roman"/>
                <w:bCs/>
                <w:sz w:val="24"/>
              </w:rPr>
              <w:tab/>
            </w:r>
            <w:r w:rsidRPr="00E26EF6">
              <w:rPr>
                <w:rFonts w:ascii="Times New Roman" w:hAnsi="Times New Roman"/>
                <w:sz w:val="24"/>
              </w:rPr>
              <w:t>Zgłoszona maksymalna pojedyncza strata jest równa najwyższej</w:t>
            </w:r>
            <w:r w:rsidR="00E26EF6" w:rsidRPr="00E26EF6">
              <w:rPr>
                <w:rFonts w:ascii="Times New Roman" w:hAnsi="Times New Roman"/>
                <w:sz w:val="24"/>
              </w:rPr>
              <w:t xml:space="preserve"> z war</w:t>
            </w:r>
            <w:r w:rsidRPr="00E26EF6">
              <w:rPr>
                <w:rFonts w:ascii="Times New Roman" w:hAnsi="Times New Roman"/>
                <w:sz w:val="24"/>
              </w:rPr>
              <w:t>tości zgłoszonych</w:t>
            </w:r>
            <w:r w:rsidR="00E26EF6" w:rsidRPr="00E26EF6">
              <w:rPr>
                <w:rFonts w:ascii="Times New Roman" w:hAnsi="Times New Roman"/>
                <w:sz w:val="24"/>
              </w:rPr>
              <w:t xml:space="preserve"> w kol</w:t>
            </w:r>
            <w:r w:rsidRPr="00E26EF6">
              <w:rPr>
                <w:rFonts w:ascii="Times New Roman" w:hAnsi="Times New Roman"/>
                <w:sz w:val="24"/>
              </w:rPr>
              <w:t>umnach 0010–0070 tego wiersza.</w:t>
            </w:r>
          </w:p>
          <w:p w14:paraId="54FBCD00" w14:textId="291DA9C5" w:rsidR="00915077" w:rsidRPr="00E26EF6" w:rsidRDefault="00125707">
            <w:pPr>
              <w:ind w:left="360" w:hanging="360"/>
              <w:rPr>
                <w:rStyle w:val="InstructionsTabelleberschrift"/>
                <w:rFonts w:ascii="Times New Roman" w:hAnsi="Times New Roman"/>
                <w:bCs w:val="0"/>
                <w:sz w:val="24"/>
                <w:highlight w:val="lightGray"/>
              </w:rPr>
            </w:pPr>
            <w:r w:rsidRPr="00E26EF6">
              <w:rPr>
                <w:rStyle w:val="InstructionsTabelleberschrift"/>
                <w:rFonts w:ascii="Times New Roman" w:hAnsi="Times New Roman"/>
                <w:b w:val="0"/>
                <w:bCs w:val="0"/>
                <w:sz w:val="24"/>
                <w:u w:val="none"/>
              </w:rPr>
              <w:t>-</w:t>
            </w:r>
            <w:r w:rsidRPr="00E26EF6">
              <w:rPr>
                <w:rStyle w:val="InstructionsTabelleberschrift"/>
                <w:rFonts w:ascii="Times New Roman" w:hAnsi="Times New Roman"/>
                <w:b w:val="0"/>
                <w:bCs w:val="0"/>
                <w:sz w:val="24"/>
                <w:u w:val="none"/>
              </w:rPr>
              <w:tab/>
            </w:r>
            <w:r w:rsidRPr="00E26EF6">
              <w:rPr>
                <w:rFonts w:ascii="Times New Roman" w:hAnsi="Times New Roman"/>
                <w:sz w:val="24"/>
              </w:rPr>
              <w:t>Jeżeli istnieją zdarzenia straty wywierające wpływ</w:t>
            </w:r>
            <w:r w:rsidR="00E26EF6" w:rsidRPr="00E26EF6">
              <w:rPr>
                <w:rFonts w:ascii="Times New Roman" w:hAnsi="Times New Roman"/>
                <w:sz w:val="24"/>
              </w:rPr>
              <w:t xml:space="preserve"> w ram</w:t>
            </w:r>
            <w:r w:rsidRPr="00E26EF6">
              <w:rPr>
                <w:rFonts w:ascii="Times New Roman" w:hAnsi="Times New Roman"/>
                <w:sz w:val="24"/>
              </w:rPr>
              <w:t>ach różnych linii biznesowych, kwota zgłoszona w {r950, c080} może być wyższa niż kwoty „pojedynczej maksymalnej straty” według linii biznesowej zgłoszone</w:t>
            </w:r>
            <w:r w:rsidR="00E26EF6" w:rsidRPr="00E26EF6">
              <w:rPr>
                <w:rFonts w:ascii="Times New Roman" w:hAnsi="Times New Roman"/>
                <w:sz w:val="24"/>
              </w:rPr>
              <w:t xml:space="preserve"> w inn</w:t>
            </w:r>
            <w:r w:rsidRPr="00E26EF6">
              <w:rPr>
                <w:rFonts w:ascii="Times New Roman" w:hAnsi="Times New Roman"/>
                <w:sz w:val="24"/>
              </w:rPr>
              <w:t xml:space="preserve">ych wierszach kolumny 080. </w:t>
            </w:r>
          </w:p>
        </w:tc>
      </w:tr>
      <w:tr w:rsidR="00915077" w:rsidRPr="00E26EF6"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915077" w:rsidRPr="00E26EF6" w:rsidRDefault="00C93FC2">
            <w:pPr>
              <w:rPr>
                <w:rFonts w:ascii="Times New Roman" w:hAnsi="Times New Roman"/>
                <w:sz w:val="24"/>
                <w:highlight w:val="lightGray"/>
              </w:rPr>
            </w:pPr>
            <w:r w:rsidRPr="00E26EF6">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Suma pięciu największych strat</w:t>
            </w:r>
          </w:p>
          <w:p w14:paraId="164955D7" w14:textId="2E607F90" w:rsidR="00915077" w:rsidRPr="00E26EF6" w:rsidRDefault="00FD54FC">
            <w:pPr>
              <w:rPr>
                <w:rFonts w:ascii="Times New Roman" w:hAnsi="Times New Roman"/>
                <w:sz w:val="24"/>
              </w:rPr>
            </w:pPr>
            <w:r w:rsidRPr="00E26EF6">
              <w:rPr>
                <w:rFonts w:ascii="Times New Roman" w:hAnsi="Times New Roman"/>
                <w:sz w:val="24"/>
              </w:rPr>
              <w:t>Sumę pięciu największych strat brutto zgłasza się</w:t>
            </w:r>
            <w:r w:rsidR="00E26EF6" w:rsidRPr="00E26EF6">
              <w:rPr>
                <w:rFonts w:ascii="Times New Roman" w:hAnsi="Times New Roman"/>
                <w:sz w:val="24"/>
              </w:rPr>
              <w:t xml:space="preserve"> w odn</w:t>
            </w:r>
            <w:r w:rsidRPr="00E26EF6">
              <w:rPr>
                <w:rFonts w:ascii="Times New Roman" w:hAnsi="Times New Roman"/>
                <w:sz w:val="24"/>
              </w:rPr>
              <w:t>iesieniu do każdego rodzaju zdarzenia straty i we wszystkich liniach biznesowych. Przedmiotowa suma może być wyższa niż najwyższa suma pięciu największych strat odnotowana</w:t>
            </w:r>
            <w:r w:rsidR="00E26EF6" w:rsidRPr="00E26EF6">
              <w:rPr>
                <w:rFonts w:ascii="Times New Roman" w:hAnsi="Times New Roman"/>
                <w:sz w:val="24"/>
              </w:rPr>
              <w:t xml:space="preserve"> w odn</w:t>
            </w:r>
            <w:r w:rsidRPr="00E26EF6">
              <w:rPr>
                <w:rFonts w:ascii="Times New Roman" w:hAnsi="Times New Roman"/>
                <w:sz w:val="24"/>
              </w:rPr>
              <w:t xml:space="preserve">iesieniu do każdej linii biznesowej. Przedmiotową sumę należy zgłosić niezależnie od liczby strat. </w:t>
            </w:r>
          </w:p>
          <w:p w14:paraId="166ECE75" w14:textId="642A2FBA" w:rsidR="00915077" w:rsidRPr="00E26EF6" w:rsidRDefault="00FD54FC">
            <w:pPr>
              <w:rPr>
                <w:rStyle w:val="InstructionsTabelleberschrift"/>
                <w:rFonts w:ascii="Times New Roman" w:hAnsi="Times New Roman"/>
                <w:sz w:val="24"/>
                <w:highlight w:val="lightGray"/>
              </w:rPr>
            </w:pPr>
            <w:r w:rsidRPr="00E26EF6">
              <w:rPr>
                <w:rFonts w:ascii="Times New Roman" w:hAnsi="Times New Roman"/>
                <w:sz w:val="24"/>
              </w:rPr>
              <w:t>Pod warunkiem, że instytucja przypisała wszystkie swoje straty albo do linii biznesowej wymienionej</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ust.</w:t>
            </w:r>
            <w:r w:rsidR="00023409" w:rsidRPr="00E26EF6">
              <w:rPr>
                <w:rFonts w:ascii="Times New Roman" w:hAnsi="Times New Roman"/>
                <w:sz w:val="24"/>
              </w:rPr>
              <w:t> </w:t>
            </w:r>
            <w:r w:rsidRPr="00E26EF6">
              <w:rPr>
                <w:rFonts w:ascii="Times New Roman" w:hAnsi="Times New Roman"/>
                <w:sz w:val="24"/>
              </w:rPr>
              <w:t>4 CRR, albo do linii biznesowej „pozycje korporacyjne”,</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 oraz pod warunkiem, że instytucja określiła rodzaje zdarzeń straty dla wszystkich strat,</w:t>
            </w:r>
            <w:r w:rsidR="00E26EF6" w:rsidRPr="00E26EF6">
              <w:rPr>
                <w:rFonts w:ascii="Times New Roman" w:hAnsi="Times New Roman"/>
                <w:sz w:val="24"/>
              </w:rPr>
              <w:t xml:space="preserve"> w odn</w:t>
            </w:r>
            <w:r w:rsidRPr="00E26EF6">
              <w:rPr>
                <w:rFonts w:ascii="Times New Roman" w:hAnsi="Times New Roman"/>
                <w:sz w:val="24"/>
              </w:rPr>
              <w:t>iesieniu do kolumny 0080 suma pięciu największych strat jest sumą pięciu największych strat</w:t>
            </w:r>
            <w:r w:rsidR="00E26EF6" w:rsidRPr="00E26EF6">
              <w:rPr>
                <w:rFonts w:ascii="Times New Roman" w:hAnsi="Times New Roman"/>
                <w:sz w:val="24"/>
              </w:rPr>
              <w:t xml:space="preserve"> w cał</w:t>
            </w:r>
            <w:r w:rsidRPr="00E26EF6">
              <w:rPr>
                <w:rFonts w:ascii="Times New Roman" w:hAnsi="Times New Roman"/>
                <w:sz w:val="24"/>
              </w:rPr>
              <w:t>ej macierzy, co oznacza, że niekoniecznie jest równa maksymalnej wartości „sumy pięciu największych strat”</w:t>
            </w:r>
            <w:r w:rsidR="00E26EF6" w:rsidRPr="00E26EF6">
              <w:rPr>
                <w:rFonts w:ascii="Times New Roman" w:hAnsi="Times New Roman"/>
                <w:sz w:val="24"/>
              </w:rPr>
              <w:t xml:space="preserve"> w wie</w:t>
            </w:r>
            <w:r w:rsidRPr="00E26EF6">
              <w:rPr>
                <w:rFonts w:ascii="Times New Roman" w:hAnsi="Times New Roman"/>
                <w:sz w:val="24"/>
              </w:rPr>
              <w:t>rszu 0960 lub maksymalnej wartości „sumy pięciu największych strat”</w:t>
            </w:r>
            <w:r w:rsidR="00E26EF6" w:rsidRPr="00E26EF6">
              <w:rPr>
                <w:rFonts w:ascii="Times New Roman" w:hAnsi="Times New Roman"/>
                <w:sz w:val="24"/>
              </w:rPr>
              <w:t xml:space="preserve"> w kol</w:t>
            </w:r>
            <w:r w:rsidRPr="00E26EF6">
              <w:rPr>
                <w:rFonts w:ascii="Times New Roman" w:hAnsi="Times New Roman"/>
                <w:sz w:val="24"/>
              </w:rPr>
              <w:t>umnie 0080.</w:t>
            </w:r>
          </w:p>
        </w:tc>
      </w:tr>
      <w:tr w:rsidR="00915077" w:rsidRPr="00E26EF6"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915077" w:rsidRPr="00E26EF6" w:rsidRDefault="00C93FC2">
            <w:pPr>
              <w:rPr>
                <w:rFonts w:ascii="Times New Roman" w:hAnsi="Times New Roman"/>
                <w:sz w:val="24"/>
                <w:highlight w:val="lightGray"/>
              </w:rPr>
            </w:pPr>
            <w:r w:rsidRPr="00E26EF6">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Całkowite bezpośrednio odzyskane należności</w:t>
            </w:r>
          </w:p>
          <w:p w14:paraId="7FEE4F90" w14:textId="149E0644" w:rsidR="00915077" w:rsidRPr="00E26EF6" w:rsidRDefault="00FD54FC">
            <w:pPr>
              <w:rPr>
                <w:rStyle w:val="InstructionsTabelleberschrift"/>
                <w:rFonts w:ascii="Times New Roman" w:hAnsi="Times New Roman"/>
                <w:sz w:val="24"/>
                <w:highlight w:val="lightGray"/>
              </w:rPr>
            </w:pPr>
            <w:r w:rsidRPr="00E26EF6">
              <w:rPr>
                <w:rFonts w:ascii="Times New Roman" w:hAnsi="Times New Roman"/>
                <w:sz w:val="24"/>
              </w:rPr>
              <w:t>Pod warunkiem, że instytucja przypisała wszystkie swoje straty albo do linii biznesowej wymienionej</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ust.</w:t>
            </w:r>
            <w:r w:rsidR="00023409" w:rsidRPr="00E26EF6">
              <w:rPr>
                <w:rFonts w:ascii="Times New Roman" w:hAnsi="Times New Roman"/>
                <w:sz w:val="24"/>
              </w:rPr>
              <w:t> </w:t>
            </w:r>
            <w:r w:rsidRPr="00E26EF6">
              <w:rPr>
                <w:rFonts w:ascii="Times New Roman" w:hAnsi="Times New Roman"/>
                <w:sz w:val="24"/>
              </w:rPr>
              <w:t>4 CRR, albo do linii biznesowej „pozycje korporacyjne”,</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 łączne całkowite bezpośrednio odzyskane należności stanowią prostą agregację łącznych całkowitych bezpośrednio odzyskanych należności dla każdej linii biznesowej.</w:t>
            </w:r>
          </w:p>
        </w:tc>
      </w:tr>
      <w:tr w:rsidR="00915077" w:rsidRPr="00E26EF6"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915077" w:rsidRPr="00E26EF6" w:rsidRDefault="00C93FC2">
            <w:pPr>
              <w:rPr>
                <w:rFonts w:ascii="Times New Roman" w:hAnsi="Times New Roman"/>
                <w:sz w:val="24"/>
                <w:highlight w:val="lightGray"/>
              </w:rPr>
            </w:pPr>
            <w:r w:rsidRPr="00E26EF6">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45EBA0AC"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Całkowite należności odzyskane</w:t>
            </w:r>
            <w:r w:rsidR="00E26EF6" w:rsidRPr="00E26EF6">
              <w:rPr>
                <w:rStyle w:val="InstructionsTabelleberschrift"/>
                <w:rFonts w:ascii="Times New Roman" w:hAnsi="Times New Roman"/>
                <w:sz w:val="24"/>
              </w:rPr>
              <w:t xml:space="preserve"> z ube</w:t>
            </w:r>
            <w:r w:rsidRPr="00E26EF6">
              <w:rPr>
                <w:rStyle w:val="InstructionsTabelleberschrift"/>
                <w:rFonts w:ascii="Times New Roman" w:hAnsi="Times New Roman"/>
                <w:sz w:val="24"/>
              </w:rPr>
              <w:t>zpieczenia</w:t>
            </w:r>
            <w:r w:rsidR="00E26EF6" w:rsidRPr="00E26EF6">
              <w:rPr>
                <w:rStyle w:val="InstructionsTabelleberschrift"/>
                <w:rFonts w:ascii="Times New Roman" w:hAnsi="Times New Roman"/>
                <w:sz w:val="24"/>
              </w:rPr>
              <w:t xml:space="preserve"> i inn</w:t>
            </w:r>
            <w:r w:rsidRPr="00E26EF6">
              <w:rPr>
                <w:rStyle w:val="InstructionsTabelleberschrift"/>
                <w:rFonts w:ascii="Times New Roman" w:hAnsi="Times New Roman"/>
                <w:sz w:val="24"/>
              </w:rPr>
              <w:t>ych mechanizmów transferu ryzyka</w:t>
            </w:r>
          </w:p>
          <w:p w14:paraId="007FE0EB" w14:textId="6195A6B5" w:rsidR="00915077" w:rsidRPr="00E26EF6" w:rsidRDefault="00FD54FC">
            <w:pPr>
              <w:rPr>
                <w:rFonts w:ascii="Times New Roman" w:hAnsi="Times New Roman"/>
                <w:b/>
                <w:bCs/>
                <w:sz w:val="24"/>
                <w:u w:val="single"/>
              </w:rPr>
            </w:pPr>
            <w:r w:rsidRPr="00E26EF6">
              <w:rPr>
                <w:rFonts w:ascii="Times New Roman" w:hAnsi="Times New Roman"/>
                <w:sz w:val="24"/>
              </w:rPr>
              <w:t>Pod warunkiem, że instytucja przypisała wszystkie swoje straty albo do linii biznesowej wymienionej</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ust.</w:t>
            </w:r>
            <w:r w:rsidR="00023409" w:rsidRPr="00E26EF6">
              <w:rPr>
                <w:rFonts w:ascii="Times New Roman" w:hAnsi="Times New Roman"/>
                <w:sz w:val="24"/>
              </w:rPr>
              <w:t> </w:t>
            </w:r>
            <w:r w:rsidRPr="00E26EF6">
              <w:rPr>
                <w:rFonts w:ascii="Times New Roman" w:hAnsi="Times New Roman"/>
                <w:sz w:val="24"/>
              </w:rPr>
              <w:t>4 CRR, albo do linii biznesowej „pozycje korporacyjne”,</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 całkowite należności odzyskane</w:t>
            </w:r>
            <w:r w:rsidR="00E26EF6" w:rsidRPr="00E26EF6">
              <w:rPr>
                <w:rFonts w:ascii="Times New Roman" w:hAnsi="Times New Roman"/>
                <w:sz w:val="24"/>
              </w:rPr>
              <w:t xml:space="preserve"> z ube</w:t>
            </w:r>
            <w:r w:rsidRPr="00E26EF6">
              <w:rPr>
                <w:rFonts w:ascii="Times New Roman" w:hAnsi="Times New Roman"/>
                <w:sz w:val="24"/>
              </w:rPr>
              <w:t>zpieczenia</w:t>
            </w:r>
            <w:r w:rsidR="00E26EF6" w:rsidRPr="00E26EF6">
              <w:rPr>
                <w:rFonts w:ascii="Times New Roman" w:hAnsi="Times New Roman"/>
                <w:sz w:val="24"/>
              </w:rPr>
              <w:t xml:space="preserve"> i inn</w:t>
            </w:r>
            <w:r w:rsidRPr="00E26EF6">
              <w:rPr>
                <w:rFonts w:ascii="Times New Roman" w:hAnsi="Times New Roman"/>
                <w:sz w:val="24"/>
              </w:rPr>
              <w:t>ych mechanizmów transferu ryzyka stanowią prostą agregację łącznych całkowite należności odzyskane</w:t>
            </w:r>
            <w:r w:rsidR="00E26EF6" w:rsidRPr="00E26EF6">
              <w:rPr>
                <w:rFonts w:ascii="Times New Roman" w:hAnsi="Times New Roman"/>
                <w:sz w:val="24"/>
              </w:rPr>
              <w:t xml:space="preserve"> z ube</w:t>
            </w:r>
            <w:r w:rsidRPr="00E26EF6">
              <w:rPr>
                <w:rFonts w:ascii="Times New Roman" w:hAnsi="Times New Roman"/>
                <w:sz w:val="24"/>
              </w:rPr>
              <w:t>zpieczenia</w:t>
            </w:r>
            <w:r w:rsidR="00E26EF6" w:rsidRPr="00E26EF6">
              <w:rPr>
                <w:rFonts w:ascii="Times New Roman" w:hAnsi="Times New Roman"/>
                <w:sz w:val="24"/>
              </w:rPr>
              <w:t xml:space="preserve"> i inn</w:t>
            </w:r>
            <w:r w:rsidRPr="00E26EF6">
              <w:rPr>
                <w:rFonts w:ascii="Times New Roman" w:hAnsi="Times New Roman"/>
                <w:sz w:val="24"/>
              </w:rPr>
              <w:t>ych mechanizmów transferu ryzyka dla każdej linii biznesowej.</w:t>
            </w:r>
          </w:p>
        </w:tc>
      </w:tr>
    </w:tbl>
    <w:p w14:paraId="03F5E592" w14:textId="77777777" w:rsidR="00915077" w:rsidRPr="00E26EF6" w:rsidRDefault="00915077">
      <w:pPr>
        <w:spacing w:before="0" w:after="0"/>
        <w:jc w:val="left"/>
        <w:rPr>
          <w:rStyle w:val="InstructionsTabelleText"/>
          <w:rFonts w:ascii="Times New Roman" w:hAnsi="Times New Roman"/>
          <w:sz w:val="24"/>
        </w:rPr>
      </w:pPr>
    </w:p>
    <w:p w14:paraId="0B74CAC3" w14:textId="680A5C9B" w:rsidR="00915077" w:rsidRPr="00E26EF6" w:rsidRDefault="00125707">
      <w:pPr>
        <w:pStyle w:val="Instructionsberschrift2"/>
        <w:numPr>
          <w:ilvl w:val="0"/>
          <w:numId w:val="0"/>
        </w:numPr>
        <w:ind w:left="357" w:hanging="357"/>
        <w:rPr>
          <w:rFonts w:ascii="Times New Roman" w:hAnsi="Times New Roman" w:cs="Times New Roman"/>
          <w:sz w:val="24"/>
        </w:rPr>
      </w:pPr>
      <w:bookmarkStart w:id="80" w:name="_Toc31014377"/>
      <w:r w:rsidRPr="00E26EF6">
        <w:rPr>
          <w:rFonts w:ascii="Times New Roman" w:hAnsi="Times New Roman"/>
          <w:sz w:val="24"/>
          <w:u w:val="none"/>
        </w:rPr>
        <w:t>4.2.3.</w:t>
      </w:r>
      <w:r w:rsidRPr="00E26EF6">
        <w:rPr>
          <w:rFonts w:ascii="Times New Roman" w:hAnsi="Times New Roman"/>
          <w:sz w:val="24"/>
          <w:u w:val="none"/>
        </w:rPr>
        <w:tab/>
      </w:r>
      <w:r w:rsidRPr="00E26EF6">
        <w:rPr>
          <w:rFonts w:ascii="Times New Roman" w:hAnsi="Times New Roman"/>
          <w:sz w:val="24"/>
        </w:rPr>
        <w:t>C 17.02: Ryzyko operacyjne: Szczegółowe informacje na temat zdarzeń największych strat</w:t>
      </w:r>
      <w:r w:rsidR="00E26EF6" w:rsidRPr="00E26EF6">
        <w:rPr>
          <w:rFonts w:ascii="Times New Roman" w:hAnsi="Times New Roman"/>
          <w:sz w:val="24"/>
        </w:rPr>
        <w:t xml:space="preserve"> w ost</w:t>
      </w:r>
      <w:r w:rsidRPr="00E26EF6">
        <w:rPr>
          <w:rFonts w:ascii="Times New Roman" w:hAnsi="Times New Roman"/>
          <w:sz w:val="24"/>
        </w:rPr>
        <w:t>atnim roku (OPR SZCZEGÓŁY 2)</w:t>
      </w:r>
      <w:bookmarkEnd w:id="80"/>
    </w:p>
    <w:p w14:paraId="1A936193"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81" w:name="_Toc31014378"/>
      <w:r w:rsidRPr="00E26EF6">
        <w:rPr>
          <w:rFonts w:ascii="Times New Roman" w:hAnsi="Times New Roman"/>
          <w:sz w:val="24"/>
          <w:u w:val="none"/>
        </w:rPr>
        <w:t>4.2.3.1.</w:t>
      </w:r>
      <w:r w:rsidRPr="00E26EF6">
        <w:rPr>
          <w:rFonts w:ascii="Times New Roman" w:hAnsi="Times New Roman"/>
          <w:sz w:val="24"/>
          <w:u w:val="none"/>
        </w:rPr>
        <w:tab/>
      </w:r>
      <w:r w:rsidRPr="00E26EF6">
        <w:rPr>
          <w:rFonts w:ascii="Times New Roman" w:hAnsi="Times New Roman"/>
          <w:sz w:val="24"/>
        </w:rPr>
        <w:t>Uwagi ogólne</w:t>
      </w:r>
      <w:bookmarkEnd w:id="81"/>
    </w:p>
    <w:p w14:paraId="231309DD" w14:textId="57B03D0A" w:rsidR="00915077" w:rsidRPr="00E26EF6" w:rsidRDefault="00125707">
      <w:pPr>
        <w:pStyle w:val="InstructionsText2"/>
        <w:numPr>
          <w:ilvl w:val="0"/>
          <w:numId w:val="0"/>
        </w:numPr>
        <w:ind w:left="993"/>
      </w:pPr>
      <w:r w:rsidRPr="00E26EF6">
        <w:t xml:space="preserve">134. We wzorze C 17.02 </w:t>
      </w:r>
      <w:proofErr w:type="gramStart"/>
      <w:r w:rsidRPr="00E26EF6">
        <w:t>przedstawia</w:t>
      </w:r>
      <w:proofErr w:type="gramEnd"/>
      <w:r w:rsidRPr="00E26EF6">
        <w:t xml:space="preserve"> się informacje dotyczące poszczególnych zdarzeń straty (jeden wiersz dla każdego zdarzenia straty).</w:t>
      </w:r>
    </w:p>
    <w:p w14:paraId="2C6E2560" w14:textId="1005173D" w:rsidR="00915077" w:rsidRPr="00E26EF6" w:rsidRDefault="00125707">
      <w:pPr>
        <w:pStyle w:val="InstructionsText2"/>
        <w:numPr>
          <w:ilvl w:val="0"/>
          <w:numId w:val="0"/>
        </w:numPr>
        <w:ind w:left="993"/>
      </w:pPr>
      <w:r w:rsidRPr="00E26EF6">
        <w:t>135.</w:t>
      </w:r>
      <w:r w:rsidRPr="00E26EF6">
        <w:tab/>
        <w:t xml:space="preserve"> Informacje zgłaszane</w:t>
      </w:r>
      <w:r w:rsidR="00E26EF6" w:rsidRPr="00E26EF6">
        <w:t xml:space="preserve"> w tym</w:t>
      </w:r>
      <w:r w:rsidRPr="00E26EF6">
        <w:t xml:space="preserve"> wzorze odnoszą się do „nowych zdarzeń straty”, tj. zdarzeń ryzyka operacyjnego:</w:t>
      </w:r>
    </w:p>
    <w:p w14:paraId="189C8F4C" w14:textId="34DE7DE3" w:rsidR="00915077" w:rsidRPr="00E26EF6" w:rsidRDefault="00125707">
      <w:pPr>
        <w:pStyle w:val="InstructionsText2"/>
        <w:numPr>
          <w:ilvl w:val="0"/>
          <w:numId w:val="0"/>
        </w:numPr>
        <w:ind w:left="993"/>
      </w:pPr>
      <w:r w:rsidRPr="00E26EF6">
        <w:t>a</w:t>
      </w:r>
      <w:proofErr w:type="gramStart"/>
      <w:r w:rsidRPr="00E26EF6">
        <w:t>)</w:t>
      </w:r>
      <w:r w:rsidRPr="00E26EF6">
        <w:tab/>
        <w:t>„ujętych</w:t>
      </w:r>
      <w:proofErr w:type="gramEnd"/>
      <w:r w:rsidRPr="00E26EF6">
        <w:t xml:space="preserve"> po raz pierwszy”</w:t>
      </w:r>
      <w:r w:rsidR="00E26EF6" w:rsidRPr="00E26EF6">
        <w:t xml:space="preserve"> w spr</w:t>
      </w:r>
      <w:r w:rsidRPr="00E26EF6">
        <w:t>awozdawczym okresie odniesienia; lub</w:t>
      </w:r>
    </w:p>
    <w:p w14:paraId="49320BA9" w14:textId="67E833B8" w:rsidR="00915077" w:rsidRPr="00E26EF6" w:rsidRDefault="00125707">
      <w:pPr>
        <w:pStyle w:val="InstructionsText2"/>
        <w:numPr>
          <w:ilvl w:val="0"/>
          <w:numId w:val="0"/>
        </w:numPr>
        <w:ind w:left="993"/>
      </w:pPr>
      <w:r w:rsidRPr="00E26EF6">
        <w:t>b</w:t>
      </w:r>
      <w:proofErr w:type="gramStart"/>
      <w:r w:rsidRPr="00E26EF6">
        <w:t>)</w:t>
      </w:r>
      <w:r w:rsidRPr="00E26EF6">
        <w:tab/>
        <w:t>„ujętych</w:t>
      </w:r>
      <w:proofErr w:type="gramEnd"/>
      <w:r w:rsidRPr="00E26EF6">
        <w:t xml:space="preserve"> po raz pierwszy”</w:t>
      </w:r>
      <w:r w:rsidR="00E26EF6" w:rsidRPr="00E26EF6">
        <w:t xml:space="preserve"> w pop</w:t>
      </w:r>
      <w:r w:rsidRPr="00E26EF6">
        <w:t>rzednim sprawozdawczym okresie odniesienia, jeżeli zdarzenie straty nie zostało uwzględnione</w:t>
      </w:r>
      <w:r w:rsidR="00E26EF6" w:rsidRPr="00E26EF6">
        <w:t xml:space="preserve"> w żad</w:t>
      </w:r>
      <w:r w:rsidRPr="00E26EF6">
        <w:t>nym poprzednim sprawozdaniu dla organów nadzoru, np. ponieważ zostało określone jako zdarzenie straty wynikłe</w:t>
      </w:r>
      <w:r w:rsidR="00E26EF6" w:rsidRPr="00E26EF6">
        <w:t xml:space="preserve"> z ryz</w:t>
      </w:r>
      <w:r w:rsidRPr="00E26EF6">
        <w:t>yka operacyjnego dopiero</w:t>
      </w:r>
      <w:r w:rsidR="00E26EF6" w:rsidRPr="00E26EF6">
        <w:t xml:space="preserve"> w bie</w:t>
      </w:r>
      <w:r w:rsidRPr="00E26EF6">
        <w:t xml:space="preserve">żącym sprawozdawczym okresie odniesienia lub ponieważ skumulowana strata możliwa do przypisania temu zdarzeniu </w:t>
      </w:r>
      <w:r w:rsidRPr="00E26EF6">
        <w:lastRenderedPageBreak/>
        <w:t>straty (tj. pierwotna strata plus/minus wszystkie korekty straty dokonane</w:t>
      </w:r>
      <w:r w:rsidR="00E26EF6" w:rsidRPr="00E26EF6">
        <w:t xml:space="preserve"> w pop</w:t>
      </w:r>
      <w:r w:rsidRPr="00E26EF6">
        <w:t>rzednich sprawozdawczych okresach odniesienia) przekroczyła próg gromadzenia wewnętrznych danych dopiero</w:t>
      </w:r>
      <w:r w:rsidR="00E26EF6" w:rsidRPr="00E26EF6">
        <w:t xml:space="preserve"> w bie</w:t>
      </w:r>
      <w:r w:rsidRPr="00E26EF6">
        <w:t>żącym sprawozdawczym okresie odniesienia.</w:t>
      </w:r>
    </w:p>
    <w:p w14:paraId="1FF61CF3" w14:textId="6998D1B9" w:rsidR="00915077" w:rsidRPr="00E26EF6" w:rsidRDefault="00125707">
      <w:pPr>
        <w:pStyle w:val="InstructionsText2"/>
        <w:numPr>
          <w:ilvl w:val="0"/>
          <w:numId w:val="0"/>
        </w:numPr>
        <w:ind w:left="993"/>
      </w:pPr>
      <w:r w:rsidRPr="00E26EF6">
        <w:t>136. Zgłasza się jedynie zdarzenia straty prowadzące do kwoty strat brutto</w:t>
      </w:r>
      <w:r w:rsidR="00E26EF6" w:rsidRPr="00E26EF6">
        <w:t xml:space="preserve"> w wys</w:t>
      </w:r>
      <w:r w:rsidRPr="00E26EF6">
        <w:t>okości 100 000 EUR lub więcej.</w:t>
      </w:r>
    </w:p>
    <w:p w14:paraId="3FC165DA" w14:textId="638133E6" w:rsidR="00915077" w:rsidRPr="00E26EF6" w:rsidRDefault="00FD54FC">
      <w:pPr>
        <w:pStyle w:val="InstructionsText2"/>
        <w:numPr>
          <w:ilvl w:val="0"/>
          <w:numId w:val="0"/>
        </w:numPr>
        <w:ind w:left="993"/>
      </w:pPr>
      <w:r w:rsidRPr="00E26EF6">
        <w:t>Z zastrzeżeniem tego progu:</w:t>
      </w:r>
    </w:p>
    <w:p w14:paraId="796D3249" w14:textId="77777777" w:rsidR="00915077" w:rsidRPr="00E26EF6" w:rsidRDefault="00125707">
      <w:pPr>
        <w:pStyle w:val="InstructionsText2"/>
        <w:numPr>
          <w:ilvl w:val="0"/>
          <w:numId w:val="0"/>
        </w:numPr>
        <w:ind w:left="993"/>
      </w:pPr>
      <w:r w:rsidRPr="00E26EF6">
        <w:t>a</w:t>
      </w:r>
      <w:proofErr w:type="gramStart"/>
      <w:r w:rsidRPr="00E26EF6">
        <w:t>)</w:t>
      </w:r>
      <w:r w:rsidRPr="00E26EF6">
        <w:tab/>
        <w:t>we</w:t>
      </w:r>
      <w:proofErr w:type="gramEnd"/>
      <w:r w:rsidRPr="00E26EF6">
        <w:t xml:space="preserve"> wzorze uwzględnia się największe zdarzenie dla każdego rodzaju zdarzenia, pod warunkiem, że instytucja określiła rodzaje zdarzeń dla strat; oraz</w:t>
      </w:r>
    </w:p>
    <w:p w14:paraId="6D2F0F68" w14:textId="2C3F898B" w:rsidR="00915077" w:rsidRPr="00E26EF6" w:rsidRDefault="00125707">
      <w:pPr>
        <w:pStyle w:val="InstructionsText2"/>
        <w:numPr>
          <w:ilvl w:val="0"/>
          <w:numId w:val="0"/>
        </w:numPr>
        <w:ind w:left="993"/>
      </w:pPr>
      <w:r w:rsidRPr="00E26EF6">
        <w:t>b</w:t>
      </w:r>
      <w:proofErr w:type="gramStart"/>
      <w:r w:rsidRPr="00E26EF6">
        <w:t>)</w:t>
      </w:r>
      <w:r w:rsidRPr="00E26EF6">
        <w:tab/>
        <w:t>co</w:t>
      </w:r>
      <w:proofErr w:type="gramEnd"/>
      <w:r w:rsidRPr="00E26EF6">
        <w:t xml:space="preserve"> najmniej dziesięć największych</w:t>
      </w:r>
      <w:r w:rsidR="00E26EF6" w:rsidRPr="00E26EF6">
        <w:t xml:space="preserve"> z poz</w:t>
      </w:r>
      <w:r w:rsidRPr="00E26EF6">
        <w:t>ostałych zdarzeń ze zidentyfikowanym rodzajem zdarzenia lub bez zidentyfikowanego rodzaju zdarzenia, według kwoty strat brutto;</w:t>
      </w:r>
    </w:p>
    <w:p w14:paraId="416EF068" w14:textId="194599A2" w:rsidR="00915077" w:rsidRPr="00E26EF6" w:rsidRDefault="00125707">
      <w:pPr>
        <w:pStyle w:val="InstructionsText2"/>
        <w:numPr>
          <w:ilvl w:val="0"/>
          <w:numId w:val="0"/>
        </w:numPr>
        <w:ind w:left="993"/>
      </w:pPr>
      <w:r w:rsidRPr="00E26EF6">
        <w:t>c</w:t>
      </w:r>
      <w:proofErr w:type="gramStart"/>
      <w:r w:rsidRPr="00E26EF6">
        <w:t>)</w:t>
      </w:r>
      <w:r w:rsidRPr="00E26EF6">
        <w:tab/>
        <w:t>Zdarzenia</w:t>
      </w:r>
      <w:proofErr w:type="gramEnd"/>
      <w:r w:rsidRPr="00E26EF6">
        <w:t xml:space="preserve"> straty są uszeregowane według przypisanej im straty brutto.</w:t>
      </w:r>
    </w:p>
    <w:p w14:paraId="5809A7B6" w14:textId="1E238DAE" w:rsidR="00915077" w:rsidRPr="00E26EF6" w:rsidRDefault="00125707">
      <w:pPr>
        <w:pStyle w:val="InstructionsText2"/>
        <w:numPr>
          <w:ilvl w:val="0"/>
          <w:numId w:val="0"/>
        </w:numPr>
        <w:ind w:left="993"/>
      </w:pPr>
      <w:r w:rsidRPr="00E26EF6">
        <w:t>d</w:t>
      </w:r>
      <w:proofErr w:type="gramStart"/>
      <w:r w:rsidRPr="00E26EF6">
        <w:t>)</w:t>
      </w:r>
      <w:r w:rsidRPr="00E26EF6">
        <w:tab/>
        <w:t>Każde</w:t>
      </w:r>
      <w:proofErr w:type="gramEnd"/>
      <w:r w:rsidRPr="00E26EF6">
        <w:t xml:space="preserve"> zdarzenie straty jest uwzględniane tylko raz.</w:t>
      </w:r>
    </w:p>
    <w:p w14:paraId="0573DA78"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82" w:name="_Toc31014379"/>
      <w:r w:rsidRPr="00E26EF6">
        <w:rPr>
          <w:rFonts w:ascii="Times New Roman" w:hAnsi="Times New Roman"/>
          <w:sz w:val="24"/>
          <w:u w:val="none"/>
        </w:rPr>
        <w:t>4.2.3.2.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915077" w:rsidRPr="00E26EF6" w14:paraId="7B50679A" w14:textId="77777777" w:rsidTr="00672D2A">
        <w:tc>
          <w:tcPr>
            <w:tcW w:w="9288" w:type="dxa"/>
            <w:gridSpan w:val="2"/>
            <w:shd w:val="clear" w:color="auto" w:fill="BFBFBF"/>
          </w:tcPr>
          <w:p w14:paraId="4890EFE8" w14:textId="77777777" w:rsidR="00915077" w:rsidRPr="00E26EF6" w:rsidRDefault="00FD54FC">
            <w:pPr>
              <w:rPr>
                <w:rFonts w:ascii="Times New Roman" w:hAnsi="Times New Roman"/>
                <w:sz w:val="24"/>
                <w:highlight w:val="lightGray"/>
              </w:rPr>
            </w:pPr>
            <w:r w:rsidRPr="00E26EF6">
              <w:rPr>
                <w:rFonts w:ascii="Times New Roman" w:hAnsi="Times New Roman"/>
                <w:b/>
                <w:bCs/>
                <w:sz w:val="24"/>
              </w:rPr>
              <w:t>Kolumny</w:t>
            </w:r>
          </w:p>
        </w:tc>
      </w:tr>
      <w:tr w:rsidR="00915077" w:rsidRPr="00E26EF6" w14:paraId="748A91C9" w14:textId="77777777" w:rsidTr="00672D2A">
        <w:tc>
          <w:tcPr>
            <w:tcW w:w="959" w:type="dxa"/>
            <w:shd w:val="clear" w:color="auto" w:fill="auto"/>
          </w:tcPr>
          <w:p w14:paraId="56A3745B" w14:textId="77777777" w:rsidR="00915077" w:rsidRPr="00E26EF6" w:rsidRDefault="00C93FC2">
            <w:pPr>
              <w:rPr>
                <w:rFonts w:ascii="Times New Roman" w:hAnsi="Times New Roman"/>
                <w:sz w:val="24"/>
                <w:highlight w:val="lightGray"/>
              </w:rPr>
            </w:pPr>
            <w:r w:rsidRPr="00E26EF6">
              <w:rPr>
                <w:rFonts w:ascii="Times New Roman" w:hAnsi="Times New Roman"/>
                <w:sz w:val="24"/>
              </w:rPr>
              <w:t>0010</w:t>
            </w:r>
          </w:p>
        </w:tc>
        <w:tc>
          <w:tcPr>
            <w:tcW w:w="8329" w:type="dxa"/>
            <w:shd w:val="clear" w:color="auto" w:fill="auto"/>
          </w:tcPr>
          <w:p w14:paraId="57B3B92C" w14:textId="77777777" w:rsidR="00915077" w:rsidRPr="00E26EF6" w:rsidRDefault="00FD54FC">
            <w:pPr>
              <w:rPr>
                <w:rFonts w:ascii="Times New Roman" w:hAnsi="Times New Roman"/>
                <w:sz w:val="24"/>
              </w:rPr>
            </w:pPr>
            <w:r w:rsidRPr="00E26EF6">
              <w:rPr>
                <w:rStyle w:val="InstructionsTabelleberschrift"/>
                <w:rFonts w:ascii="Times New Roman" w:hAnsi="Times New Roman"/>
                <w:sz w:val="24"/>
              </w:rPr>
              <w:t>ID zdarzenia</w:t>
            </w:r>
          </w:p>
          <w:p w14:paraId="24D3BF54" w14:textId="04ECAF31" w:rsidR="00915077" w:rsidRPr="00E26EF6" w:rsidRDefault="00FD54FC">
            <w:pPr>
              <w:rPr>
                <w:rFonts w:ascii="Times New Roman" w:hAnsi="Times New Roman"/>
                <w:sz w:val="24"/>
              </w:rPr>
            </w:pPr>
            <w:r w:rsidRPr="00E26EF6">
              <w:rPr>
                <w:rFonts w:ascii="Times New Roman" w:hAnsi="Times New Roman"/>
                <w:sz w:val="24"/>
              </w:rPr>
              <w:t>ID zdarzenia stanowi identyfikator wiersza</w:t>
            </w:r>
            <w:r w:rsidR="00E26EF6" w:rsidRPr="00E26EF6">
              <w:rPr>
                <w:rFonts w:ascii="Times New Roman" w:hAnsi="Times New Roman"/>
                <w:sz w:val="24"/>
              </w:rPr>
              <w:t xml:space="preserve"> i jes</w:t>
            </w:r>
            <w:r w:rsidRPr="00E26EF6">
              <w:rPr>
                <w:rFonts w:ascii="Times New Roman" w:hAnsi="Times New Roman"/>
                <w:sz w:val="24"/>
              </w:rPr>
              <w:t xml:space="preserve">t niepowtarzalny dla każdego wiersza we wzorze. </w:t>
            </w:r>
          </w:p>
          <w:p w14:paraId="6A5FB408" w14:textId="703CE5FD" w:rsidR="00915077" w:rsidRPr="00E26EF6" w:rsidRDefault="00FD54FC">
            <w:pPr>
              <w:rPr>
                <w:rFonts w:ascii="Times New Roman" w:hAnsi="Times New Roman"/>
                <w:sz w:val="24"/>
                <w:highlight w:val="lightGray"/>
              </w:rPr>
            </w:pPr>
            <w:r w:rsidRPr="00E26EF6">
              <w:rPr>
                <w:rFonts w:ascii="Times New Roman" w:hAnsi="Times New Roman"/>
                <w:sz w:val="24"/>
              </w:rPr>
              <w:t>W przypadku gdy dostępny jest wewnętrzny ID, instytucje zgłaszają wewnętrzny ID</w:t>
            </w:r>
            <w:r w:rsidR="00E26EF6" w:rsidRPr="00E26EF6">
              <w:rPr>
                <w:rFonts w:ascii="Times New Roman" w:hAnsi="Times New Roman"/>
                <w:sz w:val="24"/>
              </w:rPr>
              <w:t>. W inn</w:t>
            </w:r>
            <w:r w:rsidRPr="00E26EF6">
              <w:rPr>
                <w:rFonts w:ascii="Times New Roman" w:hAnsi="Times New Roman"/>
                <w:sz w:val="24"/>
              </w:rPr>
              <w:t>ych przypadkach ID jest zgłaszany</w:t>
            </w:r>
            <w:r w:rsidR="00E26EF6" w:rsidRPr="00E26EF6">
              <w:rPr>
                <w:rFonts w:ascii="Times New Roman" w:hAnsi="Times New Roman"/>
                <w:sz w:val="24"/>
              </w:rPr>
              <w:t xml:space="preserve"> w kol</w:t>
            </w:r>
            <w:r w:rsidRPr="00E26EF6">
              <w:rPr>
                <w:rFonts w:ascii="Times New Roman" w:hAnsi="Times New Roman"/>
                <w:sz w:val="24"/>
              </w:rPr>
              <w:t>ejności numerycznej: 1, 2, 3 itd.</w:t>
            </w:r>
          </w:p>
        </w:tc>
      </w:tr>
      <w:tr w:rsidR="00915077" w:rsidRPr="00E26EF6" w14:paraId="3170B641" w14:textId="77777777" w:rsidTr="00672D2A">
        <w:tc>
          <w:tcPr>
            <w:tcW w:w="959" w:type="dxa"/>
            <w:shd w:val="clear" w:color="auto" w:fill="auto"/>
          </w:tcPr>
          <w:p w14:paraId="0307C808" w14:textId="77777777" w:rsidR="00915077" w:rsidRPr="00E26EF6" w:rsidRDefault="00C93FC2">
            <w:pPr>
              <w:rPr>
                <w:rFonts w:ascii="Times New Roman" w:hAnsi="Times New Roman"/>
                <w:sz w:val="24"/>
                <w:highlight w:val="lightGray"/>
              </w:rPr>
            </w:pPr>
            <w:r w:rsidRPr="00E26EF6">
              <w:rPr>
                <w:rFonts w:ascii="Times New Roman" w:hAnsi="Times New Roman"/>
                <w:sz w:val="24"/>
              </w:rPr>
              <w:t>0020</w:t>
            </w:r>
          </w:p>
        </w:tc>
        <w:tc>
          <w:tcPr>
            <w:tcW w:w="8329" w:type="dxa"/>
            <w:shd w:val="clear" w:color="auto" w:fill="auto"/>
          </w:tcPr>
          <w:p w14:paraId="5C917FB2"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Data rozliczenia</w:t>
            </w:r>
          </w:p>
          <w:p w14:paraId="54DCB09F" w14:textId="6688DDC6" w:rsidR="00915077" w:rsidRPr="00E26EF6" w:rsidRDefault="00FD54FC">
            <w:pPr>
              <w:rPr>
                <w:rFonts w:ascii="Times New Roman" w:hAnsi="Times New Roman"/>
                <w:sz w:val="24"/>
                <w:highlight w:val="lightGray"/>
              </w:rPr>
            </w:pPr>
            <w:r w:rsidRPr="00E26EF6">
              <w:rPr>
                <w:rFonts w:ascii="Times New Roman" w:hAnsi="Times New Roman"/>
                <w:sz w:val="24"/>
              </w:rPr>
              <w:t>Data rozliczenia oznacza datę pierwszego ujęcia straty lub rezerwy</w:t>
            </w:r>
            <w:r w:rsidR="00E26EF6" w:rsidRPr="00E26EF6">
              <w:rPr>
                <w:rFonts w:ascii="Times New Roman" w:hAnsi="Times New Roman"/>
                <w:sz w:val="24"/>
              </w:rPr>
              <w:t xml:space="preserve"> w rac</w:t>
            </w:r>
            <w:r w:rsidRPr="00E26EF6">
              <w:rPr>
                <w:rFonts w:ascii="Times New Roman" w:hAnsi="Times New Roman"/>
                <w:sz w:val="24"/>
              </w:rPr>
              <w:t>hunku zysków</w:t>
            </w:r>
            <w:r w:rsidR="00E26EF6" w:rsidRPr="00E26EF6">
              <w:rPr>
                <w:rFonts w:ascii="Times New Roman" w:hAnsi="Times New Roman"/>
                <w:sz w:val="24"/>
              </w:rPr>
              <w:t xml:space="preserve"> i str</w:t>
            </w:r>
            <w:r w:rsidRPr="00E26EF6">
              <w:rPr>
                <w:rFonts w:ascii="Times New Roman" w:hAnsi="Times New Roman"/>
                <w:sz w:val="24"/>
              </w:rPr>
              <w:t>at</w:t>
            </w:r>
            <w:r w:rsidR="00E26EF6" w:rsidRPr="00E26EF6">
              <w:rPr>
                <w:rFonts w:ascii="Times New Roman" w:hAnsi="Times New Roman"/>
                <w:sz w:val="24"/>
              </w:rPr>
              <w:t xml:space="preserve"> w odn</w:t>
            </w:r>
            <w:r w:rsidRPr="00E26EF6">
              <w:rPr>
                <w:rFonts w:ascii="Times New Roman" w:hAnsi="Times New Roman"/>
                <w:sz w:val="24"/>
              </w:rPr>
              <w:t>iesieniu do straty wynikłej</w:t>
            </w:r>
            <w:r w:rsidR="00E26EF6" w:rsidRPr="00E26EF6">
              <w:rPr>
                <w:rFonts w:ascii="Times New Roman" w:hAnsi="Times New Roman"/>
                <w:sz w:val="24"/>
              </w:rPr>
              <w:t xml:space="preserve"> z ryz</w:t>
            </w:r>
            <w:r w:rsidRPr="00E26EF6">
              <w:rPr>
                <w:rFonts w:ascii="Times New Roman" w:hAnsi="Times New Roman"/>
                <w:sz w:val="24"/>
              </w:rPr>
              <w:t xml:space="preserve">yka operacyjnego. </w:t>
            </w:r>
          </w:p>
        </w:tc>
      </w:tr>
      <w:tr w:rsidR="00915077" w:rsidRPr="00E26EF6" w14:paraId="41A2B7D3" w14:textId="77777777" w:rsidTr="00672D2A">
        <w:tc>
          <w:tcPr>
            <w:tcW w:w="959" w:type="dxa"/>
            <w:shd w:val="clear" w:color="auto" w:fill="auto"/>
          </w:tcPr>
          <w:p w14:paraId="4C0CA412" w14:textId="77777777" w:rsidR="00915077" w:rsidRPr="00E26EF6" w:rsidRDefault="00C93FC2">
            <w:pPr>
              <w:rPr>
                <w:rFonts w:ascii="Times New Roman" w:hAnsi="Times New Roman"/>
                <w:sz w:val="24"/>
                <w:highlight w:val="lightGray"/>
              </w:rPr>
            </w:pPr>
            <w:r w:rsidRPr="00E26EF6">
              <w:rPr>
                <w:rFonts w:ascii="Times New Roman" w:hAnsi="Times New Roman"/>
                <w:sz w:val="24"/>
              </w:rPr>
              <w:t>0030</w:t>
            </w:r>
          </w:p>
        </w:tc>
        <w:tc>
          <w:tcPr>
            <w:tcW w:w="8329" w:type="dxa"/>
            <w:shd w:val="clear" w:color="auto" w:fill="auto"/>
          </w:tcPr>
          <w:p w14:paraId="1BFF12D2"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Data zdarzenia</w:t>
            </w:r>
          </w:p>
          <w:p w14:paraId="2381B252" w14:textId="5A1C2A9F" w:rsidR="00915077" w:rsidRPr="00E26EF6" w:rsidRDefault="00FD54FC">
            <w:pPr>
              <w:rPr>
                <w:rFonts w:ascii="Times New Roman" w:hAnsi="Times New Roman"/>
                <w:sz w:val="24"/>
                <w:highlight w:val="lightGray"/>
              </w:rPr>
            </w:pPr>
            <w:r w:rsidRPr="00E26EF6">
              <w:rPr>
                <w:rFonts w:ascii="Times New Roman" w:hAnsi="Times New Roman"/>
                <w:sz w:val="24"/>
              </w:rPr>
              <w:t>Data zdarzenia oznacza datę wystąpienia lub rozpoczęcia zdarzenia straty wynikającego</w:t>
            </w:r>
            <w:r w:rsidR="00E26EF6" w:rsidRPr="00E26EF6">
              <w:rPr>
                <w:rFonts w:ascii="Times New Roman" w:hAnsi="Times New Roman"/>
                <w:sz w:val="24"/>
              </w:rPr>
              <w:t xml:space="preserve"> z ryz</w:t>
            </w:r>
            <w:r w:rsidRPr="00E26EF6">
              <w:rPr>
                <w:rFonts w:ascii="Times New Roman" w:hAnsi="Times New Roman"/>
                <w:sz w:val="24"/>
              </w:rPr>
              <w:t>yka operacyjnego.</w:t>
            </w:r>
          </w:p>
        </w:tc>
      </w:tr>
      <w:tr w:rsidR="00915077" w:rsidRPr="00E26EF6" w14:paraId="4AC525C3" w14:textId="77777777" w:rsidTr="00672D2A">
        <w:tc>
          <w:tcPr>
            <w:tcW w:w="959" w:type="dxa"/>
            <w:shd w:val="clear" w:color="auto" w:fill="auto"/>
          </w:tcPr>
          <w:p w14:paraId="1A72F0CC" w14:textId="77777777" w:rsidR="00915077" w:rsidRPr="00E26EF6" w:rsidRDefault="00C93FC2">
            <w:pPr>
              <w:rPr>
                <w:rFonts w:ascii="Times New Roman" w:hAnsi="Times New Roman"/>
                <w:sz w:val="24"/>
                <w:highlight w:val="lightGray"/>
              </w:rPr>
            </w:pPr>
            <w:r w:rsidRPr="00E26EF6">
              <w:rPr>
                <w:rFonts w:ascii="Times New Roman" w:hAnsi="Times New Roman"/>
                <w:sz w:val="24"/>
              </w:rPr>
              <w:t>0040</w:t>
            </w:r>
          </w:p>
        </w:tc>
        <w:tc>
          <w:tcPr>
            <w:tcW w:w="8329" w:type="dxa"/>
            <w:shd w:val="clear" w:color="auto" w:fill="auto"/>
          </w:tcPr>
          <w:p w14:paraId="468C7F1A"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Data wykrycia</w:t>
            </w:r>
          </w:p>
          <w:p w14:paraId="16F4DCBE" w14:textId="13C972AD" w:rsidR="00915077" w:rsidRPr="00E26EF6" w:rsidRDefault="00FD54FC">
            <w:pPr>
              <w:rPr>
                <w:rFonts w:ascii="Times New Roman" w:hAnsi="Times New Roman"/>
                <w:sz w:val="24"/>
                <w:highlight w:val="lightGray"/>
              </w:rPr>
            </w:pPr>
            <w:r w:rsidRPr="00E26EF6">
              <w:rPr>
                <w:rFonts w:ascii="Times New Roman" w:hAnsi="Times New Roman"/>
                <w:sz w:val="24"/>
              </w:rPr>
              <w:t>Data wykrycia oznacza datę, kiedy instytucja dowiedziała się</w:t>
            </w:r>
            <w:r w:rsidR="00E26EF6" w:rsidRPr="00E26EF6">
              <w:rPr>
                <w:rFonts w:ascii="Times New Roman" w:hAnsi="Times New Roman"/>
                <w:sz w:val="24"/>
              </w:rPr>
              <w:t xml:space="preserve"> o zda</w:t>
            </w:r>
            <w:r w:rsidRPr="00E26EF6">
              <w:rPr>
                <w:rFonts w:ascii="Times New Roman" w:hAnsi="Times New Roman"/>
                <w:sz w:val="24"/>
              </w:rPr>
              <w:t>rzeniu straty wynikającym</w:t>
            </w:r>
            <w:r w:rsidR="00E26EF6" w:rsidRPr="00E26EF6">
              <w:rPr>
                <w:rFonts w:ascii="Times New Roman" w:hAnsi="Times New Roman"/>
                <w:sz w:val="24"/>
              </w:rPr>
              <w:t xml:space="preserve"> z ryz</w:t>
            </w:r>
            <w:r w:rsidRPr="00E26EF6">
              <w:rPr>
                <w:rFonts w:ascii="Times New Roman" w:hAnsi="Times New Roman"/>
                <w:sz w:val="24"/>
              </w:rPr>
              <w:t>yka operacyjnego.</w:t>
            </w:r>
          </w:p>
        </w:tc>
      </w:tr>
      <w:tr w:rsidR="00915077" w:rsidRPr="00E26EF6" w14:paraId="5D4DB782" w14:textId="77777777" w:rsidTr="00672D2A">
        <w:tc>
          <w:tcPr>
            <w:tcW w:w="959" w:type="dxa"/>
            <w:shd w:val="clear" w:color="auto" w:fill="auto"/>
          </w:tcPr>
          <w:p w14:paraId="08468149" w14:textId="77777777" w:rsidR="00915077" w:rsidRPr="00E26EF6" w:rsidRDefault="00C93FC2">
            <w:pPr>
              <w:rPr>
                <w:rFonts w:ascii="Times New Roman" w:hAnsi="Times New Roman"/>
                <w:sz w:val="24"/>
                <w:highlight w:val="lightGray"/>
              </w:rPr>
            </w:pPr>
            <w:r w:rsidRPr="00E26EF6">
              <w:rPr>
                <w:rFonts w:ascii="Times New Roman" w:hAnsi="Times New Roman"/>
                <w:sz w:val="24"/>
              </w:rPr>
              <w:t>0050</w:t>
            </w:r>
          </w:p>
        </w:tc>
        <w:tc>
          <w:tcPr>
            <w:tcW w:w="8329" w:type="dxa"/>
            <w:shd w:val="clear" w:color="auto" w:fill="auto"/>
          </w:tcPr>
          <w:p w14:paraId="13DA8006" w14:textId="650648BF" w:rsidR="00915077" w:rsidRPr="00E26EF6" w:rsidRDefault="00F41508">
            <w:pPr>
              <w:rPr>
                <w:rStyle w:val="InstructionsTabelleberschrift"/>
                <w:rFonts w:ascii="Times New Roman" w:hAnsi="Times New Roman"/>
                <w:sz w:val="24"/>
              </w:rPr>
            </w:pPr>
            <w:r w:rsidRPr="00E26EF6">
              <w:rPr>
                <w:rStyle w:val="InstructionsTabelleberschrift"/>
                <w:rFonts w:ascii="Times New Roman" w:hAnsi="Times New Roman"/>
                <w:sz w:val="24"/>
              </w:rPr>
              <w:t>Rodzaj zdarzenia straty</w:t>
            </w:r>
          </w:p>
          <w:p w14:paraId="406E29FD" w14:textId="37A61FEE" w:rsidR="00915077" w:rsidRPr="00E26EF6" w:rsidRDefault="00F41508">
            <w:pPr>
              <w:rPr>
                <w:rFonts w:ascii="Times New Roman" w:hAnsi="Times New Roman"/>
                <w:sz w:val="24"/>
                <w:highlight w:val="lightGray"/>
              </w:rPr>
            </w:pPr>
            <w:r w:rsidRPr="00E26EF6">
              <w:rPr>
                <w:rFonts w:ascii="Times New Roman" w:hAnsi="Times New Roman"/>
                <w:sz w:val="24"/>
              </w:rPr>
              <w:t>Rodzaje zdarzenia straty,</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324 CRR.</w:t>
            </w:r>
          </w:p>
        </w:tc>
      </w:tr>
      <w:tr w:rsidR="00915077" w:rsidRPr="00E26EF6" w14:paraId="1D660F38" w14:textId="77777777" w:rsidTr="00672D2A">
        <w:tc>
          <w:tcPr>
            <w:tcW w:w="959" w:type="dxa"/>
            <w:shd w:val="clear" w:color="auto" w:fill="auto"/>
          </w:tcPr>
          <w:p w14:paraId="0985E5F3" w14:textId="77777777" w:rsidR="00915077" w:rsidRPr="00E26EF6" w:rsidRDefault="00C93FC2">
            <w:pPr>
              <w:rPr>
                <w:rFonts w:ascii="Times New Roman" w:hAnsi="Times New Roman"/>
                <w:sz w:val="24"/>
                <w:highlight w:val="lightGray"/>
              </w:rPr>
            </w:pPr>
            <w:r w:rsidRPr="00E26EF6">
              <w:rPr>
                <w:rFonts w:ascii="Times New Roman" w:hAnsi="Times New Roman"/>
                <w:sz w:val="24"/>
              </w:rPr>
              <w:t>0060</w:t>
            </w:r>
          </w:p>
        </w:tc>
        <w:tc>
          <w:tcPr>
            <w:tcW w:w="8329" w:type="dxa"/>
            <w:shd w:val="clear" w:color="auto" w:fill="auto"/>
          </w:tcPr>
          <w:p w14:paraId="70D34815"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Strata brutto</w:t>
            </w:r>
          </w:p>
          <w:p w14:paraId="74813F4B" w14:textId="568D2C1B" w:rsidR="00915077" w:rsidRPr="00E26EF6" w:rsidRDefault="00FD54FC">
            <w:pPr>
              <w:rPr>
                <w:rFonts w:ascii="Times New Roman" w:hAnsi="Times New Roman"/>
                <w:sz w:val="24"/>
                <w:highlight w:val="lightGray"/>
              </w:rPr>
            </w:pPr>
            <w:r w:rsidRPr="00E26EF6">
              <w:rPr>
                <w:rFonts w:ascii="Times New Roman" w:hAnsi="Times New Roman"/>
                <w:sz w:val="24"/>
              </w:rPr>
              <w:t>Strata brutto związana ze zdarzeniem straty zgłoszona we wierszach 0020, 0120 itd. we wzorze C 17.01</w:t>
            </w:r>
          </w:p>
        </w:tc>
      </w:tr>
      <w:tr w:rsidR="00915077" w:rsidRPr="00E26EF6" w14:paraId="566DE2EB" w14:textId="77777777" w:rsidTr="00672D2A">
        <w:tc>
          <w:tcPr>
            <w:tcW w:w="959" w:type="dxa"/>
            <w:shd w:val="clear" w:color="auto" w:fill="auto"/>
          </w:tcPr>
          <w:p w14:paraId="6F628B44" w14:textId="77777777" w:rsidR="00915077" w:rsidRPr="00E26EF6" w:rsidRDefault="00C93FC2">
            <w:pPr>
              <w:rPr>
                <w:rFonts w:ascii="Times New Roman" w:hAnsi="Times New Roman"/>
                <w:sz w:val="24"/>
                <w:highlight w:val="lightGray"/>
              </w:rPr>
            </w:pPr>
            <w:r w:rsidRPr="00E26EF6">
              <w:rPr>
                <w:rFonts w:ascii="Times New Roman" w:hAnsi="Times New Roman"/>
                <w:sz w:val="24"/>
              </w:rPr>
              <w:t>0070</w:t>
            </w:r>
          </w:p>
        </w:tc>
        <w:tc>
          <w:tcPr>
            <w:tcW w:w="8329" w:type="dxa"/>
            <w:shd w:val="clear" w:color="auto" w:fill="auto"/>
          </w:tcPr>
          <w:p w14:paraId="3285AB30" w14:textId="6DDCD2AA"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Strata brutto pomniejszona</w:t>
            </w:r>
            <w:r w:rsidR="00E26EF6" w:rsidRPr="00E26EF6">
              <w:rPr>
                <w:rStyle w:val="InstructionsTabelleberschrift"/>
                <w:rFonts w:ascii="Times New Roman" w:hAnsi="Times New Roman"/>
                <w:sz w:val="24"/>
              </w:rPr>
              <w:t xml:space="preserve"> o bez</w:t>
            </w:r>
            <w:r w:rsidRPr="00E26EF6">
              <w:rPr>
                <w:rStyle w:val="InstructionsTabelleberschrift"/>
                <w:rFonts w:ascii="Times New Roman" w:hAnsi="Times New Roman"/>
                <w:sz w:val="24"/>
              </w:rPr>
              <w:t>pośrednio odzyskane należności</w:t>
            </w:r>
          </w:p>
          <w:p w14:paraId="4D05111A" w14:textId="13F0DA57" w:rsidR="00915077" w:rsidRPr="00E26EF6" w:rsidRDefault="00FD54FC">
            <w:pPr>
              <w:rPr>
                <w:rFonts w:ascii="Times New Roman" w:hAnsi="Times New Roman"/>
                <w:sz w:val="24"/>
                <w:highlight w:val="lightGray"/>
              </w:rPr>
            </w:pPr>
            <w:r w:rsidRPr="00E26EF6">
              <w:rPr>
                <w:rFonts w:ascii="Times New Roman" w:hAnsi="Times New Roman"/>
                <w:sz w:val="24"/>
              </w:rPr>
              <w:t xml:space="preserve">Strata brutto związana ze zdarzeniem straty zgłoszona we wierszach 0020, 0120 itd. we wzorze C 17.01 </w:t>
            </w:r>
            <w:proofErr w:type="gramStart"/>
            <w:r w:rsidRPr="00E26EF6">
              <w:rPr>
                <w:rFonts w:ascii="Times New Roman" w:hAnsi="Times New Roman"/>
                <w:sz w:val="24"/>
              </w:rPr>
              <w:t>pomniejszona</w:t>
            </w:r>
            <w:proofErr w:type="gramEnd"/>
            <w:r w:rsidR="00E26EF6" w:rsidRPr="00E26EF6">
              <w:rPr>
                <w:rFonts w:ascii="Times New Roman" w:hAnsi="Times New Roman"/>
                <w:sz w:val="24"/>
              </w:rPr>
              <w:t xml:space="preserve"> o bez</w:t>
            </w:r>
            <w:r w:rsidRPr="00E26EF6">
              <w:rPr>
                <w:rFonts w:ascii="Times New Roman" w:hAnsi="Times New Roman"/>
                <w:sz w:val="24"/>
              </w:rPr>
              <w:t>pośrednio odzyskane należności związane</w:t>
            </w:r>
            <w:r w:rsidR="00E26EF6" w:rsidRPr="00E26EF6">
              <w:rPr>
                <w:rFonts w:ascii="Times New Roman" w:hAnsi="Times New Roman"/>
                <w:sz w:val="24"/>
              </w:rPr>
              <w:t xml:space="preserve"> z tym</w:t>
            </w:r>
            <w:r w:rsidRPr="00E26EF6">
              <w:rPr>
                <w:rFonts w:ascii="Times New Roman" w:hAnsi="Times New Roman"/>
                <w:sz w:val="24"/>
              </w:rPr>
              <w:t xml:space="preserve"> zdarzeniem straty</w:t>
            </w:r>
          </w:p>
        </w:tc>
      </w:tr>
      <w:tr w:rsidR="00915077" w:rsidRPr="00E26EF6" w14:paraId="333A6C2C" w14:textId="77777777" w:rsidTr="00672D2A">
        <w:tc>
          <w:tcPr>
            <w:tcW w:w="959" w:type="dxa"/>
            <w:shd w:val="clear" w:color="auto" w:fill="auto"/>
          </w:tcPr>
          <w:p w14:paraId="50A72E5B" w14:textId="77777777" w:rsidR="00915077" w:rsidRPr="00E26EF6" w:rsidRDefault="00C93FC2">
            <w:pPr>
              <w:rPr>
                <w:rFonts w:ascii="Times New Roman" w:hAnsi="Times New Roman"/>
                <w:sz w:val="24"/>
                <w:highlight w:val="lightGray"/>
              </w:rPr>
            </w:pPr>
            <w:r w:rsidRPr="00E26EF6">
              <w:rPr>
                <w:rFonts w:ascii="Times New Roman" w:hAnsi="Times New Roman"/>
                <w:sz w:val="24"/>
              </w:rPr>
              <w:lastRenderedPageBreak/>
              <w:t>0080 - 0160</w:t>
            </w:r>
          </w:p>
        </w:tc>
        <w:tc>
          <w:tcPr>
            <w:tcW w:w="8329" w:type="dxa"/>
            <w:shd w:val="clear" w:color="auto" w:fill="auto"/>
          </w:tcPr>
          <w:p w14:paraId="38AA42DC"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Strata brutto według linii biznesowej</w:t>
            </w:r>
          </w:p>
          <w:p w14:paraId="76D3B7AD" w14:textId="5E7A41BF" w:rsidR="00915077" w:rsidRPr="00E26EF6" w:rsidRDefault="00FD54FC">
            <w:pPr>
              <w:rPr>
                <w:rFonts w:ascii="Times New Roman" w:hAnsi="Times New Roman"/>
                <w:sz w:val="24"/>
                <w:highlight w:val="lightGray"/>
              </w:rPr>
            </w:pPr>
            <w:r w:rsidRPr="00E26EF6">
              <w:rPr>
                <w:rFonts w:ascii="Times New Roman" w:hAnsi="Times New Roman"/>
                <w:sz w:val="24"/>
              </w:rPr>
              <w:t>Strata brutto zgłoszona</w:t>
            </w:r>
            <w:r w:rsidR="00E26EF6" w:rsidRPr="00E26EF6">
              <w:rPr>
                <w:rFonts w:ascii="Times New Roman" w:hAnsi="Times New Roman"/>
                <w:sz w:val="24"/>
              </w:rPr>
              <w:t xml:space="preserve"> w kol</w:t>
            </w:r>
            <w:r w:rsidRPr="00E26EF6">
              <w:rPr>
                <w:rFonts w:ascii="Times New Roman" w:hAnsi="Times New Roman"/>
                <w:sz w:val="24"/>
              </w:rPr>
              <w:t>umnie 0060 jest przypisywana do odpowiednich linii biznesowych zgodnie</w:t>
            </w:r>
            <w:r w:rsidR="00E26EF6" w:rsidRPr="00E26EF6">
              <w:rPr>
                <w:rFonts w:ascii="Times New Roman" w:hAnsi="Times New Roman"/>
                <w:sz w:val="24"/>
              </w:rPr>
              <w:t xml:space="preserve"> z tab</w:t>
            </w:r>
            <w:r w:rsidRPr="00E26EF6">
              <w:rPr>
                <w:rFonts w:ascii="Times New Roman" w:hAnsi="Times New Roman"/>
                <w:sz w:val="24"/>
              </w:rPr>
              <w:t>elą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317 ust.</w:t>
            </w:r>
            <w:r w:rsidR="00023409" w:rsidRPr="00E26EF6">
              <w:rPr>
                <w:rFonts w:ascii="Times New Roman" w:hAnsi="Times New Roman"/>
                <w:sz w:val="24"/>
              </w:rPr>
              <w:t> </w:t>
            </w:r>
            <w:r w:rsidRPr="00E26EF6">
              <w:rPr>
                <w:rFonts w:ascii="Times New Roman" w:hAnsi="Times New Roman"/>
                <w:sz w:val="24"/>
              </w:rPr>
              <w:t>4</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322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CRR.</w:t>
            </w:r>
          </w:p>
        </w:tc>
      </w:tr>
      <w:tr w:rsidR="00915077" w:rsidRPr="00E26EF6" w14:paraId="26276203" w14:textId="77777777" w:rsidTr="00672D2A">
        <w:tc>
          <w:tcPr>
            <w:tcW w:w="959" w:type="dxa"/>
            <w:shd w:val="clear" w:color="auto" w:fill="auto"/>
          </w:tcPr>
          <w:p w14:paraId="6354A56E" w14:textId="77777777" w:rsidR="00915077" w:rsidRPr="00E26EF6" w:rsidRDefault="00C93FC2">
            <w:pPr>
              <w:rPr>
                <w:rFonts w:ascii="Times New Roman" w:hAnsi="Times New Roman"/>
                <w:sz w:val="24"/>
                <w:highlight w:val="lightGray"/>
              </w:rPr>
            </w:pPr>
            <w:r w:rsidRPr="00E26EF6">
              <w:rPr>
                <w:rFonts w:ascii="Times New Roman" w:hAnsi="Times New Roman"/>
                <w:sz w:val="24"/>
              </w:rPr>
              <w:t>0170</w:t>
            </w:r>
          </w:p>
        </w:tc>
        <w:tc>
          <w:tcPr>
            <w:tcW w:w="8329" w:type="dxa"/>
            <w:shd w:val="clear" w:color="auto" w:fill="auto"/>
          </w:tcPr>
          <w:p w14:paraId="415B57CF"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Nazwa podmiotu prawnego</w:t>
            </w:r>
          </w:p>
          <w:p w14:paraId="68447AC9" w14:textId="20F2BA15" w:rsidR="00915077" w:rsidRPr="00E26EF6" w:rsidRDefault="00FD54FC">
            <w:pPr>
              <w:rPr>
                <w:rFonts w:ascii="Times New Roman" w:hAnsi="Times New Roman"/>
                <w:sz w:val="24"/>
                <w:highlight w:val="lightGray"/>
              </w:rPr>
            </w:pPr>
            <w:r w:rsidRPr="00E26EF6">
              <w:rPr>
                <w:rFonts w:ascii="Times New Roman" w:hAnsi="Times New Roman"/>
                <w:sz w:val="24"/>
              </w:rPr>
              <w:t>Zgłoszona</w:t>
            </w:r>
            <w:r w:rsidR="00E26EF6" w:rsidRPr="00E26EF6">
              <w:rPr>
                <w:rFonts w:ascii="Times New Roman" w:hAnsi="Times New Roman"/>
                <w:sz w:val="24"/>
              </w:rPr>
              <w:t xml:space="preserve"> w kol</w:t>
            </w:r>
            <w:r w:rsidRPr="00E26EF6">
              <w:rPr>
                <w:rFonts w:ascii="Times New Roman" w:hAnsi="Times New Roman"/>
                <w:sz w:val="24"/>
              </w:rPr>
              <w:t xml:space="preserve">umnie 010 we wzorze C 06.02 </w:t>
            </w:r>
            <w:proofErr w:type="gramStart"/>
            <w:r w:rsidRPr="00E26EF6">
              <w:rPr>
                <w:rFonts w:ascii="Times New Roman" w:hAnsi="Times New Roman"/>
                <w:sz w:val="24"/>
              </w:rPr>
              <w:t>nazwa</w:t>
            </w:r>
            <w:proofErr w:type="gramEnd"/>
            <w:r w:rsidRPr="00E26EF6">
              <w:rPr>
                <w:rFonts w:ascii="Times New Roman" w:hAnsi="Times New Roman"/>
                <w:sz w:val="24"/>
              </w:rPr>
              <w:t xml:space="preserve"> podmiotu prawnego,</w:t>
            </w:r>
            <w:r w:rsidR="00E26EF6" w:rsidRPr="00E26EF6">
              <w:rPr>
                <w:rFonts w:ascii="Times New Roman" w:hAnsi="Times New Roman"/>
                <w:sz w:val="24"/>
              </w:rPr>
              <w:t xml:space="preserve"> u któ</w:t>
            </w:r>
            <w:r w:rsidRPr="00E26EF6">
              <w:rPr>
                <w:rFonts w:ascii="Times New Roman" w:hAnsi="Times New Roman"/>
                <w:sz w:val="24"/>
              </w:rPr>
              <w:t>rego odnotowano stratę (lub największą część straty, jeżeli strata miała wpływ na większą liczbę podmiotów).</w:t>
            </w:r>
          </w:p>
        </w:tc>
      </w:tr>
      <w:tr w:rsidR="00915077" w:rsidRPr="00E26EF6" w14:paraId="7F2AE553" w14:textId="77777777" w:rsidTr="00672D2A">
        <w:tc>
          <w:tcPr>
            <w:tcW w:w="959" w:type="dxa"/>
            <w:shd w:val="clear" w:color="auto" w:fill="auto"/>
          </w:tcPr>
          <w:p w14:paraId="4FE7E3A2" w14:textId="77777777" w:rsidR="00915077" w:rsidRPr="00E26EF6" w:rsidRDefault="00C93FC2">
            <w:pPr>
              <w:rPr>
                <w:rFonts w:ascii="Times New Roman" w:hAnsi="Times New Roman"/>
                <w:sz w:val="24"/>
                <w:highlight w:val="lightGray"/>
              </w:rPr>
            </w:pPr>
            <w:r w:rsidRPr="00E26EF6">
              <w:rPr>
                <w:rFonts w:ascii="Times New Roman" w:hAnsi="Times New Roman"/>
                <w:sz w:val="24"/>
              </w:rPr>
              <w:t>0180</w:t>
            </w:r>
          </w:p>
        </w:tc>
        <w:tc>
          <w:tcPr>
            <w:tcW w:w="8329" w:type="dxa"/>
            <w:shd w:val="clear" w:color="auto" w:fill="auto"/>
          </w:tcPr>
          <w:p w14:paraId="0E148FD4"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ID podmiotu prawnego</w:t>
            </w:r>
          </w:p>
          <w:p w14:paraId="45DE608D" w14:textId="0004E3E9" w:rsidR="00915077" w:rsidRPr="00E26EF6" w:rsidRDefault="00FD54FC">
            <w:pPr>
              <w:rPr>
                <w:rFonts w:ascii="Times New Roman" w:hAnsi="Times New Roman"/>
                <w:sz w:val="24"/>
                <w:highlight w:val="lightGray"/>
              </w:rPr>
            </w:pPr>
            <w:r w:rsidRPr="00E26EF6">
              <w:rPr>
                <w:rFonts w:ascii="Times New Roman" w:hAnsi="Times New Roman"/>
                <w:sz w:val="24"/>
              </w:rPr>
              <w:t>Zgłoszony</w:t>
            </w:r>
            <w:r w:rsidR="00E26EF6" w:rsidRPr="00E26EF6">
              <w:rPr>
                <w:rFonts w:ascii="Times New Roman" w:hAnsi="Times New Roman"/>
                <w:sz w:val="24"/>
              </w:rPr>
              <w:t xml:space="preserve"> w kol</w:t>
            </w:r>
            <w:r w:rsidRPr="00E26EF6">
              <w:rPr>
                <w:rFonts w:ascii="Times New Roman" w:hAnsi="Times New Roman"/>
                <w:sz w:val="24"/>
              </w:rPr>
              <w:t xml:space="preserve">umnie 025 we wzorze C 06.02 </w:t>
            </w:r>
            <w:proofErr w:type="gramStart"/>
            <w:r w:rsidRPr="00E26EF6">
              <w:rPr>
                <w:rFonts w:ascii="Times New Roman" w:hAnsi="Times New Roman"/>
                <w:sz w:val="24"/>
              </w:rPr>
              <w:t>kod</w:t>
            </w:r>
            <w:proofErr w:type="gramEnd"/>
            <w:r w:rsidRPr="00E26EF6">
              <w:rPr>
                <w:rFonts w:ascii="Times New Roman" w:hAnsi="Times New Roman"/>
                <w:sz w:val="24"/>
              </w:rPr>
              <w:t xml:space="preserve"> LEI podmiotu prawnego,</w:t>
            </w:r>
            <w:r w:rsidR="00E26EF6" w:rsidRPr="00E26EF6">
              <w:rPr>
                <w:rFonts w:ascii="Times New Roman" w:hAnsi="Times New Roman"/>
                <w:sz w:val="24"/>
              </w:rPr>
              <w:t xml:space="preserve"> u któ</w:t>
            </w:r>
            <w:r w:rsidRPr="00E26EF6">
              <w:rPr>
                <w:rFonts w:ascii="Times New Roman" w:hAnsi="Times New Roman"/>
                <w:sz w:val="24"/>
              </w:rPr>
              <w:t>rego odnotowano stratę (lub największą część straty, jeżeli strata miała wpływ na większą liczbę podmiotów).</w:t>
            </w:r>
          </w:p>
        </w:tc>
      </w:tr>
      <w:tr w:rsidR="00915077" w:rsidRPr="00E26EF6" w14:paraId="14CE4235" w14:textId="77777777" w:rsidTr="00672D2A">
        <w:tc>
          <w:tcPr>
            <w:tcW w:w="959" w:type="dxa"/>
            <w:shd w:val="clear" w:color="auto" w:fill="auto"/>
          </w:tcPr>
          <w:p w14:paraId="2BAC94C5" w14:textId="77777777" w:rsidR="00915077" w:rsidRPr="00E26EF6" w:rsidRDefault="00C93FC2">
            <w:pPr>
              <w:rPr>
                <w:rFonts w:ascii="Times New Roman" w:hAnsi="Times New Roman"/>
                <w:sz w:val="24"/>
                <w:highlight w:val="lightGray"/>
              </w:rPr>
            </w:pPr>
            <w:r w:rsidRPr="00E26EF6">
              <w:rPr>
                <w:rFonts w:ascii="Times New Roman" w:hAnsi="Times New Roman"/>
                <w:sz w:val="24"/>
              </w:rPr>
              <w:t>0190</w:t>
            </w:r>
          </w:p>
        </w:tc>
        <w:tc>
          <w:tcPr>
            <w:tcW w:w="8329" w:type="dxa"/>
            <w:shd w:val="clear" w:color="auto" w:fill="auto"/>
          </w:tcPr>
          <w:p w14:paraId="16D40789"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Jednostka gospodarcza</w:t>
            </w:r>
          </w:p>
          <w:p w14:paraId="5F31CE90" w14:textId="5FF4453A" w:rsidR="00915077" w:rsidRPr="00E26EF6" w:rsidRDefault="00FD54FC">
            <w:pPr>
              <w:rPr>
                <w:rFonts w:ascii="Times New Roman" w:hAnsi="Times New Roman"/>
                <w:sz w:val="24"/>
                <w:highlight w:val="lightGray"/>
              </w:rPr>
            </w:pPr>
            <w:r w:rsidRPr="00E26EF6">
              <w:rPr>
                <w:rFonts w:ascii="Times New Roman" w:hAnsi="Times New Roman"/>
                <w:sz w:val="24"/>
              </w:rPr>
              <w:t>Jednostka gospodarcza lub dział korporacyjny instytucji,</w:t>
            </w:r>
            <w:r w:rsidR="00E26EF6" w:rsidRPr="00E26EF6">
              <w:rPr>
                <w:rFonts w:ascii="Times New Roman" w:hAnsi="Times New Roman"/>
                <w:sz w:val="24"/>
              </w:rPr>
              <w:t xml:space="preserve"> w któ</w:t>
            </w:r>
            <w:r w:rsidRPr="00E26EF6">
              <w:rPr>
                <w:rFonts w:ascii="Times New Roman" w:hAnsi="Times New Roman"/>
                <w:sz w:val="24"/>
              </w:rPr>
              <w:t>rej (w którym) odnotowano stratę (lub największą część straty, jeżeli strata miała wpływ na większą liczbę jednostek gospodarczych lub działów korporacyjnych).</w:t>
            </w:r>
          </w:p>
        </w:tc>
      </w:tr>
      <w:tr w:rsidR="00915077" w:rsidRPr="00E26EF6" w14:paraId="2E2FC3F2" w14:textId="77777777" w:rsidTr="00672D2A">
        <w:tc>
          <w:tcPr>
            <w:tcW w:w="959" w:type="dxa"/>
            <w:shd w:val="clear" w:color="auto" w:fill="auto"/>
          </w:tcPr>
          <w:p w14:paraId="47CEA134" w14:textId="77777777" w:rsidR="00915077" w:rsidRPr="00E26EF6" w:rsidRDefault="00C93FC2">
            <w:pPr>
              <w:rPr>
                <w:rFonts w:ascii="Times New Roman" w:hAnsi="Times New Roman"/>
                <w:sz w:val="24"/>
                <w:highlight w:val="lightGray"/>
              </w:rPr>
            </w:pPr>
            <w:r w:rsidRPr="00E26EF6">
              <w:rPr>
                <w:rFonts w:ascii="Times New Roman" w:hAnsi="Times New Roman"/>
                <w:sz w:val="24"/>
              </w:rPr>
              <w:t>0200</w:t>
            </w:r>
          </w:p>
        </w:tc>
        <w:tc>
          <w:tcPr>
            <w:tcW w:w="8329" w:type="dxa"/>
            <w:shd w:val="clear" w:color="auto" w:fill="auto"/>
          </w:tcPr>
          <w:p w14:paraId="5D0B1956" w14:textId="77777777" w:rsidR="00915077" w:rsidRPr="00E26EF6" w:rsidRDefault="00FD54FC">
            <w:pPr>
              <w:rPr>
                <w:rStyle w:val="InstructionsTabelleberschrift"/>
                <w:rFonts w:ascii="Times New Roman" w:hAnsi="Times New Roman"/>
                <w:sz w:val="24"/>
              </w:rPr>
            </w:pPr>
            <w:r w:rsidRPr="00E26EF6">
              <w:rPr>
                <w:rStyle w:val="InstructionsTabelleberschrift"/>
                <w:rFonts w:ascii="Times New Roman" w:hAnsi="Times New Roman"/>
                <w:sz w:val="24"/>
              </w:rPr>
              <w:t>Opis</w:t>
            </w:r>
          </w:p>
          <w:p w14:paraId="0DD7E318" w14:textId="70D7EFB6" w:rsidR="00915077" w:rsidRPr="00E26EF6" w:rsidRDefault="00FD54FC">
            <w:pPr>
              <w:rPr>
                <w:rFonts w:ascii="Times New Roman" w:hAnsi="Times New Roman"/>
                <w:sz w:val="24"/>
              </w:rPr>
            </w:pPr>
            <w:r w:rsidRPr="00E26EF6">
              <w:rPr>
                <w:rFonts w:ascii="Times New Roman" w:hAnsi="Times New Roman"/>
                <w:sz w:val="24"/>
              </w:rPr>
              <w:t>Opis zdarzenia straty,</w:t>
            </w:r>
            <w:r w:rsidR="00E26EF6" w:rsidRPr="00E26EF6">
              <w:rPr>
                <w:rFonts w:ascii="Times New Roman" w:hAnsi="Times New Roman"/>
                <w:sz w:val="24"/>
              </w:rPr>
              <w:t xml:space="preserve"> w sto</w:t>
            </w:r>
            <w:r w:rsidRPr="00E26EF6">
              <w:rPr>
                <w:rFonts w:ascii="Times New Roman" w:hAnsi="Times New Roman"/>
                <w:sz w:val="24"/>
              </w:rPr>
              <w:t>sownych przypadkach</w:t>
            </w:r>
            <w:r w:rsidR="00E26EF6" w:rsidRPr="00E26EF6">
              <w:rPr>
                <w:rFonts w:ascii="Times New Roman" w:hAnsi="Times New Roman"/>
                <w:sz w:val="24"/>
              </w:rPr>
              <w:t xml:space="preserve"> w for</w:t>
            </w:r>
            <w:r w:rsidRPr="00E26EF6">
              <w:rPr>
                <w:rFonts w:ascii="Times New Roman" w:hAnsi="Times New Roman"/>
                <w:sz w:val="24"/>
              </w:rPr>
              <w:t>mie uogólnionej lub zanonimizowanej, który obejmuje co najmniej informacje na temat samego zdarzenia oraz informacje na temat przyczyn zdarzenia straty,</w:t>
            </w:r>
            <w:r w:rsidR="00E26EF6" w:rsidRPr="00E26EF6">
              <w:rPr>
                <w:rFonts w:ascii="Times New Roman" w:hAnsi="Times New Roman"/>
                <w:sz w:val="24"/>
              </w:rPr>
              <w:t xml:space="preserve"> o ile</w:t>
            </w:r>
            <w:r w:rsidRPr="00E26EF6">
              <w:rPr>
                <w:rFonts w:ascii="Times New Roman" w:hAnsi="Times New Roman"/>
                <w:sz w:val="24"/>
              </w:rPr>
              <w:t xml:space="preserve"> są znane.</w:t>
            </w:r>
          </w:p>
        </w:tc>
      </w:tr>
    </w:tbl>
    <w:p w14:paraId="797CE58A" w14:textId="77777777" w:rsidR="00915077" w:rsidRPr="00E26EF6" w:rsidRDefault="00915077">
      <w:pPr>
        <w:spacing w:after="0"/>
        <w:rPr>
          <w:rFonts w:ascii="Times New Roman" w:hAnsi="Times New Roman"/>
          <w:sz w:val="24"/>
        </w:rPr>
      </w:pPr>
    </w:p>
    <w:p w14:paraId="477EDC0A" w14:textId="77777777" w:rsidR="00915077" w:rsidRPr="00E26EF6" w:rsidRDefault="00AC6255">
      <w:pPr>
        <w:spacing w:before="0" w:after="0"/>
        <w:jc w:val="left"/>
        <w:rPr>
          <w:rStyle w:val="InstructionsTabelleText"/>
          <w:rFonts w:ascii="Times New Roman" w:hAnsi="Times New Roman"/>
          <w:sz w:val="24"/>
        </w:rPr>
      </w:pPr>
      <w:r w:rsidRPr="00E26EF6">
        <w:rPr>
          <w:sz w:val="24"/>
        </w:rPr>
        <w:br w:type="page"/>
      </w:r>
    </w:p>
    <w:p w14:paraId="68CC3DAD"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83" w:name="_Toc31014380"/>
      <w:r w:rsidRPr="00E26EF6">
        <w:rPr>
          <w:rFonts w:ascii="Times New Roman" w:hAnsi="Times New Roman"/>
          <w:sz w:val="24"/>
          <w:u w:val="none"/>
        </w:rPr>
        <w:lastRenderedPageBreak/>
        <w:t>5.</w:t>
      </w:r>
      <w:r w:rsidRPr="00E26EF6">
        <w:rPr>
          <w:rFonts w:ascii="Times New Roman" w:hAnsi="Times New Roman"/>
          <w:sz w:val="24"/>
          <w:u w:val="none"/>
        </w:rPr>
        <w:tab/>
      </w:r>
      <w:r w:rsidRPr="00E26EF6">
        <w:rPr>
          <w:rFonts w:ascii="Times New Roman" w:hAnsi="Times New Roman"/>
          <w:sz w:val="24"/>
        </w:rPr>
        <w:t>Wzory dotyczące ryzyka rynkowego</w:t>
      </w:r>
      <w:bookmarkEnd w:id="83"/>
    </w:p>
    <w:p w14:paraId="7E671213" w14:textId="7C335176" w:rsidR="00915077" w:rsidRPr="00E26EF6" w:rsidRDefault="00125707">
      <w:pPr>
        <w:pStyle w:val="InstructionsText2"/>
        <w:numPr>
          <w:ilvl w:val="0"/>
          <w:numId w:val="0"/>
        </w:numPr>
        <w:ind w:left="993"/>
      </w:pPr>
      <w:r w:rsidRPr="00E26EF6">
        <w:t>137.</w:t>
      </w:r>
      <w:r w:rsidRPr="00E26EF6">
        <w:tab/>
        <w:t xml:space="preserve"> W przedmiotowych instrukcjach odniesiono się do wzorów przedstawiania informacji dotyczących obliczania wymogów</w:t>
      </w:r>
      <w:r w:rsidR="00E26EF6" w:rsidRPr="00E26EF6">
        <w:t xml:space="preserve"> w zak</w:t>
      </w:r>
      <w:r w:rsidRPr="00E26EF6">
        <w:t>resie funduszy własnych zgodnie</w:t>
      </w:r>
      <w:r w:rsidR="00E26EF6" w:rsidRPr="00E26EF6">
        <w:t xml:space="preserve"> z met</w:t>
      </w:r>
      <w:r w:rsidRPr="00E26EF6">
        <w:t>odą standardową</w:t>
      </w:r>
      <w:r w:rsidR="00E26EF6" w:rsidRPr="00E26EF6">
        <w:t xml:space="preserve"> w odn</w:t>
      </w:r>
      <w:r w:rsidRPr="00E26EF6">
        <w:t>iesieniu do ryzyka walutowego (MKR SA FX), ryzyka cen towarów (MKR SA COM), ryzyka stopy procentowej (MKR SA TDI, MKR SA SEC, MKR SA CTP)</w:t>
      </w:r>
      <w:r w:rsidR="00E26EF6" w:rsidRPr="00E26EF6">
        <w:t xml:space="preserve"> i ryz</w:t>
      </w:r>
      <w:r w:rsidRPr="00E26EF6">
        <w:t>yka związanego</w:t>
      </w:r>
      <w:r w:rsidR="00E26EF6" w:rsidRPr="00E26EF6">
        <w:t xml:space="preserve"> z inw</w:t>
      </w:r>
      <w:r w:rsidRPr="00E26EF6">
        <w:t>estowaniem</w:t>
      </w:r>
      <w:r w:rsidR="00E26EF6" w:rsidRPr="00E26EF6">
        <w:t xml:space="preserve"> w akc</w:t>
      </w:r>
      <w:r w:rsidRPr="00E26EF6">
        <w:t>je (MKR SA EQU). Ponadto</w:t>
      </w:r>
      <w:r w:rsidR="00E26EF6" w:rsidRPr="00E26EF6">
        <w:t xml:space="preserve"> w nin</w:t>
      </w:r>
      <w:r w:rsidRPr="00E26EF6">
        <w:t>iejszej części zawarto instrukcje</w:t>
      </w:r>
      <w:r w:rsidR="00E26EF6" w:rsidRPr="00E26EF6">
        <w:t xml:space="preserve"> w odn</w:t>
      </w:r>
      <w:r w:rsidRPr="00E26EF6">
        <w:t>iesieniu do wzoru przedstawiania informacji dotyczących obliczania wymogów</w:t>
      </w:r>
      <w:r w:rsidR="00E26EF6" w:rsidRPr="00E26EF6">
        <w:t xml:space="preserve"> w zak</w:t>
      </w:r>
      <w:r w:rsidRPr="00E26EF6">
        <w:t>resie funduszy własnych zgodnie</w:t>
      </w:r>
      <w:r w:rsidR="00E26EF6" w:rsidRPr="00E26EF6">
        <w:t xml:space="preserve"> z met</w:t>
      </w:r>
      <w:r w:rsidRPr="00E26EF6">
        <w:t xml:space="preserve">odą modeli wewnętrznych (MKR IM). </w:t>
      </w:r>
    </w:p>
    <w:p w14:paraId="532D693F" w14:textId="4F39E4D0" w:rsidR="00915077" w:rsidRPr="00E26EF6" w:rsidRDefault="00125707">
      <w:pPr>
        <w:pStyle w:val="InstructionsText2"/>
        <w:numPr>
          <w:ilvl w:val="0"/>
          <w:numId w:val="0"/>
        </w:numPr>
        <w:ind w:left="993"/>
      </w:pPr>
      <w:r w:rsidRPr="00E26EF6">
        <w:t>138.</w:t>
      </w:r>
      <w:r w:rsidRPr="00E26EF6">
        <w:tab/>
        <w:t xml:space="preserve"> Ryzyko pozycji</w:t>
      </w:r>
      <w:r w:rsidR="00E26EF6" w:rsidRPr="00E26EF6">
        <w:t xml:space="preserve"> z tyt</w:t>
      </w:r>
      <w:r w:rsidRPr="00E26EF6">
        <w:t>ułu rynkowego instrumentu dłużnego lub kapitału własnego (instrument pochodny od rynkowego instrumentu dłużnego lub instrument pochodny na akcje) dzieli się na dwa elementy dla celów obliczenia kapitału wymaganego</w:t>
      </w:r>
      <w:r w:rsidR="00E26EF6" w:rsidRPr="00E26EF6">
        <w:t xml:space="preserve"> z tyt</w:t>
      </w:r>
      <w:r w:rsidRPr="00E26EF6">
        <w:t>ułu ryzyka. Pierwszy element stanowi ryzyko szczególne – jest to ryzyko zmiany ceny danego instrumentu</w:t>
      </w:r>
      <w:r w:rsidR="00E26EF6" w:rsidRPr="00E26EF6">
        <w:t xml:space="preserve"> w nas</w:t>
      </w:r>
      <w:r w:rsidRPr="00E26EF6">
        <w:t>tępstwie czynników związanych</w:t>
      </w:r>
      <w:r w:rsidR="00E26EF6" w:rsidRPr="00E26EF6">
        <w:t xml:space="preserve"> z jeg</w:t>
      </w:r>
      <w:r w:rsidRPr="00E26EF6">
        <w:t>o emitentem lub,</w:t>
      </w:r>
      <w:r w:rsidR="00E26EF6" w:rsidRPr="00E26EF6">
        <w:t xml:space="preserve"> w prz</w:t>
      </w:r>
      <w:r w:rsidRPr="00E26EF6">
        <w:t>ypadku instrumentu pochodnego, czynników związanych</w:t>
      </w:r>
      <w:r w:rsidR="00E26EF6" w:rsidRPr="00E26EF6">
        <w:t xml:space="preserve"> z emi</w:t>
      </w:r>
      <w:r w:rsidRPr="00E26EF6">
        <w:t>tentem instrumentu bazowego. Drugi element obejmuje ryzyko ogólne – jest to ryzyko zmiany ceny danego instrumentu</w:t>
      </w:r>
      <w:r w:rsidR="00E26EF6" w:rsidRPr="00E26EF6">
        <w:t xml:space="preserve"> w nas</w:t>
      </w:r>
      <w:r w:rsidRPr="00E26EF6">
        <w:t>tępstwie zmiany wysokości stóp procentowych (w przypadku rynkowego instrumentu dłużnego lub instrumentu od niego pochodnego) lub (w przypadku kapitału własnego lub instrumentu od niego pochodnego) ruchu na szerokim rynku akcji niezwiązanego</w:t>
      </w:r>
      <w:r w:rsidR="00E26EF6" w:rsidRPr="00E26EF6">
        <w:t xml:space="preserve"> z żad</w:t>
      </w:r>
      <w:r w:rsidRPr="00E26EF6">
        <w:t>nymi konkretnymi atrybutami poszczególnych papierów wartościowych. Podejście ogólne do szczególnych instrumentów</w:t>
      </w:r>
      <w:r w:rsidR="00E26EF6" w:rsidRPr="00E26EF6">
        <w:t xml:space="preserve"> i pro</w:t>
      </w:r>
      <w:r w:rsidRPr="00E26EF6">
        <w:t>cedury</w:t>
      </w:r>
      <w:r w:rsidR="00E26EF6" w:rsidRPr="00E26EF6">
        <w:t xml:space="preserve"> w zak</w:t>
      </w:r>
      <w:r w:rsidRPr="00E26EF6">
        <w:t>resie kompensowania można znaleźć</w:t>
      </w:r>
      <w:r w:rsidR="00E26EF6" w:rsidRPr="00E26EF6">
        <w:t xml:space="preserve"> w art</w:t>
      </w:r>
      <w:r w:rsidRPr="00E26EF6">
        <w:t>.</w:t>
      </w:r>
      <w:r w:rsidR="00023409" w:rsidRPr="00E26EF6">
        <w:t> </w:t>
      </w:r>
      <w:r w:rsidRPr="00E26EF6">
        <w:t xml:space="preserve">326–333 CRR. </w:t>
      </w:r>
    </w:p>
    <w:p w14:paraId="102B89F4" w14:textId="59B36A57" w:rsidR="00915077" w:rsidRPr="00E26EF6" w:rsidRDefault="00125707">
      <w:pPr>
        <w:pStyle w:val="Instructionsberschrift2"/>
        <w:numPr>
          <w:ilvl w:val="0"/>
          <w:numId w:val="0"/>
        </w:numPr>
        <w:ind w:left="357" w:hanging="357"/>
        <w:rPr>
          <w:rFonts w:ascii="Times New Roman" w:hAnsi="Times New Roman" w:cs="Times New Roman"/>
          <w:sz w:val="24"/>
        </w:rPr>
      </w:pPr>
      <w:bookmarkStart w:id="84" w:name="_Toc31014381"/>
      <w:r w:rsidRPr="00E26EF6">
        <w:rPr>
          <w:rFonts w:ascii="Times New Roman" w:hAnsi="Times New Roman"/>
          <w:sz w:val="24"/>
          <w:u w:val="none"/>
        </w:rPr>
        <w:t>5.1.</w:t>
      </w:r>
      <w:r w:rsidRPr="00E26EF6">
        <w:rPr>
          <w:rFonts w:ascii="Times New Roman" w:hAnsi="Times New Roman"/>
          <w:sz w:val="24"/>
          <w:u w:val="none"/>
        </w:rPr>
        <w:tab/>
      </w:r>
      <w:r w:rsidRPr="00E26EF6">
        <w:rPr>
          <w:rFonts w:ascii="Times New Roman" w:hAnsi="Times New Roman"/>
          <w:sz w:val="24"/>
        </w:rPr>
        <w:t>C 18.00 – Ryzyko rynkowe: ryzyko pozycji</w:t>
      </w:r>
      <w:r w:rsidR="00E26EF6" w:rsidRPr="00E26EF6">
        <w:rPr>
          <w:rFonts w:ascii="Times New Roman" w:hAnsi="Times New Roman"/>
          <w:sz w:val="24"/>
        </w:rPr>
        <w:t xml:space="preserve"> z tyt</w:t>
      </w:r>
      <w:r w:rsidRPr="00E26EF6">
        <w:rPr>
          <w:rFonts w:ascii="Times New Roman" w:hAnsi="Times New Roman"/>
          <w:sz w:val="24"/>
        </w:rPr>
        <w:t>ułu rynkowych instrumentów dłużnych według metody standardowej (MKR SA TDI)</w:t>
      </w:r>
      <w:bookmarkEnd w:id="84"/>
    </w:p>
    <w:p w14:paraId="715816FA"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85" w:name="_Toc31014382"/>
      <w:r w:rsidRPr="00E26EF6">
        <w:rPr>
          <w:rFonts w:ascii="Times New Roman" w:hAnsi="Times New Roman"/>
          <w:sz w:val="24"/>
          <w:u w:val="none"/>
        </w:rPr>
        <w:t>5.1.1.</w:t>
      </w:r>
      <w:r w:rsidRPr="00E26EF6">
        <w:rPr>
          <w:rFonts w:ascii="Times New Roman" w:hAnsi="Times New Roman"/>
          <w:sz w:val="24"/>
          <w:u w:val="none"/>
        </w:rPr>
        <w:tab/>
      </w:r>
      <w:r w:rsidRPr="00E26EF6">
        <w:rPr>
          <w:rFonts w:ascii="Times New Roman" w:hAnsi="Times New Roman"/>
          <w:sz w:val="24"/>
        </w:rPr>
        <w:t>Uwagi ogólne</w:t>
      </w:r>
      <w:bookmarkEnd w:id="85"/>
    </w:p>
    <w:p w14:paraId="5B765DA5" w14:textId="092E1B33" w:rsidR="00915077" w:rsidRPr="00E26EF6" w:rsidRDefault="00125707">
      <w:pPr>
        <w:pStyle w:val="InstructionsText2"/>
        <w:numPr>
          <w:ilvl w:val="0"/>
          <w:numId w:val="0"/>
        </w:numPr>
        <w:ind w:left="993"/>
      </w:pPr>
      <w:r w:rsidRPr="00E26EF6">
        <w:t>139.</w:t>
      </w:r>
      <w:r w:rsidRPr="00E26EF6">
        <w:tab/>
        <w:t xml:space="preserve"> Przedmiotowy wzór obejmuje pozycje</w:t>
      </w:r>
      <w:r w:rsidR="00E26EF6" w:rsidRPr="00E26EF6">
        <w:t xml:space="preserve"> i pow</w:t>
      </w:r>
      <w:r w:rsidRPr="00E26EF6">
        <w:t>iązane wymogi</w:t>
      </w:r>
      <w:r w:rsidR="00E26EF6" w:rsidRPr="00E26EF6">
        <w:t xml:space="preserve"> w zak</w:t>
      </w:r>
      <w:r w:rsidRPr="00E26EF6">
        <w:t>resie funduszy własnych dotyczące ryzyka pozycji</w:t>
      </w:r>
      <w:r w:rsidR="00E26EF6" w:rsidRPr="00E26EF6">
        <w:t xml:space="preserve"> z tyt</w:t>
      </w:r>
      <w:r w:rsidRPr="00E26EF6">
        <w:t>ułu rynkowych instrumentów dłużnych według metody standardowej (art.</w:t>
      </w:r>
      <w:r w:rsidR="00023409" w:rsidRPr="00E26EF6">
        <w:t> </w:t>
      </w:r>
      <w:r w:rsidRPr="00E26EF6">
        <w:t>102</w:t>
      </w:r>
      <w:r w:rsidR="00E26EF6" w:rsidRPr="00E26EF6">
        <w:t xml:space="preserve"> i art</w:t>
      </w:r>
      <w:r w:rsidRPr="00E26EF6">
        <w:t>.</w:t>
      </w:r>
      <w:r w:rsidR="00023409" w:rsidRPr="00E26EF6">
        <w:t> </w:t>
      </w:r>
      <w:r w:rsidRPr="00E26EF6">
        <w:t>105 ust.</w:t>
      </w:r>
      <w:r w:rsidR="00023409" w:rsidRPr="00E26EF6">
        <w:t> </w:t>
      </w:r>
      <w:r w:rsidRPr="00E26EF6">
        <w:t>1 CRR). Różne rodzaje ryzyka</w:t>
      </w:r>
      <w:r w:rsidR="00E26EF6" w:rsidRPr="00E26EF6">
        <w:t xml:space="preserve"> i met</w:t>
      </w:r>
      <w:r w:rsidRPr="00E26EF6">
        <w:t>ody dostępne na podstawie CRR uznaje się według wierszy. Ryzyko szczególne związane</w:t>
      </w:r>
      <w:r w:rsidR="00E26EF6" w:rsidRPr="00E26EF6">
        <w:t xml:space="preserve"> z eks</w:t>
      </w:r>
      <w:r w:rsidRPr="00E26EF6">
        <w:t>pozycjami zawartymi we wzorach MKR SA SEC i MKR SA CTP zgłasza się jedynie</w:t>
      </w:r>
      <w:r w:rsidR="00E26EF6" w:rsidRPr="00E26EF6">
        <w:t xml:space="preserve"> w poz</w:t>
      </w:r>
      <w:r w:rsidRPr="00E26EF6">
        <w:t>ycji „Razem” wzoru MKR SA TDI. Wymogi</w:t>
      </w:r>
      <w:r w:rsidR="00E26EF6" w:rsidRPr="00E26EF6">
        <w:t xml:space="preserve"> w zak</w:t>
      </w:r>
      <w:r w:rsidRPr="00E26EF6">
        <w:t>resie funduszy własnych zgłaszane</w:t>
      </w:r>
      <w:r w:rsidR="00E26EF6" w:rsidRPr="00E26EF6">
        <w:t xml:space="preserve"> w prz</w:t>
      </w:r>
      <w:r w:rsidRPr="00E26EF6">
        <w:t>edmiotowych wzorach przenosi się odpowiednio do komórek</w:t>
      </w:r>
      <w:proofErr w:type="gramStart"/>
      <w:r w:rsidRPr="00E26EF6">
        <w:t xml:space="preserve"> {325;060} (sekurytyzacje</w:t>
      </w:r>
      <w:proofErr w:type="gramEnd"/>
      <w:r w:rsidRPr="00E26EF6">
        <w:t>) i {330;060} (korelacyjny portfel handlowy).</w:t>
      </w:r>
    </w:p>
    <w:p w14:paraId="66F36146" w14:textId="46A8332B" w:rsidR="00915077" w:rsidRPr="00E26EF6" w:rsidRDefault="00125707">
      <w:pPr>
        <w:pStyle w:val="InstructionsText2"/>
        <w:numPr>
          <w:ilvl w:val="0"/>
          <w:numId w:val="0"/>
        </w:numPr>
        <w:ind w:left="993"/>
      </w:pPr>
      <w:r w:rsidRPr="00E26EF6">
        <w:t>140.</w:t>
      </w:r>
      <w:r w:rsidRPr="00E26EF6">
        <w:tab/>
        <w:t xml:space="preserve"> Wzór należy wypełnić osobno</w:t>
      </w:r>
      <w:r w:rsidR="00E26EF6" w:rsidRPr="00E26EF6">
        <w:t xml:space="preserve"> w odn</w:t>
      </w:r>
      <w:r w:rsidRPr="00E26EF6">
        <w:t>iesieniu do pozycji „Razem”, powiększonej</w:t>
      </w:r>
      <w:r w:rsidR="00E26EF6" w:rsidRPr="00E26EF6">
        <w:t xml:space="preserve"> o wcz</w:t>
      </w:r>
      <w:r w:rsidRPr="00E26EF6">
        <w:t>eśniej ustaloną wartość</w:t>
      </w:r>
      <w:r w:rsidR="00E26EF6" w:rsidRPr="00E26EF6">
        <w:t xml:space="preserve"> z lis</w:t>
      </w:r>
      <w:r w:rsidRPr="00E26EF6">
        <w:t>ty następujących walut: EUR, ALL, BGN, CZK, DKK, EGP, GBP, HRK, HUF, ISK, JPY, MKD, NOK, PLN, RON, RUB, RSD, SEK, CHF, TRY, UAH, USD</w:t>
      </w:r>
      <w:r w:rsidR="00E26EF6" w:rsidRPr="00E26EF6">
        <w:t xml:space="preserve"> i jed</w:t>
      </w:r>
      <w:r w:rsidRPr="00E26EF6">
        <w:t>en rezydualny wzór</w:t>
      </w:r>
      <w:r w:rsidR="00E26EF6" w:rsidRPr="00E26EF6">
        <w:t xml:space="preserve"> w odn</w:t>
      </w:r>
      <w:r w:rsidRPr="00E26EF6">
        <w:t xml:space="preserve">iesieniu do wszystkich innych walut. </w:t>
      </w:r>
    </w:p>
    <w:p w14:paraId="21E7AE92"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86" w:name="_Toc31014383"/>
      <w:r w:rsidRPr="00E26EF6">
        <w:rPr>
          <w:rFonts w:ascii="Times New Roman" w:hAnsi="Times New Roman"/>
          <w:sz w:val="24"/>
          <w:u w:val="none"/>
        </w:rPr>
        <w:t>5.1.2.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15077" w:rsidRPr="00E26EF6" w14:paraId="182517AD" w14:textId="77777777" w:rsidTr="00672D2A">
        <w:trPr>
          <w:trHeight w:val="569"/>
        </w:trPr>
        <w:tc>
          <w:tcPr>
            <w:tcW w:w="8862" w:type="dxa"/>
            <w:gridSpan w:val="2"/>
            <w:shd w:val="clear" w:color="auto" w:fill="CCCCCC"/>
          </w:tcPr>
          <w:p w14:paraId="5020DF58" w14:textId="77777777" w:rsidR="00915077" w:rsidRPr="00E26EF6" w:rsidRDefault="000B0B09">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Kolumny</w:t>
            </w:r>
          </w:p>
        </w:tc>
      </w:tr>
      <w:tr w:rsidR="00915077" w:rsidRPr="00E26EF6" w14:paraId="74254EDB" w14:textId="77777777" w:rsidTr="00672D2A">
        <w:tc>
          <w:tcPr>
            <w:tcW w:w="988" w:type="dxa"/>
          </w:tcPr>
          <w:p w14:paraId="620A001E"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010–020</w:t>
            </w:r>
          </w:p>
        </w:tc>
        <w:tc>
          <w:tcPr>
            <w:tcW w:w="7874" w:type="dxa"/>
          </w:tcPr>
          <w:p w14:paraId="34B3688C"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WSZYSTKIE POZYCJE (DŁUGIE I KRÓTKIE)</w:t>
            </w:r>
          </w:p>
          <w:p w14:paraId="32AEBA14" w14:textId="2BBEE0B1" w:rsidR="00915077" w:rsidRPr="00E26EF6" w:rsidRDefault="000B0B09">
            <w:pPr>
              <w:rPr>
                <w:rFonts w:ascii="Times New Roman" w:hAnsi="Times New Roman"/>
                <w:sz w:val="24"/>
                <w:highlight w:val="lightGray"/>
              </w:rPr>
            </w:pPr>
            <w:r w:rsidRPr="00E26EF6">
              <w:rPr>
                <w:rFonts w:ascii="Times New Roman" w:hAnsi="Times New Roman"/>
                <w:sz w:val="24"/>
              </w:rPr>
              <w:lastRenderedPageBreak/>
              <w:t>Art. 102</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105 ust.</w:t>
            </w:r>
            <w:r w:rsidR="00023409" w:rsidRPr="00E26EF6">
              <w:rPr>
                <w:rFonts w:ascii="Times New Roman" w:hAnsi="Times New Roman"/>
                <w:sz w:val="24"/>
              </w:rPr>
              <w:t> </w:t>
            </w:r>
            <w:r w:rsidRPr="00E26EF6">
              <w:rPr>
                <w:rFonts w:ascii="Times New Roman" w:hAnsi="Times New Roman"/>
                <w:sz w:val="24"/>
              </w:rPr>
              <w:t>1 CRR. Są to pozycje brutto nieskompensowane przez instrumenty,</w:t>
            </w:r>
            <w:r w:rsidR="00E26EF6" w:rsidRPr="00E26EF6">
              <w:rPr>
                <w:rFonts w:ascii="Times New Roman" w:hAnsi="Times New Roman"/>
                <w:sz w:val="24"/>
              </w:rPr>
              <w:t xml:space="preserve"> z wył</w:t>
            </w:r>
            <w:r w:rsidRPr="00E26EF6">
              <w:rPr>
                <w:rFonts w:ascii="Times New Roman" w:hAnsi="Times New Roman"/>
                <w:sz w:val="24"/>
              </w:rPr>
              <w:t>ączeniem pozycji</w:t>
            </w:r>
            <w:r w:rsidR="00E26EF6" w:rsidRPr="00E26EF6">
              <w:rPr>
                <w:rFonts w:ascii="Times New Roman" w:hAnsi="Times New Roman"/>
                <w:sz w:val="24"/>
              </w:rPr>
              <w:t xml:space="preserve"> z tyt</w:t>
            </w:r>
            <w:r w:rsidRPr="00E26EF6">
              <w:rPr>
                <w:rFonts w:ascii="Times New Roman" w:hAnsi="Times New Roman"/>
                <w:sz w:val="24"/>
              </w:rPr>
              <w:t>ułu gwarantowania emisji, które są subskrybowane lub regwarantowane przez osoby trzecie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345 ust.</w:t>
            </w:r>
            <w:r w:rsidR="00023409" w:rsidRPr="00E26EF6">
              <w:rPr>
                <w:rFonts w:ascii="Times New Roman" w:hAnsi="Times New Roman"/>
                <w:sz w:val="24"/>
              </w:rPr>
              <w:t> </w:t>
            </w:r>
            <w:r w:rsidRPr="00E26EF6">
              <w:rPr>
                <w:rFonts w:ascii="Times New Roman" w:hAnsi="Times New Roman"/>
                <w:sz w:val="24"/>
              </w:rPr>
              <w:t>1 akapit pierwszy zdanie drugie CRR)</w:t>
            </w:r>
            <w:r w:rsidR="00E26EF6" w:rsidRPr="00E26EF6">
              <w:rPr>
                <w:rFonts w:ascii="Times New Roman" w:hAnsi="Times New Roman"/>
                <w:sz w:val="24"/>
              </w:rPr>
              <w:t>. W kwe</w:t>
            </w:r>
            <w:r w:rsidRPr="00E26EF6">
              <w:rPr>
                <w:rFonts w:ascii="Times New Roman" w:hAnsi="Times New Roman"/>
                <w:sz w:val="24"/>
              </w:rPr>
              <w:t>stii rozróżnienia pomiędzy pozycjami długimi</w:t>
            </w:r>
            <w:r w:rsidR="00E26EF6" w:rsidRPr="00E26EF6">
              <w:rPr>
                <w:rFonts w:ascii="Times New Roman" w:hAnsi="Times New Roman"/>
                <w:sz w:val="24"/>
              </w:rPr>
              <w:t xml:space="preserve"> i kró</w:t>
            </w:r>
            <w:r w:rsidRPr="00E26EF6">
              <w:rPr>
                <w:rFonts w:ascii="Times New Roman" w:hAnsi="Times New Roman"/>
                <w:sz w:val="24"/>
              </w:rPr>
              <w:t>tkimi, stosowanego również</w:t>
            </w:r>
            <w:r w:rsidR="00E26EF6" w:rsidRPr="00E26EF6">
              <w:rPr>
                <w:rFonts w:ascii="Times New Roman" w:hAnsi="Times New Roman"/>
                <w:sz w:val="24"/>
              </w:rPr>
              <w:t xml:space="preserve"> w odn</w:t>
            </w:r>
            <w:r w:rsidRPr="00E26EF6">
              <w:rPr>
                <w:rFonts w:ascii="Times New Roman" w:hAnsi="Times New Roman"/>
                <w:sz w:val="24"/>
              </w:rPr>
              <w:t>iesieniu do pozycji brutto, zob. art.</w:t>
            </w:r>
            <w:r w:rsidR="00023409" w:rsidRPr="00E26EF6">
              <w:rPr>
                <w:rFonts w:ascii="Times New Roman" w:hAnsi="Times New Roman"/>
                <w:sz w:val="24"/>
              </w:rPr>
              <w:t> </w:t>
            </w:r>
            <w:r w:rsidRPr="00E26EF6">
              <w:rPr>
                <w:rFonts w:ascii="Times New Roman" w:hAnsi="Times New Roman"/>
                <w:sz w:val="24"/>
              </w:rPr>
              <w:t>328 ust.</w:t>
            </w:r>
            <w:r w:rsidR="00023409" w:rsidRPr="00E26EF6">
              <w:rPr>
                <w:rFonts w:ascii="Times New Roman" w:hAnsi="Times New Roman"/>
                <w:sz w:val="24"/>
              </w:rPr>
              <w:t> </w:t>
            </w:r>
            <w:r w:rsidRPr="00E26EF6">
              <w:rPr>
                <w:rFonts w:ascii="Times New Roman" w:hAnsi="Times New Roman"/>
                <w:sz w:val="24"/>
              </w:rPr>
              <w:t>2 CRR.</w:t>
            </w:r>
          </w:p>
        </w:tc>
      </w:tr>
      <w:tr w:rsidR="00915077" w:rsidRPr="00E26EF6" w14:paraId="58994B05" w14:textId="77777777" w:rsidTr="00672D2A">
        <w:tc>
          <w:tcPr>
            <w:tcW w:w="988" w:type="dxa"/>
          </w:tcPr>
          <w:p w14:paraId="564F0D3C"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030-040</w:t>
            </w:r>
          </w:p>
        </w:tc>
        <w:tc>
          <w:tcPr>
            <w:tcW w:w="7874" w:type="dxa"/>
          </w:tcPr>
          <w:p w14:paraId="31BBA35F"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NETTO (DŁUGIE I KRÓTKIE)</w:t>
            </w:r>
          </w:p>
          <w:p w14:paraId="6AB5B979" w14:textId="077AC9D1" w:rsidR="00915077" w:rsidRPr="00E26EF6" w:rsidRDefault="000B0B09">
            <w:pPr>
              <w:rPr>
                <w:rFonts w:ascii="Times New Roman" w:hAnsi="Times New Roman"/>
                <w:sz w:val="24"/>
                <w:highlight w:val="lightGray"/>
              </w:rPr>
            </w:pPr>
            <w:r w:rsidRPr="00E26EF6">
              <w:rPr>
                <w:rFonts w:ascii="Times New Roman" w:hAnsi="Times New Roman"/>
                <w:sz w:val="24"/>
              </w:rPr>
              <w:t>Art. 327–329</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334 CRR W kwestii rozróżnienia pomiędzy pozycjami długimi</w:t>
            </w:r>
            <w:r w:rsidR="00E26EF6" w:rsidRPr="00E26EF6">
              <w:rPr>
                <w:rFonts w:ascii="Times New Roman" w:hAnsi="Times New Roman"/>
                <w:sz w:val="24"/>
              </w:rPr>
              <w:t xml:space="preserve"> i kró</w:t>
            </w:r>
            <w:r w:rsidRPr="00E26EF6">
              <w:rPr>
                <w:rFonts w:ascii="Times New Roman" w:hAnsi="Times New Roman"/>
                <w:sz w:val="24"/>
              </w:rPr>
              <w:t>tkimi, zob. art.</w:t>
            </w:r>
            <w:r w:rsidR="00023409" w:rsidRPr="00E26EF6">
              <w:rPr>
                <w:rFonts w:ascii="Times New Roman" w:hAnsi="Times New Roman"/>
                <w:sz w:val="24"/>
              </w:rPr>
              <w:t> </w:t>
            </w:r>
            <w:r w:rsidRPr="00E26EF6">
              <w:rPr>
                <w:rFonts w:ascii="Times New Roman" w:hAnsi="Times New Roman"/>
                <w:sz w:val="24"/>
              </w:rPr>
              <w:t>328 ust.</w:t>
            </w:r>
            <w:r w:rsidR="00023409" w:rsidRPr="00E26EF6">
              <w:rPr>
                <w:rFonts w:ascii="Times New Roman" w:hAnsi="Times New Roman"/>
                <w:sz w:val="24"/>
              </w:rPr>
              <w:t> </w:t>
            </w:r>
            <w:r w:rsidRPr="00E26EF6">
              <w:rPr>
                <w:rFonts w:ascii="Times New Roman" w:hAnsi="Times New Roman"/>
                <w:sz w:val="24"/>
              </w:rPr>
              <w:t>2 CRR.</w:t>
            </w:r>
          </w:p>
        </w:tc>
      </w:tr>
      <w:tr w:rsidR="00915077" w:rsidRPr="00E26EF6" w14:paraId="557B6B1E" w14:textId="77777777" w:rsidTr="00672D2A">
        <w:tc>
          <w:tcPr>
            <w:tcW w:w="988" w:type="dxa"/>
          </w:tcPr>
          <w:p w14:paraId="0BDFE685"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050</w:t>
            </w:r>
          </w:p>
        </w:tc>
        <w:tc>
          <w:tcPr>
            <w:tcW w:w="7874" w:type="dxa"/>
          </w:tcPr>
          <w:p w14:paraId="279B3EC8"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PODLEGAJĄCE NARZUTOWI KAPITAŁOWEMU</w:t>
            </w:r>
          </w:p>
          <w:p w14:paraId="476DAC65" w14:textId="5F9DAC66" w:rsidR="00915077" w:rsidRPr="00E26EF6" w:rsidRDefault="000B0B09">
            <w:pPr>
              <w:rPr>
                <w:rFonts w:ascii="Times New Roman" w:hAnsi="Times New Roman"/>
                <w:b/>
                <w:bCs/>
                <w:sz w:val="24"/>
                <w:highlight w:val="lightGray"/>
                <w:u w:val="single"/>
              </w:rPr>
            </w:pPr>
            <w:r w:rsidRPr="00E26EF6">
              <w:rPr>
                <w:rFonts w:ascii="Times New Roman" w:hAnsi="Times New Roman"/>
                <w:sz w:val="24"/>
              </w:rPr>
              <w:t>Te pozycje netto, które zgodnie</w:t>
            </w:r>
            <w:r w:rsidR="00E26EF6" w:rsidRPr="00E26EF6">
              <w:rPr>
                <w:rFonts w:ascii="Times New Roman" w:hAnsi="Times New Roman"/>
                <w:sz w:val="24"/>
              </w:rPr>
              <w:t xml:space="preserve"> z róż</w:t>
            </w:r>
            <w:r w:rsidRPr="00E26EF6">
              <w:rPr>
                <w:rFonts w:ascii="Times New Roman" w:hAnsi="Times New Roman"/>
                <w:sz w:val="24"/>
              </w:rPr>
              <w:t>nymi metodami uwzględnionymi</w:t>
            </w:r>
            <w:r w:rsidR="00E26EF6" w:rsidRPr="00E26EF6">
              <w:rPr>
                <w:rFonts w:ascii="Times New Roman" w:hAnsi="Times New Roman"/>
                <w:sz w:val="24"/>
              </w:rPr>
              <w:t xml:space="preserve"> w czę</w:t>
            </w:r>
            <w:r w:rsidRPr="00E26EF6">
              <w:rPr>
                <w:rFonts w:ascii="Times New Roman" w:hAnsi="Times New Roman"/>
                <w:sz w:val="24"/>
              </w:rPr>
              <w:t>ści trzeciej tytuł IV rozdział 2 CRR otrzymują narzut kapitałowy.</w:t>
            </w:r>
          </w:p>
        </w:tc>
      </w:tr>
      <w:tr w:rsidR="00915077" w:rsidRPr="00E26EF6" w14:paraId="5EAA7670" w14:textId="77777777" w:rsidTr="00672D2A">
        <w:tc>
          <w:tcPr>
            <w:tcW w:w="988" w:type="dxa"/>
          </w:tcPr>
          <w:p w14:paraId="7AC94239"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060</w:t>
            </w:r>
          </w:p>
        </w:tc>
        <w:tc>
          <w:tcPr>
            <w:tcW w:w="7874" w:type="dxa"/>
          </w:tcPr>
          <w:p w14:paraId="15FE8D3B" w14:textId="77777777" w:rsidR="00915077" w:rsidRPr="00E26EF6" w:rsidRDefault="000B0B09">
            <w:pPr>
              <w:tabs>
                <w:tab w:val="left" w:pos="1665"/>
              </w:tabs>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WYMOGI W ZAKRESIE FUNDUSZY WŁASNYCH</w:t>
            </w:r>
          </w:p>
          <w:p w14:paraId="0A2F966C" w14:textId="74E00169" w:rsidR="00915077" w:rsidRPr="00E26EF6" w:rsidRDefault="000B0B09">
            <w:pPr>
              <w:rPr>
                <w:rFonts w:ascii="Times New Roman" w:hAnsi="Times New Roman"/>
                <w:b/>
                <w:bCs/>
                <w:sz w:val="24"/>
                <w:highlight w:val="lightGray"/>
                <w:u w:val="single"/>
              </w:rPr>
            </w:pPr>
            <w:r w:rsidRPr="00E26EF6">
              <w:rPr>
                <w:rFonts w:ascii="Times New Roman" w:hAnsi="Times New Roman"/>
                <w:sz w:val="24"/>
              </w:rPr>
              <w:t>Narzut kapitałowy</w:t>
            </w:r>
            <w:r w:rsidR="00E26EF6" w:rsidRPr="00E26EF6">
              <w:rPr>
                <w:rFonts w:ascii="Times New Roman" w:hAnsi="Times New Roman"/>
                <w:sz w:val="24"/>
              </w:rPr>
              <w:t xml:space="preserve"> w odn</w:t>
            </w:r>
            <w:r w:rsidRPr="00E26EF6">
              <w:rPr>
                <w:rFonts w:ascii="Times New Roman" w:hAnsi="Times New Roman"/>
                <w:sz w:val="24"/>
              </w:rPr>
              <w:t>iesieniu do wszelkich stosownych pozycji, zgodnie</w:t>
            </w:r>
            <w:r w:rsidR="00E26EF6" w:rsidRPr="00E26EF6">
              <w:rPr>
                <w:rFonts w:ascii="Times New Roman" w:hAnsi="Times New Roman"/>
                <w:sz w:val="24"/>
              </w:rPr>
              <w:t xml:space="preserve"> z czę</w:t>
            </w:r>
            <w:r w:rsidRPr="00E26EF6">
              <w:rPr>
                <w:rFonts w:ascii="Times New Roman" w:hAnsi="Times New Roman"/>
                <w:sz w:val="24"/>
              </w:rPr>
              <w:t>ścią trzecią tytuł IV rozdział 2 CRR.</w:t>
            </w:r>
          </w:p>
        </w:tc>
      </w:tr>
      <w:tr w:rsidR="00915077" w:rsidRPr="00E26EF6" w14:paraId="15A8F05E" w14:textId="77777777" w:rsidTr="00672D2A">
        <w:tc>
          <w:tcPr>
            <w:tcW w:w="988" w:type="dxa"/>
          </w:tcPr>
          <w:p w14:paraId="4C8E9249"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070</w:t>
            </w:r>
          </w:p>
        </w:tc>
        <w:tc>
          <w:tcPr>
            <w:tcW w:w="7874" w:type="dxa"/>
          </w:tcPr>
          <w:p w14:paraId="148ECE11" w14:textId="77777777" w:rsidR="00915077" w:rsidRPr="00E26EF6" w:rsidRDefault="000B0B09">
            <w:pPr>
              <w:tabs>
                <w:tab w:val="left" w:pos="1665"/>
              </w:tabs>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ŁĄCZNA KWOTA EKSPOZYCJI NA RYZYKO</w:t>
            </w:r>
          </w:p>
          <w:p w14:paraId="7A4A764A" w14:textId="3067379B" w:rsidR="00915077" w:rsidRPr="00E26EF6" w:rsidRDefault="00D21B29">
            <w:pPr>
              <w:rPr>
                <w:rFonts w:ascii="Times New Roman" w:hAnsi="Times New Roman"/>
                <w:b/>
                <w:bCs/>
                <w:sz w:val="24"/>
                <w:u w:val="single"/>
              </w:rPr>
            </w:pPr>
            <w:r w:rsidRPr="00E26EF6">
              <w:rPr>
                <w:rFonts w:ascii="Times New Roman" w:hAnsi="Times New Roman"/>
                <w:sz w:val="24"/>
              </w:rPr>
              <w:t>Art. 92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b) CRR. Wynik pomnożenia wymogów</w:t>
            </w:r>
            <w:r w:rsidR="00E26EF6" w:rsidRPr="00E26EF6">
              <w:rPr>
                <w:rFonts w:ascii="Times New Roman" w:hAnsi="Times New Roman"/>
                <w:sz w:val="24"/>
              </w:rPr>
              <w:t xml:space="preserve"> w zak</w:t>
            </w:r>
            <w:r w:rsidRPr="00E26EF6">
              <w:rPr>
                <w:rFonts w:ascii="Times New Roman" w:hAnsi="Times New Roman"/>
                <w:sz w:val="24"/>
              </w:rPr>
              <w:t xml:space="preserve">resie funduszy własnych przez 12,5. </w:t>
            </w:r>
          </w:p>
        </w:tc>
      </w:tr>
    </w:tbl>
    <w:p w14:paraId="0D1A06D1" w14:textId="77777777" w:rsidR="00915077" w:rsidRPr="00E26EF6" w:rsidRDefault="00915077">
      <w:pPr>
        <w:autoSpaceDE w:val="0"/>
        <w:autoSpaceDN w:val="0"/>
        <w:adjustRightInd w:val="0"/>
        <w:spacing w:before="0" w:after="0"/>
        <w:rPr>
          <w:rFonts w:ascii="Times New Roman" w:hAnsi="Times New Roman"/>
          <w:sz w:val="24"/>
        </w:rPr>
      </w:pPr>
    </w:p>
    <w:p w14:paraId="3A842A09" w14:textId="77777777" w:rsidR="00915077" w:rsidRPr="00E26EF6" w:rsidRDefault="0091507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915077" w:rsidRPr="00E26EF6" w14:paraId="660B3F69" w14:textId="77777777" w:rsidTr="00672D2A">
        <w:trPr>
          <w:trHeight w:val="533"/>
        </w:trPr>
        <w:tc>
          <w:tcPr>
            <w:tcW w:w="8862" w:type="dxa"/>
            <w:gridSpan w:val="2"/>
            <w:shd w:val="clear" w:color="auto" w:fill="CCCCCC"/>
          </w:tcPr>
          <w:p w14:paraId="7B4D7841" w14:textId="77777777" w:rsidR="00915077" w:rsidRPr="00E26EF6" w:rsidRDefault="000B0B09">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Wiersze</w:t>
            </w:r>
          </w:p>
        </w:tc>
      </w:tr>
      <w:tr w:rsidR="00915077" w:rsidRPr="00E26EF6" w14:paraId="6E8D9E7C" w14:textId="77777777" w:rsidTr="00672D2A">
        <w:trPr>
          <w:trHeight w:val="1168"/>
        </w:trPr>
        <w:tc>
          <w:tcPr>
            <w:tcW w:w="987" w:type="dxa"/>
          </w:tcPr>
          <w:p w14:paraId="22C78DAA" w14:textId="2254D038"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010–350</w:t>
            </w:r>
          </w:p>
          <w:p w14:paraId="5C92840E" w14:textId="77777777" w:rsidR="00915077" w:rsidRPr="00E26EF6" w:rsidRDefault="00915077">
            <w:pPr>
              <w:autoSpaceDE w:val="0"/>
              <w:autoSpaceDN w:val="0"/>
              <w:adjustRightInd w:val="0"/>
              <w:spacing w:before="0" w:after="0"/>
              <w:rPr>
                <w:rFonts w:ascii="Times New Roman" w:hAnsi="Times New Roman"/>
                <w:sz w:val="24"/>
                <w:highlight w:val="lightGray"/>
              </w:rPr>
            </w:pPr>
          </w:p>
        </w:tc>
        <w:tc>
          <w:tcPr>
            <w:tcW w:w="7875" w:type="dxa"/>
          </w:tcPr>
          <w:p w14:paraId="7BE0E9FE"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RYNKOWE INSTRUMENTY DŁUŻNE W PORTFELU HANDLOWYM</w:t>
            </w:r>
          </w:p>
          <w:p w14:paraId="3900CB8C" w14:textId="09C9C024" w:rsidR="00915077" w:rsidRPr="00E26EF6" w:rsidRDefault="000B0B09">
            <w:pPr>
              <w:rPr>
                <w:rFonts w:ascii="Times New Roman" w:hAnsi="Times New Roman"/>
                <w:sz w:val="24"/>
                <w:highlight w:val="lightGray"/>
              </w:rPr>
            </w:pPr>
            <w:r w:rsidRPr="00E26EF6">
              <w:rPr>
                <w:rFonts w:ascii="Times New Roman" w:hAnsi="Times New Roman"/>
                <w:sz w:val="24"/>
              </w:rPr>
              <w:t>Pozycje</w:t>
            </w:r>
            <w:r w:rsidR="00E26EF6" w:rsidRPr="00E26EF6">
              <w:rPr>
                <w:rFonts w:ascii="Times New Roman" w:hAnsi="Times New Roman"/>
                <w:sz w:val="24"/>
              </w:rPr>
              <w:t xml:space="preserve"> w ryn</w:t>
            </w:r>
            <w:r w:rsidRPr="00E26EF6">
              <w:rPr>
                <w:rFonts w:ascii="Times New Roman" w:hAnsi="Times New Roman"/>
                <w:sz w:val="24"/>
              </w:rPr>
              <w:t>kowych instrumentach dłużnych ujętych</w:t>
            </w:r>
            <w:r w:rsidR="00E26EF6" w:rsidRPr="00E26EF6">
              <w:rPr>
                <w:rFonts w:ascii="Times New Roman" w:hAnsi="Times New Roman"/>
                <w:sz w:val="24"/>
              </w:rPr>
              <w:t xml:space="preserve"> w por</w:t>
            </w:r>
            <w:r w:rsidRPr="00E26EF6">
              <w:rPr>
                <w:rFonts w:ascii="Times New Roman" w:hAnsi="Times New Roman"/>
                <w:sz w:val="24"/>
              </w:rPr>
              <w:t>tfelu handlowym oraz odpowiadające im wymogi</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w odn</w:t>
            </w:r>
            <w:r w:rsidRPr="00E26EF6">
              <w:rPr>
                <w:rFonts w:ascii="Times New Roman" w:hAnsi="Times New Roman"/>
                <w:sz w:val="24"/>
              </w:rPr>
              <w:t>iesieniu do ryzyka pozycji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ppkt (i) CRR</w:t>
            </w:r>
            <w:r w:rsidR="00E26EF6" w:rsidRPr="00E26EF6">
              <w:rPr>
                <w:rFonts w:ascii="Times New Roman" w:hAnsi="Times New Roman"/>
                <w:sz w:val="24"/>
              </w:rPr>
              <w:t xml:space="preserve"> i czę</w:t>
            </w:r>
            <w:r w:rsidRPr="00E26EF6">
              <w:rPr>
                <w:rFonts w:ascii="Times New Roman" w:hAnsi="Times New Roman"/>
                <w:sz w:val="24"/>
              </w:rPr>
              <w:t>ści trzeciej tytuł IV rozdział 2 CRR należy zgłaszać</w:t>
            </w:r>
            <w:r w:rsidR="00E26EF6" w:rsidRPr="00E26EF6">
              <w:rPr>
                <w:rFonts w:ascii="Times New Roman" w:hAnsi="Times New Roman"/>
                <w:sz w:val="24"/>
              </w:rPr>
              <w:t xml:space="preserve"> w zal</w:t>
            </w:r>
            <w:r w:rsidRPr="00E26EF6">
              <w:rPr>
                <w:rFonts w:ascii="Times New Roman" w:hAnsi="Times New Roman"/>
                <w:sz w:val="24"/>
              </w:rPr>
              <w:t>eżności od kategorii ryzyka, terminu zapadalności</w:t>
            </w:r>
            <w:r w:rsidR="00E26EF6" w:rsidRPr="00E26EF6">
              <w:rPr>
                <w:rFonts w:ascii="Times New Roman" w:hAnsi="Times New Roman"/>
                <w:sz w:val="24"/>
              </w:rPr>
              <w:t xml:space="preserve"> i zas</w:t>
            </w:r>
            <w:r w:rsidRPr="00E26EF6">
              <w:rPr>
                <w:rFonts w:ascii="Times New Roman" w:hAnsi="Times New Roman"/>
                <w:sz w:val="24"/>
              </w:rPr>
              <w:t>tosowanego podejścia.</w:t>
            </w:r>
          </w:p>
        </w:tc>
      </w:tr>
      <w:tr w:rsidR="00915077" w:rsidRPr="00E26EF6" w14:paraId="15D0D30A" w14:textId="77777777" w:rsidTr="00672D2A">
        <w:tc>
          <w:tcPr>
            <w:tcW w:w="987" w:type="dxa"/>
          </w:tcPr>
          <w:p w14:paraId="4A05F913"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011</w:t>
            </w:r>
          </w:p>
        </w:tc>
        <w:tc>
          <w:tcPr>
            <w:tcW w:w="7875" w:type="dxa"/>
          </w:tcPr>
          <w:p w14:paraId="62313BD2"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b/>
                <w:bCs/>
                <w:sz w:val="24"/>
                <w:u w:val="single"/>
              </w:rPr>
              <w:t xml:space="preserve">RYZYKO OGÓLNE. </w:t>
            </w:r>
          </w:p>
        </w:tc>
      </w:tr>
      <w:tr w:rsidR="00915077" w:rsidRPr="00E26EF6" w14:paraId="1A597333" w14:textId="77777777" w:rsidTr="00672D2A">
        <w:tc>
          <w:tcPr>
            <w:tcW w:w="987" w:type="dxa"/>
          </w:tcPr>
          <w:p w14:paraId="073CE1C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012</w:t>
            </w:r>
          </w:p>
        </w:tc>
        <w:tc>
          <w:tcPr>
            <w:tcW w:w="7875" w:type="dxa"/>
          </w:tcPr>
          <w:p w14:paraId="45AD68A7" w14:textId="7777777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b/>
                <w:bCs/>
                <w:sz w:val="24"/>
                <w:u w:val="single"/>
              </w:rPr>
              <w:t>Instrumenty pochodne</w:t>
            </w:r>
          </w:p>
          <w:p w14:paraId="6A3F52D4" w14:textId="2B7AA706" w:rsidR="00915077" w:rsidRPr="00E26EF6" w:rsidRDefault="000B0B09">
            <w:pPr>
              <w:rPr>
                <w:rFonts w:ascii="Times New Roman" w:hAnsi="Times New Roman"/>
                <w:b/>
                <w:bCs/>
                <w:sz w:val="24"/>
                <w:highlight w:val="lightGray"/>
                <w:u w:val="single"/>
              </w:rPr>
            </w:pPr>
            <w:r w:rsidRPr="00E26EF6">
              <w:rPr>
                <w:rFonts w:ascii="Times New Roman" w:hAnsi="Times New Roman"/>
                <w:sz w:val="24"/>
              </w:rPr>
              <w:t>Instrumenty pochodne uwzględnione przy obliczaniu ryzyka stopy procentowej</w:t>
            </w:r>
            <w:r w:rsidR="00E26EF6" w:rsidRPr="00E26EF6">
              <w:rPr>
                <w:rFonts w:ascii="Times New Roman" w:hAnsi="Times New Roman"/>
                <w:sz w:val="24"/>
              </w:rPr>
              <w:t xml:space="preserve"> w por</w:t>
            </w:r>
            <w:r w:rsidRPr="00E26EF6">
              <w:rPr>
                <w:rFonts w:ascii="Times New Roman" w:hAnsi="Times New Roman"/>
                <w:sz w:val="24"/>
              </w:rPr>
              <w:t>tfelu handlowym, uwzględniając,</w:t>
            </w:r>
            <w:r w:rsidR="00E26EF6" w:rsidRPr="00E26EF6">
              <w:rPr>
                <w:rFonts w:ascii="Times New Roman" w:hAnsi="Times New Roman"/>
                <w:sz w:val="24"/>
              </w:rPr>
              <w:t xml:space="preserve"> w sto</w:t>
            </w:r>
            <w:r w:rsidRPr="00E26EF6">
              <w:rPr>
                <w:rFonts w:ascii="Times New Roman" w:hAnsi="Times New Roman"/>
                <w:sz w:val="24"/>
              </w:rPr>
              <w:t>sownych przypadkach, art.</w:t>
            </w:r>
            <w:r w:rsidR="00023409" w:rsidRPr="00E26EF6">
              <w:rPr>
                <w:rFonts w:ascii="Times New Roman" w:hAnsi="Times New Roman"/>
                <w:sz w:val="24"/>
              </w:rPr>
              <w:t> </w:t>
            </w:r>
            <w:r w:rsidRPr="00E26EF6">
              <w:rPr>
                <w:rFonts w:ascii="Times New Roman" w:hAnsi="Times New Roman"/>
                <w:sz w:val="24"/>
              </w:rPr>
              <w:t>328–331 CRR.</w:t>
            </w:r>
          </w:p>
        </w:tc>
      </w:tr>
      <w:tr w:rsidR="00915077" w:rsidRPr="00E26EF6" w14:paraId="4066369A" w14:textId="77777777" w:rsidTr="00672D2A">
        <w:tc>
          <w:tcPr>
            <w:tcW w:w="987" w:type="dxa"/>
          </w:tcPr>
          <w:p w14:paraId="74A5196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013</w:t>
            </w:r>
          </w:p>
        </w:tc>
        <w:tc>
          <w:tcPr>
            <w:tcW w:w="7875" w:type="dxa"/>
          </w:tcPr>
          <w:p w14:paraId="7CCBA4BB" w14:textId="69067AD0"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Inne aktywa</w:t>
            </w:r>
            <w:r w:rsidR="00E26EF6" w:rsidRPr="00E26EF6">
              <w:rPr>
                <w:rFonts w:ascii="Times New Roman" w:hAnsi="Times New Roman"/>
                <w:b/>
                <w:bCs/>
                <w:sz w:val="24"/>
                <w:u w:val="single"/>
              </w:rPr>
              <w:t xml:space="preserve"> i zob</w:t>
            </w:r>
            <w:r w:rsidRPr="00E26EF6">
              <w:rPr>
                <w:rFonts w:ascii="Times New Roman" w:hAnsi="Times New Roman"/>
                <w:b/>
                <w:bCs/>
                <w:sz w:val="24"/>
                <w:u w:val="single"/>
              </w:rPr>
              <w:t>owiązania</w:t>
            </w:r>
          </w:p>
          <w:p w14:paraId="4019FF5C" w14:textId="5D9ECBF6" w:rsidR="00915077" w:rsidRPr="00E26EF6" w:rsidRDefault="000B0B09">
            <w:pPr>
              <w:rPr>
                <w:rFonts w:ascii="Times New Roman" w:hAnsi="Times New Roman"/>
                <w:b/>
                <w:bCs/>
                <w:sz w:val="24"/>
                <w:highlight w:val="lightGray"/>
                <w:u w:val="single"/>
              </w:rPr>
            </w:pPr>
            <w:r w:rsidRPr="00E26EF6">
              <w:rPr>
                <w:rFonts w:ascii="Times New Roman" w:hAnsi="Times New Roman"/>
                <w:sz w:val="24"/>
              </w:rPr>
              <w:t>Instrumenty inne niż instrumenty pochodne brane pod uwagę przy obliczaniu ryzyka stopy procentowej pozycji</w:t>
            </w:r>
            <w:r w:rsidR="00E26EF6" w:rsidRPr="00E26EF6">
              <w:rPr>
                <w:rFonts w:ascii="Times New Roman" w:hAnsi="Times New Roman"/>
                <w:sz w:val="24"/>
              </w:rPr>
              <w:t xml:space="preserve"> w por</w:t>
            </w:r>
            <w:r w:rsidRPr="00E26EF6">
              <w:rPr>
                <w:rFonts w:ascii="Times New Roman" w:hAnsi="Times New Roman"/>
                <w:sz w:val="24"/>
              </w:rPr>
              <w:t xml:space="preserve">tfelu handlowym. </w:t>
            </w:r>
          </w:p>
        </w:tc>
      </w:tr>
      <w:tr w:rsidR="00915077" w:rsidRPr="00E26EF6" w14:paraId="40B19596" w14:textId="77777777" w:rsidTr="00672D2A">
        <w:tc>
          <w:tcPr>
            <w:tcW w:w="987" w:type="dxa"/>
          </w:tcPr>
          <w:p w14:paraId="2C49850B"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020–200</w:t>
            </w:r>
          </w:p>
        </w:tc>
        <w:tc>
          <w:tcPr>
            <w:tcW w:w="7875" w:type="dxa"/>
          </w:tcPr>
          <w:p w14:paraId="1B81BB55"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METODA TERMINÓW ZAPADALNOŚCI</w:t>
            </w:r>
          </w:p>
          <w:p w14:paraId="22A8CC47" w14:textId="3436523C" w:rsidR="00915077" w:rsidRPr="00E26EF6" w:rsidRDefault="000B0B09">
            <w:pPr>
              <w:rPr>
                <w:rFonts w:ascii="Times New Roman" w:hAnsi="Times New Roman"/>
                <w:b/>
                <w:bCs/>
                <w:sz w:val="24"/>
                <w:highlight w:val="lightGray"/>
                <w:u w:val="single"/>
              </w:rPr>
            </w:pPr>
            <w:r w:rsidRPr="00E26EF6">
              <w:rPr>
                <w:rFonts w:ascii="Times New Roman" w:hAnsi="Times New Roman"/>
                <w:sz w:val="24"/>
              </w:rPr>
              <w:t>Pozycje</w:t>
            </w:r>
            <w:r w:rsidR="00E26EF6" w:rsidRPr="00E26EF6">
              <w:rPr>
                <w:rFonts w:ascii="Times New Roman" w:hAnsi="Times New Roman"/>
                <w:sz w:val="24"/>
              </w:rPr>
              <w:t xml:space="preserve"> w ryn</w:t>
            </w:r>
            <w:r w:rsidRPr="00E26EF6">
              <w:rPr>
                <w:rFonts w:ascii="Times New Roman" w:hAnsi="Times New Roman"/>
                <w:sz w:val="24"/>
              </w:rPr>
              <w:t>kowych instrumentach dłużnych podlegające metodzie terminów zapadalności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339 ust.</w:t>
            </w:r>
            <w:r w:rsidR="00023409" w:rsidRPr="00E26EF6">
              <w:rPr>
                <w:rFonts w:ascii="Times New Roman" w:hAnsi="Times New Roman"/>
                <w:sz w:val="24"/>
              </w:rPr>
              <w:t> </w:t>
            </w:r>
            <w:r w:rsidRPr="00E26EF6">
              <w:rPr>
                <w:rFonts w:ascii="Times New Roman" w:hAnsi="Times New Roman"/>
                <w:sz w:val="24"/>
              </w:rPr>
              <w:t>1–8 CRR oraz odpowiadające wymogi</w:t>
            </w:r>
            <w:r w:rsidR="00E26EF6" w:rsidRPr="00E26EF6">
              <w:rPr>
                <w:rFonts w:ascii="Times New Roman" w:hAnsi="Times New Roman"/>
                <w:sz w:val="24"/>
              </w:rPr>
              <w:t xml:space="preserve"> w zak</w:t>
            </w:r>
            <w:r w:rsidRPr="00E26EF6">
              <w:rPr>
                <w:rFonts w:ascii="Times New Roman" w:hAnsi="Times New Roman"/>
                <w:sz w:val="24"/>
              </w:rPr>
              <w:t>resie funduszy własnych obliczone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339 ust.</w:t>
            </w:r>
            <w:r w:rsidR="00023409" w:rsidRPr="00E26EF6">
              <w:rPr>
                <w:rFonts w:ascii="Times New Roman" w:hAnsi="Times New Roman"/>
                <w:sz w:val="24"/>
              </w:rPr>
              <w:t> </w:t>
            </w:r>
            <w:r w:rsidRPr="00E26EF6">
              <w:rPr>
                <w:rFonts w:ascii="Times New Roman" w:hAnsi="Times New Roman"/>
                <w:sz w:val="24"/>
              </w:rPr>
              <w:t>9 CRR. Pozycję dzieli się według stref 1, 2</w:t>
            </w:r>
            <w:r w:rsidR="00E26EF6" w:rsidRPr="00E26EF6">
              <w:rPr>
                <w:rFonts w:ascii="Times New Roman" w:hAnsi="Times New Roman"/>
                <w:sz w:val="24"/>
              </w:rPr>
              <w:t xml:space="preserve"> i 3</w:t>
            </w:r>
            <w:r w:rsidRPr="00E26EF6">
              <w:rPr>
                <w:rFonts w:ascii="Times New Roman" w:hAnsi="Times New Roman"/>
                <w:sz w:val="24"/>
              </w:rPr>
              <w:t>, po czym strefy te dzieli się według terminu zapadalności instrumentów.</w:t>
            </w:r>
          </w:p>
        </w:tc>
      </w:tr>
      <w:tr w:rsidR="00915077" w:rsidRPr="00E26EF6" w14:paraId="401470EE" w14:textId="77777777" w:rsidTr="00672D2A">
        <w:tc>
          <w:tcPr>
            <w:tcW w:w="987" w:type="dxa"/>
          </w:tcPr>
          <w:p w14:paraId="77C4748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210–240</w:t>
            </w:r>
          </w:p>
        </w:tc>
        <w:tc>
          <w:tcPr>
            <w:tcW w:w="7875" w:type="dxa"/>
          </w:tcPr>
          <w:p w14:paraId="46B670F9" w14:textId="7777777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b/>
                <w:bCs/>
                <w:sz w:val="24"/>
                <w:u w:val="single"/>
              </w:rPr>
              <w:t>RYZYKO OGÓLNE. PODEJŚCIE OPARTE NA DURACJI</w:t>
            </w:r>
          </w:p>
          <w:p w14:paraId="656A74EC" w14:textId="532691DD" w:rsidR="00915077" w:rsidRPr="00E26EF6" w:rsidRDefault="000B0B09">
            <w:pPr>
              <w:rPr>
                <w:rFonts w:ascii="Times New Roman" w:hAnsi="Times New Roman"/>
                <w:b/>
                <w:bCs/>
                <w:sz w:val="24"/>
                <w:highlight w:val="lightGray"/>
                <w:u w:val="single"/>
              </w:rPr>
            </w:pPr>
            <w:r w:rsidRPr="00E26EF6">
              <w:rPr>
                <w:rFonts w:ascii="Times New Roman" w:hAnsi="Times New Roman"/>
                <w:sz w:val="24"/>
              </w:rPr>
              <w:t>Pozycje</w:t>
            </w:r>
            <w:r w:rsidR="00E26EF6" w:rsidRPr="00E26EF6">
              <w:rPr>
                <w:rFonts w:ascii="Times New Roman" w:hAnsi="Times New Roman"/>
                <w:sz w:val="24"/>
              </w:rPr>
              <w:t xml:space="preserve"> w ryn</w:t>
            </w:r>
            <w:r w:rsidRPr="00E26EF6">
              <w:rPr>
                <w:rFonts w:ascii="Times New Roman" w:hAnsi="Times New Roman"/>
                <w:sz w:val="24"/>
              </w:rPr>
              <w:t>kowych instrumentach dłużnych podlegające podejściu opartemu na duracji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340 ust.</w:t>
            </w:r>
            <w:r w:rsidR="00023409" w:rsidRPr="00E26EF6">
              <w:rPr>
                <w:rFonts w:ascii="Times New Roman" w:hAnsi="Times New Roman"/>
                <w:sz w:val="24"/>
              </w:rPr>
              <w:t> </w:t>
            </w:r>
            <w:r w:rsidRPr="00E26EF6">
              <w:rPr>
                <w:rFonts w:ascii="Times New Roman" w:hAnsi="Times New Roman"/>
                <w:sz w:val="24"/>
              </w:rPr>
              <w:t>1–6 CRR oraz odpowiadające wymogi</w:t>
            </w:r>
            <w:r w:rsidR="00E26EF6" w:rsidRPr="00E26EF6">
              <w:rPr>
                <w:rFonts w:ascii="Times New Roman" w:hAnsi="Times New Roman"/>
                <w:sz w:val="24"/>
              </w:rPr>
              <w:t xml:space="preserve"> w zak</w:t>
            </w:r>
            <w:r w:rsidRPr="00E26EF6">
              <w:rPr>
                <w:rFonts w:ascii="Times New Roman" w:hAnsi="Times New Roman"/>
                <w:sz w:val="24"/>
              </w:rPr>
              <w:t>resie funduszy własnych obliczone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340 ust.</w:t>
            </w:r>
            <w:r w:rsidR="00023409" w:rsidRPr="00E26EF6">
              <w:rPr>
                <w:rFonts w:ascii="Times New Roman" w:hAnsi="Times New Roman"/>
                <w:sz w:val="24"/>
              </w:rPr>
              <w:t> </w:t>
            </w:r>
            <w:r w:rsidRPr="00E26EF6">
              <w:rPr>
                <w:rFonts w:ascii="Times New Roman" w:hAnsi="Times New Roman"/>
                <w:sz w:val="24"/>
              </w:rPr>
              <w:t>7 CRR. Pozycję dzieli się według stref 1, 2</w:t>
            </w:r>
            <w:r w:rsidR="00E26EF6" w:rsidRPr="00E26EF6">
              <w:rPr>
                <w:rFonts w:ascii="Times New Roman" w:hAnsi="Times New Roman"/>
                <w:sz w:val="24"/>
              </w:rPr>
              <w:t xml:space="preserve"> i 3</w:t>
            </w:r>
            <w:r w:rsidRPr="00E26EF6">
              <w:rPr>
                <w:rFonts w:ascii="Times New Roman" w:hAnsi="Times New Roman"/>
                <w:sz w:val="24"/>
              </w:rPr>
              <w:t>.</w:t>
            </w:r>
          </w:p>
        </w:tc>
      </w:tr>
      <w:tr w:rsidR="00915077" w:rsidRPr="00E26EF6" w14:paraId="56133F49" w14:textId="77777777" w:rsidTr="00672D2A">
        <w:tc>
          <w:tcPr>
            <w:tcW w:w="987" w:type="dxa"/>
          </w:tcPr>
          <w:p w14:paraId="6B3D2337"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250</w:t>
            </w:r>
          </w:p>
        </w:tc>
        <w:tc>
          <w:tcPr>
            <w:tcW w:w="7875" w:type="dxa"/>
          </w:tcPr>
          <w:p w14:paraId="237CDD22"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RYZYKO SZCZEGÓLNE</w:t>
            </w:r>
          </w:p>
          <w:p w14:paraId="06C0BA9E" w14:textId="23FB5EC4" w:rsidR="00915077" w:rsidRPr="00E26EF6" w:rsidRDefault="000B0B09">
            <w:pPr>
              <w:rPr>
                <w:rFonts w:ascii="Times New Roman" w:hAnsi="Times New Roman"/>
                <w:sz w:val="24"/>
              </w:rPr>
            </w:pPr>
            <w:r w:rsidRPr="00E26EF6">
              <w:rPr>
                <w:rFonts w:ascii="Times New Roman" w:hAnsi="Times New Roman"/>
                <w:sz w:val="24"/>
              </w:rPr>
              <w:t>Suma kwot zgłoszonych</w:t>
            </w:r>
            <w:r w:rsidR="00E26EF6" w:rsidRPr="00E26EF6">
              <w:rPr>
                <w:rFonts w:ascii="Times New Roman" w:hAnsi="Times New Roman"/>
                <w:sz w:val="24"/>
              </w:rPr>
              <w:t xml:space="preserve"> w wie</w:t>
            </w:r>
            <w:r w:rsidRPr="00E26EF6">
              <w:rPr>
                <w:rFonts w:ascii="Times New Roman" w:hAnsi="Times New Roman"/>
                <w:sz w:val="24"/>
              </w:rPr>
              <w:t>rszach 251, 325</w:t>
            </w:r>
            <w:r w:rsidR="00E26EF6" w:rsidRPr="00E26EF6">
              <w:rPr>
                <w:rFonts w:ascii="Times New Roman" w:hAnsi="Times New Roman"/>
                <w:sz w:val="24"/>
              </w:rPr>
              <w:t xml:space="preserve"> i 3</w:t>
            </w:r>
            <w:r w:rsidRPr="00E26EF6">
              <w:rPr>
                <w:rFonts w:ascii="Times New Roman" w:hAnsi="Times New Roman"/>
                <w:sz w:val="24"/>
              </w:rPr>
              <w:t xml:space="preserve">30. </w:t>
            </w:r>
          </w:p>
          <w:p w14:paraId="3C48F607" w14:textId="32C5BCE0" w:rsidR="00915077" w:rsidRPr="00E26EF6" w:rsidRDefault="000B0B09">
            <w:pPr>
              <w:rPr>
                <w:rFonts w:ascii="Times New Roman" w:hAnsi="Times New Roman"/>
                <w:b/>
                <w:bCs/>
                <w:sz w:val="24"/>
                <w:highlight w:val="lightGray"/>
                <w:u w:val="single"/>
              </w:rPr>
            </w:pPr>
            <w:r w:rsidRPr="00E26EF6">
              <w:rPr>
                <w:rFonts w:ascii="Times New Roman" w:hAnsi="Times New Roman"/>
                <w:sz w:val="24"/>
              </w:rPr>
              <w:t>Pozycje</w:t>
            </w:r>
            <w:r w:rsidR="00E26EF6" w:rsidRPr="00E26EF6">
              <w:rPr>
                <w:rFonts w:ascii="Times New Roman" w:hAnsi="Times New Roman"/>
                <w:sz w:val="24"/>
              </w:rPr>
              <w:t xml:space="preserve"> w ryn</w:t>
            </w:r>
            <w:r w:rsidRPr="00E26EF6">
              <w:rPr>
                <w:rFonts w:ascii="Times New Roman" w:hAnsi="Times New Roman"/>
                <w:sz w:val="24"/>
              </w:rPr>
              <w:t>kowych instrumentach dłużnych podlegające szczególnemu ryzyku wymogów kapitałowych oraz odpowiadające im wymogi kapitałowe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92 ust.</w:t>
            </w:r>
            <w:r w:rsidR="00023409" w:rsidRPr="00E26EF6">
              <w:rPr>
                <w:rFonts w:ascii="Times New Roman" w:hAnsi="Times New Roman"/>
                <w:sz w:val="24"/>
              </w:rPr>
              <w:t> </w:t>
            </w:r>
            <w:r w:rsidRPr="00E26EF6">
              <w:rPr>
                <w:rFonts w:ascii="Times New Roman" w:hAnsi="Times New Roman"/>
                <w:sz w:val="24"/>
              </w:rPr>
              <w:t xml:space="preserve">3 lit b) oraz </w:t>
            </w:r>
            <w:r w:rsidRPr="00E26EF6">
              <w:rPr>
                <w:rFonts w:ascii="Times New Roman" w:hAnsi="Times New Roman"/>
                <w:sz w:val="24"/>
              </w:rPr>
              <w:lastRenderedPageBreak/>
              <w:t>art.</w:t>
            </w:r>
            <w:r w:rsidR="00023409" w:rsidRPr="00E26EF6">
              <w:rPr>
                <w:rFonts w:ascii="Times New Roman" w:hAnsi="Times New Roman"/>
                <w:sz w:val="24"/>
              </w:rPr>
              <w:t> </w:t>
            </w:r>
            <w:r w:rsidRPr="00E26EF6">
              <w:rPr>
                <w:rFonts w:ascii="Times New Roman" w:hAnsi="Times New Roman"/>
                <w:sz w:val="24"/>
              </w:rPr>
              <w:t>335, art.</w:t>
            </w:r>
            <w:r w:rsidR="00023409" w:rsidRPr="00E26EF6">
              <w:rPr>
                <w:rFonts w:ascii="Times New Roman" w:hAnsi="Times New Roman"/>
                <w:sz w:val="24"/>
              </w:rPr>
              <w:t> </w:t>
            </w:r>
            <w:r w:rsidRPr="00E26EF6">
              <w:rPr>
                <w:rFonts w:ascii="Times New Roman" w:hAnsi="Times New Roman"/>
                <w:sz w:val="24"/>
              </w:rPr>
              <w:t>336 ust.</w:t>
            </w:r>
            <w:r w:rsidR="00023409" w:rsidRPr="00E26EF6">
              <w:rPr>
                <w:rFonts w:ascii="Times New Roman" w:hAnsi="Times New Roman"/>
                <w:sz w:val="24"/>
              </w:rPr>
              <w:t> </w:t>
            </w:r>
            <w:r w:rsidRPr="00E26EF6">
              <w:rPr>
                <w:rFonts w:ascii="Times New Roman" w:hAnsi="Times New Roman"/>
                <w:sz w:val="24"/>
              </w:rPr>
              <w:t>1, 2, 3, oraz art.</w:t>
            </w:r>
            <w:r w:rsidR="00023409" w:rsidRPr="00E26EF6">
              <w:rPr>
                <w:rFonts w:ascii="Times New Roman" w:hAnsi="Times New Roman"/>
                <w:sz w:val="24"/>
              </w:rPr>
              <w:t> </w:t>
            </w:r>
            <w:r w:rsidRPr="00E26EF6">
              <w:rPr>
                <w:rFonts w:ascii="Times New Roman" w:hAnsi="Times New Roman"/>
                <w:sz w:val="24"/>
              </w:rPr>
              <w:t>337</w:t>
            </w:r>
            <w:r w:rsidR="00E26EF6" w:rsidRPr="00E26EF6">
              <w:rPr>
                <w:rFonts w:ascii="Times New Roman" w:hAnsi="Times New Roman"/>
                <w:sz w:val="24"/>
              </w:rPr>
              <w:t xml:space="preserve"> i 3</w:t>
            </w:r>
            <w:r w:rsidRPr="00E26EF6">
              <w:rPr>
                <w:rFonts w:ascii="Times New Roman" w:hAnsi="Times New Roman"/>
                <w:sz w:val="24"/>
              </w:rPr>
              <w:t>38 CRR. Należy również mieć na uwadze art.</w:t>
            </w:r>
            <w:r w:rsidR="00023409" w:rsidRPr="00E26EF6">
              <w:rPr>
                <w:rFonts w:ascii="Times New Roman" w:hAnsi="Times New Roman"/>
                <w:sz w:val="24"/>
              </w:rPr>
              <w:t> </w:t>
            </w:r>
            <w:r w:rsidRPr="00E26EF6">
              <w:rPr>
                <w:rFonts w:ascii="Times New Roman" w:hAnsi="Times New Roman"/>
                <w:sz w:val="24"/>
              </w:rPr>
              <w:t>327 ust.</w:t>
            </w:r>
            <w:r w:rsidR="00023409" w:rsidRPr="00E26EF6">
              <w:rPr>
                <w:rFonts w:ascii="Times New Roman" w:hAnsi="Times New Roman"/>
                <w:sz w:val="24"/>
              </w:rPr>
              <w:t> </w:t>
            </w:r>
            <w:r w:rsidRPr="00E26EF6">
              <w:rPr>
                <w:rFonts w:ascii="Times New Roman" w:hAnsi="Times New Roman"/>
                <w:sz w:val="24"/>
              </w:rPr>
              <w:t>1 zdanie ostatnie CRR.</w:t>
            </w:r>
          </w:p>
        </w:tc>
      </w:tr>
      <w:tr w:rsidR="00915077" w:rsidRPr="00E26EF6" w14:paraId="592D5F2E" w14:textId="77777777" w:rsidTr="00672D2A">
        <w:tc>
          <w:tcPr>
            <w:tcW w:w="987" w:type="dxa"/>
          </w:tcPr>
          <w:p w14:paraId="3B6FBE1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251–321</w:t>
            </w:r>
          </w:p>
        </w:tc>
        <w:tc>
          <w:tcPr>
            <w:tcW w:w="7875" w:type="dxa"/>
          </w:tcPr>
          <w:p w14:paraId="48DB7741" w14:textId="5AA9129F"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Wymóg</w:t>
            </w:r>
            <w:r w:rsidR="00E26EF6" w:rsidRPr="00E26EF6">
              <w:rPr>
                <w:rFonts w:ascii="Times New Roman" w:hAnsi="Times New Roman"/>
                <w:b/>
                <w:bCs/>
                <w:sz w:val="24"/>
                <w:u w:val="single"/>
              </w:rPr>
              <w:t xml:space="preserve"> w zak</w:t>
            </w:r>
            <w:r w:rsidRPr="00E26EF6">
              <w:rPr>
                <w:rFonts w:ascii="Times New Roman" w:hAnsi="Times New Roman"/>
                <w:b/>
                <w:bCs/>
                <w:sz w:val="24"/>
                <w:u w:val="single"/>
              </w:rPr>
              <w:t>resie funduszy własnych</w:t>
            </w:r>
            <w:r w:rsidR="00E26EF6" w:rsidRPr="00E26EF6">
              <w:rPr>
                <w:rFonts w:ascii="Times New Roman" w:hAnsi="Times New Roman"/>
                <w:b/>
                <w:bCs/>
                <w:sz w:val="24"/>
                <w:u w:val="single"/>
              </w:rPr>
              <w:t xml:space="preserve"> w odn</w:t>
            </w:r>
            <w:r w:rsidRPr="00E26EF6">
              <w:rPr>
                <w:rFonts w:ascii="Times New Roman" w:hAnsi="Times New Roman"/>
                <w:b/>
                <w:bCs/>
                <w:sz w:val="24"/>
                <w:u w:val="single"/>
              </w:rPr>
              <w:t>iesieniu do instrumentów dłużnych niestanowiących pozycji sekurytyzacyjnych</w:t>
            </w:r>
          </w:p>
          <w:p w14:paraId="51195B9D" w14:textId="797B401E" w:rsidR="00915077" w:rsidRPr="00E26EF6" w:rsidRDefault="000B0B09">
            <w:pPr>
              <w:rPr>
                <w:rFonts w:ascii="Times New Roman" w:hAnsi="Times New Roman"/>
                <w:sz w:val="24"/>
              </w:rPr>
            </w:pPr>
            <w:r w:rsidRPr="00E26EF6">
              <w:rPr>
                <w:rFonts w:ascii="Times New Roman" w:hAnsi="Times New Roman"/>
                <w:sz w:val="24"/>
              </w:rPr>
              <w:t>Suma kwot zgłoszonych</w:t>
            </w:r>
            <w:r w:rsidR="00E26EF6" w:rsidRPr="00E26EF6">
              <w:rPr>
                <w:rFonts w:ascii="Times New Roman" w:hAnsi="Times New Roman"/>
                <w:sz w:val="24"/>
              </w:rPr>
              <w:t xml:space="preserve"> w wie</w:t>
            </w:r>
            <w:r w:rsidRPr="00E26EF6">
              <w:rPr>
                <w:rFonts w:ascii="Times New Roman" w:hAnsi="Times New Roman"/>
                <w:sz w:val="24"/>
              </w:rPr>
              <w:t>rszach 260–321.</w:t>
            </w:r>
          </w:p>
          <w:p w14:paraId="28AB4B51" w14:textId="7B67B73F" w:rsidR="00915077" w:rsidRPr="00E26EF6" w:rsidRDefault="000B0B09">
            <w:pPr>
              <w:rPr>
                <w:rFonts w:ascii="Times New Roman" w:hAnsi="Times New Roman"/>
                <w:sz w:val="24"/>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kapitału własnego dotyczące kredytowych instrumentów pochodnych uruchamianych n-tym niewykonaniem zobowiązania, które nie posiadają zewnętrznej oceny ratingowej, oblicza się, sumując wagi ryzyka podmiotów referencyjnych (art.</w:t>
            </w:r>
            <w:r w:rsidR="00023409" w:rsidRPr="00E26EF6">
              <w:rPr>
                <w:rFonts w:ascii="Times New Roman" w:hAnsi="Times New Roman"/>
                <w:sz w:val="24"/>
              </w:rPr>
              <w:t> </w:t>
            </w:r>
            <w:r w:rsidRPr="00E26EF6">
              <w:rPr>
                <w:rFonts w:ascii="Times New Roman" w:hAnsi="Times New Roman"/>
                <w:sz w:val="24"/>
              </w:rPr>
              <w:t>332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e) CRR oraz art.</w:t>
            </w:r>
            <w:r w:rsidR="00023409" w:rsidRPr="00E26EF6">
              <w:rPr>
                <w:rFonts w:ascii="Times New Roman" w:hAnsi="Times New Roman"/>
                <w:sz w:val="24"/>
              </w:rPr>
              <w:t> </w:t>
            </w:r>
            <w:r w:rsidRPr="00E26EF6">
              <w:rPr>
                <w:rFonts w:ascii="Times New Roman" w:hAnsi="Times New Roman"/>
                <w:sz w:val="24"/>
              </w:rPr>
              <w:t>332 ust.</w:t>
            </w:r>
            <w:r w:rsidR="00023409" w:rsidRPr="00E26EF6">
              <w:rPr>
                <w:rFonts w:ascii="Times New Roman" w:hAnsi="Times New Roman"/>
                <w:sz w:val="24"/>
              </w:rPr>
              <w:t> </w:t>
            </w:r>
            <w:r w:rsidRPr="00E26EF6">
              <w:rPr>
                <w:rFonts w:ascii="Times New Roman" w:hAnsi="Times New Roman"/>
                <w:sz w:val="24"/>
              </w:rPr>
              <w:t>1 akapit drugi CRR – „pełny przegląd”). Kredytowe instrumenty pochodne uruchamiane n-tym niewykonaniem zobowiązania posiadające zewnętrzną ocenę ratingową (art.</w:t>
            </w:r>
            <w:r w:rsidR="00023409" w:rsidRPr="00E26EF6">
              <w:rPr>
                <w:rFonts w:ascii="Times New Roman" w:hAnsi="Times New Roman"/>
                <w:sz w:val="24"/>
              </w:rPr>
              <w:t> </w:t>
            </w:r>
            <w:r w:rsidRPr="00E26EF6">
              <w:rPr>
                <w:rFonts w:ascii="Times New Roman" w:hAnsi="Times New Roman"/>
                <w:sz w:val="24"/>
              </w:rPr>
              <w:t>332 ust.</w:t>
            </w:r>
            <w:r w:rsidR="00023409" w:rsidRPr="00E26EF6">
              <w:rPr>
                <w:rFonts w:ascii="Times New Roman" w:hAnsi="Times New Roman"/>
                <w:sz w:val="24"/>
              </w:rPr>
              <w:t> </w:t>
            </w:r>
            <w:r w:rsidRPr="00E26EF6">
              <w:rPr>
                <w:rFonts w:ascii="Times New Roman" w:hAnsi="Times New Roman"/>
                <w:sz w:val="24"/>
              </w:rPr>
              <w:t>1 akapit trzeci CRR) zgłasza się oddzielnie</w:t>
            </w:r>
            <w:r w:rsidR="00E26EF6" w:rsidRPr="00E26EF6">
              <w:rPr>
                <w:rFonts w:ascii="Times New Roman" w:hAnsi="Times New Roman"/>
                <w:sz w:val="24"/>
              </w:rPr>
              <w:t xml:space="preserve"> w wie</w:t>
            </w:r>
            <w:r w:rsidRPr="00E26EF6">
              <w:rPr>
                <w:rFonts w:ascii="Times New Roman" w:hAnsi="Times New Roman"/>
                <w:sz w:val="24"/>
              </w:rPr>
              <w:t xml:space="preserve">rszu 321. </w:t>
            </w:r>
          </w:p>
          <w:p w14:paraId="7D406BCD" w14:textId="40502DC5" w:rsidR="00915077" w:rsidRPr="00E26EF6" w:rsidRDefault="000B0B09">
            <w:pPr>
              <w:rPr>
                <w:rFonts w:ascii="Times New Roman" w:hAnsi="Times New Roman"/>
                <w:sz w:val="24"/>
              </w:rPr>
            </w:pPr>
            <w:r w:rsidRPr="00E26EF6">
              <w:rPr>
                <w:rFonts w:ascii="Times New Roman" w:hAnsi="Times New Roman"/>
                <w:sz w:val="24"/>
              </w:rPr>
              <w:t>Zgłaszanie pozycji podlegających przepisom art.</w:t>
            </w:r>
            <w:r w:rsidR="00023409" w:rsidRPr="00E26EF6">
              <w:rPr>
                <w:rFonts w:ascii="Times New Roman" w:hAnsi="Times New Roman"/>
                <w:sz w:val="24"/>
              </w:rPr>
              <w:t> </w:t>
            </w:r>
            <w:r w:rsidRPr="00E26EF6">
              <w:rPr>
                <w:rFonts w:ascii="Times New Roman" w:hAnsi="Times New Roman"/>
                <w:sz w:val="24"/>
              </w:rPr>
              <w:t>336 ust.</w:t>
            </w:r>
            <w:r w:rsidR="00023409" w:rsidRPr="00E26EF6">
              <w:rPr>
                <w:rFonts w:ascii="Times New Roman" w:hAnsi="Times New Roman"/>
                <w:sz w:val="24"/>
              </w:rPr>
              <w:t> </w:t>
            </w:r>
            <w:r w:rsidRPr="00E26EF6">
              <w:rPr>
                <w:rFonts w:ascii="Times New Roman" w:hAnsi="Times New Roman"/>
                <w:sz w:val="24"/>
              </w:rPr>
              <w:t>3 CRR: Obligacje kwalifikujące się do wagi ryzyka równej 10</w:t>
            </w:r>
            <w:r w:rsidR="00023409" w:rsidRPr="00E26EF6">
              <w:rPr>
                <w:rFonts w:ascii="Times New Roman" w:hAnsi="Times New Roman"/>
                <w:sz w:val="24"/>
              </w:rPr>
              <w:t> </w:t>
            </w:r>
            <w:r w:rsidRPr="00E26EF6">
              <w:rPr>
                <w:rFonts w:ascii="Times New Roman" w:hAnsi="Times New Roman"/>
                <w:sz w:val="24"/>
              </w:rPr>
              <w:t>%</w:t>
            </w:r>
            <w:r w:rsidR="00E26EF6" w:rsidRPr="00E26EF6">
              <w:rPr>
                <w:rFonts w:ascii="Times New Roman" w:hAnsi="Times New Roman"/>
                <w:sz w:val="24"/>
              </w:rPr>
              <w:t xml:space="preserve"> w por</w:t>
            </w:r>
            <w:r w:rsidRPr="00E26EF6">
              <w:rPr>
                <w:rFonts w:ascii="Times New Roman" w:hAnsi="Times New Roman"/>
                <w:sz w:val="24"/>
              </w:rPr>
              <w:t>tfelu bankowym wymagają specjalnego ujęcia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129 ust.</w:t>
            </w:r>
            <w:r w:rsidR="00023409" w:rsidRPr="00E26EF6">
              <w:rPr>
                <w:rFonts w:ascii="Times New Roman" w:hAnsi="Times New Roman"/>
                <w:sz w:val="24"/>
              </w:rPr>
              <w:t> </w:t>
            </w:r>
            <w:r w:rsidRPr="00E26EF6">
              <w:rPr>
                <w:rFonts w:ascii="Times New Roman" w:hAnsi="Times New Roman"/>
                <w:sz w:val="24"/>
              </w:rPr>
              <w:t>3 CRR (obligacje zabezpieczone). Określone wymogi</w:t>
            </w:r>
            <w:r w:rsidR="00E26EF6" w:rsidRPr="00E26EF6">
              <w:rPr>
                <w:rFonts w:ascii="Times New Roman" w:hAnsi="Times New Roman"/>
                <w:sz w:val="24"/>
              </w:rPr>
              <w:t xml:space="preserve"> w zak</w:t>
            </w:r>
            <w:r w:rsidRPr="00E26EF6">
              <w:rPr>
                <w:rFonts w:ascii="Times New Roman" w:hAnsi="Times New Roman"/>
                <w:sz w:val="24"/>
              </w:rPr>
              <w:t>resie funduszy własnych odpowiadają połowie odsetka drugiej kategorii</w:t>
            </w:r>
            <w:r w:rsidR="00E26EF6" w:rsidRPr="00E26EF6">
              <w:rPr>
                <w:rFonts w:ascii="Times New Roman" w:hAnsi="Times New Roman"/>
                <w:sz w:val="24"/>
              </w:rPr>
              <w:t xml:space="preserve"> w tab</w:t>
            </w:r>
            <w:r w:rsidRPr="00E26EF6">
              <w:rPr>
                <w:rFonts w:ascii="Times New Roman" w:hAnsi="Times New Roman"/>
                <w:sz w:val="24"/>
              </w:rPr>
              <w:t>eli 1</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336 CRR. Pozycje te muszą być przypisane do wierszy 280–300 odpowiednio do okresu pozostałego do ostatecznego terminu zapadalności.</w:t>
            </w:r>
          </w:p>
          <w:p w14:paraId="176001AF" w14:textId="6B3B6CAC" w:rsidR="00915077" w:rsidRPr="00E26EF6" w:rsidRDefault="00F41508">
            <w:pPr>
              <w:rPr>
                <w:rFonts w:ascii="Times New Roman" w:hAnsi="Times New Roman"/>
                <w:b/>
                <w:bCs/>
                <w:sz w:val="24"/>
                <w:highlight w:val="lightGray"/>
                <w:u w:val="single"/>
              </w:rPr>
            </w:pPr>
            <w:r w:rsidRPr="00E26EF6">
              <w:rPr>
                <w:rFonts w:ascii="Times New Roman" w:hAnsi="Times New Roman"/>
                <w:sz w:val="24"/>
              </w:rPr>
              <w:t>Jeżeli ryzyko ogólne pozycji ryzyka stopy procentowej jest zabezpieczone kredytowym instrumentem pochodnym, stosuje się art.</w:t>
            </w:r>
            <w:r w:rsidR="00023409" w:rsidRPr="00E26EF6">
              <w:rPr>
                <w:rFonts w:ascii="Times New Roman" w:hAnsi="Times New Roman"/>
                <w:sz w:val="24"/>
              </w:rPr>
              <w:t> </w:t>
            </w:r>
            <w:r w:rsidRPr="00E26EF6">
              <w:rPr>
                <w:rFonts w:ascii="Times New Roman" w:hAnsi="Times New Roman"/>
                <w:sz w:val="24"/>
              </w:rPr>
              <w:t>346</w:t>
            </w:r>
            <w:r w:rsidR="00E26EF6" w:rsidRPr="00E26EF6">
              <w:rPr>
                <w:rFonts w:ascii="Times New Roman" w:hAnsi="Times New Roman"/>
                <w:sz w:val="24"/>
              </w:rPr>
              <w:t xml:space="preserve"> i 3</w:t>
            </w:r>
            <w:r w:rsidRPr="00E26EF6">
              <w:rPr>
                <w:rFonts w:ascii="Times New Roman" w:hAnsi="Times New Roman"/>
                <w:sz w:val="24"/>
              </w:rPr>
              <w:t xml:space="preserve">47 CRR. </w:t>
            </w:r>
          </w:p>
        </w:tc>
      </w:tr>
      <w:tr w:rsidR="00915077" w:rsidRPr="00E26EF6" w14:paraId="17067F13" w14:textId="77777777" w:rsidTr="00672D2A">
        <w:tc>
          <w:tcPr>
            <w:tcW w:w="987" w:type="dxa"/>
          </w:tcPr>
          <w:p w14:paraId="3CA941ED" w14:textId="77777777" w:rsidR="00915077" w:rsidRPr="00E26EF6" w:rsidDel="00F27BD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325</w:t>
            </w:r>
          </w:p>
        </w:tc>
        <w:tc>
          <w:tcPr>
            <w:tcW w:w="7875" w:type="dxa"/>
          </w:tcPr>
          <w:p w14:paraId="4452EF3F" w14:textId="5B479B55"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Wymogi</w:t>
            </w:r>
            <w:r w:rsidR="00E26EF6" w:rsidRPr="00E26EF6">
              <w:rPr>
                <w:rFonts w:ascii="Times New Roman" w:hAnsi="Times New Roman"/>
                <w:b/>
                <w:bCs/>
                <w:sz w:val="24"/>
                <w:u w:val="single"/>
              </w:rPr>
              <w:t xml:space="preserve"> w zak</w:t>
            </w:r>
            <w:r w:rsidRPr="00E26EF6">
              <w:rPr>
                <w:rFonts w:ascii="Times New Roman" w:hAnsi="Times New Roman"/>
                <w:b/>
                <w:bCs/>
                <w:sz w:val="24"/>
                <w:u w:val="single"/>
              </w:rPr>
              <w:t>resie funduszy własnych</w:t>
            </w:r>
            <w:r w:rsidR="00E26EF6" w:rsidRPr="00E26EF6">
              <w:rPr>
                <w:rFonts w:ascii="Times New Roman" w:hAnsi="Times New Roman"/>
                <w:b/>
                <w:bCs/>
                <w:sz w:val="24"/>
                <w:u w:val="single"/>
              </w:rPr>
              <w:t xml:space="preserve"> w odn</w:t>
            </w:r>
            <w:r w:rsidRPr="00E26EF6">
              <w:rPr>
                <w:rFonts w:ascii="Times New Roman" w:hAnsi="Times New Roman"/>
                <w:b/>
                <w:bCs/>
                <w:sz w:val="24"/>
                <w:u w:val="single"/>
              </w:rPr>
              <w:t>iesieniu do instrumentów stanowiących pozycje sekurytyzacyjne</w:t>
            </w:r>
          </w:p>
          <w:p w14:paraId="1126C2A9" w14:textId="69A0E266" w:rsidR="00915077" w:rsidRPr="00E26EF6" w:rsidDel="00F27BD6" w:rsidRDefault="000B0B09">
            <w:pPr>
              <w:rPr>
                <w:rFonts w:ascii="Times New Roman" w:hAnsi="Times New Roman"/>
                <w:b/>
                <w:bCs/>
                <w:sz w:val="24"/>
                <w:highlight w:val="lightGray"/>
                <w:u w:val="single"/>
              </w:rPr>
            </w:pPr>
            <w:r w:rsidRPr="00E26EF6">
              <w:rPr>
                <w:rFonts w:ascii="Times New Roman" w:hAnsi="Times New Roman"/>
                <w:sz w:val="24"/>
              </w:rPr>
              <w:t>Całkowite wymogi</w:t>
            </w:r>
            <w:r w:rsidR="00E26EF6" w:rsidRPr="00E26EF6">
              <w:rPr>
                <w:rFonts w:ascii="Times New Roman" w:hAnsi="Times New Roman"/>
                <w:sz w:val="24"/>
              </w:rPr>
              <w:t xml:space="preserve"> w zak</w:t>
            </w:r>
            <w:r w:rsidRPr="00E26EF6">
              <w:rPr>
                <w:rFonts w:ascii="Times New Roman" w:hAnsi="Times New Roman"/>
                <w:sz w:val="24"/>
              </w:rPr>
              <w:t>resie funduszy własnych zgłoszone</w:t>
            </w:r>
            <w:r w:rsidR="00E26EF6" w:rsidRPr="00E26EF6">
              <w:rPr>
                <w:rFonts w:ascii="Times New Roman" w:hAnsi="Times New Roman"/>
                <w:sz w:val="24"/>
              </w:rPr>
              <w:t xml:space="preserve"> w kol</w:t>
            </w:r>
            <w:r w:rsidRPr="00E26EF6">
              <w:rPr>
                <w:rFonts w:ascii="Times New Roman" w:hAnsi="Times New Roman"/>
                <w:sz w:val="24"/>
              </w:rPr>
              <w:t>umnie 610 wzoru MKR SA SEC. Te całkowite wymogi</w:t>
            </w:r>
            <w:r w:rsidR="00E26EF6" w:rsidRPr="00E26EF6">
              <w:rPr>
                <w:rFonts w:ascii="Times New Roman" w:hAnsi="Times New Roman"/>
                <w:sz w:val="24"/>
              </w:rPr>
              <w:t xml:space="preserve"> w zak</w:t>
            </w:r>
            <w:r w:rsidRPr="00E26EF6">
              <w:rPr>
                <w:rFonts w:ascii="Times New Roman" w:hAnsi="Times New Roman"/>
                <w:sz w:val="24"/>
              </w:rPr>
              <w:t>resie funduszy własnych zgłasza się wyłącznie na poziomie pozycji „Razem” wzoru MKR SA TDI.</w:t>
            </w:r>
          </w:p>
        </w:tc>
      </w:tr>
      <w:tr w:rsidR="00915077" w:rsidRPr="00E26EF6" w14:paraId="55601A85" w14:textId="77777777" w:rsidTr="00672D2A">
        <w:tc>
          <w:tcPr>
            <w:tcW w:w="987" w:type="dxa"/>
          </w:tcPr>
          <w:p w14:paraId="6F45BFC9" w14:textId="77777777" w:rsidR="00915077" w:rsidRPr="00E26EF6" w:rsidDel="00F27BD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330</w:t>
            </w:r>
          </w:p>
        </w:tc>
        <w:tc>
          <w:tcPr>
            <w:tcW w:w="7875" w:type="dxa"/>
          </w:tcPr>
          <w:p w14:paraId="61DB7196" w14:textId="46A9BB3B"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Wymóg</w:t>
            </w:r>
            <w:r w:rsidR="00E26EF6" w:rsidRPr="00E26EF6">
              <w:rPr>
                <w:rFonts w:ascii="Times New Roman" w:hAnsi="Times New Roman"/>
                <w:b/>
                <w:bCs/>
                <w:sz w:val="24"/>
                <w:u w:val="single"/>
              </w:rPr>
              <w:t xml:space="preserve"> w zak</w:t>
            </w:r>
            <w:r w:rsidRPr="00E26EF6">
              <w:rPr>
                <w:rFonts w:ascii="Times New Roman" w:hAnsi="Times New Roman"/>
                <w:b/>
                <w:bCs/>
                <w:sz w:val="24"/>
                <w:u w:val="single"/>
              </w:rPr>
              <w:t>resie funduszy własnych dla korelacyjnego portfela handlowego</w:t>
            </w:r>
          </w:p>
          <w:p w14:paraId="50472B97" w14:textId="72CC8548" w:rsidR="00915077" w:rsidRPr="00E26EF6" w:rsidDel="00F27BD6" w:rsidRDefault="000B0B09">
            <w:pPr>
              <w:rPr>
                <w:rFonts w:ascii="Times New Roman" w:hAnsi="Times New Roman"/>
                <w:b/>
                <w:bCs/>
                <w:sz w:val="24"/>
                <w:highlight w:val="lightGray"/>
                <w:u w:val="single"/>
              </w:rPr>
            </w:pPr>
            <w:r w:rsidRPr="00E26EF6">
              <w:rPr>
                <w:rFonts w:ascii="Times New Roman" w:hAnsi="Times New Roman"/>
                <w:sz w:val="24"/>
              </w:rPr>
              <w:t>Całkowite wymogi</w:t>
            </w:r>
            <w:r w:rsidR="00E26EF6" w:rsidRPr="00E26EF6">
              <w:rPr>
                <w:rFonts w:ascii="Times New Roman" w:hAnsi="Times New Roman"/>
                <w:sz w:val="24"/>
              </w:rPr>
              <w:t xml:space="preserve"> w zak</w:t>
            </w:r>
            <w:r w:rsidRPr="00E26EF6">
              <w:rPr>
                <w:rFonts w:ascii="Times New Roman" w:hAnsi="Times New Roman"/>
                <w:sz w:val="24"/>
              </w:rPr>
              <w:t>resie funduszy własnych zgłoszone</w:t>
            </w:r>
            <w:r w:rsidR="00E26EF6" w:rsidRPr="00E26EF6">
              <w:rPr>
                <w:rFonts w:ascii="Times New Roman" w:hAnsi="Times New Roman"/>
                <w:sz w:val="24"/>
              </w:rPr>
              <w:t xml:space="preserve"> w kol</w:t>
            </w:r>
            <w:r w:rsidRPr="00E26EF6">
              <w:rPr>
                <w:rFonts w:ascii="Times New Roman" w:hAnsi="Times New Roman"/>
                <w:sz w:val="24"/>
              </w:rPr>
              <w:t>umnie 450 wzoru MKR SA CTP. Te całkowite wymogi</w:t>
            </w:r>
            <w:r w:rsidR="00E26EF6" w:rsidRPr="00E26EF6">
              <w:rPr>
                <w:rFonts w:ascii="Times New Roman" w:hAnsi="Times New Roman"/>
                <w:sz w:val="24"/>
              </w:rPr>
              <w:t xml:space="preserve"> w zak</w:t>
            </w:r>
            <w:r w:rsidRPr="00E26EF6">
              <w:rPr>
                <w:rFonts w:ascii="Times New Roman" w:hAnsi="Times New Roman"/>
                <w:sz w:val="24"/>
              </w:rPr>
              <w:t>resie funduszy własnych zgłasza się wyłącznie na poziomie pozycji „Razem” wzoru MKR SA TDI.</w:t>
            </w:r>
          </w:p>
        </w:tc>
      </w:tr>
      <w:tr w:rsidR="00915077" w:rsidRPr="00E26EF6" w14:paraId="3E08FD25" w14:textId="77777777" w:rsidTr="00672D2A">
        <w:tc>
          <w:tcPr>
            <w:tcW w:w="987" w:type="dxa"/>
          </w:tcPr>
          <w:p w14:paraId="62E631E9"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350–390</w:t>
            </w:r>
          </w:p>
        </w:tc>
        <w:tc>
          <w:tcPr>
            <w:tcW w:w="7875" w:type="dxa"/>
          </w:tcPr>
          <w:p w14:paraId="3415B06E" w14:textId="77777777" w:rsidR="00915077" w:rsidRPr="00E26EF6" w:rsidRDefault="000B0B09">
            <w:pPr>
              <w:autoSpaceDE w:val="0"/>
              <w:autoSpaceDN w:val="0"/>
              <w:adjustRightInd w:val="0"/>
              <w:spacing w:before="0" w:after="0"/>
              <w:rPr>
                <w:rStyle w:val="InstructionsTabelleberschrift"/>
                <w:rFonts w:ascii="Times New Roman" w:hAnsi="Times New Roman"/>
                <w:sz w:val="24"/>
              </w:rPr>
            </w:pPr>
            <w:r w:rsidRPr="00E26EF6">
              <w:rPr>
                <w:rStyle w:val="InstructionsTabelleberschrift"/>
                <w:rFonts w:ascii="Times New Roman" w:hAnsi="Times New Roman"/>
                <w:sz w:val="24"/>
              </w:rPr>
              <w:t xml:space="preserve">DODATKOWE WYMOGI W ZAKRESIE OPCJI (RYZYKA INNE NIŻ RYZYKO DELTA) </w:t>
            </w:r>
          </w:p>
          <w:p w14:paraId="06492815" w14:textId="0555D41E" w:rsidR="00915077" w:rsidRPr="00E26EF6" w:rsidRDefault="000B0B09">
            <w:pPr>
              <w:rPr>
                <w:rFonts w:ascii="Times New Roman" w:hAnsi="Times New Roman"/>
                <w:sz w:val="24"/>
              </w:rPr>
            </w:pPr>
            <w:r w:rsidRPr="00E26EF6">
              <w:rPr>
                <w:rFonts w:ascii="Times New Roman" w:hAnsi="Times New Roman"/>
                <w:sz w:val="24"/>
              </w:rPr>
              <w:t>Art. 329 ust. 3 CRR</w:t>
            </w:r>
          </w:p>
          <w:p w14:paraId="176CA52A" w14:textId="49C47C02" w:rsidR="00915077" w:rsidRPr="00E26EF6" w:rsidRDefault="000B0B09">
            <w:pPr>
              <w:rPr>
                <w:rFonts w:ascii="Times New Roman" w:hAnsi="Times New Roman"/>
                <w:bCs/>
                <w:sz w:val="24"/>
              </w:rPr>
            </w:pPr>
            <w:r w:rsidRPr="00E26EF6">
              <w:rPr>
                <w:rFonts w:ascii="Times New Roman" w:hAnsi="Times New Roman"/>
                <w:sz w:val="24"/>
              </w:rPr>
              <w:t>Dodatkowe wymogi</w:t>
            </w:r>
            <w:r w:rsidR="00E26EF6" w:rsidRPr="00E26EF6">
              <w:rPr>
                <w:rFonts w:ascii="Times New Roman" w:hAnsi="Times New Roman"/>
                <w:sz w:val="24"/>
              </w:rPr>
              <w:t xml:space="preserve"> w zak</w:t>
            </w:r>
            <w:r w:rsidRPr="00E26EF6">
              <w:rPr>
                <w:rFonts w:ascii="Times New Roman" w:hAnsi="Times New Roman"/>
                <w:sz w:val="24"/>
              </w:rPr>
              <w:t>resie opcji związane</w:t>
            </w:r>
            <w:r w:rsidR="00E26EF6" w:rsidRPr="00E26EF6">
              <w:rPr>
                <w:rFonts w:ascii="Times New Roman" w:hAnsi="Times New Roman"/>
                <w:sz w:val="24"/>
              </w:rPr>
              <w:t xml:space="preserve"> z ryz</w:t>
            </w:r>
            <w:r w:rsidRPr="00E26EF6">
              <w:rPr>
                <w:rFonts w:ascii="Times New Roman" w:hAnsi="Times New Roman"/>
                <w:sz w:val="24"/>
              </w:rPr>
              <w:t>ykami innymi niż ryzyko delta zgłasza się</w:t>
            </w:r>
            <w:r w:rsidR="00E26EF6" w:rsidRPr="00E26EF6">
              <w:rPr>
                <w:rFonts w:ascii="Times New Roman" w:hAnsi="Times New Roman"/>
                <w:sz w:val="24"/>
              </w:rPr>
              <w:t xml:space="preserve"> w pod</w:t>
            </w:r>
            <w:r w:rsidRPr="00E26EF6">
              <w:rPr>
                <w:rFonts w:ascii="Times New Roman" w:hAnsi="Times New Roman"/>
                <w:sz w:val="24"/>
              </w:rPr>
              <w:t>ziale na metodę stosowaną do ich obliczenia.</w:t>
            </w:r>
          </w:p>
        </w:tc>
      </w:tr>
    </w:tbl>
    <w:p w14:paraId="79E459D1" w14:textId="77777777" w:rsidR="00915077" w:rsidRPr="00E26EF6" w:rsidRDefault="00915077">
      <w:pPr>
        <w:autoSpaceDE w:val="0"/>
        <w:autoSpaceDN w:val="0"/>
        <w:adjustRightInd w:val="0"/>
        <w:spacing w:before="0" w:after="0"/>
        <w:rPr>
          <w:rFonts w:ascii="Times New Roman" w:hAnsi="Times New Roman"/>
          <w:bCs/>
          <w:sz w:val="24"/>
        </w:rPr>
      </w:pPr>
    </w:p>
    <w:p w14:paraId="48569DE9"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87" w:name="_Toc31014384"/>
      <w:r w:rsidRPr="00E26EF6">
        <w:rPr>
          <w:rFonts w:ascii="Times New Roman" w:hAnsi="Times New Roman"/>
          <w:sz w:val="24"/>
          <w:u w:val="none"/>
        </w:rPr>
        <w:t>5.2.</w:t>
      </w:r>
      <w:r w:rsidRPr="00E26EF6">
        <w:rPr>
          <w:rFonts w:ascii="Times New Roman" w:hAnsi="Times New Roman"/>
          <w:sz w:val="24"/>
          <w:u w:val="none"/>
        </w:rPr>
        <w:tab/>
      </w:r>
      <w:r w:rsidRPr="00E26EF6">
        <w:rPr>
          <w:rFonts w:ascii="Times New Roman" w:hAnsi="Times New Roman"/>
          <w:sz w:val="24"/>
        </w:rPr>
        <w:t>C 19.00 – RYZYKO RYNKOWE: SZCZEGÓLNE RYZYKO Z TYTUŁU SEKURYTYZACJI WEDŁUG METODY STANDARDOWEJ (MKR SA SEC)</w:t>
      </w:r>
      <w:bookmarkEnd w:id="87"/>
    </w:p>
    <w:p w14:paraId="3DF4DE91"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88" w:name="_Toc31014385"/>
      <w:r w:rsidRPr="00E26EF6">
        <w:rPr>
          <w:rFonts w:ascii="Times New Roman" w:hAnsi="Times New Roman"/>
          <w:sz w:val="24"/>
          <w:u w:val="none"/>
        </w:rPr>
        <w:t>5.2.1.</w:t>
      </w:r>
      <w:r w:rsidRPr="00E26EF6">
        <w:rPr>
          <w:rFonts w:ascii="Times New Roman" w:hAnsi="Times New Roman"/>
          <w:sz w:val="24"/>
          <w:u w:val="none"/>
        </w:rPr>
        <w:tab/>
      </w:r>
      <w:r w:rsidRPr="00E26EF6">
        <w:rPr>
          <w:rFonts w:ascii="Times New Roman" w:hAnsi="Times New Roman"/>
          <w:sz w:val="24"/>
        </w:rPr>
        <w:t>Uwagi ogólne</w:t>
      </w:r>
      <w:bookmarkEnd w:id="88"/>
    </w:p>
    <w:p w14:paraId="760B423B" w14:textId="3DCAD315" w:rsidR="00915077" w:rsidRPr="00E26EF6" w:rsidRDefault="00FC6275">
      <w:pPr>
        <w:pStyle w:val="InstructionsText2"/>
        <w:numPr>
          <w:ilvl w:val="0"/>
          <w:numId w:val="0"/>
        </w:numPr>
        <w:ind w:left="993"/>
      </w:pPr>
      <w:r w:rsidRPr="00E26EF6">
        <w:t>141.</w:t>
      </w:r>
      <w:r w:rsidRPr="00E26EF6">
        <w:tab/>
        <w:t xml:space="preserve"> W przedmiotowym wzorze należy przedstawić informacje</w:t>
      </w:r>
      <w:r w:rsidR="00E26EF6" w:rsidRPr="00E26EF6">
        <w:t xml:space="preserve"> o poz</w:t>
      </w:r>
      <w:r w:rsidRPr="00E26EF6">
        <w:t>ycjach (wszystkich/netto</w:t>
      </w:r>
      <w:r w:rsidR="00E26EF6" w:rsidRPr="00E26EF6">
        <w:t xml:space="preserve"> i dłu</w:t>
      </w:r>
      <w:r w:rsidRPr="00E26EF6">
        <w:t>gich/krótkich)</w:t>
      </w:r>
      <w:r w:rsidR="00E26EF6" w:rsidRPr="00E26EF6">
        <w:t xml:space="preserve"> i pow</w:t>
      </w:r>
      <w:r w:rsidRPr="00E26EF6">
        <w:t>iązanych wymogach</w:t>
      </w:r>
      <w:r w:rsidR="00E26EF6" w:rsidRPr="00E26EF6">
        <w:t xml:space="preserve"> w zak</w:t>
      </w:r>
      <w:r w:rsidRPr="00E26EF6">
        <w:t>resie funduszy własnych odnoszących się do elementu ryzyka szczególnego</w:t>
      </w:r>
      <w:r w:rsidR="00E26EF6" w:rsidRPr="00E26EF6">
        <w:t xml:space="preserve"> w ram</w:t>
      </w:r>
      <w:r w:rsidRPr="00E26EF6">
        <w:t>ach ryzyka pozycji</w:t>
      </w:r>
      <w:r w:rsidR="00E26EF6" w:rsidRPr="00E26EF6">
        <w:t xml:space="preserve"> z tyt</w:t>
      </w:r>
      <w:r w:rsidRPr="00E26EF6">
        <w:t>ułu sekurytyzacji/resekurytyzacji przechowywanych</w:t>
      </w:r>
      <w:r w:rsidR="00E26EF6" w:rsidRPr="00E26EF6">
        <w:t xml:space="preserve"> w por</w:t>
      </w:r>
      <w:r w:rsidRPr="00E26EF6">
        <w:t>tfelu handlowym (niekwalifikujących się do ujęcia</w:t>
      </w:r>
      <w:r w:rsidR="00E26EF6" w:rsidRPr="00E26EF6">
        <w:t xml:space="preserve"> w kor</w:t>
      </w:r>
      <w:r w:rsidRPr="00E26EF6">
        <w:t>elacyjnym portfelu handlowym) zgodnie</w:t>
      </w:r>
      <w:r w:rsidR="00E26EF6" w:rsidRPr="00E26EF6">
        <w:t xml:space="preserve"> z met</w:t>
      </w:r>
      <w:r w:rsidRPr="00E26EF6">
        <w:t xml:space="preserve">odą standardową. </w:t>
      </w:r>
    </w:p>
    <w:p w14:paraId="28F8BE4E" w14:textId="12E61E89" w:rsidR="00915077" w:rsidRPr="00E26EF6" w:rsidRDefault="00FC6275">
      <w:pPr>
        <w:pStyle w:val="InstructionsText2"/>
        <w:numPr>
          <w:ilvl w:val="0"/>
          <w:numId w:val="0"/>
        </w:numPr>
        <w:ind w:left="993"/>
      </w:pPr>
      <w:r w:rsidRPr="00E26EF6">
        <w:t>142.</w:t>
      </w:r>
      <w:r w:rsidRPr="00E26EF6">
        <w:tab/>
        <w:t xml:space="preserve"> We wzorze MKR SA SEC przedstawia się wymogi</w:t>
      </w:r>
      <w:r w:rsidR="00E26EF6" w:rsidRPr="00E26EF6">
        <w:t xml:space="preserve"> w zak</w:t>
      </w:r>
      <w:r w:rsidRPr="00E26EF6">
        <w:t>resie funduszy własnych wyłącznie</w:t>
      </w:r>
      <w:r w:rsidR="00E26EF6" w:rsidRPr="00E26EF6">
        <w:t xml:space="preserve"> w odn</w:t>
      </w:r>
      <w:r w:rsidRPr="00E26EF6">
        <w:t>iesieniu do ryzyka szczególnego</w:t>
      </w:r>
      <w:r w:rsidR="00E26EF6" w:rsidRPr="00E26EF6">
        <w:t xml:space="preserve"> w ram</w:t>
      </w:r>
      <w:r w:rsidRPr="00E26EF6">
        <w:t>ach ryzyka pozycji, zgodnie</w:t>
      </w:r>
      <w:r w:rsidR="00E26EF6" w:rsidRPr="00E26EF6">
        <w:t xml:space="preserve"> z art</w:t>
      </w:r>
      <w:r w:rsidRPr="00E26EF6">
        <w:t>.</w:t>
      </w:r>
      <w:r w:rsidR="00023409" w:rsidRPr="00E26EF6">
        <w:t> </w:t>
      </w:r>
      <w:r w:rsidRPr="00E26EF6">
        <w:t>335</w:t>
      </w:r>
      <w:r w:rsidR="00E26EF6" w:rsidRPr="00E26EF6">
        <w:t xml:space="preserve"> w zwi</w:t>
      </w:r>
      <w:r w:rsidRPr="00E26EF6">
        <w:t>ązku</w:t>
      </w:r>
      <w:r w:rsidR="00E26EF6" w:rsidRPr="00E26EF6">
        <w:t xml:space="preserve"> z art</w:t>
      </w:r>
      <w:r w:rsidRPr="00E26EF6">
        <w:t>.</w:t>
      </w:r>
      <w:r w:rsidR="00023409" w:rsidRPr="00E26EF6">
        <w:t> </w:t>
      </w:r>
      <w:r w:rsidRPr="00E26EF6">
        <w:t>337 CRR. Jeżeli pozycje sekurytyzacyjne</w:t>
      </w:r>
      <w:r w:rsidR="00E26EF6" w:rsidRPr="00E26EF6">
        <w:t xml:space="preserve"> w por</w:t>
      </w:r>
      <w:r w:rsidRPr="00E26EF6">
        <w:t>t</w:t>
      </w:r>
      <w:r w:rsidRPr="00E26EF6">
        <w:lastRenderedPageBreak/>
        <w:t>felu handlowym są zabezpieczone kredytowymi instrumentami pochodnymi, zastosowanie mają przepisy art.</w:t>
      </w:r>
      <w:r w:rsidR="00023409" w:rsidRPr="00E26EF6">
        <w:t> </w:t>
      </w:r>
      <w:r w:rsidRPr="00E26EF6">
        <w:t>346</w:t>
      </w:r>
      <w:r w:rsidR="00E26EF6" w:rsidRPr="00E26EF6">
        <w:t xml:space="preserve"> i 3</w:t>
      </w:r>
      <w:r w:rsidRPr="00E26EF6">
        <w:t>47 CRR</w:t>
      </w:r>
      <w:r w:rsidR="00E26EF6" w:rsidRPr="00E26EF6">
        <w:t>. W odn</w:t>
      </w:r>
      <w:r w:rsidRPr="00E26EF6">
        <w:t>iesieniu do wszystkich pozycji</w:t>
      </w:r>
      <w:r w:rsidR="00E26EF6" w:rsidRPr="00E26EF6">
        <w:t xml:space="preserve"> w por</w:t>
      </w:r>
      <w:r w:rsidRPr="00E26EF6">
        <w:t>tfelu handlowym stosuje się ten sam wzór, niezależnie od metody stosowanej przez instytucje przy ustalaniu wagi ryzyka każdej pozycji zgodnie</w:t>
      </w:r>
      <w:r w:rsidR="00E26EF6" w:rsidRPr="00E26EF6">
        <w:t xml:space="preserve"> z czę</w:t>
      </w:r>
      <w:r w:rsidRPr="00E26EF6">
        <w:t>ścią trzecią tytuł II rozdział 5 CRR. Wymogi</w:t>
      </w:r>
      <w:r w:rsidR="00E26EF6" w:rsidRPr="00E26EF6">
        <w:t xml:space="preserve"> w zak</w:t>
      </w:r>
      <w:r w:rsidRPr="00E26EF6">
        <w:t>resie funduszy własnych</w:t>
      </w:r>
      <w:r w:rsidR="00E26EF6" w:rsidRPr="00E26EF6">
        <w:t xml:space="preserve"> w odn</w:t>
      </w:r>
      <w:r w:rsidRPr="00E26EF6">
        <w:t>iesieniu do ryzyka ogólnego tych pozycji zgłasza się przy pomocy wzoru MKR SA TDI lub wzoru MKR IM.</w:t>
      </w:r>
    </w:p>
    <w:p w14:paraId="69A98D53" w14:textId="18B8FC8D" w:rsidR="00915077" w:rsidRPr="00E26EF6" w:rsidRDefault="00FC6275">
      <w:pPr>
        <w:pStyle w:val="InstructionsText2"/>
        <w:numPr>
          <w:ilvl w:val="0"/>
          <w:numId w:val="0"/>
        </w:numPr>
        <w:ind w:left="993"/>
      </w:pPr>
      <w:r w:rsidRPr="00E26EF6">
        <w:t>143. Pozycje, którym przypisywana jest waga ryzyka 1 250</w:t>
      </w:r>
      <w:r w:rsidR="00023409" w:rsidRPr="00E26EF6">
        <w:t> </w:t>
      </w:r>
      <w:r w:rsidRPr="00E26EF6">
        <w:t>%, mogą alternatywnie zostać odliczone od kapitału podstawowego Tier I (zob. art.</w:t>
      </w:r>
      <w:r w:rsidR="00023409" w:rsidRPr="00E26EF6">
        <w:t> </w:t>
      </w:r>
      <w:r w:rsidRPr="00E26EF6">
        <w:t>244 ust.</w:t>
      </w:r>
      <w:r w:rsidR="00023409" w:rsidRPr="00E26EF6">
        <w:t> </w:t>
      </w:r>
      <w:r w:rsidRPr="00E26EF6">
        <w:t>1 lit.</w:t>
      </w:r>
      <w:r w:rsidR="00023409" w:rsidRPr="00E26EF6">
        <w:t> </w:t>
      </w:r>
      <w:r w:rsidRPr="00E26EF6">
        <w:t>b), art.</w:t>
      </w:r>
      <w:r w:rsidR="00023409" w:rsidRPr="00E26EF6">
        <w:t> </w:t>
      </w:r>
      <w:r w:rsidRPr="00E26EF6">
        <w:t>245 ust.</w:t>
      </w:r>
      <w:r w:rsidR="00023409" w:rsidRPr="00E26EF6">
        <w:t> </w:t>
      </w:r>
      <w:r w:rsidRPr="00E26EF6">
        <w:t>1 lit.</w:t>
      </w:r>
      <w:r w:rsidR="00023409" w:rsidRPr="00E26EF6">
        <w:t> </w:t>
      </w:r>
      <w:r w:rsidRPr="00E26EF6">
        <w:t>b) oraz art.</w:t>
      </w:r>
      <w:r w:rsidR="00023409" w:rsidRPr="00E26EF6">
        <w:t> </w:t>
      </w:r>
      <w:r w:rsidRPr="00E26EF6">
        <w:t>253 CRR)</w:t>
      </w:r>
      <w:r w:rsidR="00E26EF6" w:rsidRPr="00E26EF6">
        <w:t>. W tak</w:t>
      </w:r>
      <w:r w:rsidRPr="00E26EF6">
        <w:t>im przypadku pozycje te zgłasza się</w:t>
      </w:r>
      <w:r w:rsidR="00E26EF6" w:rsidRPr="00E26EF6">
        <w:t xml:space="preserve"> w wie</w:t>
      </w:r>
      <w:r w:rsidRPr="00E26EF6">
        <w:t>rszu 460 we wzorze CA1.</w:t>
      </w:r>
    </w:p>
    <w:p w14:paraId="289FA4F0"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89" w:name="_Toc31014386"/>
      <w:r w:rsidRPr="00E26EF6">
        <w:rPr>
          <w:rFonts w:ascii="Times New Roman" w:hAnsi="Times New Roman"/>
          <w:sz w:val="24"/>
          <w:u w:val="none"/>
        </w:rPr>
        <w:t>5.2.2.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915077" w:rsidRPr="00E26EF6" w14:paraId="52E34CC6" w14:textId="77777777" w:rsidTr="00E10B85">
        <w:trPr>
          <w:trHeight w:val="631"/>
        </w:trPr>
        <w:tc>
          <w:tcPr>
            <w:tcW w:w="9018" w:type="dxa"/>
            <w:gridSpan w:val="2"/>
            <w:shd w:val="clear" w:color="auto" w:fill="CCCCCC"/>
          </w:tcPr>
          <w:p w14:paraId="0F87415D" w14:textId="77777777" w:rsidR="00915077" w:rsidRPr="00E26EF6" w:rsidRDefault="00C55547">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Kolumny</w:t>
            </w:r>
          </w:p>
        </w:tc>
      </w:tr>
      <w:tr w:rsidR="00915077" w:rsidRPr="00E26EF6" w14:paraId="799318A8" w14:textId="77777777" w:rsidTr="00E10B85">
        <w:tc>
          <w:tcPr>
            <w:tcW w:w="1144" w:type="dxa"/>
          </w:tcPr>
          <w:p w14:paraId="75052669"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010–020</w:t>
            </w:r>
          </w:p>
        </w:tc>
        <w:tc>
          <w:tcPr>
            <w:tcW w:w="7874" w:type="dxa"/>
          </w:tcPr>
          <w:p w14:paraId="619F8C38"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WSZYSTKIE POZYCJE (DŁUGIE I KRÓTKIE)</w:t>
            </w:r>
          </w:p>
          <w:p w14:paraId="682F4C68" w14:textId="1CC3CCA3" w:rsidR="00915077" w:rsidRPr="00E26EF6" w:rsidRDefault="00C55547">
            <w:pPr>
              <w:rPr>
                <w:rFonts w:ascii="Times New Roman" w:hAnsi="Times New Roman"/>
                <w:sz w:val="24"/>
                <w:highlight w:val="lightGray"/>
              </w:rPr>
            </w:pPr>
            <w:r w:rsidRPr="00E26EF6">
              <w:rPr>
                <w:rFonts w:ascii="Times New Roman" w:hAnsi="Times New Roman"/>
                <w:sz w:val="24"/>
              </w:rPr>
              <w:t>Art.</w:t>
            </w:r>
            <w:r w:rsidRPr="00E26EF6">
              <w:rPr>
                <w:rStyle w:val="InstructionsTabelleText"/>
                <w:rFonts w:ascii="Times New Roman" w:hAnsi="Times New Roman"/>
                <w:sz w:val="24"/>
              </w:rPr>
              <w:t xml:space="preserve"> 102</w:t>
            </w:r>
            <w:r w:rsidR="00E26EF6" w:rsidRPr="00E26EF6">
              <w:rPr>
                <w:rStyle w:val="InstructionsTabelleText"/>
                <w:rFonts w:ascii="Times New Roman" w:hAnsi="Times New Roman"/>
                <w:sz w:val="24"/>
              </w:rPr>
              <w:t xml:space="preserve"> i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105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CRR</w:t>
            </w:r>
            <w:r w:rsidR="00E26EF6" w:rsidRPr="00E26EF6">
              <w:rPr>
                <w:rStyle w:val="InstructionsTabelleText"/>
                <w:rFonts w:ascii="Times New Roman" w:hAnsi="Times New Roman"/>
                <w:sz w:val="24"/>
              </w:rPr>
              <w:t xml:space="preserve"> w poł</w:t>
            </w:r>
            <w:r w:rsidRPr="00E26EF6">
              <w:rPr>
                <w:rStyle w:val="InstructionsTabelleText"/>
                <w:rFonts w:ascii="Times New Roman" w:hAnsi="Times New Roman"/>
                <w:sz w:val="24"/>
              </w:rPr>
              <w:t>ączeniu</w:t>
            </w:r>
            <w:r w:rsidR="00E26EF6" w:rsidRPr="00E26EF6">
              <w:rPr>
                <w:rStyle w:val="InstructionsTabelleText"/>
                <w:rFonts w:ascii="Times New Roman" w:hAnsi="Times New Roman"/>
                <w:sz w:val="24"/>
              </w:rPr>
              <w:t xml:space="preserve"> z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337 CRR (pozycje sekurytyzacyjne)</w:t>
            </w:r>
            <w:r w:rsidR="00E26EF6" w:rsidRPr="00E26EF6">
              <w:rPr>
                <w:rStyle w:val="InstructionsTabelleText"/>
                <w:rFonts w:ascii="Times New Roman" w:hAnsi="Times New Roman"/>
                <w:sz w:val="24"/>
              </w:rPr>
              <w:t>. W kwe</w:t>
            </w:r>
            <w:r w:rsidRPr="00E26EF6">
              <w:rPr>
                <w:rStyle w:val="InstructionsTabelleText"/>
                <w:rFonts w:ascii="Times New Roman" w:hAnsi="Times New Roman"/>
                <w:sz w:val="24"/>
              </w:rPr>
              <w:t>stii rozróżnienia pomiędzy pozycjami długimi</w:t>
            </w:r>
            <w:r w:rsidR="00E26EF6" w:rsidRPr="00E26EF6">
              <w:rPr>
                <w:rStyle w:val="InstructionsTabelleText"/>
                <w:rFonts w:ascii="Times New Roman" w:hAnsi="Times New Roman"/>
                <w:sz w:val="24"/>
              </w:rPr>
              <w:t xml:space="preserve"> i kró</w:t>
            </w:r>
            <w:r w:rsidRPr="00E26EF6">
              <w:rPr>
                <w:rStyle w:val="InstructionsTabelleText"/>
                <w:rFonts w:ascii="Times New Roman" w:hAnsi="Times New Roman"/>
                <w:sz w:val="24"/>
              </w:rPr>
              <w:t>tkimi, stosowanego również</w:t>
            </w:r>
            <w:r w:rsidR="00E26EF6" w:rsidRPr="00E26EF6">
              <w:rPr>
                <w:rStyle w:val="InstructionsTabelleText"/>
                <w:rFonts w:ascii="Times New Roman" w:hAnsi="Times New Roman"/>
                <w:sz w:val="24"/>
              </w:rPr>
              <w:t xml:space="preserve"> w odn</w:t>
            </w:r>
            <w:r w:rsidRPr="00E26EF6">
              <w:rPr>
                <w:rStyle w:val="InstructionsTabelleText"/>
                <w:rFonts w:ascii="Times New Roman" w:hAnsi="Times New Roman"/>
                <w:sz w:val="24"/>
              </w:rPr>
              <w:t>iesieniu do pozycji brutto, zob.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328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2 CRR. </w:t>
            </w:r>
          </w:p>
        </w:tc>
      </w:tr>
      <w:tr w:rsidR="00915077" w:rsidRPr="00E26EF6" w14:paraId="6199F4EC" w14:textId="77777777" w:rsidTr="00E10B85">
        <w:tc>
          <w:tcPr>
            <w:tcW w:w="1144" w:type="dxa"/>
          </w:tcPr>
          <w:p w14:paraId="1B25CDEF"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030-040</w:t>
            </w:r>
          </w:p>
        </w:tc>
        <w:tc>
          <w:tcPr>
            <w:tcW w:w="7874" w:type="dxa"/>
          </w:tcPr>
          <w:p w14:paraId="145A08B1"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 POZYCJE ODLICZONE OD FUNDUSZY WŁASNYCH</w:t>
            </w:r>
            <w:r w:rsidRPr="00E26EF6">
              <w:rPr>
                <w:rFonts w:ascii="Times New Roman" w:hAnsi="Times New Roman"/>
                <w:b/>
                <w:bCs/>
                <w:sz w:val="24"/>
                <w:u w:val="single"/>
              </w:rPr>
              <w:t xml:space="preserve"> (DŁUGIE I KRÓTKIE)</w:t>
            </w:r>
          </w:p>
          <w:p w14:paraId="37C026B6" w14:textId="2EE22EEE" w:rsidR="00915077" w:rsidRPr="00E26EF6" w:rsidRDefault="00705025">
            <w:pPr>
              <w:rPr>
                <w:rStyle w:val="InstructionsTabelleText"/>
                <w:rFonts w:ascii="Times New Roman" w:hAnsi="Times New Roman"/>
                <w:sz w:val="24"/>
                <w:highlight w:val="lightGray"/>
              </w:rPr>
            </w:pPr>
            <w:r w:rsidRPr="00E26EF6">
              <w:rPr>
                <w:rStyle w:val="InstructionsTabelleText"/>
                <w:rFonts w:ascii="Times New Roman" w:hAnsi="Times New Roman"/>
                <w:sz w:val="24"/>
              </w:rPr>
              <w:t>Art. 244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245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lit.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b)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253 CRR.</w:t>
            </w:r>
          </w:p>
        </w:tc>
      </w:tr>
      <w:tr w:rsidR="00915077" w:rsidRPr="00E26EF6" w14:paraId="024C5AFF" w14:textId="77777777" w:rsidTr="00E10B85">
        <w:tc>
          <w:tcPr>
            <w:tcW w:w="1144" w:type="dxa"/>
          </w:tcPr>
          <w:p w14:paraId="6A55F5A5"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050-060</w:t>
            </w:r>
          </w:p>
        </w:tc>
        <w:tc>
          <w:tcPr>
            <w:tcW w:w="7874" w:type="dxa"/>
          </w:tcPr>
          <w:p w14:paraId="7EBDBB11"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POZYCJE NETTO</w:t>
            </w:r>
            <w:r w:rsidRPr="00E26EF6">
              <w:rPr>
                <w:rFonts w:ascii="Times New Roman" w:hAnsi="Times New Roman"/>
                <w:b/>
                <w:bCs/>
                <w:sz w:val="24"/>
                <w:u w:val="single"/>
              </w:rPr>
              <w:t xml:space="preserve"> (DŁUGIE I KRÓTKIE)</w:t>
            </w:r>
          </w:p>
          <w:p w14:paraId="574B641C" w14:textId="47FDB789" w:rsidR="00915077" w:rsidRPr="00E26EF6" w:rsidRDefault="00C55547">
            <w:pPr>
              <w:rPr>
                <w:rStyle w:val="InstructionsTabelleText"/>
                <w:rFonts w:ascii="Times New Roman" w:hAnsi="Times New Roman"/>
                <w:sz w:val="24"/>
                <w:highlight w:val="lightGray"/>
              </w:rPr>
            </w:pPr>
            <w:r w:rsidRPr="00E26EF6">
              <w:rPr>
                <w:rFonts w:ascii="Times New Roman" w:hAnsi="Times New Roman"/>
                <w:sz w:val="24"/>
              </w:rPr>
              <w:t>Art.</w:t>
            </w:r>
            <w:r w:rsidRPr="00E26EF6">
              <w:rPr>
                <w:rStyle w:val="InstructionsTabelleText"/>
                <w:rFonts w:ascii="Times New Roman" w:hAnsi="Times New Roman"/>
                <w:sz w:val="24"/>
              </w:rPr>
              <w:t xml:space="preserve"> 327, 328, 329 oraz 334 CRR</w:t>
            </w:r>
            <w:r w:rsidR="00E26EF6" w:rsidRPr="00E26EF6">
              <w:rPr>
                <w:rStyle w:val="InstructionsTabelleText"/>
                <w:rFonts w:ascii="Times New Roman" w:hAnsi="Times New Roman"/>
                <w:sz w:val="24"/>
              </w:rPr>
              <w:t>. W kwe</w:t>
            </w:r>
            <w:r w:rsidRPr="00E26EF6">
              <w:rPr>
                <w:rStyle w:val="InstructionsTabelleText"/>
                <w:rFonts w:ascii="Times New Roman" w:hAnsi="Times New Roman"/>
                <w:sz w:val="24"/>
              </w:rPr>
              <w:t>stii rozróżnienia pomiędzy pozycjami długimi</w:t>
            </w:r>
            <w:r w:rsidR="00E26EF6" w:rsidRPr="00E26EF6">
              <w:rPr>
                <w:rStyle w:val="InstructionsTabelleText"/>
                <w:rFonts w:ascii="Times New Roman" w:hAnsi="Times New Roman"/>
                <w:sz w:val="24"/>
              </w:rPr>
              <w:t xml:space="preserve"> i kró</w:t>
            </w:r>
            <w:r w:rsidRPr="00E26EF6">
              <w:rPr>
                <w:rStyle w:val="InstructionsTabelleText"/>
                <w:rFonts w:ascii="Times New Roman" w:hAnsi="Times New Roman"/>
                <w:sz w:val="24"/>
              </w:rPr>
              <w:t>tkimi, zob.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328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 CRR.</w:t>
            </w:r>
          </w:p>
        </w:tc>
      </w:tr>
      <w:tr w:rsidR="00915077" w:rsidRPr="00E26EF6" w14:paraId="546368FA" w14:textId="77777777" w:rsidTr="00E10B85">
        <w:tc>
          <w:tcPr>
            <w:tcW w:w="1144" w:type="dxa"/>
          </w:tcPr>
          <w:p w14:paraId="464B8D6D"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061-104</w:t>
            </w:r>
          </w:p>
        </w:tc>
        <w:tc>
          <w:tcPr>
            <w:tcW w:w="7874" w:type="dxa"/>
          </w:tcPr>
          <w:p w14:paraId="5B7D6F8E" w14:textId="30FD8284"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PODZIAŁ POZYCJI NETTO WEDŁUG WAG RYZYKA</w:t>
            </w:r>
          </w:p>
          <w:p w14:paraId="4C8A00B9" w14:textId="50E71389" w:rsidR="00915077" w:rsidRPr="00E26EF6" w:rsidRDefault="00C55547">
            <w:pPr>
              <w:rPr>
                <w:rStyle w:val="InstructionsTabelleText"/>
                <w:rFonts w:ascii="Times New Roman" w:hAnsi="Times New Roman"/>
                <w:sz w:val="24"/>
              </w:rPr>
            </w:pPr>
            <w:r w:rsidRPr="00E26EF6">
              <w:rPr>
                <w:rStyle w:val="InstructionsTabelleText"/>
                <w:rFonts w:ascii="Times New Roman" w:hAnsi="Times New Roman"/>
                <w:sz w:val="24"/>
              </w:rPr>
              <w:t>Art. 259–262, tabele 1</w:t>
            </w:r>
            <w:r w:rsidR="00E26EF6" w:rsidRPr="00E26EF6">
              <w:rPr>
                <w:rStyle w:val="InstructionsTabelleText"/>
                <w:rFonts w:ascii="Times New Roman" w:hAnsi="Times New Roman"/>
                <w:sz w:val="24"/>
              </w:rPr>
              <w:t xml:space="preserve"> i 2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263, tabele 3</w:t>
            </w:r>
            <w:r w:rsidR="00E26EF6" w:rsidRPr="00E26EF6">
              <w:rPr>
                <w:rStyle w:val="InstructionsTabelleText"/>
                <w:rFonts w:ascii="Times New Roman" w:hAnsi="Times New Roman"/>
                <w:sz w:val="24"/>
              </w:rPr>
              <w:t xml:space="preserve"> i 4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264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266 CRR. </w:t>
            </w:r>
          </w:p>
          <w:p w14:paraId="76F29C4F" w14:textId="67DF00AB" w:rsidR="00915077" w:rsidRPr="00E26EF6" w:rsidRDefault="00C55547">
            <w:pPr>
              <w:rPr>
                <w:rStyle w:val="InstructionsTabelleText"/>
                <w:rFonts w:ascii="Times New Roman" w:hAnsi="Times New Roman"/>
                <w:sz w:val="24"/>
                <w:highlight w:val="lightGray"/>
              </w:rPr>
            </w:pPr>
            <w:r w:rsidRPr="00E26EF6">
              <w:rPr>
                <w:rStyle w:val="InstructionsTabelleText"/>
                <w:rFonts w:ascii="Times New Roman" w:hAnsi="Times New Roman"/>
                <w:sz w:val="24"/>
              </w:rPr>
              <w:t>Podział przeprowadza się niezależnie dla pozycji długich</w:t>
            </w:r>
            <w:r w:rsidR="00E26EF6" w:rsidRPr="00E26EF6">
              <w:rPr>
                <w:rStyle w:val="InstructionsTabelleText"/>
                <w:rFonts w:ascii="Times New Roman" w:hAnsi="Times New Roman"/>
                <w:sz w:val="24"/>
              </w:rPr>
              <w:t xml:space="preserve"> i kró</w:t>
            </w:r>
            <w:r w:rsidRPr="00E26EF6">
              <w:rPr>
                <w:rStyle w:val="InstructionsTabelleText"/>
                <w:rFonts w:ascii="Times New Roman" w:hAnsi="Times New Roman"/>
                <w:sz w:val="24"/>
              </w:rPr>
              <w:t>tkich.</w:t>
            </w:r>
          </w:p>
        </w:tc>
      </w:tr>
      <w:tr w:rsidR="00915077" w:rsidRPr="00E26EF6" w14:paraId="4849CE02" w14:textId="77777777" w:rsidTr="00E10B85">
        <w:tc>
          <w:tcPr>
            <w:tcW w:w="1144" w:type="dxa"/>
          </w:tcPr>
          <w:p w14:paraId="04BF166A"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402-406</w:t>
            </w:r>
          </w:p>
        </w:tc>
        <w:tc>
          <w:tcPr>
            <w:tcW w:w="7874" w:type="dxa"/>
          </w:tcPr>
          <w:p w14:paraId="31CBA0F3" w14:textId="4539ACE1"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PODZIAŁ POZYCJI NETTO WEDŁUG METOD</w:t>
            </w:r>
          </w:p>
          <w:p w14:paraId="5E0A32C0" w14:textId="2170528B" w:rsidR="00915077" w:rsidRPr="00E26EF6" w:rsidRDefault="00C55547">
            <w:pPr>
              <w:rPr>
                <w:rFonts w:ascii="Times New Roman" w:hAnsi="Times New Roman"/>
                <w:b/>
                <w:bCs/>
                <w:sz w:val="24"/>
                <w:highlight w:val="lightGray"/>
                <w:u w:val="single"/>
              </w:rPr>
            </w:pPr>
            <w:r w:rsidRPr="00E26EF6">
              <w:rPr>
                <w:rFonts w:ascii="Times New Roman" w:hAnsi="Times New Roman"/>
                <w:sz w:val="24"/>
              </w:rPr>
              <w:t xml:space="preserve">Art. </w:t>
            </w:r>
            <w:r w:rsidRPr="00E26EF6">
              <w:rPr>
                <w:rStyle w:val="InstructionsTabelleText"/>
                <w:rFonts w:ascii="Times New Roman" w:hAnsi="Times New Roman"/>
                <w:sz w:val="24"/>
              </w:rPr>
              <w:t xml:space="preserve">254 CRR </w:t>
            </w:r>
          </w:p>
        </w:tc>
      </w:tr>
      <w:tr w:rsidR="00915077" w:rsidRPr="00E26EF6" w14:paraId="04E9E548" w14:textId="77777777" w:rsidTr="00E10B85">
        <w:tc>
          <w:tcPr>
            <w:tcW w:w="1144" w:type="dxa"/>
          </w:tcPr>
          <w:p w14:paraId="52710FE5"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402</w:t>
            </w:r>
          </w:p>
        </w:tc>
        <w:tc>
          <w:tcPr>
            <w:tcW w:w="7874" w:type="dxa"/>
          </w:tcPr>
          <w:p w14:paraId="567BB6FB"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SEC-IRBA</w:t>
            </w:r>
          </w:p>
          <w:p w14:paraId="021F46C0" w14:textId="51A1A668" w:rsidR="00915077" w:rsidRPr="00E26EF6" w:rsidRDefault="00C55547">
            <w:pPr>
              <w:rPr>
                <w:rFonts w:ascii="Times New Roman" w:hAnsi="Times New Roman"/>
                <w:b/>
                <w:bCs/>
                <w:sz w:val="24"/>
                <w:highlight w:val="lightGray"/>
                <w:u w:val="single"/>
              </w:rPr>
            </w:pPr>
            <w:r w:rsidRPr="00E26EF6">
              <w:rPr>
                <w:rStyle w:val="InstructionsTabelleText"/>
                <w:rFonts w:ascii="Times New Roman" w:hAnsi="Times New Roman"/>
                <w:sz w:val="24"/>
              </w:rPr>
              <w:t>Art. 259</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60 CRR</w:t>
            </w:r>
          </w:p>
        </w:tc>
      </w:tr>
      <w:tr w:rsidR="00915077" w:rsidRPr="00E26EF6" w14:paraId="6AA0D3A8" w14:textId="77777777" w:rsidTr="00E10B85">
        <w:tc>
          <w:tcPr>
            <w:tcW w:w="1144" w:type="dxa"/>
          </w:tcPr>
          <w:p w14:paraId="1C0DB11C"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403</w:t>
            </w:r>
          </w:p>
        </w:tc>
        <w:tc>
          <w:tcPr>
            <w:tcW w:w="7874" w:type="dxa"/>
          </w:tcPr>
          <w:p w14:paraId="54504140"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SEC-SA</w:t>
            </w:r>
          </w:p>
          <w:p w14:paraId="37E5169A" w14:textId="67201154" w:rsidR="00915077" w:rsidRPr="00E26EF6" w:rsidRDefault="00C55547">
            <w:pPr>
              <w:autoSpaceDE w:val="0"/>
              <w:autoSpaceDN w:val="0"/>
              <w:adjustRightInd w:val="0"/>
              <w:jc w:val="left"/>
              <w:rPr>
                <w:rFonts w:ascii="Times New Roman" w:hAnsi="Times New Roman"/>
                <w:b/>
                <w:bCs/>
                <w:sz w:val="24"/>
                <w:highlight w:val="lightGray"/>
                <w:u w:val="single"/>
              </w:rPr>
            </w:pPr>
            <w:r w:rsidRPr="00E26EF6">
              <w:rPr>
                <w:rStyle w:val="InstructionsTabelleText"/>
                <w:rFonts w:ascii="Times New Roman" w:hAnsi="Times New Roman"/>
                <w:sz w:val="24"/>
              </w:rPr>
              <w:t>Art. 261</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62 CRR</w:t>
            </w:r>
          </w:p>
        </w:tc>
      </w:tr>
      <w:tr w:rsidR="00915077" w:rsidRPr="00E26EF6" w14:paraId="7C8171F3" w14:textId="77777777" w:rsidTr="00E10B85">
        <w:tc>
          <w:tcPr>
            <w:tcW w:w="1144" w:type="dxa"/>
          </w:tcPr>
          <w:p w14:paraId="36E4B956"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404</w:t>
            </w:r>
          </w:p>
        </w:tc>
        <w:tc>
          <w:tcPr>
            <w:tcW w:w="7874" w:type="dxa"/>
          </w:tcPr>
          <w:p w14:paraId="7FA6E1E5"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SEC-ERBA</w:t>
            </w:r>
          </w:p>
          <w:p w14:paraId="4BE3C821" w14:textId="52100C96" w:rsidR="00915077" w:rsidRPr="00E26EF6" w:rsidRDefault="00C55547">
            <w:pPr>
              <w:rPr>
                <w:rFonts w:ascii="Times New Roman" w:hAnsi="Times New Roman"/>
                <w:b/>
                <w:bCs/>
                <w:sz w:val="24"/>
                <w:highlight w:val="lightGray"/>
                <w:u w:val="single"/>
              </w:rPr>
            </w:pPr>
            <w:r w:rsidRPr="00E26EF6">
              <w:rPr>
                <w:rStyle w:val="InstructionsTabelleText"/>
                <w:rFonts w:ascii="Times New Roman" w:hAnsi="Times New Roman"/>
                <w:sz w:val="24"/>
              </w:rPr>
              <w:t>Art. 263</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64 CRR</w:t>
            </w:r>
          </w:p>
        </w:tc>
      </w:tr>
      <w:tr w:rsidR="00915077" w:rsidRPr="00E26EF6" w14:paraId="31ABA7E3" w14:textId="77777777" w:rsidTr="00E10B85">
        <w:tc>
          <w:tcPr>
            <w:tcW w:w="1144" w:type="dxa"/>
          </w:tcPr>
          <w:p w14:paraId="0CFD80ED"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405</w:t>
            </w:r>
          </w:p>
        </w:tc>
        <w:tc>
          <w:tcPr>
            <w:tcW w:w="7874" w:type="dxa"/>
          </w:tcPr>
          <w:p w14:paraId="7447AB22"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METODA WEWNĘTRZNYCH OSZACOWAŃ</w:t>
            </w:r>
          </w:p>
          <w:p w14:paraId="68AF8C71" w14:textId="06FBBAF5" w:rsidR="00915077" w:rsidRPr="00E26EF6" w:rsidRDefault="00C55547">
            <w:pPr>
              <w:rPr>
                <w:rFonts w:ascii="Times New Roman" w:hAnsi="Times New Roman"/>
                <w:bCs/>
                <w:sz w:val="24"/>
                <w:highlight w:val="lightGray"/>
                <w:u w:val="single"/>
              </w:rPr>
            </w:pPr>
            <w:r w:rsidRPr="00E26EF6">
              <w:rPr>
                <w:rStyle w:val="InstructionsTabelleText"/>
                <w:rFonts w:ascii="Times New Roman" w:hAnsi="Times New Roman"/>
                <w:sz w:val="24"/>
              </w:rPr>
              <w:t>Art. 254</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65 CRR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266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 CRR.</w:t>
            </w:r>
          </w:p>
        </w:tc>
      </w:tr>
      <w:tr w:rsidR="00915077" w:rsidRPr="00E26EF6" w14:paraId="11417FB2" w14:textId="77777777" w:rsidTr="00E10B85">
        <w:tc>
          <w:tcPr>
            <w:tcW w:w="1144" w:type="dxa"/>
          </w:tcPr>
          <w:p w14:paraId="21548B54"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406</w:t>
            </w:r>
          </w:p>
        </w:tc>
        <w:tc>
          <w:tcPr>
            <w:tcW w:w="7874" w:type="dxa"/>
          </w:tcPr>
          <w:p w14:paraId="4371E384" w14:textId="1A2F3ABF"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INNE (RW = 1 250</w:t>
            </w:r>
            <w:r w:rsidR="00023409" w:rsidRPr="00E26EF6">
              <w:rPr>
                <w:rFonts w:ascii="Times New Roman" w:hAnsi="Times New Roman"/>
                <w:b/>
                <w:bCs/>
                <w:sz w:val="24"/>
                <w:u w:val="single"/>
              </w:rPr>
              <w:t> </w:t>
            </w:r>
            <w:r w:rsidRPr="00E26EF6">
              <w:rPr>
                <w:rFonts w:ascii="Times New Roman" w:hAnsi="Times New Roman"/>
                <w:b/>
                <w:bCs/>
                <w:sz w:val="24"/>
                <w:u w:val="single"/>
              </w:rPr>
              <w:t>%)</w:t>
            </w:r>
          </w:p>
          <w:p w14:paraId="2D4D8058" w14:textId="7ADB34D6" w:rsidR="00915077" w:rsidRPr="00E26EF6" w:rsidRDefault="00C55547">
            <w:pPr>
              <w:rPr>
                <w:rFonts w:ascii="Times New Roman" w:hAnsi="Times New Roman"/>
                <w:b/>
                <w:bCs/>
                <w:sz w:val="24"/>
                <w:highlight w:val="lightGray"/>
                <w:u w:val="single"/>
              </w:rPr>
            </w:pPr>
            <w:r w:rsidRPr="00E26EF6">
              <w:rPr>
                <w:rStyle w:val="InstructionsTabelleText"/>
                <w:rFonts w:ascii="Times New Roman" w:hAnsi="Times New Roman"/>
                <w:sz w:val="24"/>
              </w:rPr>
              <w:t>Art. 254 ust. 7 CRR</w:t>
            </w:r>
          </w:p>
        </w:tc>
      </w:tr>
      <w:tr w:rsidR="00915077" w:rsidRPr="00E26EF6" w14:paraId="2E14A25F" w14:textId="77777777" w:rsidTr="00E10B85">
        <w:tc>
          <w:tcPr>
            <w:tcW w:w="1144" w:type="dxa"/>
          </w:tcPr>
          <w:p w14:paraId="18CC8D55"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530-540</w:t>
            </w:r>
          </w:p>
        </w:tc>
        <w:tc>
          <w:tcPr>
            <w:tcW w:w="7874" w:type="dxa"/>
          </w:tcPr>
          <w:p w14:paraId="7A56BC29" w14:textId="4686DEDE"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OGÓLNY SKUTEK (KOREKTA) WYNIKAJĄCY Z NARUSZENIA PRZEPISÓW ROZDZIAŁU 2 ROZPORZĄDZENIA (UE) 2017/2402</w:t>
            </w:r>
          </w:p>
          <w:p w14:paraId="04042539" w14:textId="2BE104C4" w:rsidR="00915077" w:rsidRPr="00E26EF6" w:rsidRDefault="00C55547">
            <w:pPr>
              <w:rPr>
                <w:rFonts w:ascii="Times New Roman" w:hAnsi="Times New Roman"/>
                <w:b/>
                <w:bCs/>
                <w:sz w:val="24"/>
                <w:highlight w:val="lightGray"/>
                <w:u w:val="single"/>
              </w:rPr>
            </w:pPr>
            <w:r w:rsidRPr="00E26EF6">
              <w:rPr>
                <w:rStyle w:val="InstructionsTabelleText"/>
                <w:rFonts w:ascii="Times New Roman" w:hAnsi="Times New Roman"/>
                <w:sz w:val="24"/>
              </w:rPr>
              <w:t>Art. 270a CRR</w:t>
            </w:r>
          </w:p>
        </w:tc>
      </w:tr>
      <w:tr w:rsidR="00915077" w:rsidRPr="00E26EF6" w14:paraId="3ABCF96D" w14:textId="77777777" w:rsidTr="00E10B85">
        <w:tc>
          <w:tcPr>
            <w:tcW w:w="1144" w:type="dxa"/>
          </w:tcPr>
          <w:p w14:paraId="68A5E5DC"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570</w:t>
            </w:r>
          </w:p>
        </w:tc>
        <w:tc>
          <w:tcPr>
            <w:tcW w:w="7874" w:type="dxa"/>
          </w:tcPr>
          <w:p w14:paraId="3F701079"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 xml:space="preserve">PRZED UWZGLĘDNIENIEM PUŁAPU </w:t>
            </w:r>
          </w:p>
          <w:p w14:paraId="5BCBF683" w14:textId="2C5B1511" w:rsidR="00915077" w:rsidRPr="00E26EF6" w:rsidRDefault="00C55547">
            <w:pPr>
              <w:rPr>
                <w:rFonts w:ascii="Times New Roman" w:hAnsi="Times New Roman"/>
                <w:bCs/>
                <w:sz w:val="24"/>
                <w:highlight w:val="lightGray"/>
              </w:rPr>
            </w:pPr>
            <w:r w:rsidRPr="00E26EF6">
              <w:rPr>
                <w:rFonts w:ascii="Times New Roman" w:hAnsi="Times New Roman"/>
                <w:bCs/>
                <w:sz w:val="24"/>
              </w:rPr>
              <w:t>Art. 337 CRR, nie uwzględniając swobody uznania przewidzianej</w:t>
            </w:r>
            <w:r w:rsidR="00E26EF6" w:rsidRPr="00E26EF6">
              <w:rPr>
                <w:rFonts w:ascii="Times New Roman" w:hAnsi="Times New Roman"/>
                <w:bCs/>
                <w:sz w:val="24"/>
              </w:rPr>
              <w:t xml:space="preserve"> w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335 CRR, na mocy którego instytucja może wprowadzić górne ograniczenie wyniku ważenia</w:t>
            </w:r>
            <w:r w:rsidR="00E26EF6" w:rsidRPr="00E26EF6">
              <w:rPr>
                <w:rFonts w:ascii="Times New Roman" w:hAnsi="Times New Roman"/>
                <w:bCs/>
                <w:sz w:val="24"/>
              </w:rPr>
              <w:t xml:space="preserve"> i poz</w:t>
            </w:r>
            <w:r w:rsidRPr="00E26EF6">
              <w:rPr>
                <w:rFonts w:ascii="Times New Roman" w:hAnsi="Times New Roman"/>
                <w:bCs/>
                <w:sz w:val="24"/>
              </w:rPr>
              <w:t>ycji netto na poziomie najwyższej potencjalnej straty powiązanej</w:t>
            </w:r>
            <w:r w:rsidR="00E26EF6" w:rsidRPr="00E26EF6">
              <w:rPr>
                <w:rFonts w:ascii="Times New Roman" w:hAnsi="Times New Roman"/>
                <w:bCs/>
                <w:sz w:val="24"/>
              </w:rPr>
              <w:t xml:space="preserve"> z ryz</w:t>
            </w:r>
            <w:r w:rsidRPr="00E26EF6">
              <w:rPr>
                <w:rFonts w:ascii="Times New Roman" w:hAnsi="Times New Roman"/>
                <w:bCs/>
                <w:sz w:val="24"/>
              </w:rPr>
              <w:t>ykiem niewykonania zobowiązań.</w:t>
            </w:r>
          </w:p>
        </w:tc>
      </w:tr>
      <w:tr w:rsidR="00915077" w:rsidRPr="00E26EF6" w14:paraId="42B025F1" w14:textId="77777777" w:rsidTr="00E10B85">
        <w:tc>
          <w:tcPr>
            <w:tcW w:w="1144" w:type="dxa"/>
          </w:tcPr>
          <w:p w14:paraId="7EB98B68" w14:textId="77777777" w:rsidR="00915077" w:rsidRPr="00E26EF6" w:rsidRDefault="00EE079A">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601</w:t>
            </w:r>
          </w:p>
        </w:tc>
        <w:tc>
          <w:tcPr>
            <w:tcW w:w="7874" w:type="dxa"/>
          </w:tcPr>
          <w:p w14:paraId="2F26198E"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 xml:space="preserve">PO UWZGLĘDNIENIU PUŁAPU / CAŁKOWITE WYMOGI W ZAKRESIE FUNDUSZY WŁASNYCH </w:t>
            </w:r>
          </w:p>
          <w:p w14:paraId="6733A0E4" w14:textId="0B12135B" w:rsidR="00915077" w:rsidRPr="00E26EF6" w:rsidRDefault="00C55547">
            <w:pPr>
              <w:rPr>
                <w:rFonts w:ascii="Times New Roman" w:hAnsi="Times New Roman"/>
                <w:bCs/>
                <w:sz w:val="24"/>
              </w:rPr>
            </w:pPr>
            <w:r w:rsidRPr="00E26EF6">
              <w:rPr>
                <w:rFonts w:ascii="Times New Roman" w:hAnsi="Times New Roman"/>
                <w:bCs/>
                <w:sz w:val="24"/>
              </w:rPr>
              <w:t xml:space="preserve">Art. 337 CRR, </w:t>
            </w:r>
            <w:r w:rsidRPr="00E26EF6">
              <w:rPr>
                <w:rStyle w:val="InstructionsTabelleText"/>
                <w:rFonts w:ascii="Times New Roman" w:hAnsi="Times New Roman"/>
                <w:sz w:val="24"/>
              </w:rPr>
              <w:t>uwzględniając swobodę uznania</w:t>
            </w:r>
            <w:r w:rsidRPr="00E26EF6">
              <w:rPr>
                <w:rFonts w:ascii="Times New Roman" w:hAnsi="Times New Roman"/>
                <w:bCs/>
                <w:sz w:val="24"/>
              </w:rPr>
              <w:t xml:space="preserve"> przewidzianą</w:t>
            </w:r>
            <w:r w:rsidR="00E26EF6" w:rsidRPr="00E26EF6">
              <w:rPr>
                <w:rFonts w:ascii="Times New Roman" w:hAnsi="Times New Roman"/>
                <w:bCs/>
                <w:sz w:val="24"/>
              </w:rPr>
              <w:t xml:space="preserve"> w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335 CRR.</w:t>
            </w:r>
          </w:p>
        </w:tc>
      </w:tr>
    </w:tbl>
    <w:p w14:paraId="7AAC6397" w14:textId="77777777" w:rsidR="00915077" w:rsidRPr="00E26EF6" w:rsidRDefault="0091507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915077" w:rsidRPr="00E26EF6" w14:paraId="3545DE8A" w14:textId="77777777" w:rsidTr="00E10B85">
        <w:trPr>
          <w:trHeight w:val="537"/>
        </w:trPr>
        <w:tc>
          <w:tcPr>
            <w:tcW w:w="8950" w:type="dxa"/>
            <w:gridSpan w:val="2"/>
            <w:shd w:val="clear" w:color="auto" w:fill="BFBFBF"/>
          </w:tcPr>
          <w:p w14:paraId="42759E47" w14:textId="77777777" w:rsidR="00915077" w:rsidRPr="00E26EF6" w:rsidRDefault="00C55547">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Wiersze</w:t>
            </w:r>
          </w:p>
        </w:tc>
      </w:tr>
      <w:tr w:rsidR="00915077" w:rsidRPr="00E26EF6" w14:paraId="212CE458" w14:textId="77777777" w:rsidTr="00E10B85">
        <w:tc>
          <w:tcPr>
            <w:tcW w:w="1056" w:type="dxa"/>
          </w:tcPr>
          <w:p w14:paraId="54771851"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w:t>
            </w:r>
          </w:p>
        </w:tc>
        <w:tc>
          <w:tcPr>
            <w:tcW w:w="7894" w:type="dxa"/>
          </w:tcPr>
          <w:p w14:paraId="77ECC080" w14:textId="77777777" w:rsidR="00915077" w:rsidRPr="00E26EF6" w:rsidRDefault="00C55547">
            <w:pPr>
              <w:rPr>
                <w:rFonts w:ascii="Times New Roman" w:hAnsi="Times New Roman"/>
                <w:sz w:val="24"/>
              </w:rPr>
            </w:pPr>
            <w:r w:rsidRPr="00E26EF6">
              <w:rPr>
                <w:rStyle w:val="InstructionsTabelleberschrift"/>
                <w:rFonts w:ascii="Times New Roman" w:hAnsi="Times New Roman"/>
                <w:sz w:val="24"/>
              </w:rPr>
              <w:t>EKSPOZYCJE CAŁKOWITE</w:t>
            </w:r>
          </w:p>
          <w:p w14:paraId="6F801EDD" w14:textId="57C297D0" w:rsidR="00915077" w:rsidRPr="00E26EF6" w:rsidRDefault="00C55547">
            <w:pPr>
              <w:autoSpaceDE w:val="0"/>
              <w:autoSpaceDN w:val="0"/>
              <w:adjustRightInd w:val="0"/>
              <w:spacing w:before="0" w:after="0"/>
              <w:rPr>
                <w:rFonts w:ascii="Times New Roman" w:hAnsi="Times New Roman"/>
                <w:sz w:val="24"/>
                <w:highlight w:val="lightGray"/>
              </w:rPr>
            </w:pPr>
            <w:r w:rsidRPr="00E26EF6">
              <w:rPr>
                <w:rStyle w:val="InstructionsTabelleText"/>
                <w:rFonts w:ascii="Times New Roman" w:hAnsi="Times New Roman"/>
                <w:sz w:val="24"/>
              </w:rPr>
              <w:t>Całkowita kwota należności</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sekurytyzacji</w:t>
            </w:r>
            <w:r w:rsidR="00E26EF6" w:rsidRPr="00E26EF6">
              <w:rPr>
                <w:rStyle w:val="InstructionsTabelleText"/>
                <w:rFonts w:ascii="Times New Roman" w:hAnsi="Times New Roman"/>
                <w:sz w:val="24"/>
              </w:rPr>
              <w:t xml:space="preserve"> i res</w:t>
            </w:r>
            <w:r w:rsidRPr="00E26EF6">
              <w:rPr>
                <w:rStyle w:val="InstructionsTabelleText"/>
                <w:rFonts w:ascii="Times New Roman" w:hAnsi="Times New Roman"/>
                <w:sz w:val="24"/>
              </w:rPr>
              <w:t>ekurytyzacji (przechowywanych</w:t>
            </w:r>
            <w:r w:rsidR="00E26EF6" w:rsidRPr="00E26EF6">
              <w:rPr>
                <w:rStyle w:val="InstructionsTabelleText"/>
                <w:rFonts w:ascii="Times New Roman" w:hAnsi="Times New Roman"/>
                <w:sz w:val="24"/>
              </w:rPr>
              <w:t xml:space="preserve"> w por</w:t>
            </w:r>
            <w:r w:rsidRPr="00E26EF6">
              <w:rPr>
                <w:rStyle w:val="InstructionsTabelleText"/>
                <w:rFonts w:ascii="Times New Roman" w:hAnsi="Times New Roman"/>
                <w:sz w:val="24"/>
              </w:rPr>
              <w:t>tfelu handlowym) zgłoszonych przez instytucję pełniącą rolę jednostki inicjującej, inwestora lub jednostki sponsorującej.</w:t>
            </w:r>
          </w:p>
        </w:tc>
      </w:tr>
      <w:tr w:rsidR="00915077" w:rsidRPr="00E26EF6" w14:paraId="3CD58C01" w14:textId="77777777" w:rsidTr="00E10B85">
        <w:tc>
          <w:tcPr>
            <w:tcW w:w="1056" w:type="dxa"/>
          </w:tcPr>
          <w:p w14:paraId="5240D8B6" w14:textId="77777777"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040,070 i</w:t>
            </w:r>
          </w:p>
          <w:p w14:paraId="1CC6A8AB"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100</w:t>
            </w:r>
          </w:p>
        </w:tc>
        <w:tc>
          <w:tcPr>
            <w:tcW w:w="7894" w:type="dxa"/>
          </w:tcPr>
          <w:p w14:paraId="0C4166D7" w14:textId="6255869B"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POZYCJE SEKURYTYZACYJNE</w:t>
            </w:r>
          </w:p>
          <w:p w14:paraId="4412FADB" w14:textId="0DB3C368" w:rsidR="00915077" w:rsidRPr="00E26EF6" w:rsidRDefault="00532026">
            <w:pPr>
              <w:autoSpaceDE w:val="0"/>
              <w:autoSpaceDN w:val="0"/>
              <w:adjustRightInd w:val="0"/>
              <w:spacing w:before="0" w:after="0"/>
              <w:rPr>
                <w:rFonts w:ascii="Times New Roman" w:hAnsi="Times New Roman"/>
                <w:bCs/>
                <w:sz w:val="24"/>
              </w:rPr>
            </w:pPr>
            <w:r w:rsidRPr="00E26EF6">
              <w:rPr>
                <w:rFonts w:ascii="Times New Roman" w:hAnsi="Times New Roman"/>
                <w:bCs/>
                <w:sz w:val="24"/>
              </w:rPr>
              <w:t>Art. 4 ust.</w:t>
            </w:r>
            <w:r w:rsidR="00023409" w:rsidRPr="00E26EF6">
              <w:rPr>
                <w:rFonts w:ascii="Times New Roman" w:hAnsi="Times New Roman"/>
                <w:bCs/>
                <w:sz w:val="24"/>
              </w:rPr>
              <w:t> </w:t>
            </w:r>
            <w:r w:rsidRPr="00E26EF6">
              <w:rPr>
                <w:rFonts w:ascii="Times New Roman" w:hAnsi="Times New Roman"/>
                <w:bCs/>
                <w:sz w:val="24"/>
              </w:rPr>
              <w:t>1 pkt</w:t>
            </w:r>
            <w:r w:rsidR="00023409" w:rsidRPr="00E26EF6">
              <w:rPr>
                <w:rFonts w:ascii="Times New Roman" w:hAnsi="Times New Roman"/>
                <w:bCs/>
                <w:sz w:val="24"/>
              </w:rPr>
              <w:t> </w:t>
            </w:r>
            <w:r w:rsidRPr="00E26EF6">
              <w:rPr>
                <w:rFonts w:ascii="Times New Roman" w:hAnsi="Times New Roman"/>
                <w:bCs/>
                <w:sz w:val="24"/>
              </w:rPr>
              <w:t>62 CRR.</w:t>
            </w:r>
          </w:p>
          <w:p w14:paraId="272E789B"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2E87B5B2" w14:textId="77777777" w:rsidTr="00E10B85">
        <w:tc>
          <w:tcPr>
            <w:tcW w:w="1056" w:type="dxa"/>
          </w:tcPr>
          <w:p w14:paraId="6768D6F5" w14:textId="77777777" w:rsidR="00915077" w:rsidRPr="00E26EF6" w:rsidRDefault="00C55547">
            <w:pPr>
              <w:autoSpaceDE w:val="0"/>
              <w:autoSpaceDN w:val="0"/>
              <w:adjustRightInd w:val="0"/>
              <w:spacing w:before="0" w:after="0"/>
              <w:rPr>
                <w:rFonts w:ascii="Times New Roman" w:hAnsi="Times New Roman"/>
                <w:sz w:val="24"/>
              </w:rPr>
            </w:pPr>
            <w:r w:rsidRPr="00E26EF6">
              <w:rPr>
                <w:rFonts w:ascii="Times New Roman" w:hAnsi="Times New Roman"/>
                <w:sz w:val="24"/>
              </w:rPr>
              <w:t>020,050,</w:t>
            </w:r>
          </w:p>
          <w:p w14:paraId="3C0B519E" w14:textId="235EC8B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080</w:t>
            </w:r>
            <w:r w:rsidR="00E26EF6" w:rsidRPr="00E26EF6">
              <w:rPr>
                <w:rFonts w:ascii="Times New Roman" w:hAnsi="Times New Roman"/>
                <w:sz w:val="24"/>
              </w:rPr>
              <w:t xml:space="preserve"> i 1</w:t>
            </w:r>
            <w:r w:rsidRPr="00E26EF6">
              <w:rPr>
                <w:rFonts w:ascii="Times New Roman" w:hAnsi="Times New Roman"/>
                <w:sz w:val="24"/>
              </w:rPr>
              <w:t>10</w:t>
            </w:r>
          </w:p>
        </w:tc>
        <w:tc>
          <w:tcPr>
            <w:tcW w:w="7894" w:type="dxa"/>
          </w:tcPr>
          <w:p w14:paraId="1946E15C" w14:textId="182828A6"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POZYCJE RESEKURYTYZACYJNE</w:t>
            </w:r>
          </w:p>
          <w:p w14:paraId="4F403A6C" w14:textId="54086C22" w:rsidR="00915077" w:rsidRPr="00E26EF6" w:rsidRDefault="00532026">
            <w:pPr>
              <w:autoSpaceDE w:val="0"/>
              <w:autoSpaceDN w:val="0"/>
              <w:adjustRightInd w:val="0"/>
              <w:spacing w:before="0" w:after="0"/>
              <w:rPr>
                <w:rFonts w:ascii="Times New Roman" w:hAnsi="Times New Roman"/>
                <w:bCs/>
                <w:sz w:val="24"/>
              </w:rPr>
            </w:pPr>
            <w:r w:rsidRPr="00E26EF6">
              <w:rPr>
                <w:rFonts w:ascii="Times New Roman" w:hAnsi="Times New Roman"/>
                <w:bCs/>
                <w:sz w:val="24"/>
              </w:rPr>
              <w:t>Art. 4 ust.</w:t>
            </w:r>
            <w:r w:rsidR="00023409" w:rsidRPr="00E26EF6">
              <w:rPr>
                <w:rFonts w:ascii="Times New Roman" w:hAnsi="Times New Roman"/>
                <w:bCs/>
                <w:sz w:val="24"/>
              </w:rPr>
              <w:t> </w:t>
            </w:r>
            <w:r w:rsidRPr="00E26EF6">
              <w:rPr>
                <w:rFonts w:ascii="Times New Roman" w:hAnsi="Times New Roman"/>
                <w:bCs/>
                <w:sz w:val="24"/>
              </w:rPr>
              <w:t>1 pkt</w:t>
            </w:r>
            <w:r w:rsidR="00023409" w:rsidRPr="00E26EF6">
              <w:rPr>
                <w:rFonts w:ascii="Times New Roman" w:hAnsi="Times New Roman"/>
                <w:bCs/>
                <w:sz w:val="24"/>
              </w:rPr>
              <w:t> </w:t>
            </w:r>
            <w:r w:rsidRPr="00E26EF6">
              <w:rPr>
                <w:rFonts w:ascii="Times New Roman" w:hAnsi="Times New Roman"/>
                <w:bCs/>
                <w:sz w:val="24"/>
              </w:rPr>
              <w:t>64 CRR.</w:t>
            </w:r>
          </w:p>
          <w:p w14:paraId="6E0E1D52"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31E7E238" w14:textId="77777777" w:rsidTr="00E10B85">
        <w:tc>
          <w:tcPr>
            <w:tcW w:w="1056" w:type="dxa"/>
          </w:tcPr>
          <w:p w14:paraId="27523E83"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041, 071 oraz 101</w:t>
            </w:r>
          </w:p>
        </w:tc>
        <w:tc>
          <w:tcPr>
            <w:tcW w:w="7894" w:type="dxa"/>
          </w:tcPr>
          <w:p w14:paraId="1935010F"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W TYM: KWALIFIKUJĄCE SIĘ DO ZRÓŻNICOWANEGO TRAKTOWANIA KAPITAŁU</w:t>
            </w:r>
          </w:p>
          <w:p w14:paraId="1D3FC150" w14:textId="36489C30" w:rsidR="00915077" w:rsidRPr="00E26EF6" w:rsidRDefault="00C55547">
            <w:pPr>
              <w:rPr>
                <w:rStyle w:val="InstructionsTabelleberschrift"/>
                <w:rFonts w:ascii="Times New Roman" w:hAnsi="Times New Roman"/>
                <w:sz w:val="24"/>
                <w:highlight w:val="lightGray"/>
              </w:rPr>
            </w:pPr>
            <w:r w:rsidRPr="00E26EF6">
              <w:rPr>
                <w:rFonts w:ascii="Times New Roman" w:hAnsi="Times New Roman"/>
                <w:bCs/>
                <w:sz w:val="24"/>
              </w:rPr>
              <w:t>Całkowita kwota pozycji sekurytyzacyjnych, które spełniają kryteria art.</w:t>
            </w:r>
            <w:r w:rsidR="00023409" w:rsidRPr="00E26EF6">
              <w:rPr>
                <w:rFonts w:ascii="Times New Roman" w:hAnsi="Times New Roman"/>
                <w:bCs/>
                <w:sz w:val="24"/>
              </w:rPr>
              <w:t> </w:t>
            </w:r>
            <w:r w:rsidRPr="00E26EF6">
              <w:rPr>
                <w:rFonts w:ascii="Times New Roman" w:hAnsi="Times New Roman"/>
                <w:bCs/>
                <w:sz w:val="24"/>
              </w:rPr>
              <w:t>243 CRR lub art.</w:t>
            </w:r>
            <w:r w:rsidR="00023409" w:rsidRPr="00E26EF6">
              <w:rPr>
                <w:rFonts w:ascii="Times New Roman" w:hAnsi="Times New Roman"/>
                <w:bCs/>
                <w:sz w:val="24"/>
              </w:rPr>
              <w:t> </w:t>
            </w:r>
            <w:r w:rsidRPr="00E26EF6">
              <w:rPr>
                <w:rFonts w:ascii="Times New Roman" w:hAnsi="Times New Roman"/>
                <w:bCs/>
                <w:sz w:val="24"/>
              </w:rPr>
              <w:t>270 CRR,</w:t>
            </w:r>
            <w:r w:rsidR="00E26EF6" w:rsidRPr="00E26EF6">
              <w:rPr>
                <w:rFonts w:ascii="Times New Roman" w:hAnsi="Times New Roman"/>
                <w:bCs/>
                <w:sz w:val="24"/>
              </w:rPr>
              <w:t xml:space="preserve"> a w zwi</w:t>
            </w:r>
            <w:r w:rsidRPr="00E26EF6">
              <w:rPr>
                <w:rFonts w:ascii="Times New Roman" w:hAnsi="Times New Roman"/>
                <w:bCs/>
                <w:sz w:val="24"/>
              </w:rPr>
              <w:t>ązku</w:t>
            </w:r>
            <w:r w:rsidR="00E26EF6" w:rsidRPr="00E26EF6">
              <w:rPr>
                <w:rFonts w:ascii="Times New Roman" w:hAnsi="Times New Roman"/>
                <w:bCs/>
                <w:sz w:val="24"/>
              </w:rPr>
              <w:t xml:space="preserve"> z tym</w:t>
            </w:r>
            <w:r w:rsidRPr="00E26EF6">
              <w:rPr>
                <w:rFonts w:ascii="Times New Roman" w:hAnsi="Times New Roman"/>
                <w:bCs/>
                <w:sz w:val="24"/>
              </w:rPr>
              <w:t xml:space="preserve"> kwalifikują się do zróżnicowanego traktowania kapitału.</w:t>
            </w:r>
          </w:p>
        </w:tc>
      </w:tr>
      <w:tr w:rsidR="00915077" w:rsidRPr="00E26EF6" w14:paraId="17F2B7F1" w14:textId="77777777" w:rsidTr="00E10B85">
        <w:tc>
          <w:tcPr>
            <w:tcW w:w="1056" w:type="dxa"/>
          </w:tcPr>
          <w:p w14:paraId="27DE551D"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030-050</w:t>
            </w:r>
          </w:p>
        </w:tc>
        <w:tc>
          <w:tcPr>
            <w:tcW w:w="7894" w:type="dxa"/>
          </w:tcPr>
          <w:p w14:paraId="1773FA0D"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JEDNOSTKA INICJUJĄCA</w:t>
            </w:r>
          </w:p>
          <w:p w14:paraId="574C8742" w14:textId="34B985D0" w:rsidR="00915077" w:rsidRPr="00E26EF6" w:rsidRDefault="000242CC">
            <w:pPr>
              <w:autoSpaceDE w:val="0"/>
              <w:autoSpaceDN w:val="0"/>
              <w:adjustRightInd w:val="0"/>
              <w:spacing w:before="0" w:after="0"/>
              <w:rPr>
                <w:rFonts w:ascii="Times New Roman" w:hAnsi="Times New Roman"/>
                <w:bCs/>
                <w:sz w:val="24"/>
              </w:rPr>
            </w:pPr>
            <w:r w:rsidRPr="00E26EF6">
              <w:rPr>
                <w:rFonts w:ascii="Times New Roman" w:hAnsi="Times New Roman"/>
                <w:bCs/>
                <w:sz w:val="24"/>
              </w:rPr>
              <w:t>Art. 4 ust.</w:t>
            </w:r>
            <w:r w:rsidR="00023409" w:rsidRPr="00E26EF6">
              <w:rPr>
                <w:rFonts w:ascii="Times New Roman" w:hAnsi="Times New Roman"/>
                <w:bCs/>
                <w:sz w:val="24"/>
              </w:rPr>
              <w:t> </w:t>
            </w:r>
            <w:r w:rsidRPr="00E26EF6">
              <w:rPr>
                <w:rFonts w:ascii="Times New Roman" w:hAnsi="Times New Roman"/>
                <w:bCs/>
                <w:sz w:val="24"/>
              </w:rPr>
              <w:t>1 pkt</w:t>
            </w:r>
            <w:r w:rsidR="00023409" w:rsidRPr="00E26EF6">
              <w:rPr>
                <w:rFonts w:ascii="Times New Roman" w:hAnsi="Times New Roman"/>
                <w:bCs/>
                <w:sz w:val="24"/>
              </w:rPr>
              <w:t> </w:t>
            </w:r>
            <w:r w:rsidRPr="00E26EF6">
              <w:rPr>
                <w:rFonts w:ascii="Times New Roman" w:hAnsi="Times New Roman"/>
                <w:bCs/>
                <w:sz w:val="24"/>
              </w:rPr>
              <w:t>13 CRR</w:t>
            </w:r>
          </w:p>
          <w:p w14:paraId="2DEDD435"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501C8C22" w14:textId="77777777" w:rsidTr="00E10B85">
        <w:tc>
          <w:tcPr>
            <w:tcW w:w="1056" w:type="dxa"/>
          </w:tcPr>
          <w:p w14:paraId="5587655A"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060-080</w:t>
            </w:r>
          </w:p>
        </w:tc>
        <w:tc>
          <w:tcPr>
            <w:tcW w:w="7894" w:type="dxa"/>
          </w:tcPr>
          <w:p w14:paraId="46480E81"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INWESTOR</w:t>
            </w:r>
          </w:p>
          <w:p w14:paraId="5561386A" w14:textId="6689922D" w:rsidR="00915077" w:rsidRPr="00E26EF6" w:rsidRDefault="00C55547">
            <w:pPr>
              <w:autoSpaceDE w:val="0"/>
              <w:autoSpaceDN w:val="0"/>
              <w:adjustRightInd w:val="0"/>
              <w:spacing w:before="0" w:after="0"/>
              <w:rPr>
                <w:rFonts w:ascii="Times New Roman" w:hAnsi="Times New Roman"/>
                <w:bCs/>
                <w:sz w:val="24"/>
              </w:rPr>
            </w:pPr>
            <w:r w:rsidRPr="00E26EF6">
              <w:rPr>
                <w:rFonts w:ascii="Times New Roman" w:hAnsi="Times New Roman"/>
                <w:bCs/>
                <w:sz w:val="24"/>
              </w:rPr>
              <w:t>Instytucja kredytowa będąca posiadaczem pozycji sekurytyzacyjnych</w:t>
            </w:r>
            <w:r w:rsidR="00E26EF6" w:rsidRPr="00E26EF6">
              <w:rPr>
                <w:rFonts w:ascii="Times New Roman" w:hAnsi="Times New Roman"/>
                <w:bCs/>
                <w:sz w:val="24"/>
              </w:rPr>
              <w:t xml:space="preserve"> w ram</w:t>
            </w:r>
            <w:r w:rsidRPr="00E26EF6">
              <w:rPr>
                <w:rFonts w:ascii="Times New Roman" w:hAnsi="Times New Roman"/>
                <w:bCs/>
                <w:sz w:val="24"/>
              </w:rPr>
              <w:t>ach transakcji sekurytyzacyjnych,</w:t>
            </w:r>
            <w:r w:rsidR="00E26EF6" w:rsidRPr="00E26EF6">
              <w:rPr>
                <w:rFonts w:ascii="Times New Roman" w:hAnsi="Times New Roman"/>
                <w:bCs/>
                <w:sz w:val="24"/>
              </w:rPr>
              <w:t xml:space="preserve"> w odn</w:t>
            </w:r>
            <w:r w:rsidRPr="00E26EF6">
              <w:rPr>
                <w:rFonts w:ascii="Times New Roman" w:hAnsi="Times New Roman"/>
                <w:bCs/>
                <w:sz w:val="24"/>
              </w:rPr>
              <w:t>iesieniu do których nie pełni roli jednostki inicjującej, jednostki sponsorującej ani pierwotnego kredytodawcy.</w:t>
            </w:r>
          </w:p>
          <w:p w14:paraId="0DBE1446" w14:textId="77777777" w:rsidR="00915077" w:rsidRPr="00E26EF6" w:rsidRDefault="00915077">
            <w:pPr>
              <w:autoSpaceDE w:val="0"/>
              <w:autoSpaceDN w:val="0"/>
              <w:adjustRightInd w:val="0"/>
              <w:spacing w:before="0" w:after="0"/>
              <w:rPr>
                <w:rFonts w:ascii="Times New Roman" w:hAnsi="Times New Roman"/>
                <w:bCs/>
                <w:sz w:val="24"/>
                <w:highlight w:val="lightGray"/>
              </w:rPr>
            </w:pPr>
          </w:p>
        </w:tc>
      </w:tr>
      <w:tr w:rsidR="00915077" w:rsidRPr="00E26EF6" w14:paraId="488BF2FC" w14:textId="77777777" w:rsidTr="00E10B85">
        <w:tc>
          <w:tcPr>
            <w:tcW w:w="1056" w:type="dxa"/>
          </w:tcPr>
          <w:p w14:paraId="7238D1DC"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090-110</w:t>
            </w:r>
          </w:p>
        </w:tc>
        <w:tc>
          <w:tcPr>
            <w:tcW w:w="7894" w:type="dxa"/>
          </w:tcPr>
          <w:p w14:paraId="08D7D924"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JEDNOSTKA SPONSORUJĄCA</w:t>
            </w:r>
          </w:p>
          <w:p w14:paraId="5BB1E310" w14:textId="273B0818" w:rsidR="00915077" w:rsidRPr="00E26EF6" w:rsidRDefault="000242CC">
            <w:pPr>
              <w:autoSpaceDE w:val="0"/>
              <w:autoSpaceDN w:val="0"/>
              <w:adjustRightInd w:val="0"/>
              <w:spacing w:before="0" w:after="0"/>
              <w:rPr>
                <w:rStyle w:val="InstructionsTabelleText"/>
                <w:rFonts w:ascii="Times New Roman" w:hAnsi="Times New Roman"/>
                <w:sz w:val="24"/>
              </w:rPr>
            </w:pPr>
            <w:r w:rsidRPr="00E26EF6">
              <w:rPr>
                <w:rStyle w:val="InstructionsTabelleText"/>
                <w:rFonts w:ascii="Times New Roman" w:hAnsi="Times New Roman"/>
                <w:sz w:val="24"/>
              </w:rPr>
              <w:t>Art. 4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1 pkt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 xml:space="preserve">14 CRR. </w:t>
            </w:r>
          </w:p>
          <w:p w14:paraId="6559FEAC" w14:textId="3BF66031" w:rsidR="00915077" w:rsidRPr="00E26EF6" w:rsidRDefault="00532026">
            <w:pPr>
              <w:autoSpaceDE w:val="0"/>
              <w:autoSpaceDN w:val="0"/>
              <w:adjustRightInd w:val="0"/>
              <w:spacing w:before="0" w:after="0"/>
              <w:rPr>
                <w:rStyle w:val="InstructionsTabelleText"/>
                <w:rFonts w:ascii="Times New Roman" w:hAnsi="Times New Roman"/>
                <w:sz w:val="24"/>
              </w:rPr>
            </w:pPr>
            <w:r w:rsidRPr="00E26EF6">
              <w:rPr>
                <w:rStyle w:val="InstructionsTabelleText"/>
                <w:rFonts w:ascii="Times New Roman" w:hAnsi="Times New Roman"/>
                <w:sz w:val="24"/>
              </w:rPr>
              <w:t>Jednostka sponsorująca, która sekurytyzuje również swoje aktywa własne, wypełnia wiersze przeznaczone dla jednostki inicjującej, przedstawiając informacje dotyczące sekurytyzowanych przez siebie aktywów własnych.</w:t>
            </w:r>
          </w:p>
        </w:tc>
      </w:tr>
    </w:tbl>
    <w:p w14:paraId="3BF599F8" w14:textId="77777777" w:rsidR="00915077" w:rsidRPr="00E26EF6" w:rsidRDefault="00915077">
      <w:pPr>
        <w:autoSpaceDE w:val="0"/>
        <w:autoSpaceDN w:val="0"/>
        <w:adjustRightInd w:val="0"/>
        <w:spacing w:before="0" w:after="0"/>
        <w:rPr>
          <w:rFonts w:ascii="Times New Roman" w:hAnsi="Times New Roman"/>
          <w:sz w:val="24"/>
        </w:rPr>
      </w:pPr>
    </w:p>
    <w:p w14:paraId="58209290" w14:textId="77777777" w:rsidR="00915077" w:rsidRPr="00E26EF6" w:rsidRDefault="00915077">
      <w:pPr>
        <w:autoSpaceDE w:val="0"/>
        <w:autoSpaceDN w:val="0"/>
        <w:adjustRightInd w:val="0"/>
        <w:spacing w:before="0" w:after="0"/>
        <w:rPr>
          <w:rFonts w:ascii="Times New Roman" w:hAnsi="Times New Roman"/>
          <w:sz w:val="24"/>
        </w:rPr>
      </w:pPr>
    </w:p>
    <w:p w14:paraId="74A3857C"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0" w:name="_Toc31014387"/>
      <w:r w:rsidRPr="00E26EF6">
        <w:rPr>
          <w:rFonts w:ascii="Times New Roman" w:hAnsi="Times New Roman"/>
          <w:sz w:val="24"/>
          <w:u w:val="none"/>
        </w:rPr>
        <w:lastRenderedPageBreak/>
        <w:t>5.3.</w:t>
      </w:r>
      <w:r w:rsidRPr="00E26EF6">
        <w:rPr>
          <w:rFonts w:ascii="Times New Roman" w:hAnsi="Times New Roman"/>
          <w:sz w:val="24"/>
          <w:u w:val="none"/>
        </w:rPr>
        <w:tab/>
      </w:r>
      <w:r w:rsidRPr="00E26EF6">
        <w:rPr>
          <w:rFonts w:ascii="Times New Roman" w:hAnsi="Times New Roman"/>
          <w:sz w:val="24"/>
        </w:rPr>
        <w:t>C 20.00 – RYZYKO RYNKOWE: SZCZEGÓLNE RYZYKO Z TYTUŁU KORELACYJNEGO PORTFELA HANDLOWEGO WEDŁUG METODY STANDARDOWEJ (MKR SA CTP)</w:t>
      </w:r>
      <w:bookmarkEnd w:id="90"/>
    </w:p>
    <w:p w14:paraId="4044EAD2"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1" w:name="_Toc31014388"/>
      <w:r w:rsidRPr="00E26EF6">
        <w:rPr>
          <w:rFonts w:ascii="Times New Roman" w:hAnsi="Times New Roman"/>
          <w:sz w:val="24"/>
          <w:u w:val="none"/>
        </w:rPr>
        <w:t>5.3.1.</w:t>
      </w:r>
      <w:r w:rsidRPr="00E26EF6">
        <w:rPr>
          <w:rFonts w:ascii="Times New Roman" w:hAnsi="Times New Roman"/>
          <w:sz w:val="24"/>
          <w:u w:val="none"/>
        </w:rPr>
        <w:tab/>
      </w:r>
      <w:r w:rsidRPr="00E26EF6">
        <w:rPr>
          <w:rFonts w:ascii="Times New Roman" w:hAnsi="Times New Roman"/>
          <w:sz w:val="24"/>
        </w:rPr>
        <w:t>Uwagi ogólne</w:t>
      </w:r>
      <w:bookmarkEnd w:id="91"/>
    </w:p>
    <w:p w14:paraId="2EF14F09" w14:textId="03271846" w:rsidR="00915077" w:rsidRPr="00E26EF6" w:rsidRDefault="00C55547">
      <w:pPr>
        <w:pStyle w:val="InstructionsText2"/>
        <w:numPr>
          <w:ilvl w:val="0"/>
          <w:numId w:val="0"/>
        </w:numPr>
        <w:ind w:left="993"/>
      </w:pPr>
      <w:r w:rsidRPr="00E26EF6">
        <w:t>144</w:t>
      </w:r>
      <w:r w:rsidR="00E26EF6" w:rsidRPr="00E26EF6">
        <w:t>. W prz</w:t>
      </w:r>
      <w:r w:rsidRPr="00E26EF6">
        <w:t>edmiotowym wzorze należy przedstawić informacje</w:t>
      </w:r>
      <w:r w:rsidR="00E26EF6" w:rsidRPr="00E26EF6">
        <w:t xml:space="preserve"> o poz</w:t>
      </w:r>
      <w:r w:rsidRPr="00E26EF6">
        <w:t>ycjach ujętych</w:t>
      </w:r>
      <w:r w:rsidR="00E26EF6" w:rsidRPr="00E26EF6">
        <w:t xml:space="preserve"> w kor</w:t>
      </w:r>
      <w:r w:rsidRPr="00E26EF6">
        <w:t>elacyjnym portfelu handlowym (CTP) (obejmujących sekurytyzacje, kredytowe instrumenty pochodne uruchamiane n-tym niewykonaniem zobowiązania oraz pozycje ujęte</w:t>
      </w:r>
      <w:r w:rsidR="00E26EF6" w:rsidRPr="00E26EF6">
        <w:t xml:space="preserve"> w kor</w:t>
      </w:r>
      <w:r w:rsidRPr="00E26EF6">
        <w:t>elacyjnym portfelu handlowym zgodnie</w:t>
      </w:r>
      <w:r w:rsidR="00E26EF6" w:rsidRPr="00E26EF6">
        <w:t xml:space="preserve"> z art</w:t>
      </w:r>
      <w:r w:rsidRPr="00E26EF6">
        <w:t>.</w:t>
      </w:r>
      <w:r w:rsidR="00023409" w:rsidRPr="00E26EF6">
        <w:t> </w:t>
      </w:r>
      <w:r w:rsidRPr="00E26EF6">
        <w:t>338 ust.</w:t>
      </w:r>
      <w:r w:rsidR="00023409" w:rsidRPr="00E26EF6">
        <w:t> </w:t>
      </w:r>
      <w:r w:rsidRPr="00E26EF6">
        <w:t>3) oraz</w:t>
      </w:r>
      <w:r w:rsidR="00E26EF6" w:rsidRPr="00E26EF6">
        <w:t xml:space="preserve"> o odp</w:t>
      </w:r>
      <w:r w:rsidRPr="00E26EF6">
        <w:t>owiednich wymogach</w:t>
      </w:r>
      <w:r w:rsidR="00E26EF6" w:rsidRPr="00E26EF6">
        <w:t xml:space="preserve"> w zak</w:t>
      </w:r>
      <w:r w:rsidRPr="00E26EF6">
        <w:t>resie funduszy własnych ustanowionych zgodnie</w:t>
      </w:r>
      <w:r w:rsidR="00E26EF6" w:rsidRPr="00E26EF6">
        <w:t xml:space="preserve"> z met</w:t>
      </w:r>
      <w:r w:rsidRPr="00E26EF6">
        <w:t>odą standardową.</w:t>
      </w:r>
    </w:p>
    <w:p w14:paraId="7A71D073" w14:textId="3170AD8C" w:rsidR="00915077" w:rsidRPr="00E26EF6" w:rsidRDefault="00C55547">
      <w:pPr>
        <w:pStyle w:val="InstructionsText2"/>
        <w:numPr>
          <w:ilvl w:val="0"/>
          <w:numId w:val="0"/>
        </w:numPr>
        <w:ind w:left="993"/>
      </w:pPr>
      <w:r w:rsidRPr="00E26EF6">
        <w:t>145.</w:t>
      </w:r>
      <w:r w:rsidRPr="00E26EF6">
        <w:tab/>
        <w:t xml:space="preserve"> We wzorze MKR SA CTP przedstawia się wymogi</w:t>
      </w:r>
      <w:r w:rsidR="00E26EF6" w:rsidRPr="00E26EF6">
        <w:t xml:space="preserve"> w zak</w:t>
      </w:r>
      <w:r w:rsidRPr="00E26EF6">
        <w:t>resie funduszy własnych wyłącznie</w:t>
      </w:r>
      <w:r w:rsidR="00E26EF6" w:rsidRPr="00E26EF6">
        <w:t xml:space="preserve"> w odn</w:t>
      </w:r>
      <w:r w:rsidRPr="00E26EF6">
        <w:t>iesieniu do ryzyka szczególnego</w:t>
      </w:r>
      <w:r w:rsidR="00E26EF6" w:rsidRPr="00E26EF6">
        <w:t xml:space="preserve"> w ram</w:t>
      </w:r>
      <w:r w:rsidRPr="00E26EF6">
        <w:t>ach ryzyka pozycji ujętych</w:t>
      </w:r>
      <w:r w:rsidR="00E26EF6" w:rsidRPr="00E26EF6">
        <w:t xml:space="preserve"> w kor</w:t>
      </w:r>
      <w:r w:rsidRPr="00E26EF6">
        <w:t>elacyjnym portfelu handlowym, zgodnie</w:t>
      </w:r>
      <w:r w:rsidR="00E26EF6" w:rsidRPr="00E26EF6">
        <w:t xml:space="preserve"> z art</w:t>
      </w:r>
      <w:r w:rsidRPr="00E26EF6">
        <w:t>.</w:t>
      </w:r>
      <w:r w:rsidR="00023409" w:rsidRPr="00E26EF6">
        <w:t> </w:t>
      </w:r>
      <w:r w:rsidRPr="00E26EF6">
        <w:t>335 CRR</w:t>
      </w:r>
      <w:r w:rsidR="00E26EF6" w:rsidRPr="00E26EF6">
        <w:t xml:space="preserve"> w zwi</w:t>
      </w:r>
      <w:r w:rsidRPr="00E26EF6">
        <w:t>ązku</w:t>
      </w:r>
      <w:r w:rsidR="00E26EF6" w:rsidRPr="00E26EF6">
        <w:t xml:space="preserve"> z art</w:t>
      </w:r>
      <w:r w:rsidRPr="00E26EF6">
        <w:t>.</w:t>
      </w:r>
      <w:r w:rsidR="00023409" w:rsidRPr="00E26EF6">
        <w:t> </w:t>
      </w:r>
      <w:r w:rsidRPr="00E26EF6">
        <w:t>338 ust.</w:t>
      </w:r>
      <w:r w:rsidR="00023409" w:rsidRPr="00E26EF6">
        <w:t> </w:t>
      </w:r>
      <w:r w:rsidRPr="00E26EF6">
        <w:t>2</w:t>
      </w:r>
      <w:r w:rsidR="00E26EF6" w:rsidRPr="00E26EF6">
        <w:t xml:space="preserve"> i 3</w:t>
      </w:r>
      <w:r w:rsidRPr="00E26EF6">
        <w:t xml:space="preserve"> CRR. Jeżeli pozycje ujęte</w:t>
      </w:r>
      <w:r w:rsidR="00E26EF6" w:rsidRPr="00E26EF6">
        <w:t xml:space="preserve"> w kor</w:t>
      </w:r>
      <w:r w:rsidRPr="00E26EF6">
        <w:t>elacyjnym portfelu handlowym są zabezpieczone kredytowymi instrumentami pochodnymi, zastosowanie mają przepisy art.</w:t>
      </w:r>
      <w:r w:rsidR="00023409" w:rsidRPr="00E26EF6">
        <w:t> </w:t>
      </w:r>
      <w:r w:rsidRPr="00E26EF6">
        <w:t>346</w:t>
      </w:r>
      <w:r w:rsidR="00E26EF6" w:rsidRPr="00E26EF6">
        <w:t xml:space="preserve"> i 3</w:t>
      </w:r>
      <w:r w:rsidRPr="00E26EF6">
        <w:t>47 CRR</w:t>
      </w:r>
      <w:r w:rsidR="00E26EF6" w:rsidRPr="00E26EF6">
        <w:t>. W odn</w:t>
      </w:r>
      <w:r w:rsidRPr="00E26EF6">
        <w:t>iesieniu do wszystkich pozycji ujętych</w:t>
      </w:r>
      <w:r w:rsidR="00E26EF6" w:rsidRPr="00E26EF6">
        <w:t xml:space="preserve"> w kor</w:t>
      </w:r>
      <w:r w:rsidRPr="00E26EF6">
        <w:t>elacyjnym portfelu handlowym stosuje się ten sam wzór, niezależnie od metody stosowanej przez instytucje przy ustalaniu wagi ryzyka każdej pozycji zgodnie</w:t>
      </w:r>
      <w:r w:rsidR="00E26EF6" w:rsidRPr="00E26EF6">
        <w:t xml:space="preserve"> z czę</w:t>
      </w:r>
      <w:r w:rsidRPr="00E26EF6">
        <w:t>ścią trzecią tytuł II rozdział 5 CRR. Informacje dotyczące wymogów</w:t>
      </w:r>
      <w:r w:rsidR="00E26EF6" w:rsidRPr="00E26EF6">
        <w:t xml:space="preserve"> w zak</w:t>
      </w:r>
      <w:r w:rsidRPr="00E26EF6">
        <w:t>resie funduszy własnych</w:t>
      </w:r>
      <w:r w:rsidR="00E26EF6" w:rsidRPr="00E26EF6">
        <w:t xml:space="preserve"> w odn</w:t>
      </w:r>
      <w:r w:rsidRPr="00E26EF6">
        <w:t>iesieniu do ryzyka ogólnego tych pozycji zgłasza się przy pomocy wzoru MKR SA TDI lub wzoru MKR IM.</w:t>
      </w:r>
    </w:p>
    <w:p w14:paraId="7B56D737" w14:textId="2D0ABC53" w:rsidR="00915077" w:rsidRPr="00E26EF6" w:rsidRDefault="00C55547">
      <w:pPr>
        <w:pStyle w:val="InstructionsText2"/>
        <w:numPr>
          <w:ilvl w:val="0"/>
          <w:numId w:val="0"/>
        </w:numPr>
        <w:ind w:left="993"/>
      </w:pPr>
      <w:r w:rsidRPr="00E26EF6">
        <w:t>146.</w:t>
      </w:r>
      <w:r w:rsidRPr="00E26EF6">
        <w:tab/>
        <w:t xml:space="preserve"> Wzór umożliwia rozdzielenie pozycji sekurytyzacyjnych, kredytowych instrumentów pochodnych uruchamianych n-tym niewykonaniem zobowiązania oraz innych pozycji ujętych</w:t>
      </w:r>
      <w:r w:rsidR="00E26EF6" w:rsidRPr="00E26EF6">
        <w:t xml:space="preserve"> w kor</w:t>
      </w:r>
      <w:r w:rsidRPr="00E26EF6">
        <w:t>elacyjnym portfelu handlowym. Pozycje sekurytyzacyjne zawsze zgłasza się</w:t>
      </w:r>
      <w:r w:rsidR="00E26EF6" w:rsidRPr="00E26EF6">
        <w:t xml:space="preserve"> w wie</w:t>
      </w:r>
      <w:r w:rsidRPr="00E26EF6">
        <w:t>rszach 030, 060 lub</w:t>
      </w:r>
      <w:r w:rsidR="00023409" w:rsidRPr="00E26EF6">
        <w:t> </w:t>
      </w:r>
      <w:r w:rsidRPr="00E26EF6">
        <w:t>090 (w zależności od roli instytucji</w:t>
      </w:r>
      <w:r w:rsidR="00E26EF6" w:rsidRPr="00E26EF6">
        <w:t xml:space="preserve"> w pro</w:t>
      </w:r>
      <w:r w:rsidRPr="00E26EF6">
        <w:t>cesie sekurytyzacji). Kredytowe instrumenty pochodne uruchamiane n-tym niewykonaniem zobowiązania zawsze zgłasza się</w:t>
      </w:r>
      <w:r w:rsidR="00E26EF6" w:rsidRPr="00E26EF6">
        <w:t xml:space="preserve"> w wie</w:t>
      </w:r>
      <w:r w:rsidRPr="00E26EF6">
        <w:t>rszu 110. „Inne pozycje ujęte</w:t>
      </w:r>
      <w:r w:rsidR="00E26EF6" w:rsidRPr="00E26EF6">
        <w:t xml:space="preserve"> w kor</w:t>
      </w:r>
      <w:r w:rsidRPr="00E26EF6">
        <w:t>elacyjnym portfelu handlowym” to pozycje, które nie są pozycjami sekurytyzacyjnymi ani kredytowymi instrumentami pochodnymi uruchamianymi n-tym niewykonaniem zobowiązania (zob. definicja</w:t>
      </w:r>
      <w:r w:rsidR="00E26EF6" w:rsidRPr="00E26EF6">
        <w:t xml:space="preserve"> w art</w:t>
      </w:r>
      <w:r w:rsidRPr="00E26EF6">
        <w:t>.</w:t>
      </w:r>
      <w:r w:rsidR="00023409" w:rsidRPr="00E26EF6">
        <w:t> </w:t>
      </w:r>
      <w:r w:rsidRPr="00E26EF6">
        <w:t>338 ust.</w:t>
      </w:r>
      <w:r w:rsidR="00023409" w:rsidRPr="00E26EF6">
        <w:t> </w:t>
      </w:r>
      <w:r w:rsidRPr="00E26EF6">
        <w:t>3 CRR), ale są bezpośrednio „powiązane”</w:t>
      </w:r>
      <w:r w:rsidR="00E26EF6" w:rsidRPr="00E26EF6">
        <w:t xml:space="preserve"> z jed</w:t>
      </w:r>
      <w:r w:rsidRPr="00E26EF6">
        <w:t>ną</w:t>
      </w:r>
      <w:r w:rsidR="00E26EF6" w:rsidRPr="00E26EF6">
        <w:t xml:space="preserve"> z tyc</w:t>
      </w:r>
      <w:r w:rsidRPr="00E26EF6">
        <w:t xml:space="preserve">h dwóch pozycji (z uwagi na zamiar zabezpieczenia). </w:t>
      </w:r>
    </w:p>
    <w:p w14:paraId="4D8B5A88" w14:textId="5C4AAA10" w:rsidR="00915077" w:rsidRPr="00E26EF6" w:rsidRDefault="00C55547">
      <w:pPr>
        <w:pStyle w:val="InstructionsText2"/>
        <w:numPr>
          <w:ilvl w:val="0"/>
          <w:numId w:val="0"/>
        </w:numPr>
        <w:ind w:left="993"/>
      </w:pPr>
      <w:r w:rsidRPr="00E26EF6">
        <w:t>147.</w:t>
      </w:r>
      <w:r w:rsidRPr="00E26EF6">
        <w:tab/>
        <w:t xml:space="preserve"> Pozycje, którym przypisywana jest waga ryzyka 1 250</w:t>
      </w:r>
      <w:r w:rsidR="00023409" w:rsidRPr="00E26EF6">
        <w:t> </w:t>
      </w:r>
      <w:r w:rsidRPr="00E26EF6">
        <w:t>%, mogą alternatywnie zostać odliczone od kapitału podstawowego Tier I (zob. art.</w:t>
      </w:r>
      <w:r w:rsidR="00023409" w:rsidRPr="00E26EF6">
        <w:t> </w:t>
      </w:r>
      <w:r w:rsidRPr="00E26EF6">
        <w:t>244 ust.</w:t>
      </w:r>
      <w:r w:rsidR="00023409" w:rsidRPr="00E26EF6">
        <w:t> </w:t>
      </w:r>
      <w:r w:rsidRPr="00E26EF6">
        <w:t>1 lit.</w:t>
      </w:r>
      <w:r w:rsidR="00023409" w:rsidRPr="00E26EF6">
        <w:t> </w:t>
      </w:r>
      <w:r w:rsidRPr="00E26EF6">
        <w:t>b), art.</w:t>
      </w:r>
      <w:r w:rsidR="00023409" w:rsidRPr="00E26EF6">
        <w:t> </w:t>
      </w:r>
      <w:r w:rsidRPr="00E26EF6">
        <w:t>245 ust.</w:t>
      </w:r>
      <w:r w:rsidR="00023409" w:rsidRPr="00E26EF6">
        <w:t> </w:t>
      </w:r>
      <w:r w:rsidRPr="00E26EF6">
        <w:t>1 lit.</w:t>
      </w:r>
      <w:r w:rsidR="00023409" w:rsidRPr="00E26EF6">
        <w:t> </w:t>
      </w:r>
      <w:r w:rsidRPr="00E26EF6">
        <w:t>b) oraz art.</w:t>
      </w:r>
      <w:r w:rsidR="00023409" w:rsidRPr="00E26EF6">
        <w:t> </w:t>
      </w:r>
      <w:r w:rsidRPr="00E26EF6">
        <w:t>253 CRR)</w:t>
      </w:r>
      <w:r w:rsidR="00E26EF6" w:rsidRPr="00E26EF6">
        <w:t>. W tak</w:t>
      </w:r>
      <w:r w:rsidRPr="00E26EF6">
        <w:t>im przypadku pozycje te zgłasza się</w:t>
      </w:r>
      <w:r w:rsidR="00E26EF6" w:rsidRPr="00E26EF6">
        <w:t xml:space="preserve"> w wie</w:t>
      </w:r>
      <w:r w:rsidRPr="00E26EF6">
        <w:t>rszu 460 we wzorze CA1.</w:t>
      </w:r>
    </w:p>
    <w:p w14:paraId="761CEF7D"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2" w:name="_Toc31014389"/>
      <w:r w:rsidRPr="00E26EF6">
        <w:rPr>
          <w:rFonts w:ascii="Times New Roman" w:hAnsi="Times New Roman"/>
          <w:sz w:val="24"/>
          <w:u w:val="none"/>
        </w:rPr>
        <w:t>5.3.2.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92"/>
    </w:p>
    <w:p w14:paraId="4F1C97AE" w14:textId="77777777" w:rsidR="00915077" w:rsidRPr="00E26EF6" w:rsidRDefault="0091507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915077" w:rsidRPr="00E26EF6" w14:paraId="279F9534" w14:textId="77777777" w:rsidTr="00E10B85">
        <w:trPr>
          <w:trHeight w:val="602"/>
        </w:trPr>
        <w:tc>
          <w:tcPr>
            <w:tcW w:w="8890" w:type="dxa"/>
            <w:gridSpan w:val="2"/>
            <w:shd w:val="clear" w:color="auto" w:fill="CCCCCC"/>
          </w:tcPr>
          <w:p w14:paraId="1FF57BEA" w14:textId="77777777" w:rsidR="00915077" w:rsidRPr="00E26EF6" w:rsidRDefault="00C55547">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Kolumny</w:t>
            </w:r>
          </w:p>
        </w:tc>
      </w:tr>
      <w:tr w:rsidR="00915077" w:rsidRPr="00E26EF6" w14:paraId="4222B4BB" w14:textId="77777777" w:rsidTr="00E10B85">
        <w:tc>
          <w:tcPr>
            <w:tcW w:w="1016" w:type="dxa"/>
          </w:tcPr>
          <w:p w14:paraId="302BB386"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010-020</w:t>
            </w:r>
          </w:p>
        </w:tc>
        <w:tc>
          <w:tcPr>
            <w:tcW w:w="7874" w:type="dxa"/>
          </w:tcPr>
          <w:p w14:paraId="1792E809"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WSZYSTKIE POZYCJE (DŁUGIE I KRÓTKIE)</w:t>
            </w:r>
          </w:p>
          <w:p w14:paraId="79DC5844" w14:textId="4379AC2E" w:rsidR="00915077" w:rsidRPr="00E26EF6" w:rsidRDefault="00C55547">
            <w:pPr>
              <w:rPr>
                <w:rFonts w:ascii="Times New Roman" w:hAnsi="Times New Roman"/>
                <w:sz w:val="24"/>
              </w:rPr>
            </w:pPr>
            <w:r w:rsidRPr="00E26EF6">
              <w:rPr>
                <w:rFonts w:ascii="Times New Roman" w:hAnsi="Times New Roman"/>
                <w:sz w:val="24"/>
              </w:rPr>
              <w:t>Art. 102</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105 ust.</w:t>
            </w:r>
            <w:r w:rsidR="00023409" w:rsidRPr="00E26EF6">
              <w:rPr>
                <w:rFonts w:ascii="Times New Roman" w:hAnsi="Times New Roman"/>
                <w:sz w:val="24"/>
              </w:rPr>
              <w:t> </w:t>
            </w:r>
            <w:r w:rsidRPr="00E26EF6">
              <w:rPr>
                <w:rFonts w:ascii="Times New Roman" w:hAnsi="Times New Roman"/>
                <w:sz w:val="24"/>
              </w:rPr>
              <w:t>1 CRR</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338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3</w:t>
            </w:r>
            <w:r w:rsidRPr="00E26EF6">
              <w:rPr>
                <w:rFonts w:ascii="Times New Roman" w:hAnsi="Times New Roman"/>
                <w:sz w:val="24"/>
              </w:rPr>
              <w:t xml:space="preserve"> CRR (pozycje ujęte</w:t>
            </w:r>
            <w:r w:rsidR="00E26EF6" w:rsidRPr="00E26EF6">
              <w:rPr>
                <w:rFonts w:ascii="Times New Roman" w:hAnsi="Times New Roman"/>
                <w:sz w:val="24"/>
              </w:rPr>
              <w:t xml:space="preserve"> w kor</w:t>
            </w:r>
            <w:r w:rsidRPr="00E26EF6">
              <w:rPr>
                <w:rFonts w:ascii="Times New Roman" w:hAnsi="Times New Roman"/>
                <w:sz w:val="24"/>
              </w:rPr>
              <w:t>elacyjnym portfelu handlowym)</w:t>
            </w:r>
          </w:p>
          <w:p w14:paraId="62D28AC6" w14:textId="2043AED7" w:rsidR="00915077" w:rsidRPr="00E26EF6" w:rsidRDefault="00C55547">
            <w:pPr>
              <w:rPr>
                <w:rFonts w:ascii="Times New Roman" w:hAnsi="Times New Roman"/>
                <w:sz w:val="24"/>
                <w:highlight w:val="lightGray"/>
              </w:rPr>
            </w:pPr>
            <w:r w:rsidRPr="00E26EF6">
              <w:rPr>
                <w:rFonts w:ascii="Times New Roman" w:hAnsi="Times New Roman"/>
                <w:sz w:val="24"/>
              </w:rPr>
              <w:t>W kwestii rozróżnienia pomiędzy pozycjami długimi</w:t>
            </w:r>
            <w:r w:rsidR="00E26EF6" w:rsidRPr="00E26EF6">
              <w:rPr>
                <w:rFonts w:ascii="Times New Roman" w:hAnsi="Times New Roman"/>
                <w:sz w:val="24"/>
              </w:rPr>
              <w:t xml:space="preserve"> i kró</w:t>
            </w:r>
            <w:r w:rsidRPr="00E26EF6">
              <w:rPr>
                <w:rFonts w:ascii="Times New Roman" w:hAnsi="Times New Roman"/>
                <w:sz w:val="24"/>
              </w:rPr>
              <w:t>tkimi, stosowanego również</w:t>
            </w:r>
            <w:r w:rsidR="00E26EF6" w:rsidRPr="00E26EF6">
              <w:rPr>
                <w:rFonts w:ascii="Times New Roman" w:hAnsi="Times New Roman"/>
                <w:sz w:val="24"/>
              </w:rPr>
              <w:t xml:space="preserve"> w odn</w:t>
            </w:r>
            <w:r w:rsidRPr="00E26EF6">
              <w:rPr>
                <w:rFonts w:ascii="Times New Roman" w:hAnsi="Times New Roman"/>
                <w:sz w:val="24"/>
              </w:rPr>
              <w:t>iesieniu do pozycji brutto, zob. art.</w:t>
            </w:r>
            <w:r w:rsidR="00023409" w:rsidRPr="00E26EF6">
              <w:rPr>
                <w:rFonts w:ascii="Times New Roman" w:hAnsi="Times New Roman"/>
                <w:sz w:val="24"/>
              </w:rPr>
              <w:t> </w:t>
            </w:r>
            <w:r w:rsidRPr="00E26EF6">
              <w:rPr>
                <w:rFonts w:ascii="Times New Roman" w:hAnsi="Times New Roman"/>
                <w:sz w:val="24"/>
              </w:rPr>
              <w:t>328 ust.</w:t>
            </w:r>
            <w:r w:rsidR="00023409" w:rsidRPr="00E26EF6">
              <w:rPr>
                <w:rFonts w:ascii="Times New Roman" w:hAnsi="Times New Roman"/>
                <w:sz w:val="24"/>
              </w:rPr>
              <w:t> </w:t>
            </w:r>
            <w:r w:rsidRPr="00E26EF6">
              <w:rPr>
                <w:rFonts w:ascii="Times New Roman" w:hAnsi="Times New Roman"/>
                <w:sz w:val="24"/>
              </w:rPr>
              <w:t>2 CRR.</w:t>
            </w:r>
          </w:p>
        </w:tc>
      </w:tr>
      <w:tr w:rsidR="00915077" w:rsidRPr="00E26EF6" w14:paraId="04A72934" w14:textId="77777777" w:rsidTr="00E10B85">
        <w:tc>
          <w:tcPr>
            <w:tcW w:w="1016" w:type="dxa"/>
          </w:tcPr>
          <w:p w14:paraId="487C4BDD"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030-040</w:t>
            </w:r>
          </w:p>
        </w:tc>
        <w:tc>
          <w:tcPr>
            <w:tcW w:w="7874" w:type="dxa"/>
          </w:tcPr>
          <w:p w14:paraId="637746A2"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 POZYCJE ODLICZONE OD FUNDUSZY WŁASNYCH (DŁUGIE I KRÓTKIE)</w:t>
            </w:r>
          </w:p>
          <w:p w14:paraId="5DF1145D" w14:textId="6BD2217C" w:rsidR="00915077" w:rsidRPr="00E26EF6" w:rsidRDefault="00C55547">
            <w:pPr>
              <w:rPr>
                <w:rFonts w:ascii="Times New Roman" w:hAnsi="Times New Roman"/>
                <w:sz w:val="24"/>
                <w:highlight w:val="lightGray"/>
              </w:rPr>
            </w:pPr>
            <w:r w:rsidRPr="00E26EF6">
              <w:rPr>
                <w:rFonts w:ascii="Times New Roman" w:hAnsi="Times New Roman"/>
                <w:sz w:val="24"/>
              </w:rPr>
              <w:t xml:space="preserve">Art. 253 CRR </w:t>
            </w:r>
          </w:p>
        </w:tc>
      </w:tr>
      <w:tr w:rsidR="00915077" w:rsidRPr="00E26EF6" w14:paraId="5D2995B6" w14:textId="77777777" w:rsidTr="00E10B85">
        <w:tc>
          <w:tcPr>
            <w:tcW w:w="1016" w:type="dxa"/>
          </w:tcPr>
          <w:p w14:paraId="1BE45535"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050-060</w:t>
            </w:r>
          </w:p>
        </w:tc>
        <w:tc>
          <w:tcPr>
            <w:tcW w:w="7874" w:type="dxa"/>
          </w:tcPr>
          <w:p w14:paraId="21A59744"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POZYCJE NETTO (DŁUGIE I KRÓTKIE)</w:t>
            </w:r>
          </w:p>
          <w:p w14:paraId="68A8CA57" w14:textId="05F2F580" w:rsidR="00915077" w:rsidRPr="00E26EF6" w:rsidRDefault="00C55547">
            <w:pPr>
              <w:rPr>
                <w:rFonts w:ascii="Times New Roman" w:hAnsi="Times New Roman"/>
                <w:sz w:val="24"/>
              </w:rPr>
            </w:pPr>
            <w:r w:rsidRPr="00E26EF6">
              <w:rPr>
                <w:rFonts w:ascii="Times New Roman" w:hAnsi="Times New Roman"/>
                <w:sz w:val="24"/>
              </w:rPr>
              <w:t xml:space="preserve">Art. 327, 328, 329 oraz 334 CRR </w:t>
            </w:r>
          </w:p>
          <w:p w14:paraId="4FC53FB3" w14:textId="6BF0A910" w:rsidR="00915077" w:rsidRPr="00E26EF6" w:rsidRDefault="00C55547">
            <w:pPr>
              <w:rPr>
                <w:rFonts w:ascii="Times New Roman" w:hAnsi="Times New Roman"/>
                <w:sz w:val="24"/>
                <w:highlight w:val="lightGray"/>
              </w:rPr>
            </w:pPr>
            <w:r w:rsidRPr="00E26EF6">
              <w:rPr>
                <w:rFonts w:ascii="Times New Roman" w:hAnsi="Times New Roman"/>
                <w:sz w:val="24"/>
              </w:rPr>
              <w:t>W kwestii rozróżnienia pomiędzy pozycjami długimi</w:t>
            </w:r>
            <w:r w:rsidR="00E26EF6" w:rsidRPr="00E26EF6">
              <w:rPr>
                <w:rFonts w:ascii="Times New Roman" w:hAnsi="Times New Roman"/>
                <w:sz w:val="24"/>
              </w:rPr>
              <w:t xml:space="preserve"> i kró</w:t>
            </w:r>
            <w:r w:rsidRPr="00E26EF6">
              <w:rPr>
                <w:rFonts w:ascii="Times New Roman" w:hAnsi="Times New Roman"/>
                <w:sz w:val="24"/>
              </w:rPr>
              <w:t>tkimi, zob. art.</w:t>
            </w:r>
            <w:r w:rsidR="00023409" w:rsidRPr="00E26EF6">
              <w:rPr>
                <w:rFonts w:ascii="Times New Roman" w:hAnsi="Times New Roman"/>
                <w:sz w:val="24"/>
              </w:rPr>
              <w:t> </w:t>
            </w:r>
            <w:r w:rsidRPr="00E26EF6">
              <w:rPr>
                <w:rFonts w:ascii="Times New Roman" w:hAnsi="Times New Roman"/>
                <w:sz w:val="24"/>
              </w:rPr>
              <w:t>328 ust.</w:t>
            </w:r>
            <w:r w:rsidR="00023409" w:rsidRPr="00E26EF6">
              <w:rPr>
                <w:rFonts w:ascii="Times New Roman" w:hAnsi="Times New Roman"/>
                <w:sz w:val="24"/>
              </w:rPr>
              <w:t> </w:t>
            </w:r>
            <w:r w:rsidRPr="00E26EF6">
              <w:rPr>
                <w:rFonts w:ascii="Times New Roman" w:hAnsi="Times New Roman"/>
                <w:sz w:val="24"/>
              </w:rPr>
              <w:t>2 CRR.</w:t>
            </w:r>
          </w:p>
        </w:tc>
      </w:tr>
      <w:tr w:rsidR="00915077" w:rsidRPr="00E26EF6" w14:paraId="588F4FF8" w14:textId="77777777" w:rsidTr="00E10B85">
        <w:tc>
          <w:tcPr>
            <w:tcW w:w="1016" w:type="dxa"/>
          </w:tcPr>
          <w:p w14:paraId="1F613F3C"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071-097</w:t>
            </w:r>
          </w:p>
        </w:tc>
        <w:tc>
          <w:tcPr>
            <w:tcW w:w="7874" w:type="dxa"/>
          </w:tcPr>
          <w:p w14:paraId="70C3ABA6" w14:textId="059BA50B"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PODZIAŁ POZYCJI NETTO WEDŁUG WAG RYZYKA</w:t>
            </w:r>
          </w:p>
          <w:p w14:paraId="27E6B3E0" w14:textId="18CFAF28" w:rsidR="00915077" w:rsidRPr="00E26EF6" w:rsidRDefault="00133396">
            <w:pPr>
              <w:rPr>
                <w:rFonts w:ascii="Times New Roman" w:hAnsi="Times New Roman"/>
                <w:sz w:val="24"/>
                <w:highlight w:val="lightGray"/>
              </w:rPr>
            </w:pPr>
            <w:r w:rsidRPr="00E26EF6">
              <w:rPr>
                <w:rStyle w:val="InstructionsTabelleText"/>
                <w:rFonts w:ascii="Times New Roman" w:hAnsi="Times New Roman"/>
                <w:sz w:val="24"/>
              </w:rPr>
              <w:t>Art. 259–262, tabele 1</w:t>
            </w:r>
            <w:r w:rsidR="00E26EF6" w:rsidRPr="00E26EF6">
              <w:rPr>
                <w:rStyle w:val="InstructionsTabelleText"/>
                <w:rFonts w:ascii="Times New Roman" w:hAnsi="Times New Roman"/>
                <w:sz w:val="24"/>
              </w:rPr>
              <w:t xml:space="preserve"> i 2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263, tabele 3</w:t>
            </w:r>
            <w:r w:rsidR="00E26EF6" w:rsidRPr="00E26EF6">
              <w:rPr>
                <w:rStyle w:val="InstructionsTabelleText"/>
                <w:rFonts w:ascii="Times New Roman" w:hAnsi="Times New Roman"/>
                <w:sz w:val="24"/>
              </w:rPr>
              <w:t xml:space="preserve"> i 4 w art</w:t>
            </w:r>
            <w:r w:rsidRPr="00E26EF6">
              <w:rPr>
                <w:rStyle w:val="InstructionsTabelleText"/>
                <w:rFonts w:ascii="Times New Roman" w:hAnsi="Times New Roman"/>
                <w:sz w:val="24"/>
              </w:rPr>
              <w: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264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266 CRR.</w:t>
            </w:r>
          </w:p>
        </w:tc>
      </w:tr>
      <w:tr w:rsidR="00915077" w:rsidRPr="00E26EF6" w14:paraId="512F98C5" w14:textId="77777777" w:rsidTr="00E10B85">
        <w:tc>
          <w:tcPr>
            <w:tcW w:w="1016" w:type="dxa"/>
          </w:tcPr>
          <w:p w14:paraId="0CFBD4C2" w14:textId="77777777" w:rsidR="00915077" w:rsidRPr="00E26EF6" w:rsidRDefault="00C55547">
            <w:pPr>
              <w:rPr>
                <w:rFonts w:ascii="Times New Roman" w:hAnsi="Times New Roman"/>
                <w:sz w:val="24"/>
                <w:highlight w:val="lightGray"/>
              </w:rPr>
            </w:pPr>
            <w:r w:rsidRPr="00E26EF6">
              <w:rPr>
                <w:rFonts w:ascii="Times New Roman" w:hAnsi="Times New Roman"/>
                <w:sz w:val="24"/>
              </w:rPr>
              <w:t>402-406</w:t>
            </w:r>
          </w:p>
        </w:tc>
        <w:tc>
          <w:tcPr>
            <w:tcW w:w="7874" w:type="dxa"/>
          </w:tcPr>
          <w:p w14:paraId="341DCD07" w14:textId="1AD9FC1D" w:rsidR="00915077" w:rsidRPr="00E26EF6" w:rsidRDefault="00543964">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PODZIAŁ POZYCJI NETTO WEDŁUG METOD</w:t>
            </w:r>
          </w:p>
          <w:p w14:paraId="0BDDA5D5" w14:textId="368D3A2B" w:rsidR="00915077" w:rsidRPr="00E26EF6" w:rsidRDefault="00C55547">
            <w:pPr>
              <w:autoSpaceDE w:val="0"/>
              <w:autoSpaceDN w:val="0"/>
              <w:adjustRightInd w:val="0"/>
              <w:spacing w:before="0" w:after="0"/>
              <w:rPr>
                <w:rStyle w:val="InstructionsTabelleberschrift"/>
                <w:rFonts w:ascii="Times New Roman" w:hAnsi="Times New Roman"/>
                <w:sz w:val="24"/>
                <w:highlight w:val="lightGray"/>
              </w:rPr>
            </w:pPr>
            <w:r w:rsidRPr="00E26EF6">
              <w:rPr>
                <w:rStyle w:val="InstructionsTabelleText"/>
                <w:rFonts w:ascii="Times New Roman" w:hAnsi="Times New Roman"/>
                <w:sz w:val="24"/>
              </w:rPr>
              <w:t xml:space="preserve">Art. 254 CRR </w:t>
            </w:r>
          </w:p>
        </w:tc>
      </w:tr>
      <w:tr w:rsidR="00915077" w:rsidRPr="00E26EF6" w14:paraId="7D6C10C3" w14:textId="77777777" w:rsidTr="00E10B85">
        <w:tc>
          <w:tcPr>
            <w:tcW w:w="1016" w:type="dxa"/>
          </w:tcPr>
          <w:p w14:paraId="2A04A6D8" w14:textId="77777777" w:rsidR="00915077" w:rsidRPr="00E26EF6" w:rsidRDefault="00C55547">
            <w:pPr>
              <w:rPr>
                <w:rFonts w:ascii="Times New Roman" w:hAnsi="Times New Roman"/>
                <w:sz w:val="24"/>
                <w:highlight w:val="lightGray"/>
              </w:rPr>
            </w:pPr>
            <w:r w:rsidRPr="00E26EF6">
              <w:rPr>
                <w:rFonts w:ascii="Times New Roman" w:hAnsi="Times New Roman"/>
                <w:sz w:val="24"/>
              </w:rPr>
              <w:t>402</w:t>
            </w:r>
          </w:p>
        </w:tc>
        <w:tc>
          <w:tcPr>
            <w:tcW w:w="7874" w:type="dxa"/>
          </w:tcPr>
          <w:p w14:paraId="0F8167D1"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SEC-IRBA</w:t>
            </w:r>
          </w:p>
          <w:p w14:paraId="10ADFA68" w14:textId="1BEB108A" w:rsidR="00915077" w:rsidRPr="00E26EF6" w:rsidRDefault="00C55547">
            <w:pPr>
              <w:autoSpaceDE w:val="0"/>
              <w:autoSpaceDN w:val="0"/>
              <w:adjustRightInd w:val="0"/>
              <w:jc w:val="left"/>
              <w:rPr>
                <w:rStyle w:val="InstructionsTabelleberschrift"/>
                <w:rFonts w:ascii="Times New Roman" w:hAnsi="Times New Roman"/>
                <w:sz w:val="24"/>
                <w:highlight w:val="lightGray"/>
              </w:rPr>
            </w:pPr>
            <w:r w:rsidRPr="00E26EF6">
              <w:rPr>
                <w:rStyle w:val="InstructionsTabelleText"/>
                <w:rFonts w:ascii="Times New Roman" w:hAnsi="Times New Roman"/>
                <w:sz w:val="24"/>
              </w:rPr>
              <w:t>Art. 259</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60 CRR</w:t>
            </w:r>
          </w:p>
        </w:tc>
      </w:tr>
      <w:tr w:rsidR="00915077" w:rsidRPr="00E26EF6" w14:paraId="1603725B" w14:textId="77777777" w:rsidTr="00E10B85">
        <w:tc>
          <w:tcPr>
            <w:tcW w:w="1016" w:type="dxa"/>
          </w:tcPr>
          <w:p w14:paraId="35CC16C1" w14:textId="77777777" w:rsidR="00915077" w:rsidRPr="00E26EF6" w:rsidRDefault="00C55547">
            <w:pPr>
              <w:rPr>
                <w:rFonts w:ascii="Times New Roman" w:hAnsi="Times New Roman"/>
                <w:sz w:val="24"/>
                <w:highlight w:val="lightGray"/>
              </w:rPr>
            </w:pPr>
            <w:r w:rsidRPr="00E26EF6">
              <w:rPr>
                <w:rFonts w:ascii="Times New Roman" w:hAnsi="Times New Roman"/>
                <w:sz w:val="24"/>
              </w:rPr>
              <w:t>403</w:t>
            </w:r>
          </w:p>
        </w:tc>
        <w:tc>
          <w:tcPr>
            <w:tcW w:w="7874" w:type="dxa"/>
          </w:tcPr>
          <w:p w14:paraId="7191C526"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SEC-SA</w:t>
            </w:r>
          </w:p>
          <w:p w14:paraId="7A6529D9" w14:textId="504D1530" w:rsidR="00915077" w:rsidRPr="00E26EF6" w:rsidRDefault="00C55547">
            <w:pPr>
              <w:autoSpaceDE w:val="0"/>
              <w:autoSpaceDN w:val="0"/>
              <w:adjustRightInd w:val="0"/>
              <w:jc w:val="left"/>
              <w:rPr>
                <w:rStyle w:val="InstructionsTabelleberschrift"/>
                <w:rFonts w:ascii="Times New Roman" w:hAnsi="Times New Roman"/>
                <w:sz w:val="24"/>
                <w:highlight w:val="lightGray"/>
              </w:rPr>
            </w:pPr>
            <w:r w:rsidRPr="00E26EF6">
              <w:rPr>
                <w:rStyle w:val="InstructionsTabelleText"/>
                <w:rFonts w:ascii="Times New Roman" w:hAnsi="Times New Roman"/>
                <w:sz w:val="24"/>
              </w:rPr>
              <w:t>Art. 261</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62 CRR</w:t>
            </w:r>
          </w:p>
        </w:tc>
      </w:tr>
      <w:tr w:rsidR="00915077" w:rsidRPr="00E26EF6" w14:paraId="787A44CC" w14:textId="77777777" w:rsidTr="00E10B85">
        <w:tc>
          <w:tcPr>
            <w:tcW w:w="1016" w:type="dxa"/>
          </w:tcPr>
          <w:p w14:paraId="1D46CCFA" w14:textId="77777777" w:rsidR="00915077" w:rsidRPr="00E26EF6" w:rsidRDefault="00C55547">
            <w:pPr>
              <w:rPr>
                <w:rFonts w:ascii="Times New Roman" w:hAnsi="Times New Roman"/>
                <w:sz w:val="24"/>
                <w:highlight w:val="lightGray"/>
              </w:rPr>
            </w:pPr>
            <w:r w:rsidRPr="00E26EF6">
              <w:rPr>
                <w:rFonts w:ascii="Times New Roman" w:hAnsi="Times New Roman"/>
                <w:sz w:val="24"/>
              </w:rPr>
              <w:t>404</w:t>
            </w:r>
          </w:p>
        </w:tc>
        <w:tc>
          <w:tcPr>
            <w:tcW w:w="7874" w:type="dxa"/>
          </w:tcPr>
          <w:p w14:paraId="403243F9"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SEC-ERBA</w:t>
            </w:r>
          </w:p>
          <w:p w14:paraId="6F6107EF" w14:textId="59449CAA" w:rsidR="00915077" w:rsidRPr="00E26EF6" w:rsidRDefault="00C55547">
            <w:pPr>
              <w:autoSpaceDE w:val="0"/>
              <w:autoSpaceDN w:val="0"/>
              <w:adjustRightInd w:val="0"/>
              <w:jc w:val="left"/>
              <w:rPr>
                <w:rStyle w:val="InstructionsTabelleberschrift"/>
                <w:rFonts w:ascii="Times New Roman" w:hAnsi="Times New Roman"/>
                <w:sz w:val="24"/>
                <w:highlight w:val="lightGray"/>
              </w:rPr>
            </w:pPr>
            <w:r w:rsidRPr="00E26EF6">
              <w:rPr>
                <w:rStyle w:val="InstructionsTabelleText"/>
                <w:rFonts w:ascii="Times New Roman" w:hAnsi="Times New Roman"/>
                <w:sz w:val="24"/>
              </w:rPr>
              <w:t>Art. 263</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64 CRR</w:t>
            </w:r>
          </w:p>
        </w:tc>
      </w:tr>
      <w:tr w:rsidR="00915077" w:rsidRPr="00E26EF6" w14:paraId="74126E0F" w14:textId="77777777" w:rsidTr="00E10B85">
        <w:tc>
          <w:tcPr>
            <w:tcW w:w="1016" w:type="dxa"/>
          </w:tcPr>
          <w:p w14:paraId="05AE3262" w14:textId="77777777" w:rsidR="00915077" w:rsidRPr="00E26EF6" w:rsidRDefault="00C55547">
            <w:pPr>
              <w:rPr>
                <w:rFonts w:ascii="Times New Roman" w:hAnsi="Times New Roman"/>
                <w:sz w:val="24"/>
                <w:highlight w:val="lightGray"/>
              </w:rPr>
            </w:pPr>
            <w:r w:rsidRPr="00E26EF6">
              <w:rPr>
                <w:rFonts w:ascii="Times New Roman" w:hAnsi="Times New Roman"/>
                <w:sz w:val="24"/>
              </w:rPr>
              <w:t>405</w:t>
            </w:r>
          </w:p>
        </w:tc>
        <w:tc>
          <w:tcPr>
            <w:tcW w:w="7874" w:type="dxa"/>
          </w:tcPr>
          <w:p w14:paraId="06CF9F37" w14:textId="77777777"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METODA WEWNĘTRZNYCH OSZACOWAŃ</w:t>
            </w:r>
          </w:p>
          <w:p w14:paraId="4E6E2F1E" w14:textId="0DD6B74A" w:rsidR="00915077" w:rsidRPr="00E26EF6" w:rsidRDefault="00C55547">
            <w:pPr>
              <w:autoSpaceDE w:val="0"/>
              <w:autoSpaceDN w:val="0"/>
              <w:adjustRightInd w:val="0"/>
              <w:jc w:val="left"/>
              <w:rPr>
                <w:rStyle w:val="InstructionsTabelleberschrift"/>
                <w:rFonts w:ascii="Times New Roman" w:hAnsi="Times New Roman"/>
                <w:sz w:val="24"/>
                <w:highlight w:val="lightGray"/>
              </w:rPr>
            </w:pPr>
            <w:r w:rsidRPr="00E26EF6">
              <w:rPr>
                <w:rStyle w:val="InstructionsTabelleText"/>
                <w:rFonts w:ascii="Times New Roman" w:hAnsi="Times New Roman"/>
                <w:sz w:val="24"/>
              </w:rPr>
              <w:t>Art. 254</w:t>
            </w:r>
            <w:r w:rsidR="00E26EF6" w:rsidRPr="00E26EF6">
              <w:rPr>
                <w:rStyle w:val="InstructionsTabelleText"/>
                <w:rFonts w:ascii="Times New Roman" w:hAnsi="Times New Roman"/>
                <w:sz w:val="24"/>
              </w:rPr>
              <w:t xml:space="preserve"> i 2</w:t>
            </w:r>
            <w:r w:rsidRPr="00E26EF6">
              <w:rPr>
                <w:rStyle w:val="InstructionsTabelleText"/>
                <w:rFonts w:ascii="Times New Roman" w:hAnsi="Times New Roman"/>
                <w:sz w:val="24"/>
              </w:rPr>
              <w:t>65 oraz art.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266 ust.</w:t>
            </w:r>
            <w:r w:rsidR="00023409" w:rsidRPr="00E26EF6">
              <w:rPr>
                <w:rStyle w:val="InstructionsTabelleText"/>
                <w:rFonts w:ascii="Times New Roman" w:hAnsi="Times New Roman"/>
                <w:sz w:val="24"/>
              </w:rPr>
              <w:t> </w:t>
            </w:r>
            <w:r w:rsidRPr="00E26EF6">
              <w:rPr>
                <w:rStyle w:val="InstructionsTabelleText"/>
                <w:rFonts w:ascii="Times New Roman" w:hAnsi="Times New Roman"/>
                <w:sz w:val="24"/>
              </w:rPr>
              <w:t>5 CRR.</w:t>
            </w:r>
          </w:p>
        </w:tc>
      </w:tr>
      <w:tr w:rsidR="00915077" w:rsidRPr="00E26EF6" w14:paraId="2935A030" w14:textId="77777777" w:rsidTr="00E10B85">
        <w:tc>
          <w:tcPr>
            <w:tcW w:w="1016" w:type="dxa"/>
          </w:tcPr>
          <w:p w14:paraId="02151F54" w14:textId="77777777" w:rsidR="00915077" w:rsidRPr="00E26EF6" w:rsidRDefault="00C55547">
            <w:pPr>
              <w:rPr>
                <w:rFonts w:ascii="Times New Roman" w:hAnsi="Times New Roman"/>
                <w:sz w:val="24"/>
                <w:highlight w:val="lightGray"/>
              </w:rPr>
            </w:pPr>
            <w:r w:rsidRPr="00E26EF6">
              <w:rPr>
                <w:rFonts w:ascii="Times New Roman" w:hAnsi="Times New Roman"/>
                <w:sz w:val="24"/>
              </w:rPr>
              <w:t>406</w:t>
            </w:r>
          </w:p>
        </w:tc>
        <w:tc>
          <w:tcPr>
            <w:tcW w:w="7874" w:type="dxa"/>
          </w:tcPr>
          <w:p w14:paraId="7F5F7FF3" w14:textId="088490A9" w:rsidR="00915077" w:rsidRPr="00E26EF6" w:rsidRDefault="00C55547">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INNE (RW = 1 250</w:t>
            </w:r>
            <w:r w:rsidR="00023409" w:rsidRPr="00E26EF6">
              <w:rPr>
                <w:rFonts w:ascii="Times New Roman" w:hAnsi="Times New Roman"/>
                <w:b/>
                <w:bCs/>
                <w:sz w:val="24"/>
                <w:u w:val="single"/>
              </w:rPr>
              <w:t> </w:t>
            </w:r>
            <w:r w:rsidRPr="00E26EF6">
              <w:rPr>
                <w:rFonts w:ascii="Times New Roman" w:hAnsi="Times New Roman"/>
                <w:b/>
                <w:bCs/>
                <w:sz w:val="24"/>
                <w:u w:val="single"/>
              </w:rPr>
              <w:t>%)</w:t>
            </w:r>
          </w:p>
          <w:p w14:paraId="5C224172" w14:textId="0BD89175" w:rsidR="00915077" w:rsidRPr="00E26EF6" w:rsidRDefault="00C55547">
            <w:pPr>
              <w:autoSpaceDE w:val="0"/>
              <w:autoSpaceDN w:val="0"/>
              <w:adjustRightInd w:val="0"/>
              <w:jc w:val="left"/>
              <w:rPr>
                <w:rStyle w:val="InstructionsTabelleberschrift"/>
                <w:rFonts w:ascii="Times New Roman" w:hAnsi="Times New Roman"/>
                <w:sz w:val="24"/>
                <w:highlight w:val="lightGray"/>
              </w:rPr>
            </w:pPr>
            <w:r w:rsidRPr="00E26EF6">
              <w:rPr>
                <w:rStyle w:val="InstructionsTabelleText"/>
                <w:rFonts w:ascii="Times New Roman" w:hAnsi="Times New Roman"/>
                <w:sz w:val="24"/>
              </w:rPr>
              <w:t>Art. 254 ust. 7 CRR</w:t>
            </w:r>
          </w:p>
        </w:tc>
      </w:tr>
      <w:tr w:rsidR="00915077" w:rsidRPr="00E26EF6" w14:paraId="415733AE" w14:textId="77777777" w:rsidTr="00E10B85">
        <w:tc>
          <w:tcPr>
            <w:tcW w:w="1016" w:type="dxa"/>
          </w:tcPr>
          <w:p w14:paraId="3814AFD4" w14:textId="0E50F3FF" w:rsidR="00915077" w:rsidRPr="00E26EF6" w:rsidRDefault="00C55547">
            <w:pPr>
              <w:rPr>
                <w:rFonts w:ascii="Times New Roman" w:hAnsi="Times New Roman"/>
                <w:sz w:val="24"/>
                <w:highlight w:val="lightGray"/>
              </w:rPr>
            </w:pPr>
            <w:r w:rsidRPr="00E26EF6">
              <w:rPr>
                <w:rFonts w:ascii="Times New Roman" w:hAnsi="Times New Roman"/>
                <w:sz w:val="24"/>
              </w:rPr>
              <w:t>410-420</w:t>
            </w:r>
          </w:p>
        </w:tc>
        <w:tc>
          <w:tcPr>
            <w:tcW w:w="7874" w:type="dxa"/>
          </w:tcPr>
          <w:p w14:paraId="0CAA16CF"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PRZED UWZGLĘDNIENIEM PUŁAPU – WAŻONE POZYCJE DŁUGIE I KRÓTKIE NETTO</w:t>
            </w:r>
          </w:p>
          <w:p w14:paraId="665E0E4B" w14:textId="674C8513" w:rsidR="00915077" w:rsidRPr="00E26EF6" w:rsidRDefault="00C55547">
            <w:pPr>
              <w:rPr>
                <w:rFonts w:ascii="Times New Roman" w:hAnsi="Times New Roman"/>
                <w:sz w:val="24"/>
                <w:highlight w:val="lightGray"/>
              </w:rPr>
            </w:pPr>
            <w:r w:rsidRPr="00E26EF6">
              <w:rPr>
                <w:rFonts w:ascii="Times New Roman" w:hAnsi="Times New Roman"/>
                <w:sz w:val="24"/>
              </w:rPr>
              <w:t>Art. 338 CRR, bez uwzględnienia swobody uznania przewidzianej</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335 CRR.</w:t>
            </w:r>
          </w:p>
        </w:tc>
      </w:tr>
      <w:tr w:rsidR="00915077" w:rsidRPr="00E26EF6" w14:paraId="7E47DA23" w14:textId="77777777" w:rsidTr="00E10B85">
        <w:tc>
          <w:tcPr>
            <w:tcW w:w="1016" w:type="dxa"/>
          </w:tcPr>
          <w:p w14:paraId="792E9786" w14:textId="515B2BDB" w:rsidR="00915077" w:rsidRPr="00E26EF6" w:rsidRDefault="00C55547">
            <w:pPr>
              <w:rPr>
                <w:rFonts w:ascii="Times New Roman" w:hAnsi="Times New Roman"/>
                <w:sz w:val="24"/>
                <w:highlight w:val="lightGray"/>
              </w:rPr>
            </w:pPr>
            <w:r w:rsidRPr="00E26EF6">
              <w:rPr>
                <w:rFonts w:ascii="Times New Roman" w:hAnsi="Times New Roman"/>
                <w:sz w:val="24"/>
              </w:rPr>
              <w:t>430-440</w:t>
            </w:r>
          </w:p>
        </w:tc>
        <w:tc>
          <w:tcPr>
            <w:tcW w:w="7874" w:type="dxa"/>
          </w:tcPr>
          <w:p w14:paraId="0B77DEE0"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PO UWZGLĘDNIENIU PUŁAPU – WAŻONE POZYCJE DŁUGIE I KRÓTKIE NETTO</w:t>
            </w:r>
          </w:p>
          <w:p w14:paraId="10AE0022" w14:textId="2915A8CD" w:rsidR="00915077" w:rsidRPr="00E26EF6" w:rsidRDefault="00C55547">
            <w:pPr>
              <w:rPr>
                <w:rFonts w:ascii="Times New Roman" w:hAnsi="Times New Roman"/>
                <w:sz w:val="24"/>
                <w:highlight w:val="lightGray"/>
              </w:rPr>
            </w:pPr>
            <w:r w:rsidRPr="00E26EF6">
              <w:rPr>
                <w:rFonts w:ascii="Times New Roman" w:hAnsi="Times New Roman"/>
                <w:sz w:val="24"/>
              </w:rPr>
              <w:t>Art. 338 CRR, uwzględniając swobodę uznania przewidzianą</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335 CRR. </w:t>
            </w:r>
          </w:p>
        </w:tc>
      </w:tr>
      <w:tr w:rsidR="00915077" w:rsidRPr="00E26EF6" w14:paraId="6533939A" w14:textId="77777777" w:rsidTr="00E10B85">
        <w:tc>
          <w:tcPr>
            <w:tcW w:w="1016" w:type="dxa"/>
          </w:tcPr>
          <w:p w14:paraId="7B641B84" w14:textId="48F90AB1" w:rsidR="00915077" w:rsidRPr="00E26EF6" w:rsidRDefault="00C55547">
            <w:pPr>
              <w:rPr>
                <w:rFonts w:ascii="Times New Roman" w:hAnsi="Times New Roman"/>
                <w:sz w:val="24"/>
                <w:highlight w:val="lightGray"/>
              </w:rPr>
            </w:pPr>
            <w:r w:rsidRPr="00E26EF6">
              <w:rPr>
                <w:rFonts w:ascii="Times New Roman" w:hAnsi="Times New Roman"/>
                <w:sz w:val="24"/>
              </w:rPr>
              <w:t>450</w:t>
            </w:r>
          </w:p>
        </w:tc>
        <w:tc>
          <w:tcPr>
            <w:tcW w:w="7874" w:type="dxa"/>
          </w:tcPr>
          <w:p w14:paraId="4A808D57"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CAŁKOWITE WYMOGI W ZAKRESIE FUNDUSZY WŁASNYCH</w:t>
            </w:r>
          </w:p>
          <w:p w14:paraId="40BB1C25" w14:textId="36B9C236" w:rsidR="00915077" w:rsidRPr="00E26EF6" w:rsidRDefault="00C55547">
            <w:pPr>
              <w:rPr>
                <w:rFonts w:ascii="Times New Roman" w:hAnsi="Times New Roman"/>
                <w:sz w:val="24"/>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 ustala się jako większą</w:t>
            </w:r>
            <w:r w:rsidR="00E26EF6" w:rsidRPr="00E26EF6">
              <w:rPr>
                <w:rFonts w:ascii="Times New Roman" w:hAnsi="Times New Roman"/>
                <w:sz w:val="24"/>
              </w:rPr>
              <w:t xml:space="preserve"> z nas</w:t>
            </w:r>
            <w:r w:rsidRPr="00E26EF6">
              <w:rPr>
                <w:rFonts w:ascii="Times New Roman" w:hAnsi="Times New Roman"/>
                <w:sz w:val="24"/>
              </w:rPr>
              <w:t>tępujących wartości: (i) narzut kapitałowy</w:t>
            </w:r>
            <w:r w:rsidR="00E26EF6" w:rsidRPr="00E26EF6">
              <w:rPr>
                <w:rFonts w:ascii="Times New Roman" w:hAnsi="Times New Roman"/>
                <w:sz w:val="24"/>
              </w:rPr>
              <w:t xml:space="preserve"> z tyt</w:t>
            </w:r>
            <w:r w:rsidRPr="00E26EF6">
              <w:rPr>
                <w:rFonts w:ascii="Times New Roman" w:hAnsi="Times New Roman"/>
                <w:sz w:val="24"/>
              </w:rPr>
              <w:t>ułu ryzyka szczególnego, który byłby stosowany wyłącznie</w:t>
            </w:r>
            <w:r w:rsidR="00E26EF6" w:rsidRPr="00E26EF6">
              <w:rPr>
                <w:rFonts w:ascii="Times New Roman" w:hAnsi="Times New Roman"/>
                <w:sz w:val="24"/>
              </w:rPr>
              <w:t xml:space="preserve"> w odn</w:t>
            </w:r>
            <w:r w:rsidRPr="00E26EF6">
              <w:rPr>
                <w:rFonts w:ascii="Times New Roman" w:hAnsi="Times New Roman"/>
                <w:sz w:val="24"/>
              </w:rPr>
              <w:t>iesieniu do pozycji długich netto (kolumna 430) lub (ii) narzut kapitałowy</w:t>
            </w:r>
            <w:r w:rsidR="00E26EF6" w:rsidRPr="00E26EF6">
              <w:rPr>
                <w:rFonts w:ascii="Times New Roman" w:hAnsi="Times New Roman"/>
                <w:sz w:val="24"/>
              </w:rPr>
              <w:t xml:space="preserve"> z tyt</w:t>
            </w:r>
            <w:r w:rsidRPr="00E26EF6">
              <w:rPr>
                <w:rFonts w:ascii="Times New Roman" w:hAnsi="Times New Roman"/>
                <w:sz w:val="24"/>
              </w:rPr>
              <w:t>ułu ryzyka szczególnego, który byłby stosowany wyłącznie</w:t>
            </w:r>
            <w:r w:rsidR="00E26EF6" w:rsidRPr="00E26EF6">
              <w:rPr>
                <w:rFonts w:ascii="Times New Roman" w:hAnsi="Times New Roman"/>
                <w:sz w:val="24"/>
              </w:rPr>
              <w:t xml:space="preserve"> w odn</w:t>
            </w:r>
            <w:r w:rsidRPr="00E26EF6">
              <w:rPr>
                <w:rFonts w:ascii="Times New Roman" w:hAnsi="Times New Roman"/>
                <w:sz w:val="24"/>
              </w:rPr>
              <w:t>iesieniu do pozycji krótkich netto (kolumna 440).</w:t>
            </w:r>
          </w:p>
        </w:tc>
      </w:tr>
    </w:tbl>
    <w:p w14:paraId="06B264D3" w14:textId="77777777" w:rsidR="00915077" w:rsidRPr="00E26EF6" w:rsidRDefault="00915077">
      <w:pPr>
        <w:autoSpaceDE w:val="0"/>
        <w:autoSpaceDN w:val="0"/>
        <w:adjustRightInd w:val="0"/>
        <w:spacing w:before="0" w:after="0"/>
        <w:rPr>
          <w:rFonts w:ascii="Times New Roman" w:hAnsi="Times New Roman"/>
          <w:sz w:val="24"/>
        </w:rPr>
      </w:pPr>
    </w:p>
    <w:p w14:paraId="04D29905" w14:textId="77777777" w:rsidR="00915077" w:rsidRPr="00E26EF6" w:rsidRDefault="0091507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915077" w:rsidRPr="00E26EF6" w14:paraId="595BF6EB" w14:textId="77777777" w:rsidTr="00E10B85">
        <w:trPr>
          <w:trHeight w:val="642"/>
        </w:trPr>
        <w:tc>
          <w:tcPr>
            <w:tcW w:w="9212" w:type="dxa"/>
            <w:gridSpan w:val="2"/>
            <w:shd w:val="clear" w:color="auto" w:fill="CCCCCC"/>
          </w:tcPr>
          <w:p w14:paraId="1E45084B" w14:textId="77777777" w:rsidR="00915077" w:rsidRPr="00E26EF6" w:rsidRDefault="00C55547">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Wiersze</w:t>
            </w:r>
          </w:p>
        </w:tc>
      </w:tr>
      <w:tr w:rsidR="00915077" w:rsidRPr="00E26EF6" w14:paraId="4355B670" w14:textId="77777777" w:rsidTr="00E10B85">
        <w:tc>
          <w:tcPr>
            <w:tcW w:w="1008" w:type="dxa"/>
          </w:tcPr>
          <w:p w14:paraId="381C6EC3"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w:t>
            </w:r>
          </w:p>
        </w:tc>
        <w:tc>
          <w:tcPr>
            <w:tcW w:w="8204" w:type="dxa"/>
          </w:tcPr>
          <w:p w14:paraId="35D1FD11"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EKSPOZYCJE CAŁKOWITE</w:t>
            </w:r>
          </w:p>
          <w:p w14:paraId="53E640ED" w14:textId="51D87FAA" w:rsidR="00915077" w:rsidRPr="00E26EF6" w:rsidRDefault="00C55547">
            <w:pPr>
              <w:rPr>
                <w:rFonts w:ascii="Times New Roman" w:hAnsi="Times New Roman"/>
                <w:sz w:val="24"/>
                <w:highlight w:val="lightGray"/>
              </w:rPr>
            </w:pPr>
            <w:r w:rsidRPr="00E26EF6">
              <w:rPr>
                <w:rFonts w:ascii="Times New Roman" w:hAnsi="Times New Roman"/>
                <w:sz w:val="24"/>
              </w:rPr>
              <w:t>Całkowita kwota pozycji pozostających do uregulowania (przechowywanych</w:t>
            </w:r>
            <w:r w:rsidR="00E26EF6" w:rsidRPr="00E26EF6">
              <w:rPr>
                <w:rFonts w:ascii="Times New Roman" w:hAnsi="Times New Roman"/>
                <w:sz w:val="24"/>
              </w:rPr>
              <w:t xml:space="preserve"> w kor</w:t>
            </w:r>
            <w:r w:rsidRPr="00E26EF6">
              <w:rPr>
                <w:rFonts w:ascii="Times New Roman" w:hAnsi="Times New Roman"/>
                <w:sz w:val="24"/>
              </w:rPr>
              <w:t>elacyjnym portfelu handlowym) zgłoszonych przez instytucję pełniącą rolę jednostki inicjującej lub sponsorującej.</w:t>
            </w:r>
          </w:p>
        </w:tc>
      </w:tr>
      <w:tr w:rsidR="00915077" w:rsidRPr="00E26EF6" w14:paraId="3938E94C" w14:textId="77777777" w:rsidTr="00E10B85">
        <w:tc>
          <w:tcPr>
            <w:tcW w:w="1008" w:type="dxa"/>
          </w:tcPr>
          <w:p w14:paraId="4A44C792"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020-040</w:t>
            </w:r>
          </w:p>
        </w:tc>
        <w:tc>
          <w:tcPr>
            <w:tcW w:w="8204" w:type="dxa"/>
          </w:tcPr>
          <w:p w14:paraId="4BA9008F"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JEDNOSTKA INICJUJĄCA</w:t>
            </w:r>
          </w:p>
          <w:p w14:paraId="2D874398" w14:textId="5D777302" w:rsidR="00915077" w:rsidRPr="00E26EF6" w:rsidRDefault="00E64BFE">
            <w:pPr>
              <w:rPr>
                <w:rFonts w:ascii="Times New Roman" w:hAnsi="Times New Roman"/>
                <w:sz w:val="24"/>
                <w:highlight w:val="lightGray"/>
              </w:rPr>
            </w:pPr>
            <w:r w:rsidRPr="00E26EF6">
              <w:rPr>
                <w:rFonts w:ascii="Times New Roman" w:hAnsi="Times New Roman"/>
                <w:sz w:val="24"/>
              </w:rPr>
              <w:t>Art. 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 xml:space="preserve">13 CRR </w:t>
            </w:r>
          </w:p>
        </w:tc>
      </w:tr>
      <w:tr w:rsidR="00915077" w:rsidRPr="00E26EF6" w14:paraId="1B3F2041" w14:textId="77777777" w:rsidTr="00E10B85">
        <w:tc>
          <w:tcPr>
            <w:tcW w:w="1008" w:type="dxa"/>
          </w:tcPr>
          <w:p w14:paraId="575AE299"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050-070</w:t>
            </w:r>
          </w:p>
        </w:tc>
        <w:tc>
          <w:tcPr>
            <w:tcW w:w="8204" w:type="dxa"/>
          </w:tcPr>
          <w:p w14:paraId="54B3E731"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INWESTOR</w:t>
            </w:r>
          </w:p>
          <w:p w14:paraId="14B913F3" w14:textId="6910E555" w:rsidR="00915077" w:rsidRPr="00E26EF6" w:rsidRDefault="00C55547">
            <w:pPr>
              <w:rPr>
                <w:rFonts w:ascii="Times New Roman" w:hAnsi="Times New Roman"/>
                <w:sz w:val="24"/>
                <w:highlight w:val="lightGray"/>
              </w:rPr>
            </w:pPr>
            <w:r w:rsidRPr="00E26EF6">
              <w:rPr>
                <w:rFonts w:ascii="Times New Roman" w:hAnsi="Times New Roman"/>
                <w:sz w:val="24"/>
              </w:rPr>
              <w:t>Instytucja kredytowa będąca posiadaczem pozycji sekurytyzacyjnych</w:t>
            </w:r>
            <w:r w:rsidR="00E26EF6" w:rsidRPr="00E26EF6">
              <w:rPr>
                <w:rFonts w:ascii="Times New Roman" w:hAnsi="Times New Roman"/>
                <w:sz w:val="24"/>
              </w:rPr>
              <w:t xml:space="preserve"> w ram</w:t>
            </w:r>
            <w:r w:rsidRPr="00E26EF6">
              <w:rPr>
                <w:rFonts w:ascii="Times New Roman" w:hAnsi="Times New Roman"/>
                <w:sz w:val="24"/>
              </w:rPr>
              <w:t>ach transakcji sekurytyzacyjnych,</w:t>
            </w:r>
            <w:r w:rsidR="00E26EF6" w:rsidRPr="00E26EF6">
              <w:rPr>
                <w:rFonts w:ascii="Times New Roman" w:hAnsi="Times New Roman"/>
                <w:sz w:val="24"/>
              </w:rPr>
              <w:t xml:space="preserve"> w odn</w:t>
            </w:r>
            <w:r w:rsidRPr="00E26EF6">
              <w:rPr>
                <w:rFonts w:ascii="Times New Roman" w:hAnsi="Times New Roman"/>
                <w:sz w:val="24"/>
              </w:rPr>
              <w:t>iesieniu do których nie pełni roli jednostki inicjującej, jednostki sponsorującej ani pierwotnego kredytodawcy</w:t>
            </w:r>
          </w:p>
        </w:tc>
      </w:tr>
      <w:tr w:rsidR="00915077" w:rsidRPr="00E26EF6" w14:paraId="64F90258" w14:textId="77777777" w:rsidTr="00E10B85">
        <w:tc>
          <w:tcPr>
            <w:tcW w:w="1008" w:type="dxa"/>
          </w:tcPr>
          <w:p w14:paraId="5FC52252"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080-100</w:t>
            </w:r>
          </w:p>
        </w:tc>
        <w:tc>
          <w:tcPr>
            <w:tcW w:w="8204" w:type="dxa"/>
          </w:tcPr>
          <w:p w14:paraId="28C29349"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JEDNOSTKA SPONSORUJĄCA</w:t>
            </w:r>
          </w:p>
          <w:p w14:paraId="4B9915C9" w14:textId="45D973A3" w:rsidR="00915077" w:rsidRPr="00E26EF6" w:rsidRDefault="00E64BFE">
            <w:pPr>
              <w:rPr>
                <w:rFonts w:ascii="Times New Roman" w:hAnsi="Times New Roman"/>
                <w:sz w:val="24"/>
              </w:rPr>
            </w:pPr>
            <w:r w:rsidRPr="00E26EF6">
              <w:rPr>
                <w:rFonts w:ascii="Times New Roman" w:hAnsi="Times New Roman"/>
                <w:sz w:val="24"/>
              </w:rPr>
              <w:t>Art. 4 ust.</w:t>
            </w:r>
            <w:r w:rsidR="00023409" w:rsidRPr="00E26EF6">
              <w:rPr>
                <w:rFonts w:ascii="Times New Roman" w:hAnsi="Times New Roman"/>
                <w:sz w:val="24"/>
              </w:rPr>
              <w:t> </w:t>
            </w:r>
            <w:r w:rsidRPr="00E26EF6">
              <w:rPr>
                <w:rFonts w:ascii="Times New Roman" w:hAnsi="Times New Roman"/>
                <w:sz w:val="24"/>
              </w:rPr>
              <w:t>1 pkt</w:t>
            </w:r>
            <w:r w:rsidR="00023409" w:rsidRPr="00E26EF6">
              <w:rPr>
                <w:rFonts w:ascii="Times New Roman" w:hAnsi="Times New Roman"/>
                <w:sz w:val="24"/>
              </w:rPr>
              <w:t> </w:t>
            </w:r>
            <w:r w:rsidRPr="00E26EF6">
              <w:rPr>
                <w:rFonts w:ascii="Times New Roman" w:hAnsi="Times New Roman"/>
                <w:sz w:val="24"/>
              </w:rPr>
              <w:t xml:space="preserve">14 CRR </w:t>
            </w:r>
          </w:p>
          <w:p w14:paraId="4AE597AF" w14:textId="3DCDD088" w:rsidR="00915077" w:rsidRPr="00E26EF6" w:rsidRDefault="005F3BBE">
            <w:pPr>
              <w:rPr>
                <w:rFonts w:ascii="Times New Roman" w:hAnsi="Times New Roman"/>
                <w:sz w:val="24"/>
                <w:highlight w:val="lightGray"/>
              </w:rPr>
            </w:pPr>
            <w:r w:rsidRPr="00E26EF6">
              <w:rPr>
                <w:rFonts w:ascii="Times New Roman" w:hAnsi="Times New Roman"/>
                <w:sz w:val="24"/>
              </w:rPr>
              <w:t>Jednostka sponsorująca, która sekurytyzuje również swoje aktywa własne, wypełnia wiersze przeznaczone dla jednostki inicjującej, przedstawiając informacje dotyczące sekurytyzowanych przez siebie aktywów własnych.</w:t>
            </w:r>
          </w:p>
        </w:tc>
      </w:tr>
      <w:tr w:rsidR="00915077" w:rsidRPr="00E26EF6" w14:paraId="5F06ED76" w14:textId="77777777" w:rsidTr="00E10B85">
        <w:tc>
          <w:tcPr>
            <w:tcW w:w="1008" w:type="dxa"/>
          </w:tcPr>
          <w:p w14:paraId="3FDBC7C8" w14:textId="12555242"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030 060</w:t>
            </w:r>
            <w:r w:rsidR="00E26EF6" w:rsidRPr="00E26EF6">
              <w:rPr>
                <w:rFonts w:ascii="Times New Roman" w:hAnsi="Times New Roman"/>
                <w:sz w:val="24"/>
              </w:rPr>
              <w:t xml:space="preserve"> i 0</w:t>
            </w:r>
            <w:r w:rsidRPr="00E26EF6">
              <w:rPr>
                <w:rFonts w:ascii="Times New Roman" w:hAnsi="Times New Roman"/>
                <w:sz w:val="24"/>
              </w:rPr>
              <w:t>90</w:t>
            </w:r>
          </w:p>
        </w:tc>
        <w:tc>
          <w:tcPr>
            <w:tcW w:w="8204" w:type="dxa"/>
          </w:tcPr>
          <w:p w14:paraId="6D8C0704" w14:textId="1BC5BEA9"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POZYCJE SEKURYTYZACYJNE</w:t>
            </w:r>
          </w:p>
          <w:p w14:paraId="2FF6099C" w14:textId="12CC08F7" w:rsidR="00915077" w:rsidRPr="00E26EF6" w:rsidRDefault="00C55547">
            <w:pPr>
              <w:rPr>
                <w:rFonts w:ascii="Times New Roman" w:hAnsi="Times New Roman"/>
                <w:sz w:val="24"/>
              </w:rPr>
            </w:pPr>
            <w:r w:rsidRPr="00E26EF6">
              <w:rPr>
                <w:rFonts w:ascii="Times New Roman" w:hAnsi="Times New Roman"/>
                <w:sz w:val="24"/>
              </w:rPr>
              <w:t>Korelacyjny portfel handlowy obejmuje sekurytyzacje, kredytowe instrumenty pochodne uruchamiane n-tym niewykonaniem zobowiązania oraz, potencjalnie, inne zabezpieczane pozycje spełniające kryteria ustanowione</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338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3</w:t>
            </w:r>
            <w:r w:rsidRPr="00E26EF6">
              <w:rPr>
                <w:rFonts w:ascii="Times New Roman" w:hAnsi="Times New Roman"/>
                <w:sz w:val="24"/>
              </w:rPr>
              <w:t xml:space="preserve"> CRR.</w:t>
            </w:r>
          </w:p>
          <w:p w14:paraId="5739C9FE" w14:textId="086E3DCF" w:rsidR="00915077" w:rsidRPr="00E26EF6" w:rsidRDefault="00C55547">
            <w:pPr>
              <w:rPr>
                <w:rFonts w:ascii="Times New Roman" w:hAnsi="Times New Roman"/>
                <w:sz w:val="24"/>
                <w:highlight w:val="lightGray"/>
              </w:rPr>
            </w:pPr>
            <w:r w:rsidRPr="00E26EF6">
              <w:rPr>
                <w:rFonts w:ascii="Times New Roman" w:hAnsi="Times New Roman"/>
                <w:sz w:val="24"/>
              </w:rPr>
              <w:t>Instrumenty pochodne ekspozycji sekurytyzacyjnych, które zapewniają proporcjonalny udział,</w:t>
            </w:r>
            <w:r w:rsidR="00E26EF6" w:rsidRPr="00E26EF6">
              <w:rPr>
                <w:rFonts w:ascii="Times New Roman" w:hAnsi="Times New Roman"/>
                <w:sz w:val="24"/>
              </w:rPr>
              <w:t xml:space="preserve"> a tak</w:t>
            </w:r>
            <w:r w:rsidRPr="00E26EF6">
              <w:rPr>
                <w:rFonts w:ascii="Times New Roman" w:hAnsi="Times New Roman"/>
                <w:sz w:val="24"/>
              </w:rPr>
              <w:t>że pozycje zabezpieczające pozycje ujmowane</w:t>
            </w:r>
            <w:r w:rsidR="00E26EF6" w:rsidRPr="00E26EF6">
              <w:rPr>
                <w:rFonts w:ascii="Times New Roman" w:hAnsi="Times New Roman"/>
                <w:sz w:val="24"/>
              </w:rPr>
              <w:t xml:space="preserve"> w kor</w:t>
            </w:r>
            <w:r w:rsidRPr="00E26EF6">
              <w:rPr>
                <w:rFonts w:ascii="Times New Roman" w:hAnsi="Times New Roman"/>
                <w:sz w:val="24"/>
              </w:rPr>
              <w:t>elacyjnym portfelu handlowym ujmuje się</w:t>
            </w:r>
            <w:r w:rsidR="00E26EF6" w:rsidRPr="00E26EF6">
              <w:rPr>
                <w:rFonts w:ascii="Times New Roman" w:hAnsi="Times New Roman"/>
                <w:sz w:val="24"/>
              </w:rPr>
              <w:t xml:space="preserve"> w wie</w:t>
            </w:r>
            <w:r w:rsidRPr="00E26EF6">
              <w:rPr>
                <w:rFonts w:ascii="Times New Roman" w:hAnsi="Times New Roman"/>
                <w:sz w:val="24"/>
              </w:rPr>
              <w:t>rszu „Inne pozycje</w:t>
            </w:r>
            <w:r w:rsidR="00E26EF6" w:rsidRPr="00E26EF6">
              <w:rPr>
                <w:rFonts w:ascii="Times New Roman" w:hAnsi="Times New Roman"/>
                <w:sz w:val="24"/>
              </w:rPr>
              <w:t xml:space="preserve"> w kor</w:t>
            </w:r>
            <w:r w:rsidRPr="00E26EF6">
              <w:rPr>
                <w:rFonts w:ascii="Times New Roman" w:hAnsi="Times New Roman"/>
                <w:sz w:val="24"/>
              </w:rPr>
              <w:t>elacyjnym portfelu handlowym”.</w:t>
            </w:r>
          </w:p>
        </w:tc>
      </w:tr>
      <w:tr w:rsidR="00915077" w:rsidRPr="00E26EF6" w14:paraId="184CDEEA" w14:textId="77777777" w:rsidTr="00E10B85">
        <w:tc>
          <w:tcPr>
            <w:tcW w:w="1008" w:type="dxa"/>
          </w:tcPr>
          <w:p w14:paraId="27D0C00E" w14:textId="77777777"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110</w:t>
            </w:r>
          </w:p>
        </w:tc>
        <w:tc>
          <w:tcPr>
            <w:tcW w:w="8204" w:type="dxa"/>
          </w:tcPr>
          <w:p w14:paraId="0E649A0D"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KREDYTOWE INSTRUMENTY POCHODNE URUCHAMIANE N-TYM NIEWYKONANIEM ZOBOWIĄZANIA</w:t>
            </w:r>
          </w:p>
          <w:p w14:paraId="4476AAB5" w14:textId="70BADFEC" w:rsidR="00915077" w:rsidRPr="00E26EF6" w:rsidRDefault="00C55547">
            <w:pPr>
              <w:rPr>
                <w:rFonts w:ascii="Times New Roman" w:hAnsi="Times New Roman"/>
                <w:sz w:val="24"/>
              </w:rPr>
            </w:pPr>
            <w:r w:rsidRPr="00E26EF6">
              <w:rPr>
                <w:rFonts w:ascii="Times New Roman" w:hAnsi="Times New Roman"/>
                <w:sz w:val="24"/>
              </w:rPr>
              <w:t>Kredytowe instrumenty pochodne uruchamiane n-tym niewykonaniem zobowiązania zabezpieczane kredytowymi instrumentami pochodnymi uruchamianymi n-tym niewykonaniem zobowiązania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347 CRR zgłasza się</w:t>
            </w:r>
            <w:r w:rsidR="00E26EF6" w:rsidRPr="00E26EF6">
              <w:rPr>
                <w:rFonts w:ascii="Times New Roman" w:hAnsi="Times New Roman"/>
                <w:sz w:val="24"/>
              </w:rPr>
              <w:t xml:space="preserve"> w prz</w:t>
            </w:r>
            <w:r w:rsidRPr="00E26EF6">
              <w:rPr>
                <w:rFonts w:ascii="Times New Roman" w:hAnsi="Times New Roman"/>
                <w:sz w:val="24"/>
              </w:rPr>
              <w:t>edmiotowej pozycji.</w:t>
            </w:r>
          </w:p>
          <w:p w14:paraId="177FAE42" w14:textId="01989065" w:rsidR="00915077" w:rsidRPr="00E26EF6" w:rsidRDefault="00C55547">
            <w:pPr>
              <w:rPr>
                <w:rFonts w:ascii="Times New Roman" w:hAnsi="Times New Roman"/>
                <w:sz w:val="24"/>
                <w:highlight w:val="lightGray"/>
              </w:rPr>
            </w:pPr>
            <w:r w:rsidRPr="00E26EF6">
              <w:rPr>
                <w:rFonts w:ascii="Times New Roman" w:hAnsi="Times New Roman"/>
                <w:sz w:val="24"/>
              </w:rPr>
              <w:t>Jednostka inicjująca, inwestor lub jednostka sponsorująca</w:t>
            </w:r>
            <w:r w:rsidR="00E26EF6" w:rsidRPr="00E26EF6">
              <w:rPr>
                <w:rFonts w:ascii="Times New Roman" w:hAnsi="Times New Roman"/>
                <w:sz w:val="24"/>
              </w:rPr>
              <w:t xml:space="preserve"> w ram</w:t>
            </w:r>
            <w:r w:rsidRPr="00E26EF6">
              <w:rPr>
                <w:rFonts w:ascii="Times New Roman" w:hAnsi="Times New Roman"/>
                <w:sz w:val="24"/>
              </w:rPr>
              <w:t>ach danej pozycji nie jest brana pod uwagę</w:t>
            </w:r>
            <w:r w:rsidR="00E26EF6" w:rsidRPr="00E26EF6">
              <w:rPr>
                <w:rFonts w:ascii="Times New Roman" w:hAnsi="Times New Roman"/>
                <w:sz w:val="24"/>
              </w:rPr>
              <w:t xml:space="preserve"> w kon</w:t>
            </w:r>
            <w:r w:rsidRPr="00E26EF6">
              <w:rPr>
                <w:rFonts w:ascii="Times New Roman" w:hAnsi="Times New Roman"/>
                <w:sz w:val="24"/>
              </w:rPr>
              <w:t>tekście kredytowych instrumentów pochodnych uruchamianych n-tym niewykonaniem zobowiązania</w:t>
            </w:r>
            <w:r w:rsidR="00E26EF6" w:rsidRPr="00E26EF6">
              <w:rPr>
                <w:rFonts w:ascii="Times New Roman" w:hAnsi="Times New Roman"/>
                <w:sz w:val="24"/>
              </w:rPr>
              <w:t>. W kon</w:t>
            </w:r>
            <w:r w:rsidRPr="00E26EF6">
              <w:rPr>
                <w:rFonts w:ascii="Times New Roman" w:hAnsi="Times New Roman"/>
                <w:sz w:val="24"/>
              </w:rPr>
              <w:t>sekwencji kredytowych instrumentów pochodnych uruchamianych n-tym niewykonaniem zobowiązania nie można podzielić</w:t>
            </w:r>
            <w:r w:rsidR="00E26EF6" w:rsidRPr="00E26EF6">
              <w:rPr>
                <w:rFonts w:ascii="Times New Roman" w:hAnsi="Times New Roman"/>
                <w:sz w:val="24"/>
              </w:rPr>
              <w:t xml:space="preserve"> w pod</w:t>
            </w:r>
            <w:r w:rsidRPr="00E26EF6">
              <w:rPr>
                <w:rFonts w:ascii="Times New Roman" w:hAnsi="Times New Roman"/>
                <w:sz w:val="24"/>
              </w:rPr>
              <w:t>obny sposób jak pozycji sekurytyzacyjnych.</w:t>
            </w:r>
          </w:p>
        </w:tc>
      </w:tr>
      <w:tr w:rsidR="00915077" w:rsidRPr="00E26EF6" w14:paraId="29930146" w14:textId="77777777" w:rsidTr="00E10B85">
        <w:tc>
          <w:tcPr>
            <w:tcW w:w="1008" w:type="dxa"/>
          </w:tcPr>
          <w:p w14:paraId="58106EAE" w14:textId="413C0B2D" w:rsidR="00915077" w:rsidRPr="00E26EF6" w:rsidRDefault="00C55547">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040, 070, 100</w:t>
            </w:r>
            <w:r w:rsidR="00E26EF6" w:rsidRPr="00E26EF6">
              <w:rPr>
                <w:rFonts w:ascii="Times New Roman" w:hAnsi="Times New Roman"/>
                <w:sz w:val="24"/>
              </w:rPr>
              <w:t xml:space="preserve"> i 1</w:t>
            </w:r>
            <w:r w:rsidRPr="00E26EF6">
              <w:rPr>
                <w:rFonts w:ascii="Times New Roman" w:hAnsi="Times New Roman"/>
                <w:sz w:val="24"/>
              </w:rPr>
              <w:t>20</w:t>
            </w:r>
          </w:p>
        </w:tc>
        <w:tc>
          <w:tcPr>
            <w:tcW w:w="8204" w:type="dxa"/>
          </w:tcPr>
          <w:p w14:paraId="0972E17B" w14:textId="77777777" w:rsidR="00915077" w:rsidRPr="00E26EF6" w:rsidRDefault="00C55547">
            <w:pPr>
              <w:rPr>
                <w:rStyle w:val="InstructionsTabelleberschrift"/>
                <w:rFonts w:ascii="Times New Roman" w:hAnsi="Times New Roman"/>
                <w:sz w:val="24"/>
              </w:rPr>
            </w:pPr>
            <w:r w:rsidRPr="00E26EF6">
              <w:rPr>
                <w:rStyle w:val="InstructionsTabelleberschrift"/>
                <w:rFonts w:ascii="Times New Roman" w:hAnsi="Times New Roman"/>
                <w:sz w:val="24"/>
              </w:rPr>
              <w:t>INNE POZYCJE UJĘTE W KORELACYJNYM PORTFELU HANDLOWYM</w:t>
            </w:r>
          </w:p>
          <w:p w14:paraId="1740DE1D" w14:textId="75717A0B" w:rsidR="00915077" w:rsidRPr="00E26EF6" w:rsidRDefault="00C55547">
            <w:pPr>
              <w:rPr>
                <w:rFonts w:ascii="Times New Roman" w:hAnsi="Times New Roman"/>
                <w:sz w:val="24"/>
              </w:rPr>
            </w:pPr>
            <w:r w:rsidRPr="00E26EF6">
              <w:rPr>
                <w:rFonts w:ascii="Times New Roman" w:hAnsi="Times New Roman"/>
                <w:sz w:val="24"/>
              </w:rPr>
              <w:t xml:space="preserve">Uwzględnione są następujące pozycje: </w:t>
            </w:r>
          </w:p>
          <w:p w14:paraId="2E95BB61" w14:textId="40C0BCBD" w:rsidR="00915077" w:rsidRPr="00E26EF6" w:rsidRDefault="00C55547">
            <w:pPr>
              <w:tabs>
                <w:tab w:val="left" w:pos="720"/>
              </w:tabs>
              <w:ind w:left="720" w:hanging="360"/>
              <w:rPr>
                <w:rFonts w:ascii="Times New Roman" w:hAnsi="Times New Roman"/>
                <w:sz w:val="24"/>
              </w:rPr>
            </w:pPr>
            <w:r w:rsidRPr="00E26EF6">
              <w:rPr>
                <w:rFonts w:ascii="Symbol" w:hAnsi="Symbol"/>
                <w:sz w:val="24"/>
              </w:rPr>
              <w:t></w:t>
            </w:r>
            <w:r w:rsidRPr="00E26EF6">
              <w:rPr>
                <w:rFonts w:ascii="Symbol" w:hAnsi="Symbol"/>
                <w:sz w:val="24"/>
              </w:rPr>
              <w:tab/>
            </w:r>
            <w:r w:rsidRPr="00E26EF6">
              <w:rPr>
                <w:rFonts w:ascii="Times New Roman" w:hAnsi="Times New Roman"/>
                <w:sz w:val="24"/>
              </w:rPr>
              <w:t>instrumenty pochodne ekspozycji sekurytyzacyjnych, które zapewniają proporcjonalny udział,</w:t>
            </w:r>
            <w:r w:rsidR="00E26EF6" w:rsidRPr="00E26EF6">
              <w:rPr>
                <w:rFonts w:ascii="Times New Roman" w:hAnsi="Times New Roman"/>
                <w:sz w:val="24"/>
              </w:rPr>
              <w:t xml:space="preserve"> a tak</w:t>
            </w:r>
            <w:r w:rsidRPr="00E26EF6">
              <w:rPr>
                <w:rFonts w:ascii="Times New Roman" w:hAnsi="Times New Roman"/>
                <w:sz w:val="24"/>
              </w:rPr>
              <w:t>że pozycje zabezpieczające pozycje ujmowane</w:t>
            </w:r>
            <w:r w:rsidR="00E26EF6" w:rsidRPr="00E26EF6">
              <w:rPr>
                <w:rFonts w:ascii="Times New Roman" w:hAnsi="Times New Roman"/>
                <w:sz w:val="24"/>
              </w:rPr>
              <w:t xml:space="preserve"> w kor</w:t>
            </w:r>
            <w:r w:rsidRPr="00E26EF6">
              <w:rPr>
                <w:rFonts w:ascii="Times New Roman" w:hAnsi="Times New Roman"/>
                <w:sz w:val="24"/>
              </w:rPr>
              <w:t>elacyjnym portfelu handlowym;</w:t>
            </w:r>
          </w:p>
          <w:p w14:paraId="41423E99" w14:textId="4CD508A5" w:rsidR="00915077" w:rsidRPr="00E26EF6" w:rsidRDefault="00C55547">
            <w:pPr>
              <w:tabs>
                <w:tab w:val="left" w:pos="720"/>
              </w:tabs>
              <w:ind w:left="720" w:hanging="360"/>
              <w:rPr>
                <w:rFonts w:ascii="Times New Roman" w:hAnsi="Times New Roman"/>
                <w:sz w:val="24"/>
              </w:rPr>
            </w:pPr>
            <w:r w:rsidRPr="00E26EF6">
              <w:rPr>
                <w:rFonts w:ascii="Symbol" w:hAnsi="Symbol"/>
                <w:sz w:val="24"/>
              </w:rPr>
              <w:t></w:t>
            </w:r>
            <w:r w:rsidRPr="00E26EF6">
              <w:rPr>
                <w:rFonts w:ascii="Symbol" w:hAnsi="Symbol"/>
                <w:sz w:val="24"/>
              </w:rPr>
              <w:tab/>
            </w:r>
            <w:r w:rsidRPr="00E26EF6">
              <w:rPr>
                <w:rFonts w:ascii="Times New Roman" w:hAnsi="Times New Roman"/>
                <w:sz w:val="24"/>
              </w:rPr>
              <w:t>pozycje ujęte</w:t>
            </w:r>
            <w:r w:rsidR="00E26EF6" w:rsidRPr="00E26EF6">
              <w:rPr>
                <w:rFonts w:ascii="Times New Roman" w:hAnsi="Times New Roman"/>
                <w:sz w:val="24"/>
              </w:rPr>
              <w:t xml:space="preserve"> w kor</w:t>
            </w:r>
            <w:r w:rsidRPr="00E26EF6">
              <w:rPr>
                <w:rFonts w:ascii="Times New Roman" w:hAnsi="Times New Roman"/>
                <w:sz w:val="24"/>
              </w:rPr>
              <w:t>elacyjnym portfelu handlowym zabezpieczone kredytowymi instrumentami pochodnymi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346 CRR;</w:t>
            </w:r>
          </w:p>
          <w:p w14:paraId="2AE83702" w14:textId="5A38F097" w:rsidR="00915077" w:rsidRPr="00E26EF6" w:rsidRDefault="00C55547">
            <w:pPr>
              <w:tabs>
                <w:tab w:val="left" w:pos="720"/>
              </w:tabs>
              <w:ind w:left="720" w:hanging="360"/>
              <w:rPr>
                <w:rFonts w:ascii="Times New Roman" w:hAnsi="Times New Roman"/>
                <w:sz w:val="24"/>
              </w:rPr>
            </w:pPr>
            <w:r w:rsidRPr="00E26EF6">
              <w:rPr>
                <w:rFonts w:ascii="Symbol" w:hAnsi="Symbol"/>
                <w:sz w:val="24"/>
              </w:rPr>
              <w:t></w:t>
            </w:r>
            <w:r w:rsidRPr="00E26EF6">
              <w:rPr>
                <w:rFonts w:ascii="Symbol" w:hAnsi="Symbol"/>
                <w:sz w:val="24"/>
              </w:rPr>
              <w:tab/>
            </w:r>
            <w:r w:rsidRPr="00E26EF6">
              <w:rPr>
                <w:rFonts w:ascii="Times New Roman" w:hAnsi="Times New Roman"/>
                <w:sz w:val="24"/>
              </w:rPr>
              <w:t>inne pozycje spełniające warunki określone</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338 ust.</w:t>
            </w:r>
            <w:r w:rsidR="00023409" w:rsidRPr="00E26EF6">
              <w:rPr>
                <w:rFonts w:ascii="Times New Roman" w:hAnsi="Times New Roman"/>
                <w:sz w:val="24"/>
              </w:rPr>
              <w:t> </w:t>
            </w:r>
            <w:r w:rsidRPr="00E26EF6">
              <w:rPr>
                <w:rFonts w:ascii="Times New Roman" w:hAnsi="Times New Roman"/>
                <w:sz w:val="24"/>
              </w:rPr>
              <w:t>3 CRR.</w:t>
            </w:r>
          </w:p>
        </w:tc>
      </w:tr>
    </w:tbl>
    <w:p w14:paraId="07A4A117" w14:textId="77777777" w:rsidR="00915077" w:rsidRPr="00E26EF6" w:rsidRDefault="00915077">
      <w:pPr>
        <w:autoSpaceDE w:val="0"/>
        <w:autoSpaceDN w:val="0"/>
        <w:adjustRightInd w:val="0"/>
        <w:spacing w:before="0" w:after="0"/>
        <w:rPr>
          <w:rFonts w:ascii="Times New Roman" w:hAnsi="Times New Roman"/>
          <w:sz w:val="24"/>
        </w:rPr>
      </w:pPr>
    </w:p>
    <w:p w14:paraId="51C4ADD8" w14:textId="68B27EA9" w:rsidR="00915077" w:rsidRPr="00E26EF6" w:rsidRDefault="00125707">
      <w:pPr>
        <w:pStyle w:val="Instructionsberschrift2"/>
        <w:numPr>
          <w:ilvl w:val="0"/>
          <w:numId w:val="0"/>
        </w:numPr>
        <w:ind w:left="357" w:hanging="357"/>
        <w:rPr>
          <w:rFonts w:ascii="Times New Roman" w:hAnsi="Times New Roman" w:cs="Times New Roman"/>
          <w:sz w:val="24"/>
        </w:rPr>
      </w:pPr>
      <w:bookmarkStart w:id="93" w:name="_Toc31014390"/>
      <w:r w:rsidRPr="00E26EF6">
        <w:rPr>
          <w:rFonts w:ascii="Times New Roman" w:hAnsi="Times New Roman"/>
          <w:sz w:val="24"/>
          <w:u w:val="none"/>
        </w:rPr>
        <w:t>5.4.</w:t>
      </w:r>
      <w:r w:rsidRPr="00E26EF6">
        <w:rPr>
          <w:rFonts w:ascii="Times New Roman" w:hAnsi="Times New Roman"/>
          <w:sz w:val="24"/>
          <w:u w:val="none"/>
        </w:rPr>
        <w:tab/>
      </w:r>
      <w:r w:rsidRPr="00E26EF6">
        <w:rPr>
          <w:rFonts w:ascii="Times New Roman" w:hAnsi="Times New Roman"/>
          <w:sz w:val="24"/>
        </w:rPr>
        <w:t>C 21.00 – Ryzyko rynkowe: ryzyko pozycji związane</w:t>
      </w:r>
      <w:r w:rsidR="00E26EF6" w:rsidRPr="00E26EF6">
        <w:rPr>
          <w:rFonts w:ascii="Times New Roman" w:hAnsi="Times New Roman"/>
          <w:sz w:val="24"/>
        </w:rPr>
        <w:t xml:space="preserve"> z pap</w:t>
      </w:r>
      <w:r w:rsidRPr="00E26EF6">
        <w:rPr>
          <w:rFonts w:ascii="Times New Roman" w:hAnsi="Times New Roman"/>
          <w:sz w:val="24"/>
        </w:rPr>
        <w:t>ierami kapitałowymi według metody standardowej (MKR SA EQU)</w:t>
      </w:r>
      <w:bookmarkEnd w:id="93"/>
    </w:p>
    <w:p w14:paraId="014E240B"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4" w:name="_Toc31014391"/>
      <w:r w:rsidRPr="00E26EF6">
        <w:rPr>
          <w:rFonts w:ascii="Times New Roman" w:hAnsi="Times New Roman"/>
          <w:sz w:val="24"/>
          <w:u w:val="none"/>
        </w:rPr>
        <w:t>5.4.1.</w:t>
      </w:r>
      <w:r w:rsidRPr="00E26EF6">
        <w:rPr>
          <w:rFonts w:ascii="Times New Roman" w:hAnsi="Times New Roman"/>
          <w:sz w:val="24"/>
          <w:u w:val="none"/>
        </w:rPr>
        <w:tab/>
      </w:r>
      <w:r w:rsidRPr="00E26EF6">
        <w:rPr>
          <w:rFonts w:ascii="Times New Roman" w:hAnsi="Times New Roman"/>
          <w:sz w:val="24"/>
        </w:rPr>
        <w:t>Uwagi ogólne</w:t>
      </w:r>
      <w:bookmarkEnd w:id="94"/>
    </w:p>
    <w:p w14:paraId="2DC9750B" w14:textId="44089D67" w:rsidR="00915077" w:rsidRPr="00E26EF6" w:rsidRDefault="00125707">
      <w:pPr>
        <w:pStyle w:val="InstructionsText2"/>
        <w:numPr>
          <w:ilvl w:val="0"/>
          <w:numId w:val="0"/>
        </w:numPr>
        <w:ind w:left="993"/>
      </w:pPr>
      <w:r w:rsidRPr="00E26EF6">
        <w:t>148.</w:t>
      </w:r>
      <w:r w:rsidRPr="00E26EF6">
        <w:tab/>
        <w:t xml:space="preserve"> W przedmiotowym wzorze należy przedstawić informacje</w:t>
      </w:r>
      <w:r w:rsidR="00E26EF6" w:rsidRPr="00E26EF6">
        <w:t xml:space="preserve"> o poz</w:t>
      </w:r>
      <w:r w:rsidRPr="00E26EF6">
        <w:t>ycjach</w:t>
      </w:r>
      <w:r w:rsidR="00E26EF6" w:rsidRPr="00E26EF6">
        <w:t xml:space="preserve"> i odp</w:t>
      </w:r>
      <w:r w:rsidRPr="00E26EF6">
        <w:t>owiednich wymogach</w:t>
      </w:r>
      <w:r w:rsidR="00E26EF6" w:rsidRPr="00E26EF6">
        <w:t xml:space="preserve"> w zak</w:t>
      </w:r>
      <w:r w:rsidRPr="00E26EF6">
        <w:t>resie funduszy własnych dotyczących ryzyka pozycji związanego</w:t>
      </w:r>
      <w:r w:rsidR="00E26EF6" w:rsidRPr="00E26EF6">
        <w:t xml:space="preserve"> z pap</w:t>
      </w:r>
      <w:r w:rsidRPr="00E26EF6">
        <w:t>ierami kapitałowymi przechowywanymi</w:t>
      </w:r>
      <w:r w:rsidR="00E26EF6" w:rsidRPr="00E26EF6">
        <w:t xml:space="preserve"> w por</w:t>
      </w:r>
      <w:r w:rsidRPr="00E26EF6">
        <w:t>tfelu handlowym</w:t>
      </w:r>
      <w:r w:rsidR="00E26EF6" w:rsidRPr="00E26EF6">
        <w:t xml:space="preserve"> i ujm</w:t>
      </w:r>
      <w:r w:rsidRPr="00E26EF6">
        <w:t>owanych zgodnie</w:t>
      </w:r>
      <w:r w:rsidR="00E26EF6" w:rsidRPr="00E26EF6">
        <w:t xml:space="preserve"> z met</w:t>
      </w:r>
      <w:r w:rsidRPr="00E26EF6">
        <w:t>odą standardową.</w:t>
      </w:r>
    </w:p>
    <w:p w14:paraId="249BDF92" w14:textId="661E17B5" w:rsidR="00915077" w:rsidRPr="00E26EF6" w:rsidRDefault="00125707">
      <w:pPr>
        <w:pStyle w:val="InstructionsText2"/>
        <w:numPr>
          <w:ilvl w:val="0"/>
          <w:numId w:val="0"/>
        </w:numPr>
        <w:ind w:left="993"/>
      </w:pPr>
      <w:r w:rsidRPr="00E26EF6">
        <w:lastRenderedPageBreak/>
        <w:t>149.</w:t>
      </w:r>
      <w:r w:rsidRPr="00E26EF6">
        <w:tab/>
        <w:t xml:space="preserve"> W odniesieniu do pozycji „Razem” należy wypełnić osobny wzór; kolejny wzór wypełnia się dla stałej, wcześniej ustalonej listy następujących rynków: Bułgaria, Chorwacja, Republika Czeska, Dania, Egipt, Węgry, Islandia, Liechtenstein, Norwegia, Polska, Rumunia, Szwecja, Zjednoczone Królestwo, Albania, Japonia, była jugosłowiańska republika Macedonii, Federacja Rosyjska, Serbia, Szwajcaria, Turcja, Ukraina, Stany Zjednoczone Ameryki, strefa euro oraz jeden wzór rezydualny dla wszystkich pozostałych rynków. Do celów niniejszego obowiązku sprawozdawczego termin „rynek” oznacza „państwo” (z wyjątkiem państw należących do strefy euro, zob. rozporządzenie delegowane Komisji (UE) nr</w:t>
      </w:r>
      <w:r w:rsidR="00023409" w:rsidRPr="00E26EF6">
        <w:t> </w:t>
      </w:r>
      <w:r w:rsidRPr="00E26EF6">
        <w:t>525/2014</w:t>
      </w:r>
      <w:r w:rsidRPr="00E26EF6">
        <w:rPr>
          <w:rStyle w:val="FootnoteReference"/>
          <w:rFonts w:ascii="Times New Roman" w:hAnsi="Times New Roman"/>
          <w:sz w:val="24"/>
          <w:szCs w:val="24"/>
          <w:vertAlign w:val="superscript"/>
        </w:rPr>
        <w:footnoteReference w:id="15"/>
      </w:r>
      <w:r w:rsidRPr="00E26EF6">
        <w:t>).</w:t>
      </w:r>
    </w:p>
    <w:p w14:paraId="0ADCA857"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5" w:name="_Toc31014392"/>
      <w:r w:rsidRPr="00E26EF6">
        <w:rPr>
          <w:rFonts w:ascii="Times New Roman" w:hAnsi="Times New Roman"/>
          <w:sz w:val="24"/>
          <w:u w:val="none"/>
        </w:rPr>
        <w:t>5.4.2.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15077" w:rsidRPr="00E26EF6" w14:paraId="0D1FD3F9" w14:textId="77777777" w:rsidTr="00672D2A">
        <w:trPr>
          <w:trHeight w:val="626"/>
        </w:trPr>
        <w:tc>
          <w:tcPr>
            <w:tcW w:w="8862" w:type="dxa"/>
            <w:gridSpan w:val="2"/>
            <w:shd w:val="clear" w:color="auto" w:fill="CCCCCC"/>
          </w:tcPr>
          <w:p w14:paraId="4E32C797" w14:textId="77777777" w:rsidR="00915077" w:rsidRPr="00E26EF6" w:rsidRDefault="000B0B09">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Kolumny</w:t>
            </w:r>
          </w:p>
        </w:tc>
      </w:tr>
      <w:tr w:rsidR="00915077" w:rsidRPr="00E26EF6" w14:paraId="44C5D299" w14:textId="77777777" w:rsidTr="00672D2A">
        <w:tc>
          <w:tcPr>
            <w:tcW w:w="988" w:type="dxa"/>
          </w:tcPr>
          <w:p w14:paraId="1913A6AA"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010-020</w:t>
            </w:r>
          </w:p>
        </w:tc>
        <w:tc>
          <w:tcPr>
            <w:tcW w:w="7874" w:type="dxa"/>
          </w:tcPr>
          <w:p w14:paraId="21ED8BDF" w14:textId="77777777" w:rsidR="00915077" w:rsidRPr="00E26EF6" w:rsidRDefault="000B0B09">
            <w:pPr>
              <w:autoSpaceDE w:val="0"/>
              <w:autoSpaceDN w:val="0"/>
              <w:adjustRightInd w:val="0"/>
              <w:rPr>
                <w:rFonts w:ascii="Times New Roman" w:hAnsi="Times New Roman"/>
                <w:b/>
                <w:bCs/>
                <w:sz w:val="24"/>
                <w:u w:val="single"/>
              </w:rPr>
            </w:pPr>
            <w:r w:rsidRPr="00E26EF6">
              <w:rPr>
                <w:rFonts w:ascii="Times New Roman" w:hAnsi="Times New Roman"/>
                <w:b/>
                <w:bCs/>
                <w:sz w:val="24"/>
                <w:u w:val="single"/>
              </w:rPr>
              <w:t>WSZYSTKIE POZYCJE (DŁUGIE I KRÓTKIE)</w:t>
            </w:r>
          </w:p>
          <w:p w14:paraId="0C196EB7" w14:textId="17E48BCC" w:rsidR="00915077" w:rsidRPr="00E26EF6" w:rsidRDefault="000B0B09">
            <w:pPr>
              <w:autoSpaceDE w:val="0"/>
              <w:autoSpaceDN w:val="0"/>
              <w:adjustRightInd w:val="0"/>
              <w:spacing w:before="0"/>
              <w:rPr>
                <w:rFonts w:ascii="Times New Roman" w:hAnsi="Times New Roman"/>
                <w:sz w:val="24"/>
              </w:rPr>
            </w:pPr>
            <w:r w:rsidRPr="00E26EF6">
              <w:rPr>
                <w:rFonts w:ascii="Times New Roman" w:hAnsi="Times New Roman"/>
                <w:sz w:val="24"/>
              </w:rPr>
              <w:t>Art. 102</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105 ust.</w:t>
            </w:r>
            <w:r w:rsidR="00023409" w:rsidRPr="00E26EF6">
              <w:rPr>
                <w:rFonts w:ascii="Times New Roman" w:hAnsi="Times New Roman"/>
                <w:sz w:val="24"/>
              </w:rPr>
              <w:t> </w:t>
            </w:r>
            <w:r w:rsidRPr="00E26EF6">
              <w:rPr>
                <w:rFonts w:ascii="Times New Roman" w:hAnsi="Times New Roman"/>
                <w:sz w:val="24"/>
              </w:rPr>
              <w:t xml:space="preserve">1 CRR. </w:t>
            </w:r>
          </w:p>
          <w:p w14:paraId="46B910C9" w14:textId="73DF0925" w:rsidR="00915077" w:rsidRPr="00E26EF6" w:rsidRDefault="000B0B09">
            <w:pPr>
              <w:autoSpaceDE w:val="0"/>
              <w:autoSpaceDN w:val="0"/>
              <w:adjustRightInd w:val="0"/>
              <w:spacing w:before="0"/>
              <w:rPr>
                <w:rFonts w:ascii="Times New Roman" w:hAnsi="Times New Roman"/>
                <w:sz w:val="24"/>
                <w:highlight w:val="lightGray"/>
              </w:rPr>
            </w:pPr>
            <w:r w:rsidRPr="00E26EF6">
              <w:rPr>
                <w:rFonts w:ascii="Times New Roman" w:hAnsi="Times New Roman"/>
                <w:sz w:val="24"/>
              </w:rPr>
              <w:t>Są to pozycje brutto nieskompensowane przez instrumenty,</w:t>
            </w:r>
            <w:r w:rsidR="00E26EF6" w:rsidRPr="00E26EF6">
              <w:rPr>
                <w:rFonts w:ascii="Times New Roman" w:hAnsi="Times New Roman"/>
                <w:sz w:val="24"/>
              </w:rPr>
              <w:t xml:space="preserve"> z wył</w:t>
            </w:r>
            <w:r w:rsidRPr="00E26EF6">
              <w:rPr>
                <w:rFonts w:ascii="Times New Roman" w:hAnsi="Times New Roman"/>
                <w:sz w:val="24"/>
              </w:rPr>
              <w:t>ączeniem pozycji</w:t>
            </w:r>
            <w:r w:rsidR="00E26EF6" w:rsidRPr="00E26EF6">
              <w:rPr>
                <w:rFonts w:ascii="Times New Roman" w:hAnsi="Times New Roman"/>
                <w:sz w:val="24"/>
              </w:rPr>
              <w:t xml:space="preserve"> z tyt</w:t>
            </w:r>
            <w:r w:rsidRPr="00E26EF6">
              <w:rPr>
                <w:rFonts w:ascii="Times New Roman" w:hAnsi="Times New Roman"/>
                <w:sz w:val="24"/>
              </w:rPr>
              <w:t>ułu gwarantowania emisji, które są subskrybowane lub regwarantowane przez osoby trzecie,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345 ust.</w:t>
            </w:r>
            <w:r w:rsidR="00023409" w:rsidRPr="00E26EF6">
              <w:rPr>
                <w:rFonts w:ascii="Times New Roman" w:hAnsi="Times New Roman"/>
                <w:sz w:val="24"/>
              </w:rPr>
              <w:t> </w:t>
            </w:r>
            <w:r w:rsidRPr="00E26EF6">
              <w:rPr>
                <w:rFonts w:ascii="Times New Roman" w:hAnsi="Times New Roman"/>
                <w:sz w:val="24"/>
              </w:rPr>
              <w:t xml:space="preserve">1 akapit pierwszy zdanie drugie CRR. </w:t>
            </w:r>
          </w:p>
        </w:tc>
      </w:tr>
      <w:tr w:rsidR="00915077" w:rsidRPr="00E26EF6" w14:paraId="5BB4F368" w14:textId="77777777" w:rsidTr="00672D2A">
        <w:tc>
          <w:tcPr>
            <w:tcW w:w="988" w:type="dxa"/>
          </w:tcPr>
          <w:p w14:paraId="742D20C7"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 xml:space="preserve">030-040 </w:t>
            </w:r>
          </w:p>
        </w:tc>
        <w:tc>
          <w:tcPr>
            <w:tcW w:w="7874" w:type="dxa"/>
          </w:tcPr>
          <w:p w14:paraId="024F7366"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NETTO (DŁUGIE I KRÓTKIE)</w:t>
            </w:r>
          </w:p>
          <w:p w14:paraId="60CE0C26" w14:textId="4F55E67D" w:rsidR="00915077" w:rsidRPr="00E26EF6" w:rsidRDefault="000B0B09">
            <w:pPr>
              <w:autoSpaceDE w:val="0"/>
              <w:autoSpaceDN w:val="0"/>
              <w:adjustRightInd w:val="0"/>
              <w:rPr>
                <w:rFonts w:ascii="Times New Roman" w:hAnsi="Times New Roman"/>
                <w:sz w:val="24"/>
                <w:highlight w:val="lightGray"/>
              </w:rPr>
            </w:pPr>
            <w:r w:rsidRPr="00E26EF6">
              <w:rPr>
                <w:rFonts w:ascii="Times New Roman" w:hAnsi="Times New Roman"/>
                <w:sz w:val="24"/>
              </w:rPr>
              <w:t>Art. 327, 329, 332, 341</w:t>
            </w:r>
            <w:r w:rsidR="00E26EF6" w:rsidRPr="00E26EF6">
              <w:rPr>
                <w:rFonts w:ascii="Times New Roman" w:hAnsi="Times New Roman"/>
                <w:sz w:val="24"/>
              </w:rPr>
              <w:t xml:space="preserve"> i 3</w:t>
            </w:r>
            <w:r w:rsidRPr="00E26EF6">
              <w:rPr>
                <w:rFonts w:ascii="Times New Roman" w:hAnsi="Times New Roman"/>
                <w:sz w:val="24"/>
              </w:rPr>
              <w:t xml:space="preserve">45 CRR </w:t>
            </w:r>
          </w:p>
        </w:tc>
      </w:tr>
      <w:tr w:rsidR="00915077" w:rsidRPr="00E26EF6" w14:paraId="6D268F9B" w14:textId="77777777" w:rsidTr="00672D2A">
        <w:tc>
          <w:tcPr>
            <w:tcW w:w="988" w:type="dxa"/>
          </w:tcPr>
          <w:p w14:paraId="47EAC24F"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050</w:t>
            </w:r>
          </w:p>
        </w:tc>
        <w:tc>
          <w:tcPr>
            <w:tcW w:w="7874" w:type="dxa"/>
          </w:tcPr>
          <w:p w14:paraId="142D2F43" w14:textId="77777777" w:rsidR="00915077" w:rsidRPr="00E26EF6" w:rsidRDefault="000B0B09">
            <w:pPr>
              <w:tabs>
                <w:tab w:val="left" w:pos="5795"/>
              </w:tabs>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PODLEGAJĄCE NARZUTOWI KAPITAŁOWEMU</w:t>
            </w:r>
          </w:p>
          <w:p w14:paraId="17FCE457" w14:textId="7DEA64F8" w:rsidR="00915077" w:rsidRPr="00E26EF6" w:rsidRDefault="000B0B09">
            <w:pPr>
              <w:autoSpaceDE w:val="0"/>
              <w:autoSpaceDN w:val="0"/>
              <w:adjustRightInd w:val="0"/>
              <w:spacing w:after="0"/>
              <w:rPr>
                <w:rFonts w:ascii="Times New Roman" w:hAnsi="Times New Roman"/>
                <w:sz w:val="24"/>
              </w:rPr>
            </w:pPr>
            <w:r w:rsidRPr="00E26EF6">
              <w:rPr>
                <w:rFonts w:ascii="Times New Roman" w:hAnsi="Times New Roman"/>
                <w:sz w:val="24"/>
              </w:rPr>
              <w:t>Te pozycje netto, które zgodnie</w:t>
            </w:r>
            <w:r w:rsidR="00E26EF6" w:rsidRPr="00E26EF6">
              <w:rPr>
                <w:rFonts w:ascii="Times New Roman" w:hAnsi="Times New Roman"/>
                <w:sz w:val="24"/>
              </w:rPr>
              <w:t xml:space="preserve"> z róż</w:t>
            </w:r>
            <w:r w:rsidRPr="00E26EF6">
              <w:rPr>
                <w:rFonts w:ascii="Times New Roman" w:hAnsi="Times New Roman"/>
                <w:sz w:val="24"/>
              </w:rPr>
              <w:t>nymi metodami uwzględnionymi</w:t>
            </w:r>
            <w:r w:rsidR="00E26EF6" w:rsidRPr="00E26EF6">
              <w:rPr>
                <w:rFonts w:ascii="Times New Roman" w:hAnsi="Times New Roman"/>
                <w:sz w:val="24"/>
              </w:rPr>
              <w:t xml:space="preserve"> w czę</w:t>
            </w:r>
            <w:r w:rsidRPr="00E26EF6">
              <w:rPr>
                <w:rFonts w:ascii="Times New Roman" w:hAnsi="Times New Roman"/>
                <w:sz w:val="24"/>
              </w:rPr>
              <w:t>ści trzeciej tytuł IV rozdział 2 CRR otrzymują narzut kapitałowy. Narzut kapitałowy należy obliczyć osobno dla każdego rynku krajowego</w:t>
            </w:r>
            <w:r w:rsidR="00E26EF6" w:rsidRPr="00E26EF6">
              <w:rPr>
                <w:rFonts w:ascii="Times New Roman" w:hAnsi="Times New Roman"/>
                <w:sz w:val="24"/>
              </w:rPr>
              <w:t>. W tej</w:t>
            </w:r>
            <w:r w:rsidRPr="00E26EF6">
              <w:rPr>
                <w:rFonts w:ascii="Times New Roman" w:hAnsi="Times New Roman"/>
                <w:sz w:val="24"/>
              </w:rPr>
              <w:t xml:space="preserve"> kolumnie nie uwzględnia się pozycji</w:t>
            </w:r>
            <w:r w:rsidR="00E26EF6" w:rsidRPr="00E26EF6">
              <w:rPr>
                <w:rFonts w:ascii="Times New Roman" w:hAnsi="Times New Roman"/>
                <w:sz w:val="24"/>
              </w:rPr>
              <w:t xml:space="preserve"> w ter</w:t>
            </w:r>
            <w:r w:rsidRPr="00E26EF6">
              <w:rPr>
                <w:rFonts w:ascii="Times New Roman" w:hAnsi="Times New Roman"/>
                <w:sz w:val="24"/>
              </w:rPr>
              <w:t>minowych kontraktach na indeks giełdowy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344 ust.</w:t>
            </w:r>
            <w:r w:rsidR="00023409" w:rsidRPr="00E26EF6">
              <w:rPr>
                <w:rFonts w:ascii="Times New Roman" w:hAnsi="Times New Roman"/>
                <w:sz w:val="24"/>
              </w:rPr>
              <w:t> </w:t>
            </w:r>
            <w:r w:rsidRPr="00E26EF6">
              <w:rPr>
                <w:rFonts w:ascii="Times New Roman" w:hAnsi="Times New Roman"/>
                <w:sz w:val="24"/>
              </w:rPr>
              <w:t>4 zdanie drugie CRR.</w:t>
            </w:r>
          </w:p>
          <w:p w14:paraId="5BD09D12"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1A0ACA66" w14:textId="77777777" w:rsidTr="00672D2A">
        <w:tc>
          <w:tcPr>
            <w:tcW w:w="988" w:type="dxa"/>
          </w:tcPr>
          <w:p w14:paraId="7B6025DD"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060</w:t>
            </w:r>
          </w:p>
        </w:tc>
        <w:tc>
          <w:tcPr>
            <w:tcW w:w="7874" w:type="dxa"/>
          </w:tcPr>
          <w:p w14:paraId="32999987" w14:textId="77777777" w:rsidR="00915077" w:rsidRPr="00E26EF6" w:rsidRDefault="000B0B09">
            <w:pPr>
              <w:tabs>
                <w:tab w:val="left" w:pos="1665"/>
              </w:tabs>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WYMOGI W ZAKRESIE FUNDUSZY WŁASNYCH</w:t>
            </w:r>
          </w:p>
          <w:p w14:paraId="2776CC3D" w14:textId="41092F36" w:rsidR="00915077" w:rsidRPr="00E26EF6" w:rsidRDefault="000B0B09">
            <w:pPr>
              <w:autoSpaceDE w:val="0"/>
              <w:autoSpaceDN w:val="0"/>
              <w:adjustRightInd w:val="0"/>
              <w:spacing w:after="0"/>
              <w:rPr>
                <w:rFonts w:ascii="Times New Roman" w:hAnsi="Times New Roman"/>
                <w:sz w:val="24"/>
              </w:rPr>
            </w:pPr>
            <w:r w:rsidRPr="00E26EF6">
              <w:rPr>
                <w:rFonts w:ascii="Times New Roman" w:hAnsi="Times New Roman"/>
                <w:sz w:val="24"/>
              </w:rPr>
              <w:t>Wymóg</w:t>
            </w:r>
            <w:r w:rsidR="00E26EF6" w:rsidRPr="00E26EF6">
              <w:rPr>
                <w:rFonts w:ascii="Times New Roman" w:hAnsi="Times New Roman"/>
                <w:sz w:val="24"/>
              </w:rPr>
              <w:t xml:space="preserve"> w zak</w:t>
            </w:r>
            <w:r w:rsidRPr="00E26EF6">
              <w:rPr>
                <w:rFonts w:ascii="Times New Roman" w:hAnsi="Times New Roman"/>
                <w:sz w:val="24"/>
              </w:rPr>
              <w:t>resie funduszy własnych, zgodnie</w:t>
            </w:r>
            <w:r w:rsidR="00E26EF6" w:rsidRPr="00E26EF6">
              <w:rPr>
                <w:rFonts w:ascii="Times New Roman" w:hAnsi="Times New Roman"/>
                <w:sz w:val="24"/>
              </w:rPr>
              <w:t xml:space="preserve"> z czę</w:t>
            </w:r>
            <w:r w:rsidRPr="00E26EF6">
              <w:rPr>
                <w:rFonts w:ascii="Times New Roman" w:hAnsi="Times New Roman"/>
                <w:sz w:val="24"/>
              </w:rPr>
              <w:t>ścią trzecią tytuł IV rozdział 2 CRR</w:t>
            </w:r>
            <w:r w:rsidR="00E26EF6" w:rsidRPr="00E26EF6">
              <w:rPr>
                <w:rFonts w:ascii="Times New Roman" w:hAnsi="Times New Roman"/>
                <w:sz w:val="24"/>
              </w:rPr>
              <w:t xml:space="preserve"> w odn</w:t>
            </w:r>
            <w:r w:rsidRPr="00E26EF6">
              <w:rPr>
                <w:rFonts w:ascii="Times New Roman" w:hAnsi="Times New Roman"/>
                <w:sz w:val="24"/>
              </w:rPr>
              <w:t>iesieniu do każdej stosownej pozycji</w:t>
            </w:r>
          </w:p>
          <w:p w14:paraId="1386161B" w14:textId="77777777" w:rsidR="00915077" w:rsidRPr="00E26EF6" w:rsidRDefault="00915077">
            <w:pPr>
              <w:tabs>
                <w:tab w:val="left" w:pos="1665"/>
              </w:tabs>
              <w:autoSpaceDE w:val="0"/>
              <w:autoSpaceDN w:val="0"/>
              <w:adjustRightInd w:val="0"/>
              <w:spacing w:before="0" w:after="0"/>
              <w:rPr>
                <w:rFonts w:ascii="Times New Roman" w:hAnsi="Times New Roman"/>
                <w:b/>
                <w:bCs/>
                <w:sz w:val="24"/>
                <w:highlight w:val="lightGray"/>
                <w:u w:val="single"/>
              </w:rPr>
            </w:pPr>
          </w:p>
        </w:tc>
      </w:tr>
      <w:tr w:rsidR="00915077" w:rsidRPr="00E26EF6" w14:paraId="16CCEF26" w14:textId="77777777" w:rsidTr="00672D2A">
        <w:tc>
          <w:tcPr>
            <w:tcW w:w="988" w:type="dxa"/>
          </w:tcPr>
          <w:p w14:paraId="2B037490"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070</w:t>
            </w:r>
          </w:p>
        </w:tc>
        <w:tc>
          <w:tcPr>
            <w:tcW w:w="7874" w:type="dxa"/>
          </w:tcPr>
          <w:p w14:paraId="3E9B730F" w14:textId="77777777" w:rsidR="00915077" w:rsidRPr="00E26EF6" w:rsidRDefault="000B0B09">
            <w:pPr>
              <w:tabs>
                <w:tab w:val="left" w:pos="1665"/>
              </w:tabs>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ŁĄCZNA KWOTA EKSPOZYCJI NA RYZYKO</w:t>
            </w:r>
          </w:p>
          <w:p w14:paraId="62D46FDE" w14:textId="6ED64EDB" w:rsidR="00915077" w:rsidRPr="00E26EF6" w:rsidRDefault="00D21B29">
            <w:pPr>
              <w:tabs>
                <w:tab w:val="left" w:pos="1665"/>
              </w:tabs>
              <w:autoSpaceDE w:val="0"/>
              <w:autoSpaceDN w:val="0"/>
              <w:adjustRightInd w:val="0"/>
              <w:spacing w:after="0"/>
              <w:rPr>
                <w:rFonts w:ascii="Times New Roman" w:hAnsi="Times New Roman"/>
                <w:sz w:val="24"/>
              </w:rPr>
            </w:pPr>
            <w:r w:rsidRPr="00E26EF6">
              <w:rPr>
                <w:rFonts w:ascii="Times New Roman" w:hAnsi="Times New Roman"/>
                <w:sz w:val="24"/>
              </w:rPr>
              <w:t>Art. 92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 xml:space="preserve">b) CRR. </w:t>
            </w:r>
          </w:p>
          <w:p w14:paraId="0AD48A5E" w14:textId="67E555C8" w:rsidR="00915077" w:rsidRPr="00E26EF6" w:rsidRDefault="000B0B09">
            <w:pPr>
              <w:tabs>
                <w:tab w:val="left" w:pos="1665"/>
              </w:tabs>
              <w:autoSpaceDE w:val="0"/>
              <w:autoSpaceDN w:val="0"/>
              <w:adjustRightInd w:val="0"/>
              <w:spacing w:after="0"/>
              <w:rPr>
                <w:rFonts w:ascii="Times New Roman" w:hAnsi="Times New Roman"/>
                <w:b/>
                <w:bCs/>
                <w:sz w:val="24"/>
                <w:u w:val="single"/>
              </w:rPr>
            </w:pPr>
            <w:r w:rsidRPr="00E26EF6">
              <w:rPr>
                <w:rFonts w:ascii="Times New Roman" w:hAnsi="Times New Roman"/>
                <w:sz w:val="24"/>
              </w:rPr>
              <w:t>Wynik pomnożenia wymogów</w:t>
            </w:r>
            <w:r w:rsidR="00E26EF6" w:rsidRPr="00E26EF6">
              <w:rPr>
                <w:rFonts w:ascii="Times New Roman" w:hAnsi="Times New Roman"/>
                <w:sz w:val="24"/>
              </w:rPr>
              <w:t xml:space="preserve"> w zak</w:t>
            </w:r>
            <w:r w:rsidRPr="00E26EF6">
              <w:rPr>
                <w:rFonts w:ascii="Times New Roman" w:hAnsi="Times New Roman"/>
                <w:sz w:val="24"/>
              </w:rPr>
              <w:t xml:space="preserve">resie funduszy własnych przez 12,5. </w:t>
            </w:r>
          </w:p>
        </w:tc>
      </w:tr>
    </w:tbl>
    <w:p w14:paraId="4EFF44B8" w14:textId="77777777" w:rsidR="00915077" w:rsidRPr="00E26EF6" w:rsidRDefault="00915077">
      <w:pPr>
        <w:autoSpaceDE w:val="0"/>
        <w:autoSpaceDN w:val="0"/>
        <w:adjustRightInd w:val="0"/>
        <w:spacing w:before="0" w:after="0"/>
        <w:rPr>
          <w:rFonts w:ascii="Times New Roman" w:hAnsi="Times New Roman"/>
          <w:sz w:val="24"/>
        </w:rPr>
      </w:pPr>
    </w:p>
    <w:p w14:paraId="31FC1E5C" w14:textId="77777777" w:rsidR="00915077" w:rsidRPr="00E26EF6" w:rsidRDefault="0091507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915077" w:rsidRPr="00E26EF6" w14:paraId="2BF596AB" w14:textId="77777777" w:rsidTr="00672D2A">
        <w:trPr>
          <w:trHeight w:val="662"/>
        </w:trPr>
        <w:tc>
          <w:tcPr>
            <w:tcW w:w="9212" w:type="dxa"/>
            <w:gridSpan w:val="2"/>
            <w:shd w:val="clear" w:color="auto" w:fill="CCCCCC"/>
          </w:tcPr>
          <w:p w14:paraId="30258F42" w14:textId="77777777" w:rsidR="00915077" w:rsidRPr="00E26EF6" w:rsidRDefault="000B0B09">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Wiersze</w:t>
            </w:r>
          </w:p>
        </w:tc>
      </w:tr>
      <w:tr w:rsidR="00915077" w:rsidRPr="00E26EF6" w14:paraId="53CC4F42" w14:textId="77777777" w:rsidTr="00672D2A">
        <w:tc>
          <w:tcPr>
            <w:tcW w:w="1008" w:type="dxa"/>
          </w:tcPr>
          <w:p w14:paraId="07A1E0BC"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010-130</w:t>
            </w:r>
          </w:p>
        </w:tc>
        <w:tc>
          <w:tcPr>
            <w:tcW w:w="8204" w:type="dxa"/>
          </w:tcPr>
          <w:p w14:paraId="68375221"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PAPIERY KAPITAŁOWE W PORTFELU HANDLOWYM</w:t>
            </w:r>
          </w:p>
          <w:p w14:paraId="2D56A0EB" w14:textId="77777777" w:rsidR="00915077" w:rsidRPr="00E26EF6" w:rsidRDefault="00915077">
            <w:pPr>
              <w:autoSpaceDE w:val="0"/>
              <w:autoSpaceDN w:val="0"/>
              <w:adjustRightInd w:val="0"/>
              <w:spacing w:before="0" w:after="0"/>
              <w:rPr>
                <w:rFonts w:ascii="Times New Roman" w:hAnsi="Times New Roman"/>
                <w:sz w:val="24"/>
              </w:rPr>
            </w:pPr>
          </w:p>
          <w:p w14:paraId="6F68248B" w14:textId="592033E8" w:rsidR="00915077" w:rsidRPr="00E26EF6" w:rsidRDefault="000B0B09">
            <w:pPr>
              <w:autoSpaceDE w:val="0"/>
              <w:autoSpaceDN w:val="0"/>
              <w:adjustRightInd w:val="0"/>
              <w:rPr>
                <w:rFonts w:ascii="Times New Roman" w:hAnsi="Times New Roman"/>
                <w:sz w:val="24"/>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w odn</w:t>
            </w:r>
            <w:r w:rsidRPr="00E26EF6">
              <w:rPr>
                <w:rFonts w:ascii="Times New Roman" w:hAnsi="Times New Roman"/>
                <w:sz w:val="24"/>
              </w:rPr>
              <w:t>iesieniu do ryzyka pozycji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b) ppkt (i) CRR</w:t>
            </w:r>
            <w:r w:rsidR="00E26EF6" w:rsidRPr="00E26EF6">
              <w:rPr>
                <w:rFonts w:ascii="Times New Roman" w:hAnsi="Times New Roman"/>
                <w:sz w:val="24"/>
              </w:rPr>
              <w:t xml:space="preserve"> i czę</w:t>
            </w:r>
            <w:r w:rsidRPr="00E26EF6">
              <w:rPr>
                <w:rFonts w:ascii="Times New Roman" w:hAnsi="Times New Roman"/>
                <w:sz w:val="24"/>
              </w:rPr>
              <w:t>ści trzeciej tytuł IV rozdział 2 sekcja 3 CRR.</w:t>
            </w:r>
          </w:p>
          <w:p w14:paraId="33C626D4"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0D311520" w14:textId="77777777" w:rsidTr="00672D2A">
        <w:tc>
          <w:tcPr>
            <w:tcW w:w="1008" w:type="dxa"/>
          </w:tcPr>
          <w:p w14:paraId="60097250"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020-040</w:t>
            </w:r>
          </w:p>
        </w:tc>
        <w:tc>
          <w:tcPr>
            <w:tcW w:w="8204" w:type="dxa"/>
          </w:tcPr>
          <w:p w14:paraId="65735102"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RYZYKO OGÓLNE</w:t>
            </w:r>
          </w:p>
          <w:p w14:paraId="20B8FBBD" w14:textId="74C9C410" w:rsidR="00915077" w:rsidRPr="00E26EF6" w:rsidRDefault="000B0B09">
            <w:pPr>
              <w:autoSpaceDE w:val="0"/>
              <w:autoSpaceDN w:val="0"/>
              <w:adjustRightInd w:val="0"/>
              <w:rPr>
                <w:rFonts w:ascii="Times New Roman" w:hAnsi="Times New Roman"/>
                <w:sz w:val="24"/>
              </w:rPr>
            </w:pPr>
            <w:r w:rsidRPr="00E26EF6">
              <w:rPr>
                <w:rFonts w:ascii="Times New Roman" w:hAnsi="Times New Roman"/>
                <w:sz w:val="24"/>
              </w:rPr>
              <w:lastRenderedPageBreak/>
              <w:t>Pozycje papierów kapitałowych podlegające ryzyku ogólnemu (art.</w:t>
            </w:r>
            <w:r w:rsidR="00023409" w:rsidRPr="00E26EF6">
              <w:rPr>
                <w:rFonts w:ascii="Times New Roman" w:hAnsi="Times New Roman"/>
                <w:sz w:val="24"/>
              </w:rPr>
              <w:t> </w:t>
            </w:r>
            <w:r w:rsidRPr="00E26EF6">
              <w:rPr>
                <w:rFonts w:ascii="Times New Roman" w:hAnsi="Times New Roman"/>
                <w:sz w:val="24"/>
              </w:rPr>
              <w:t>343 CRR) oraz odpowiadające im wymogi</w:t>
            </w:r>
            <w:r w:rsidR="00E26EF6" w:rsidRPr="00E26EF6">
              <w:rPr>
                <w:rFonts w:ascii="Times New Roman" w:hAnsi="Times New Roman"/>
                <w:sz w:val="24"/>
              </w:rPr>
              <w:t xml:space="preserve"> w zak</w:t>
            </w:r>
            <w:r w:rsidRPr="00E26EF6">
              <w:rPr>
                <w:rFonts w:ascii="Times New Roman" w:hAnsi="Times New Roman"/>
                <w:sz w:val="24"/>
              </w:rPr>
              <w:t>resie funduszy własnych zgodnie</w:t>
            </w:r>
            <w:r w:rsidR="00E26EF6" w:rsidRPr="00E26EF6">
              <w:rPr>
                <w:rFonts w:ascii="Times New Roman" w:hAnsi="Times New Roman"/>
                <w:sz w:val="24"/>
              </w:rPr>
              <w:t xml:space="preserve"> z czę</w:t>
            </w:r>
            <w:r w:rsidRPr="00E26EF6">
              <w:rPr>
                <w:rFonts w:ascii="Times New Roman" w:hAnsi="Times New Roman"/>
                <w:sz w:val="24"/>
              </w:rPr>
              <w:t>ścią trzecią tytuł IV rozdział 2 sekcja 3 CRR</w:t>
            </w:r>
          </w:p>
          <w:p w14:paraId="1BFE1CA0" w14:textId="714B3A58" w:rsidR="00915077" w:rsidRPr="00E26EF6" w:rsidRDefault="000B0B09">
            <w:pPr>
              <w:autoSpaceDE w:val="0"/>
              <w:autoSpaceDN w:val="0"/>
              <w:adjustRightInd w:val="0"/>
              <w:spacing w:before="0"/>
              <w:rPr>
                <w:rFonts w:ascii="Times New Roman" w:hAnsi="Times New Roman"/>
                <w:sz w:val="24"/>
              </w:rPr>
            </w:pPr>
            <w:r w:rsidRPr="00E26EF6">
              <w:rPr>
                <w:rFonts w:ascii="Times New Roman" w:hAnsi="Times New Roman"/>
                <w:sz w:val="24"/>
              </w:rPr>
              <w:t>Obydwa podziały (021/022,</w:t>
            </w:r>
            <w:r w:rsidR="00E26EF6" w:rsidRPr="00E26EF6">
              <w:rPr>
                <w:rFonts w:ascii="Times New Roman" w:hAnsi="Times New Roman"/>
                <w:sz w:val="24"/>
              </w:rPr>
              <w:t xml:space="preserve"> a tak</w:t>
            </w:r>
            <w:r w:rsidRPr="00E26EF6">
              <w:rPr>
                <w:rFonts w:ascii="Times New Roman" w:hAnsi="Times New Roman"/>
                <w:sz w:val="24"/>
              </w:rPr>
              <w:t>że 030/040) są podziałami związanymi ze wszystkimi pozycjami podlegającymi ryzyku ogólnemu.</w:t>
            </w:r>
          </w:p>
          <w:p w14:paraId="63462FC1" w14:textId="325F31FF"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W wierszach 021</w:t>
            </w:r>
            <w:r w:rsidR="00E26EF6" w:rsidRPr="00E26EF6">
              <w:rPr>
                <w:rFonts w:ascii="Times New Roman" w:hAnsi="Times New Roman"/>
                <w:sz w:val="24"/>
              </w:rPr>
              <w:t xml:space="preserve"> i 0</w:t>
            </w:r>
            <w:r w:rsidRPr="00E26EF6">
              <w:rPr>
                <w:rFonts w:ascii="Times New Roman" w:hAnsi="Times New Roman"/>
                <w:sz w:val="24"/>
              </w:rPr>
              <w:t xml:space="preserve">22 należy przedstawić informacje na temat podziału według instrumentów. </w:t>
            </w:r>
          </w:p>
          <w:p w14:paraId="16A2D7C2" w14:textId="44181645"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Jako podstawę obliczania wymogów</w:t>
            </w:r>
            <w:r w:rsidR="00E26EF6" w:rsidRPr="00E26EF6">
              <w:rPr>
                <w:rFonts w:ascii="Times New Roman" w:hAnsi="Times New Roman"/>
                <w:sz w:val="24"/>
              </w:rPr>
              <w:t xml:space="preserve"> w zak</w:t>
            </w:r>
            <w:r w:rsidRPr="00E26EF6">
              <w:rPr>
                <w:rFonts w:ascii="Times New Roman" w:hAnsi="Times New Roman"/>
                <w:sz w:val="24"/>
              </w:rPr>
              <w:t>resie funduszy własnych wykorzystuje się wyłącznie podział przeprowadzony</w:t>
            </w:r>
            <w:r w:rsidR="00E26EF6" w:rsidRPr="00E26EF6">
              <w:rPr>
                <w:rFonts w:ascii="Times New Roman" w:hAnsi="Times New Roman"/>
                <w:sz w:val="24"/>
              </w:rPr>
              <w:t xml:space="preserve"> w wie</w:t>
            </w:r>
            <w:r w:rsidRPr="00E26EF6">
              <w:rPr>
                <w:rFonts w:ascii="Times New Roman" w:hAnsi="Times New Roman"/>
                <w:sz w:val="24"/>
              </w:rPr>
              <w:t>rszach 030</w:t>
            </w:r>
            <w:r w:rsidR="00E26EF6" w:rsidRPr="00E26EF6">
              <w:rPr>
                <w:rFonts w:ascii="Times New Roman" w:hAnsi="Times New Roman"/>
                <w:sz w:val="24"/>
              </w:rPr>
              <w:t xml:space="preserve"> i 0</w:t>
            </w:r>
            <w:r w:rsidRPr="00E26EF6">
              <w:rPr>
                <w:rFonts w:ascii="Times New Roman" w:hAnsi="Times New Roman"/>
                <w:sz w:val="24"/>
              </w:rPr>
              <w:t>40.</w:t>
            </w:r>
          </w:p>
          <w:p w14:paraId="13826A34"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5713A497" w14:textId="77777777" w:rsidTr="00672D2A">
        <w:tc>
          <w:tcPr>
            <w:tcW w:w="1008" w:type="dxa"/>
          </w:tcPr>
          <w:p w14:paraId="2F04325E"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021</w:t>
            </w:r>
          </w:p>
        </w:tc>
        <w:tc>
          <w:tcPr>
            <w:tcW w:w="8204" w:type="dxa"/>
          </w:tcPr>
          <w:p w14:paraId="4F0CFF98" w14:textId="77777777" w:rsidR="00915077" w:rsidRPr="00E26EF6" w:rsidRDefault="000B0B09">
            <w:pPr>
              <w:autoSpaceDE w:val="0"/>
              <w:autoSpaceDN w:val="0"/>
              <w:adjustRightInd w:val="0"/>
              <w:spacing w:before="0" w:after="0"/>
              <w:rPr>
                <w:rFonts w:ascii="Times New Roman" w:hAnsi="Times New Roman"/>
                <w:b/>
                <w:sz w:val="24"/>
                <w:u w:val="single"/>
              </w:rPr>
            </w:pPr>
            <w:r w:rsidRPr="00E26EF6">
              <w:rPr>
                <w:rFonts w:ascii="Times New Roman" w:hAnsi="Times New Roman"/>
                <w:b/>
                <w:sz w:val="24"/>
                <w:u w:val="single"/>
              </w:rPr>
              <w:t>Instrumenty pochodne</w:t>
            </w:r>
          </w:p>
          <w:p w14:paraId="2BAE4180" w14:textId="32F46086" w:rsidR="00915077" w:rsidRPr="00E26EF6" w:rsidRDefault="000B0B09">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Instrumenty pochodne brane pod uwagę przy obliczaniu ryzyka związanego</w:t>
            </w:r>
            <w:r w:rsidR="00E26EF6" w:rsidRPr="00E26EF6">
              <w:rPr>
                <w:rFonts w:ascii="Times New Roman" w:hAnsi="Times New Roman"/>
                <w:sz w:val="24"/>
              </w:rPr>
              <w:t xml:space="preserve"> z inw</w:t>
            </w:r>
            <w:r w:rsidRPr="00E26EF6">
              <w:rPr>
                <w:rFonts w:ascii="Times New Roman" w:hAnsi="Times New Roman"/>
                <w:sz w:val="24"/>
              </w:rPr>
              <w:t>estowaniem</w:t>
            </w:r>
            <w:r w:rsidR="00E26EF6" w:rsidRPr="00E26EF6">
              <w:rPr>
                <w:rFonts w:ascii="Times New Roman" w:hAnsi="Times New Roman"/>
                <w:sz w:val="24"/>
              </w:rPr>
              <w:t xml:space="preserve"> w akc</w:t>
            </w:r>
            <w:r w:rsidRPr="00E26EF6">
              <w:rPr>
                <w:rFonts w:ascii="Times New Roman" w:hAnsi="Times New Roman"/>
                <w:sz w:val="24"/>
              </w:rPr>
              <w:t>je dotyczącego pozycji</w:t>
            </w:r>
            <w:r w:rsidR="00E26EF6" w:rsidRPr="00E26EF6">
              <w:rPr>
                <w:rFonts w:ascii="Times New Roman" w:hAnsi="Times New Roman"/>
                <w:sz w:val="24"/>
              </w:rPr>
              <w:t xml:space="preserve"> w por</w:t>
            </w:r>
            <w:r w:rsidRPr="00E26EF6">
              <w:rPr>
                <w:rFonts w:ascii="Times New Roman" w:hAnsi="Times New Roman"/>
                <w:sz w:val="24"/>
              </w:rPr>
              <w:t>tfelu handlowym, uwzględniając,</w:t>
            </w:r>
            <w:r w:rsidR="00E26EF6" w:rsidRPr="00E26EF6">
              <w:rPr>
                <w:rFonts w:ascii="Times New Roman" w:hAnsi="Times New Roman"/>
                <w:sz w:val="24"/>
              </w:rPr>
              <w:t xml:space="preserve"> w sto</w:t>
            </w:r>
            <w:r w:rsidRPr="00E26EF6">
              <w:rPr>
                <w:rFonts w:ascii="Times New Roman" w:hAnsi="Times New Roman"/>
                <w:sz w:val="24"/>
              </w:rPr>
              <w:t>sownych przypadkach, art.</w:t>
            </w:r>
            <w:r w:rsidR="00023409" w:rsidRPr="00E26EF6">
              <w:rPr>
                <w:rFonts w:ascii="Times New Roman" w:hAnsi="Times New Roman"/>
                <w:sz w:val="24"/>
              </w:rPr>
              <w:t> </w:t>
            </w:r>
            <w:r w:rsidRPr="00E26EF6">
              <w:rPr>
                <w:rFonts w:ascii="Times New Roman" w:hAnsi="Times New Roman"/>
                <w:sz w:val="24"/>
              </w:rPr>
              <w:t>329</w:t>
            </w:r>
            <w:r w:rsidR="00E26EF6" w:rsidRPr="00E26EF6">
              <w:rPr>
                <w:rFonts w:ascii="Times New Roman" w:hAnsi="Times New Roman"/>
                <w:sz w:val="24"/>
              </w:rPr>
              <w:t xml:space="preserve"> i 3</w:t>
            </w:r>
            <w:r w:rsidRPr="00E26EF6">
              <w:rPr>
                <w:rFonts w:ascii="Times New Roman" w:hAnsi="Times New Roman"/>
                <w:sz w:val="24"/>
              </w:rPr>
              <w:t>32 CRR.</w:t>
            </w:r>
          </w:p>
        </w:tc>
      </w:tr>
      <w:tr w:rsidR="00915077" w:rsidRPr="00E26EF6" w14:paraId="6B052FFA" w14:textId="77777777" w:rsidTr="00672D2A">
        <w:tc>
          <w:tcPr>
            <w:tcW w:w="1008" w:type="dxa"/>
          </w:tcPr>
          <w:p w14:paraId="279E0D93"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022</w:t>
            </w:r>
          </w:p>
        </w:tc>
        <w:tc>
          <w:tcPr>
            <w:tcW w:w="8204" w:type="dxa"/>
          </w:tcPr>
          <w:p w14:paraId="757B7646" w14:textId="2E514136" w:rsidR="00915077" w:rsidRPr="00E26EF6" w:rsidRDefault="000B0B09">
            <w:pPr>
              <w:autoSpaceDE w:val="0"/>
              <w:autoSpaceDN w:val="0"/>
              <w:adjustRightInd w:val="0"/>
              <w:spacing w:before="0" w:after="0"/>
              <w:rPr>
                <w:rFonts w:ascii="Times New Roman" w:hAnsi="Times New Roman"/>
                <w:b/>
                <w:sz w:val="24"/>
                <w:u w:val="single"/>
              </w:rPr>
            </w:pPr>
            <w:r w:rsidRPr="00E26EF6">
              <w:rPr>
                <w:rFonts w:ascii="Times New Roman" w:hAnsi="Times New Roman"/>
                <w:b/>
                <w:sz w:val="24"/>
                <w:u w:val="single"/>
              </w:rPr>
              <w:t>Inne aktywa</w:t>
            </w:r>
            <w:r w:rsidR="00E26EF6" w:rsidRPr="00E26EF6">
              <w:rPr>
                <w:rFonts w:ascii="Times New Roman" w:hAnsi="Times New Roman"/>
                <w:b/>
                <w:sz w:val="24"/>
                <w:u w:val="single"/>
              </w:rPr>
              <w:t xml:space="preserve"> i zob</w:t>
            </w:r>
            <w:r w:rsidRPr="00E26EF6">
              <w:rPr>
                <w:rFonts w:ascii="Times New Roman" w:hAnsi="Times New Roman"/>
                <w:b/>
                <w:sz w:val="24"/>
                <w:u w:val="single"/>
              </w:rPr>
              <w:t>owiązania</w:t>
            </w:r>
          </w:p>
          <w:p w14:paraId="0C210D3A" w14:textId="7DE3C27E" w:rsidR="00915077" w:rsidRPr="00E26EF6" w:rsidRDefault="000B0B09">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Instrumenty inne niż instrumenty pochodne brane pod uwagę przy obliczaniu ryzyka związanego</w:t>
            </w:r>
            <w:r w:rsidR="00E26EF6" w:rsidRPr="00E26EF6">
              <w:rPr>
                <w:rFonts w:ascii="Times New Roman" w:hAnsi="Times New Roman"/>
                <w:sz w:val="24"/>
              </w:rPr>
              <w:t xml:space="preserve"> z inw</w:t>
            </w:r>
            <w:r w:rsidRPr="00E26EF6">
              <w:rPr>
                <w:rFonts w:ascii="Times New Roman" w:hAnsi="Times New Roman"/>
                <w:sz w:val="24"/>
              </w:rPr>
              <w:t>estowaniem</w:t>
            </w:r>
            <w:r w:rsidR="00E26EF6" w:rsidRPr="00E26EF6">
              <w:rPr>
                <w:rFonts w:ascii="Times New Roman" w:hAnsi="Times New Roman"/>
                <w:sz w:val="24"/>
              </w:rPr>
              <w:t xml:space="preserve"> w akc</w:t>
            </w:r>
            <w:r w:rsidRPr="00E26EF6">
              <w:rPr>
                <w:rFonts w:ascii="Times New Roman" w:hAnsi="Times New Roman"/>
                <w:sz w:val="24"/>
              </w:rPr>
              <w:t>je dotyczącego pozycji</w:t>
            </w:r>
            <w:r w:rsidR="00E26EF6" w:rsidRPr="00E26EF6">
              <w:rPr>
                <w:rFonts w:ascii="Times New Roman" w:hAnsi="Times New Roman"/>
                <w:sz w:val="24"/>
              </w:rPr>
              <w:t xml:space="preserve"> w por</w:t>
            </w:r>
            <w:r w:rsidRPr="00E26EF6">
              <w:rPr>
                <w:rFonts w:ascii="Times New Roman" w:hAnsi="Times New Roman"/>
                <w:sz w:val="24"/>
              </w:rPr>
              <w:t xml:space="preserve">tfelu handlowym. </w:t>
            </w:r>
          </w:p>
        </w:tc>
      </w:tr>
      <w:tr w:rsidR="00915077" w:rsidRPr="00E26EF6" w14:paraId="0BFC1543" w14:textId="77777777" w:rsidTr="00672D2A">
        <w:tc>
          <w:tcPr>
            <w:tcW w:w="1008" w:type="dxa"/>
          </w:tcPr>
          <w:p w14:paraId="410E75B8"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030</w:t>
            </w:r>
          </w:p>
        </w:tc>
        <w:tc>
          <w:tcPr>
            <w:tcW w:w="8204" w:type="dxa"/>
          </w:tcPr>
          <w:p w14:paraId="62C6DCE6" w14:textId="5834A8B3"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Kontrakty terminowe typu future na indeksy giełdowe</w:t>
            </w:r>
            <w:r w:rsidR="00E26EF6" w:rsidRPr="00E26EF6">
              <w:rPr>
                <w:rFonts w:ascii="Times New Roman" w:hAnsi="Times New Roman"/>
                <w:b/>
                <w:bCs/>
                <w:sz w:val="24"/>
                <w:u w:val="single"/>
              </w:rPr>
              <w:t xml:space="preserve"> o sze</w:t>
            </w:r>
            <w:r w:rsidRPr="00E26EF6">
              <w:rPr>
                <w:rFonts w:ascii="Times New Roman" w:hAnsi="Times New Roman"/>
                <w:b/>
                <w:bCs/>
                <w:sz w:val="24"/>
                <w:u w:val="single"/>
              </w:rPr>
              <w:t>rokim zróżnicowaniu, wymagające zastosowania metody szczególnej</w:t>
            </w:r>
          </w:p>
          <w:p w14:paraId="02154138" w14:textId="77777777" w:rsidR="00915077" w:rsidRPr="00E26EF6" w:rsidRDefault="00915077">
            <w:pPr>
              <w:autoSpaceDE w:val="0"/>
              <w:autoSpaceDN w:val="0"/>
              <w:adjustRightInd w:val="0"/>
              <w:spacing w:before="0" w:after="0"/>
              <w:rPr>
                <w:rFonts w:ascii="Times New Roman" w:hAnsi="Times New Roman"/>
                <w:sz w:val="24"/>
              </w:rPr>
            </w:pPr>
          </w:p>
          <w:p w14:paraId="0473B6C6" w14:textId="61FC3B86"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Kontrakty terminowe typu future na indeksy giełdowe</w:t>
            </w:r>
            <w:r w:rsidR="00E26EF6" w:rsidRPr="00E26EF6">
              <w:rPr>
                <w:rFonts w:ascii="Times New Roman" w:hAnsi="Times New Roman"/>
                <w:sz w:val="24"/>
              </w:rPr>
              <w:t xml:space="preserve"> o sze</w:t>
            </w:r>
            <w:r w:rsidRPr="00E26EF6">
              <w:rPr>
                <w:rFonts w:ascii="Times New Roman" w:hAnsi="Times New Roman"/>
                <w:sz w:val="24"/>
              </w:rPr>
              <w:t>rokim zróżnicowaniu, wymagające zastosowania metody szczególnej, zgodnie</w:t>
            </w:r>
            <w:r w:rsidR="00E26EF6" w:rsidRPr="00E26EF6">
              <w:rPr>
                <w:rFonts w:ascii="Times New Roman" w:hAnsi="Times New Roman"/>
                <w:sz w:val="24"/>
              </w:rPr>
              <w:t xml:space="preserve"> z roz</w:t>
            </w:r>
            <w:r w:rsidRPr="00E26EF6">
              <w:rPr>
                <w:rFonts w:ascii="Times New Roman" w:hAnsi="Times New Roman"/>
                <w:sz w:val="24"/>
              </w:rPr>
              <w:t>porządzeniem wykonawczym Komisji (UE) nr</w:t>
            </w:r>
            <w:r w:rsidR="00023409" w:rsidRPr="00E26EF6">
              <w:rPr>
                <w:rFonts w:ascii="Times New Roman" w:hAnsi="Times New Roman"/>
                <w:sz w:val="24"/>
              </w:rPr>
              <w:t> </w:t>
            </w:r>
            <w:r w:rsidRPr="00E26EF6">
              <w:rPr>
                <w:rFonts w:ascii="Times New Roman" w:hAnsi="Times New Roman"/>
                <w:sz w:val="24"/>
              </w:rPr>
              <w:t>945/2014</w:t>
            </w:r>
            <w:r w:rsidRPr="00E26EF6">
              <w:rPr>
                <w:rStyle w:val="FootnoteReference"/>
                <w:sz w:val="24"/>
                <w:szCs w:val="24"/>
              </w:rPr>
              <w:footnoteReference w:id="16"/>
            </w:r>
          </w:p>
          <w:p w14:paraId="770167E8" w14:textId="17A7B0B7" w:rsidR="00915077" w:rsidRPr="00E26EF6" w:rsidRDefault="000B0B09">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Przedmiotowe pozycje są objęte wyłącznie ryzykiem ogólnym</w:t>
            </w:r>
            <w:r w:rsidR="00E26EF6" w:rsidRPr="00E26EF6">
              <w:rPr>
                <w:rFonts w:ascii="Times New Roman" w:hAnsi="Times New Roman"/>
                <w:sz w:val="24"/>
              </w:rPr>
              <w:t xml:space="preserve"> i w zwi</w:t>
            </w:r>
            <w:r w:rsidRPr="00E26EF6">
              <w:rPr>
                <w:rFonts w:ascii="Times New Roman" w:hAnsi="Times New Roman"/>
                <w:sz w:val="24"/>
              </w:rPr>
              <w:t>ązku</w:t>
            </w:r>
            <w:r w:rsidR="00E26EF6" w:rsidRPr="00E26EF6">
              <w:rPr>
                <w:rFonts w:ascii="Times New Roman" w:hAnsi="Times New Roman"/>
                <w:sz w:val="24"/>
              </w:rPr>
              <w:t xml:space="preserve"> z tym</w:t>
            </w:r>
            <w:r w:rsidRPr="00E26EF6">
              <w:rPr>
                <w:rFonts w:ascii="Times New Roman" w:hAnsi="Times New Roman"/>
                <w:sz w:val="24"/>
              </w:rPr>
              <w:t xml:space="preserve"> nie należy ich zgłaszać</w:t>
            </w:r>
            <w:r w:rsidR="00E26EF6" w:rsidRPr="00E26EF6">
              <w:rPr>
                <w:rFonts w:ascii="Times New Roman" w:hAnsi="Times New Roman"/>
                <w:sz w:val="24"/>
              </w:rPr>
              <w:t xml:space="preserve"> w wie</w:t>
            </w:r>
            <w:r w:rsidRPr="00E26EF6">
              <w:rPr>
                <w:rFonts w:ascii="Times New Roman" w:hAnsi="Times New Roman"/>
                <w:sz w:val="24"/>
              </w:rPr>
              <w:t>rszu 050.</w:t>
            </w:r>
          </w:p>
        </w:tc>
      </w:tr>
      <w:tr w:rsidR="00915077" w:rsidRPr="00E26EF6" w14:paraId="75CC6FFE" w14:textId="77777777" w:rsidTr="00672D2A">
        <w:tc>
          <w:tcPr>
            <w:tcW w:w="1008" w:type="dxa"/>
          </w:tcPr>
          <w:p w14:paraId="60C8670E"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040</w:t>
            </w:r>
          </w:p>
        </w:tc>
        <w:tc>
          <w:tcPr>
            <w:tcW w:w="8204" w:type="dxa"/>
          </w:tcPr>
          <w:p w14:paraId="03267B60"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Papiery kapitałowe inne niż szeroko zróżnicowane kontrakty terminowe typu future na indeksy giełdowe</w:t>
            </w:r>
          </w:p>
          <w:p w14:paraId="2137D3FE" w14:textId="7164B45E" w:rsidR="00915077" w:rsidRPr="00E26EF6" w:rsidRDefault="000B0B09">
            <w:pPr>
              <w:autoSpaceDE w:val="0"/>
              <w:autoSpaceDN w:val="0"/>
              <w:adjustRightInd w:val="0"/>
              <w:rPr>
                <w:rFonts w:ascii="Times New Roman" w:hAnsi="Times New Roman"/>
                <w:sz w:val="24"/>
                <w:highlight w:val="lightGray"/>
              </w:rPr>
            </w:pPr>
            <w:r w:rsidRPr="00E26EF6">
              <w:rPr>
                <w:rFonts w:ascii="Times New Roman" w:hAnsi="Times New Roman"/>
                <w:sz w:val="24"/>
              </w:rPr>
              <w:t>Inne pozycje papierów kapitałowych podlegające ryzyku szczególnemu oraz odpowiadające im wymogi</w:t>
            </w:r>
            <w:r w:rsidR="00E26EF6" w:rsidRPr="00E26EF6">
              <w:rPr>
                <w:rFonts w:ascii="Times New Roman" w:hAnsi="Times New Roman"/>
                <w:sz w:val="24"/>
              </w:rPr>
              <w:t xml:space="preserve"> w zak</w:t>
            </w:r>
            <w:r w:rsidRPr="00E26EF6">
              <w:rPr>
                <w:rFonts w:ascii="Times New Roman" w:hAnsi="Times New Roman"/>
                <w:sz w:val="24"/>
              </w:rPr>
              <w:t>resie funduszy własnych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343 CRR,</w:t>
            </w:r>
            <w:r w:rsidR="00E26EF6" w:rsidRPr="00E26EF6">
              <w:rPr>
                <w:rFonts w:ascii="Times New Roman" w:hAnsi="Times New Roman"/>
                <w:sz w:val="24"/>
              </w:rPr>
              <w:t xml:space="preserve"> w tym</w:t>
            </w:r>
            <w:r w:rsidRPr="00E26EF6">
              <w:rPr>
                <w:rFonts w:ascii="Times New Roman" w:hAnsi="Times New Roman"/>
                <w:sz w:val="24"/>
              </w:rPr>
              <w:t xml:space="preserve"> pozycje</w:t>
            </w:r>
            <w:r w:rsidR="00E26EF6" w:rsidRPr="00E26EF6">
              <w:rPr>
                <w:rFonts w:ascii="Times New Roman" w:hAnsi="Times New Roman"/>
                <w:sz w:val="24"/>
              </w:rPr>
              <w:t xml:space="preserve"> w ind</w:t>
            </w:r>
            <w:r w:rsidRPr="00E26EF6">
              <w:rPr>
                <w:rFonts w:ascii="Times New Roman" w:hAnsi="Times New Roman"/>
                <w:sz w:val="24"/>
              </w:rPr>
              <w:t>eksie giełdowym typu future, ujmowane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344 ust.</w:t>
            </w:r>
            <w:r w:rsidR="00023409" w:rsidRPr="00E26EF6">
              <w:rPr>
                <w:rFonts w:ascii="Times New Roman" w:hAnsi="Times New Roman"/>
                <w:sz w:val="24"/>
              </w:rPr>
              <w:t> </w:t>
            </w:r>
            <w:r w:rsidRPr="00E26EF6">
              <w:rPr>
                <w:rFonts w:ascii="Times New Roman" w:hAnsi="Times New Roman"/>
                <w:sz w:val="24"/>
              </w:rPr>
              <w:t xml:space="preserve">3 CRR. </w:t>
            </w:r>
          </w:p>
        </w:tc>
      </w:tr>
      <w:tr w:rsidR="00915077" w:rsidRPr="00E26EF6" w14:paraId="60F1FFCE" w14:textId="77777777" w:rsidTr="00672D2A">
        <w:tc>
          <w:tcPr>
            <w:tcW w:w="1008" w:type="dxa"/>
          </w:tcPr>
          <w:p w14:paraId="3EF1505F"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 xml:space="preserve">050 </w:t>
            </w:r>
          </w:p>
        </w:tc>
        <w:tc>
          <w:tcPr>
            <w:tcW w:w="8204" w:type="dxa"/>
          </w:tcPr>
          <w:p w14:paraId="4AA511F8"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RYZYKO SZCZEGÓLNE</w:t>
            </w:r>
          </w:p>
          <w:p w14:paraId="24761435" w14:textId="59E0E956" w:rsidR="00915077" w:rsidRPr="00E26EF6" w:rsidRDefault="000B0B09">
            <w:pPr>
              <w:autoSpaceDE w:val="0"/>
              <w:autoSpaceDN w:val="0"/>
              <w:adjustRightInd w:val="0"/>
              <w:rPr>
                <w:rFonts w:ascii="Times New Roman" w:hAnsi="Times New Roman"/>
                <w:sz w:val="24"/>
                <w:highlight w:val="lightGray"/>
              </w:rPr>
            </w:pPr>
            <w:r w:rsidRPr="00E26EF6">
              <w:rPr>
                <w:rFonts w:ascii="Times New Roman" w:hAnsi="Times New Roman"/>
                <w:sz w:val="24"/>
              </w:rPr>
              <w:t>Pozycje papierów kapitałowych podlegające ryzyku szczególnemu oraz odpowiadający im wymóg</w:t>
            </w:r>
            <w:r w:rsidR="00E26EF6" w:rsidRPr="00E26EF6">
              <w:rPr>
                <w:rFonts w:ascii="Times New Roman" w:hAnsi="Times New Roman"/>
                <w:sz w:val="24"/>
              </w:rPr>
              <w:t xml:space="preserve"> w zak</w:t>
            </w:r>
            <w:r w:rsidRPr="00E26EF6">
              <w:rPr>
                <w:rFonts w:ascii="Times New Roman" w:hAnsi="Times New Roman"/>
                <w:sz w:val="24"/>
              </w:rPr>
              <w:t>resie funduszy własnych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342 CRR,</w:t>
            </w:r>
            <w:r w:rsidR="00E26EF6" w:rsidRPr="00E26EF6">
              <w:rPr>
                <w:rFonts w:ascii="Times New Roman" w:hAnsi="Times New Roman"/>
                <w:sz w:val="24"/>
              </w:rPr>
              <w:t xml:space="preserve"> z wył</w:t>
            </w:r>
            <w:r w:rsidRPr="00E26EF6">
              <w:rPr>
                <w:rFonts w:ascii="Times New Roman" w:hAnsi="Times New Roman"/>
                <w:sz w:val="24"/>
              </w:rPr>
              <w:t>ączeniem pozycji</w:t>
            </w:r>
            <w:r w:rsidR="00E26EF6" w:rsidRPr="00E26EF6">
              <w:rPr>
                <w:rFonts w:ascii="Times New Roman" w:hAnsi="Times New Roman"/>
                <w:sz w:val="24"/>
              </w:rPr>
              <w:t xml:space="preserve"> w ind</w:t>
            </w:r>
            <w:r w:rsidRPr="00E26EF6">
              <w:rPr>
                <w:rFonts w:ascii="Times New Roman" w:hAnsi="Times New Roman"/>
                <w:sz w:val="24"/>
              </w:rPr>
              <w:t>eksie giełdowym typu future, ujmowane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344 ust.</w:t>
            </w:r>
            <w:r w:rsidR="00023409" w:rsidRPr="00E26EF6">
              <w:rPr>
                <w:rFonts w:ascii="Times New Roman" w:hAnsi="Times New Roman"/>
                <w:sz w:val="24"/>
              </w:rPr>
              <w:t> </w:t>
            </w:r>
            <w:r w:rsidRPr="00E26EF6">
              <w:rPr>
                <w:rFonts w:ascii="Times New Roman" w:hAnsi="Times New Roman"/>
                <w:sz w:val="24"/>
              </w:rPr>
              <w:t xml:space="preserve">4 zdanie drugie CRR. </w:t>
            </w:r>
          </w:p>
        </w:tc>
      </w:tr>
      <w:tr w:rsidR="00915077" w:rsidRPr="00E26EF6" w14:paraId="605363C2" w14:textId="77777777" w:rsidTr="00672D2A">
        <w:tc>
          <w:tcPr>
            <w:tcW w:w="1008" w:type="dxa"/>
          </w:tcPr>
          <w:p w14:paraId="3EEF77C6"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090-130</w:t>
            </w:r>
          </w:p>
        </w:tc>
        <w:tc>
          <w:tcPr>
            <w:tcW w:w="8204" w:type="dxa"/>
          </w:tcPr>
          <w:p w14:paraId="03D2BD07"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Style w:val="InstructionsTabelleberschrift"/>
                <w:rFonts w:ascii="Times New Roman" w:hAnsi="Times New Roman"/>
                <w:sz w:val="24"/>
              </w:rPr>
              <w:t>DODATKOWE WYMOGI W ZAKRESIE OPCJI (RYZYKA INNE NIŻ RYZYKO DELTA)</w:t>
            </w:r>
          </w:p>
          <w:p w14:paraId="10D9AA05" w14:textId="4D74F605" w:rsidR="00915077" w:rsidRPr="00E26EF6" w:rsidRDefault="00F2521E">
            <w:pPr>
              <w:autoSpaceDE w:val="0"/>
              <w:autoSpaceDN w:val="0"/>
              <w:adjustRightInd w:val="0"/>
              <w:rPr>
                <w:rFonts w:ascii="Times New Roman" w:hAnsi="Times New Roman"/>
                <w:sz w:val="24"/>
              </w:rPr>
            </w:pPr>
            <w:r w:rsidRPr="00E26EF6">
              <w:rPr>
                <w:rFonts w:ascii="Times New Roman" w:hAnsi="Times New Roman"/>
                <w:sz w:val="24"/>
              </w:rPr>
              <w:t>Art. 329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3</w:t>
            </w:r>
            <w:r w:rsidRPr="00E26EF6">
              <w:rPr>
                <w:rFonts w:ascii="Times New Roman" w:hAnsi="Times New Roman"/>
                <w:sz w:val="24"/>
              </w:rPr>
              <w:t xml:space="preserve"> CRR </w:t>
            </w:r>
          </w:p>
          <w:p w14:paraId="13F60611" w14:textId="7840A870"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Dodatkowe wymogi</w:t>
            </w:r>
            <w:r w:rsidR="00E26EF6" w:rsidRPr="00E26EF6">
              <w:rPr>
                <w:rFonts w:ascii="Times New Roman" w:hAnsi="Times New Roman"/>
                <w:sz w:val="24"/>
              </w:rPr>
              <w:t xml:space="preserve"> w zak</w:t>
            </w:r>
            <w:r w:rsidRPr="00E26EF6">
              <w:rPr>
                <w:rFonts w:ascii="Times New Roman" w:hAnsi="Times New Roman"/>
                <w:sz w:val="24"/>
              </w:rPr>
              <w:t>resie opcji związane</w:t>
            </w:r>
            <w:r w:rsidR="00E26EF6" w:rsidRPr="00E26EF6">
              <w:rPr>
                <w:rFonts w:ascii="Times New Roman" w:hAnsi="Times New Roman"/>
                <w:sz w:val="24"/>
              </w:rPr>
              <w:t xml:space="preserve"> z ryz</w:t>
            </w:r>
            <w:r w:rsidRPr="00E26EF6">
              <w:rPr>
                <w:rFonts w:ascii="Times New Roman" w:hAnsi="Times New Roman"/>
                <w:sz w:val="24"/>
              </w:rPr>
              <w:t>ykami innymi niż ryzyko delta zgłasza się</w:t>
            </w:r>
            <w:r w:rsidR="00E26EF6" w:rsidRPr="00E26EF6">
              <w:rPr>
                <w:rFonts w:ascii="Times New Roman" w:hAnsi="Times New Roman"/>
                <w:sz w:val="24"/>
              </w:rPr>
              <w:t xml:space="preserve"> w met</w:t>
            </w:r>
            <w:r w:rsidRPr="00E26EF6">
              <w:rPr>
                <w:rFonts w:ascii="Times New Roman" w:hAnsi="Times New Roman"/>
                <w:sz w:val="24"/>
              </w:rPr>
              <w:t>odzie stosowanej do obliczenia tego ryzyka.</w:t>
            </w:r>
          </w:p>
        </w:tc>
      </w:tr>
    </w:tbl>
    <w:p w14:paraId="7A270268" w14:textId="77777777" w:rsidR="00915077" w:rsidRPr="00E26EF6" w:rsidRDefault="00915077">
      <w:pPr>
        <w:autoSpaceDE w:val="0"/>
        <w:autoSpaceDN w:val="0"/>
        <w:adjustRightInd w:val="0"/>
        <w:spacing w:before="0" w:after="0"/>
        <w:rPr>
          <w:rFonts w:ascii="Times New Roman" w:hAnsi="Times New Roman"/>
          <w:bCs/>
          <w:sz w:val="24"/>
        </w:rPr>
      </w:pPr>
    </w:p>
    <w:p w14:paraId="4594566D"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6" w:name="_Toc31014393"/>
      <w:r w:rsidRPr="00E26EF6">
        <w:rPr>
          <w:rFonts w:ascii="Times New Roman" w:hAnsi="Times New Roman"/>
          <w:sz w:val="24"/>
          <w:u w:val="none"/>
        </w:rPr>
        <w:t>5.5.</w:t>
      </w:r>
      <w:r w:rsidRPr="00E26EF6">
        <w:rPr>
          <w:rFonts w:ascii="Times New Roman" w:hAnsi="Times New Roman"/>
          <w:sz w:val="24"/>
          <w:u w:val="none"/>
        </w:rPr>
        <w:tab/>
      </w:r>
      <w:r w:rsidRPr="00E26EF6">
        <w:rPr>
          <w:rFonts w:ascii="Times New Roman" w:hAnsi="Times New Roman"/>
          <w:sz w:val="24"/>
        </w:rPr>
        <w:t>C 22.00 – Ryzyko rynkowe: ryzyko walutowe według metod standardowych (MKR SA FX)</w:t>
      </w:r>
      <w:bookmarkEnd w:id="96"/>
    </w:p>
    <w:p w14:paraId="66C47D2B"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7" w:name="_Toc31014394"/>
      <w:r w:rsidRPr="00E26EF6">
        <w:rPr>
          <w:rFonts w:ascii="Times New Roman" w:hAnsi="Times New Roman"/>
          <w:sz w:val="24"/>
          <w:u w:val="none"/>
        </w:rPr>
        <w:t>5.5.1.</w:t>
      </w:r>
      <w:r w:rsidRPr="00E26EF6">
        <w:rPr>
          <w:rFonts w:ascii="Times New Roman" w:hAnsi="Times New Roman"/>
          <w:sz w:val="24"/>
          <w:u w:val="none"/>
        </w:rPr>
        <w:tab/>
      </w:r>
      <w:r w:rsidRPr="00E26EF6">
        <w:rPr>
          <w:rFonts w:ascii="Times New Roman" w:hAnsi="Times New Roman"/>
          <w:sz w:val="24"/>
        </w:rPr>
        <w:t>Uwagi ogólne</w:t>
      </w:r>
      <w:bookmarkEnd w:id="97"/>
    </w:p>
    <w:p w14:paraId="1B02D834" w14:textId="2D45C8BD" w:rsidR="00915077" w:rsidRPr="00E26EF6" w:rsidRDefault="00125707">
      <w:pPr>
        <w:pStyle w:val="InstructionsText2"/>
        <w:numPr>
          <w:ilvl w:val="0"/>
          <w:numId w:val="0"/>
        </w:numPr>
        <w:ind w:left="993"/>
      </w:pPr>
      <w:r w:rsidRPr="00E26EF6">
        <w:t>150. Instytucje zgłaszają informacje na temat pozycji we wszystkich walutach (uwzględniona waluta sprawozdawcza)</w:t>
      </w:r>
      <w:r w:rsidR="00E26EF6" w:rsidRPr="00E26EF6">
        <w:t xml:space="preserve"> i odp</w:t>
      </w:r>
      <w:r w:rsidRPr="00E26EF6">
        <w:t>owiednich wymogów</w:t>
      </w:r>
      <w:r w:rsidR="00E26EF6" w:rsidRPr="00E26EF6">
        <w:t xml:space="preserve"> w zak</w:t>
      </w:r>
      <w:r w:rsidRPr="00E26EF6">
        <w:t>resie fun</w:t>
      </w:r>
      <w:r w:rsidRPr="00E26EF6">
        <w:lastRenderedPageBreak/>
        <w:t>duszy własnych</w:t>
      </w:r>
      <w:r w:rsidR="00E26EF6" w:rsidRPr="00E26EF6">
        <w:t xml:space="preserve"> z tyt</w:t>
      </w:r>
      <w:r w:rsidRPr="00E26EF6">
        <w:t>ułu ryzyka walutowego traktowanych zgodnie</w:t>
      </w:r>
      <w:r w:rsidR="00E26EF6" w:rsidRPr="00E26EF6">
        <w:t xml:space="preserve"> z met</w:t>
      </w:r>
      <w:r w:rsidRPr="00E26EF6">
        <w:t>odą standardową. Pozycję oblicza się</w:t>
      </w:r>
      <w:r w:rsidR="00E26EF6" w:rsidRPr="00E26EF6">
        <w:t xml:space="preserve"> w odn</w:t>
      </w:r>
      <w:r w:rsidRPr="00E26EF6">
        <w:t>iesieniu do wszystkich walut (w tym EUR), złota</w:t>
      </w:r>
      <w:r w:rsidR="00E26EF6" w:rsidRPr="00E26EF6">
        <w:t xml:space="preserve"> i poz</w:t>
      </w:r>
      <w:r w:rsidRPr="00E26EF6">
        <w:t>ycji</w:t>
      </w:r>
      <w:r w:rsidR="00E26EF6" w:rsidRPr="00E26EF6">
        <w:t xml:space="preserve"> w prz</w:t>
      </w:r>
      <w:r w:rsidRPr="00E26EF6">
        <w:t>edsiębiorstwach zbiorowego inwestowania.</w:t>
      </w:r>
    </w:p>
    <w:p w14:paraId="572D06D9" w14:textId="4E058551" w:rsidR="00915077" w:rsidRPr="00E26EF6" w:rsidRDefault="00125707">
      <w:pPr>
        <w:pStyle w:val="InstructionsText2"/>
        <w:numPr>
          <w:ilvl w:val="0"/>
          <w:numId w:val="0"/>
        </w:numPr>
        <w:ind w:left="993"/>
      </w:pPr>
      <w:r w:rsidRPr="00E26EF6">
        <w:t>151.</w:t>
      </w:r>
      <w:r w:rsidRPr="00E26EF6">
        <w:tab/>
        <w:t xml:space="preserve"> Wiersze 100–480 niniejszego wzoru podlegają zgłoszeniu nawet wówczas, gdy instytucje nie mają obowiązku obliczać wymogów</w:t>
      </w:r>
      <w:r w:rsidR="00E26EF6" w:rsidRPr="00E26EF6">
        <w:t xml:space="preserve"> w zak</w:t>
      </w:r>
      <w:r w:rsidRPr="00E26EF6">
        <w:t>resie funduszy własnych</w:t>
      </w:r>
      <w:r w:rsidR="00E26EF6" w:rsidRPr="00E26EF6">
        <w:t xml:space="preserve"> z tyt</w:t>
      </w:r>
      <w:r w:rsidRPr="00E26EF6">
        <w:t>ułu ryzyka walutowego zgodnie</w:t>
      </w:r>
      <w:r w:rsidR="00E26EF6" w:rsidRPr="00E26EF6">
        <w:t xml:space="preserve"> z art</w:t>
      </w:r>
      <w:r w:rsidRPr="00E26EF6">
        <w:t>.</w:t>
      </w:r>
      <w:r w:rsidR="00023409" w:rsidRPr="00E26EF6">
        <w:t> </w:t>
      </w:r>
      <w:r w:rsidRPr="00E26EF6">
        <w:t>351 CRR</w:t>
      </w:r>
      <w:r w:rsidR="00E26EF6" w:rsidRPr="00E26EF6">
        <w:t>. W tyc</w:t>
      </w:r>
      <w:r w:rsidRPr="00E26EF6">
        <w:t>h pozycjach uzupełniających zawarte są wszystkie pozycje</w:t>
      </w:r>
      <w:r w:rsidR="00E26EF6" w:rsidRPr="00E26EF6">
        <w:t xml:space="preserve"> w wal</w:t>
      </w:r>
      <w:r w:rsidRPr="00E26EF6">
        <w:t>ucie sprawozdawczej, niezależnie od tego, czy są one uwzględniane do celów art.</w:t>
      </w:r>
      <w:r w:rsidR="00023409" w:rsidRPr="00E26EF6">
        <w:t> </w:t>
      </w:r>
      <w:r w:rsidRPr="00E26EF6">
        <w:t>354 CRR. Wiersze 130–480 pozycji uzupełniających tego wzoru należy wypełnić osobno</w:t>
      </w:r>
      <w:r w:rsidR="00E26EF6" w:rsidRPr="00E26EF6">
        <w:t xml:space="preserve"> w odn</w:t>
      </w:r>
      <w:r w:rsidRPr="00E26EF6">
        <w:t>iesieniu do wszystkich walut państw członkowskich Unii oraz walut: USD, CHF, JPY, RUB, TRY, AUD, CAD, RSD, ALL, UAH, MKD, EGP, ARS, BRL, MXN, HKD, ICK, TWD, NZD, NOK, SGD, KRW, CNY</w:t>
      </w:r>
      <w:r w:rsidR="00E26EF6" w:rsidRPr="00E26EF6">
        <w:t xml:space="preserve"> i wsz</w:t>
      </w:r>
      <w:r w:rsidRPr="00E26EF6">
        <w:t>ystkich pozostałych walut.</w:t>
      </w:r>
    </w:p>
    <w:p w14:paraId="756CA95E"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8" w:name="_Toc31014395"/>
      <w:r w:rsidRPr="00E26EF6">
        <w:rPr>
          <w:rFonts w:ascii="Times New Roman" w:hAnsi="Times New Roman"/>
          <w:sz w:val="24"/>
          <w:u w:val="none"/>
        </w:rPr>
        <w:t>5.5.2.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15077" w:rsidRPr="00E26EF6" w14:paraId="7796681E" w14:textId="77777777" w:rsidTr="00672D2A">
        <w:trPr>
          <w:trHeight w:val="595"/>
        </w:trPr>
        <w:tc>
          <w:tcPr>
            <w:tcW w:w="8862" w:type="dxa"/>
            <w:gridSpan w:val="2"/>
            <w:shd w:val="clear" w:color="auto" w:fill="CCCCCC"/>
          </w:tcPr>
          <w:p w14:paraId="64AA629F" w14:textId="77777777" w:rsidR="00915077" w:rsidRPr="00E26EF6" w:rsidRDefault="000B0B09">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Kolumny</w:t>
            </w:r>
          </w:p>
        </w:tc>
      </w:tr>
      <w:tr w:rsidR="00915077" w:rsidRPr="00E26EF6" w14:paraId="48023067" w14:textId="77777777" w:rsidTr="00672D2A">
        <w:tc>
          <w:tcPr>
            <w:tcW w:w="988" w:type="dxa"/>
          </w:tcPr>
          <w:p w14:paraId="6025387D" w14:textId="7777777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020-030</w:t>
            </w:r>
          </w:p>
          <w:p w14:paraId="0EF4FB57" w14:textId="77777777" w:rsidR="00915077" w:rsidRPr="00E26EF6" w:rsidRDefault="00915077">
            <w:pPr>
              <w:autoSpaceDE w:val="0"/>
              <w:autoSpaceDN w:val="0"/>
              <w:adjustRightInd w:val="0"/>
              <w:spacing w:before="0" w:after="0"/>
              <w:rPr>
                <w:rFonts w:ascii="Times New Roman" w:hAnsi="Times New Roman"/>
                <w:sz w:val="24"/>
                <w:highlight w:val="lightGray"/>
              </w:rPr>
            </w:pPr>
          </w:p>
        </w:tc>
        <w:tc>
          <w:tcPr>
            <w:tcW w:w="7874" w:type="dxa"/>
          </w:tcPr>
          <w:p w14:paraId="675AE99B"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WSZYSTKIE POZYCJE (DŁUGIE I KRÓTKIE)</w:t>
            </w:r>
          </w:p>
          <w:p w14:paraId="25C0D792" w14:textId="77777777" w:rsidR="00915077" w:rsidRPr="00E26EF6" w:rsidRDefault="00915077">
            <w:pPr>
              <w:autoSpaceDE w:val="0"/>
              <w:autoSpaceDN w:val="0"/>
              <w:adjustRightInd w:val="0"/>
              <w:spacing w:before="0" w:after="0"/>
              <w:rPr>
                <w:rFonts w:ascii="Times New Roman" w:hAnsi="Times New Roman"/>
                <w:sz w:val="24"/>
              </w:rPr>
            </w:pPr>
          </w:p>
          <w:p w14:paraId="721AC3F8" w14:textId="2DE9AB09" w:rsidR="00915077" w:rsidRPr="00E26EF6" w:rsidRDefault="000B0B09">
            <w:pPr>
              <w:autoSpaceDE w:val="0"/>
              <w:autoSpaceDN w:val="0"/>
              <w:adjustRightInd w:val="0"/>
              <w:spacing w:before="0"/>
              <w:rPr>
                <w:rFonts w:ascii="Times New Roman" w:hAnsi="Times New Roman"/>
                <w:sz w:val="24"/>
              </w:rPr>
            </w:pPr>
            <w:r w:rsidRPr="00E26EF6">
              <w:rPr>
                <w:rFonts w:ascii="Times New Roman" w:hAnsi="Times New Roman"/>
                <w:sz w:val="24"/>
              </w:rPr>
              <w:t>Pozycje brutto</w:t>
            </w:r>
            <w:r w:rsidR="00E26EF6" w:rsidRPr="00E26EF6">
              <w:rPr>
                <w:rFonts w:ascii="Times New Roman" w:hAnsi="Times New Roman"/>
                <w:sz w:val="24"/>
              </w:rPr>
              <w:t xml:space="preserve"> z tyt</w:t>
            </w:r>
            <w:r w:rsidRPr="00E26EF6">
              <w:rPr>
                <w:rFonts w:ascii="Times New Roman" w:hAnsi="Times New Roman"/>
                <w:sz w:val="24"/>
              </w:rPr>
              <w:t>ułu aktywów, kwoty do otrzymania</w:t>
            </w:r>
            <w:r w:rsidR="00E26EF6" w:rsidRPr="00E26EF6">
              <w:rPr>
                <w:rFonts w:ascii="Times New Roman" w:hAnsi="Times New Roman"/>
                <w:sz w:val="24"/>
              </w:rPr>
              <w:t xml:space="preserve"> i pod</w:t>
            </w:r>
            <w:r w:rsidRPr="00E26EF6">
              <w:rPr>
                <w:rFonts w:ascii="Times New Roman" w:hAnsi="Times New Roman"/>
                <w:sz w:val="24"/>
              </w:rPr>
              <w:t>obne pozycje,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352 ust.</w:t>
            </w:r>
            <w:r w:rsidR="00023409" w:rsidRPr="00E26EF6">
              <w:rPr>
                <w:rFonts w:ascii="Times New Roman" w:hAnsi="Times New Roman"/>
                <w:sz w:val="24"/>
              </w:rPr>
              <w:t> </w:t>
            </w:r>
            <w:r w:rsidRPr="00E26EF6">
              <w:rPr>
                <w:rFonts w:ascii="Times New Roman" w:hAnsi="Times New Roman"/>
                <w:sz w:val="24"/>
              </w:rPr>
              <w:t>1 CRR.</w:t>
            </w:r>
          </w:p>
          <w:p w14:paraId="07DCE953" w14:textId="3E90A52F" w:rsidR="00915077" w:rsidRPr="00E26EF6" w:rsidRDefault="00BB22D4">
            <w:pPr>
              <w:autoSpaceDE w:val="0"/>
              <w:autoSpaceDN w:val="0"/>
              <w:adjustRightInd w:val="0"/>
              <w:spacing w:before="0" w:after="0"/>
              <w:rPr>
                <w:rFonts w:ascii="Times New Roman" w:hAnsi="Times New Roman"/>
                <w:sz w:val="24"/>
              </w:rPr>
            </w:pPr>
            <w:r w:rsidRPr="00E26EF6">
              <w:rPr>
                <w:rFonts w:ascii="Times New Roman" w:hAnsi="Times New Roman"/>
                <w:sz w:val="24"/>
              </w:rPr>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352 ust.</w:t>
            </w:r>
            <w:r w:rsidR="00023409" w:rsidRPr="00E26EF6">
              <w:rPr>
                <w:rFonts w:ascii="Times New Roman" w:hAnsi="Times New Roman"/>
                <w:sz w:val="24"/>
              </w:rPr>
              <w:t> </w:t>
            </w:r>
            <w:r w:rsidRPr="00E26EF6">
              <w:rPr>
                <w:rFonts w:ascii="Times New Roman" w:hAnsi="Times New Roman"/>
                <w:sz w:val="24"/>
              </w:rPr>
              <w:t>2 CRR</w:t>
            </w:r>
            <w:r w:rsidR="00E26EF6" w:rsidRPr="00E26EF6">
              <w:rPr>
                <w:rFonts w:ascii="Times New Roman" w:hAnsi="Times New Roman"/>
                <w:sz w:val="24"/>
              </w:rPr>
              <w:t xml:space="preserve"> i z zas</w:t>
            </w:r>
            <w:r w:rsidRPr="00E26EF6">
              <w:rPr>
                <w:rFonts w:ascii="Times New Roman" w:hAnsi="Times New Roman"/>
                <w:sz w:val="24"/>
              </w:rPr>
              <w:t>trzeżeniem uzyskania zezwolenia właściwych organów, nie zgłasza się utrzymywanych pozycji zabezpieczających przed niekorzystnym wpływem kursów walutowych na współczynniki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92 ust.</w:t>
            </w:r>
            <w:r w:rsidR="00023409" w:rsidRPr="00E26EF6">
              <w:rPr>
                <w:rFonts w:ascii="Times New Roman" w:hAnsi="Times New Roman"/>
                <w:sz w:val="24"/>
              </w:rPr>
              <w:t> </w:t>
            </w:r>
            <w:r w:rsidRPr="00E26EF6">
              <w:rPr>
                <w:rFonts w:ascii="Times New Roman" w:hAnsi="Times New Roman"/>
                <w:sz w:val="24"/>
              </w:rPr>
              <w:t>1 CRR ani pozycji dotyczących kwot, które już odjęto podczas obliczania funduszy własnych.</w:t>
            </w:r>
          </w:p>
          <w:p w14:paraId="40EFBBBE"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76AE6473" w14:textId="77777777" w:rsidTr="00672D2A">
        <w:tc>
          <w:tcPr>
            <w:tcW w:w="988" w:type="dxa"/>
          </w:tcPr>
          <w:p w14:paraId="1707CB18"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040-050</w:t>
            </w:r>
          </w:p>
        </w:tc>
        <w:tc>
          <w:tcPr>
            <w:tcW w:w="7874" w:type="dxa"/>
          </w:tcPr>
          <w:p w14:paraId="21070BDF"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NETTO (DŁUGIE I KRÓTKIE)</w:t>
            </w:r>
          </w:p>
          <w:p w14:paraId="265F2DAD" w14:textId="77777777" w:rsidR="00915077" w:rsidRPr="00E26EF6" w:rsidRDefault="00915077">
            <w:pPr>
              <w:autoSpaceDE w:val="0"/>
              <w:autoSpaceDN w:val="0"/>
              <w:adjustRightInd w:val="0"/>
              <w:spacing w:before="0" w:after="0"/>
              <w:rPr>
                <w:rFonts w:ascii="Times New Roman" w:hAnsi="Times New Roman"/>
                <w:sz w:val="24"/>
              </w:rPr>
            </w:pPr>
          </w:p>
          <w:p w14:paraId="2C67FA26" w14:textId="4F9276C1" w:rsidR="00915077" w:rsidRPr="00E26EF6" w:rsidRDefault="000B0B09">
            <w:pPr>
              <w:autoSpaceDE w:val="0"/>
              <w:autoSpaceDN w:val="0"/>
              <w:adjustRightInd w:val="0"/>
              <w:spacing w:before="0"/>
              <w:rPr>
                <w:rFonts w:ascii="Times New Roman" w:hAnsi="Times New Roman"/>
                <w:sz w:val="24"/>
              </w:rPr>
            </w:pPr>
            <w:r w:rsidRPr="00E26EF6">
              <w:rPr>
                <w:rFonts w:ascii="Times New Roman" w:hAnsi="Times New Roman"/>
                <w:sz w:val="24"/>
              </w:rPr>
              <w:t>Art. 352 ust.</w:t>
            </w:r>
            <w:r w:rsidR="00023409" w:rsidRPr="00E26EF6">
              <w:rPr>
                <w:rFonts w:ascii="Times New Roman" w:hAnsi="Times New Roman"/>
                <w:sz w:val="24"/>
              </w:rPr>
              <w:t> </w:t>
            </w:r>
            <w:r w:rsidRPr="00E26EF6">
              <w:rPr>
                <w:rFonts w:ascii="Times New Roman" w:hAnsi="Times New Roman"/>
                <w:sz w:val="24"/>
              </w:rPr>
              <w:t>3, art.</w:t>
            </w:r>
            <w:r w:rsidR="00023409" w:rsidRPr="00E26EF6">
              <w:rPr>
                <w:rFonts w:ascii="Times New Roman" w:hAnsi="Times New Roman"/>
                <w:sz w:val="24"/>
              </w:rPr>
              <w:t> </w:t>
            </w:r>
            <w:r w:rsidRPr="00E26EF6">
              <w:rPr>
                <w:rFonts w:ascii="Times New Roman" w:hAnsi="Times New Roman"/>
                <w:sz w:val="24"/>
              </w:rPr>
              <w:t>352 ust.</w:t>
            </w:r>
            <w:r w:rsidR="00023409" w:rsidRPr="00E26EF6">
              <w:rPr>
                <w:rFonts w:ascii="Times New Roman" w:hAnsi="Times New Roman"/>
                <w:sz w:val="24"/>
              </w:rPr>
              <w:t> </w:t>
            </w:r>
            <w:r w:rsidRPr="00E26EF6">
              <w:rPr>
                <w:rFonts w:ascii="Times New Roman" w:hAnsi="Times New Roman"/>
                <w:sz w:val="24"/>
              </w:rPr>
              <w:t>4 dwa pierwsze zdania oraz art.</w:t>
            </w:r>
            <w:r w:rsidR="00023409" w:rsidRPr="00E26EF6">
              <w:rPr>
                <w:rFonts w:ascii="Times New Roman" w:hAnsi="Times New Roman"/>
                <w:sz w:val="24"/>
              </w:rPr>
              <w:t> </w:t>
            </w:r>
            <w:r w:rsidRPr="00E26EF6">
              <w:rPr>
                <w:rFonts w:ascii="Times New Roman" w:hAnsi="Times New Roman"/>
                <w:sz w:val="24"/>
              </w:rPr>
              <w:t>353 CRR</w:t>
            </w:r>
          </w:p>
          <w:p w14:paraId="2BF45567" w14:textId="6AC61F21"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 netto oblicza się we wszystkich walutach,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352 ust.</w:t>
            </w:r>
            <w:r w:rsidR="00023409" w:rsidRPr="00E26EF6">
              <w:rPr>
                <w:rFonts w:ascii="Times New Roman" w:hAnsi="Times New Roman"/>
                <w:sz w:val="24"/>
              </w:rPr>
              <w:t> </w:t>
            </w:r>
            <w:r w:rsidRPr="00E26EF6">
              <w:rPr>
                <w:rFonts w:ascii="Times New Roman" w:hAnsi="Times New Roman"/>
                <w:sz w:val="24"/>
              </w:rPr>
              <w:t>1 CRR</w:t>
            </w:r>
            <w:r w:rsidR="00E26EF6" w:rsidRPr="00E26EF6">
              <w:rPr>
                <w:rFonts w:ascii="Times New Roman" w:hAnsi="Times New Roman"/>
                <w:sz w:val="24"/>
              </w:rPr>
              <w:t>. W zwi</w:t>
            </w:r>
            <w:r w:rsidRPr="00E26EF6">
              <w:rPr>
                <w:rFonts w:ascii="Times New Roman" w:hAnsi="Times New Roman"/>
                <w:sz w:val="24"/>
              </w:rPr>
              <w:t>ązku</w:t>
            </w:r>
            <w:r w:rsidR="00E26EF6" w:rsidRPr="00E26EF6">
              <w:rPr>
                <w:rFonts w:ascii="Times New Roman" w:hAnsi="Times New Roman"/>
                <w:sz w:val="24"/>
              </w:rPr>
              <w:t xml:space="preserve"> z tym</w:t>
            </w:r>
            <w:r w:rsidRPr="00E26EF6">
              <w:rPr>
                <w:rFonts w:ascii="Times New Roman" w:hAnsi="Times New Roman"/>
                <w:sz w:val="24"/>
              </w:rPr>
              <w:t xml:space="preserve"> zarówno pozycje długie, jak</w:t>
            </w:r>
            <w:r w:rsidR="00E26EF6" w:rsidRPr="00E26EF6">
              <w:rPr>
                <w:rFonts w:ascii="Times New Roman" w:hAnsi="Times New Roman"/>
                <w:sz w:val="24"/>
              </w:rPr>
              <w:t xml:space="preserve"> i kró</w:t>
            </w:r>
            <w:r w:rsidRPr="00E26EF6">
              <w:rPr>
                <w:rFonts w:ascii="Times New Roman" w:hAnsi="Times New Roman"/>
                <w:sz w:val="24"/>
              </w:rPr>
              <w:t>tkie można zgłaszać</w:t>
            </w:r>
            <w:r w:rsidR="00E26EF6" w:rsidRPr="00E26EF6">
              <w:rPr>
                <w:rFonts w:ascii="Times New Roman" w:hAnsi="Times New Roman"/>
                <w:sz w:val="24"/>
              </w:rPr>
              <w:t xml:space="preserve"> w tym</w:t>
            </w:r>
            <w:r w:rsidRPr="00E26EF6">
              <w:rPr>
                <w:rFonts w:ascii="Times New Roman" w:hAnsi="Times New Roman"/>
                <w:sz w:val="24"/>
              </w:rPr>
              <w:t xml:space="preserve"> samym czasie.</w:t>
            </w:r>
          </w:p>
          <w:p w14:paraId="577D22D7"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3D0085D3" w14:textId="77777777" w:rsidTr="00672D2A">
        <w:tc>
          <w:tcPr>
            <w:tcW w:w="988" w:type="dxa"/>
          </w:tcPr>
          <w:p w14:paraId="1B508185"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060-080</w:t>
            </w:r>
          </w:p>
        </w:tc>
        <w:tc>
          <w:tcPr>
            <w:tcW w:w="7874" w:type="dxa"/>
          </w:tcPr>
          <w:p w14:paraId="7A859AF6"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PODLEGAJĄCE NARZUTOWI KAPITAŁOWEMU</w:t>
            </w:r>
          </w:p>
          <w:p w14:paraId="7296D2CA" w14:textId="77777777" w:rsidR="00915077" w:rsidRPr="00E26EF6" w:rsidRDefault="00915077">
            <w:pPr>
              <w:autoSpaceDE w:val="0"/>
              <w:autoSpaceDN w:val="0"/>
              <w:adjustRightInd w:val="0"/>
              <w:spacing w:before="0" w:after="0"/>
              <w:rPr>
                <w:rFonts w:ascii="Times New Roman" w:hAnsi="Times New Roman"/>
                <w:sz w:val="24"/>
              </w:rPr>
            </w:pPr>
          </w:p>
          <w:p w14:paraId="1F21804D" w14:textId="2BF0FC02" w:rsidR="00915077" w:rsidRPr="00E26EF6" w:rsidRDefault="00705025">
            <w:pPr>
              <w:autoSpaceDE w:val="0"/>
              <w:autoSpaceDN w:val="0"/>
              <w:adjustRightInd w:val="0"/>
              <w:spacing w:before="0" w:after="0"/>
              <w:rPr>
                <w:rFonts w:ascii="Times New Roman" w:hAnsi="Times New Roman"/>
                <w:sz w:val="24"/>
              </w:rPr>
            </w:pPr>
            <w:r w:rsidRPr="00E26EF6">
              <w:rPr>
                <w:rFonts w:ascii="Times New Roman" w:hAnsi="Times New Roman"/>
                <w:sz w:val="24"/>
              </w:rPr>
              <w:t>Art. 352 ust.</w:t>
            </w:r>
            <w:r w:rsidR="00023409" w:rsidRPr="00E26EF6">
              <w:rPr>
                <w:rFonts w:ascii="Times New Roman" w:hAnsi="Times New Roman"/>
                <w:sz w:val="24"/>
              </w:rPr>
              <w:t> </w:t>
            </w:r>
            <w:r w:rsidRPr="00E26EF6">
              <w:rPr>
                <w:rFonts w:ascii="Times New Roman" w:hAnsi="Times New Roman"/>
                <w:sz w:val="24"/>
              </w:rPr>
              <w:t>4 zdanie trzecie oraz art.</w:t>
            </w:r>
            <w:r w:rsidR="00023409" w:rsidRPr="00E26EF6">
              <w:rPr>
                <w:rFonts w:ascii="Times New Roman" w:hAnsi="Times New Roman"/>
                <w:sz w:val="24"/>
              </w:rPr>
              <w:t> </w:t>
            </w:r>
            <w:r w:rsidRPr="00E26EF6">
              <w:rPr>
                <w:rFonts w:ascii="Times New Roman" w:hAnsi="Times New Roman"/>
                <w:sz w:val="24"/>
              </w:rPr>
              <w:t>353</w:t>
            </w:r>
            <w:r w:rsidR="00E26EF6" w:rsidRPr="00E26EF6">
              <w:rPr>
                <w:rFonts w:ascii="Times New Roman" w:hAnsi="Times New Roman"/>
                <w:sz w:val="24"/>
              </w:rPr>
              <w:t xml:space="preserve"> i 3</w:t>
            </w:r>
            <w:r w:rsidRPr="00E26EF6">
              <w:rPr>
                <w:rFonts w:ascii="Times New Roman" w:hAnsi="Times New Roman"/>
                <w:sz w:val="24"/>
              </w:rPr>
              <w:t xml:space="preserve">54 CRR </w:t>
            </w:r>
          </w:p>
          <w:p w14:paraId="6343D99F"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5EB37095" w14:textId="77777777" w:rsidTr="00672D2A">
        <w:tc>
          <w:tcPr>
            <w:tcW w:w="988" w:type="dxa"/>
          </w:tcPr>
          <w:p w14:paraId="581ABA0E"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060-070</w:t>
            </w:r>
          </w:p>
        </w:tc>
        <w:tc>
          <w:tcPr>
            <w:tcW w:w="7874" w:type="dxa"/>
          </w:tcPr>
          <w:p w14:paraId="14609317" w14:textId="7777777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b/>
                <w:bCs/>
                <w:sz w:val="24"/>
                <w:u w:val="single"/>
              </w:rPr>
              <w:t>POZYCJE PODLEGAJĄCE NARZUTOWI KAPITAŁOWEMU (DŁUGIE I KRÓTKIE)</w:t>
            </w:r>
          </w:p>
          <w:p w14:paraId="57F79153" w14:textId="48B647A9" w:rsidR="00915077" w:rsidRPr="00E26EF6" w:rsidRDefault="000B0B09">
            <w:pPr>
              <w:autoSpaceDE w:val="0"/>
              <w:autoSpaceDN w:val="0"/>
              <w:adjustRightInd w:val="0"/>
              <w:spacing w:after="0"/>
              <w:rPr>
                <w:rFonts w:ascii="Times New Roman" w:hAnsi="Times New Roman"/>
                <w:sz w:val="24"/>
              </w:rPr>
            </w:pPr>
            <w:r w:rsidRPr="00E26EF6">
              <w:rPr>
                <w:rFonts w:ascii="Times New Roman" w:hAnsi="Times New Roman"/>
                <w:sz w:val="24"/>
              </w:rPr>
              <w:t>Długie</w:t>
            </w:r>
            <w:r w:rsidR="00E26EF6" w:rsidRPr="00E26EF6">
              <w:rPr>
                <w:rFonts w:ascii="Times New Roman" w:hAnsi="Times New Roman"/>
                <w:sz w:val="24"/>
              </w:rPr>
              <w:t xml:space="preserve"> i kró</w:t>
            </w:r>
            <w:r w:rsidRPr="00E26EF6">
              <w:rPr>
                <w:rFonts w:ascii="Times New Roman" w:hAnsi="Times New Roman"/>
                <w:sz w:val="24"/>
              </w:rPr>
              <w:t>tkie pozycje netto dla każdej waluty oblicza się poprzez odjęcie sumy pozycji krótkich od sumy pozycji długich.</w:t>
            </w:r>
          </w:p>
          <w:p w14:paraId="4F8F114A" w14:textId="14A19E72" w:rsidR="00915077" w:rsidRPr="00E26EF6" w:rsidRDefault="000B0B09">
            <w:pPr>
              <w:autoSpaceDE w:val="0"/>
              <w:autoSpaceDN w:val="0"/>
              <w:adjustRightInd w:val="0"/>
              <w:spacing w:after="0"/>
              <w:rPr>
                <w:rFonts w:ascii="Times New Roman" w:hAnsi="Times New Roman"/>
                <w:sz w:val="24"/>
              </w:rPr>
            </w:pPr>
            <w:r w:rsidRPr="00E26EF6">
              <w:rPr>
                <w:rFonts w:ascii="Times New Roman" w:hAnsi="Times New Roman"/>
                <w:sz w:val="24"/>
              </w:rPr>
              <w:t>Długie pozycje netto</w:t>
            </w:r>
            <w:r w:rsidR="00E26EF6" w:rsidRPr="00E26EF6">
              <w:rPr>
                <w:rFonts w:ascii="Times New Roman" w:hAnsi="Times New Roman"/>
                <w:sz w:val="24"/>
              </w:rPr>
              <w:t xml:space="preserve"> w odn</w:t>
            </w:r>
            <w:r w:rsidRPr="00E26EF6">
              <w:rPr>
                <w:rFonts w:ascii="Times New Roman" w:hAnsi="Times New Roman"/>
                <w:sz w:val="24"/>
              </w:rPr>
              <w:t>iesieniu do wszystkich transakcji walutowych dodaje się</w:t>
            </w:r>
            <w:r w:rsidR="00E26EF6" w:rsidRPr="00E26EF6">
              <w:rPr>
                <w:rFonts w:ascii="Times New Roman" w:hAnsi="Times New Roman"/>
                <w:sz w:val="24"/>
              </w:rPr>
              <w:t xml:space="preserve"> w cel</w:t>
            </w:r>
            <w:r w:rsidRPr="00E26EF6">
              <w:rPr>
                <w:rFonts w:ascii="Times New Roman" w:hAnsi="Times New Roman"/>
                <w:sz w:val="24"/>
              </w:rPr>
              <w:t>u uzyskania długiej pozycji netto</w:t>
            </w:r>
            <w:r w:rsidR="00E26EF6" w:rsidRPr="00E26EF6">
              <w:rPr>
                <w:rFonts w:ascii="Times New Roman" w:hAnsi="Times New Roman"/>
                <w:sz w:val="24"/>
              </w:rPr>
              <w:t xml:space="preserve"> w dan</w:t>
            </w:r>
            <w:r w:rsidRPr="00E26EF6">
              <w:rPr>
                <w:rFonts w:ascii="Times New Roman" w:hAnsi="Times New Roman"/>
                <w:sz w:val="24"/>
              </w:rPr>
              <w:t>ej walucie.</w:t>
            </w:r>
          </w:p>
          <w:p w14:paraId="3E97328D" w14:textId="55B45AF7" w:rsidR="00915077" w:rsidRPr="00E26EF6" w:rsidRDefault="000B0B09">
            <w:pPr>
              <w:autoSpaceDE w:val="0"/>
              <w:autoSpaceDN w:val="0"/>
              <w:adjustRightInd w:val="0"/>
              <w:spacing w:after="0"/>
              <w:rPr>
                <w:rFonts w:ascii="Times New Roman" w:hAnsi="Times New Roman"/>
                <w:sz w:val="24"/>
              </w:rPr>
            </w:pPr>
            <w:r w:rsidRPr="00E26EF6">
              <w:rPr>
                <w:rFonts w:ascii="Times New Roman" w:hAnsi="Times New Roman"/>
                <w:sz w:val="24"/>
              </w:rPr>
              <w:t>Krótkie pozycje netto</w:t>
            </w:r>
            <w:r w:rsidR="00E26EF6" w:rsidRPr="00E26EF6">
              <w:rPr>
                <w:rFonts w:ascii="Times New Roman" w:hAnsi="Times New Roman"/>
                <w:sz w:val="24"/>
              </w:rPr>
              <w:t xml:space="preserve"> w odn</w:t>
            </w:r>
            <w:r w:rsidRPr="00E26EF6">
              <w:rPr>
                <w:rFonts w:ascii="Times New Roman" w:hAnsi="Times New Roman"/>
                <w:sz w:val="24"/>
              </w:rPr>
              <w:t>iesieniu do wszystkich transakcji walutowych dodaje się</w:t>
            </w:r>
            <w:r w:rsidR="00E26EF6" w:rsidRPr="00E26EF6">
              <w:rPr>
                <w:rFonts w:ascii="Times New Roman" w:hAnsi="Times New Roman"/>
                <w:sz w:val="24"/>
              </w:rPr>
              <w:t xml:space="preserve"> w cel</w:t>
            </w:r>
            <w:r w:rsidRPr="00E26EF6">
              <w:rPr>
                <w:rFonts w:ascii="Times New Roman" w:hAnsi="Times New Roman"/>
                <w:sz w:val="24"/>
              </w:rPr>
              <w:t>u uzyskania krótkiej pozycji netto</w:t>
            </w:r>
            <w:r w:rsidR="00E26EF6" w:rsidRPr="00E26EF6">
              <w:rPr>
                <w:rFonts w:ascii="Times New Roman" w:hAnsi="Times New Roman"/>
                <w:sz w:val="24"/>
              </w:rPr>
              <w:t xml:space="preserve"> w dan</w:t>
            </w:r>
            <w:r w:rsidRPr="00E26EF6">
              <w:rPr>
                <w:rFonts w:ascii="Times New Roman" w:hAnsi="Times New Roman"/>
                <w:sz w:val="24"/>
              </w:rPr>
              <w:t>ej walucie.</w:t>
            </w:r>
          </w:p>
          <w:p w14:paraId="497B2FED" w14:textId="7F4688BB" w:rsidR="00915077" w:rsidRPr="00E26EF6" w:rsidRDefault="000B0B09">
            <w:pPr>
              <w:autoSpaceDE w:val="0"/>
              <w:autoSpaceDN w:val="0"/>
              <w:adjustRightInd w:val="0"/>
              <w:spacing w:after="0"/>
              <w:rPr>
                <w:rFonts w:ascii="Times New Roman" w:hAnsi="Times New Roman"/>
                <w:sz w:val="24"/>
              </w:rPr>
            </w:pPr>
            <w:r w:rsidRPr="00E26EF6">
              <w:rPr>
                <w:rFonts w:ascii="Times New Roman" w:hAnsi="Times New Roman"/>
                <w:sz w:val="24"/>
              </w:rPr>
              <w:t>Pozycje niedopasowane</w:t>
            </w:r>
            <w:r w:rsidR="00E26EF6" w:rsidRPr="00E26EF6">
              <w:rPr>
                <w:rFonts w:ascii="Times New Roman" w:hAnsi="Times New Roman"/>
                <w:sz w:val="24"/>
              </w:rPr>
              <w:t xml:space="preserve"> w wal</w:t>
            </w:r>
            <w:r w:rsidRPr="00E26EF6">
              <w:rPr>
                <w:rFonts w:ascii="Times New Roman" w:hAnsi="Times New Roman"/>
                <w:sz w:val="24"/>
              </w:rPr>
              <w:t>utach innych niż waluty sprawozdawcze dodaje się do pozycji podlegających narzutowi kapitałowemu</w:t>
            </w:r>
            <w:r w:rsidR="00E26EF6" w:rsidRPr="00E26EF6">
              <w:rPr>
                <w:rFonts w:ascii="Times New Roman" w:hAnsi="Times New Roman"/>
                <w:sz w:val="24"/>
              </w:rPr>
              <w:t xml:space="preserve"> w odn</w:t>
            </w:r>
            <w:r w:rsidRPr="00E26EF6">
              <w:rPr>
                <w:rFonts w:ascii="Times New Roman" w:hAnsi="Times New Roman"/>
                <w:sz w:val="24"/>
              </w:rPr>
              <w:t>iesieniu do pozostałych walut (wiersz 030)</w:t>
            </w:r>
            <w:r w:rsidR="00E26EF6" w:rsidRPr="00E26EF6">
              <w:rPr>
                <w:rFonts w:ascii="Times New Roman" w:hAnsi="Times New Roman"/>
                <w:sz w:val="24"/>
              </w:rPr>
              <w:t xml:space="preserve"> w kol</w:t>
            </w:r>
            <w:r w:rsidRPr="00E26EF6">
              <w:rPr>
                <w:rFonts w:ascii="Times New Roman" w:hAnsi="Times New Roman"/>
                <w:sz w:val="24"/>
              </w:rPr>
              <w:t>umnie 060 lub</w:t>
            </w:r>
            <w:r w:rsidR="00023409" w:rsidRPr="00E26EF6">
              <w:rPr>
                <w:rFonts w:ascii="Times New Roman" w:hAnsi="Times New Roman"/>
                <w:sz w:val="24"/>
              </w:rPr>
              <w:t> </w:t>
            </w:r>
            <w:r w:rsidRPr="00E26EF6">
              <w:rPr>
                <w:rFonts w:ascii="Times New Roman" w:hAnsi="Times New Roman"/>
                <w:sz w:val="24"/>
              </w:rPr>
              <w:t>070</w:t>
            </w:r>
            <w:r w:rsidR="00E26EF6" w:rsidRPr="00E26EF6">
              <w:rPr>
                <w:rFonts w:ascii="Times New Roman" w:hAnsi="Times New Roman"/>
                <w:sz w:val="24"/>
              </w:rPr>
              <w:t xml:space="preserve"> w zal</w:t>
            </w:r>
            <w:r w:rsidRPr="00E26EF6">
              <w:rPr>
                <w:rFonts w:ascii="Times New Roman" w:hAnsi="Times New Roman"/>
                <w:sz w:val="24"/>
              </w:rPr>
              <w:t>eżności od ich krótkiej lub długiej pozycji.</w:t>
            </w:r>
          </w:p>
          <w:p w14:paraId="15EA75BC"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2AF0BC2C" w14:textId="77777777" w:rsidTr="00672D2A">
        <w:tc>
          <w:tcPr>
            <w:tcW w:w="988" w:type="dxa"/>
          </w:tcPr>
          <w:p w14:paraId="24F2E25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080</w:t>
            </w:r>
          </w:p>
        </w:tc>
        <w:tc>
          <w:tcPr>
            <w:tcW w:w="7874" w:type="dxa"/>
          </w:tcPr>
          <w:p w14:paraId="14E0FD45"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PODLEGAJĄCE NARZUTOWI KAPITAŁOWEMU (DOPASOWANE)</w:t>
            </w:r>
          </w:p>
          <w:p w14:paraId="1660EA41" w14:textId="77777777" w:rsidR="00915077" w:rsidRPr="00E26EF6" w:rsidRDefault="00915077">
            <w:pPr>
              <w:autoSpaceDE w:val="0"/>
              <w:autoSpaceDN w:val="0"/>
              <w:adjustRightInd w:val="0"/>
              <w:spacing w:before="0" w:after="0"/>
              <w:rPr>
                <w:rFonts w:ascii="Times New Roman" w:hAnsi="Times New Roman"/>
                <w:sz w:val="24"/>
              </w:rPr>
            </w:pPr>
          </w:p>
          <w:p w14:paraId="1F077D35" w14:textId="300A79AF"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 dopasowane</w:t>
            </w:r>
            <w:r w:rsidR="00E26EF6" w:rsidRPr="00E26EF6">
              <w:rPr>
                <w:rFonts w:ascii="Times New Roman" w:hAnsi="Times New Roman"/>
                <w:sz w:val="24"/>
              </w:rPr>
              <w:t xml:space="preserve"> w odn</w:t>
            </w:r>
            <w:r w:rsidRPr="00E26EF6">
              <w:rPr>
                <w:rFonts w:ascii="Times New Roman" w:hAnsi="Times New Roman"/>
                <w:sz w:val="24"/>
              </w:rPr>
              <w:t>iesieniu do walut silnie ze sobą skorelowanych.</w:t>
            </w:r>
          </w:p>
          <w:p w14:paraId="7D5B1991"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666A5D00" w14:textId="77777777" w:rsidTr="00672D2A">
        <w:tc>
          <w:tcPr>
            <w:tcW w:w="988" w:type="dxa"/>
          </w:tcPr>
          <w:p w14:paraId="706FBE6C"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090</w:t>
            </w:r>
          </w:p>
        </w:tc>
        <w:tc>
          <w:tcPr>
            <w:tcW w:w="7874" w:type="dxa"/>
          </w:tcPr>
          <w:p w14:paraId="09E9184B"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WYMOGI W ZAKRESIE FUNDUSZY WŁASNYCH</w:t>
            </w:r>
          </w:p>
          <w:p w14:paraId="4E55ADD1" w14:textId="77777777" w:rsidR="00915077" w:rsidRPr="00E26EF6" w:rsidRDefault="00915077">
            <w:pPr>
              <w:autoSpaceDE w:val="0"/>
              <w:autoSpaceDN w:val="0"/>
              <w:adjustRightInd w:val="0"/>
              <w:spacing w:before="0" w:after="0"/>
              <w:rPr>
                <w:rFonts w:ascii="Times New Roman" w:hAnsi="Times New Roman"/>
                <w:b/>
                <w:bCs/>
                <w:sz w:val="24"/>
                <w:u w:val="single"/>
              </w:rPr>
            </w:pPr>
          </w:p>
          <w:p w14:paraId="47FA0A16" w14:textId="572AD0BA"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Narzut kapitałowy</w:t>
            </w:r>
            <w:r w:rsidR="00E26EF6" w:rsidRPr="00E26EF6">
              <w:rPr>
                <w:rFonts w:ascii="Times New Roman" w:hAnsi="Times New Roman"/>
                <w:sz w:val="24"/>
              </w:rPr>
              <w:t xml:space="preserve"> w odn</w:t>
            </w:r>
            <w:r w:rsidRPr="00E26EF6">
              <w:rPr>
                <w:rFonts w:ascii="Times New Roman" w:hAnsi="Times New Roman"/>
                <w:sz w:val="24"/>
              </w:rPr>
              <w:t>iesieniu do wszelkich stosownych pozycji, zgodnie</w:t>
            </w:r>
            <w:r w:rsidR="00E26EF6" w:rsidRPr="00E26EF6">
              <w:rPr>
                <w:rFonts w:ascii="Times New Roman" w:hAnsi="Times New Roman"/>
                <w:sz w:val="24"/>
              </w:rPr>
              <w:t xml:space="preserve"> z czę</w:t>
            </w:r>
            <w:r w:rsidRPr="00E26EF6">
              <w:rPr>
                <w:rFonts w:ascii="Times New Roman" w:hAnsi="Times New Roman"/>
                <w:sz w:val="24"/>
              </w:rPr>
              <w:t xml:space="preserve">ścią trzecią tytuł IV rozdział 3 CRR. </w:t>
            </w:r>
          </w:p>
          <w:p w14:paraId="5E61BBB1"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2368BE23" w14:textId="77777777" w:rsidTr="00672D2A">
        <w:tc>
          <w:tcPr>
            <w:tcW w:w="988" w:type="dxa"/>
          </w:tcPr>
          <w:p w14:paraId="197EB1D4"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100</w:t>
            </w:r>
          </w:p>
        </w:tc>
        <w:tc>
          <w:tcPr>
            <w:tcW w:w="7874" w:type="dxa"/>
          </w:tcPr>
          <w:p w14:paraId="2C78C9EA" w14:textId="77777777" w:rsidR="00915077" w:rsidRPr="00E26EF6" w:rsidRDefault="000B0B09">
            <w:pPr>
              <w:tabs>
                <w:tab w:val="left" w:pos="1665"/>
              </w:tabs>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ŁĄCZNA KWOTA EKSPOZYCJI NA RYZYKO</w:t>
            </w:r>
          </w:p>
          <w:p w14:paraId="30E6DCD1" w14:textId="77777777" w:rsidR="00915077" w:rsidRPr="00E26EF6" w:rsidRDefault="00915077">
            <w:pPr>
              <w:tabs>
                <w:tab w:val="left" w:pos="1665"/>
              </w:tabs>
              <w:autoSpaceDE w:val="0"/>
              <w:autoSpaceDN w:val="0"/>
              <w:adjustRightInd w:val="0"/>
              <w:spacing w:before="0" w:after="0"/>
              <w:rPr>
                <w:rFonts w:ascii="Times New Roman" w:hAnsi="Times New Roman"/>
                <w:b/>
                <w:bCs/>
                <w:sz w:val="24"/>
                <w:u w:val="single"/>
              </w:rPr>
            </w:pPr>
          </w:p>
          <w:p w14:paraId="23B20A5B" w14:textId="2A7C3DF0" w:rsidR="00915077" w:rsidRPr="00E26EF6" w:rsidRDefault="00D21B29">
            <w:pPr>
              <w:tabs>
                <w:tab w:val="left" w:pos="1665"/>
              </w:tabs>
              <w:autoSpaceDE w:val="0"/>
              <w:autoSpaceDN w:val="0"/>
              <w:adjustRightInd w:val="0"/>
              <w:spacing w:before="0"/>
              <w:rPr>
                <w:rFonts w:ascii="Times New Roman" w:hAnsi="Times New Roman"/>
                <w:sz w:val="24"/>
              </w:rPr>
            </w:pPr>
            <w:r w:rsidRPr="00E26EF6">
              <w:rPr>
                <w:rFonts w:ascii="Times New Roman" w:hAnsi="Times New Roman"/>
                <w:sz w:val="24"/>
              </w:rPr>
              <w:t>Art. 92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b) CRR.</w:t>
            </w:r>
          </w:p>
          <w:p w14:paraId="00440307" w14:textId="7F7520FE" w:rsidR="00915077" w:rsidRPr="00E26EF6" w:rsidRDefault="000B0B09">
            <w:pPr>
              <w:tabs>
                <w:tab w:val="left" w:pos="1665"/>
              </w:tabs>
              <w:autoSpaceDE w:val="0"/>
              <w:autoSpaceDN w:val="0"/>
              <w:adjustRightInd w:val="0"/>
              <w:spacing w:before="0" w:after="0"/>
              <w:rPr>
                <w:rFonts w:ascii="Times New Roman" w:hAnsi="Times New Roman"/>
                <w:sz w:val="24"/>
              </w:rPr>
            </w:pPr>
            <w:r w:rsidRPr="00E26EF6">
              <w:rPr>
                <w:rFonts w:ascii="Times New Roman" w:hAnsi="Times New Roman"/>
                <w:sz w:val="24"/>
              </w:rPr>
              <w:t>Wynik pomnożenia wymogów</w:t>
            </w:r>
            <w:r w:rsidR="00E26EF6" w:rsidRPr="00E26EF6">
              <w:rPr>
                <w:rFonts w:ascii="Times New Roman" w:hAnsi="Times New Roman"/>
                <w:sz w:val="24"/>
              </w:rPr>
              <w:t xml:space="preserve"> w zak</w:t>
            </w:r>
            <w:r w:rsidRPr="00E26EF6">
              <w:rPr>
                <w:rFonts w:ascii="Times New Roman" w:hAnsi="Times New Roman"/>
                <w:sz w:val="24"/>
              </w:rPr>
              <w:t xml:space="preserve">resie funduszy własnych przez 12,5. </w:t>
            </w:r>
          </w:p>
          <w:p w14:paraId="4C34DF56" w14:textId="77777777" w:rsidR="00915077" w:rsidRPr="00E26EF6" w:rsidRDefault="00915077">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915077" w:rsidRPr="00E26EF6" w:rsidRDefault="00915077">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915077" w:rsidRPr="00E26EF6" w14:paraId="09A7A9C0" w14:textId="77777777" w:rsidTr="00672D2A">
        <w:trPr>
          <w:trHeight w:val="497"/>
        </w:trPr>
        <w:tc>
          <w:tcPr>
            <w:tcW w:w="8862" w:type="dxa"/>
            <w:gridSpan w:val="2"/>
            <w:shd w:val="clear" w:color="auto" w:fill="CCCCCC"/>
          </w:tcPr>
          <w:p w14:paraId="008F0461" w14:textId="77777777" w:rsidR="00915077" w:rsidRPr="00E26EF6" w:rsidRDefault="000B0B09">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Wiersze</w:t>
            </w:r>
          </w:p>
        </w:tc>
      </w:tr>
      <w:tr w:rsidR="00915077" w:rsidRPr="00E26EF6" w14:paraId="5C001F68" w14:textId="77777777" w:rsidTr="00672D2A">
        <w:tc>
          <w:tcPr>
            <w:tcW w:w="991" w:type="dxa"/>
          </w:tcPr>
          <w:p w14:paraId="0027DA2F"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w:t>
            </w:r>
          </w:p>
        </w:tc>
        <w:tc>
          <w:tcPr>
            <w:tcW w:w="7871" w:type="dxa"/>
          </w:tcPr>
          <w:p w14:paraId="13E9FB3B"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RAZEM</w:t>
            </w:r>
          </w:p>
          <w:p w14:paraId="1257C078" w14:textId="77777777" w:rsidR="00915077" w:rsidRPr="00E26EF6" w:rsidRDefault="00915077">
            <w:pPr>
              <w:autoSpaceDE w:val="0"/>
              <w:autoSpaceDN w:val="0"/>
              <w:adjustRightInd w:val="0"/>
              <w:spacing w:before="0" w:after="0"/>
              <w:rPr>
                <w:rFonts w:ascii="Times New Roman" w:hAnsi="Times New Roman"/>
                <w:sz w:val="24"/>
              </w:rPr>
            </w:pPr>
          </w:p>
          <w:p w14:paraId="4B7F845E" w14:textId="49CB678D" w:rsidR="00915077" w:rsidRPr="00E26EF6" w:rsidRDefault="00491F4D">
            <w:pPr>
              <w:autoSpaceDE w:val="0"/>
              <w:autoSpaceDN w:val="0"/>
              <w:adjustRightInd w:val="0"/>
              <w:spacing w:before="0" w:after="0"/>
              <w:rPr>
                <w:rFonts w:ascii="Times New Roman" w:hAnsi="Times New Roman"/>
                <w:sz w:val="24"/>
              </w:rPr>
            </w:pPr>
            <w:r w:rsidRPr="00E26EF6">
              <w:rPr>
                <w:rFonts w:ascii="Times New Roman" w:hAnsi="Times New Roman"/>
                <w:sz w:val="24"/>
              </w:rPr>
              <w:t>Wszystkie pozycje</w:t>
            </w:r>
            <w:r w:rsidR="00E26EF6" w:rsidRPr="00E26EF6">
              <w:rPr>
                <w:rFonts w:ascii="Times New Roman" w:hAnsi="Times New Roman"/>
                <w:sz w:val="24"/>
              </w:rPr>
              <w:t xml:space="preserve"> w wal</w:t>
            </w:r>
            <w:r w:rsidRPr="00E26EF6">
              <w:rPr>
                <w:rFonts w:ascii="Times New Roman" w:hAnsi="Times New Roman"/>
                <w:sz w:val="24"/>
              </w:rPr>
              <w:t>utach innych niż waluty sprawozdawcze oraz te pozycje</w:t>
            </w:r>
            <w:r w:rsidR="00E26EF6" w:rsidRPr="00E26EF6">
              <w:rPr>
                <w:rFonts w:ascii="Times New Roman" w:hAnsi="Times New Roman"/>
                <w:sz w:val="24"/>
              </w:rPr>
              <w:t xml:space="preserve"> w wal</w:t>
            </w:r>
            <w:r w:rsidRPr="00E26EF6">
              <w:rPr>
                <w:rFonts w:ascii="Times New Roman" w:hAnsi="Times New Roman"/>
                <w:sz w:val="24"/>
              </w:rPr>
              <w:t>ucie sprawozdawczej, które są uwzględniane do celów art.</w:t>
            </w:r>
            <w:r w:rsidR="00023409" w:rsidRPr="00E26EF6">
              <w:rPr>
                <w:rFonts w:ascii="Times New Roman" w:hAnsi="Times New Roman"/>
                <w:sz w:val="24"/>
              </w:rPr>
              <w:t> </w:t>
            </w:r>
            <w:r w:rsidRPr="00E26EF6">
              <w:rPr>
                <w:rFonts w:ascii="Times New Roman" w:hAnsi="Times New Roman"/>
                <w:sz w:val="24"/>
              </w:rPr>
              <w:t>354 CRR, jak również ich odpowiednie wymogi</w:t>
            </w:r>
            <w:r w:rsidR="00E26EF6" w:rsidRPr="00E26EF6">
              <w:rPr>
                <w:rFonts w:ascii="Times New Roman" w:hAnsi="Times New Roman"/>
                <w:sz w:val="24"/>
              </w:rPr>
              <w:t xml:space="preserve"> w zak</w:t>
            </w:r>
            <w:r w:rsidRPr="00E26EF6">
              <w:rPr>
                <w:rFonts w:ascii="Times New Roman" w:hAnsi="Times New Roman"/>
                <w:sz w:val="24"/>
              </w:rPr>
              <w:t>resie funduszy własnych dotyczące ryzyka walutowego,</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c) ppkt (i), uwzględniając art.</w:t>
            </w:r>
            <w:r w:rsidR="00023409" w:rsidRPr="00E26EF6">
              <w:rPr>
                <w:rFonts w:ascii="Times New Roman" w:hAnsi="Times New Roman"/>
                <w:sz w:val="24"/>
              </w:rPr>
              <w:t> </w:t>
            </w:r>
            <w:r w:rsidRPr="00E26EF6">
              <w:rPr>
                <w:rFonts w:ascii="Times New Roman" w:hAnsi="Times New Roman"/>
                <w:sz w:val="24"/>
              </w:rPr>
              <w:t>352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4</w:t>
            </w:r>
            <w:r w:rsidRPr="00E26EF6">
              <w:rPr>
                <w:rFonts w:ascii="Times New Roman" w:hAnsi="Times New Roman"/>
                <w:sz w:val="24"/>
              </w:rPr>
              <w:t xml:space="preserve"> CRR (do celów zamiany na walutę sprawozdawczą).</w:t>
            </w:r>
          </w:p>
          <w:p w14:paraId="7605EA72"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30F009A5" w14:textId="77777777" w:rsidTr="00672D2A">
        <w:tc>
          <w:tcPr>
            <w:tcW w:w="991" w:type="dxa"/>
          </w:tcPr>
          <w:p w14:paraId="0BC1CCB3"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020</w:t>
            </w:r>
          </w:p>
        </w:tc>
        <w:tc>
          <w:tcPr>
            <w:tcW w:w="7871" w:type="dxa"/>
          </w:tcPr>
          <w:p w14:paraId="24D6A26E"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WALUTY SILNIE ZE SOBĄ SKORELOWANE</w:t>
            </w:r>
          </w:p>
          <w:p w14:paraId="592220AA" w14:textId="77777777" w:rsidR="00915077" w:rsidRPr="00E26EF6" w:rsidRDefault="00915077">
            <w:pPr>
              <w:autoSpaceDE w:val="0"/>
              <w:autoSpaceDN w:val="0"/>
              <w:adjustRightInd w:val="0"/>
              <w:spacing w:before="0" w:after="0"/>
              <w:rPr>
                <w:rFonts w:ascii="Times New Roman" w:hAnsi="Times New Roman"/>
                <w:sz w:val="24"/>
              </w:rPr>
            </w:pPr>
          </w:p>
          <w:p w14:paraId="0D4BF746" w14:textId="2F06608B"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w:t>
            </w:r>
            <w:r w:rsidR="00E26EF6" w:rsidRPr="00E26EF6">
              <w:rPr>
                <w:rFonts w:ascii="Times New Roman" w:hAnsi="Times New Roman"/>
                <w:sz w:val="24"/>
              </w:rPr>
              <w:t xml:space="preserve"> i ich</w:t>
            </w:r>
            <w:r w:rsidRPr="00E26EF6">
              <w:rPr>
                <w:rFonts w:ascii="Times New Roman" w:hAnsi="Times New Roman"/>
                <w:sz w:val="24"/>
              </w:rPr>
              <w:t xml:space="preserve"> odpowiednie wymogi</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w odn</w:t>
            </w:r>
            <w:r w:rsidRPr="00E26EF6">
              <w:rPr>
                <w:rFonts w:ascii="Times New Roman" w:hAnsi="Times New Roman"/>
                <w:sz w:val="24"/>
              </w:rPr>
              <w:t>iesieniu do walut silnie ze sobą skorelowanych,</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354 CRR.</w:t>
            </w:r>
          </w:p>
          <w:p w14:paraId="3659DFEB"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41510BBE" w14:textId="77777777" w:rsidTr="00672D2A">
        <w:tc>
          <w:tcPr>
            <w:tcW w:w="991" w:type="dxa"/>
          </w:tcPr>
          <w:p w14:paraId="03AEDF87" w14:textId="77777777" w:rsidR="00915077" w:rsidRPr="00E26EF6" w:rsidRDefault="00491F4D">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025</w:t>
            </w:r>
          </w:p>
        </w:tc>
        <w:tc>
          <w:tcPr>
            <w:tcW w:w="7871" w:type="dxa"/>
          </w:tcPr>
          <w:p w14:paraId="66C1F6B0" w14:textId="77777777" w:rsidR="00915077" w:rsidRPr="00E26EF6" w:rsidRDefault="00491F4D">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 xml:space="preserve">Waluty silnie ze sobą skorelowane </w:t>
            </w:r>
            <w:r w:rsidRPr="00E26EF6">
              <w:rPr>
                <w:rFonts w:ascii="Times New Roman" w:hAnsi="Times New Roman"/>
                <w:b/>
                <w:bCs/>
                <w:i/>
                <w:sz w:val="24"/>
                <w:u w:val="single"/>
              </w:rPr>
              <w:t>W tym</w:t>
            </w:r>
            <w:r w:rsidRPr="00E26EF6">
              <w:rPr>
                <w:rFonts w:ascii="Times New Roman" w:hAnsi="Times New Roman"/>
                <w:b/>
                <w:bCs/>
                <w:sz w:val="24"/>
                <w:u w:val="single"/>
              </w:rPr>
              <w:t>: waluta sprawozdawcza</w:t>
            </w:r>
          </w:p>
          <w:p w14:paraId="3A21A411" w14:textId="77777777" w:rsidR="00915077" w:rsidRPr="00E26EF6" w:rsidRDefault="00915077">
            <w:pPr>
              <w:autoSpaceDE w:val="0"/>
              <w:autoSpaceDN w:val="0"/>
              <w:adjustRightInd w:val="0"/>
              <w:spacing w:before="0" w:after="0"/>
              <w:rPr>
                <w:rFonts w:ascii="Times New Roman" w:hAnsi="Times New Roman"/>
                <w:sz w:val="24"/>
              </w:rPr>
            </w:pPr>
          </w:p>
          <w:p w14:paraId="379FE9C2" w14:textId="7ED859A1" w:rsidR="00915077" w:rsidRPr="00E26EF6" w:rsidRDefault="00491F4D">
            <w:pPr>
              <w:autoSpaceDE w:val="0"/>
              <w:autoSpaceDN w:val="0"/>
              <w:adjustRightInd w:val="0"/>
              <w:spacing w:before="0" w:after="0"/>
              <w:rPr>
                <w:rFonts w:ascii="Times New Roman" w:hAnsi="Times New Roman"/>
                <w:sz w:val="24"/>
              </w:rPr>
            </w:pPr>
            <w:r w:rsidRPr="00E26EF6">
              <w:rPr>
                <w:rFonts w:ascii="Times New Roman" w:hAnsi="Times New Roman"/>
                <w:sz w:val="24"/>
              </w:rPr>
              <w:t>Pozycje</w:t>
            </w:r>
            <w:r w:rsidR="00E26EF6" w:rsidRPr="00E26EF6">
              <w:rPr>
                <w:rFonts w:ascii="Times New Roman" w:hAnsi="Times New Roman"/>
                <w:sz w:val="24"/>
              </w:rPr>
              <w:t xml:space="preserve"> w wal</w:t>
            </w:r>
            <w:r w:rsidRPr="00E26EF6">
              <w:rPr>
                <w:rFonts w:ascii="Times New Roman" w:hAnsi="Times New Roman"/>
                <w:sz w:val="24"/>
              </w:rPr>
              <w:t>ucie sprawozdawczej, które są uwzględniane przy obliczaniu wymogów kapitałowych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354 CRR.</w:t>
            </w:r>
          </w:p>
          <w:p w14:paraId="0CD77931"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304C357C" w14:textId="77777777" w:rsidTr="00672D2A">
        <w:tc>
          <w:tcPr>
            <w:tcW w:w="991" w:type="dxa"/>
          </w:tcPr>
          <w:p w14:paraId="5D3C41AD"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030</w:t>
            </w:r>
          </w:p>
        </w:tc>
        <w:tc>
          <w:tcPr>
            <w:tcW w:w="7871" w:type="dxa"/>
          </w:tcPr>
          <w:p w14:paraId="6BB078E4"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WSZELKIE INNE WALUTY (w tym przedsiębiorstwa zbiorowego inwestowania traktowane jako inne waluty)</w:t>
            </w:r>
          </w:p>
          <w:p w14:paraId="6C1AA402" w14:textId="77777777" w:rsidR="00915077" w:rsidRPr="00E26EF6" w:rsidRDefault="00915077">
            <w:pPr>
              <w:autoSpaceDE w:val="0"/>
              <w:autoSpaceDN w:val="0"/>
              <w:adjustRightInd w:val="0"/>
              <w:spacing w:before="0" w:after="0"/>
              <w:rPr>
                <w:rFonts w:ascii="Times New Roman" w:hAnsi="Times New Roman"/>
                <w:b/>
                <w:bCs/>
                <w:sz w:val="24"/>
                <w:u w:val="single"/>
              </w:rPr>
            </w:pPr>
          </w:p>
          <w:p w14:paraId="5512D131" w14:textId="43ED2565"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w:t>
            </w:r>
            <w:r w:rsidR="00E26EF6" w:rsidRPr="00E26EF6">
              <w:rPr>
                <w:rFonts w:ascii="Times New Roman" w:hAnsi="Times New Roman"/>
                <w:sz w:val="24"/>
              </w:rPr>
              <w:t xml:space="preserve"> i ich</w:t>
            </w:r>
            <w:r w:rsidRPr="00E26EF6">
              <w:rPr>
                <w:rFonts w:ascii="Times New Roman" w:hAnsi="Times New Roman"/>
                <w:sz w:val="24"/>
              </w:rPr>
              <w:t xml:space="preserve"> odpowiednie wymogi</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w odn</w:t>
            </w:r>
            <w:r w:rsidRPr="00E26EF6">
              <w:rPr>
                <w:rFonts w:ascii="Times New Roman" w:hAnsi="Times New Roman"/>
                <w:sz w:val="24"/>
              </w:rPr>
              <w:t>iesieniu do walut podlegających procedurze ogólnej,</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351</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352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4</w:t>
            </w:r>
            <w:r w:rsidRPr="00E26EF6">
              <w:rPr>
                <w:rFonts w:ascii="Times New Roman" w:hAnsi="Times New Roman"/>
                <w:sz w:val="24"/>
              </w:rPr>
              <w:t xml:space="preserve"> CRR.</w:t>
            </w:r>
          </w:p>
          <w:p w14:paraId="4DF0375E" w14:textId="77777777" w:rsidR="00915077" w:rsidRPr="00E26EF6" w:rsidRDefault="00915077">
            <w:pPr>
              <w:autoSpaceDE w:val="0"/>
              <w:autoSpaceDN w:val="0"/>
              <w:adjustRightInd w:val="0"/>
              <w:spacing w:before="0" w:after="0"/>
              <w:rPr>
                <w:rFonts w:ascii="Times New Roman" w:hAnsi="Times New Roman"/>
                <w:b/>
                <w:bCs/>
                <w:sz w:val="24"/>
                <w:u w:val="single"/>
              </w:rPr>
            </w:pPr>
          </w:p>
          <w:p w14:paraId="1388E093" w14:textId="6A3AA31E" w:rsidR="00915077" w:rsidRPr="00E26EF6" w:rsidRDefault="000B0B09">
            <w:pPr>
              <w:autoSpaceDE w:val="0"/>
              <w:autoSpaceDN w:val="0"/>
              <w:adjustRightInd w:val="0"/>
              <w:spacing w:before="0" w:after="0"/>
              <w:rPr>
                <w:rFonts w:ascii="Times New Roman" w:hAnsi="Times New Roman"/>
                <w:bCs/>
                <w:sz w:val="24"/>
                <w:u w:val="single"/>
              </w:rPr>
            </w:pPr>
            <w:r w:rsidRPr="00E26EF6">
              <w:rPr>
                <w:rFonts w:ascii="Times New Roman" w:hAnsi="Times New Roman"/>
                <w:bCs/>
                <w:sz w:val="24"/>
                <w:u w:val="single"/>
              </w:rPr>
              <w:t>Zgłaszanie przedsiębiorstw zbiorowego inwestowania traktowanych jako osobne waluty zgodnie</w:t>
            </w:r>
            <w:r w:rsidR="00E26EF6" w:rsidRPr="00E26EF6">
              <w:rPr>
                <w:rFonts w:ascii="Times New Roman" w:hAnsi="Times New Roman"/>
                <w:bCs/>
                <w:sz w:val="24"/>
                <w:u w:val="single"/>
              </w:rPr>
              <w:t xml:space="preserve"> z art</w:t>
            </w:r>
            <w:r w:rsidRPr="00E26EF6">
              <w:rPr>
                <w:rFonts w:ascii="Times New Roman" w:hAnsi="Times New Roman"/>
                <w:bCs/>
                <w:sz w:val="24"/>
                <w:u w:val="single"/>
              </w:rPr>
              <w:t>.</w:t>
            </w:r>
            <w:r w:rsidR="00023409" w:rsidRPr="00E26EF6">
              <w:rPr>
                <w:rFonts w:ascii="Times New Roman" w:hAnsi="Times New Roman"/>
                <w:bCs/>
                <w:sz w:val="24"/>
                <w:u w:val="single"/>
              </w:rPr>
              <w:t> </w:t>
            </w:r>
            <w:r w:rsidRPr="00E26EF6">
              <w:rPr>
                <w:rFonts w:ascii="Times New Roman" w:hAnsi="Times New Roman"/>
                <w:bCs/>
                <w:sz w:val="24"/>
                <w:u w:val="single"/>
              </w:rPr>
              <w:t>353 CRR:</w:t>
            </w:r>
          </w:p>
          <w:p w14:paraId="051C2F90" w14:textId="4D8E6619" w:rsidR="00915077" w:rsidRPr="00E26EF6" w:rsidRDefault="000B0B09">
            <w:pPr>
              <w:autoSpaceDE w:val="0"/>
              <w:autoSpaceDN w:val="0"/>
              <w:adjustRightInd w:val="0"/>
              <w:spacing w:before="0" w:after="0"/>
              <w:rPr>
                <w:rFonts w:ascii="Times New Roman" w:hAnsi="Times New Roman"/>
                <w:bCs/>
                <w:sz w:val="24"/>
              </w:rPr>
            </w:pPr>
            <w:r w:rsidRPr="00E26EF6">
              <w:rPr>
                <w:rFonts w:ascii="Times New Roman" w:hAnsi="Times New Roman"/>
                <w:bCs/>
                <w:sz w:val="24"/>
              </w:rPr>
              <w:t>Istnieją dwa różne sposoby ujęcia przedsiębiorstw zbiorowego inwestowania traktowanych jako osobne waluty</w:t>
            </w:r>
            <w:r w:rsidR="00E26EF6" w:rsidRPr="00E26EF6">
              <w:rPr>
                <w:rFonts w:ascii="Times New Roman" w:hAnsi="Times New Roman"/>
                <w:bCs/>
                <w:sz w:val="24"/>
              </w:rPr>
              <w:t xml:space="preserve"> w cel</w:t>
            </w:r>
            <w:r w:rsidRPr="00E26EF6">
              <w:rPr>
                <w:rFonts w:ascii="Times New Roman" w:hAnsi="Times New Roman"/>
                <w:bCs/>
                <w:sz w:val="24"/>
              </w:rPr>
              <w:t>u obliczenia wymogów kapitałowych:</w:t>
            </w:r>
          </w:p>
          <w:p w14:paraId="255957B8" w14:textId="5252A175" w:rsidR="00915077" w:rsidRPr="00E26EF6" w:rsidRDefault="00125707">
            <w:pPr>
              <w:autoSpaceDE w:val="0"/>
              <w:autoSpaceDN w:val="0"/>
              <w:adjustRightInd w:val="0"/>
              <w:spacing w:before="0" w:after="0"/>
              <w:ind w:left="720" w:hanging="360"/>
              <w:rPr>
                <w:rFonts w:ascii="Times New Roman" w:hAnsi="Times New Roman"/>
                <w:bCs/>
                <w:sz w:val="24"/>
              </w:rPr>
            </w:pPr>
            <w:r w:rsidRPr="00E26EF6">
              <w:rPr>
                <w:rFonts w:ascii="Times New Roman" w:hAnsi="Times New Roman"/>
                <w:bCs/>
                <w:sz w:val="24"/>
              </w:rPr>
              <w:t>1.</w:t>
            </w:r>
            <w:r w:rsidRPr="00E26EF6">
              <w:rPr>
                <w:rFonts w:ascii="Times New Roman" w:hAnsi="Times New Roman"/>
                <w:bCs/>
                <w:sz w:val="24"/>
              </w:rPr>
              <w:tab/>
              <w:t>Zmieniona metoda dotycząca złota, jeżeli kierunek inwestycji przedsiębiorstwa zbiorowego inwestowania jest niedostępny (przedsiębiorstwa te dodaje się do całkowitej pozycji walutowej netto instytucji);</w:t>
            </w:r>
          </w:p>
          <w:p w14:paraId="6F86EE5B" w14:textId="68B05AAB" w:rsidR="00915077" w:rsidRPr="00E26EF6" w:rsidRDefault="00125707">
            <w:pPr>
              <w:autoSpaceDE w:val="0"/>
              <w:autoSpaceDN w:val="0"/>
              <w:adjustRightInd w:val="0"/>
              <w:spacing w:before="0" w:after="0"/>
              <w:ind w:left="720" w:hanging="360"/>
              <w:rPr>
                <w:rFonts w:ascii="Times New Roman" w:hAnsi="Times New Roman"/>
                <w:bCs/>
                <w:sz w:val="24"/>
              </w:rPr>
            </w:pPr>
            <w:r w:rsidRPr="00E26EF6">
              <w:rPr>
                <w:rFonts w:ascii="Times New Roman" w:hAnsi="Times New Roman"/>
                <w:bCs/>
                <w:sz w:val="24"/>
              </w:rPr>
              <w:t>2.</w:t>
            </w:r>
            <w:r w:rsidRPr="00E26EF6">
              <w:rPr>
                <w:rFonts w:ascii="Times New Roman" w:hAnsi="Times New Roman"/>
                <w:bCs/>
                <w:sz w:val="24"/>
              </w:rPr>
              <w:tab/>
              <w:t>Jeżeli dostępny jest kierunek inwestycji przedsiębiorstw zbiorowego inwestowania, przedsiębiorstwa te dodaje się łącznej otwartej pozycji walutowej (długiej lub krótkiej,</w:t>
            </w:r>
            <w:r w:rsidR="00E26EF6" w:rsidRPr="00E26EF6">
              <w:rPr>
                <w:rFonts w:ascii="Times New Roman" w:hAnsi="Times New Roman"/>
                <w:bCs/>
                <w:sz w:val="24"/>
              </w:rPr>
              <w:t xml:space="preserve"> w zal</w:t>
            </w:r>
            <w:r w:rsidRPr="00E26EF6">
              <w:rPr>
                <w:rFonts w:ascii="Times New Roman" w:hAnsi="Times New Roman"/>
                <w:bCs/>
                <w:sz w:val="24"/>
              </w:rPr>
              <w:t>eżności od kierunku przedsiębiorstwa zbiorowego inwestowania).</w:t>
            </w:r>
          </w:p>
          <w:p w14:paraId="267301F6" w14:textId="733FB10D" w:rsidR="00915077" w:rsidRPr="00E26EF6" w:rsidRDefault="000B0B09">
            <w:pPr>
              <w:autoSpaceDE w:val="0"/>
              <w:autoSpaceDN w:val="0"/>
              <w:adjustRightInd w:val="0"/>
              <w:spacing w:before="0" w:after="0"/>
              <w:rPr>
                <w:rFonts w:ascii="Times New Roman" w:hAnsi="Times New Roman"/>
                <w:bCs/>
                <w:sz w:val="24"/>
                <w:u w:val="single"/>
              </w:rPr>
            </w:pPr>
            <w:r w:rsidRPr="00E26EF6">
              <w:rPr>
                <w:rFonts w:ascii="Times New Roman" w:hAnsi="Times New Roman"/>
                <w:bCs/>
                <w:sz w:val="24"/>
              </w:rPr>
              <w:t>Zgłoszenie tych przedsiębiorstw zbiorowego inwestowania następuje po obliczeniu wymogów kapitałowych.</w:t>
            </w:r>
          </w:p>
          <w:p w14:paraId="251EF93C"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062E0484" w14:textId="77777777" w:rsidTr="00672D2A">
        <w:tc>
          <w:tcPr>
            <w:tcW w:w="991" w:type="dxa"/>
          </w:tcPr>
          <w:p w14:paraId="76ACA2D8"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040</w:t>
            </w:r>
          </w:p>
        </w:tc>
        <w:tc>
          <w:tcPr>
            <w:tcW w:w="7871" w:type="dxa"/>
          </w:tcPr>
          <w:p w14:paraId="57F03FA3"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ZŁOTO</w:t>
            </w:r>
          </w:p>
          <w:p w14:paraId="36C64421" w14:textId="77777777" w:rsidR="00915077" w:rsidRPr="00E26EF6" w:rsidRDefault="00915077">
            <w:pPr>
              <w:autoSpaceDE w:val="0"/>
              <w:autoSpaceDN w:val="0"/>
              <w:adjustRightInd w:val="0"/>
              <w:spacing w:before="0" w:after="0"/>
              <w:rPr>
                <w:rFonts w:ascii="Times New Roman" w:hAnsi="Times New Roman"/>
                <w:b/>
                <w:bCs/>
                <w:sz w:val="24"/>
                <w:u w:val="single"/>
              </w:rPr>
            </w:pPr>
          </w:p>
          <w:p w14:paraId="6F307FC0" w14:textId="5D1694F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w:t>
            </w:r>
            <w:r w:rsidR="00E26EF6" w:rsidRPr="00E26EF6">
              <w:rPr>
                <w:rFonts w:ascii="Times New Roman" w:hAnsi="Times New Roman"/>
                <w:sz w:val="24"/>
              </w:rPr>
              <w:t xml:space="preserve"> i ich</w:t>
            </w:r>
            <w:r w:rsidRPr="00E26EF6">
              <w:rPr>
                <w:rFonts w:ascii="Times New Roman" w:hAnsi="Times New Roman"/>
                <w:sz w:val="24"/>
              </w:rPr>
              <w:t xml:space="preserve"> odpowiednie wymogi</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w odn</w:t>
            </w:r>
            <w:r w:rsidRPr="00E26EF6">
              <w:rPr>
                <w:rFonts w:ascii="Times New Roman" w:hAnsi="Times New Roman"/>
                <w:sz w:val="24"/>
              </w:rPr>
              <w:t>iesieniu do walut podlegających procedurze ogólnej,</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351</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352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4</w:t>
            </w:r>
            <w:r w:rsidRPr="00E26EF6">
              <w:rPr>
                <w:rFonts w:ascii="Times New Roman" w:hAnsi="Times New Roman"/>
                <w:sz w:val="24"/>
              </w:rPr>
              <w:t xml:space="preserve"> CRR. </w:t>
            </w:r>
          </w:p>
          <w:p w14:paraId="32A1D9D1"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63E78194" w14:textId="77777777" w:rsidTr="00672D2A">
        <w:tc>
          <w:tcPr>
            <w:tcW w:w="991" w:type="dxa"/>
          </w:tcPr>
          <w:p w14:paraId="2E6FEA69"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050–090</w:t>
            </w:r>
          </w:p>
        </w:tc>
        <w:tc>
          <w:tcPr>
            <w:tcW w:w="7871" w:type="dxa"/>
          </w:tcPr>
          <w:p w14:paraId="1680894D"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Style w:val="InstructionsTabelleberschrift"/>
                <w:rFonts w:ascii="Times New Roman" w:hAnsi="Times New Roman"/>
                <w:sz w:val="24"/>
              </w:rPr>
              <w:t>DODATKOWE WYMOGI W ZAKRESIE OPCJI (RYZYKA INNE NIŻ RYZYKO DELTA)</w:t>
            </w:r>
          </w:p>
          <w:p w14:paraId="5C200991" w14:textId="36A2039C" w:rsidR="00915077" w:rsidRPr="00E26EF6" w:rsidRDefault="001A0143">
            <w:pPr>
              <w:autoSpaceDE w:val="0"/>
              <w:autoSpaceDN w:val="0"/>
              <w:adjustRightInd w:val="0"/>
              <w:spacing w:after="0"/>
              <w:rPr>
                <w:rFonts w:ascii="Times New Roman" w:hAnsi="Times New Roman"/>
                <w:sz w:val="24"/>
              </w:rPr>
            </w:pPr>
            <w:r w:rsidRPr="00E26EF6">
              <w:rPr>
                <w:rFonts w:ascii="Times New Roman" w:hAnsi="Times New Roman"/>
                <w:sz w:val="24"/>
              </w:rPr>
              <w:t>Art. 352 ust.</w:t>
            </w:r>
            <w:r w:rsidR="00023409" w:rsidRPr="00E26EF6">
              <w:rPr>
                <w:rFonts w:ascii="Times New Roman" w:hAnsi="Times New Roman"/>
                <w:sz w:val="24"/>
              </w:rPr>
              <w:t> </w:t>
            </w:r>
            <w:r w:rsidRPr="00E26EF6">
              <w:rPr>
                <w:rFonts w:ascii="Times New Roman" w:hAnsi="Times New Roman"/>
                <w:sz w:val="24"/>
              </w:rPr>
              <w:t>5</w:t>
            </w:r>
            <w:r w:rsidR="00E26EF6" w:rsidRPr="00E26EF6">
              <w:rPr>
                <w:rFonts w:ascii="Times New Roman" w:hAnsi="Times New Roman"/>
                <w:sz w:val="24"/>
              </w:rPr>
              <w:t xml:space="preserve"> i 6</w:t>
            </w:r>
            <w:r w:rsidRPr="00E26EF6">
              <w:rPr>
                <w:rFonts w:ascii="Times New Roman" w:hAnsi="Times New Roman"/>
                <w:sz w:val="24"/>
              </w:rPr>
              <w:t xml:space="preserve"> CRR </w:t>
            </w:r>
          </w:p>
          <w:p w14:paraId="541BDB2A" w14:textId="77777777" w:rsidR="00915077" w:rsidRPr="00E26EF6" w:rsidRDefault="00915077">
            <w:pPr>
              <w:autoSpaceDE w:val="0"/>
              <w:autoSpaceDN w:val="0"/>
              <w:adjustRightInd w:val="0"/>
              <w:spacing w:before="0" w:after="0"/>
              <w:rPr>
                <w:rFonts w:ascii="Times New Roman" w:hAnsi="Times New Roman"/>
                <w:sz w:val="24"/>
              </w:rPr>
            </w:pPr>
          </w:p>
          <w:p w14:paraId="4BB3ABC8" w14:textId="04B04C03"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Dodatkowe wymogi</w:t>
            </w:r>
            <w:r w:rsidR="00E26EF6" w:rsidRPr="00E26EF6">
              <w:rPr>
                <w:rFonts w:ascii="Times New Roman" w:hAnsi="Times New Roman"/>
                <w:sz w:val="24"/>
              </w:rPr>
              <w:t xml:space="preserve"> w zak</w:t>
            </w:r>
            <w:r w:rsidRPr="00E26EF6">
              <w:rPr>
                <w:rFonts w:ascii="Times New Roman" w:hAnsi="Times New Roman"/>
                <w:sz w:val="24"/>
              </w:rPr>
              <w:t>resie opcji związane</w:t>
            </w:r>
            <w:r w:rsidR="00E26EF6" w:rsidRPr="00E26EF6">
              <w:rPr>
                <w:rFonts w:ascii="Times New Roman" w:hAnsi="Times New Roman"/>
                <w:sz w:val="24"/>
              </w:rPr>
              <w:t xml:space="preserve"> z ryz</w:t>
            </w:r>
            <w:r w:rsidRPr="00E26EF6">
              <w:rPr>
                <w:rFonts w:ascii="Times New Roman" w:hAnsi="Times New Roman"/>
                <w:sz w:val="24"/>
              </w:rPr>
              <w:t>ykami innymi niż ryzyko delta zgłasza się</w:t>
            </w:r>
            <w:r w:rsidR="00E26EF6" w:rsidRPr="00E26EF6">
              <w:rPr>
                <w:rFonts w:ascii="Times New Roman" w:hAnsi="Times New Roman"/>
                <w:sz w:val="24"/>
              </w:rPr>
              <w:t xml:space="preserve"> w pod</w:t>
            </w:r>
            <w:r w:rsidRPr="00E26EF6">
              <w:rPr>
                <w:rFonts w:ascii="Times New Roman" w:hAnsi="Times New Roman"/>
                <w:sz w:val="24"/>
              </w:rPr>
              <w:t xml:space="preserve">ziale na metodę stosowaną do ich obliczenia. </w:t>
            </w:r>
          </w:p>
          <w:p w14:paraId="7D027FA3"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74B7B704" w14:textId="77777777" w:rsidTr="00672D2A">
        <w:tc>
          <w:tcPr>
            <w:tcW w:w="991" w:type="dxa"/>
          </w:tcPr>
          <w:p w14:paraId="43630439"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100-120</w:t>
            </w:r>
          </w:p>
        </w:tc>
        <w:tc>
          <w:tcPr>
            <w:tcW w:w="7871" w:type="dxa"/>
          </w:tcPr>
          <w:p w14:paraId="48A5E968"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Podział pozycji razem (w tym waluty sprawozdawczej) według rodzajów ekspozycji</w:t>
            </w:r>
          </w:p>
          <w:p w14:paraId="1FF8076F" w14:textId="77777777" w:rsidR="00915077" w:rsidRPr="00E26EF6" w:rsidRDefault="00915077">
            <w:pPr>
              <w:autoSpaceDE w:val="0"/>
              <w:autoSpaceDN w:val="0"/>
              <w:adjustRightInd w:val="0"/>
              <w:spacing w:before="0" w:after="0"/>
              <w:rPr>
                <w:rFonts w:ascii="Times New Roman" w:hAnsi="Times New Roman"/>
                <w:b/>
                <w:bCs/>
                <w:sz w:val="24"/>
                <w:u w:val="single"/>
              </w:rPr>
            </w:pPr>
          </w:p>
          <w:p w14:paraId="09420033" w14:textId="347DE224"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Wszystkie pozycje dzieli się według instrumentów pochodnych, innych aktywów</w:t>
            </w:r>
            <w:r w:rsidR="00E26EF6" w:rsidRPr="00E26EF6">
              <w:rPr>
                <w:rFonts w:ascii="Times New Roman" w:hAnsi="Times New Roman"/>
                <w:sz w:val="24"/>
              </w:rPr>
              <w:t xml:space="preserve"> i zob</w:t>
            </w:r>
            <w:r w:rsidRPr="00E26EF6">
              <w:rPr>
                <w:rFonts w:ascii="Times New Roman" w:hAnsi="Times New Roman"/>
                <w:sz w:val="24"/>
              </w:rPr>
              <w:t>owiązań oraz pozycji pozabilansowych.</w:t>
            </w:r>
          </w:p>
          <w:p w14:paraId="440E53F5"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37181203" w14:textId="77777777" w:rsidTr="00672D2A">
        <w:tc>
          <w:tcPr>
            <w:tcW w:w="991" w:type="dxa"/>
          </w:tcPr>
          <w:p w14:paraId="46F50C90"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100</w:t>
            </w:r>
          </w:p>
        </w:tc>
        <w:tc>
          <w:tcPr>
            <w:tcW w:w="7871" w:type="dxa"/>
          </w:tcPr>
          <w:p w14:paraId="41EFD0BF" w14:textId="42411F90"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Pozostałe aktywa</w:t>
            </w:r>
            <w:r w:rsidR="00E26EF6" w:rsidRPr="00E26EF6">
              <w:rPr>
                <w:rFonts w:ascii="Times New Roman" w:hAnsi="Times New Roman"/>
                <w:b/>
                <w:bCs/>
                <w:sz w:val="24"/>
                <w:u w:val="single"/>
              </w:rPr>
              <w:t xml:space="preserve"> i zob</w:t>
            </w:r>
            <w:r w:rsidRPr="00E26EF6">
              <w:rPr>
                <w:rFonts w:ascii="Times New Roman" w:hAnsi="Times New Roman"/>
                <w:b/>
                <w:bCs/>
                <w:sz w:val="24"/>
                <w:u w:val="single"/>
              </w:rPr>
              <w:t>owiązania inne niż pozycje pozabilansowe</w:t>
            </w:r>
            <w:r w:rsidR="00E26EF6" w:rsidRPr="00E26EF6">
              <w:rPr>
                <w:rFonts w:ascii="Times New Roman" w:hAnsi="Times New Roman"/>
                <w:b/>
                <w:bCs/>
                <w:sz w:val="24"/>
                <w:u w:val="single"/>
              </w:rPr>
              <w:t xml:space="preserve"> i ins</w:t>
            </w:r>
            <w:r w:rsidRPr="00E26EF6">
              <w:rPr>
                <w:rFonts w:ascii="Times New Roman" w:hAnsi="Times New Roman"/>
                <w:b/>
                <w:bCs/>
                <w:sz w:val="24"/>
                <w:u w:val="single"/>
              </w:rPr>
              <w:t>trumenty pochodne</w:t>
            </w:r>
          </w:p>
          <w:p w14:paraId="28280076" w14:textId="77777777" w:rsidR="00915077" w:rsidRPr="00E26EF6" w:rsidRDefault="00915077">
            <w:pPr>
              <w:autoSpaceDE w:val="0"/>
              <w:autoSpaceDN w:val="0"/>
              <w:adjustRightInd w:val="0"/>
              <w:spacing w:before="0" w:after="0"/>
              <w:rPr>
                <w:rFonts w:ascii="Times New Roman" w:hAnsi="Times New Roman"/>
                <w:b/>
                <w:bCs/>
                <w:sz w:val="24"/>
                <w:u w:val="single"/>
              </w:rPr>
            </w:pPr>
          </w:p>
          <w:p w14:paraId="21A676E0" w14:textId="25F37FC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 których nie uwzględniono</w:t>
            </w:r>
            <w:r w:rsidR="00E26EF6" w:rsidRPr="00E26EF6">
              <w:rPr>
                <w:rFonts w:ascii="Times New Roman" w:hAnsi="Times New Roman"/>
                <w:sz w:val="24"/>
              </w:rPr>
              <w:t xml:space="preserve"> w wie</w:t>
            </w:r>
            <w:r w:rsidRPr="00E26EF6">
              <w:rPr>
                <w:rFonts w:ascii="Times New Roman" w:hAnsi="Times New Roman"/>
                <w:sz w:val="24"/>
              </w:rPr>
              <w:t>rszu 110 lub</w:t>
            </w:r>
            <w:r w:rsidR="00023409" w:rsidRPr="00E26EF6">
              <w:rPr>
                <w:rFonts w:ascii="Times New Roman" w:hAnsi="Times New Roman"/>
                <w:sz w:val="24"/>
              </w:rPr>
              <w:t> </w:t>
            </w:r>
            <w:r w:rsidRPr="00E26EF6">
              <w:rPr>
                <w:rFonts w:ascii="Times New Roman" w:hAnsi="Times New Roman"/>
                <w:sz w:val="24"/>
              </w:rPr>
              <w:t xml:space="preserve">120, należy przedstawić tutaj. </w:t>
            </w:r>
          </w:p>
          <w:p w14:paraId="0A2B3835" w14:textId="77777777" w:rsidR="00915077" w:rsidRPr="00E26EF6" w:rsidRDefault="000B0B09">
            <w:pPr>
              <w:autoSpaceDE w:val="0"/>
              <w:autoSpaceDN w:val="0"/>
              <w:adjustRightInd w:val="0"/>
              <w:spacing w:before="0" w:after="0"/>
              <w:rPr>
                <w:rFonts w:ascii="Times New Roman" w:hAnsi="Times New Roman"/>
                <w:b/>
                <w:bCs/>
                <w:sz w:val="24"/>
                <w:highlight w:val="lightGray"/>
                <w:u w:val="single"/>
              </w:rPr>
            </w:pPr>
            <w:r w:rsidRPr="00E26EF6">
              <w:rPr>
                <w:rFonts w:ascii="Times New Roman" w:hAnsi="Times New Roman"/>
                <w:sz w:val="24"/>
              </w:rPr>
              <w:t xml:space="preserve"> </w:t>
            </w:r>
          </w:p>
        </w:tc>
      </w:tr>
      <w:tr w:rsidR="00915077" w:rsidRPr="00E26EF6" w14:paraId="66AED25F" w14:textId="77777777" w:rsidTr="00672D2A">
        <w:tc>
          <w:tcPr>
            <w:tcW w:w="991" w:type="dxa"/>
          </w:tcPr>
          <w:p w14:paraId="3177BEE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110</w:t>
            </w:r>
          </w:p>
        </w:tc>
        <w:tc>
          <w:tcPr>
            <w:tcW w:w="7871" w:type="dxa"/>
          </w:tcPr>
          <w:p w14:paraId="59E283A5"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pozabilansowe</w:t>
            </w:r>
          </w:p>
          <w:p w14:paraId="61E13CD6" w14:textId="77777777" w:rsidR="00915077" w:rsidRPr="00E26EF6" w:rsidRDefault="00915077">
            <w:pPr>
              <w:autoSpaceDE w:val="0"/>
              <w:autoSpaceDN w:val="0"/>
              <w:adjustRightInd w:val="0"/>
              <w:spacing w:before="0" w:after="0"/>
              <w:rPr>
                <w:rFonts w:ascii="Times New Roman" w:hAnsi="Times New Roman"/>
                <w:b/>
                <w:bCs/>
                <w:sz w:val="24"/>
                <w:u w:val="single"/>
              </w:rPr>
            </w:pPr>
          </w:p>
          <w:p w14:paraId="18E7CD2A" w14:textId="289B8F0E"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 objęte zakresem art.</w:t>
            </w:r>
            <w:r w:rsidR="00023409" w:rsidRPr="00E26EF6">
              <w:rPr>
                <w:rFonts w:ascii="Times New Roman" w:hAnsi="Times New Roman"/>
                <w:sz w:val="24"/>
              </w:rPr>
              <w:t> </w:t>
            </w:r>
            <w:r w:rsidRPr="00E26EF6">
              <w:rPr>
                <w:rFonts w:ascii="Times New Roman" w:hAnsi="Times New Roman"/>
                <w:sz w:val="24"/>
              </w:rPr>
              <w:t>352 CRR, niezależnie od waluty,</w:t>
            </w:r>
            <w:r w:rsidR="00E26EF6" w:rsidRPr="00E26EF6">
              <w:rPr>
                <w:rFonts w:ascii="Times New Roman" w:hAnsi="Times New Roman"/>
                <w:sz w:val="24"/>
              </w:rPr>
              <w:t xml:space="preserve"> w któ</w:t>
            </w:r>
            <w:r w:rsidRPr="00E26EF6">
              <w:rPr>
                <w:rFonts w:ascii="Times New Roman" w:hAnsi="Times New Roman"/>
                <w:sz w:val="24"/>
              </w:rPr>
              <w:t>rej są denominowane, które uwzględniono</w:t>
            </w:r>
            <w:r w:rsidR="00E26EF6" w:rsidRPr="00E26EF6">
              <w:rPr>
                <w:rFonts w:ascii="Times New Roman" w:hAnsi="Times New Roman"/>
                <w:sz w:val="24"/>
              </w:rPr>
              <w:t xml:space="preserve"> w zał</w:t>
            </w:r>
            <w:r w:rsidRPr="00E26EF6">
              <w:rPr>
                <w:rFonts w:ascii="Times New Roman" w:hAnsi="Times New Roman"/>
                <w:sz w:val="24"/>
              </w:rPr>
              <w:t>ączniku I do CRR,</w:t>
            </w:r>
            <w:r w:rsidR="00E26EF6" w:rsidRPr="00E26EF6">
              <w:rPr>
                <w:rFonts w:ascii="Times New Roman" w:hAnsi="Times New Roman"/>
                <w:sz w:val="24"/>
              </w:rPr>
              <w:t xml:space="preserve"> z wyj</w:t>
            </w:r>
            <w:r w:rsidRPr="00E26EF6">
              <w:rPr>
                <w:rFonts w:ascii="Times New Roman" w:hAnsi="Times New Roman"/>
                <w:sz w:val="24"/>
              </w:rPr>
              <w:t>ątkiem pozycji uwzględnionych jako transakcje finansowane</w:t>
            </w:r>
            <w:r w:rsidR="00E26EF6" w:rsidRPr="00E26EF6">
              <w:rPr>
                <w:rFonts w:ascii="Times New Roman" w:hAnsi="Times New Roman"/>
                <w:sz w:val="24"/>
              </w:rPr>
              <w:t xml:space="preserve"> z uży</w:t>
            </w:r>
            <w:r w:rsidRPr="00E26EF6">
              <w:rPr>
                <w:rFonts w:ascii="Times New Roman" w:hAnsi="Times New Roman"/>
                <w:sz w:val="24"/>
              </w:rPr>
              <w:t>ciem papierów wartościowych</w:t>
            </w:r>
            <w:r w:rsidR="00E26EF6" w:rsidRPr="00E26EF6">
              <w:rPr>
                <w:rFonts w:ascii="Times New Roman" w:hAnsi="Times New Roman"/>
                <w:sz w:val="24"/>
              </w:rPr>
              <w:t xml:space="preserve"> i tra</w:t>
            </w:r>
            <w:r w:rsidRPr="00E26EF6">
              <w:rPr>
                <w:rFonts w:ascii="Times New Roman" w:hAnsi="Times New Roman"/>
                <w:sz w:val="24"/>
              </w:rPr>
              <w:t>nsakcje</w:t>
            </w:r>
            <w:r w:rsidR="00E26EF6" w:rsidRPr="00E26EF6">
              <w:rPr>
                <w:rFonts w:ascii="Times New Roman" w:hAnsi="Times New Roman"/>
                <w:sz w:val="24"/>
              </w:rPr>
              <w:t xml:space="preserve"> z dłu</w:t>
            </w:r>
            <w:r w:rsidRPr="00E26EF6">
              <w:rPr>
                <w:rFonts w:ascii="Times New Roman" w:hAnsi="Times New Roman"/>
                <w:sz w:val="24"/>
              </w:rPr>
              <w:t>gim terminem rozliczenia oraz wynikające</w:t>
            </w:r>
            <w:r w:rsidR="00E26EF6" w:rsidRPr="00E26EF6">
              <w:rPr>
                <w:rFonts w:ascii="Times New Roman" w:hAnsi="Times New Roman"/>
                <w:sz w:val="24"/>
              </w:rPr>
              <w:t xml:space="preserve"> z umo</w:t>
            </w:r>
            <w:r w:rsidRPr="00E26EF6">
              <w:rPr>
                <w:rFonts w:ascii="Times New Roman" w:hAnsi="Times New Roman"/>
                <w:sz w:val="24"/>
              </w:rPr>
              <w:t>wy</w:t>
            </w:r>
            <w:r w:rsidR="00E26EF6" w:rsidRPr="00E26EF6">
              <w:rPr>
                <w:rFonts w:ascii="Times New Roman" w:hAnsi="Times New Roman"/>
                <w:sz w:val="24"/>
              </w:rPr>
              <w:t xml:space="preserve"> o kom</w:t>
            </w:r>
            <w:r w:rsidRPr="00E26EF6">
              <w:rPr>
                <w:rFonts w:ascii="Times New Roman" w:hAnsi="Times New Roman"/>
                <w:sz w:val="24"/>
              </w:rPr>
              <w:t>pensowaniu międzyproduktowym.</w:t>
            </w:r>
          </w:p>
          <w:p w14:paraId="0FB67B8F"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03B0796D" w14:textId="77777777" w:rsidTr="00672D2A">
        <w:tc>
          <w:tcPr>
            <w:tcW w:w="991" w:type="dxa"/>
          </w:tcPr>
          <w:p w14:paraId="5BC973E8" w14:textId="7777777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120</w:t>
            </w:r>
          </w:p>
          <w:p w14:paraId="5A706C9D" w14:textId="77777777" w:rsidR="00915077" w:rsidRPr="00E26EF6" w:rsidRDefault="00915077">
            <w:pPr>
              <w:autoSpaceDE w:val="0"/>
              <w:autoSpaceDN w:val="0"/>
              <w:adjustRightInd w:val="0"/>
              <w:spacing w:before="0" w:after="0"/>
              <w:rPr>
                <w:rFonts w:ascii="Times New Roman" w:hAnsi="Times New Roman"/>
                <w:sz w:val="24"/>
                <w:highlight w:val="lightGray"/>
              </w:rPr>
            </w:pPr>
          </w:p>
        </w:tc>
        <w:tc>
          <w:tcPr>
            <w:tcW w:w="7871" w:type="dxa"/>
          </w:tcPr>
          <w:p w14:paraId="26039B01"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Instrumenty pochodne</w:t>
            </w:r>
          </w:p>
          <w:p w14:paraId="735E3247" w14:textId="77777777" w:rsidR="00915077" w:rsidRPr="00E26EF6" w:rsidRDefault="00915077">
            <w:pPr>
              <w:autoSpaceDE w:val="0"/>
              <w:autoSpaceDN w:val="0"/>
              <w:adjustRightInd w:val="0"/>
              <w:spacing w:before="0" w:after="0"/>
              <w:rPr>
                <w:rFonts w:ascii="Times New Roman" w:hAnsi="Times New Roman"/>
                <w:b/>
                <w:bCs/>
                <w:sz w:val="24"/>
                <w:u w:val="single"/>
              </w:rPr>
            </w:pPr>
          </w:p>
          <w:p w14:paraId="7FBBC17B" w14:textId="192A3532"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 wycenia się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352 CRR.</w:t>
            </w:r>
          </w:p>
          <w:p w14:paraId="60FA76E8"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4E1851B6" w14:textId="77777777" w:rsidTr="00672D2A">
        <w:tc>
          <w:tcPr>
            <w:tcW w:w="991" w:type="dxa"/>
          </w:tcPr>
          <w:p w14:paraId="242F0797" w14:textId="7777777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130-480</w:t>
            </w:r>
          </w:p>
          <w:p w14:paraId="3B430027" w14:textId="77777777" w:rsidR="00915077" w:rsidRPr="00E26EF6" w:rsidRDefault="00915077">
            <w:pPr>
              <w:autoSpaceDE w:val="0"/>
              <w:autoSpaceDN w:val="0"/>
              <w:adjustRightInd w:val="0"/>
              <w:spacing w:before="0" w:after="0"/>
              <w:rPr>
                <w:rFonts w:ascii="Times New Roman" w:hAnsi="Times New Roman"/>
                <w:sz w:val="24"/>
                <w:highlight w:val="lightGray"/>
              </w:rPr>
            </w:pPr>
          </w:p>
        </w:tc>
        <w:tc>
          <w:tcPr>
            <w:tcW w:w="7871" w:type="dxa"/>
          </w:tcPr>
          <w:p w14:paraId="146998E9" w14:textId="7777777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b/>
                <w:bCs/>
                <w:sz w:val="24"/>
                <w:u w:val="single"/>
              </w:rPr>
              <w:t>POZYCJE UZUPEŁNIAJĄCE: POZYCJE WALUTOWE</w:t>
            </w:r>
          </w:p>
          <w:p w14:paraId="321BD3B9" w14:textId="77777777" w:rsidR="00915077" w:rsidRPr="00E26EF6" w:rsidRDefault="00915077">
            <w:pPr>
              <w:autoSpaceDE w:val="0"/>
              <w:autoSpaceDN w:val="0"/>
              <w:adjustRightInd w:val="0"/>
              <w:spacing w:before="0" w:after="0"/>
              <w:rPr>
                <w:rFonts w:ascii="Times New Roman" w:hAnsi="Times New Roman"/>
                <w:b/>
                <w:bCs/>
                <w:sz w:val="24"/>
              </w:rPr>
            </w:pPr>
          </w:p>
          <w:p w14:paraId="70963912" w14:textId="2B0AA5C3" w:rsidR="00915077" w:rsidRPr="00E26EF6" w:rsidRDefault="000B0B09">
            <w:pPr>
              <w:autoSpaceDE w:val="0"/>
              <w:autoSpaceDN w:val="0"/>
              <w:adjustRightInd w:val="0"/>
              <w:spacing w:before="0" w:after="0"/>
              <w:rPr>
                <w:rStyle w:val="InstructionsTabelleText"/>
                <w:rFonts w:ascii="Times New Roman" w:hAnsi="Times New Roman"/>
                <w:sz w:val="24"/>
              </w:rPr>
            </w:pPr>
            <w:r w:rsidRPr="00E26EF6">
              <w:rPr>
                <w:rFonts w:ascii="Times New Roman" w:hAnsi="Times New Roman"/>
                <w:sz w:val="24"/>
              </w:rPr>
              <w:t>Pozycje uzupełniające tego wzoru należy wypełnić osobno</w:t>
            </w:r>
            <w:r w:rsidR="00E26EF6" w:rsidRPr="00E26EF6">
              <w:rPr>
                <w:rFonts w:ascii="Times New Roman" w:hAnsi="Times New Roman"/>
                <w:sz w:val="24"/>
              </w:rPr>
              <w:t xml:space="preserve"> w odn</w:t>
            </w:r>
            <w:r w:rsidRPr="00E26EF6">
              <w:rPr>
                <w:rFonts w:ascii="Times New Roman" w:hAnsi="Times New Roman"/>
                <w:sz w:val="24"/>
              </w:rPr>
              <w:t>iesieniu do wszystkich walut Unii, USD, CHF, JPY, RUB, TRY, AUD, CAD, RSD, ALL, UAH, MKD, EGP, ARS, BRL, MXN, HKD, ICK, TWD, NZD, NOK, SGD, KRW, CNY</w:t>
            </w:r>
            <w:r w:rsidR="00E26EF6" w:rsidRPr="00E26EF6">
              <w:rPr>
                <w:rFonts w:ascii="Times New Roman" w:hAnsi="Times New Roman"/>
                <w:sz w:val="24"/>
              </w:rPr>
              <w:t xml:space="preserve"> i wsz</w:t>
            </w:r>
            <w:r w:rsidRPr="00E26EF6">
              <w:rPr>
                <w:rFonts w:ascii="Times New Roman" w:hAnsi="Times New Roman"/>
                <w:sz w:val="24"/>
              </w:rPr>
              <w:t xml:space="preserve">ystkich pozostałych walut. </w:t>
            </w:r>
          </w:p>
        </w:tc>
      </w:tr>
    </w:tbl>
    <w:p w14:paraId="16039BCB" w14:textId="77777777" w:rsidR="00915077" w:rsidRPr="00E26EF6" w:rsidRDefault="00915077">
      <w:pPr>
        <w:rPr>
          <w:rFonts w:ascii="Times New Roman" w:hAnsi="Times New Roman"/>
          <w:sz w:val="24"/>
        </w:rPr>
      </w:pPr>
    </w:p>
    <w:p w14:paraId="237C8B12"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99" w:name="_Toc31014396"/>
      <w:r w:rsidRPr="00E26EF6">
        <w:rPr>
          <w:rFonts w:ascii="Times New Roman" w:hAnsi="Times New Roman"/>
          <w:sz w:val="24"/>
          <w:u w:val="none"/>
        </w:rPr>
        <w:t>5.6.</w:t>
      </w:r>
      <w:r w:rsidRPr="00E26EF6">
        <w:rPr>
          <w:rFonts w:ascii="Times New Roman" w:hAnsi="Times New Roman"/>
          <w:sz w:val="24"/>
          <w:u w:val="none"/>
        </w:rPr>
        <w:tab/>
      </w:r>
      <w:r w:rsidRPr="00E26EF6">
        <w:rPr>
          <w:rFonts w:ascii="Times New Roman" w:hAnsi="Times New Roman"/>
          <w:sz w:val="24"/>
        </w:rPr>
        <w:t>C 23.00 – Ryzyko rynkowe: ryzyko cen towarów według metod standardowych (MKR SA COM)</w:t>
      </w:r>
      <w:bookmarkEnd w:id="99"/>
    </w:p>
    <w:p w14:paraId="7BF00096"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00" w:name="_Toc31014397"/>
      <w:r w:rsidRPr="00E26EF6">
        <w:rPr>
          <w:rFonts w:ascii="Times New Roman" w:hAnsi="Times New Roman"/>
          <w:sz w:val="24"/>
          <w:u w:val="none"/>
        </w:rPr>
        <w:t>5.6.1.</w:t>
      </w:r>
      <w:r w:rsidRPr="00E26EF6">
        <w:rPr>
          <w:rFonts w:ascii="Times New Roman" w:hAnsi="Times New Roman"/>
          <w:sz w:val="24"/>
          <w:u w:val="none"/>
        </w:rPr>
        <w:tab/>
      </w:r>
      <w:r w:rsidRPr="00E26EF6">
        <w:rPr>
          <w:rFonts w:ascii="Times New Roman" w:hAnsi="Times New Roman"/>
          <w:sz w:val="24"/>
        </w:rPr>
        <w:t>Uwagi ogólne</w:t>
      </w:r>
      <w:bookmarkEnd w:id="100"/>
    </w:p>
    <w:p w14:paraId="41536C89" w14:textId="56D24055" w:rsidR="00915077" w:rsidRPr="00E26EF6" w:rsidRDefault="00125707">
      <w:pPr>
        <w:pStyle w:val="InstructionsText2"/>
        <w:numPr>
          <w:ilvl w:val="0"/>
          <w:numId w:val="0"/>
        </w:numPr>
        <w:ind w:left="993"/>
      </w:pPr>
      <w:r w:rsidRPr="00E26EF6">
        <w:t>152.</w:t>
      </w:r>
      <w:r w:rsidRPr="00E26EF6">
        <w:tab/>
        <w:t xml:space="preserve"> Ten wzór wymaga podania informacji na temat pozycji</w:t>
      </w:r>
      <w:r w:rsidR="00E26EF6" w:rsidRPr="00E26EF6">
        <w:t xml:space="preserve"> w tow</w:t>
      </w:r>
      <w:r w:rsidRPr="00E26EF6">
        <w:t>arach</w:t>
      </w:r>
      <w:r w:rsidR="00E26EF6" w:rsidRPr="00E26EF6">
        <w:t xml:space="preserve"> i odp</w:t>
      </w:r>
      <w:r w:rsidRPr="00E26EF6">
        <w:t>owiednich wymogów</w:t>
      </w:r>
      <w:r w:rsidR="00E26EF6" w:rsidRPr="00E26EF6">
        <w:t xml:space="preserve"> w zak</w:t>
      </w:r>
      <w:r w:rsidRPr="00E26EF6">
        <w:t>resie funduszy własnych traktowanych zgodnie</w:t>
      </w:r>
      <w:r w:rsidR="00E26EF6" w:rsidRPr="00E26EF6">
        <w:t xml:space="preserve"> z met</w:t>
      </w:r>
      <w:r w:rsidRPr="00E26EF6">
        <w:t>odą standardową.</w:t>
      </w:r>
    </w:p>
    <w:p w14:paraId="387788EE"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01" w:name="_Toc31014398"/>
      <w:r w:rsidRPr="00E26EF6">
        <w:rPr>
          <w:rFonts w:ascii="Times New Roman" w:hAnsi="Times New Roman"/>
          <w:sz w:val="24"/>
          <w:u w:val="none"/>
        </w:rPr>
        <w:t>5.6.2.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915077" w:rsidRPr="00E26EF6" w14:paraId="3A954E89" w14:textId="77777777" w:rsidTr="00672D2A">
        <w:trPr>
          <w:trHeight w:val="591"/>
        </w:trPr>
        <w:tc>
          <w:tcPr>
            <w:tcW w:w="8862" w:type="dxa"/>
            <w:gridSpan w:val="2"/>
            <w:shd w:val="clear" w:color="auto" w:fill="CCCCCC"/>
          </w:tcPr>
          <w:p w14:paraId="5CCCDF09" w14:textId="77777777" w:rsidR="00915077" w:rsidRPr="00E26EF6" w:rsidRDefault="000B0B09">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Kolumny</w:t>
            </w:r>
          </w:p>
        </w:tc>
      </w:tr>
      <w:tr w:rsidR="00915077" w:rsidRPr="00E26EF6" w14:paraId="4954C355" w14:textId="77777777" w:rsidTr="00672D2A">
        <w:tc>
          <w:tcPr>
            <w:tcW w:w="986" w:type="dxa"/>
          </w:tcPr>
          <w:p w14:paraId="0CF2B7B0"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010-020</w:t>
            </w:r>
          </w:p>
        </w:tc>
        <w:tc>
          <w:tcPr>
            <w:tcW w:w="7876" w:type="dxa"/>
          </w:tcPr>
          <w:p w14:paraId="567D8D37"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WSZYSTKIE POZYCJE (DŁUGIE I KRÓTKIE)</w:t>
            </w:r>
          </w:p>
          <w:p w14:paraId="299F4C40" w14:textId="77777777" w:rsidR="00915077" w:rsidRPr="00E26EF6" w:rsidRDefault="00915077">
            <w:pPr>
              <w:autoSpaceDE w:val="0"/>
              <w:autoSpaceDN w:val="0"/>
              <w:adjustRightInd w:val="0"/>
              <w:spacing w:before="0" w:after="0"/>
              <w:rPr>
                <w:rFonts w:ascii="Times New Roman" w:hAnsi="Times New Roman"/>
                <w:b/>
                <w:bCs/>
                <w:sz w:val="24"/>
                <w:u w:val="single"/>
              </w:rPr>
            </w:pPr>
          </w:p>
          <w:p w14:paraId="5F3D01D9" w14:textId="5B1FA8BB"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Długie/krótkie pozycje brutto uważane za pozycje</w:t>
            </w:r>
            <w:r w:rsidR="00E26EF6" w:rsidRPr="00E26EF6">
              <w:rPr>
                <w:rFonts w:ascii="Times New Roman" w:hAnsi="Times New Roman"/>
                <w:sz w:val="24"/>
              </w:rPr>
              <w:t xml:space="preserve"> w tym</w:t>
            </w:r>
            <w:r w:rsidRPr="00E26EF6">
              <w:rPr>
                <w:rFonts w:ascii="Times New Roman" w:hAnsi="Times New Roman"/>
                <w:sz w:val="24"/>
              </w:rPr>
              <w:t xml:space="preserve"> samym towarze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357 ust.</w:t>
            </w:r>
            <w:r w:rsidR="00023409" w:rsidRPr="00E26EF6">
              <w:rPr>
                <w:rFonts w:ascii="Times New Roman" w:hAnsi="Times New Roman"/>
                <w:sz w:val="24"/>
              </w:rPr>
              <w:t> </w:t>
            </w:r>
            <w:r w:rsidRPr="00E26EF6">
              <w:rPr>
                <w:rFonts w:ascii="Times New Roman" w:hAnsi="Times New Roman"/>
                <w:sz w:val="24"/>
              </w:rPr>
              <w:t>4 CRR (zob. także art.</w:t>
            </w:r>
            <w:r w:rsidR="00023409" w:rsidRPr="00E26EF6">
              <w:rPr>
                <w:rFonts w:ascii="Times New Roman" w:hAnsi="Times New Roman"/>
                <w:sz w:val="24"/>
              </w:rPr>
              <w:t> </w:t>
            </w:r>
            <w:r w:rsidRPr="00E26EF6">
              <w:rPr>
                <w:rFonts w:ascii="Times New Roman" w:hAnsi="Times New Roman"/>
                <w:sz w:val="24"/>
              </w:rPr>
              <w:t>359 ust.</w:t>
            </w:r>
            <w:r w:rsidR="00023409" w:rsidRPr="00E26EF6">
              <w:rPr>
                <w:rFonts w:ascii="Times New Roman" w:hAnsi="Times New Roman"/>
                <w:sz w:val="24"/>
              </w:rPr>
              <w:t> </w:t>
            </w:r>
            <w:r w:rsidRPr="00E26EF6">
              <w:rPr>
                <w:rFonts w:ascii="Times New Roman" w:hAnsi="Times New Roman"/>
                <w:sz w:val="24"/>
              </w:rPr>
              <w:t>1 CRR).</w:t>
            </w:r>
          </w:p>
          <w:p w14:paraId="427CD06D"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 xml:space="preserve"> </w:t>
            </w:r>
          </w:p>
        </w:tc>
      </w:tr>
      <w:tr w:rsidR="00915077" w:rsidRPr="00E26EF6" w14:paraId="404D06D4" w14:textId="77777777" w:rsidTr="00672D2A">
        <w:tc>
          <w:tcPr>
            <w:tcW w:w="986" w:type="dxa"/>
          </w:tcPr>
          <w:p w14:paraId="53D676A2"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 xml:space="preserve">030-040 </w:t>
            </w:r>
          </w:p>
        </w:tc>
        <w:tc>
          <w:tcPr>
            <w:tcW w:w="7876" w:type="dxa"/>
          </w:tcPr>
          <w:p w14:paraId="65920E20"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NETTO (DŁUGIE I KRÓTKIE)</w:t>
            </w:r>
          </w:p>
          <w:p w14:paraId="2F34C355" w14:textId="77777777" w:rsidR="00915077" w:rsidRPr="00E26EF6" w:rsidRDefault="00915077">
            <w:pPr>
              <w:autoSpaceDE w:val="0"/>
              <w:autoSpaceDN w:val="0"/>
              <w:adjustRightInd w:val="0"/>
              <w:spacing w:before="0" w:after="0"/>
              <w:rPr>
                <w:rFonts w:ascii="Times New Roman" w:hAnsi="Times New Roman"/>
                <w:sz w:val="24"/>
              </w:rPr>
            </w:pPr>
          </w:p>
          <w:p w14:paraId="16366853" w14:textId="733D092C" w:rsidR="00915077" w:rsidRPr="00E26EF6" w:rsidRDefault="000B0B09">
            <w:pPr>
              <w:autoSpaceDE w:val="0"/>
              <w:autoSpaceDN w:val="0"/>
              <w:adjustRightInd w:val="0"/>
              <w:spacing w:before="0"/>
              <w:rPr>
                <w:rFonts w:ascii="Times New Roman" w:hAnsi="Times New Roman"/>
                <w:sz w:val="24"/>
                <w:highlight w:val="lightGray"/>
              </w:rPr>
            </w:pPr>
            <w:r w:rsidRPr="00E26EF6">
              <w:rPr>
                <w:rFonts w:ascii="Times New Roman" w:hAnsi="Times New Roman"/>
                <w:sz w:val="24"/>
              </w:rPr>
              <w:t>Jak zdefiniowano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357 ust.</w:t>
            </w:r>
            <w:r w:rsidR="00023409" w:rsidRPr="00E26EF6">
              <w:rPr>
                <w:rFonts w:ascii="Times New Roman" w:hAnsi="Times New Roman"/>
                <w:sz w:val="24"/>
              </w:rPr>
              <w:t> </w:t>
            </w:r>
            <w:r w:rsidRPr="00E26EF6">
              <w:rPr>
                <w:rFonts w:ascii="Times New Roman" w:hAnsi="Times New Roman"/>
                <w:sz w:val="24"/>
              </w:rPr>
              <w:t xml:space="preserve">3 CRR </w:t>
            </w:r>
          </w:p>
        </w:tc>
      </w:tr>
      <w:tr w:rsidR="00915077" w:rsidRPr="00E26EF6" w14:paraId="1E20BCEE" w14:textId="77777777" w:rsidTr="00672D2A">
        <w:tc>
          <w:tcPr>
            <w:tcW w:w="986" w:type="dxa"/>
          </w:tcPr>
          <w:p w14:paraId="660BC236"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050</w:t>
            </w:r>
          </w:p>
        </w:tc>
        <w:tc>
          <w:tcPr>
            <w:tcW w:w="7876" w:type="dxa"/>
          </w:tcPr>
          <w:p w14:paraId="6C269198"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PODLEGAJĄCE NARZUTOWI KAPITAŁOWEMU</w:t>
            </w:r>
          </w:p>
          <w:p w14:paraId="1EAC575A" w14:textId="77777777" w:rsidR="00915077" w:rsidRPr="00E26EF6" w:rsidRDefault="00915077">
            <w:pPr>
              <w:autoSpaceDE w:val="0"/>
              <w:autoSpaceDN w:val="0"/>
              <w:adjustRightInd w:val="0"/>
              <w:spacing w:before="0" w:after="0"/>
              <w:rPr>
                <w:rFonts w:ascii="Times New Roman" w:hAnsi="Times New Roman"/>
                <w:sz w:val="24"/>
              </w:rPr>
            </w:pPr>
          </w:p>
          <w:p w14:paraId="549FD729" w14:textId="2E82A756"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Te pozycje netto, które zgodnie</w:t>
            </w:r>
            <w:r w:rsidR="00E26EF6" w:rsidRPr="00E26EF6">
              <w:rPr>
                <w:rFonts w:ascii="Times New Roman" w:hAnsi="Times New Roman"/>
                <w:sz w:val="24"/>
              </w:rPr>
              <w:t xml:space="preserve"> z róż</w:t>
            </w:r>
            <w:r w:rsidRPr="00E26EF6">
              <w:rPr>
                <w:rFonts w:ascii="Times New Roman" w:hAnsi="Times New Roman"/>
                <w:sz w:val="24"/>
              </w:rPr>
              <w:t>nymi metodami uwzględnionymi</w:t>
            </w:r>
            <w:r w:rsidR="00E26EF6" w:rsidRPr="00E26EF6">
              <w:rPr>
                <w:rFonts w:ascii="Times New Roman" w:hAnsi="Times New Roman"/>
                <w:sz w:val="24"/>
              </w:rPr>
              <w:t xml:space="preserve"> w czę</w:t>
            </w:r>
            <w:r w:rsidRPr="00E26EF6">
              <w:rPr>
                <w:rFonts w:ascii="Times New Roman" w:hAnsi="Times New Roman"/>
                <w:sz w:val="24"/>
              </w:rPr>
              <w:t>ści trzeciej tytuł IV rozdział 4 CRR otrzymują narzut kapitałowy</w:t>
            </w:r>
          </w:p>
          <w:p w14:paraId="130E13F8"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268A7FB7" w14:textId="77777777" w:rsidTr="00672D2A">
        <w:tc>
          <w:tcPr>
            <w:tcW w:w="986" w:type="dxa"/>
          </w:tcPr>
          <w:p w14:paraId="68FCB3E6"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060</w:t>
            </w:r>
          </w:p>
        </w:tc>
        <w:tc>
          <w:tcPr>
            <w:tcW w:w="7876" w:type="dxa"/>
          </w:tcPr>
          <w:p w14:paraId="418E7CA9"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WYMOGI W ZAKRESIE FUNDUSZY WŁASNYCH</w:t>
            </w:r>
          </w:p>
          <w:p w14:paraId="12512DC6" w14:textId="77777777" w:rsidR="00915077" w:rsidRPr="00E26EF6" w:rsidRDefault="00915077">
            <w:pPr>
              <w:autoSpaceDE w:val="0"/>
              <w:autoSpaceDN w:val="0"/>
              <w:adjustRightInd w:val="0"/>
              <w:spacing w:before="0" w:after="0"/>
              <w:rPr>
                <w:rFonts w:ascii="Times New Roman" w:hAnsi="Times New Roman"/>
                <w:b/>
                <w:bCs/>
                <w:sz w:val="24"/>
                <w:u w:val="single"/>
              </w:rPr>
            </w:pPr>
          </w:p>
          <w:p w14:paraId="4F55B841" w14:textId="376DF6B4" w:rsidR="00915077" w:rsidRPr="00E26EF6" w:rsidRDefault="000B0B09">
            <w:pPr>
              <w:autoSpaceDE w:val="0"/>
              <w:autoSpaceDN w:val="0"/>
              <w:adjustRightInd w:val="0"/>
              <w:spacing w:before="0"/>
              <w:rPr>
                <w:rFonts w:ascii="Times New Roman" w:hAnsi="Times New Roman"/>
                <w:b/>
                <w:bCs/>
                <w:sz w:val="24"/>
                <w:highlight w:val="lightGray"/>
                <w:u w:val="single"/>
              </w:rPr>
            </w:pPr>
            <w:r w:rsidRPr="00E26EF6">
              <w:rPr>
                <w:rFonts w:ascii="Times New Roman" w:hAnsi="Times New Roman"/>
                <w:sz w:val="24"/>
              </w:rPr>
              <w:t>Wymóg</w:t>
            </w:r>
            <w:r w:rsidR="00E26EF6" w:rsidRPr="00E26EF6">
              <w:rPr>
                <w:rFonts w:ascii="Times New Roman" w:hAnsi="Times New Roman"/>
                <w:sz w:val="24"/>
              </w:rPr>
              <w:t xml:space="preserve"> w zak</w:t>
            </w:r>
            <w:r w:rsidRPr="00E26EF6">
              <w:rPr>
                <w:rFonts w:ascii="Times New Roman" w:hAnsi="Times New Roman"/>
                <w:sz w:val="24"/>
              </w:rPr>
              <w:t>resie funduszy własnych obliczany zgodnie</w:t>
            </w:r>
            <w:r w:rsidR="00E26EF6" w:rsidRPr="00E26EF6">
              <w:rPr>
                <w:rFonts w:ascii="Times New Roman" w:hAnsi="Times New Roman"/>
                <w:sz w:val="24"/>
              </w:rPr>
              <w:t xml:space="preserve"> z czę</w:t>
            </w:r>
            <w:r w:rsidRPr="00E26EF6">
              <w:rPr>
                <w:rFonts w:ascii="Times New Roman" w:hAnsi="Times New Roman"/>
                <w:sz w:val="24"/>
              </w:rPr>
              <w:t>ścią trzecią tytuł IV rozdział 4 CRR</w:t>
            </w:r>
            <w:r w:rsidR="00E26EF6" w:rsidRPr="00E26EF6">
              <w:rPr>
                <w:rFonts w:ascii="Times New Roman" w:hAnsi="Times New Roman"/>
                <w:sz w:val="24"/>
              </w:rPr>
              <w:t xml:space="preserve"> w odn</w:t>
            </w:r>
            <w:r w:rsidRPr="00E26EF6">
              <w:rPr>
                <w:rFonts w:ascii="Times New Roman" w:hAnsi="Times New Roman"/>
                <w:sz w:val="24"/>
              </w:rPr>
              <w:t>iesieniu do każdej stosownej pozycji</w:t>
            </w:r>
          </w:p>
        </w:tc>
      </w:tr>
      <w:tr w:rsidR="00915077" w:rsidRPr="00E26EF6" w14:paraId="15C10C2B" w14:textId="77777777" w:rsidTr="00672D2A">
        <w:tc>
          <w:tcPr>
            <w:tcW w:w="986" w:type="dxa"/>
          </w:tcPr>
          <w:p w14:paraId="2A524AC0"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070</w:t>
            </w:r>
          </w:p>
        </w:tc>
        <w:tc>
          <w:tcPr>
            <w:tcW w:w="7876" w:type="dxa"/>
          </w:tcPr>
          <w:p w14:paraId="320A753A" w14:textId="77777777" w:rsidR="00915077" w:rsidRPr="00E26EF6" w:rsidRDefault="000B0B09">
            <w:pPr>
              <w:tabs>
                <w:tab w:val="left" w:pos="1665"/>
              </w:tabs>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ŁĄCZNA KWOTA EKSPOZYCJI NA RYZYKO</w:t>
            </w:r>
          </w:p>
          <w:p w14:paraId="564004DD" w14:textId="77777777" w:rsidR="00915077" w:rsidRPr="00E26EF6" w:rsidRDefault="00915077">
            <w:pPr>
              <w:tabs>
                <w:tab w:val="left" w:pos="1665"/>
              </w:tabs>
              <w:autoSpaceDE w:val="0"/>
              <w:autoSpaceDN w:val="0"/>
              <w:adjustRightInd w:val="0"/>
              <w:spacing w:before="0" w:after="0"/>
              <w:rPr>
                <w:rFonts w:ascii="Times New Roman" w:hAnsi="Times New Roman"/>
                <w:b/>
                <w:bCs/>
                <w:sz w:val="24"/>
                <w:u w:val="single"/>
              </w:rPr>
            </w:pPr>
          </w:p>
          <w:p w14:paraId="71078778" w14:textId="11D751DD" w:rsidR="00915077" w:rsidRPr="00E26EF6" w:rsidRDefault="00D21B29">
            <w:pPr>
              <w:tabs>
                <w:tab w:val="left" w:pos="1665"/>
              </w:tabs>
              <w:autoSpaceDE w:val="0"/>
              <w:autoSpaceDN w:val="0"/>
              <w:adjustRightInd w:val="0"/>
              <w:spacing w:before="0"/>
              <w:rPr>
                <w:rFonts w:ascii="Times New Roman" w:hAnsi="Times New Roman"/>
                <w:sz w:val="24"/>
              </w:rPr>
            </w:pPr>
            <w:r w:rsidRPr="00E26EF6">
              <w:rPr>
                <w:rFonts w:ascii="Times New Roman" w:hAnsi="Times New Roman"/>
                <w:sz w:val="24"/>
              </w:rPr>
              <w:t>Art. 92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 xml:space="preserve">b) CRR. </w:t>
            </w:r>
          </w:p>
          <w:p w14:paraId="48E50A18" w14:textId="6B7D5CBD" w:rsidR="00915077" w:rsidRPr="00E26EF6" w:rsidRDefault="000B0B09">
            <w:pPr>
              <w:tabs>
                <w:tab w:val="left" w:pos="1665"/>
              </w:tabs>
              <w:autoSpaceDE w:val="0"/>
              <w:autoSpaceDN w:val="0"/>
              <w:adjustRightInd w:val="0"/>
              <w:spacing w:before="0"/>
              <w:rPr>
                <w:rFonts w:ascii="Times New Roman" w:hAnsi="Times New Roman"/>
                <w:b/>
                <w:bCs/>
                <w:sz w:val="24"/>
                <w:u w:val="single"/>
              </w:rPr>
            </w:pPr>
            <w:r w:rsidRPr="00E26EF6">
              <w:rPr>
                <w:rFonts w:ascii="Times New Roman" w:hAnsi="Times New Roman"/>
                <w:sz w:val="24"/>
              </w:rPr>
              <w:t>Wynik pomnożenia wymogów</w:t>
            </w:r>
            <w:r w:rsidR="00E26EF6" w:rsidRPr="00E26EF6">
              <w:rPr>
                <w:rFonts w:ascii="Times New Roman" w:hAnsi="Times New Roman"/>
                <w:sz w:val="24"/>
              </w:rPr>
              <w:t xml:space="preserve"> w zak</w:t>
            </w:r>
            <w:r w:rsidRPr="00E26EF6">
              <w:rPr>
                <w:rFonts w:ascii="Times New Roman" w:hAnsi="Times New Roman"/>
                <w:sz w:val="24"/>
              </w:rPr>
              <w:t>resie funduszy własnych przez 12,5</w:t>
            </w:r>
          </w:p>
        </w:tc>
      </w:tr>
    </w:tbl>
    <w:p w14:paraId="29FC921B" w14:textId="77777777" w:rsidR="00915077" w:rsidRPr="00E26EF6" w:rsidRDefault="00915077">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915077" w:rsidRPr="00E26EF6" w14:paraId="4F7C43AF" w14:textId="77777777" w:rsidTr="00672D2A">
        <w:trPr>
          <w:trHeight w:val="483"/>
        </w:trPr>
        <w:tc>
          <w:tcPr>
            <w:tcW w:w="8862" w:type="dxa"/>
            <w:gridSpan w:val="2"/>
            <w:shd w:val="clear" w:color="auto" w:fill="CCCCCC"/>
          </w:tcPr>
          <w:p w14:paraId="597DF065" w14:textId="77777777" w:rsidR="00915077" w:rsidRPr="00E26EF6" w:rsidRDefault="000B0B09">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t>Wiersze</w:t>
            </w:r>
          </w:p>
        </w:tc>
      </w:tr>
      <w:tr w:rsidR="00915077" w:rsidRPr="00E26EF6" w14:paraId="3070A4EF" w14:textId="77777777" w:rsidTr="00672D2A">
        <w:tc>
          <w:tcPr>
            <w:tcW w:w="987" w:type="dxa"/>
          </w:tcPr>
          <w:p w14:paraId="6D3D671D"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w:t>
            </w:r>
          </w:p>
        </w:tc>
        <w:tc>
          <w:tcPr>
            <w:tcW w:w="7875" w:type="dxa"/>
          </w:tcPr>
          <w:p w14:paraId="67A9BBDE"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DOTYCZĄCE CEN TOWARÓW RAZEM</w:t>
            </w:r>
          </w:p>
          <w:p w14:paraId="7599290F" w14:textId="77777777" w:rsidR="00915077" w:rsidRPr="00E26EF6" w:rsidRDefault="00915077">
            <w:pPr>
              <w:autoSpaceDE w:val="0"/>
              <w:autoSpaceDN w:val="0"/>
              <w:adjustRightInd w:val="0"/>
              <w:spacing w:before="0" w:after="0"/>
              <w:rPr>
                <w:rFonts w:ascii="Times New Roman" w:hAnsi="Times New Roman"/>
                <w:sz w:val="24"/>
              </w:rPr>
            </w:pPr>
          </w:p>
          <w:p w14:paraId="0FC9167E" w14:textId="4BD89612" w:rsidR="00915077" w:rsidRPr="00E26EF6" w:rsidRDefault="000B0B09">
            <w:pPr>
              <w:autoSpaceDE w:val="0"/>
              <w:autoSpaceDN w:val="0"/>
              <w:adjustRightInd w:val="0"/>
              <w:spacing w:before="0"/>
              <w:rPr>
                <w:rFonts w:ascii="Times New Roman" w:hAnsi="Times New Roman"/>
                <w:sz w:val="24"/>
                <w:highlight w:val="lightGray"/>
              </w:rPr>
            </w:pPr>
            <w:r w:rsidRPr="00E26EF6">
              <w:rPr>
                <w:rFonts w:ascii="Times New Roman" w:hAnsi="Times New Roman"/>
                <w:sz w:val="24"/>
              </w:rPr>
              <w:t>Pozycje</w:t>
            </w:r>
            <w:r w:rsidR="00E26EF6" w:rsidRPr="00E26EF6">
              <w:rPr>
                <w:rFonts w:ascii="Times New Roman" w:hAnsi="Times New Roman"/>
                <w:sz w:val="24"/>
              </w:rPr>
              <w:t xml:space="preserve"> w tow</w:t>
            </w:r>
            <w:r w:rsidRPr="00E26EF6">
              <w:rPr>
                <w:rFonts w:ascii="Times New Roman" w:hAnsi="Times New Roman"/>
                <w:sz w:val="24"/>
              </w:rPr>
              <w:t>arach oraz odpowiadające im wymogi</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w odn</w:t>
            </w:r>
            <w:r w:rsidRPr="00E26EF6">
              <w:rPr>
                <w:rFonts w:ascii="Times New Roman" w:hAnsi="Times New Roman"/>
                <w:sz w:val="24"/>
              </w:rPr>
              <w:t>iesieniu do ryzyka rynkowego obliczonego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c) ppkt (iii) CRR</w:t>
            </w:r>
            <w:r w:rsidR="00E26EF6" w:rsidRPr="00E26EF6">
              <w:rPr>
                <w:rFonts w:ascii="Times New Roman" w:hAnsi="Times New Roman"/>
                <w:sz w:val="24"/>
              </w:rPr>
              <w:t xml:space="preserve"> i czę</w:t>
            </w:r>
            <w:r w:rsidRPr="00E26EF6">
              <w:rPr>
                <w:rFonts w:ascii="Times New Roman" w:hAnsi="Times New Roman"/>
                <w:sz w:val="24"/>
              </w:rPr>
              <w:t xml:space="preserve">ścią trzecią tytuł IV rozdział 4 CRR </w:t>
            </w:r>
          </w:p>
        </w:tc>
      </w:tr>
      <w:tr w:rsidR="00915077" w:rsidRPr="00E26EF6" w14:paraId="5922DE26" w14:textId="77777777" w:rsidTr="00672D2A">
        <w:tc>
          <w:tcPr>
            <w:tcW w:w="987" w:type="dxa"/>
          </w:tcPr>
          <w:p w14:paraId="6C743166"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020-060</w:t>
            </w:r>
          </w:p>
        </w:tc>
        <w:tc>
          <w:tcPr>
            <w:tcW w:w="7875" w:type="dxa"/>
          </w:tcPr>
          <w:p w14:paraId="40980852"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WEDŁUG KATEGORII TOWARU</w:t>
            </w:r>
          </w:p>
          <w:p w14:paraId="23840BC8" w14:textId="77777777" w:rsidR="00915077" w:rsidRPr="00E26EF6" w:rsidRDefault="00915077">
            <w:pPr>
              <w:autoSpaceDE w:val="0"/>
              <w:autoSpaceDN w:val="0"/>
              <w:adjustRightInd w:val="0"/>
              <w:spacing w:before="0" w:after="0"/>
              <w:rPr>
                <w:rFonts w:ascii="Times New Roman" w:hAnsi="Times New Roman"/>
                <w:sz w:val="24"/>
              </w:rPr>
            </w:pPr>
          </w:p>
          <w:p w14:paraId="1BC4B0E7" w14:textId="61472116"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Na potrzeby sprawozdawczości towary dzieli się na cztery grupy towarów,</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tab</w:t>
            </w:r>
            <w:r w:rsidRPr="00E26EF6">
              <w:rPr>
                <w:rFonts w:ascii="Times New Roman" w:hAnsi="Times New Roman"/>
                <w:sz w:val="24"/>
              </w:rPr>
              <w:t>eli 2</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361 CRR.</w:t>
            </w:r>
          </w:p>
          <w:p w14:paraId="63C35F10"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 xml:space="preserve"> </w:t>
            </w:r>
          </w:p>
        </w:tc>
      </w:tr>
      <w:tr w:rsidR="00915077" w:rsidRPr="00E26EF6" w14:paraId="45E2333D" w14:textId="77777777" w:rsidTr="00672D2A">
        <w:tc>
          <w:tcPr>
            <w:tcW w:w="987" w:type="dxa"/>
          </w:tcPr>
          <w:p w14:paraId="29B142E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070</w:t>
            </w:r>
          </w:p>
        </w:tc>
        <w:tc>
          <w:tcPr>
            <w:tcW w:w="7875" w:type="dxa"/>
          </w:tcPr>
          <w:p w14:paraId="105F7ADF"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METODA TERMINÓW ZAPADALNOŚCI</w:t>
            </w:r>
          </w:p>
          <w:p w14:paraId="39F97B47" w14:textId="77777777" w:rsidR="00915077" w:rsidRPr="00E26EF6" w:rsidRDefault="00915077">
            <w:pPr>
              <w:autoSpaceDE w:val="0"/>
              <w:autoSpaceDN w:val="0"/>
              <w:adjustRightInd w:val="0"/>
              <w:spacing w:before="0" w:after="0"/>
              <w:rPr>
                <w:rFonts w:ascii="Times New Roman" w:hAnsi="Times New Roman"/>
                <w:sz w:val="24"/>
              </w:rPr>
            </w:pPr>
          </w:p>
          <w:p w14:paraId="32FB2A76" w14:textId="28FCD656"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w:t>
            </w:r>
            <w:r w:rsidR="00E26EF6" w:rsidRPr="00E26EF6">
              <w:rPr>
                <w:rFonts w:ascii="Times New Roman" w:hAnsi="Times New Roman"/>
                <w:sz w:val="24"/>
              </w:rPr>
              <w:t xml:space="preserve"> w tow</w:t>
            </w:r>
            <w:r w:rsidRPr="00E26EF6">
              <w:rPr>
                <w:rFonts w:ascii="Times New Roman" w:hAnsi="Times New Roman"/>
                <w:sz w:val="24"/>
              </w:rPr>
              <w:t>arach podlegające metodzie terminów zapadalności,</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359 CRR</w:t>
            </w:r>
          </w:p>
          <w:p w14:paraId="6898B846"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4B767E2B" w14:textId="77777777" w:rsidTr="00672D2A">
        <w:tc>
          <w:tcPr>
            <w:tcW w:w="987" w:type="dxa"/>
          </w:tcPr>
          <w:p w14:paraId="11D494E3"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080</w:t>
            </w:r>
          </w:p>
        </w:tc>
        <w:tc>
          <w:tcPr>
            <w:tcW w:w="7875" w:type="dxa"/>
          </w:tcPr>
          <w:p w14:paraId="23608742"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ROZSZERZONA METODA TERMINÓW ZAPADALNOŚCI</w:t>
            </w:r>
          </w:p>
          <w:p w14:paraId="4931AAB2" w14:textId="77777777" w:rsidR="00915077" w:rsidRPr="00E26EF6" w:rsidRDefault="00915077">
            <w:pPr>
              <w:autoSpaceDE w:val="0"/>
              <w:autoSpaceDN w:val="0"/>
              <w:adjustRightInd w:val="0"/>
              <w:spacing w:before="0" w:after="0"/>
              <w:rPr>
                <w:rFonts w:ascii="Times New Roman" w:hAnsi="Times New Roman"/>
                <w:sz w:val="24"/>
              </w:rPr>
            </w:pPr>
          </w:p>
          <w:p w14:paraId="116E3F97" w14:textId="721A4F49"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w:t>
            </w:r>
            <w:r w:rsidR="00E26EF6" w:rsidRPr="00E26EF6">
              <w:rPr>
                <w:rFonts w:ascii="Times New Roman" w:hAnsi="Times New Roman"/>
                <w:sz w:val="24"/>
              </w:rPr>
              <w:t xml:space="preserve"> w tow</w:t>
            </w:r>
            <w:r w:rsidRPr="00E26EF6">
              <w:rPr>
                <w:rFonts w:ascii="Times New Roman" w:hAnsi="Times New Roman"/>
                <w:sz w:val="24"/>
              </w:rPr>
              <w:t>arach podlegające rozszerzonej metodzie terminów zapadalności,</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361 CRR</w:t>
            </w:r>
          </w:p>
          <w:p w14:paraId="4D8A3DED"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723D639C" w14:textId="77777777" w:rsidTr="00672D2A">
        <w:tc>
          <w:tcPr>
            <w:tcW w:w="987" w:type="dxa"/>
          </w:tcPr>
          <w:p w14:paraId="1BD325FE"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090</w:t>
            </w:r>
          </w:p>
        </w:tc>
        <w:tc>
          <w:tcPr>
            <w:tcW w:w="7875" w:type="dxa"/>
          </w:tcPr>
          <w:p w14:paraId="0E654A1B"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METODA UPROSZCZONA</w:t>
            </w:r>
          </w:p>
          <w:p w14:paraId="5ED8B690" w14:textId="77777777" w:rsidR="00915077" w:rsidRPr="00E26EF6" w:rsidRDefault="00915077">
            <w:pPr>
              <w:autoSpaceDE w:val="0"/>
              <w:autoSpaceDN w:val="0"/>
              <w:adjustRightInd w:val="0"/>
              <w:spacing w:before="0" w:after="0"/>
              <w:rPr>
                <w:rFonts w:ascii="Times New Roman" w:hAnsi="Times New Roman"/>
                <w:b/>
                <w:bCs/>
                <w:sz w:val="24"/>
                <w:u w:val="single"/>
              </w:rPr>
            </w:pPr>
          </w:p>
          <w:p w14:paraId="3AE09A77" w14:textId="2B84694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Pozycje</w:t>
            </w:r>
            <w:r w:rsidR="00E26EF6" w:rsidRPr="00E26EF6">
              <w:rPr>
                <w:rFonts w:ascii="Times New Roman" w:hAnsi="Times New Roman"/>
                <w:sz w:val="24"/>
              </w:rPr>
              <w:t xml:space="preserve"> w tow</w:t>
            </w:r>
            <w:r w:rsidRPr="00E26EF6">
              <w:rPr>
                <w:rFonts w:ascii="Times New Roman" w:hAnsi="Times New Roman"/>
                <w:sz w:val="24"/>
              </w:rPr>
              <w:t>arach podlegające metodzie uproszczonej,</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360 CRR </w:t>
            </w:r>
          </w:p>
          <w:p w14:paraId="55928D23"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3BB179E1" w14:textId="77777777" w:rsidTr="00672D2A">
        <w:tc>
          <w:tcPr>
            <w:tcW w:w="987" w:type="dxa"/>
          </w:tcPr>
          <w:p w14:paraId="38234717"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100-140</w:t>
            </w:r>
          </w:p>
        </w:tc>
        <w:tc>
          <w:tcPr>
            <w:tcW w:w="7875" w:type="dxa"/>
          </w:tcPr>
          <w:p w14:paraId="3C6B1B17"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Style w:val="InstructionsTabelleberschrift"/>
                <w:rFonts w:ascii="Times New Roman" w:hAnsi="Times New Roman"/>
                <w:sz w:val="24"/>
              </w:rPr>
              <w:t>DODATKOWE WYMOGI W ZAKRESIE OPCJI (RYZYKA INNE NIŻ RYZYKO DELTA)</w:t>
            </w:r>
          </w:p>
          <w:p w14:paraId="04A52F73" w14:textId="0D4A667C" w:rsidR="00915077" w:rsidRPr="00E26EF6" w:rsidRDefault="000B0B09">
            <w:pPr>
              <w:autoSpaceDE w:val="0"/>
              <w:autoSpaceDN w:val="0"/>
              <w:adjustRightInd w:val="0"/>
              <w:rPr>
                <w:rFonts w:ascii="Times New Roman" w:hAnsi="Times New Roman"/>
                <w:sz w:val="24"/>
              </w:rPr>
            </w:pPr>
            <w:r w:rsidRPr="00E26EF6">
              <w:rPr>
                <w:rFonts w:ascii="Times New Roman" w:hAnsi="Times New Roman"/>
                <w:sz w:val="24"/>
              </w:rPr>
              <w:t xml:space="preserve">Art. 358 ust. 4 CRR </w:t>
            </w:r>
          </w:p>
          <w:p w14:paraId="0A912753" w14:textId="73919F02"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Dodatkowe wymogi</w:t>
            </w:r>
            <w:r w:rsidR="00E26EF6" w:rsidRPr="00E26EF6">
              <w:rPr>
                <w:rFonts w:ascii="Times New Roman" w:hAnsi="Times New Roman"/>
                <w:sz w:val="24"/>
              </w:rPr>
              <w:t xml:space="preserve"> w zak</w:t>
            </w:r>
            <w:r w:rsidRPr="00E26EF6">
              <w:rPr>
                <w:rFonts w:ascii="Times New Roman" w:hAnsi="Times New Roman"/>
                <w:sz w:val="24"/>
              </w:rPr>
              <w:t>resie opcji związane</w:t>
            </w:r>
            <w:r w:rsidR="00E26EF6" w:rsidRPr="00E26EF6">
              <w:rPr>
                <w:rFonts w:ascii="Times New Roman" w:hAnsi="Times New Roman"/>
                <w:sz w:val="24"/>
              </w:rPr>
              <w:t xml:space="preserve"> z ryz</w:t>
            </w:r>
            <w:r w:rsidRPr="00E26EF6">
              <w:rPr>
                <w:rFonts w:ascii="Times New Roman" w:hAnsi="Times New Roman"/>
                <w:sz w:val="24"/>
              </w:rPr>
              <w:t>ykami innymi niż ryzyko delta zgłasza się</w:t>
            </w:r>
            <w:r w:rsidR="00E26EF6" w:rsidRPr="00E26EF6">
              <w:rPr>
                <w:rFonts w:ascii="Times New Roman" w:hAnsi="Times New Roman"/>
                <w:sz w:val="24"/>
              </w:rPr>
              <w:t xml:space="preserve"> w met</w:t>
            </w:r>
            <w:r w:rsidRPr="00E26EF6">
              <w:rPr>
                <w:rFonts w:ascii="Times New Roman" w:hAnsi="Times New Roman"/>
                <w:sz w:val="24"/>
              </w:rPr>
              <w:t>odzie stosowanej do obliczenia tego ryzyka.</w:t>
            </w:r>
          </w:p>
          <w:p w14:paraId="7D9E445C" w14:textId="77777777" w:rsidR="00915077" w:rsidRPr="00E26EF6" w:rsidRDefault="00915077">
            <w:pPr>
              <w:autoSpaceDE w:val="0"/>
              <w:autoSpaceDN w:val="0"/>
              <w:adjustRightInd w:val="0"/>
              <w:spacing w:before="0" w:after="0"/>
              <w:rPr>
                <w:rFonts w:ascii="Times New Roman" w:hAnsi="Times New Roman"/>
                <w:sz w:val="24"/>
              </w:rPr>
            </w:pPr>
          </w:p>
        </w:tc>
      </w:tr>
    </w:tbl>
    <w:p w14:paraId="229D7B57" w14:textId="77777777" w:rsidR="00915077" w:rsidRPr="00E26EF6" w:rsidRDefault="00915077">
      <w:pPr>
        <w:rPr>
          <w:rFonts w:ascii="Times New Roman" w:hAnsi="Times New Roman"/>
          <w:sz w:val="24"/>
        </w:rPr>
      </w:pPr>
    </w:p>
    <w:p w14:paraId="0E9180D7" w14:textId="77777777" w:rsidR="00915077" w:rsidRPr="00E26EF6" w:rsidRDefault="00125707">
      <w:pPr>
        <w:pStyle w:val="Instructionsberschrift2"/>
        <w:numPr>
          <w:ilvl w:val="0"/>
          <w:numId w:val="0"/>
        </w:numPr>
        <w:ind w:left="357" w:hanging="357"/>
        <w:rPr>
          <w:rFonts w:ascii="Times New Roman" w:hAnsi="Times New Roman"/>
          <w:sz w:val="24"/>
        </w:rPr>
      </w:pPr>
      <w:bookmarkStart w:id="102" w:name="_Toc31014399"/>
      <w:r w:rsidRPr="00E26EF6">
        <w:rPr>
          <w:rFonts w:ascii="Times New Roman" w:hAnsi="Times New Roman"/>
          <w:sz w:val="24"/>
          <w:u w:val="none"/>
        </w:rPr>
        <w:lastRenderedPageBreak/>
        <w:t>5.7.</w:t>
      </w:r>
      <w:r w:rsidRPr="00E26EF6">
        <w:rPr>
          <w:rFonts w:ascii="Times New Roman" w:hAnsi="Times New Roman"/>
          <w:sz w:val="24"/>
          <w:u w:val="none"/>
        </w:rPr>
        <w:tab/>
      </w:r>
      <w:r w:rsidRPr="00E26EF6">
        <w:rPr>
          <w:rFonts w:ascii="Times New Roman" w:hAnsi="Times New Roman"/>
          <w:sz w:val="24"/>
        </w:rPr>
        <w:t>C 24.00 – Modele wewnętrzne ryzyka rynkowego (MKR IM)</w:t>
      </w:r>
      <w:bookmarkEnd w:id="102"/>
    </w:p>
    <w:p w14:paraId="7F086F79"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03" w:name="_Toc31014400"/>
      <w:r w:rsidRPr="00E26EF6">
        <w:rPr>
          <w:rFonts w:ascii="Times New Roman" w:hAnsi="Times New Roman"/>
          <w:sz w:val="24"/>
          <w:u w:val="none"/>
        </w:rPr>
        <w:t>5.7.1.</w:t>
      </w:r>
      <w:r w:rsidRPr="00E26EF6">
        <w:rPr>
          <w:rFonts w:ascii="Times New Roman" w:hAnsi="Times New Roman"/>
          <w:sz w:val="24"/>
          <w:u w:val="none"/>
        </w:rPr>
        <w:tab/>
      </w:r>
      <w:r w:rsidRPr="00E26EF6">
        <w:rPr>
          <w:rFonts w:ascii="Times New Roman" w:hAnsi="Times New Roman"/>
          <w:sz w:val="24"/>
        </w:rPr>
        <w:t>Uwagi ogólne</w:t>
      </w:r>
      <w:bookmarkEnd w:id="103"/>
    </w:p>
    <w:p w14:paraId="01A97E14" w14:textId="6158AA3A" w:rsidR="00915077" w:rsidRPr="00E26EF6" w:rsidRDefault="00125707">
      <w:pPr>
        <w:pStyle w:val="InstructionsText2"/>
        <w:numPr>
          <w:ilvl w:val="0"/>
          <w:numId w:val="0"/>
        </w:numPr>
        <w:ind w:left="993"/>
      </w:pPr>
      <w:r w:rsidRPr="00E26EF6">
        <w:t>153.</w:t>
      </w:r>
      <w:r w:rsidRPr="00E26EF6">
        <w:tab/>
        <w:t xml:space="preserve"> Ten wzór zawiera podział danych dotyczących wartości zagrożonej (VaR)</w:t>
      </w:r>
      <w:r w:rsidR="00E26EF6" w:rsidRPr="00E26EF6">
        <w:t xml:space="preserve"> i war</w:t>
      </w:r>
      <w:r w:rsidRPr="00E26EF6">
        <w:t>tości zagrożonej</w:t>
      </w:r>
      <w:r w:rsidR="00E26EF6" w:rsidRPr="00E26EF6">
        <w:t xml:space="preserve"> w war</w:t>
      </w:r>
      <w:r w:rsidRPr="00E26EF6">
        <w:t>unkach skrajnych (sVaR) według różnych rodzajów ryzyka rynkowego (zadłużenie, kapitał własny, waluty obce, towary)</w:t>
      </w:r>
      <w:r w:rsidR="00E26EF6" w:rsidRPr="00E26EF6">
        <w:t xml:space="preserve"> i inn</w:t>
      </w:r>
      <w:r w:rsidRPr="00E26EF6">
        <w:t>e informacje mające istotne znaczenie przy obliczaniu wymogów</w:t>
      </w:r>
      <w:r w:rsidR="00E26EF6" w:rsidRPr="00E26EF6">
        <w:t xml:space="preserve"> w zak</w:t>
      </w:r>
      <w:r w:rsidRPr="00E26EF6">
        <w:t>resie funduszy własnych.</w:t>
      </w:r>
    </w:p>
    <w:p w14:paraId="5E568853" w14:textId="790EE4FA" w:rsidR="00915077" w:rsidRPr="00E26EF6" w:rsidRDefault="00125707">
      <w:pPr>
        <w:pStyle w:val="InstructionsText2"/>
        <w:numPr>
          <w:ilvl w:val="0"/>
          <w:numId w:val="0"/>
        </w:numPr>
        <w:ind w:left="993"/>
      </w:pPr>
      <w:r w:rsidRPr="00E26EF6">
        <w:t>154.</w:t>
      </w:r>
      <w:r w:rsidRPr="00E26EF6">
        <w:tab/>
        <w:t xml:space="preserve"> Ogólnie rzecz biorąc, zależy to od struktury modelu instytucji, od tego, czy można określić</w:t>
      </w:r>
      <w:r w:rsidR="00E26EF6" w:rsidRPr="00E26EF6">
        <w:t xml:space="preserve"> i zgł</w:t>
      </w:r>
      <w:r w:rsidRPr="00E26EF6">
        <w:t>osić wyłącznie razem dane dotyczące ryzyka ogólnego</w:t>
      </w:r>
      <w:r w:rsidR="00E26EF6" w:rsidRPr="00E26EF6">
        <w:t xml:space="preserve"> i ryz</w:t>
      </w:r>
      <w:r w:rsidRPr="00E26EF6">
        <w:t>yka szczególnego. To samo odnosi się do podziału wartości zagrożonej / wartości zagrożonej</w:t>
      </w:r>
      <w:r w:rsidR="00E26EF6" w:rsidRPr="00E26EF6">
        <w:t xml:space="preserve"> w war</w:t>
      </w:r>
      <w:r w:rsidRPr="00E26EF6">
        <w:t>unkach skrajnych na kategorie ryzyka (ryzyko stopy procentowej, ryzyko związane</w:t>
      </w:r>
      <w:r w:rsidR="00E26EF6" w:rsidRPr="00E26EF6">
        <w:t xml:space="preserve"> z inw</w:t>
      </w:r>
      <w:r w:rsidRPr="00E26EF6">
        <w:t>estowaniem</w:t>
      </w:r>
      <w:r w:rsidR="00E26EF6" w:rsidRPr="00E26EF6">
        <w:t xml:space="preserve"> w akc</w:t>
      </w:r>
      <w:r w:rsidRPr="00E26EF6">
        <w:t>je, ryzyko cen towarów</w:t>
      </w:r>
      <w:r w:rsidR="00E26EF6" w:rsidRPr="00E26EF6">
        <w:t xml:space="preserve"> i ryz</w:t>
      </w:r>
      <w:r w:rsidRPr="00E26EF6">
        <w:t xml:space="preserve">yko walutowe). Instytucja może zrezygnować ze zgłoszenia tego podziału, jeżeli udowodni, że zgłoszenie tych danych byłoby nadmiernie uciążliwe. </w:t>
      </w:r>
    </w:p>
    <w:p w14:paraId="38B8C7CC"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04" w:name="_Toc31014401"/>
      <w:r w:rsidRPr="00E26EF6">
        <w:rPr>
          <w:rFonts w:ascii="Times New Roman" w:hAnsi="Times New Roman"/>
          <w:sz w:val="24"/>
          <w:u w:val="none"/>
        </w:rPr>
        <w:t>5.7.2.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915077" w:rsidRPr="00E26EF6" w14:paraId="5884FDB3" w14:textId="77777777" w:rsidTr="00672D2A">
        <w:tc>
          <w:tcPr>
            <w:tcW w:w="8862" w:type="dxa"/>
            <w:gridSpan w:val="2"/>
            <w:shd w:val="clear" w:color="auto" w:fill="BFBFBF"/>
          </w:tcPr>
          <w:p w14:paraId="23D5B4C7" w14:textId="77777777" w:rsidR="00915077" w:rsidRPr="00E26EF6" w:rsidRDefault="0034786E">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Kolumny</w:t>
            </w:r>
          </w:p>
        </w:tc>
      </w:tr>
      <w:tr w:rsidR="00915077" w:rsidRPr="00E26EF6" w14:paraId="55253F25" w14:textId="77777777" w:rsidTr="00672D2A">
        <w:tc>
          <w:tcPr>
            <w:tcW w:w="993" w:type="dxa"/>
          </w:tcPr>
          <w:p w14:paraId="010599D7"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030-040</w:t>
            </w:r>
          </w:p>
        </w:tc>
        <w:tc>
          <w:tcPr>
            <w:tcW w:w="7869" w:type="dxa"/>
          </w:tcPr>
          <w:p w14:paraId="4EEB9077" w14:textId="0517FC9C" w:rsidR="00915077" w:rsidRPr="00E26EF6" w:rsidRDefault="0016282F">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Wartość zagrożona</w:t>
            </w:r>
          </w:p>
          <w:p w14:paraId="3E120A63" w14:textId="5FA956FB" w:rsidR="00915077" w:rsidRPr="00E26EF6" w:rsidRDefault="0016282F">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Wartość zagrożona oznacza maksymalną potencjalną stratę, będącą wynikiem zmiany ceny</w:t>
            </w:r>
            <w:r w:rsidR="00E26EF6" w:rsidRPr="00E26EF6">
              <w:rPr>
                <w:rFonts w:ascii="Times New Roman" w:hAnsi="Times New Roman"/>
                <w:sz w:val="24"/>
              </w:rPr>
              <w:t xml:space="preserve"> z uwz</w:t>
            </w:r>
            <w:r w:rsidRPr="00E26EF6">
              <w:rPr>
                <w:rFonts w:ascii="Times New Roman" w:hAnsi="Times New Roman"/>
                <w:sz w:val="24"/>
              </w:rPr>
              <w:t>ględnieniem danego prawdopodobieństwa</w:t>
            </w:r>
            <w:r w:rsidR="00E26EF6" w:rsidRPr="00E26EF6">
              <w:rPr>
                <w:rFonts w:ascii="Times New Roman" w:hAnsi="Times New Roman"/>
                <w:sz w:val="24"/>
              </w:rPr>
              <w:t xml:space="preserve"> w okr</w:t>
            </w:r>
            <w:r w:rsidRPr="00E26EF6">
              <w:rPr>
                <w:rFonts w:ascii="Times New Roman" w:hAnsi="Times New Roman"/>
                <w:sz w:val="24"/>
              </w:rPr>
              <w:t>eślonym horyzoncie czasowym.</w:t>
            </w:r>
          </w:p>
        </w:tc>
      </w:tr>
      <w:tr w:rsidR="00915077" w:rsidRPr="00E26EF6" w14:paraId="3FC67EE7" w14:textId="77777777" w:rsidTr="00672D2A">
        <w:tc>
          <w:tcPr>
            <w:tcW w:w="993" w:type="dxa"/>
          </w:tcPr>
          <w:p w14:paraId="10F45DB7"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030</w:t>
            </w:r>
          </w:p>
        </w:tc>
        <w:tc>
          <w:tcPr>
            <w:tcW w:w="7869" w:type="dxa"/>
          </w:tcPr>
          <w:p w14:paraId="09BBDED8" w14:textId="28D64C4F"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Mnożnik (mc) x Średnia wartości zagrożonych</w:t>
            </w:r>
            <w:r w:rsidR="00E26EF6" w:rsidRPr="00E26EF6">
              <w:rPr>
                <w:rFonts w:ascii="Times New Roman" w:hAnsi="Times New Roman"/>
                <w:b/>
                <w:bCs/>
                <w:sz w:val="24"/>
                <w:u w:val="single"/>
              </w:rPr>
              <w:t xml:space="preserve"> z pop</w:t>
            </w:r>
            <w:r w:rsidRPr="00E26EF6">
              <w:rPr>
                <w:rFonts w:ascii="Times New Roman" w:hAnsi="Times New Roman"/>
                <w:b/>
                <w:bCs/>
                <w:sz w:val="24"/>
                <w:u w:val="single"/>
              </w:rPr>
              <w:t>rzednich 60 dni roboczych (VaRavg)</w:t>
            </w:r>
          </w:p>
          <w:p w14:paraId="0760C223" w14:textId="77777777" w:rsidR="00915077" w:rsidRPr="00E26EF6" w:rsidRDefault="00915077">
            <w:pPr>
              <w:autoSpaceDE w:val="0"/>
              <w:autoSpaceDN w:val="0"/>
              <w:adjustRightInd w:val="0"/>
              <w:spacing w:before="0" w:after="0"/>
              <w:rPr>
                <w:rFonts w:ascii="Times New Roman" w:hAnsi="Times New Roman"/>
                <w:b/>
                <w:bCs/>
                <w:sz w:val="24"/>
                <w:u w:val="single"/>
              </w:rPr>
            </w:pPr>
          </w:p>
          <w:p w14:paraId="26047F00" w14:textId="3E33DE38" w:rsidR="00915077" w:rsidRPr="00E26EF6" w:rsidRDefault="00705025">
            <w:pPr>
              <w:autoSpaceDE w:val="0"/>
              <w:autoSpaceDN w:val="0"/>
              <w:adjustRightInd w:val="0"/>
              <w:spacing w:before="0" w:after="0"/>
              <w:rPr>
                <w:rFonts w:ascii="Times New Roman" w:hAnsi="Times New Roman"/>
                <w:sz w:val="24"/>
              </w:rPr>
            </w:pPr>
            <w:r w:rsidRPr="00E26EF6">
              <w:rPr>
                <w:rFonts w:ascii="Times New Roman" w:hAnsi="Times New Roman"/>
                <w:sz w:val="24"/>
              </w:rPr>
              <w:t>Art. 364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ppkt (ii) oraz art.</w:t>
            </w:r>
            <w:r w:rsidR="00023409" w:rsidRPr="00E26EF6">
              <w:rPr>
                <w:rFonts w:ascii="Times New Roman" w:hAnsi="Times New Roman"/>
                <w:sz w:val="24"/>
              </w:rPr>
              <w:t> </w:t>
            </w:r>
            <w:r w:rsidRPr="00E26EF6">
              <w:rPr>
                <w:rFonts w:ascii="Times New Roman" w:hAnsi="Times New Roman"/>
                <w:sz w:val="24"/>
              </w:rPr>
              <w:t>365 ust.</w:t>
            </w:r>
            <w:r w:rsidR="00023409" w:rsidRPr="00E26EF6">
              <w:rPr>
                <w:rFonts w:ascii="Times New Roman" w:hAnsi="Times New Roman"/>
                <w:sz w:val="24"/>
              </w:rPr>
              <w:t> </w:t>
            </w:r>
            <w:r w:rsidRPr="00E26EF6">
              <w:rPr>
                <w:rFonts w:ascii="Times New Roman" w:hAnsi="Times New Roman"/>
                <w:sz w:val="24"/>
              </w:rPr>
              <w:t xml:space="preserve">1 CRR </w:t>
            </w:r>
          </w:p>
          <w:p w14:paraId="1588E504"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013A7680" w14:textId="77777777" w:rsidTr="00672D2A">
        <w:tc>
          <w:tcPr>
            <w:tcW w:w="993" w:type="dxa"/>
          </w:tcPr>
          <w:p w14:paraId="3CFF4374"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040</w:t>
            </w:r>
          </w:p>
        </w:tc>
        <w:tc>
          <w:tcPr>
            <w:tcW w:w="7869" w:type="dxa"/>
          </w:tcPr>
          <w:p w14:paraId="27CB8352" w14:textId="25160696"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Wartość zagrożona</w:t>
            </w:r>
            <w:r w:rsidR="00E26EF6" w:rsidRPr="00E26EF6">
              <w:rPr>
                <w:rFonts w:ascii="Times New Roman" w:hAnsi="Times New Roman"/>
                <w:b/>
                <w:bCs/>
                <w:sz w:val="24"/>
                <w:u w:val="single"/>
              </w:rPr>
              <w:t xml:space="preserve"> z pop</w:t>
            </w:r>
            <w:r w:rsidRPr="00E26EF6">
              <w:rPr>
                <w:rFonts w:ascii="Times New Roman" w:hAnsi="Times New Roman"/>
                <w:b/>
                <w:bCs/>
                <w:sz w:val="24"/>
                <w:u w:val="single"/>
              </w:rPr>
              <w:t>rzedniego dnia (VaRt-1)</w:t>
            </w:r>
          </w:p>
          <w:p w14:paraId="4579B3E2" w14:textId="77777777" w:rsidR="00915077" w:rsidRPr="00E26EF6" w:rsidRDefault="00915077">
            <w:pPr>
              <w:autoSpaceDE w:val="0"/>
              <w:autoSpaceDN w:val="0"/>
              <w:adjustRightInd w:val="0"/>
              <w:spacing w:before="0" w:after="0"/>
              <w:rPr>
                <w:rFonts w:ascii="Times New Roman" w:hAnsi="Times New Roman"/>
                <w:b/>
                <w:bCs/>
                <w:sz w:val="24"/>
                <w:u w:val="single"/>
              </w:rPr>
            </w:pPr>
          </w:p>
          <w:p w14:paraId="68F6CFCC" w14:textId="14DA616A" w:rsidR="00915077" w:rsidRPr="00E26EF6" w:rsidRDefault="00705025">
            <w:pPr>
              <w:autoSpaceDE w:val="0"/>
              <w:autoSpaceDN w:val="0"/>
              <w:adjustRightInd w:val="0"/>
              <w:spacing w:before="0" w:after="0"/>
              <w:rPr>
                <w:rFonts w:ascii="Times New Roman" w:hAnsi="Times New Roman"/>
                <w:sz w:val="24"/>
              </w:rPr>
            </w:pPr>
            <w:r w:rsidRPr="00E26EF6">
              <w:rPr>
                <w:rFonts w:ascii="Times New Roman" w:hAnsi="Times New Roman"/>
                <w:sz w:val="24"/>
              </w:rPr>
              <w:t>Art. 364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ppkt (i) oraz art.</w:t>
            </w:r>
            <w:r w:rsidR="00023409" w:rsidRPr="00E26EF6">
              <w:rPr>
                <w:rFonts w:ascii="Times New Roman" w:hAnsi="Times New Roman"/>
                <w:sz w:val="24"/>
              </w:rPr>
              <w:t> </w:t>
            </w:r>
            <w:r w:rsidRPr="00E26EF6">
              <w:rPr>
                <w:rFonts w:ascii="Times New Roman" w:hAnsi="Times New Roman"/>
                <w:sz w:val="24"/>
              </w:rPr>
              <w:t>365 ust.</w:t>
            </w:r>
            <w:r w:rsidR="00023409" w:rsidRPr="00E26EF6">
              <w:rPr>
                <w:rFonts w:ascii="Times New Roman" w:hAnsi="Times New Roman"/>
                <w:sz w:val="24"/>
              </w:rPr>
              <w:t> </w:t>
            </w:r>
            <w:r w:rsidRPr="00E26EF6">
              <w:rPr>
                <w:rFonts w:ascii="Times New Roman" w:hAnsi="Times New Roman"/>
                <w:sz w:val="24"/>
              </w:rPr>
              <w:t xml:space="preserve">1 CRR </w:t>
            </w:r>
          </w:p>
          <w:p w14:paraId="5F8EB81F"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0D767B26" w14:textId="77777777" w:rsidTr="00672D2A">
        <w:tc>
          <w:tcPr>
            <w:tcW w:w="993" w:type="dxa"/>
          </w:tcPr>
          <w:p w14:paraId="3AE0BBEE"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050-060</w:t>
            </w:r>
          </w:p>
        </w:tc>
        <w:tc>
          <w:tcPr>
            <w:tcW w:w="7869" w:type="dxa"/>
          </w:tcPr>
          <w:p w14:paraId="5A96727A" w14:textId="0BE0D5BC"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Wartość zagrożona</w:t>
            </w:r>
            <w:r w:rsidR="00E26EF6" w:rsidRPr="00E26EF6">
              <w:rPr>
                <w:rFonts w:ascii="Times New Roman" w:hAnsi="Times New Roman"/>
                <w:b/>
                <w:bCs/>
                <w:sz w:val="24"/>
                <w:u w:val="single"/>
              </w:rPr>
              <w:t xml:space="preserve"> w war</w:t>
            </w:r>
            <w:r w:rsidRPr="00E26EF6">
              <w:rPr>
                <w:rFonts w:ascii="Times New Roman" w:hAnsi="Times New Roman"/>
                <w:b/>
                <w:bCs/>
                <w:sz w:val="24"/>
                <w:u w:val="single"/>
              </w:rPr>
              <w:t>unkach skrajnych</w:t>
            </w:r>
          </w:p>
          <w:p w14:paraId="58B28F88" w14:textId="77777777" w:rsidR="00915077" w:rsidRPr="00E26EF6" w:rsidRDefault="00915077">
            <w:pPr>
              <w:autoSpaceDE w:val="0"/>
              <w:autoSpaceDN w:val="0"/>
              <w:adjustRightInd w:val="0"/>
              <w:spacing w:before="0" w:after="0"/>
              <w:rPr>
                <w:rFonts w:ascii="Times New Roman" w:hAnsi="Times New Roman"/>
                <w:b/>
                <w:bCs/>
                <w:sz w:val="24"/>
                <w:u w:val="single"/>
              </w:rPr>
            </w:pPr>
          </w:p>
          <w:p w14:paraId="55392CBF" w14:textId="456194B9" w:rsidR="00915077" w:rsidRPr="00E26EF6" w:rsidRDefault="0016282F">
            <w:pPr>
              <w:autoSpaceDE w:val="0"/>
              <w:autoSpaceDN w:val="0"/>
              <w:adjustRightInd w:val="0"/>
              <w:spacing w:before="0"/>
              <w:rPr>
                <w:rFonts w:ascii="Times New Roman" w:hAnsi="Times New Roman"/>
                <w:sz w:val="24"/>
                <w:highlight w:val="lightGray"/>
              </w:rPr>
            </w:pPr>
            <w:r w:rsidRPr="00E26EF6">
              <w:rPr>
                <w:rFonts w:ascii="Times New Roman" w:hAnsi="Times New Roman"/>
                <w:sz w:val="24"/>
              </w:rPr>
              <w:t>Wartość zagrożona</w:t>
            </w:r>
            <w:r w:rsidR="00E26EF6" w:rsidRPr="00E26EF6">
              <w:rPr>
                <w:rFonts w:ascii="Times New Roman" w:hAnsi="Times New Roman"/>
                <w:sz w:val="24"/>
              </w:rPr>
              <w:t xml:space="preserve"> w war</w:t>
            </w:r>
            <w:r w:rsidRPr="00E26EF6">
              <w:rPr>
                <w:rFonts w:ascii="Times New Roman" w:hAnsi="Times New Roman"/>
                <w:sz w:val="24"/>
              </w:rPr>
              <w:t>unkach skrajnych oznacza maksymalną potencjalną stratę będącą wynikiem zmiany ceny</w:t>
            </w:r>
            <w:r w:rsidR="00E26EF6" w:rsidRPr="00E26EF6">
              <w:rPr>
                <w:rFonts w:ascii="Times New Roman" w:hAnsi="Times New Roman"/>
                <w:sz w:val="24"/>
              </w:rPr>
              <w:t xml:space="preserve"> z uwz</w:t>
            </w:r>
            <w:r w:rsidRPr="00E26EF6">
              <w:rPr>
                <w:rFonts w:ascii="Times New Roman" w:hAnsi="Times New Roman"/>
                <w:sz w:val="24"/>
              </w:rPr>
              <w:t>ględnieniem danego prawdopodobieństwa</w:t>
            </w:r>
            <w:r w:rsidR="00E26EF6" w:rsidRPr="00E26EF6">
              <w:rPr>
                <w:rFonts w:ascii="Times New Roman" w:hAnsi="Times New Roman"/>
                <w:sz w:val="24"/>
              </w:rPr>
              <w:t xml:space="preserve"> w okr</w:t>
            </w:r>
            <w:r w:rsidRPr="00E26EF6">
              <w:rPr>
                <w:rFonts w:ascii="Times New Roman" w:hAnsi="Times New Roman"/>
                <w:sz w:val="24"/>
              </w:rPr>
              <w:t>eślonym horyzoncie czasowym uzyskaną za pomocą danych skalibrowanych</w:t>
            </w:r>
            <w:r w:rsidR="00E26EF6" w:rsidRPr="00E26EF6">
              <w:rPr>
                <w:rFonts w:ascii="Times New Roman" w:hAnsi="Times New Roman"/>
                <w:sz w:val="24"/>
              </w:rPr>
              <w:t xml:space="preserve"> z dan</w:t>
            </w:r>
            <w:r w:rsidRPr="00E26EF6">
              <w:rPr>
                <w:rFonts w:ascii="Times New Roman" w:hAnsi="Times New Roman"/>
                <w:sz w:val="24"/>
              </w:rPr>
              <w:t>ymi historycznym pochodzącymi</w:t>
            </w:r>
            <w:r w:rsidR="00E26EF6" w:rsidRPr="00E26EF6">
              <w:rPr>
                <w:rFonts w:ascii="Times New Roman" w:hAnsi="Times New Roman"/>
                <w:sz w:val="24"/>
              </w:rPr>
              <w:t xml:space="preserve"> z cią</w:t>
            </w:r>
            <w:r w:rsidRPr="00E26EF6">
              <w:rPr>
                <w:rFonts w:ascii="Times New Roman" w:hAnsi="Times New Roman"/>
                <w:sz w:val="24"/>
              </w:rPr>
              <w:t>głego 12-miesięcznego okresu występowania skrajnych warunków finansowych mających znaczenie dla portfela instytucji.</w:t>
            </w:r>
          </w:p>
        </w:tc>
      </w:tr>
      <w:tr w:rsidR="00915077" w:rsidRPr="00E26EF6" w14:paraId="44735C81" w14:textId="77777777" w:rsidTr="00672D2A">
        <w:tc>
          <w:tcPr>
            <w:tcW w:w="993" w:type="dxa"/>
          </w:tcPr>
          <w:p w14:paraId="155F1987"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050</w:t>
            </w:r>
          </w:p>
        </w:tc>
        <w:tc>
          <w:tcPr>
            <w:tcW w:w="7869" w:type="dxa"/>
          </w:tcPr>
          <w:p w14:paraId="7C6316C6" w14:textId="7185AEE0"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Mnożnik (ms) x Średnia</w:t>
            </w:r>
            <w:r w:rsidR="00E26EF6" w:rsidRPr="00E26EF6">
              <w:rPr>
                <w:rFonts w:ascii="Times New Roman" w:hAnsi="Times New Roman"/>
                <w:b/>
                <w:bCs/>
                <w:sz w:val="24"/>
                <w:u w:val="single"/>
              </w:rPr>
              <w:t xml:space="preserve"> z pop</w:t>
            </w:r>
            <w:r w:rsidRPr="00E26EF6">
              <w:rPr>
                <w:rFonts w:ascii="Times New Roman" w:hAnsi="Times New Roman"/>
                <w:b/>
                <w:bCs/>
                <w:sz w:val="24"/>
                <w:u w:val="single"/>
              </w:rPr>
              <w:t>rzednich 60 dni roboczych (SVaRavg)</w:t>
            </w:r>
          </w:p>
          <w:p w14:paraId="006D95C1" w14:textId="77777777" w:rsidR="00915077" w:rsidRPr="00E26EF6" w:rsidRDefault="00915077">
            <w:pPr>
              <w:autoSpaceDE w:val="0"/>
              <w:autoSpaceDN w:val="0"/>
              <w:adjustRightInd w:val="0"/>
              <w:spacing w:before="0" w:after="0"/>
              <w:rPr>
                <w:rStyle w:val="InstructionsTabelleberschrift"/>
                <w:rFonts w:ascii="Times New Roman" w:hAnsi="Times New Roman"/>
                <w:sz w:val="24"/>
              </w:rPr>
            </w:pPr>
          </w:p>
          <w:p w14:paraId="0716CF47" w14:textId="098A75D4" w:rsidR="00915077" w:rsidRPr="00E26EF6" w:rsidRDefault="00705025">
            <w:pPr>
              <w:autoSpaceDE w:val="0"/>
              <w:autoSpaceDN w:val="0"/>
              <w:adjustRightInd w:val="0"/>
              <w:spacing w:before="0" w:after="0"/>
              <w:rPr>
                <w:rStyle w:val="InstructionsTabelleberschrift"/>
                <w:rFonts w:ascii="Times New Roman" w:hAnsi="Times New Roman"/>
                <w:b w:val="0"/>
                <w:bCs w:val="0"/>
                <w:sz w:val="24"/>
              </w:rPr>
            </w:pPr>
            <w:r w:rsidRPr="00E26EF6">
              <w:rPr>
                <w:rFonts w:ascii="Times New Roman" w:hAnsi="Times New Roman"/>
                <w:sz w:val="24"/>
              </w:rPr>
              <w:t>Art. 364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b) ppkt (ii) oraz art.</w:t>
            </w:r>
            <w:r w:rsidR="00023409" w:rsidRPr="00E26EF6">
              <w:rPr>
                <w:rFonts w:ascii="Times New Roman" w:hAnsi="Times New Roman"/>
                <w:sz w:val="24"/>
              </w:rPr>
              <w:t> </w:t>
            </w:r>
            <w:r w:rsidRPr="00E26EF6">
              <w:rPr>
                <w:rFonts w:ascii="Times New Roman" w:hAnsi="Times New Roman"/>
                <w:sz w:val="24"/>
              </w:rPr>
              <w:t>365 ust.</w:t>
            </w:r>
            <w:r w:rsidR="00023409" w:rsidRPr="00E26EF6">
              <w:rPr>
                <w:rFonts w:ascii="Times New Roman" w:hAnsi="Times New Roman"/>
                <w:sz w:val="24"/>
              </w:rPr>
              <w:t> </w:t>
            </w:r>
            <w:r w:rsidRPr="00E26EF6">
              <w:rPr>
                <w:rFonts w:ascii="Times New Roman" w:hAnsi="Times New Roman"/>
                <w:sz w:val="24"/>
              </w:rPr>
              <w:t>1 CRR</w:t>
            </w:r>
            <w:r w:rsidRPr="00E26EF6">
              <w:rPr>
                <w:rStyle w:val="InstructionsTabelleberschrift"/>
                <w:rFonts w:ascii="Times New Roman" w:hAnsi="Times New Roman"/>
                <w:bCs w:val="0"/>
                <w:sz w:val="24"/>
              </w:rPr>
              <w:t xml:space="preserve"> </w:t>
            </w:r>
          </w:p>
          <w:p w14:paraId="111A992F" w14:textId="77777777" w:rsidR="00915077" w:rsidRPr="00E26EF6" w:rsidRDefault="00915077">
            <w:pPr>
              <w:autoSpaceDE w:val="0"/>
              <w:autoSpaceDN w:val="0"/>
              <w:adjustRightInd w:val="0"/>
              <w:spacing w:before="0" w:after="0"/>
              <w:rPr>
                <w:rStyle w:val="InstructionsTabelleberschrift"/>
                <w:rFonts w:ascii="Times New Roman" w:hAnsi="Times New Roman"/>
                <w:sz w:val="24"/>
                <w:highlight w:val="lightGray"/>
              </w:rPr>
            </w:pPr>
          </w:p>
        </w:tc>
      </w:tr>
      <w:tr w:rsidR="00915077" w:rsidRPr="00E26EF6" w14:paraId="441907CA" w14:textId="77777777" w:rsidTr="00672D2A">
        <w:tc>
          <w:tcPr>
            <w:tcW w:w="993" w:type="dxa"/>
          </w:tcPr>
          <w:p w14:paraId="18B09A7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060</w:t>
            </w:r>
          </w:p>
        </w:tc>
        <w:tc>
          <w:tcPr>
            <w:tcW w:w="7869" w:type="dxa"/>
          </w:tcPr>
          <w:p w14:paraId="4A21AD7A"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Ostatnia dostępna (SVaRt-1)</w:t>
            </w:r>
          </w:p>
          <w:p w14:paraId="090905A7" w14:textId="77777777" w:rsidR="00915077" w:rsidRPr="00E26EF6" w:rsidRDefault="00915077">
            <w:pPr>
              <w:autoSpaceDE w:val="0"/>
              <w:autoSpaceDN w:val="0"/>
              <w:adjustRightInd w:val="0"/>
              <w:spacing w:before="0" w:after="0"/>
              <w:rPr>
                <w:rFonts w:ascii="Times New Roman" w:hAnsi="Times New Roman"/>
                <w:sz w:val="24"/>
              </w:rPr>
            </w:pPr>
          </w:p>
          <w:p w14:paraId="3A2A9376" w14:textId="2DD4D098" w:rsidR="00915077" w:rsidRPr="00E26EF6" w:rsidRDefault="00705025">
            <w:pPr>
              <w:autoSpaceDE w:val="0"/>
              <w:autoSpaceDN w:val="0"/>
              <w:adjustRightInd w:val="0"/>
              <w:spacing w:before="0" w:after="0"/>
              <w:rPr>
                <w:rFonts w:ascii="Times New Roman" w:hAnsi="Times New Roman"/>
                <w:sz w:val="24"/>
              </w:rPr>
            </w:pPr>
            <w:r w:rsidRPr="00E26EF6">
              <w:rPr>
                <w:rFonts w:ascii="Times New Roman" w:hAnsi="Times New Roman"/>
                <w:sz w:val="24"/>
              </w:rPr>
              <w:t>Art. 364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b) ppkt (i) oraz art.</w:t>
            </w:r>
            <w:r w:rsidR="00023409" w:rsidRPr="00E26EF6">
              <w:rPr>
                <w:rFonts w:ascii="Times New Roman" w:hAnsi="Times New Roman"/>
                <w:sz w:val="24"/>
              </w:rPr>
              <w:t> </w:t>
            </w:r>
            <w:r w:rsidRPr="00E26EF6">
              <w:rPr>
                <w:rFonts w:ascii="Times New Roman" w:hAnsi="Times New Roman"/>
                <w:sz w:val="24"/>
              </w:rPr>
              <w:t>365 ust.</w:t>
            </w:r>
            <w:r w:rsidR="00023409" w:rsidRPr="00E26EF6">
              <w:rPr>
                <w:rFonts w:ascii="Times New Roman" w:hAnsi="Times New Roman"/>
                <w:sz w:val="24"/>
              </w:rPr>
              <w:t> </w:t>
            </w:r>
            <w:r w:rsidRPr="00E26EF6">
              <w:rPr>
                <w:rFonts w:ascii="Times New Roman" w:hAnsi="Times New Roman"/>
                <w:sz w:val="24"/>
              </w:rPr>
              <w:t xml:space="preserve">1 CRR </w:t>
            </w:r>
          </w:p>
          <w:p w14:paraId="0E67EDC3"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53582240" w14:textId="77777777" w:rsidTr="00672D2A">
        <w:tc>
          <w:tcPr>
            <w:tcW w:w="993" w:type="dxa"/>
          </w:tcPr>
          <w:p w14:paraId="0F4CA1D5"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070-080</w:t>
            </w:r>
          </w:p>
        </w:tc>
        <w:tc>
          <w:tcPr>
            <w:tcW w:w="7869" w:type="dxa"/>
          </w:tcPr>
          <w:p w14:paraId="09E92CDE"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NARZUT KAPITAŁOWY Z TYTUŁU DODATKOWEGO RYZYKA NIEWYKONANIA ZOBOWIĄZAŃ I RYZYKA MIGRACJI</w:t>
            </w:r>
          </w:p>
          <w:p w14:paraId="4BA9FCE8" w14:textId="1A31F4EE" w:rsidR="00915077" w:rsidRPr="00E26EF6" w:rsidRDefault="0016282F">
            <w:pPr>
              <w:rPr>
                <w:rFonts w:ascii="Times New Roman" w:hAnsi="Times New Roman"/>
                <w:b/>
                <w:bCs/>
                <w:sz w:val="24"/>
                <w:highlight w:val="lightGray"/>
                <w:u w:val="single"/>
              </w:rPr>
            </w:pPr>
            <w:r w:rsidRPr="00E26EF6">
              <w:rPr>
                <w:rFonts w:ascii="Times New Roman" w:hAnsi="Times New Roman"/>
                <w:sz w:val="24"/>
              </w:rPr>
              <w:t>Narzut kapitałowy</w:t>
            </w:r>
            <w:r w:rsidR="00E26EF6" w:rsidRPr="00E26EF6">
              <w:rPr>
                <w:rFonts w:ascii="Times New Roman" w:hAnsi="Times New Roman"/>
                <w:sz w:val="24"/>
              </w:rPr>
              <w:t xml:space="preserve"> z tyt</w:t>
            </w:r>
            <w:r w:rsidRPr="00E26EF6">
              <w:rPr>
                <w:rFonts w:ascii="Times New Roman" w:hAnsi="Times New Roman"/>
                <w:sz w:val="24"/>
              </w:rPr>
              <w:t>ułu dodatkowego ryzyka niewykonania zobowiązań</w:t>
            </w:r>
            <w:r w:rsidR="00E26EF6" w:rsidRPr="00E26EF6">
              <w:rPr>
                <w:rFonts w:ascii="Times New Roman" w:hAnsi="Times New Roman"/>
                <w:sz w:val="24"/>
              </w:rPr>
              <w:t xml:space="preserve"> i ryz</w:t>
            </w:r>
            <w:r w:rsidRPr="00E26EF6">
              <w:rPr>
                <w:rFonts w:ascii="Times New Roman" w:hAnsi="Times New Roman"/>
                <w:sz w:val="24"/>
              </w:rPr>
              <w:t>yka migracji oznacza maksymalną potencjalną stratę będącą wynikiem zmiany ceny powiązaną</w:t>
            </w:r>
            <w:r w:rsidR="00E26EF6" w:rsidRPr="00E26EF6">
              <w:rPr>
                <w:rFonts w:ascii="Times New Roman" w:hAnsi="Times New Roman"/>
                <w:sz w:val="24"/>
              </w:rPr>
              <w:t xml:space="preserve"> z ryz</w:t>
            </w:r>
            <w:r w:rsidRPr="00E26EF6">
              <w:rPr>
                <w:rFonts w:ascii="Times New Roman" w:hAnsi="Times New Roman"/>
                <w:sz w:val="24"/>
              </w:rPr>
              <w:t>ykiem niewykonania zobowiązań</w:t>
            </w:r>
            <w:r w:rsidR="00E26EF6" w:rsidRPr="00E26EF6">
              <w:rPr>
                <w:rFonts w:ascii="Times New Roman" w:hAnsi="Times New Roman"/>
                <w:sz w:val="24"/>
              </w:rPr>
              <w:t xml:space="preserve"> i ryz</w:t>
            </w:r>
            <w:r w:rsidRPr="00E26EF6">
              <w:rPr>
                <w:rFonts w:ascii="Times New Roman" w:hAnsi="Times New Roman"/>
                <w:sz w:val="24"/>
              </w:rPr>
              <w:t>ykiem migracji obliczonym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364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czę</w:t>
            </w:r>
            <w:r w:rsidRPr="00E26EF6">
              <w:rPr>
                <w:rFonts w:ascii="Times New Roman" w:hAnsi="Times New Roman"/>
                <w:sz w:val="24"/>
              </w:rPr>
              <w:t xml:space="preserve">ścią trzecią tytuł IV rozdział 5 sekcja 4 CRR. </w:t>
            </w:r>
          </w:p>
        </w:tc>
      </w:tr>
      <w:tr w:rsidR="00915077" w:rsidRPr="00E26EF6" w14:paraId="23B42927" w14:textId="77777777" w:rsidTr="00672D2A">
        <w:tc>
          <w:tcPr>
            <w:tcW w:w="993" w:type="dxa"/>
          </w:tcPr>
          <w:p w14:paraId="7726E682"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070</w:t>
            </w:r>
          </w:p>
        </w:tc>
        <w:tc>
          <w:tcPr>
            <w:tcW w:w="7869" w:type="dxa"/>
          </w:tcPr>
          <w:p w14:paraId="2A6613B2" w14:textId="643AADCB"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Średnia wartość</w:t>
            </w:r>
            <w:r w:rsidR="00E26EF6" w:rsidRPr="00E26EF6">
              <w:rPr>
                <w:rFonts w:ascii="Times New Roman" w:hAnsi="Times New Roman"/>
                <w:b/>
                <w:bCs/>
                <w:sz w:val="24"/>
                <w:u w:val="single"/>
              </w:rPr>
              <w:t xml:space="preserve"> z 1</w:t>
            </w:r>
            <w:r w:rsidRPr="00E26EF6">
              <w:rPr>
                <w:rFonts w:ascii="Times New Roman" w:hAnsi="Times New Roman"/>
                <w:b/>
                <w:bCs/>
                <w:sz w:val="24"/>
                <w:u w:val="single"/>
              </w:rPr>
              <w:t>2 tygodni</w:t>
            </w:r>
          </w:p>
          <w:p w14:paraId="27A8D544" w14:textId="77777777" w:rsidR="00915077" w:rsidRPr="00E26EF6" w:rsidRDefault="00915077">
            <w:pPr>
              <w:autoSpaceDE w:val="0"/>
              <w:autoSpaceDN w:val="0"/>
              <w:adjustRightInd w:val="0"/>
              <w:spacing w:before="0" w:after="0"/>
              <w:rPr>
                <w:rFonts w:ascii="Times New Roman" w:hAnsi="Times New Roman"/>
                <w:sz w:val="24"/>
              </w:rPr>
            </w:pPr>
          </w:p>
          <w:p w14:paraId="130A4688" w14:textId="5A5E49FE" w:rsidR="00915077" w:rsidRPr="00E26EF6" w:rsidRDefault="00705025">
            <w:pPr>
              <w:autoSpaceDE w:val="0"/>
              <w:autoSpaceDN w:val="0"/>
              <w:adjustRightInd w:val="0"/>
              <w:spacing w:before="0" w:after="0"/>
              <w:rPr>
                <w:rFonts w:ascii="Times New Roman" w:hAnsi="Times New Roman"/>
                <w:sz w:val="24"/>
              </w:rPr>
            </w:pPr>
            <w:r w:rsidRPr="00E26EF6">
              <w:rPr>
                <w:rFonts w:ascii="Times New Roman" w:hAnsi="Times New Roman"/>
                <w:sz w:val="24"/>
              </w:rPr>
              <w:t>Art. 364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ppkt (ii)</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czę</w:t>
            </w:r>
            <w:r w:rsidRPr="00E26EF6">
              <w:rPr>
                <w:rFonts w:ascii="Times New Roman" w:hAnsi="Times New Roman"/>
                <w:sz w:val="24"/>
              </w:rPr>
              <w:t>ścią trzecią tytuł IV rozdział 5 sekcja 4 CRR</w:t>
            </w:r>
          </w:p>
          <w:p w14:paraId="223D4606"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3223CCB2" w14:textId="77777777" w:rsidTr="00672D2A">
        <w:tc>
          <w:tcPr>
            <w:tcW w:w="993" w:type="dxa"/>
          </w:tcPr>
          <w:p w14:paraId="519B6FE5"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lastRenderedPageBreak/>
              <w:t>080</w:t>
            </w:r>
          </w:p>
        </w:tc>
        <w:tc>
          <w:tcPr>
            <w:tcW w:w="7869" w:type="dxa"/>
          </w:tcPr>
          <w:p w14:paraId="53207CE8"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Ostatnia wartość</w:t>
            </w:r>
          </w:p>
          <w:p w14:paraId="2064AC85" w14:textId="77777777" w:rsidR="00915077" w:rsidRPr="00E26EF6" w:rsidRDefault="00915077">
            <w:pPr>
              <w:autoSpaceDE w:val="0"/>
              <w:autoSpaceDN w:val="0"/>
              <w:adjustRightInd w:val="0"/>
              <w:spacing w:before="0" w:after="0"/>
              <w:rPr>
                <w:rFonts w:ascii="Times New Roman" w:hAnsi="Times New Roman"/>
                <w:b/>
                <w:bCs/>
                <w:sz w:val="24"/>
                <w:u w:val="single"/>
              </w:rPr>
            </w:pPr>
          </w:p>
          <w:p w14:paraId="513B34CB" w14:textId="16442C59" w:rsidR="00915077" w:rsidRPr="00E26EF6" w:rsidRDefault="00705025">
            <w:pPr>
              <w:autoSpaceDE w:val="0"/>
              <w:autoSpaceDN w:val="0"/>
              <w:adjustRightInd w:val="0"/>
              <w:spacing w:before="0" w:after="0"/>
              <w:rPr>
                <w:rFonts w:ascii="Times New Roman" w:hAnsi="Times New Roman"/>
                <w:sz w:val="24"/>
              </w:rPr>
            </w:pPr>
            <w:r w:rsidRPr="00E26EF6">
              <w:rPr>
                <w:rFonts w:ascii="Times New Roman" w:hAnsi="Times New Roman"/>
                <w:sz w:val="24"/>
              </w:rPr>
              <w:t>Art. 364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ppkt (i)</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czę</w:t>
            </w:r>
            <w:r w:rsidRPr="00E26EF6">
              <w:rPr>
                <w:rFonts w:ascii="Times New Roman" w:hAnsi="Times New Roman"/>
                <w:sz w:val="24"/>
              </w:rPr>
              <w:t>ścią trzecią tytuł IV rozdział 5 sekcja 4 CRR</w:t>
            </w:r>
          </w:p>
          <w:p w14:paraId="67653EB6"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7B27507C" w14:textId="77777777" w:rsidTr="00672D2A">
        <w:tc>
          <w:tcPr>
            <w:tcW w:w="993" w:type="dxa"/>
          </w:tcPr>
          <w:p w14:paraId="227096D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090-110</w:t>
            </w:r>
          </w:p>
        </w:tc>
        <w:tc>
          <w:tcPr>
            <w:tcW w:w="7869" w:type="dxa"/>
          </w:tcPr>
          <w:p w14:paraId="545694B6"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WSZELKIE NARZUTY KAPITAŁOWE Z TYTUŁU RYZYKA ZMIANY CEN NA POTRZEBY KORELACYJNEGO PORTFELA HANDLOWEGO</w:t>
            </w:r>
          </w:p>
          <w:p w14:paraId="1893DA38"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219582DF" w14:textId="77777777" w:rsidTr="00672D2A">
        <w:tc>
          <w:tcPr>
            <w:tcW w:w="993" w:type="dxa"/>
          </w:tcPr>
          <w:p w14:paraId="2E47A374"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090</w:t>
            </w:r>
          </w:p>
        </w:tc>
        <w:tc>
          <w:tcPr>
            <w:tcW w:w="7869" w:type="dxa"/>
          </w:tcPr>
          <w:p w14:paraId="0D565D1B"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DOLNA GRANICA</w:t>
            </w:r>
          </w:p>
          <w:p w14:paraId="453E7E9E" w14:textId="0987DEA3" w:rsidR="00915077" w:rsidRPr="00E26EF6" w:rsidRDefault="00705025">
            <w:pPr>
              <w:rPr>
                <w:rFonts w:ascii="Times New Roman" w:hAnsi="Times New Roman"/>
                <w:sz w:val="24"/>
              </w:rPr>
            </w:pPr>
            <w:r w:rsidRPr="00E26EF6">
              <w:rPr>
                <w:rFonts w:ascii="Times New Roman" w:hAnsi="Times New Roman"/>
                <w:sz w:val="24"/>
              </w:rPr>
              <w:t>Art. 364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c) CRR</w:t>
            </w:r>
          </w:p>
          <w:p w14:paraId="098C5AE1" w14:textId="38F2D6D8"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sz w:val="24"/>
              </w:rPr>
              <w:t>= 8</w:t>
            </w:r>
            <w:r w:rsidR="00023409" w:rsidRPr="00E26EF6">
              <w:rPr>
                <w:rFonts w:ascii="Times New Roman" w:hAnsi="Times New Roman"/>
                <w:sz w:val="24"/>
              </w:rPr>
              <w:t> </w:t>
            </w:r>
            <w:r w:rsidRPr="00E26EF6">
              <w:rPr>
                <w:rFonts w:ascii="Times New Roman" w:hAnsi="Times New Roman"/>
                <w:sz w:val="24"/>
              </w:rPr>
              <w:t>% narzutu kapitałowego, który obliczono by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338 ust.</w:t>
            </w:r>
            <w:r w:rsidR="00023409" w:rsidRPr="00E26EF6">
              <w:rPr>
                <w:rFonts w:ascii="Times New Roman" w:hAnsi="Times New Roman"/>
                <w:sz w:val="24"/>
              </w:rPr>
              <w:t> </w:t>
            </w:r>
            <w:r w:rsidRPr="00E26EF6">
              <w:rPr>
                <w:rFonts w:ascii="Times New Roman" w:hAnsi="Times New Roman"/>
                <w:sz w:val="24"/>
              </w:rPr>
              <w:t>1 CRR dla wszystkich pozycji we „wszelkich narzutach kapitałowych</w:t>
            </w:r>
            <w:r w:rsidR="00E26EF6" w:rsidRPr="00E26EF6">
              <w:rPr>
                <w:rFonts w:ascii="Times New Roman" w:hAnsi="Times New Roman"/>
                <w:sz w:val="24"/>
              </w:rPr>
              <w:t xml:space="preserve"> z tyt</w:t>
            </w:r>
            <w:r w:rsidRPr="00E26EF6">
              <w:rPr>
                <w:rFonts w:ascii="Times New Roman" w:hAnsi="Times New Roman"/>
                <w:sz w:val="24"/>
              </w:rPr>
              <w:t>ułu ryzyka zmiany cen”.</w:t>
            </w:r>
            <w:r w:rsidRPr="00E26EF6">
              <w:rPr>
                <w:rFonts w:ascii="Times New Roman" w:hAnsi="Times New Roman"/>
                <w:b/>
                <w:bCs/>
                <w:sz w:val="24"/>
                <w:u w:val="single"/>
              </w:rPr>
              <w:t xml:space="preserve"> </w:t>
            </w:r>
          </w:p>
          <w:p w14:paraId="6887174B"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1D33B04F" w14:textId="77777777" w:rsidTr="00672D2A">
        <w:tc>
          <w:tcPr>
            <w:tcW w:w="993" w:type="dxa"/>
          </w:tcPr>
          <w:p w14:paraId="7FCA6AB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100-110</w:t>
            </w:r>
          </w:p>
        </w:tc>
        <w:tc>
          <w:tcPr>
            <w:tcW w:w="7869" w:type="dxa"/>
          </w:tcPr>
          <w:p w14:paraId="136C05A9"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ŚREDNIA WARTOŚĆ Z 12 TYGODNI I OSTATNIA WARTOŚĆ</w:t>
            </w:r>
          </w:p>
          <w:p w14:paraId="3221D387" w14:textId="77E18769" w:rsidR="00915077" w:rsidRPr="00E26EF6" w:rsidRDefault="00705025">
            <w:pPr>
              <w:autoSpaceDE w:val="0"/>
              <w:autoSpaceDN w:val="0"/>
              <w:adjustRightInd w:val="0"/>
              <w:spacing w:after="0"/>
              <w:rPr>
                <w:rFonts w:ascii="Times New Roman" w:hAnsi="Times New Roman"/>
                <w:bCs/>
                <w:sz w:val="24"/>
              </w:rPr>
            </w:pPr>
            <w:r w:rsidRPr="00E26EF6">
              <w:rPr>
                <w:rFonts w:ascii="Times New Roman" w:hAnsi="Times New Roman"/>
                <w:bCs/>
                <w:sz w:val="24"/>
              </w:rPr>
              <w:t>Art. 364 ust.</w:t>
            </w:r>
            <w:r w:rsidR="00023409" w:rsidRPr="00E26EF6">
              <w:rPr>
                <w:rFonts w:ascii="Times New Roman" w:hAnsi="Times New Roman"/>
                <w:bCs/>
                <w:sz w:val="24"/>
              </w:rPr>
              <w:t> </w:t>
            </w:r>
            <w:r w:rsidRPr="00E26EF6">
              <w:rPr>
                <w:rFonts w:ascii="Times New Roman" w:hAnsi="Times New Roman"/>
                <w:bCs/>
                <w:sz w:val="24"/>
              </w:rPr>
              <w:t>3 lit.</w:t>
            </w:r>
            <w:r w:rsidR="00023409" w:rsidRPr="00E26EF6">
              <w:rPr>
                <w:rFonts w:ascii="Times New Roman" w:hAnsi="Times New Roman"/>
                <w:bCs/>
                <w:sz w:val="24"/>
              </w:rPr>
              <w:t> </w:t>
            </w:r>
            <w:r w:rsidRPr="00E26EF6">
              <w:rPr>
                <w:rFonts w:ascii="Times New Roman" w:hAnsi="Times New Roman"/>
                <w:bCs/>
                <w:sz w:val="24"/>
              </w:rPr>
              <w:t>b) CRR</w:t>
            </w:r>
          </w:p>
          <w:p w14:paraId="56BC9F2F" w14:textId="77777777" w:rsidR="00915077" w:rsidRPr="00E26EF6" w:rsidRDefault="00915077">
            <w:pPr>
              <w:autoSpaceDE w:val="0"/>
              <w:autoSpaceDN w:val="0"/>
              <w:adjustRightInd w:val="0"/>
              <w:spacing w:before="0" w:after="0"/>
              <w:rPr>
                <w:rFonts w:ascii="Times New Roman" w:hAnsi="Times New Roman"/>
                <w:bCs/>
                <w:sz w:val="24"/>
                <w:highlight w:val="lightGray"/>
                <w:u w:val="single"/>
              </w:rPr>
            </w:pPr>
          </w:p>
        </w:tc>
      </w:tr>
      <w:tr w:rsidR="00915077" w:rsidRPr="00E26EF6" w14:paraId="75D9D0FC" w14:textId="77777777" w:rsidTr="00672D2A">
        <w:tc>
          <w:tcPr>
            <w:tcW w:w="993" w:type="dxa"/>
          </w:tcPr>
          <w:p w14:paraId="62FF7F3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110</w:t>
            </w:r>
          </w:p>
        </w:tc>
        <w:tc>
          <w:tcPr>
            <w:tcW w:w="7869" w:type="dxa"/>
          </w:tcPr>
          <w:p w14:paraId="7EBF795A" w14:textId="77777777" w:rsidR="00915077" w:rsidRPr="00E26EF6" w:rsidRDefault="000B0B09">
            <w:pPr>
              <w:autoSpaceDE w:val="0"/>
              <w:autoSpaceDN w:val="0"/>
              <w:adjustRightInd w:val="0"/>
              <w:spacing w:before="0"/>
              <w:rPr>
                <w:rFonts w:ascii="Times New Roman" w:hAnsi="Times New Roman"/>
                <w:b/>
                <w:bCs/>
                <w:sz w:val="24"/>
                <w:u w:val="single"/>
              </w:rPr>
            </w:pPr>
            <w:r w:rsidRPr="00E26EF6">
              <w:rPr>
                <w:rFonts w:ascii="Times New Roman" w:hAnsi="Times New Roman"/>
                <w:b/>
                <w:bCs/>
                <w:sz w:val="24"/>
                <w:u w:val="single"/>
              </w:rPr>
              <w:t>OSTATNIA WARTOŚĆ</w:t>
            </w:r>
          </w:p>
          <w:p w14:paraId="08ADC411" w14:textId="0BFD3917" w:rsidR="00915077" w:rsidRPr="00E26EF6" w:rsidRDefault="00705025">
            <w:pPr>
              <w:autoSpaceDE w:val="0"/>
              <w:autoSpaceDN w:val="0"/>
              <w:adjustRightInd w:val="0"/>
              <w:spacing w:before="0" w:after="0"/>
              <w:rPr>
                <w:rFonts w:ascii="Times New Roman" w:hAnsi="Times New Roman"/>
                <w:bCs/>
                <w:sz w:val="24"/>
              </w:rPr>
            </w:pPr>
            <w:r w:rsidRPr="00E26EF6">
              <w:rPr>
                <w:rFonts w:ascii="Times New Roman" w:hAnsi="Times New Roman"/>
                <w:bCs/>
                <w:sz w:val="24"/>
              </w:rPr>
              <w:t>Art. 364 ust.</w:t>
            </w:r>
            <w:r w:rsidR="00023409" w:rsidRPr="00E26EF6">
              <w:rPr>
                <w:rFonts w:ascii="Times New Roman" w:hAnsi="Times New Roman"/>
                <w:bCs/>
                <w:sz w:val="24"/>
              </w:rPr>
              <w:t> </w:t>
            </w:r>
            <w:r w:rsidRPr="00E26EF6">
              <w:rPr>
                <w:rFonts w:ascii="Times New Roman" w:hAnsi="Times New Roman"/>
                <w:bCs/>
                <w:sz w:val="24"/>
              </w:rPr>
              <w:t>3 lit.</w:t>
            </w:r>
            <w:r w:rsidR="00023409" w:rsidRPr="00E26EF6">
              <w:rPr>
                <w:rFonts w:ascii="Times New Roman" w:hAnsi="Times New Roman"/>
                <w:bCs/>
                <w:sz w:val="24"/>
              </w:rPr>
              <w:t> </w:t>
            </w:r>
            <w:r w:rsidRPr="00E26EF6">
              <w:rPr>
                <w:rFonts w:ascii="Times New Roman" w:hAnsi="Times New Roman"/>
                <w:bCs/>
                <w:sz w:val="24"/>
              </w:rPr>
              <w:t>a) CRR</w:t>
            </w:r>
          </w:p>
          <w:p w14:paraId="0BF29F66"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07E3D7C2" w14:textId="77777777" w:rsidTr="00672D2A">
        <w:tc>
          <w:tcPr>
            <w:tcW w:w="993" w:type="dxa"/>
          </w:tcPr>
          <w:p w14:paraId="403357F2"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120</w:t>
            </w:r>
          </w:p>
        </w:tc>
        <w:tc>
          <w:tcPr>
            <w:tcW w:w="7869" w:type="dxa"/>
          </w:tcPr>
          <w:p w14:paraId="0CC1B742"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WYMOGI W ZAKRESIE FUNDUSZY WŁASNYCH</w:t>
            </w:r>
          </w:p>
          <w:p w14:paraId="7F695B63" w14:textId="0EED4568" w:rsidR="00915077" w:rsidRPr="00E26EF6" w:rsidRDefault="00BE0363">
            <w:pPr>
              <w:autoSpaceDE w:val="0"/>
              <w:autoSpaceDN w:val="0"/>
              <w:adjustRightInd w:val="0"/>
              <w:rPr>
                <w:rFonts w:ascii="Times New Roman" w:hAnsi="Times New Roman"/>
                <w:b/>
                <w:bCs/>
                <w:sz w:val="24"/>
                <w:highlight w:val="lightGray"/>
                <w:u w:val="single"/>
              </w:rPr>
            </w:pPr>
            <w:r w:rsidRPr="00E26EF6">
              <w:rPr>
                <w:rFonts w:ascii="Times New Roman" w:hAnsi="Times New Roman"/>
                <w:bCs/>
                <w:sz w:val="24"/>
              </w:rPr>
              <w:t>Wymogi</w:t>
            </w:r>
            <w:r w:rsidR="00E26EF6" w:rsidRPr="00E26EF6">
              <w:rPr>
                <w:rFonts w:ascii="Times New Roman" w:hAnsi="Times New Roman"/>
                <w:bCs/>
                <w:sz w:val="24"/>
              </w:rPr>
              <w:t xml:space="preserve"> w zak</w:t>
            </w:r>
            <w:r w:rsidRPr="00E26EF6">
              <w:rPr>
                <w:rFonts w:ascii="Times New Roman" w:hAnsi="Times New Roman"/>
                <w:bCs/>
                <w:sz w:val="24"/>
              </w:rPr>
              <w:t>resie funduszy własnych</w:t>
            </w:r>
            <w:r w:rsidRPr="00E26EF6">
              <w:rPr>
                <w:rFonts w:ascii="Times New Roman" w:hAnsi="Times New Roman"/>
                <w:sz w:val="24"/>
              </w:rPr>
              <w:t>,</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364 CRR dotyczącym wszystkich czynników ryzyka uwzględniających skutki korelacji, jeżeli dotyczy, oraz dodatkowe ryzyko niewykonania zobowiązań</w:t>
            </w:r>
            <w:r w:rsidR="00E26EF6" w:rsidRPr="00E26EF6">
              <w:rPr>
                <w:rFonts w:ascii="Times New Roman" w:hAnsi="Times New Roman"/>
                <w:sz w:val="24"/>
              </w:rPr>
              <w:t xml:space="preserve"> i ryz</w:t>
            </w:r>
            <w:r w:rsidRPr="00E26EF6">
              <w:rPr>
                <w:rFonts w:ascii="Times New Roman" w:hAnsi="Times New Roman"/>
                <w:sz w:val="24"/>
              </w:rPr>
              <w:t>yko migracji,</w:t>
            </w:r>
            <w:r w:rsidR="00E26EF6" w:rsidRPr="00E26EF6">
              <w:rPr>
                <w:rFonts w:ascii="Times New Roman" w:hAnsi="Times New Roman"/>
                <w:sz w:val="24"/>
              </w:rPr>
              <w:t xml:space="preserve"> a tak</w:t>
            </w:r>
            <w:r w:rsidRPr="00E26EF6">
              <w:rPr>
                <w:rFonts w:ascii="Times New Roman" w:hAnsi="Times New Roman"/>
                <w:sz w:val="24"/>
              </w:rPr>
              <w:t>że wszelkie ryzyko zmiany cen na potrzeby korelacyjnego portfela handlowego, ale</w:t>
            </w:r>
            <w:r w:rsidR="00E26EF6" w:rsidRPr="00E26EF6">
              <w:rPr>
                <w:rFonts w:ascii="Times New Roman" w:hAnsi="Times New Roman"/>
                <w:sz w:val="24"/>
              </w:rPr>
              <w:t xml:space="preserve"> z wyj</w:t>
            </w:r>
            <w:r w:rsidRPr="00E26EF6">
              <w:rPr>
                <w:rFonts w:ascii="Times New Roman" w:hAnsi="Times New Roman"/>
                <w:sz w:val="24"/>
              </w:rPr>
              <w:t>ątkiem narzutów kapitałowych</w:t>
            </w:r>
            <w:r w:rsidR="00E26EF6" w:rsidRPr="00E26EF6">
              <w:rPr>
                <w:rFonts w:ascii="Times New Roman" w:hAnsi="Times New Roman"/>
                <w:sz w:val="24"/>
              </w:rPr>
              <w:t xml:space="preserve"> z tyt</w:t>
            </w:r>
            <w:r w:rsidRPr="00E26EF6">
              <w:rPr>
                <w:rFonts w:ascii="Times New Roman" w:hAnsi="Times New Roman"/>
                <w:sz w:val="24"/>
              </w:rPr>
              <w:t>ułu sekurytyzacji</w:t>
            </w:r>
            <w:r w:rsidR="00E26EF6" w:rsidRPr="00E26EF6">
              <w:rPr>
                <w:rFonts w:ascii="Times New Roman" w:hAnsi="Times New Roman"/>
                <w:sz w:val="24"/>
              </w:rPr>
              <w:t xml:space="preserve"> w odn</w:t>
            </w:r>
            <w:r w:rsidRPr="00E26EF6">
              <w:rPr>
                <w:rFonts w:ascii="Times New Roman" w:hAnsi="Times New Roman"/>
                <w:sz w:val="24"/>
              </w:rPr>
              <w:t>iesieniu do sekurytyzacji</w:t>
            </w:r>
            <w:r w:rsidR="00E26EF6" w:rsidRPr="00E26EF6">
              <w:rPr>
                <w:rFonts w:ascii="Times New Roman" w:hAnsi="Times New Roman"/>
                <w:sz w:val="24"/>
              </w:rPr>
              <w:t xml:space="preserve"> i kre</w:t>
            </w:r>
            <w:r w:rsidRPr="00E26EF6">
              <w:rPr>
                <w:rFonts w:ascii="Times New Roman" w:hAnsi="Times New Roman"/>
                <w:sz w:val="24"/>
              </w:rPr>
              <w:t>dytowego instrumentu pochodnego uruchamianego n-tym niewykonaniem zobowiązania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364 ust.</w:t>
            </w:r>
            <w:r w:rsidR="00023409" w:rsidRPr="00E26EF6">
              <w:rPr>
                <w:rFonts w:ascii="Times New Roman" w:hAnsi="Times New Roman"/>
                <w:sz w:val="24"/>
              </w:rPr>
              <w:t> </w:t>
            </w:r>
            <w:r w:rsidRPr="00E26EF6">
              <w:rPr>
                <w:rFonts w:ascii="Times New Roman" w:hAnsi="Times New Roman"/>
                <w:sz w:val="24"/>
              </w:rPr>
              <w:t xml:space="preserve">2 CRR </w:t>
            </w:r>
          </w:p>
        </w:tc>
      </w:tr>
      <w:tr w:rsidR="00915077" w:rsidRPr="00E26EF6" w14:paraId="5330A5E6" w14:textId="77777777" w:rsidTr="00672D2A">
        <w:tc>
          <w:tcPr>
            <w:tcW w:w="993" w:type="dxa"/>
          </w:tcPr>
          <w:p w14:paraId="4AD8EB71"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130</w:t>
            </w:r>
          </w:p>
        </w:tc>
        <w:tc>
          <w:tcPr>
            <w:tcW w:w="7869" w:type="dxa"/>
          </w:tcPr>
          <w:p w14:paraId="7ECD3034"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ŁĄCZNA KWOTA EKSPOZYCJI NA RYZYKO</w:t>
            </w:r>
          </w:p>
          <w:p w14:paraId="20BF3926" w14:textId="77777777" w:rsidR="00915077" w:rsidRPr="00E26EF6" w:rsidRDefault="00915077">
            <w:pPr>
              <w:autoSpaceDE w:val="0"/>
              <w:autoSpaceDN w:val="0"/>
              <w:adjustRightInd w:val="0"/>
              <w:spacing w:before="0" w:after="0"/>
              <w:rPr>
                <w:rFonts w:ascii="Times New Roman" w:hAnsi="Times New Roman"/>
                <w:b/>
                <w:bCs/>
                <w:sz w:val="24"/>
                <w:u w:val="single"/>
              </w:rPr>
            </w:pPr>
          </w:p>
          <w:p w14:paraId="63001CD4" w14:textId="15BFFB8F" w:rsidR="00915077" w:rsidRPr="00E26EF6" w:rsidRDefault="00D21B29">
            <w:pPr>
              <w:autoSpaceDE w:val="0"/>
              <w:autoSpaceDN w:val="0"/>
              <w:adjustRightInd w:val="0"/>
              <w:spacing w:before="0" w:after="0"/>
              <w:rPr>
                <w:rFonts w:ascii="Times New Roman" w:hAnsi="Times New Roman"/>
                <w:sz w:val="24"/>
              </w:rPr>
            </w:pPr>
            <w:r w:rsidRPr="00E26EF6">
              <w:rPr>
                <w:rFonts w:ascii="Times New Roman" w:hAnsi="Times New Roman"/>
                <w:sz w:val="24"/>
              </w:rPr>
              <w:t>Art. 92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 xml:space="preserve">b) CRR. </w:t>
            </w:r>
          </w:p>
          <w:p w14:paraId="165EC96F" w14:textId="11D58D8C"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Wynik pomnożenia wymogów</w:t>
            </w:r>
            <w:r w:rsidR="00E26EF6" w:rsidRPr="00E26EF6">
              <w:rPr>
                <w:rFonts w:ascii="Times New Roman" w:hAnsi="Times New Roman"/>
                <w:sz w:val="24"/>
              </w:rPr>
              <w:t xml:space="preserve"> w zak</w:t>
            </w:r>
            <w:r w:rsidRPr="00E26EF6">
              <w:rPr>
                <w:rFonts w:ascii="Times New Roman" w:hAnsi="Times New Roman"/>
                <w:sz w:val="24"/>
              </w:rPr>
              <w:t>resie funduszy własnych przez 12,5</w:t>
            </w:r>
          </w:p>
          <w:p w14:paraId="4D6267B0"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1A4AC48C" w14:textId="77777777" w:rsidTr="00672D2A">
        <w:tc>
          <w:tcPr>
            <w:tcW w:w="993" w:type="dxa"/>
          </w:tcPr>
          <w:p w14:paraId="0C595607"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140</w:t>
            </w:r>
          </w:p>
        </w:tc>
        <w:tc>
          <w:tcPr>
            <w:tcW w:w="7869" w:type="dxa"/>
          </w:tcPr>
          <w:p w14:paraId="5A460C7B" w14:textId="0EE80CCC" w:rsidR="00915077" w:rsidRPr="00E26EF6" w:rsidRDefault="000B0B09">
            <w:pPr>
              <w:autoSpaceDE w:val="0"/>
              <w:autoSpaceDN w:val="0"/>
              <w:adjustRightInd w:val="0"/>
              <w:spacing w:before="0"/>
              <w:rPr>
                <w:rFonts w:ascii="Times New Roman" w:hAnsi="Times New Roman"/>
                <w:b/>
                <w:bCs/>
                <w:sz w:val="24"/>
                <w:u w:val="single"/>
              </w:rPr>
            </w:pPr>
            <w:r w:rsidRPr="00E26EF6">
              <w:rPr>
                <w:rFonts w:ascii="Times New Roman" w:hAnsi="Times New Roman"/>
                <w:b/>
                <w:bCs/>
                <w:sz w:val="24"/>
                <w:u w:val="single"/>
              </w:rPr>
              <w:t>Liczba przekroczeń</w:t>
            </w:r>
            <w:r w:rsidR="00E26EF6" w:rsidRPr="00E26EF6">
              <w:rPr>
                <w:rFonts w:ascii="Times New Roman" w:hAnsi="Times New Roman"/>
                <w:b/>
                <w:bCs/>
                <w:sz w:val="24"/>
                <w:u w:val="single"/>
              </w:rPr>
              <w:t xml:space="preserve"> w cią</w:t>
            </w:r>
            <w:r w:rsidRPr="00E26EF6">
              <w:rPr>
                <w:rFonts w:ascii="Times New Roman" w:hAnsi="Times New Roman"/>
                <w:b/>
                <w:bCs/>
                <w:sz w:val="24"/>
                <w:u w:val="single"/>
              </w:rPr>
              <w:t>gu ostatnich 250 dni roboczych</w:t>
            </w:r>
          </w:p>
          <w:p w14:paraId="5EA690D5" w14:textId="6310318D" w:rsidR="00915077" w:rsidRPr="00E26EF6" w:rsidRDefault="000B0B09">
            <w:pPr>
              <w:autoSpaceDE w:val="0"/>
              <w:autoSpaceDN w:val="0"/>
              <w:adjustRightInd w:val="0"/>
              <w:spacing w:before="0"/>
              <w:rPr>
                <w:rFonts w:ascii="Times New Roman" w:hAnsi="Times New Roman"/>
                <w:sz w:val="24"/>
              </w:rPr>
            </w:pPr>
            <w:r w:rsidRPr="00E26EF6">
              <w:rPr>
                <w:rFonts w:ascii="Times New Roman" w:hAnsi="Times New Roman"/>
                <w:sz w:val="24"/>
              </w:rPr>
              <w:t>Jest</w:t>
            </w:r>
            <w:r w:rsidR="00E26EF6" w:rsidRPr="00E26EF6">
              <w:rPr>
                <w:rFonts w:ascii="Times New Roman" w:hAnsi="Times New Roman"/>
                <w:sz w:val="24"/>
              </w:rPr>
              <w:t xml:space="preserve"> o nie</w:t>
            </w:r>
            <w:r w:rsidRPr="00E26EF6">
              <w:rPr>
                <w:rFonts w:ascii="Times New Roman" w:hAnsi="Times New Roman"/>
                <w:sz w:val="24"/>
              </w:rPr>
              <w:t>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366 CRR</w:t>
            </w:r>
          </w:p>
          <w:p w14:paraId="58323C93" w14:textId="4931FFF5" w:rsidR="00915077" w:rsidRPr="00E26EF6" w:rsidRDefault="00A92CFF">
            <w:pPr>
              <w:autoSpaceDE w:val="0"/>
              <w:autoSpaceDN w:val="0"/>
              <w:adjustRightInd w:val="0"/>
              <w:spacing w:before="0"/>
              <w:rPr>
                <w:rFonts w:ascii="Times New Roman" w:hAnsi="Times New Roman"/>
                <w:b/>
                <w:bCs/>
                <w:sz w:val="24"/>
                <w:highlight w:val="lightGray"/>
                <w:u w:val="single"/>
              </w:rPr>
            </w:pPr>
            <w:r w:rsidRPr="00E26EF6">
              <w:rPr>
                <w:rFonts w:ascii="Times New Roman" w:hAnsi="Times New Roman"/>
                <w:sz w:val="24"/>
              </w:rPr>
              <w:t>Zgłasza się liczbę przekroczeń,</w:t>
            </w:r>
            <w:r w:rsidR="00E26EF6" w:rsidRPr="00E26EF6">
              <w:rPr>
                <w:rFonts w:ascii="Times New Roman" w:hAnsi="Times New Roman"/>
                <w:sz w:val="24"/>
              </w:rPr>
              <w:t xml:space="preserve"> w opa</w:t>
            </w:r>
            <w:r w:rsidRPr="00E26EF6">
              <w:rPr>
                <w:rFonts w:ascii="Times New Roman" w:hAnsi="Times New Roman"/>
                <w:sz w:val="24"/>
              </w:rPr>
              <w:t>rciu</w:t>
            </w:r>
            <w:r w:rsidR="00E26EF6" w:rsidRPr="00E26EF6">
              <w:rPr>
                <w:rFonts w:ascii="Times New Roman" w:hAnsi="Times New Roman"/>
                <w:sz w:val="24"/>
              </w:rPr>
              <w:t xml:space="preserve"> o któ</w:t>
            </w:r>
            <w:r w:rsidRPr="00E26EF6">
              <w:rPr>
                <w:rFonts w:ascii="Times New Roman" w:hAnsi="Times New Roman"/>
                <w:sz w:val="24"/>
              </w:rPr>
              <w:t>rą wyznacza się dodajnik.</w:t>
            </w:r>
          </w:p>
        </w:tc>
      </w:tr>
      <w:tr w:rsidR="00915077" w:rsidRPr="00E26EF6" w14:paraId="4A919894" w14:textId="77777777" w:rsidTr="00672D2A">
        <w:tc>
          <w:tcPr>
            <w:tcW w:w="993" w:type="dxa"/>
          </w:tcPr>
          <w:p w14:paraId="4162ECFA"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150-160</w:t>
            </w:r>
          </w:p>
        </w:tc>
        <w:tc>
          <w:tcPr>
            <w:tcW w:w="7869" w:type="dxa"/>
          </w:tcPr>
          <w:p w14:paraId="0B29FC8E" w14:textId="31CDFADE" w:rsidR="00915077" w:rsidRPr="00E26EF6" w:rsidRDefault="000B0B09">
            <w:pPr>
              <w:autoSpaceDE w:val="0"/>
              <w:autoSpaceDN w:val="0"/>
              <w:adjustRightInd w:val="0"/>
              <w:spacing w:before="0"/>
              <w:rPr>
                <w:rFonts w:ascii="Times New Roman" w:hAnsi="Times New Roman"/>
                <w:b/>
                <w:bCs/>
                <w:sz w:val="24"/>
                <w:u w:val="single"/>
              </w:rPr>
            </w:pPr>
            <w:r w:rsidRPr="00E26EF6">
              <w:rPr>
                <w:rFonts w:ascii="Times New Roman" w:hAnsi="Times New Roman"/>
                <w:b/>
                <w:bCs/>
                <w:sz w:val="24"/>
                <w:u w:val="single"/>
              </w:rPr>
              <w:t>Mnożnik wartości zagrożonej (mc)</w:t>
            </w:r>
            <w:r w:rsidR="00E26EF6" w:rsidRPr="00E26EF6">
              <w:rPr>
                <w:rFonts w:ascii="Times New Roman" w:hAnsi="Times New Roman"/>
                <w:b/>
                <w:bCs/>
                <w:sz w:val="24"/>
                <w:u w:val="single"/>
              </w:rPr>
              <w:t xml:space="preserve"> i mno</w:t>
            </w:r>
            <w:r w:rsidRPr="00E26EF6">
              <w:rPr>
                <w:rFonts w:ascii="Times New Roman" w:hAnsi="Times New Roman"/>
                <w:b/>
                <w:bCs/>
                <w:sz w:val="24"/>
                <w:u w:val="single"/>
              </w:rPr>
              <w:t>żnik wartości zagrożonej</w:t>
            </w:r>
            <w:r w:rsidR="00E26EF6" w:rsidRPr="00E26EF6">
              <w:rPr>
                <w:rFonts w:ascii="Times New Roman" w:hAnsi="Times New Roman"/>
                <w:b/>
                <w:bCs/>
                <w:sz w:val="24"/>
                <w:u w:val="single"/>
              </w:rPr>
              <w:t xml:space="preserve"> w war</w:t>
            </w:r>
            <w:r w:rsidRPr="00E26EF6">
              <w:rPr>
                <w:rFonts w:ascii="Times New Roman" w:hAnsi="Times New Roman"/>
                <w:b/>
                <w:bCs/>
                <w:sz w:val="24"/>
                <w:u w:val="single"/>
              </w:rPr>
              <w:t>unkach skrajnych (ms)</w:t>
            </w:r>
          </w:p>
          <w:p w14:paraId="47255413" w14:textId="057F8F71" w:rsidR="00915077" w:rsidRPr="00E26EF6" w:rsidRDefault="000B0B09">
            <w:pPr>
              <w:autoSpaceDE w:val="0"/>
              <w:autoSpaceDN w:val="0"/>
              <w:adjustRightInd w:val="0"/>
              <w:spacing w:before="0" w:after="0"/>
              <w:rPr>
                <w:rStyle w:val="InstructionsTabelleberschrift"/>
                <w:sz w:val="24"/>
              </w:rPr>
            </w:pPr>
            <w:r w:rsidRPr="00E26EF6">
              <w:rPr>
                <w:rFonts w:ascii="Times New Roman" w:hAnsi="Times New Roman"/>
                <w:sz w:val="24"/>
              </w:rPr>
              <w:t>Jest</w:t>
            </w:r>
            <w:r w:rsidR="00E26EF6" w:rsidRPr="00E26EF6">
              <w:rPr>
                <w:rFonts w:ascii="Times New Roman" w:hAnsi="Times New Roman"/>
                <w:sz w:val="24"/>
              </w:rPr>
              <w:t xml:space="preserve"> o nic</w:t>
            </w:r>
            <w:r w:rsidRPr="00E26EF6">
              <w:rPr>
                <w:rFonts w:ascii="Times New Roman" w:hAnsi="Times New Roman"/>
                <w:sz w:val="24"/>
              </w:rPr>
              <w:t>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366 CRR</w:t>
            </w:r>
          </w:p>
          <w:p w14:paraId="594BC356"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40219790" w14:textId="77777777" w:rsidTr="00672D2A">
        <w:tc>
          <w:tcPr>
            <w:tcW w:w="993" w:type="dxa"/>
          </w:tcPr>
          <w:p w14:paraId="4E97338A"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170-180</w:t>
            </w:r>
          </w:p>
        </w:tc>
        <w:tc>
          <w:tcPr>
            <w:tcW w:w="7869" w:type="dxa"/>
          </w:tcPr>
          <w:p w14:paraId="19A123CE"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NARZUT USTANOWIONY DLA DOLNEJ GRANICY KORELACYJNEGO PORTFELA HANDLOWEGO – WAŻONE POZYCJE DŁUGIE/KRÓTKIE NETTO PO UWZGLĘDNIENIU PUŁAPU</w:t>
            </w:r>
          </w:p>
          <w:p w14:paraId="421F26D5" w14:textId="1E17FC27" w:rsidR="00915077" w:rsidRPr="00E26EF6" w:rsidRDefault="000B0B09">
            <w:pPr>
              <w:autoSpaceDE w:val="0"/>
              <w:autoSpaceDN w:val="0"/>
              <w:adjustRightInd w:val="0"/>
              <w:rPr>
                <w:rStyle w:val="InstructionsTabelleberschrift"/>
                <w:rFonts w:ascii="Times New Roman" w:hAnsi="Times New Roman"/>
                <w:sz w:val="24"/>
              </w:rPr>
            </w:pPr>
            <w:r w:rsidRPr="00E26EF6">
              <w:rPr>
                <w:rFonts w:ascii="Times New Roman" w:hAnsi="Times New Roman"/>
                <w:sz w:val="24"/>
              </w:rPr>
              <w:t>Zgłoszona kwota, która służy jako podstawa do obliczenia dolnej granicy narzutu kapitałowego dla wszelkiego ryzyka zmiany cen zgodnie</w:t>
            </w:r>
            <w:r w:rsidR="00E26EF6" w:rsidRPr="00E26EF6">
              <w:rPr>
                <w:rFonts w:ascii="Times New Roman" w:hAnsi="Times New Roman"/>
                <w:sz w:val="24"/>
              </w:rPr>
              <w:t xml:space="preserve"> z </w:t>
            </w:r>
            <w:r w:rsidR="00E26EF6" w:rsidRPr="00E26EF6">
              <w:rPr>
                <w:rFonts w:ascii="Times New Roman" w:hAnsi="Times New Roman"/>
                <w:bCs/>
                <w:sz w:val="24"/>
              </w:rPr>
              <w:t>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364 ust.</w:t>
            </w:r>
            <w:r w:rsidR="00023409" w:rsidRPr="00E26EF6">
              <w:rPr>
                <w:rFonts w:ascii="Times New Roman" w:hAnsi="Times New Roman"/>
                <w:bCs/>
                <w:sz w:val="24"/>
              </w:rPr>
              <w:t> </w:t>
            </w:r>
            <w:r w:rsidRPr="00E26EF6">
              <w:rPr>
                <w:rFonts w:ascii="Times New Roman" w:hAnsi="Times New Roman"/>
                <w:bCs/>
                <w:sz w:val="24"/>
              </w:rPr>
              <w:t>3 lit.</w:t>
            </w:r>
            <w:r w:rsidR="00023409" w:rsidRPr="00E26EF6">
              <w:rPr>
                <w:rFonts w:ascii="Times New Roman" w:hAnsi="Times New Roman"/>
                <w:bCs/>
                <w:sz w:val="24"/>
              </w:rPr>
              <w:t> </w:t>
            </w:r>
            <w:r w:rsidRPr="00E26EF6">
              <w:rPr>
                <w:rFonts w:ascii="Times New Roman" w:hAnsi="Times New Roman"/>
                <w:bCs/>
                <w:sz w:val="24"/>
              </w:rPr>
              <w:t xml:space="preserve">c) CRR, </w:t>
            </w:r>
            <w:r w:rsidRPr="00E26EF6">
              <w:rPr>
                <w:rFonts w:ascii="Times New Roman" w:hAnsi="Times New Roman"/>
                <w:sz w:val="24"/>
              </w:rPr>
              <w:t>uwzględniając swobodę art.</w:t>
            </w:r>
            <w:r w:rsidR="00023409" w:rsidRPr="00E26EF6">
              <w:rPr>
                <w:rFonts w:ascii="Times New Roman" w:hAnsi="Times New Roman"/>
                <w:sz w:val="24"/>
              </w:rPr>
              <w:t> </w:t>
            </w:r>
            <w:r w:rsidRPr="00E26EF6">
              <w:rPr>
                <w:rFonts w:ascii="Times New Roman" w:hAnsi="Times New Roman"/>
                <w:sz w:val="24"/>
              </w:rPr>
              <w:t>335 CRR, na mocy którego instytucja może wprowadzić produkt ważony</w:t>
            </w:r>
            <w:r w:rsidR="00E26EF6" w:rsidRPr="00E26EF6">
              <w:rPr>
                <w:rFonts w:ascii="Times New Roman" w:hAnsi="Times New Roman"/>
                <w:sz w:val="24"/>
              </w:rPr>
              <w:t xml:space="preserve"> i poz</w:t>
            </w:r>
            <w:r w:rsidRPr="00E26EF6">
              <w:rPr>
                <w:rFonts w:ascii="Times New Roman" w:hAnsi="Times New Roman"/>
                <w:sz w:val="24"/>
              </w:rPr>
              <w:t>ycję netto na poziomie najwyższej potencjalnej straty powiązanej</w:t>
            </w:r>
            <w:r w:rsidR="00E26EF6" w:rsidRPr="00E26EF6">
              <w:rPr>
                <w:rFonts w:ascii="Times New Roman" w:hAnsi="Times New Roman"/>
                <w:sz w:val="24"/>
              </w:rPr>
              <w:t xml:space="preserve"> z ryz</w:t>
            </w:r>
            <w:r w:rsidRPr="00E26EF6">
              <w:rPr>
                <w:rFonts w:ascii="Times New Roman" w:hAnsi="Times New Roman"/>
                <w:sz w:val="24"/>
              </w:rPr>
              <w:t xml:space="preserve">ykiem niewykonania zobowiązań. </w:t>
            </w:r>
          </w:p>
        </w:tc>
      </w:tr>
    </w:tbl>
    <w:p w14:paraId="63C05583" w14:textId="77777777" w:rsidR="00915077" w:rsidRPr="00E26EF6" w:rsidRDefault="00915077">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915077" w:rsidRPr="00E26EF6" w14:paraId="084B0775" w14:textId="77777777" w:rsidTr="00672D2A">
        <w:trPr>
          <w:trHeight w:val="566"/>
        </w:trPr>
        <w:tc>
          <w:tcPr>
            <w:tcW w:w="8896" w:type="dxa"/>
            <w:gridSpan w:val="2"/>
            <w:shd w:val="clear" w:color="auto" w:fill="CCCCCC"/>
          </w:tcPr>
          <w:p w14:paraId="649D7980" w14:textId="77777777" w:rsidR="00915077" w:rsidRPr="00E26EF6" w:rsidRDefault="000B0B09">
            <w:pPr>
              <w:autoSpaceDE w:val="0"/>
              <w:autoSpaceDN w:val="0"/>
              <w:adjustRightInd w:val="0"/>
              <w:spacing w:after="0"/>
              <w:rPr>
                <w:rFonts w:ascii="Times New Roman" w:hAnsi="Times New Roman"/>
                <w:b/>
                <w:sz w:val="24"/>
                <w:highlight w:val="lightGray"/>
              </w:rPr>
            </w:pPr>
            <w:r w:rsidRPr="00E26EF6">
              <w:rPr>
                <w:rFonts w:ascii="Times New Roman" w:hAnsi="Times New Roman"/>
                <w:b/>
                <w:sz w:val="24"/>
              </w:rPr>
              <w:lastRenderedPageBreak/>
              <w:t>Wiersze</w:t>
            </w:r>
          </w:p>
        </w:tc>
      </w:tr>
      <w:tr w:rsidR="00915077" w:rsidRPr="00E26EF6" w14:paraId="6031AED8" w14:textId="77777777" w:rsidTr="00672D2A">
        <w:tc>
          <w:tcPr>
            <w:tcW w:w="993" w:type="dxa"/>
          </w:tcPr>
          <w:p w14:paraId="4169D2D2"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010</w:t>
            </w:r>
          </w:p>
        </w:tc>
        <w:tc>
          <w:tcPr>
            <w:tcW w:w="7903" w:type="dxa"/>
          </w:tcPr>
          <w:p w14:paraId="13C9886D"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POZYCJE RAZEM</w:t>
            </w:r>
          </w:p>
          <w:p w14:paraId="358371AC" w14:textId="77777777" w:rsidR="00915077" w:rsidRPr="00E26EF6" w:rsidRDefault="00915077">
            <w:pPr>
              <w:autoSpaceDE w:val="0"/>
              <w:autoSpaceDN w:val="0"/>
              <w:adjustRightInd w:val="0"/>
              <w:spacing w:before="0" w:after="0"/>
              <w:rPr>
                <w:rFonts w:ascii="Times New Roman" w:hAnsi="Times New Roman"/>
                <w:b/>
                <w:bCs/>
                <w:sz w:val="24"/>
                <w:u w:val="single"/>
              </w:rPr>
            </w:pPr>
          </w:p>
          <w:p w14:paraId="0EACB68B" w14:textId="5CF63C56" w:rsidR="00915077" w:rsidRPr="00E26EF6" w:rsidRDefault="000B0B09">
            <w:pPr>
              <w:autoSpaceDE w:val="0"/>
              <w:autoSpaceDN w:val="0"/>
              <w:adjustRightInd w:val="0"/>
              <w:spacing w:before="0"/>
              <w:rPr>
                <w:rFonts w:ascii="Times New Roman" w:hAnsi="Times New Roman"/>
                <w:sz w:val="24"/>
              </w:rPr>
            </w:pPr>
            <w:r w:rsidRPr="00E26EF6">
              <w:rPr>
                <w:rFonts w:ascii="Times New Roman" w:hAnsi="Times New Roman"/>
                <w:sz w:val="24"/>
              </w:rPr>
              <w:t>Odpowiadają części ryzyka pozycji, ryzyka walutowego</w:t>
            </w:r>
            <w:r w:rsidR="00E26EF6" w:rsidRPr="00E26EF6">
              <w:rPr>
                <w:rFonts w:ascii="Times New Roman" w:hAnsi="Times New Roman"/>
                <w:sz w:val="24"/>
              </w:rPr>
              <w:t xml:space="preserve"> i ryz</w:t>
            </w:r>
            <w:r w:rsidRPr="00E26EF6">
              <w:rPr>
                <w:rFonts w:ascii="Times New Roman" w:hAnsi="Times New Roman"/>
                <w:sz w:val="24"/>
              </w:rPr>
              <w:t>yka cen towarów,</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363 ust.</w:t>
            </w:r>
            <w:r w:rsidR="00023409" w:rsidRPr="00E26EF6">
              <w:rPr>
                <w:rFonts w:ascii="Times New Roman" w:hAnsi="Times New Roman"/>
                <w:sz w:val="24"/>
              </w:rPr>
              <w:t> </w:t>
            </w:r>
            <w:r w:rsidRPr="00E26EF6">
              <w:rPr>
                <w:rFonts w:ascii="Times New Roman" w:hAnsi="Times New Roman"/>
                <w:sz w:val="24"/>
              </w:rPr>
              <w:t>1 CRR, powiązanych</w:t>
            </w:r>
            <w:r w:rsidR="00E26EF6" w:rsidRPr="00E26EF6">
              <w:rPr>
                <w:rFonts w:ascii="Times New Roman" w:hAnsi="Times New Roman"/>
                <w:sz w:val="24"/>
              </w:rPr>
              <w:t xml:space="preserve"> z czy</w:t>
            </w:r>
            <w:r w:rsidRPr="00E26EF6">
              <w:rPr>
                <w:rFonts w:ascii="Times New Roman" w:hAnsi="Times New Roman"/>
                <w:sz w:val="24"/>
              </w:rPr>
              <w:t>nnikami ryzyka określonymi</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367 ust.</w:t>
            </w:r>
            <w:r w:rsidR="00023409" w:rsidRPr="00E26EF6">
              <w:rPr>
                <w:rFonts w:ascii="Times New Roman" w:hAnsi="Times New Roman"/>
                <w:sz w:val="24"/>
              </w:rPr>
              <w:t> </w:t>
            </w:r>
            <w:r w:rsidRPr="00E26EF6">
              <w:rPr>
                <w:rFonts w:ascii="Times New Roman" w:hAnsi="Times New Roman"/>
                <w:sz w:val="24"/>
              </w:rPr>
              <w:t>2 CRR.</w:t>
            </w:r>
          </w:p>
          <w:p w14:paraId="12E3AAEC" w14:textId="5402C114"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Dotyczy kolumn od</w:t>
            </w:r>
            <w:r w:rsidR="00023409" w:rsidRPr="00E26EF6">
              <w:rPr>
                <w:rFonts w:ascii="Times New Roman" w:hAnsi="Times New Roman"/>
                <w:sz w:val="24"/>
              </w:rPr>
              <w:t> </w:t>
            </w:r>
            <w:r w:rsidRPr="00E26EF6">
              <w:rPr>
                <w:rFonts w:ascii="Times New Roman" w:hAnsi="Times New Roman"/>
                <w:sz w:val="24"/>
              </w:rPr>
              <w:t>030 do</w:t>
            </w:r>
            <w:r w:rsidR="00023409" w:rsidRPr="00E26EF6">
              <w:rPr>
                <w:rFonts w:ascii="Times New Roman" w:hAnsi="Times New Roman"/>
                <w:sz w:val="24"/>
              </w:rPr>
              <w:t> </w:t>
            </w:r>
            <w:r w:rsidRPr="00E26EF6">
              <w:rPr>
                <w:rFonts w:ascii="Times New Roman" w:hAnsi="Times New Roman"/>
                <w:sz w:val="24"/>
              </w:rPr>
              <w:t>060 (wartość zagrożona</w:t>
            </w:r>
            <w:r w:rsidR="00E26EF6" w:rsidRPr="00E26EF6">
              <w:rPr>
                <w:rFonts w:ascii="Times New Roman" w:hAnsi="Times New Roman"/>
                <w:sz w:val="24"/>
              </w:rPr>
              <w:t xml:space="preserve"> i war</w:t>
            </w:r>
            <w:r w:rsidRPr="00E26EF6">
              <w:rPr>
                <w:rFonts w:ascii="Times New Roman" w:hAnsi="Times New Roman"/>
                <w:sz w:val="24"/>
              </w:rPr>
              <w:t>tość zagrożona</w:t>
            </w:r>
            <w:r w:rsidR="00E26EF6" w:rsidRPr="00E26EF6">
              <w:rPr>
                <w:rFonts w:ascii="Times New Roman" w:hAnsi="Times New Roman"/>
                <w:sz w:val="24"/>
              </w:rPr>
              <w:t xml:space="preserve"> w war</w:t>
            </w:r>
            <w:r w:rsidRPr="00E26EF6">
              <w:rPr>
                <w:rFonts w:ascii="Times New Roman" w:hAnsi="Times New Roman"/>
                <w:sz w:val="24"/>
              </w:rPr>
              <w:t>unkach skrajnych), dane zawarte</w:t>
            </w:r>
            <w:r w:rsidR="00E26EF6" w:rsidRPr="00E26EF6">
              <w:rPr>
                <w:rFonts w:ascii="Times New Roman" w:hAnsi="Times New Roman"/>
                <w:sz w:val="24"/>
              </w:rPr>
              <w:t xml:space="preserve"> w wie</w:t>
            </w:r>
            <w:r w:rsidRPr="00E26EF6">
              <w:rPr>
                <w:rFonts w:ascii="Times New Roman" w:hAnsi="Times New Roman"/>
                <w:sz w:val="24"/>
              </w:rPr>
              <w:t>rszu podsumowującym nie są równe podziałowi danych na wartość zagrożoną / wartość zagrożoną</w:t>
            </w:r>
            <w:r w:rsidR="00E26EF6" w:rsidRPr="00E26EF6">
              <w:rPr>
                <w:rFonts w:ascii="Times New Roman" w:hAnsi="Times New Roman"/>
                <w:sz w:val="24"/>
              </w:rPr>
              <w:t xml:space="preserve"> w war</w:t>
            </w:r>
            <w:r w:rsidRPr="00E26EF6">
              <w:rPr>
                <w:rFonts w:ascii="Times New Roman" w:hAnsi="Times New Roman"/>
                <w:sz w:val="24"/>
              </w:rPr>
              <w:t>unkach skrajnych odpowiedniego ryzyka.</w:t>
            </w:r>
          </w:p>
          <w:p w14:paraId="5C08FF29" w14:textId="77777777" w:rsidR="00915077" w:rsidRPr="00E26EF6" w:rsidRDefault="00915077">
            <w:pPr>
              <w:autoSpaceDE w:val="0"/>
              <w:autoSpaceDN w:val="0"/>
              <w:adjustRightInd w:val="0"/>
              <w:spacing w:before="0" w:after="0"/>
              <w:rPr>
                <w:rFonts w:ascii="Times New Roman" w:hAnsi="Times New Roman"/>
                <w:sz w:val="24"/>
                <w:highlight w:val="lightGray"/>
              </w:rPr>
            </w:pPr>
          </w:p>
        </w:tc>
      </w:tr>
      <w:tr w:rsidR="00915077" w:rsidRPr="00E26EF6" w14:paraId="05C47CAF" w14:textId="77777777" w:rsidTr="00672D2A">
        <w:tc>
          <w:tcPr>
            <w:tcW w:w="993" w:type="dxa"/>
          </w:tcPr>
          <w:p w14:paraId="6D0D8456"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020</w:t>
            </w:r>
          </w:p>
        </w:tc>
        <w:tc>
          <w:tcPr>
            <w:tcW w:w="7903" w:type="dxa"/>
          </w:tcPr>
          <w:p w14:paraId="3A9AB85A"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RYNKOWE INSTRUMENTY DŁUŻNE</w:t>
            </w:r>
          </w:p>
          <w:p w14:paraId="5E5F36C1" w14:textId="6DDB214B" w:rsidR="00915077" w:rsidRPr="00E26EF6" w:rsidRDefault="000B0B09">
            <w:pPr>
              <w:autoSpaceDE w:val="0"/>
              <w:autoSpaceDN w:val="0"/>
              <w:adjustRightInd w:val="0"/>
              <w:rPr>
                <w:rFonts w:ascii="Times New Roman" w:hAnsi="Times New Roman"/>
                <w:sz w:val="24"/>
                <w:highlight w:val="lightGray"/>
              </w:rPr>
            </w:pPr>
            <w:r w:rsidRPr="00E26EF6">
              <w:rPr>
                <w:rFonts w:ascii="Times New Roman" w:hAnsi="Times New Roman"/>
                <w:sz w:val="24"/>
              </w:rPr>
              <w:t>Odpowiadają części ryzyka pozycji,</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363 ust.</w:t>
            </w:r>
            <w:r w:rsidR="00023409" w:rsidRPr="00E26EF6">
              <w:rPr>
                <w:rFonts w:ascii="Times New Roman" w:hAnsi="Times New Roman"/>
                <w:sz w:val="24"/>
              </w:rPr>
              <w:t> </w:t>
            </w:r>
            <w:r w:rsidRPr="00E26EF6">
              <w:rPr>
                <w:rFonts w:ascii="Times New Roman" w:hAnsi="Times New Roman"/>
                <w:sz w:val="24"/>
              </w:rPr>
              <w:t>1 CRR, powiązanym</w:t>
            </w:r>
            <w:r w:rsidR="00E26EF6" w:rsidRPr="00E26EF6">
              <w:rPr>
                <w:rFonts w:ascii="Times New Roman" w:hAnsi="Times New Roman"/>
                <w:sz w:val="24"/>
              </w:rPr>
              <w:t xml:space="preserve"> z czy</w:t>
            </w:r>
            <w:r w:rsidRPr="00E26EF6">
              <w:rPr>
                <w:rFonts w:ascii="Times New Roman" w:hAnsi="Times New Roman"/>
                <w:sz w:val="24"/>
              </w:rPr>
              <w:t>nnikami ryzyka stóp procentowych określonymi</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CRR.</w:t>
            </w:r>
          </w:p>
        </w:tc>
      </w:tr>
      <w:tr w:rsidR="00915077" w:rsidRPr="00E26EF6" w14:paraId="253DED19" w14:textId="77777777" w:rsidTr="00672D2A">
        <w:tc>
          <w:tcPr>
            <w:tcW w:w="993" w:type="dxa"/>
          </w:tcPr>
          <w:p w14:paraId="5DEFEEA2"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030</w:t>
            </w:r>
          </w:p>
        </w:tc>
        <w:tc>
          <w:tcPr>
            <w:tcW w:w="7903" w:type="dxa"/>
          </w:tcPr>
          <w:p w14:paraId="58A2AB5F"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RYNKOWE INSTRUMENTY DŁUŻNE – RYZYKO OGÓLNE</w:t>
            </w:r>
          </w:p>
          <w:p w14:paraId="3DB6B4AC" w14:textId="3262D506" w:rsidR="00915077" w:rsidRPr="00E26EF6" w:rsidRDefault="000B0B09">
            <w:pPr>
              <w:autoSpaceDE w:val="0"/>
              <w:autoSpaceDN w:val="0"/>
              <w:adjustRightInd w:val="0"/>
              <w:rPr>
                <w:rFonts w:ascii="Times New Roman" w:hAnsi="Times New Roman"/>
                <w:sz w:val="24"/>
                <w:highlight w:val="lightGray"/>
              </w:rPr>
            </w:pPr>
            <w:r w:rsidRPr="00E26EF6">
              <w:rPr>
                <w:rFonts w:ascii="Times New Roman" w:hAnsi="Times New Roman"/>
                <w:sz w:val="24"/>
              </w:rPr>
              <w:t>Składnik ryzyka ogólnego,</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362 CRR </w:t>
            </w:r>
          </w:p>
        </w:tc>
      </w:tr>
      <w:tr w:rsidR="00915077" w:rsidRPr="00E26EF6" w14:paraId="3A87E4EC" w14:textId="77777777" w:rsidTr="00672D2A">
        <w:tc>
          <w:tcPr>
            <w:tcW w:w="993" w:type="dxa"/>
          </w:tcPr>
          <w:p w14:paraId="53BD9DEA"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040</w:t>
            </w:r>
          </w:p>
        </w:tc>
        <w:tc>
          <w:tcPr>
            <w:tcW w:w="7903" w:type="dxa"/>
          </w:tcPr>
          <w:p w14:paraId="2C5FFEF0"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RYNKOWE INSTRUMENTY DŁUŻNE – RYZYKO SZCZEGÓLNE</w:t>
            </w:r>
          </w:p>
          <w:p w14:paraId="79C40A5C" w14:textId="77777777" w:rsidR="00915077" w:rsidRPr="00E26EF6" w:rsidRDefault="00915077">
            <w:pPr>
              <w:autoSpaceDE w:val="0"/>
              <w:autoSpaceDN w:val="0"/>
              <w:adjustRightInd w:val="0"/>
              <w:spacing w:before="0" w:after="0"/>
              <w:rPr>
                <w:rFonts w:ascii="Times New Roman" w:hAnsi="Times New Roman"/>
                <w:sz w:val="24"/>
              </w:rPr>
            </w:pPr>
          </w:p>
          <w:p w14:paraId="70CE6F11" w14:textId="1368AA6C" w:rsidR="00915077" w:rsidRPr="00E26EF6" w:rsidRDefault="000B0B09">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Składnik ryzyka szczególnego,</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362 CRR </w:t>
            </w:r>
          </w:p>
        </w:tc>
      </w:tr>
      <w:tr w:rsidR="00915077" w:rsidRPr="00E26EF6" w14:paraId="7E61770D" w14:textId="77777777" w:rsidTr="00672D2A">
        <w:tc>
          <w:tcPr>
            <w:tcW w:w="993" w:type="dxa"/>
          </w:tcPr>
          <w:p w14:paraId="0A66146B"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050</w:t>
            </w:r>
          </w:p>
        </w:tc>
        <w:tc>
          <w:tcPr>
            <w:tcW w:w="7903" w:type="dxa"/>
          </w:tcPr>
          <w:p w14:paraId="092A08D1"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PAPIERY KAPITAŁOWE</w:t>
            </w:r>
          </w:p>
          <w:p w14:paraId="2CA0F964" w14:textId="77777777" w:rsidR="00915077" w:rsidRPr="00E26EF6" w:rsidRDefault="00915077">
            <w:pPr>
              <w:autoSpaceDE w:val="0"/>
              <w:autoSpaceDN w:val="0"/>
              <w:adjustRightInd w:val="0"/>
              <w:spacing w:before="0" w:after="0"/>
              <w:rPr>
                <w:rFonts w:ascii="Times New Roman" w:hAnsi="Times New Roman"/>
                <w:sz w:val="24"/>
              </w:rPr>
            </w:pPr>
          </w:p>
          <w:p w14:paraId="368C4566" w14:textId="7AC41E60"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Odpowiadają części ryzyka pozycji,</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363 ust.</w:t>
            </w:r>
            <w:r w:rsidR="00023409" w:rsidRPr="00E26EF6">
              <w:rPr>
                <w:rFonts w:ascii="Times New Roman" w:hAnsi="Times New Roman"/>
                <w:sz w:val="24"/>
              </w:rPr>
              <w:t> </w:t>
            </w:r>
            <w:r w:rsidRPr="00E26EF6">
              <w:rPr>
                <w:rFonts w:ascii="Times New Roman" w:hAnsi="Times New Roman"/>
                <w:sz w:val="24"/>
              </w:rPr>
              <w:t>1 CRR, powiązanym</w:t>
            </w:r>
            <w:r w:rsidR="00E26EF6" w:rsidRPr="00E26EF6">
              <w:rPr>
                <w:rFonts w:ascii="Times New Roman" w:hAnsi="Times New Roman"/>
                <w:sz w:val="24"/>
              </w:rPr>
              <w:t xml:space="preserve"> z czy</w:t>
            </w:r>
            <w:r w:rsidRPr="00E26EF6">
              <w:rPr>
                <w:rFonts w:ascii="Times New Roman" w:hAnsi="Times New Roman"/>
                <w:sz w:val="24"/>
              </w:rPr>
              <w:t>nnikami ryzyka cen akcji określonymi</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 xml:space="preserve">c) CRR. </w:t>
            </w:r>
          </w:p>
          <w:p w14:paraId="3E4F2C40"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750053F2" w14:textId="77777777" w:rsidTr="00672D2A">
        <w:tc>
          <w:tcPr>
            <w:tcW w:w="993" w:type="dxa"/>
          </w:tcPr>
          <w:p w14:paraId="7C212BD3"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060</w:t>
            </w:r>
          </w:p>
        </w:tc>
        <w:tc>
          <w:tcPr>
            <w:tcW w:w="7903" w:type="dxa"/>
          </w:tcPr>
          <w:p w14:paraId="1F9B3278"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PAPIERY KAPITAŁOWE – RYZYKO OGÓLNE</w:t>
            </w:r>
          </w:p>
          <w:p w14:paraId="36FBCD50" w14:textId="49B92E94" w:rsidR="00915077" w:rsidRPr="00E26EF6" w:rsidRDefault="000B0B09">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Składnik ryzyka ogólnego,</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362 CRR</w:t>
            </w:r>
          </w:p>
        </w:tc>
      </w:tr>
      <w:tr w:rsidR="00915077" w:rsidRPr="00E26EF6" w14:paraId="24E7AECF" w14:textId="77777777" w:rsidTr="00672D2A">
        <w:tc>
          <w:tcPr>
            <w:tcW w:w="993" w:type="dxa"/>
          </w:tcPr>
          <w:p w14:paraId="28A15B9C"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070</w:t>
            </w:r>
          </w:p>
        </w:tc>
        <w:tc>
          <w:tcPr>
            <w:tcW w:w="7903" w:type="dxa"/>
          </w:tcPr>
          <w:p w14:paraId="51442A57"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PAPIERY KAPITAŁOWE – RYZYKO SZCZEGÓLNE</w:t>
            </w:r>
          </w:p>
          <w:p w14:paraId="4408E937" w14:textId="2F6373D1" w:rsidR="00915077" w:rsidRPr="00E26EF6" w:rsidRDefault="000B0B09">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Składnik ryzyka szczególnego,</w:t>
            </w:r>
            <w:r w:rsidR="00E26EF6" w:rsidRPr="00E26EF6">
              <w:rPr>
                <w:rFonts w:ascii="Times New Roman" w:hAnsi="Times New Roman"/>
                <w:sz w:val="24"/>
              </w:rPr>
              <w:t xml:space="preserve"> o któ</w:t>
            </w:r>
            <w:r w:rsidRPr="00E26EF6">
              <w:rPr>
                <w:rFonts w:ascii="Times New Roman" w:hAnsi="Times New Roman"/>
                <w:sz w:val="24"/>
              </w:rPr>
              <w:t>rym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362 CRR </w:t>
            </w:r>
          </w:p>
        </w:tc>
      </w:tr>
      <w:tr w:rsidR="00915077" w:rsidRPr="00E26EF6" w14:paraId="7C991BE9" w14:textId="77777777" w:rsidTr="00672D2A">
        <w:tc>
          <w:tcPr>
            <w:tcW w:w="993" w:type="dxa"/>
          </w:tcPr>
          <w:p w14:paraId="672A0E25"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080</w:t>
            </w:r>
          </w:p>
        </w:tc>
        <w:tc>
          <w:tcPr>
            <w:tcW w:w="7903" w:type="dxa"/>
          </w:tcPr>
          <w:p w14:paraId="536D7E34"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RYZYKO WALUTOWE</w:t>
            </w:r>
          </w:p>
          <w:p w14:paraId="5A40A224" w14:textId="66F211B2" w:rsidR="00915077" w:rsidRPr="00E26EF6" w:rsidRDefault="000B0B09">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Art. 363 ust.</w:t>
            </w:r>
            <w:r w:rsidR="00023409" w:rsidRPr="00E26EF6">
              <w:rPr>
                <w:rFonts w:ascii="Times New Roman" w:hAnsi="Times New Roman"/>
                <w:sz w:val="24"/>
              </w:rPr>
              <w:t> </w:t>
            </w:r>
            <w:r w:rsidRPr="00E26EF6">
              <w:rPr>
                <w:rFonts w:ascii="Times New Roman" w:hAnsi="Times New Roman"/>
                <w:sz w:val="24"/>
              </w:rPr>
              <w:t>1 oraz art.</w:t>
            </w:r>
            <w:r w:rsidR="00023409" w:rsidRPr="00E26EF6">
              <w:rPr>
                <w:rFonts w:ascii="Times New Roman" w:hAnsi="Times New Roman"/>
                <w:sz w:val="24"/>
              </w:rPr>
              <w:t> </w:t>
            </w:r>
            <w:r w:rsidRPr="00E26EF6">
              <w:rPr>
                <w:rFonts w:ascii="Times New Roman" w:hAnsi="Times New Roman"/>
                <w:sz w:val="24"/>
              </w:rPr>
              <w:t>367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CRR</w:t>
            </w:r>
          </w:p>
        </w:tc>
      </w:tr>
      <w:tr w:rsidR="00915077" w:rsidRPr="00E26EF6" w14:paraId="16B1AF4E" w14:textId="77777777" w:rsidTr="00672D2A">
        <w:tc>
          <w:tcPr>
            <w:tcW w:w="993" w:type="dxa"/>
          </w:tcPr>
          <w:p w14:paraId="18D0BBDF"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090</w:t>
            </w:r>
          </w:p>
        </w:tc>
        <w:tc>
          <w:tcPr>
            <w:tcW w:w="7903" w:type="dxa"/>
          </w:tcPr>
          <w:p w14:paraId="1AC4282A"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RYZYKO CEN TOWARÓW</w:t>
            </w:r>
          </w:p>
          <w:p w14:paraId="72E6AE17" w14:textId="70B14409" w:rsidR="00915077" w:rsidRPr="00E26EF6" w:rsidRDefault="000B0B09">
            <w:pPr>
              <w:autoSpaceDE w:val="0"/>
              <w:autoSpaceDN w:val="0"/>
              <w:adjustRightInd w:val="0"/>
              <w:rPr>
                <w:rFonts w:ascii="Times New Roman" w:hAnsi="Times New Roman"/>
                <w:b/>
                <w:bCs/>
                <w:sz w:val="24"/>
                <w:highlight w:val="lightGray"/>
                <w:u w:val="single"/>
              </w:rPr>
            </w:pPr>
            <w:r w:rsidRPr="00E26EF6">
              <w:rPr>
                <w:rFonts w:ascii="Times New Roman" w:hAnsi="Times New Roman"/>
                <w:sz w:val="24"/>
              </w:rPr>
              <w:t>Art. 363 ust.</w:t>
            </w:r>
            <w:r w:rsidR="00023409" w:rsidRPr="00E26EF6">
              <w:rPr>
                <w:rFonts w:ascii="Times New Roman" w:hAnsi="Times New Roman"/>
                <w:sz w:val="24"/>
              </w:rPr>
              <w:t> </w:t>
            </w:r>
            <w:r w:rsidRPr="00E26EF6">
              <w:rPr>
                <w:rFonts w:ascii="Times New Roman" w:hAnsi="Times New Roman"/>
                <w:sz w:val="24"/>
              </w:rPr>
              <w:t>1 oraz art.</w:t>
            </w:r>
            <w:r w:rsidR="00023409" w:rsidRPr="00E26EF6">
              <w:rPr>
                <w:rFonts w:ascii="Times New Roman" w:hAnsi="Times New Roman"/>
                <w:sz w:val="24"/>
              </w:rPr>
              <w:t> </w:t>
            </w:r>
            <w:r w:rsidRPr="00E26EF6">
              <w:rPr>
                <w:rFonts w:ascii="Times New Roman" w:hAnsi="Times New Roman"/>
                <w:sz w:val="24"/>
              </w:rPr>
              <w:t>367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 xml:space="preserve">d) CRR </w:t>
            </w:r>
          </w:p>
        </w:tc>
      </w:tr>
      <w:tr w:rsidR="00915077" w:rsidRPr="00E26EF6" w14:paraId="606DE515" w14:textId="77777777" w:rsidTr="00672D2A">
        <w:tc>
          <w:tcPr>
            <w:tcW w:w="993" w:type="dxa"/>
          </w:tcPr>
          <w:p w14:paraId="399EFC0F" w14:textId="77777777" w:rsidR="00915077" w:rsidRPr="00E26EF6" w:rsidRDefault="000B0B09">
            <w:pPr>
              <w:autoSpaceDE w:val="0"/>
              <w:autoSpaceDN w:val="0"/>
              <w:adjustRightInd w:val="0"/>
              <w:spacing w:before="0" w:after="0"/>
              <w:rPr>
                <w:rFonts w:ascii="Times New Roman" w:hAnsi="Times New Roman"/>
                <w:sz w:val="24"/>
                <w:highlight w:val="lightGray"/>
              </w:rPr>
            </w:pPr>
            <w:r w:rsidRPr="00E26EF6">
              <w:rPr>
                <w:rFonts w:ascii="Times New Roman" w:hAnsi="Times New Roman"/>
                <w:sz w:val="24"/>
              </w:rPr>
              <w:t>100</w:t>
            </w:r>
          </w:p>
        </w:tc>
        <w:tc>
          <w:tcPr>
            <w:tcW w:w="7903" w:type="dxa"/>
          </w:tcPr>
          <w:p w14:paraId="2338922F"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CAŁKOWITA KWOTA Z TYTUŁU RYZYKA OGÓLNEGO</w:t>
            </w:r>
          </w:p>
          <w:p w14:paraId="4C4CDA88" w14:textId="77777777" w:rsidR="00915077" w:rsidRPr="00E26EF6" w:rsidRDefault="00915077">
            <w:pPr>
              <w:autoSpaceDE w:val="0"/>
              <w:autoSpaceDN w:val="0"/>
              <w:adjustRightInd w:val="0"/>
              <w:spacing w:before="0" w:after="0"/>
              <w:rPr>
                <w:rFonts w:ascii="Times New Roman" w:hAnsi="Times New Roman"/>
                <w:b/>
                <w:bCs/>
                <w:sz w:val="24"/>
                <w:u w:val="single"/>
              </w:rPr>
            </w:pPr>
          </w:p>
          <w:p w14:paraId="501D7F04" w14:textId="3A7DBF7C" w:rsidR="00915077" w:rsidRPr="00E26EF6" w:rsidRDefault="000B0B09">
            <w:pPr>
              <w:autoSpaceDE w:val="0"/>
              <w:autoSpaceDN w:val="0"/>
              <w:adjustRightInd w:val="0"/>
              <w:spacing w:before="0" w:after="0"/>
              <w:rPr>
                <w:rFonts w:ascii="Times New Roman" w:hAnsi="Times New Roman"/>
                <w:b/>
                <w:bCs/>
                <w:sz w:val="24"/>
                <w:u w:val="single"/>
              </w:rPr>
            </w:pPr>
            <w:r w:rsidRPr="00E26EF6">
              <w:rPr>
                <w:rStyle w:val="InstructionsTabelleText"/>
                <w:rFonts w:ascii="Times New Roman" w:hAnsi="Times New Roman"/>
                <w:sz w:val="24"/>
              </w:rPr>
              <w:t>Ryzyko rynkowe spowodowane ogólnymi zmianami rynkowymi</w:t>
            </w:r>
            <w:r w:rsidR="00E26EF6" w:rsidRPr="00E26EF6">
              <w:rPr>
                <w:rStyle w:val="InstructionsTabelleText"/>
                <w:rFonts w:ascii="Times New Roman" w:hAnsi="Times New Roman"/>
                <w:sz w:val="24"/>
              </w:rPr>
              <w:t xml:space="preserve"> w zak</w:t>
            </w:r>
            <w:r w:rsidRPr="00E26EF6">
              <w:rPr>
                <w:rStyle w:val="InstructionsTabelleText"/>
                <w:rFonts w:ascii="Times New Roman" w:hAnsi="Times New Roman"/>
                <w:sz w:val="24"/>
              </w:rPr>
              <w:t>resie rynkowych instrumentów dłużnych, papierów kapitałowych, walut</w:t>
            </w:r>
            <w:r w:rsidR="00E26EF6" w:rsidRPr="00E26EF6">
              <w:rPr>
                <w:rStyle w:val="InstructionsTabelleText"/>
                <w:rFonts w:ascii="Times New Roman" w:hAnsi="Times New Roman"/>
                <w:sz w:val="24"/>
              </w:rPr>
              <w:t xml:space="preserve"> i tow</w:t>
            </w:r>
            <w:r w:rsidRPr="00E26EF6">
              <w:rPr>
                <w:rStyle w:val="InstructionsTabelleText"/>
                <w:rFonts w:ascii="Times New Roman" w:hAnsi="Times New Roman"/>
                <w:sz w:val="24"/>
              </w:rPr>
              <w:t>arów. Wartość zagrożona</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ryzyka ogólnego wszystkich czynników ryzyka (z uwzględnieniem skutków korelacji,</w:t>
            </w:r>
            <w:r w:rsidR="00E26EF6" w:rsidRPr="00E26EF6">
              <w:rPr>
                <w:rStyle w:val="InstructionsTabelleText"/>
                <w:rFonts w:ascii="Times New Roman" w:hAnsi="Times New Roman"/>
                <w:sz w:val="24"/>
              </w:rPr>
              <w:t xml:space="preserve"> w sto</w:t>
            </w:r>
            <w:r w:rsidRPr="00E26EF6">
              <w:rPr>
                <w:rStyle w:val="InstructionsTabelleText"/>
                <w:rFonts w:ascii="Times New Roman" w:hAnsi="Times New Roman"/>
                <w:sz w:val="24"/>
              </w:rPr>
              <w:t>sownych przypadkach)</w:t>
            </w:r>
            <w:r w:rsidR="00023409" w:rsidRPr="00E26EF6">
              <w:rPr>
                <w:rStyle w:val="InstructionsTabelleText"/>
                <w:rFonts w:ascii="Times New Roman" w:hAnsi="Times New Roman"/>
                <w:sz w:val="24"/>
              </w:rPr>
              <w:t xml:space="preserve"> </w:t>
            </w:r>
          </w:p>
          <w:p w14:paraId="169EAD5F" w14:textId="77777777" w:rsidR="00915077" w:rsidRPr="00E26EF6" w:rsidRDefault="00915077">
            <w:pPr>
              <w:autoSpaceDE w:val="0"/>
              <w:autoSpaceDN w:val="0"/>
              <w:adjustRightInd w:val="0"/>
              <w:spacing w:before="0" w:after="0"/>
              <w:rPr>
                <w:rFonts w:ascii="Times New Roman" w:hAnsi="Times New Roman"/>
                <w:b/>
                <w:bCs/>
                <w:sz w:val="24"/>
                <w:highlight w:val="lightGray"/>
                <w:u w:val="single"/>
              </w:rPr>
            </w:pPr>
          </w:p>
        </w:tc>
      </w:tr>
      <w:tr w:rsidR="00915077" w:rsidRPr="00E26EF6" w14:paraId="1CAFB2E0" w14:textId="77777777" w:rsidTr="00672D2A">
        <w:tc>
          <w:tcPr>
            <w:tcW w:w="993" w:type="dxa"/>
          </w:tcPr>
          <w:p w14:paraId="72FA5315" w14:textId="77777777" w:rsidR="00915077" w:rsidRPr="00E26EF6" w:rsidRDefault="000B0B09">
            <w:pPr>
              <w:autoSpaceDE w:val="0"/>
              <w:autoSpaceDN w:val="0"/>
              <w:adjustRightInd w:val="0"/>
              <w:spacing w:before="0" w:after="0"/>
              <w:rPr>
                <w:rFonts w:ascii="Times New Roman" w:hAnsi="Times New Roman"/>
                <w:sz w:val="24"/>
              </w:rPr>
            </w:pPr>
            <w:r w:rsidRPr="00E26EF6">
              <w:rPr>
                <w:rFonts w:ascii="Times New Roman" w:hAnsi="Times New Roman"/>
                <w:sz w:val="24"/>
              </w:rPr>
              <w:t>110</w:t>
            </w:r>
          </w:p>
          <w:p w14:paraId="08524185" w14:textId="77777777" w:rsidR="00915077" w:rsidRPr="00E26EF6" w:rsidRDefault="00915077">
            <w:pPr>
              <w:jc w:val="center"/>
              <w:rPr>
                <w:rFonts w:ascii="Times New Roman" w:hAnsi="Times New Roman"/>
                <w:sz w:val="24"/>
                <w:highlight w:val="lightGray"/>
              </w:rPr>
            </w:pPr>
          </w:p>
        </w:tc>
        <w:tc>
          <w:tcPr>
            <w:tcW w:w="7903" w:type="dxa"/>
          </w:tcPr>
          <w:p w14:paraId="56A84C94" w14:textId="77777777" w:rsidR="00915077" w:rsidRPr="00E26EF6" w:rsidRDefault="000B0B09">
            <w:pPr>
              <w:autoSpaceDE w:val="0"/>
              <w:autoSpaceDN w:val="0"/>
              <w:adjustRightInd w:val="0"/>
              <w:spacing w:before="0" w:after="0"/>
              <w:rPr>
                <w:rFonts w:ascii="Times New Roman" w:hAnsi="Times New Roman"/>
                <w:b/>
                <w:bCs/>
                <w:sz w:val="24"/>
                <w:u w:val="single"/>
              </w:rPr>
            </w:pPr>
            <w:r w:rsidRPr="00E26EF6">
              <w:rPr>
                <w:rFonts w:ascii="Times New Roman" w:hAnsi="Times New Roman"/>
                <w:b/>
                <w:bCs/>
                <w:sz w:val="24"/>
                <w:u w:val="single"/>
              </w:rPr>
              <w:t>CAŁKOWITA KWOTA Z TYTUŁU RYZYKA SZCZEGÓLNEGO</w:t>
            </w:r>
          </w:p>
          <w:p w14:paraId="295AD525" w14:textId="1C3720F6" w:rsidR="00915077" w:rsidRPr="00E26EF6" w:rsidRDefault="000B0B09">
            <w:pPr>
              <w:autoSpaceDE w:val="0"/>
              <w:autoSpaceDN w:val="0"/>
              <w:adjustRightInd w:val="0"/>
              <w:rPr>
                <w:rFonts w:ascii="Times New Roman" w:hAnsi="Times New Roman"/>
                <w:b/>
                <w:bCs/>
                <w:sz w:val="24"/>
                <w:u w:val="single"/>
              </w:rPr>
            </w:pPr>
            <w:r w:rsidRPr="00E26EF6">
              <w:rPr>
                <w:rStyle w:val="InstructionsTabelleText"/>
                <w:rFonts w:ascii="Times New Roman" w:hAnsi="Times New Roman"/>
                <w:sz w:val="24"/>
              </w:rPr>
              <w:t>Ryzyko szczególne rynkowych instrumentów dłużnych</w:t>
            </w:r>
            <w:r w:rsidR="00E26EF6" w:rsidRPr="00E26EF6">
              <w:rPr>
                <w:rStyle w:val="InstructionsTabelleText"/>
                <w:rFonts w:ascii="Times New Roman" w:hAnsi="Times New Roman"/>
                <w:sz w:val="24"/>
              </w:rPr>
              <w:t xml:space="preserve"> i pap</w:t>
            </w:r>
            <w:r w:rsidRPr="00E26EF6">
              <w:rPr>
                <w:rStyle w:val="InstructionsTabelleText"/>
                <w:rFonts w:ascii="Times New Roman" w:hAnsi="Times New Roman"/>
                <w:sz w:val="24"/>
              </w:rPr>
              <w:t>ierów kapitałowych. Wartość zagrożona</w:t>
            </w:r>
            <w:r w:rsidR="00E26EF6" w:rsidRPr="00E26EF6">
              <w:rPr>
                <w:rStyle w:val="InstructionsTabelleText"/>
                <w:rFonts w:ascii="Times New Roman" w:hAnsi="Times New Roman"/>
                <w:sz w:val="24"/>
              </w:rPr>
              <w:t xml:space="preserve"> z tyt</w:t>
            </w:r>
            <w:r w:rsidRPr="00E26EF6">
              <w:rPr>
                <w:rStyle w:val="InstructionsTabelleText"/>
                <w:rFonts w:ascii="Times New Roman" w:hAnsi="Times New Roman"/>
                <w:sz w:val="24"/>
              </w:rPr>
              <w:t>ułu ryzyka szczególnego papierów kapitałowych</w:t>
            </w:r>
            <w:r w:rsidR="00E26EF6" w:rsidRPr="00E26EF6">
              <w:rPr>
                <w:rStyle w:val="InstructionsTabelleText"/>
                <w:rFonts w:ascii="Times New Roman" w:hAnsi="Times New Roman"/>
                <w:sz w:val="24"/>
              </w:rPr>
              <w:t xml:space="preserve"> i ryn</w:t>
            </w:r>
            <w:r w:rsidRPr="00E26EF6">
              <w:rPr>
                <w:rStyle w:val="InstructionsTabelleText"/>
                <w:rFonts w:ascii="Times New Roman" w:hAnsi="Times New Roman"/>
                <w:sz w:val="24"/>
              </w:rPr>
              <w:t>kowych instrumentów dłużnych portfela handlowego (z uwzględnieniem skutków korelacji</w:t>
            </w:r>
            <w:r w:rsidR="00E26EF6" w:rsidRPr="00E26EF6">
              <w:rPr>
                <w:rStyle w:val="InstructionsTabelleText"/>
                <w:rFonts w:ascii="Times New Roman" w:hAnsi="Times New Roman"/>
                <w:sz w:val="24"/>
              </w:rPr>
              <w:t xml:space="preserve"> w sto</w:t>
            </w:r>
            <w:r w:rsidRPr="00E26EF6">
              <w:rPr>
                <w:rStyle w:val="InstructionsTabelleText"/>
                <w:rFonts w:ascii="Times New Roman" w:hAnsi="Times New Roman"/>
                <w:sz w:val="24"/>
              </w:rPr>
              <w:t>sownych przypadkach)</w:t>
            </w:r>
          </w:p>
        </w:tc>
      </w:tr>
    </w:tbl>
    <w:p w14:paraId="1B6E0B53" w14:textId="77777777" w:rsidR="00915077" w:rsidRPr="00E26EF6" w:rsidRDefault="00915077">
      <w:pPr>
        <w:spacing w:before="0" w:after="0"/>
        <w:jc w:val="left"/>
        <w:rPr>
          <w:rStyle w:val="InstructionsTabelleText"/>
          <w:rFonts w:ascii="Times New Roman" w:hAnsi="Times New Roman"/>
          <w:sz w:val="24"/>
        </w:rPr>
      </w:pPr>
    </w:p>
    <w:p w14:paraId="67B541B9"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05" w:name="_Toc31014402"/>
      <w:r w:rsidRPr="00E26EF6">
        <w:rPr>
          <w:rFonts w:ascii="Times New Roman" w:hAnsi="Times New Roman"/>
          <w:sz w:val="24"/>
          <w:u w:val="none"/>
        </w:rPr>
        <w:lastRenderedPageBreak/>
        <w:t>5.8.</w:t>
      </w:r>
      <w:r w:rsidRPr="00E26EF6">
        <w:rPr>
          <w:rFonts w:ascii="Times New Roman" w:hAnsi="Times New Roman"/>
          <w:sz w:val="24"/>
          <w:u w:val="none"/>
        </w:rPr>
        <w:tab/>
      </w:r>
      <w:r w:rsidRPr="00E26EF6">
        <w:rPr>
          <w:rFonts w:ascii="Times New Roman" w:hAnsi="Times New Roman"/>
          <w:sz w:val="24"/>
        </w:rPr>
        <w:t>C 25.00 – RYZYKO ZWIĄZANE Z KOREKTĄ WYCENY KREDYTOWEJ (CVA)</w:t>
      </w:r>
      <w:bookmarkEnd w:id="105"/>
    </w:p>
    <w:p w14:paraId="2FA7367E" w14:textId="77777777" w:rsidR="00915077" w:rsidRPr="00E26EF6" w:rsidRDefault="00125707">
      <w:pPr>
        <w:pStyle w:val="Instructionsberschrift2"/>
        <w:numPr>
          <w:ilvl w:val="0"/>
          <w:numId w:val="0"/>
        </w:numPr>
        <w:ind w:left="357" w:hanging="357"/>
        <w:rPr>
          <w:rFonts w:ascii="Times New Roman" w:hAnsi="Times New Roman" w:cs="Times New Roman"/>
          <w:sz w:val="24"/>
        </w:rPr>
      </w:pPr>
      <w:bookmarkStart w:id="106" w:name="_Toc31014403"/>
      <w:r w:rsidRPr="00E26EF6">
        <w:rPr>
          <w:rFonts w:ascii="Times New Roman" w:hAnsi="Times New Roman"/>
          <w:sz w:val="24"/>
          <w:u w:val="none"/>
        </w:rPr>
        <w:t>5.8.1.</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15077" w:rsidRPr="00E26EF6" w14:paraId="4F2DB4E4" w14:textId="77777777" w:rsidTr="00672D2A">
        <w:tc>
          <w:tcPr>
            <w:tcW w:w="8856" w:type="dxa"/>
            <w:gridSpan w:val="2"/>
            <w:shd w:val="clear" w:color="auto" w:fill="CCCCCC"/>
          </w:tcPr>
          <w:p w14:paraId="3CE242E9" w14:textId="77777777" w:rsidR="00915077" w:rsidRPr="00E26EF6" w:rsidRDefault="000B0B09">
            <w:pPr>
              <w:rPr>
                <w:rFonts w:ascii="Times New Roman" w:hAnsi="Times New Roman"/>
                <w:b/>
                <w:sz w:val="24"/>
                <w:highlight w:val="lightGray"/>
              </w:rPr>
            </w:pPr>
            <w:r w:rsidRPr="00E26EF6">
              <w:rPr>
                <w:rFonts w:ascii="Times New Roman" w:hAnsi="Times New Roman"/>
                <w:b/>
                <w:sz w:val="24"/>
              </w:rPr>
              <w:t>Kolumny</w:t>
            </w:r>
          </w:p>
        </w:tc>
      </w:tr>
      <w:tr w:rsidR="00915077" w:rsidRPr="00E26EF6" w14:paraId="03BEE9C8" w14:textId="77777777" w:rsidTr="00672D2A">
        <w:tc>
          <w:tcPr>
            <w:tcW w:w="852" w:type="dxa"/>
          </w:tcPr>
          <w:p w14:paraId="27817D46" w14:textId="77777777" w:rsidR="00915077" w:rsidRPr="00E26EF6" w:rsidRDefault="000B0B09">
            <w:pPr>
              <w:rPr>
                <w:rFonts w:ascii="Times New Roman" w:hAnsi="Times New Roman"/>
                <w:sz w:val="24"/>
                <w:highlight w:val="lightGray"/>
              </w:rPr>
            </w:pPr>
            <w:r w:rsidRPr="00E26EF6">
              <w:rPr>
                <w:rFonts w:ascii="Times New Roman" w:hAnsi="Times New Roman"/>
                <w:sz w:val="24"/>
              </w:rPr>
              <w:t>010</w:t>
            </w:r>
          </w:p>
        </w:tc>
        <w:tc>
          <w:tcPr>
            <w:tcW w:w="8004" w:type="dxa"/>
          </w:tcPr>
          <w:p w14:paraId="2DAFB63B" w14:textId="77777777" w:rsidR="00915077" w:rsidRPr="00E26EF6" w:rsidRDefault="000B0B09">
            <w:pPr>
              <w:rPr>
                <w:rFonts w:ascii="Times New Roman" w:hAnsi="Times New Roman"/>
                <w:b/>
                <w:bCs/>
                <w:sz w:val="24"/>
                <w:u w:val="single"/>
              </w:rPr>
            </w:pPr>
            <w:r w:rsidRPr="00E26EF6">
              <w:rPr>
                <w:rFonts w:ascii="Times New Roman" w:hAnsi="Times New Roman"/>
                <w:b/>
                <w:bCs/>
                <w:sz w:val="24"/>
                <w:u w:val="single"/>
              </w:rPr>
              <w:t xml:space="preserve">Wartość ekspozycji </w:t>
            </w:r>
          </w:p>
          <w:p w14:paraId="48EEBA11" w14:textId="1131DFE3" w:rsidR="00915077" w:rsidRPr="00E26EF6" w:rsidRDefault="000B0B09">
            <w:pPr>
              <w:rPr>
                <w:rFonts w:ascii="Times New Roman" w:hAnsi="Times New Roman"/>
                <w:sz w:val="24"/>
              </w:rPr>
            </w:pPr>
            <w:r w:rsidRPr="00E26EF6">
              <w:rPr>
                <w:rFonts w:ascii="Times New Roman" w:hAnsi="Times New Roman"/>
                <w:sz w:val="24"/>
              </w:rPr>
              <w:t>Art. 271 CRR</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382 CRR.</w:t>
            </w:r>
          </w:p>
          <w:p w14:paraId="096506B4" w14:textId="64F7E9EE" w:rsidR="00915077" w:rsidRPr="00E26EF6" w:rsidRDefault="000B0B09">
            <w:pPr>
              <w:rPr>
                <w:rFonts w:ascii="Times New Roman" w:hAnsi="Times New Roman"/>
                <w:sz w:val="24"/>
                <w:highlight w:val="lightGray"/>
              </w:rPr>
            </w:pPr>
            <w:r w:rsidRPr="00E26EF6">
              <w:rPr>
                <w:rFonts w:ascii="Times New Roman" w:hAnsi="Times New Roman"/>
                <w:sz w:val="24"/>
              </w:rPr>
              <w:t>Wszystkie ekspozycje, których dotyczy niewykonanie zobowiązania ze wszystkich transakcji podlegających narzutowi</w:t>
            </w:r>
            <w:r w:rsidR="00E26EF6" w:rsidRPr="00E26EF6">
              <w:rPr>
                <w:rFonts w:ascii="Times New Roman" w:hAnsi="Times New Roman"/>
                <w:sz w:val="24"/>
              </w:rPr>
              <w:t xml:space="preserve"> z tyt</w:t>
            </w:r>
            <w:r w:rsidRPr="00E26EF6">
              <w:rPr>
                <w:rFonts w:ascii="Times New Roman" w:hAnsi="Times New Roman"/>
                <w:sz w:val="24"/>
              </w:rPr>
              <w:t>ułu CVA.</w:t>
            </w:r>
          </w:p>
        </w:tc>
      </w:tr>
      <w:tr w:rsidR="00915077" w:rsidRPr="00E26EF6" w14:paraId="66299EE8" w14:textId="77777777" w:rsidTr="00672D2A">
        <w:tc>
          <w:tcPr>
            <w:tcW w:w="852" w:type="dxa"/>
          </w:tcPr>
          <w:p w14:paraId="4E1B4E95" w14:textId="77777777" w:rsidR="00915077" w:rsidRPr="00E26EF6" w:rsidRDefault="000B0B09">
            <w:pPr>
              <w:rPr>
                <w:rFonts w:ascii="Times New Roman" w:hAnsi="Times New Roman"/>
                <w:sz w:val="24"/>
                <w:highlight w:val="lightGray"/>
              </w:rPr>
            </w:pPr>
            <w:r w:rsidRPr="00E26EF6">
              <w:rPr>
                <w:rFonts w:ascii="Times New Roman" w:hAnsi="Times New Roman"/>
                <w:sz w:val="24"/>
              </w:rPr>
              <w:t>020</w:t>
            </w:r>
          </w:p>
        </w:tc>
        <w:tc>
          <w:tcPr>
            <w:tcW w:w="8004" w:type="dxa"/>
          </w:tcPr>
          <w:p w14:paraId="08A29B6D" w14:textId="72D1F052" w:rsidR="00915077" w:rsidRPr="00E26EF6" w:rsidRDefault="000B0B09">
            <w:pPr>
              <w:rPr>
                <w:rFonts w:ascii="Times New Roman" w:hAnsi="Times New Roman"/>
                <w:b/>
                <w:bCs/>
                <w:sz w:val="24"/>
                <w:u w:val="single"/>
              </w:rPr>
            </w:pPr>
            <w:r w:rsidRPr="00E26EF6">
              <w:rPr>
                <w:rFonts w:ascii="Times New Roman" w:hAnsi="Times New Roman"/>
                <w:b/>
                <w:bCs/>
                <w:sz w:val="24"/>
                <w:u w:val="single"/>
              </w:rPr>
              <w:t>W tym:</w:t>
            </w:r>
            <w:r w:rsidR="00E26EF6" w:rsidRPr="00E26EF6">
              <w:rPr>
                <w:rFonts w:ascii="Times New Roman" w:hAnsi="Times New Roman"/>
                <w:b/>
                <w:bCs/>
                <w:sz w:val="24"/>
                <w:u w:val="single"/>
              </w:rPr>
              <w:t xml:space="preserve"> z tyt</w:t>
            </w:r>
            <w:r w:rsidRPr="00E26EF6">
              <w:rPr>
                <w:rFonts w:ascii="Times New Roman" w:hAnsi="Times New Roman"/>
                <w:b/>
                <w:bCs/>
                <w:sz w:val="24"/>
                <w:u w:val="single"/>
              </w:rPr>
              <w:t xml:space="preserve">ułu instrumentów pochodnych będących przedmiotem obrotu poza rynkiem regulowanym </w:t>
            </w:r>
          </w:p>
          <w:p w14:paraId="61314A49" w14:textId="7932070C" w:rsidR="00915077" w:rsidRPr="00E26EF6" w:rsidRDefault="000B0B09">
            <w:pPr>
              <w:rPr>
                <w:rFonts w:ascii="Times New Roman" w:hAnsi="Times New Roman"/>
                <w:sz w:val="24"/>
              </w:rPr>
            </w:pPr>
            <w:r w:rsidRPr="00E26EF6">
              <w:rPr>
                <w:rFonts w:ascii="Times New Roman" w:hAnsi="Times New Roman"/>
                <w:sz w:val="24"/>
              </w:rPr>
              <w:t>Art. 271 CRR</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382 ust.</w:t>
            </w:r>
            <w:r w:rsidR="00023409" w:rsidRPr="00E26EF6">
              <w:rPr>
                <w:rFonts w:ascii="Times New Roman" w:hAnsi="Times New Roman"/>
                <w:sz w:val="24"/>
              </w:rPr>
              <w:t> </w:t>
            </w:r>
            <w:r w:rsidRPr="00E26EF6">
              <w:rPr>
                <w:rFonts w:ascii="Times New Roman" w:hAnsi="Times New Roman"/>
                <w:sz w:val="24"/>
              </w:rPr>
              <w:t>1 CRR.</w:t>
            </w:r>
          </w:p>
          <w:p w14:paraId="3AFBBA5F" w14:textId="2D672B80" w:rsidR="00915077" w:rsidRPr="00E26EF6" w:rsidRDefault="000B0B09">
            <w:pPr>
              <w:rPr>
                <w:rFonts w:ascii="Times New Roman" w:hAnsi="Times New Roman"/>
                <w:sz w:val="24"/>
                <w:highlight w:val="lightGray"/>
              </w:rPr>
            </w:pPr>
            <w:r w:rsidRPr="00E26EF6">
              <w:rPr>
                <w:rFonts w:ascii="Times New Roman" w:hAnsi="Times New Roman"/>
                <w:sz w:val="24"/>
              </w:rPr>
              <w:t>Część całkowitej wartości ekspozycji na ryzyko kredytowe kontrahenta wyłącznie</w:t>
            </w:r>
            <w:r w:rsidR="00E26EF6" w:rsidRPr="00E26EF6">
              <w:rPr>
                <w:rFonts w:ascii="Times New Roman" w:hAnsi="Times New Roman"/>
                <w:sz w:val="24"/>
              </w:rPr>
              <w:t xml:space="preserve"> z tyt</w:t>
            </w:r>
            <w:r w:rsidRPr="00E26EF6">
              <w:rPr>
                <w:rFonts w:ascii="Times New Roman" w:hAnsi="Times New Roman"/>
                <w:sz w:val="24"/>
              </w:rPr>
              <w:t>ułu instrumentów pochodnych będących przedmiotem obrotu poza rynkiem regulowanym. Instytucje stosujące metodę modeli wewnętrznych oraz posiadające</w:t>
            </w:r>
            <w:r w:rsidR="00E26EF6" w:rsidRPr="00E26EF6">
              <w:rPr>
                <w:rFonts w:ascii="Times New Roman" w:hAnsi="Times New Roman"/>
                <w:sz w:val="24"/>
              </w:rPr>
              <w:t xml:space="preserve"> w tym</w:t>
            </w:r>
            <w:r w:rsidRPr="00E26EF6">
              <w:rPr>
                <w:rFonts w:ascii="Times New Roman" w:hAnsi="Times New Roman"/>
                <w:sz w:val="24"/>
              </w:rPr>
              <w:t xml:space="preserve"> samym pakiecie kompensowania instrumenty pochodne będące przedmiotem obrotu poza rynkiem regulowanym</w:t>
            </w:r>
            <w:r w:rsidR="00E26EF6" w:rsidRPr="00E26EF6">
              <w:rPr>
                <w:rFonts w:ascii="Times New Roman" w:hAnsi="Times New Roman"/>
                <w:sz w:val="24"/>
              </w:rPr>
              <w:t xml:space="preserve"> i tra</w:t>
            </w:r>
            <w:r w:rsidRPr="00E26EF6">
              <w:rPr>
                <w:rFonts w:ascii="Times New Roman" w:hAnsi="Times New Roman"/>
                <w:sz w:val="24"/>
              </w:rPr>
              <w:t>nsakcje finansowania papierów wartościowych, nie są zobowiązane do przedstawiania informacji.</w:t>
            </w:r>
          </w:p>
        </w:tc>
      </w:tr>
      <w:tr w:rsidR="00915077" w:rsidRPr="00E26EF6" w14:paraId="2E65FA1D" w14:textId="77777777" w:rsidTr="00672D2A">
        <w:tc>
          <w:tcPr>
            <w:tcW w:w="852" w:type="dxa"/>
          </w:tcPr>
          <w:p w14:paraId="65C226A9" w14:textId="77777777" w:rsidR="00915077" w:rsidRPr="00E26EF6" w:rsidRDefault="000B0B09">
            <w:pPr>
              <w:rPr>
                <w:rFonts w:ascii="Times New Roman" w:hAnsi="Times New Roman"/>
                <w:sz w:val="24"/>
                <w:highlight w:val="lightGray"/>
              </w:rPr>
            </w:pPr>
            <w:r w:rsidRPr="00E26EF6">
              <w:rPr>
                <w:rFonts w:ascii="Times New Roman" w:hAnsi="Times New Roman"/>
                <w:sz w:val="24"/>
              </w:rPr>
              <w:t>030</w:t>
            </w:r>
          </w:p>
        </w:tc>
        <w:tc>
          <w:tcPr>
            <w:tcW w:w="8004" w:type="dxa"/>
          </w:tcPr>
          <w:p w14:paraId="64520F50" w14:textId="53B49332" w:rsidR="00915077" w:rsidRPr="00E26EF6" w:rsidRDefault="000B0B09">
            <w:pPr>
              <w:rPr>
                <w:rFonts w:ascii="Times New Roman" w:hAnsi="Times New Roman"/>
                <w:b/>
                <w:bCs/>
                <w:sz w:val="24"/>
                <w:u w:val="single"/>
              </w:rPr>
            </w:pPr>
            <w:r w:rsidRPr="00E26EF6">
              <w:rPr>
                <w:rFonts w:ascii="Times New Roman" w:hAnsi="Times New Roman"/>
                <w:b/>
                <w:bCs/>
                <w:sz w:val="24"/>
                <w:u w:val="single"/>
              </w:rPr>
              <w:t>W tym:</w:t>
            </w:r>
            <w:r w:rsidR="00E26EF6" w:rsidRPr="00E26EF6">
              <w:rPr>
                <w:rFonts w:ascii="Times New Roman" w:hAnsi="Times New Roman"/>
                <w:b/>
                <w:bCs/>
                <w:sz w:val="24"/>
                <w:u w:val="single"/>
              </w:rPr>
              <w:t xml:space="preserve"> z tyt</w:t>
            </w:r>
            <w:r w:rsidRPr="00E26EF6">
              <w:rPr>
                <w:rFonts w:ascii="Times New Roman" w:hAnsi="Times New Roman"/>
                <w:b/>
                <w:bCs/>
                <w:sz w:val="24"/>
                <w:u w:val="single"/>
              </w:rPr>
              <w:t xml:space="preserve">ułu transakcji finansowania papierów wartościowych </w:t>
            </w:r>
          </w:p>
          <w:p w14:paraId="3B225BCF" w14:textId="5AA49DDD" w:rsidR="00915077" w:rsidRPr="00E26EF6" w:rsidRDefault="000B0B09">
            <w:pPr>
              <w:rPr>
                <w:rFonts w:ascii="Times New Roman" w:hAnsi="Times New Roman"/>
                <w:sz w:val="24"/>
              </w:rPr>
            </w:pPr>
            <w:r w:rsidRPr="00E26EF6">
              <w:rPr>
                <w:rFonts w:ascii="Times New Roman" w:hAnsi="Times New Roman"/>
                <w:sz w:val="24"/>
              </w:rPr>
              <w:t>Art. 271 CRR</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382 ust.</w:t>
            </w:r>
            <w:r w:rsidR="00023409" w:rsidRPr="00E26EF6">
              <w:rPr>
                <w:rFonts w:ascii="Times New Roman" w:hAnsi="Times New Roman"/>
                <w:sz w:val="24"/>
              </w:rPr>
              <w:t> </w:t>
            </w:r>
            <w:r w:rsidRPr="00E26EF6">
              <w:rPr>
                <w:rFonts w:ascii="Times New Roman" w:hAnsi="Times New Roman"/>
                <w:sz w:val="24"/>
              </w:rPr>
              <w:t>2 CRR</w:t>
            </w:r>
          </w:p>
          <w:p w14:paraId="3028F5AF" w14:textId="6B53714C" w:rsidR="00915077" w:rsidRPr="00E26EF6" w:rsidRDefault="000B0B09">
            <w:pPr>
              <w:rPr>
                <w:rFonts w:ascii="Times New Roman" w:hAnsi="Times New Roman"/>
                <w:sz w:val="24"/>
                <w:highlight w:val="lightGray"/>
              </w:rPr>
            </w:pPr>
            <w:r w:rsidRPr="00E26EF6">
              <w:rPr>
                <w:rFonts w:ascii="Times New Roman" w:hAnsi="Times New Roman"/>
                <w:sz w:val="24"/>
              </w:rPr>
              <w:t>Część całkowitej wartości ekspozycji na ryzyko kredytowe kontrahenta wyłącznie</w:t>
            </w:r>
            <w:r w:rsidR="00E26EF6" w:rsidRPr="00E26EF6">
              <w:rPr>
                <w:rFonts w:ascii="Times New Roman" w:hAnsi="Times New Roman"/>
                <w:sz w:val="24"/>
              </w:rPr>
              <w:t xml:space="preserve"> z tyt</w:t>
            </w:r>
            <w:r w:rsidRPr="00E26EF6">
              <w:rPr>
                <w:rFonts w:ascii="Times New Roman" w:hAnsi="Times New Roman"/>
                <w:sz w:val="24"/>
              </w:rPr>
              <w:t>ułu transakcji finansowania papierów wartościowych. Instytucje stosujące metodę modeli wewnętrznych oraz posiadające</w:t>
            </w:r>
            <w:r w:rsidR="00E26EF6" w:rsidRPr="00E26EF6">
              <w:rPr>
                <w:rFonts w:ascii="Times New Roman" w:hAnsi="Times New Roman"/>
                <w:sz w:val="24"/>
              </w:rPr>
              <w:t xml:space="preserve"> w tym</w:t>
            </w:r>
            <w:r w:rsidRPr="00E26EF6">
              <w:rPr>
                <w:rFonts w:ascii="Times New Roman" w:hAnsi="Times New Roman"/>
                <w:sz w:val="24"/>
              </w:rPr>
              <w:t xml:space="preserve"> samym pakiecie kompensowania instrumenty pochodne będące przedmiotem obrotu poza rynkiem regulowanym</w:t>
            </w:r>
            <w:r w:rsidR="00E26EF6" w:rsidRPr="00E26EF6">
              <w:rPr>
                <w:rFonts w:ascii="Times New Roman" w:hAnsi="Times New Roman"/>
                <w:sz w:val="24"/>
              </w:rPr>
              <w:t xml:space="preserve"> i tra</w:t>
            </w:r>
            <w:r w:rsidRPr="00E26EF6">
              <w:rPr>
                <w:rFonts w:ascii="Times New Roman" w:hAnsi="Times New Roman"/>
                <w:sz w:val="24"/>
              </w:rPr>
              <w:t>nsakcje finansowania papierów wartościowych, nie są zobowiązane do przedstawiania informacji.</w:t>
            </w:r>
          </w:p>
        </w:tc>
      </w:tr>
      <w:tr w:rsidR="00915077" w:rsidRPr="00E26EF6" w14:paraId="75FFB061" w14:textId="77777777" w:rsidTr="00672D2A">
        <w:tc>
          <w:tcPr>
            <w:tcW w:w="852" w:type="dxa"/>
          </w:tcPr>
          <w:p w14:paraId="19390593" w14:textId="77777777" w:rsidR="00915077" w:rsidRPr="00E26EF6" w:rsidRDefault="000B0B09">
            <w:pPr>
              <w:rPr>
                <w:rFonts w:ascii="Times New Roman" w:hAnsi="Times New Roman"/>
                <w:sz w:val="24"/>
                <w:highlight w:val="lightGray"/>
              </w:rPr>
            </w:pPr>
            <w:r w:rsidRPr="00E26EF6">
              <w:rPr>
                <w:rFonts w:ascii="Times New Roman" w:hAnsi="Times New Roman"/>
                <w:sz w:val="24"/>
              </w:rPr>
              <w:t>040</w:t>
            </w:r>
          </w:p>
        </w:tc>
        <w:tc>
          <w:tcPr>
            <w:tcW w:w="8004" w:type="dxa"/>
          </w:tcPr>
          <w:p w14:paraId="3B97A67A" w14:textId="77777777" w:rsidR="00915077" w:rsidRPr="00E26EF6" w:rsidRDefault="000B0B09">
            <w:pPr>
              <w:rPr>
                <w:rFonts w:ascii="Times New Roman" w:hAnsi="Times New Roman"/>
                <w:b/>
                <w:sz w:val="24"/>
                <w:u w:val="single"/>
              </w:rPr>
            </w:pPr>
            <w:r w:rsidRPr="00E26EF6">
              <w:rPr>
                <w:rFonts w:ascii="Times New Roman" w:hAnsi="Times New Roman"/>
                <w:b/>
                <w:sz w:val="24"/>
                <w:u w:val="single"/>
              </w:rPr>
              <w:t>MNOŻNIK (mc) x ŚREDNIA Z POPRZEDNICH 60 DNI ROBOCZYCH (VaRavg)</w:t>
            </w:r>
          </w:p>
          <w:p w14:paraId="2F9A54B9" w14:textId="1994E657" w:rsidR="00915077" w:rsidRPr="00E26EF6" w:rsidRDefault="000B0B09">
            <w:pPr>
              <w:rPr>
                <w:rFonts w:ascii="Times New Roman" w:hAnsi="Times New Roman"/>
                <w:sz w:val="24"/>
              </w:rPr>
            </w:pPr>
            <w:r w:rsidRPr="00E26EF6">
              <w:rPr>
                <w:rFonts w:ascii="Times New Roman" w:hAnsi="Times New Roman"/>
                <w:sz w:val="24"/>
              </w:rPr>
              <w:t>Art. 383 CRR</w:t>
            </w:r>
            <w:r w:rsidR="00E26EF6" w:rsidRPr="00E26EF6">
              <w:rPr>
                <w:rFonts w:ascii="Times New Roman" w:hAnsi="Times New Roman"/>
                <w:sz w:val="24"/>
              </w:rPr>
              <w:t xml:space="preserve"> w zwi</w:t>
            </w:r>
            <w:r w:rsidRPr="00E26EF6">
              <w:rPr>
                <w:rFonts w:ascii="Times New Roman" w:hAnsi="Times New Roman"/>
                <w:sz w:val="24"/>
              </w:rPr>
              <w:t>ązku</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363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 xml:space="preserve">d) CRR. </w:t>
            </w:r>
          </w:p>
          <w:p w14:paraId="4EB0F6FA" w14:textId="77777777" w:rsidR="00915077" w:rsidRPr="00E26EF6" w:rsidRDefault="000B0B09">
            <w:pPr>
              <w:rPr>
                <w:rFonts w:ascii="Times New Roman" w:hAnsi="Times New Roman"/>
                <w:sz w:val="24"/>
                <w:highlight w:val="lightGray"/>
              </w:rPr>
            </w:pPr>
            <w:r w:rsidRPr="00E26EF6">
              <w:rPr>
                <w:rFonts w:ascii="Times New Roman" w:hAnsi="Times New Roman"/>
                <w:sz w:val="24"/>
              </w:rPr>
              <w:t xml:space="preserve">Obliczenia wartości zagrożonej oparte na modelach wewnętrznych dla ryzyka rynkowego. </w:t>
            </w:r>
          </w:p>
        </w:tc>
      </w:tr>
      <w:tr w:rsidR="00915077" w:rsidRPr="00E26EF6" w14:paraId="5DB488EB" w14:textId="77777777" w:rsidTr="00672D2A">
        <w:tc>
          <w:tcPr>
            <w:tcW w:w="852" w:type="dxa"/>
          </w:tcPr>
          <w:p w14:paraId="6D1E7817" w14:textId="77777777" w:rsidR="00915077" w:rsidRPr="00E26EF6" w:rsidRDefault="000B0B09">
            <w:pPr>
              <w:rPr>
                <w:rFonts w:ascii="Times New Roman" w:hAnsi="Times New Roman"/>
                <w:sz w:val="24"/>
                <w:highlight w:val="lightGray"/>
              </w:rPr>
            </w:pPr>
            <w:r w:rsidRPr="00E26EF6">
              <w:rPr>
                <w:rFonts w:ascii="Times New Roman" w:hAnsi="Times New Roman"/>
                <w:sz w:val="24"/>
              </w:rPr>
              <w:t>050</w:t>
            </w:r>
          </w:p>
        </w:tc>
        <w:tc>
          <w:tcPr>
            <w:tcW w:w="8004" w:type="dxa"/>
          </w:tcPr>
          <w:p w14:paraId="44F1F820" w14:textId="77777777" w:rsidR="00915077" w:rsidRPr="00E26EF6" w:rsidRDefault="000B0B09">
            <w:pPr>
              <w:rPr>
                <w:rFonts w:ascii="Times New Roman" w:hAnsi="Times New Roman"/>
                <w:b/>
                <w:bCs/>
                <w:sz w:val="24"/>
                <w:u w:val="single"/>
              </w:rPr>
            </w:pPr>
            <w:r w:rsidRPr="00E26EF6">
              <w:rPr>
                <w:rFonts w:ascii="Times New Roman" w:hAnsi="Times New Roman"/>
                <w:b/>
                <w:bCs/>
                <w:sz w:val="24"/>
                <w:u w:val="single"/>
              </w:rPr>
              <w:t>POPRZEDNI DZIEŃ (VaRt-1)</w:t>
            </w:r>
          </w:p>
          <w:p w14:paraId="11C8C183" w14:textId="114B9D75" w:rsidR="00915077" w:rsidRPr="00E26EF6" w:rsidRDefault="000B0B09">
            <w:pPr>
              <w:rPr>
                <w:rFonts w:ascii="Times New Roman" w:hAnsi="Times New Roman"/>
                <w:sz w:val="24"/>
                <w:highlight w:val="lightGray"/>
              </w:rPr>
            </w:pPr>
            <w:r w:rsidRPr="00E26EF6">
              <w:rPr>
                <w:rFonts w:ascii="Times New Roman" w:hAnsi="Times New Roman"/>
                <w:sz w:val="24"/>
              </w:rPr>
              <w:t>Zob. instrukcje dla kolumny 040.</w:t>
            </w:r>
          </w:p>
        </w:tc>
      </w:tr>
      <w:tr w:rsidR="00915077" w:rsidRPr="00E26EF6" w14:paraId="02D09CF1" w14:textId="77777777" w:rsidTr="00672D2A">
        <w:tc>
          <w:tcPr>
            <w:tcW w:w="852" w:type="dxa"/>
          </w:tcPr>
          <w:p w14:paraId="71F58067" w14:textId="77777777" w:rsidR="00915077" w:rsidRPr="00E26EF6" w:rsidRDefault="000B0B09">
            <w:pPr>
              <w:rPr>
                <w:rFonts w:ascii="Times New Roman" w:hAnsi="Times New Roman"/>
                <w:sz w:val="24"/>
                <w:highlight w:val="lightGray"/>
              </w:rPr>
            </w:pPr>
            <w:r w:rsidRPr="00E26EF6">
              <w:rPr>
                <w:rFonts w:ascii="Times New Roman" w:hAnsi="Times New Roman"/>
                <w:sz w:val="24"/>
              </w:rPr>
              <w:t>060</w:t>
            </w:r>
          </w:p>
        </w:tc>
        <w:tc>
          <w:tcPr>
            <w:tcW w:w="8004" w:type="dxa"/>
          </w:tcPr>
          <w:p w14:paraId="724BD1DF" w14:textId="77777777" w:rsidR="00915077" w:rsidRPr="00E26EF6" w:rsidRDefault="000B0B09">
            <w:pPr>
              <w:rPr>
                <w:rFonts w:ascii="Times New Roman" w:hAnsi="Times New Roman"/>
                <w:b/>
                <w:bCs/>
                <w:sz w:val="24"/>
                <w:u w:val="single"/>
              </w:rPr>
            </w:pPr>
            <w:r w:rsidRPr="00E26EF6">
              <w:rPr>
                <w:rFonts w:ascii="Times New Roman" w:hAnsi="Times New Roman"/>
                <w:b/>
                <w:bCs/>
                <w:sz w:val="24"/>
                <w:u w:val="single"/>
              </w:rPr>
              <w:t>MNOŻNIK (ms) x ŚREDNIA Z POPRZEDNICH 60 DNI ROBOCZYCH (SVaRavg)</w:t>
            </w:r>
          </w:p>
          <w:p w14:paraId="61BF4BED" w14:textId="1CE4407D" w:rsidR="00915077" w:rsidRPr="00E26EF6" w:rsidRDefault="000B0B09">
            <w:pPr>
              <w:rPr>
                <w:rFonts w:ascii="Times New Roman" w:hAnsi="Times New Roman"/>
                <w:sz w:val="24"/>
                <w:highlight w:val="lightGray"/>
              </w:rPr>
            </w:pPr>
            <w:r w:rsidRPr="00E26EF6">
              <w:rPr>
                <w:rFonts w:ascii="Times New Roman" w:hAnsi="Times New Roman"/>
                <w:sz w:val="24"/>
              </w:rPr>
              <w:t>Zob. instrukcje dla kolumny 040.</w:t>
            </w:r>
          </w:p>
        </w:tc>
      </w:tr>
      <w:tr w:rsidR="00915077" w:rsidRPr="00E26EF6" w14:paraId="753B76EE" w14:textId="77777777" w:rsidTr="00672D2A">
        <w:tc>
          <w:tcPr>
            <w:tcW w:w="852" w:type="dxa"/>
          </w:tcPr>
          <w:p w14:paraId="182174DD" w14:textId="77777777" w:rsidR="00915077" w:rsidRPr="00E26EF6" w:rsidRDefault="000B0B09">
            <w:pPr>
              <w:rPr>
                <w:rFonts w:ascii="Times New Roman" w:hAnsi="Times New Roman"/>
                <w:sz w:val="24"/>
                <w:highlight w:val="lightGray"/>
              </w:rPr>
            </w:pPr>
            <w:r w:rsidRPr="00E26EF6">
              <w:rPr>
                <w:rFonts w:ascii="Times New Roman" w:hAnsi="Times New Roman"/>
                <w:sz w:val="24"/>
              </w:rPr>
              <w:t>070</w:t>
            </w:r>
          </w:p>
        </w:tc>
        <w:tc>
          <w:tcPr>
            <w:tcW w:w="8004" w:type="dxa"/>
          </w:tcPr>
          <w:p w14:paraId="568CF550" w14:textId="77777777" w:rsidR="00915077" w:rsidRPr="00E26EF6" w:rsidRDefault="000B0B09">
            <w:pPr>
              <w:rPr>
                <w:rFonts w:ascii="Times New Roman" w:hAnsi="Times New Roman"/>
                <w:b/>
                <w:sz w:val="24"/>
                <w:u w:val="single"/>
              </w:rPr>
            </w:pPr>
            <w:r w:rsidRPr="00E26EF6">
              <w:rPr>
                <w:rFonts w:ascii="Times New Roman" w:hAnsi="Times New Roman"/>
                <w:b/>
                <w:sz w:val="24"/>
                <w:u w:val="single"/>
              </w:rPr>
              <w:t>OSTATNIA DOSTĘPNA (SVaRt-1)</w:t>
            </w:r>
          </w:p>
          <w:p w14:paraId="78ABE34A" w14:textId="7B8AAA9D" w:rsidR="00915077" w:rsidRPr="00E26EF6" w:rsidRDefault="000B0B09">
            <w:pPr>
              <w:rPr>
                <w:rFonts w:ascii="Times New Roman" w:hAnsi="Times New Roman"/>
                <w:b/>
                <w:sz w:val="24"/>
                <w:highlight w:val="lightGray"/>
                <w:u w:val="single"/>
              </w:rPr>
            </w:pPr>
            <w:r w:rsidRPr="00E26EF6">
              <w:rPr>
                <w:rFonts w:ascii="Times New Roman" w:hAnsi="Times New Roman"/>
                <w:sz w:val="24"/>
              </w:rPr>
              <w:t>Zob. instrukcje dla kolumny 040.</w:t>
            </w:r>
          </w:p>
        </w:tc>
      </w:tr>
      <w:tr w:rsidR="00915077" w:rsidRPr="00E26EF6" w14:paraId="62E535D9" w14:textId="77777777" w:rsidTr="00672D2A">
        <w:tc>
          <w:tcPr>
            <w:tcW w:w="852" w:type="dxa"/>
          </w:tcPr>
          <w:p w14:paraId="054E7BC8" w14:textId="77777777" w:rsidR="00915077" w:rsidRPr="00E26EF6" w:rsidRDefault="000B0B09">
            <w:pPr>
              <w:rPr>
                <w:rFonts w:ascii="Times New Roman" w:hAnsi="Times New Roman"/>
                <w:sz w:val="24"/>
                <w:highlight w:val="lightGray"/>
              </w:rPr>
            </w:pPr>
            <w:r w:rsidRPr="00E26EF6">
              <w:rPr>
                <w:rFonts w:ascii="Times New Roman" w:hAnsi="Times New Roman"/>
                <w:sz w:val="24"/>
              </w:rPr>
              <w:t>080</w:t>
            </w:r>
          </w:p>
        </w:tc>
        <w:tc>
          <w:tcPr>
            <w:tcW w:w="8004" w:type="dxa"/>
          </w:tcPr>
          <w:p w14:paraId="2EEF49C0" w14:textId="77777777" w:rsidR="00915077" w:rsidRPr="00E26EF6" w:rsidRDefault="000B0B09">
            <w:pPr>
              <w:rPr>
                <w:rFonts w:ascii="Times New Roman" w:hAnsi="Times New Roman"/>
                <w:b/>
                <w:sz w:val="24"/>
                <w:u w:val="single"/>
              </w:rPr>
            </w:pPr>
            <w:r w:rsidRPr="00E26EF6">
              <w:rPr>
                <w:rFonts w:ascii="Times New Roman" w:hAnsi="Times New Roman"/>
                <w:b/>
                <w:sz w:val="24"/>
                <w:u w:val="single"/>
              </w:rPr>
              <w:t>WYMOGI W ZAKRESIE FUNDUSZY WŁASNYCH</w:t>
            </w:r>
          </w:p>
          <w:p w14:paraId="1E993DF0" w14:textId="43C3966C" w:rsidR="00915077" w:rsidRPr="00E26EF6" w:rsidRDefault="001E0C80">
            <w:pPr>
              <w:rPr>
                <w:rFonts w:ascii="Times New Roman" w:hAnsi="Times New Roman"/>
                <w:sz w:val="24"/>
              </w:rPr>
            </w:pPr>
            <w:r w:rsidRPr="00E26EF6">
              <w:rPr>
                <w:rFonts w:ascii="Times New Roman" w:hAnsi="Times New Roman"/>
                <w:sz w:val="24"/>
              </w:rPr>
              <w:t>Art. 92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 xml:space="preserve">d) CRR. </w:t>
            </w:r>
          </w:p>
          <w:p w14:paraId="77E9E438" w14:textId="666D9B73" w:rsidR="00915077" w:rsidRPr="00E26EF6" w:rsidRDefault="000B0B09">
            <w:pPr>
              <w:rPr>
                <w:rFonts w:ascii="Times New Roman" w:hAnsi="Times New Roman"/>
                <w:sz w:val="24"/>
                <w:highlight w:val="lightGray"/>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w:t>
            </w:r>
            <w:r w:rsidR="00E26EF6" w:rsidRPr="00E26EF6">
              <w:rPr>
                <w:rFonts w:ascii="Times New Roman" w:hAnsi="Times New Roman"/>
                <w:sz w:val="24"/>
              </w:rPr>
              <w:t xml:space="preserve"> z tyt</w:t>
            </w:r>
            <w:r w:rsidRPr="00E26EF6">
              <w:rPr>
                <w:rFonts w:ascii="Times New Roman" w:hAnsi="Times New Roman"/>
                <w:sz w:val="24"/>
              </w:rPr>
              <w:t>ułu ryzyka CVA obliczone za pomocą wybranej metody.</w:t>
            </w:r>
          </w:p>
        </w:tc>
      </w:tr>
      <w:tr w:rsidR="00915077" w:rsidRPr="00E26EF6" w14:paraId="7C5E8B43" w14:textId="77777777" w:rsidTr="00672D2A">
        <w:tc>
          <w:tcPr>
            <w:tcW w:w="852" w:type="dxa"/>
          </w:tcPr>
          <w:p w14:paraId="0E4FA944" w14:textId="77777777" w:rsidR="00915077" w:rsidRPr="00E26EF6" w:rsidRDefault="000B0B09">
            <w:pPr>
              <w:rPr>
                <w:rFonts w:ascii="Times New Roman" w:hAnsi="Times New Roman"/>
                <w:sz w:val="24"/>
                <w:highlight w:val="lightGray"/>
              </w:rPr>
            </w:pPr>
            <w:r w:rsidRPr="00E26EF6">
              <w:rPr>
                <w:rFonts w:ascii="Times New Roman" w:hAnsi="Times New Roman"/>
                <w:sz w:val="24"/>
              </w:rPr>
              <w:t>090</w:t>
            </w:r>
          </w:p>
        </w:tc>
        <w:tc>
          <w:tcPr>
            <w:tcW w:w="8004" w:type="dxa"/>
          </w:tcPr>
          <w:p w14:paraId="211D4A9B" w14:textId="77777777" w:rsidR="00915077" w:rsidRPr="00E26EF6" w:rsidRDefault="000B0B09">
            <w:pPr>
              <w:rPr>
                <w:rFonts w:ascii="Times New Roman" w:hAnsi="Times New Roman"/>
                <w:b/>
                <w:sz w:val="24"/>
                <w:u w:val="single"/>
              </w:rPr>
            </w:pPr>
            <w:r w:rsidRPr="00E26EF6">
              <w:rPr>
                <w:rFonts w:ascii="Times New Roman" w:hAnsi="Times New Roman"/>
                <w:b/>
                <w:sz w:val="24"/>
                <w:u w:val="single"/>
              </w:rPr>
              <w:t>ŁĄCZNA KWOTA EKSPOZYCJI NA RYZYKO</w:t>
            </w:r>
          </w:p>
          <w:p w14:paraId="2365D3EA" w14:textId="3CB6F7C8" w:rsidR="00915077" w:rsidRPr="00E26EF6" w:rsidRDefault="001E0C80">
            <w:pPr>
              <w:rPr>
                <w:rFonts w:ascii="Times New Roman" w:hAnsi="Times New Roman"/>
                <w:sz w:val="24"/>
              </w:rPr>
            </w:pPr>
            <w:r w:rsidRPr="00E26EF6">
              <w:rPr>
                <w:rFonts w:ascii="Times New Roman" w:hAnsi="Times New Roman"/>
                <w:sz w:val="24"/>
              </w:rPr>
              <w:t>Art. 92 ust.</w:t>
            </w:r>
            <w:r w:rsidR="00023409" w:rsidRPr="00E26EF6">
              <w:rPr>
                <w:rFonts w:ascii="Times New Roman" w:hAnsi="Times New Roman"/>
                <w:sz w:val="24"/>
              </w:rPr>
              <w:t> </w:t>
            </w:r>
            <w:r w:rsidRPr="00E26EF6">
              <w:rPr>
                <w:rFonts w:ascii="Times New Roman" w:hAnsi="Times New Roman"/>
                <w:sz w:val="24"/>
              </w:rPr>
              <w:t>4 lit.</w:t>
            </w:r>
            <w:r w:rsidR="00023409" w:rsidRPr="00E26EF6">
              <w:rPr>
                <w:rFonts w:ascii="Times New Roman" w:hAnsi="Times New Roman"/>
                <w:sz w:val="24"/>
              </w:rPr>
              <w:t> </w:t>
            </w:r>
            <w:r w:rsidRPr="00E26EF6">
              <w:rPr>
                <w:rFonts w:ascii="Times New Roman" w:hAnsi="Times New Roman"/>
                <w:sz w:val="24"/>
              </w:rPr>
              <w:t>b) CRR.</w:t>
            </w:r>
          </w:p>
          <w:p w14:paraId="147F8D5B" w14:textId="00425D2E" w:rsidR="00915077" w:rsidRPr="00E26EF6" w:rsidRDefault="000B0B09">
            <w:pPr>
              <w:rPr>
                <w:rFonts w:ascii="Times New Roman" w:hAnsi="Times New Roman"/>
                <w:sz w:val="24"/>
                <w:highlight w:val="lightGray"/>
              </w:rPr>
            </w:pPr>
            <w:r w:rsidRPr="00E26EF6">
              <w:rPr>
                <w:rFonts w:ascii="Times New Roman" w:hAnsi="Times New Roman"/>
                <w:sz w:val="24"/>
              </w:rPr>
              <w:t>Wymogi</w:t>
            </w:r>
            <w:r w:rsidR="00E26EF6" w:rsidRPr="00E26EF6">
              <w:rPr>
                <w:rFonts w:ascii="Times New Roman" w:hAnsi="Times New Roman"/>
                <w:sz w:val="24"/>
              </w:rPr>
              <w:t xml:space="preserve"> w zak</w:t>
            </w:r>
            <w:r w:rsidRPr="00E26EF6">
              <w:rPr>
                <w:rFonts w:ascii="Times New Roman" w:hAnsi="Times New Roman"/>
                <w:sz w:val="24"/>
              </w:rPr>
              <w:t>resie funduszy własnych pomnożone przez 12,5.</w:t>
            </w:r>
          </w:p>
        </w:tc>
      </w:tr>
      <w:tr w:rsidR="00915077" w:rsidRPr="00E26EF6" w14:paraId="22191597" w14:textId="77777777" w:rsidTr="00672D2A">
        <w:tc>
          <w:tcPr>
            <w:tcW w:w="852" w:type="dxa"/>
          </w:tcPr>
          <w:p w14:paraId="521173D0" w14:textId="77777777" w:rsidR="00915077" w:rsidRPr="00E26EF6" w:rsidRDefault="00915077">
            <w:pPr>
              <w:rPr>
                <w:rFonts w:ascii="Times New Roman" w:hAnsi="Times New Roman"/>
                <w:sz w:val="24"/>
                <w:highlight w:val="lightGray"/>
              </w:rPr>
            </w:pPr>
          </w:p>
        </w:tc>
        <w:tc>
          <w:tcPr>
            <w:tcW w:w="8004" w:type="dxa"/>
          </w:tcPr>
          <w:p w14:paraId="0294D0C0" w14:textId="77777777" w:rsidR="00915077" w:rsidRPr="00E26EF6" w:rsidRDefault="000B0B09">
            <w:pPr>
              <w:rPr>
                <w:rFonts w:ascii="Times New Roman" w:hAnsi="Times New Roman"/>
                <w:b/>
                <w:sz w:val="24"/>
                <w:highlight w:val="lightGray"/>
                <w:u w:val="single"/>
              </w:rPr>
            </w:pPr>
            <w:r w:rsidRPr="00E26EF6">
              <w:rPr>
                <w:rFonts w:ascii="Times New Roman" w:hAnsi="Times New Roman"/>
                <w:b/>
                <w:sz w:val="24"/>
                <w:u w:val="single"/>
              </w:rPr>
              <w:t>Pozycje uzupełniające</w:t>
            </w:r>
          </w:p>
        </w:tc>
      </w:tr>
      <w:tr w:rsidR="00915077" w:rsidRPr="00E26EF6" w14:paraId="22282EAE" w14:textId="77777777" w:rsidTr="00672D2A">
        <w:tc>
          <w:tcPr>
            <w:tcW w:w="852" w:type="dxa"/>
          </w:tcPr>
          <w:p w14:paraId="375E1268" w14:textId="77777777" w:rsidR="00915077" w:rsidRPr="00E26EF6" w:rsidRDefault="000B0B09">
            <w:pPr>
              <w:rPr>
                <w:rFonts w:ascii="Times New Roman" w:hAnsi="Times New Roman"/>
                <w:sz w:val="24"/>
                <w:highlight w:val="lightGray"/>
              </w:rPr>
            </w:pPr>
            <w:r w:rsidRPr="00E26EF6">
              <w:rPr>
                <w:rFonts w:ascii="Times New Roman" w:hAnsi="Times New Roman"/>
                <w:sz w:val="24"/>
              </w:rPr>
              <w:t>100</w:t>
            </w:r>
          </w:p>
        </w:tc>
        <w:tc>
          <w:tcPr>
            <w:tcW w:w="8004" w:type="dxa"/>
          </w:tcPr>
          <w:p w14:paraId="2EF4F460" w14:textId="77777777" w:rsidR="00915077" w:rsidRPr="00E26EF6" w:rsidRDefault="000B0B09">
            <w:pPr>
              <w:rPr>
                <w:rFonts w:ascii="Times New Roman" w:hAnsi="Times New Roman"/>
                <w:b/>
                <w:sz w:val="24"/>
                <w:u w:val="single"/>
              </w:rPr>
            </w:pPr>
            <w:r w:rsidRPr="00E26EF6">
              <w:rPr>
                <w:rFonts w:ascii="Times New Roman" w:hAnsi="Times New Roman"/>
                <w:b/>
                <w:sz w:val="24"/>
                <w:u w:val="single"/>
              </w:rPr>
              <w:t>Liczba kontrahentów</w:t>
            </w:r>
          </w:p>
          <w:p w14:paraId="064FE37D" w14:textId="366C87F7" w:rsidR="00915077" w:rsidRPr="00E26EF6" w:rsidRDefault="000B0B09">
            <w:pPr>
              <w:rPr>
                <w:rFonts w:ascii="Times New Roman" w:hAnsi="Times New Roman"/>
                <w:sz w:val="24"/>
              </w:rPr>
            </w:pPr>
            <w:r w:rsidRPr="00E26EF6">
              <w:rPr>
                <w:rFonts w:ascii="Times New Roman" w:hAnsi="Times New Roman"/>
                <w:sz w:val="24"/>
              </w:rPr>
              <w:t>Art. 382 CRR</w:t>
            </w:r>
          </w:p>
          <w:p w14:paraId="41D6F95E" w14:textId="5299926E" w:rsidR="00915077" w:rsidRPr="00E26EF6" w:rsidRDefault="000B0B09">
            <w:pPr>
              <w:rPr>
                <w:rFonts w:ascii="Times New Roman" w:hAnsi="Times New Roman"/>
                <w:sz w:val="24"/>
              </w:rPr>
            </w:pPr>
            <w:r w:rsidRPr="00E26EF6">
              <w:rPr>
                <w:rFonts w:ascii="Times New Roman" w:hAnsi="Times New Roman"/>
                <w:sz w:val="24"/>
              </w:rPr>
              <w:t>Liczba kontrahentów uwzględnionych</w:t>
            </w:r>
            <w:r w:rsidR="00E26EF6" w:rsidRPr="00E26EF6">
              <w:rPr>
                <w:rFonts w:ascii="Times New Roman" w:hAnsi="Times New Roman"/>
                <w:sz w:val="24"/>
              </w:rPr>
              <w:t xml:space="preserve"> w obl</w:t>
            </w:r>
            <w:r w:rsidRPr="00E26EF6">
              <w:rPr>
                <w:rFonts w:ascii="Times New Roman" w:hAnsi="Times New Roman"/>
                <w:sz w:val="24"/>
              </w:rPr>
              <w:t>iczeniach funduszy własnych</w:t>
            </w:r>
            <w:r w:rsidR="00E26EF6" w:rsidRPr="00E26EF6">
              <w:rPr>
                <w:rFonts w:ascii="Times New Roman" w:hAnsi="Times New Roman"/>
                <w:sz w:val="24"/>
              </w:rPr>
              <w:t xml:space="preserve"> z tyt</w:t>
            </w:r>
            <w:r w:rsidRPr="00E26EF6">
              <w:rPr>
                <w:rFonts w:ascii="Times New Roman" w:hAnsi="Times New Roman"/>
                <w:sz w:val="24"/>
              </w:rPr>
              <w:t>ułu ryzyka CVA.</w:t>
            </w:r>
          </w:p>
          <w:p w14:paraId="6F296582" w14:textId="284BD279" w:rsidR="00915077" w:rsidRPr="00E26EF6" w:rsidRDefault="000B0B09">
            <w:pPr>
              <w:rPr>
                <w:rFonts w:ascii="Times New Roman" w:hAnsi="Times New Roman"/>
                <w:sz w:val="24"/>
                <w:highlight w:val="lightGray"/>
              </w:rPr>
            </w:pPr>
            <w:r w:rsidRPr="00E26EF6">
              <w:rPr>
                <w:rFonts w:ascii="Times New Roman" w:hAnsi="Times New Roman"/>
                <w:sz w:val="24"/>
              </w:rPr>
              <w:t>Kontrahenci stanowią podzbiór złożony</w:t>
            </w:r>
            <w:r w:rsidR="00E26EF6" w:rsidRPr="00E26EF6">
              <w:rPr>
                <w:rFonts w:ascii="Times New Roman" w:hAnsi="Times New Roman"/>
                <w:sz w:val="24"/>
              </w:rPr>
              <w:t xml:space="preserve"> z dłu</w:t>
            </w:r>
            <w:r w:rsidRPr="00E26EF6">
              <w:rPr>
                <w:rFonts w:ascii="Times New Roman" w:hAnsi="Times New Roman"/>
                <w:sz w:val="24"/>
              </w:rPr>
              <w:t>żników. Istnieją tylko</w:t>
            </w:r>
            <w:r w:rsidR="00E26EF6" w:rsidRPr="00E26EF6">
              <w:rPr>
                <w:rFonts w:ascii="Times New Roman" w:hAnsi="Times New Roman"/>
                <w:sz w:val="24"/>
              </w:rPr>
              <w:t xml:space="preserve"> w prz</w:t>
            </w:r>
            <w:r w:rsidRPr="00E26EF6">
              <w:rPr>
                <w:rFonts w:ascii="Times New Roman" w:hAnsi="Times New Roman"/>
                <w:sz w:val="24"/>
              </w:rPr>
              <w:t xml:space="preserve">ypadku transakcji dotyczących instrumentów pochodnych lub transakcji finansowania papierów wartościowych, gdzie stanowią drugą umawiającą się stronę. </w:t>
            </w:r>
          </w:p>
        </w:tc>
      </w:tr>
      <w:tr w:rsidR="00915077" w:rsidRPr="00E26EF6" w14:paraId="208E8D8E" w14:textId="77777777" w:rsidTr="00672D2A">
        <w:tc>
          <w:tcPr>
            <w:tcW w:w="852" w:type="dxa"/>
          </w:tcPr>
          <w:p w14:paraId="7A9385D3" w14:textId="77777777" w:rsidR="00915077" w:rsidRPr="00E26EF6" w:rsidRDefault="000B0B09">
            <w:pPr>
              <w:rPr>
                <w:rFonts w:ascii="Times New Roman" w:hAnsi="Times New Roman"/>
                <w:sz w:val="24"/>
                <w:highlight w:val="lightGray"/>
              </w:rPr>
            </w:pPr>
            <w:r w:rsidRPr="00E26EF6">
              <w:rPr>
                <w:rFonts w:ascii="Times New Roman" w:hAnsi="Times New Roman"/>
                <w:sz w:val="24"/>
              </w:rPr>
              <w:t>110</w:t>
            </w:r>
          </w:p>
        </w:tc>
        <w:tc>
          <w:tcPr>
            <w:tcW w:w="8004" w:type="dxa"/>
          </w:tcPr>
          <w:p w14:paraId="0881EDD6" w14:textId="0E046EFE" w:rsidR="00915077" w:rsidRPr="00E26EF6" w:rsidRDefault="000B0B09">
            <w:pPr>
              <w:rPr>
                <w:rFonts w:ascii="Times New Roman" w:hAnsi="Times New Roman"/>
                <w:b/>
                <w:sz w:val="24"/>
                <w:u w:val="single"/>
              </w:rPr>
            </w:pPr>
            <w:r w:rsidRPr="00E26EF6">
              <w:rPr>
                <w:rFonts w:ascii="Times New Roman" w:hAnsi="Times New Roman"/>
                <w:b/>
                <w:sz w:val="24"/>
                <w:u w:val="single"/>
              </w:rPr>
              <w:t>W tym: wskaźnik zastępczy zastosowany</w:t>
            </w:r>
            <w:r w:rsidR="00E26EF6" w:rsidRPr="00E26EF6">
              <w:rPr>
                <w:rFonts w:ascii="Times New Roman" w:hAnsi="Times New Roman"/>
                <w:b/>
                <w:sz w:val="24"/>
                <w:u w:val="single"/>
              </w:rPr>
              <w:t xml:space="preserve"> w cel</w:t>
            </w:r>
            <w:r w:rsidRPr="00E26EF6">
              <w:rPr>
                <w:rFonts w:ascii="Times New Roman" w:hAnsi="Times New Roman"/>
                <w:b/>
                <w:sz w:val="24"/>
                <w:u w:val="single"/>
              </w:rPr>
              <w:t>u określenia spreadu kredytowego</w:t>
            </w:r>
          </w:p>
          <w:p w14:paraId="0BE663C7" w14:textId="16299437" w:rsidR="00915077" w:rsidRPr="00E26EF6" w:rsidRDefault="005C14B0">
            <w:pPr>
              <w:rPr>
                <w:rFonts w:ascii="Times New Roman" w:hAnsi="Times New Roman"/>
                <w:b/>
                <w:sz w:val="24"/>
                <w:highlight w:val="lightGray"/>
                <w:u w:val="single"/>
              </w:rPr>
            </w:pPr>
            <w:r w:rsidRPr="00E26EF6">
              <w:rPr>
                <w:rFonts w:ascii="Times New Roman" w:hAnsi="Times New Roman"/>
                <w:sz w:val="24"/>
              </w:rPr>
              <w:t>Liczba kontrahentów,</w:t>
            </w:r>
            <w:r w:rsidR="00E26EF6" w:rsidRPr="00E26EF6">
              <w:rPr>
                <w:rFonts w:ascii="Times New Roman" w:hAnsi="Times New Roman"/>
                <w:sz w:val="24"/>
              </w:rPr>
              <w:t xml:space="preserve"> w prz</w:t>
            </w:r>
            <w:r w:rsidRPr="00E26EF6">
              <w:rPr>
                <w:rFonts w:ascii="Times New Roman" w:hAnsi="Times New Roman"/>
                <w:sz w:val="24"/>
              </w:rPr>
              <w:t>ypadku których spread kredytowy został określony za pomocą wskaźnika zastępczego zamiast bezpośrednio zaobserwowanych danych rynkowych.</w:t>
            </w:r>
          </w:p>
        </w:tc>
      </w:tr>
      <w:tr w:rsidR="00915077" w:rsidRPr="00E26EF6" w14:paraId="5146AE6D" w14:textId="77777777" w:rsidTr="00672D2A">
        <w:tc>
          <w:tcPr>
            <w:tcW w:w="852" w:type="dxa"/>
          </w:tcPr>
          <w:p w14:paraId="17D94646" w14:textId="77777777" w:rsidR="00915077" w:rsidRPr="00E26EF6" w:rsidRDefault="000B0B09">
            <w:pPr>
              <w:rPr>
                <w:rFonts w:ascii="Times New Roman" w:hAnsi="Times New Roman"/>
                <w:sz w:val="24"/>
                <w:highlight w:val="lightGray"/>
              </w:rPr>
            </w:pPr>
            <w:r w:rsidRPr="00E26EF6">
              <w:rPr>
                <w:rFonts w:ascii="Times New Roman" w:hAnsi="Times New Roman"/>
                <w:sz w:val="24"/>
              </w:rPr>
              <w:t>120</w:t>
            </w:r>
          </w:p>
        </w:tc>
        <w:tc>
          <w:tcPr>
            <w:tcW w:w="8004" w:type="dxa"/>
          </w:tcPr>
          <w:p w14:paraId="05699C10" w14:textId="77777777" w:rsidR="00915077" w:rsidRPr="00E26EF6" w:rsidRDefault="000B0B09">
            <w:pPr>
              <w:rPr>
                <w:rFonts w:ascii="Times New Roman" w:hAnsi="Times New Roman"/>
                <w:b/>
                <w:sz w:val="24"/>
                <w:u w:val="single"/>
              </w:rPr>
            </w:pPr>
            <w:r w:rsidRPr="00E26EF6">
              <w:rPr>
                <w:rFonts w:ascii="Times New Roman" w:hAnsi="Times New Roman"/>
                <w:b/>
                <w:sz w:val="24"/>
                <w:u w:val="single"/>
              </w:rPr>
              <w:t>DOKONANE KOREKTY WYCENY KREDYTOWEJ</w:t>
            </w:r>
          </w:p>
          <w:p w14:paraId="48B7E12F" w14:textId="77777777" w:rsidR="00915077" w:rsidRPr="00E26EF6" w:rsidRDefault="000B0B09">
            <w:pPr>
              <w:rPr>
                <w:rFonts w:ascii="Times New Roman" w:hAnsi="Times New Roman"/>
                <w:sz w:val="24"/>
                <w:highlight w:val="lightGray"/>
              </w:rPr>
            </w:pPr>
            <w:r w:rsidRPr="00E26EF6">
              <w:rPr>
                <w:rFonts w:ascii="Times New Roman" w:hAnsi="Times New Roman"/>
                <w:sz w:val="24"/>
              </w:rPr>
              <w:t>Przepisy dotyczące rachunkowości ze względu na zmniejszoną wiarygodność kredytową kontrahentów instrumentów pochodnych.</w:t>
            </w:r>
          </w:p>
        </w:tc>
      </w:tr>
      <w:tr w:rsidR="00915077" w:rsidRPr="00E26EF6" w14:paraId="2C695804" w14:textId="77777777" w:rsidTr="00672D2A">
        <w:tc>
          <w:tcPr>
            <w:tcW w:w="852" w:type="dxa"/>
          </w:tcPr>
          <w:p w14:paraId="1F9E6A16" w14:textId="77777777" w:rsidR="00915077" w:rsidRPr="00E26EF6" w:rsidRDefault="000B0B09">
            <w:pPr>
              <w:rPr>
                <w:rFonts w:ascii="Times New Roman" w:hAnsi="Times New Roman"/>
                <w:sz w:val="24"/>
                <w:highlight w:val="lightGray"/>
              </w:rPr>
            </w:pPr>
            <w:r w:rsidRPr="00E26EF6">
              <w:rPr>
                <w:rFonts w:ascii="Times New Roman" w:hAnsi="Times New Roman"/>
                <w:sz w:val="24"/>
              </w:rPr>
              <w:t>130</w:t>
            </w:r>
          </w:p>
        </w:tc>
        <w:tc>
          <w:tcPr>
            <w:tcW w:w="8004" w:type="dxa"/>
          </w:tcPr>
          <w:p w14:paraId="1B588358" w14:textId="77777777" w:rsidR="00915077" w:rsidRPr="00E26EF6" w:rsidRDefault="000B0B09">
            <w:pPr>
              <w:rPr>
                <w:rFonts w:ascii="Times New Roman" w:hAnsi="Times New Roman"/>
                <w:b/>
                <w:sz w:val="24"/>
                <w:u w:val="single"/>
              </w:rPr>
            </w:pPr>
            <w:r w:rsidRPr="00E26EF6">
              <w:rPr>
                <w:rFonts w:ascii="Times New Roman" w:hAnsi="Times New Roman"/>
                <w:b/>
                <w:sz w:val="24"/>
                <w:u w:val="single"/>
              </w:rPr>
              <w:t>JEDNOPODMIOTOWY SWAP RYZYKA KREDYTOWEGO</w:t>
            </w:r>
          </w:p>
          <w:p w14:paraId="2DB38709" w14:textId="146ED2A9" w:rsidR="00915077" w:rsidRPr="00E26EF6" w:rsidRDefault="00D21B29">
            <w:pPr>
              <w:rPr>
                <w:rFonts w:ascii="Times New Roman" w:hAnsi="Times New Roman"/>
                <w:sz w:val="24"/>
              </w:rPr>
            </w:pPr>
            <w:r w:rsidRPr="00E26EF6">
              <w:rPr>
                <w:rFonts w:ascii="Times New Roman" w:hAnsi="Times New Roman"/>
                <w:sz w:val="24"/>
              </w:rPr>
              <w:t>Art. 386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 xml:space="preserve">a) CRR </w:t>
            </w:r>
          </w:p>
          <w:p w14:paraId="5B50235C" w14:textId="3B74D276" w:rsidR="00915077" w:rsidRPr="00E26EF6" w:rsidRDefault="000B0B09">
            <w:pPr>
              <w:rPr>
                <w:rFonts w:ascii="Times New Roman" w:hAnsi="Times New Roman"/>
                <w:sz w:val="24"/>
                <w:highlight w:val="lightGray"/>
              </w:rPr>
            </w:pPr>
            <w:r w:rsidRPr="00E26EF6">
              <w:rPr>
                <w:rFonts w:ascii="Times New Roman" w:hAnsi="Times New Roman"/>
                <w:sz w:val="24"/>
              </w:rPr>
              <w:t>Łączna kwota referencyjna jednopodmiotowego swapu ryzyka kredytowego stosowana jako zabezpieczenie</w:t>
            </w:r>
            <w:r w:rsidR="00E26EF6" w:rsidRPr="00E26EF6">
              <w:rPr>
                <w:rFonts w:ascii="Times New Roman" w:hAnsi="Times New Roman"/>
                <w:sz w:val="24"/>
              </w:rPr>
              <w:t xml:space="preserve"> w odn</w:t>
            </w:r>
            <w:r w:rsidRPr="00E26EF6">
              <w:rPr>
                <w:rFonts w:ascii="Times New Roman" w:hAnsi="Times New Roman"/>
                <w:sz w:val="24"/>
              </w:rPr>
              <w:t>iesieniu do ryzyka CVA.</w:t>
            </w:r>
          </w:p>
        </w:tc>
      </w:tr>
      <w:tr w:rsidR="00915077" w:rsidRPr="00E26EF6" w14:paraId="39BBE1D7" w14:textId="77777777" w:rsidTr="00672D2A">
        <w:tc>
          <w:tcPr>
            <w:tcW w:w="852" w:type="dxa"/>
          </w:tcPr>
          <w:p w14:paraId="606251E4" w14:textId="77777777" w:rsidR="00915077" w:rsidRPr="00E26EF6" w:rsidRDefault="000B0B09">
            <w:pPr>
              <w:rPr>
                <w:rFonts w:ascii="Times New Roman" w:hAnsi="Times New Roman"/>
                <w:sz w:val="24"/>
                <w:highlight w:val="lightGray"/>
              </w:rPr>
            </w:pPr>
            <w:r w:rsidRPr="00E26EF6">
              <w:rPr>
                <w:rFonts w:ascii="Times New Roman" w:hAnsi="Times New Roman"/>
                <w:sz w:val="24"/>
              </w:rPr>
              <w:t>140</w:t>
            </w:r>
          </w:p>
        </w:tc>
        <w:tc>
          <w:tcPr>
            <w:tcW w:w="8004" w:type="dxa"/>
          </w:tcPr>
          <w:p w14:paraId="36EC79C3" w14:textId="77777777" w:rsidR="00915077" w:rsidRPr="00E26EF6" w:rsidRDefault="000B0B09">
            <w:pPr>
              <w:rPr>
                <w:rFonts w:ascii="Times New Roman" w:hAnsi="Times New Roman"/>
                <w:b/>
                <w:sz w:val="24"/>
                <w:u w:val="single"/>
              </w:rPr>
            </w:pPr>
            <w:r w:rsidRPr="00E26EF6">
              <w:rPr>
                <w:rFonts w:ascii="Times New Roman" w:hAnsi="Times New Roman"/>
                <w:b/>
                <w:sz w:val="24"/>
                <w:u w:val="single"/>
              </w:rPr>
              <w:t>INDEKSOWANY SWAP RYZYKA KREDYTOWEGO</w:t>
            </w:r>
          </w:p>
          <w:p w14:paraId="2907F0D4" w14:textId="30BB971C" w:rsidR="00915077" w:rsidRPr="00E26EF6" w:rsidRDefault="00D21B29">
            <w:pPr>
              <w:rPr>
                <w:rFonts w:ascii="Times New Roman" w:hAnsi="Times New Roman"/>
                <w:sz w:val="24"/>
              </w:rPr>
            </w:pPr>
            <w:r w:rsidRPr="00E26EF6">
              <w:rPr>
                <w:rFonts w:ascii="Times New Roman" w:hAnsi="Times New Roman"/>
                <w:sz w:val="24"/>
              </w:rPr>
              <w:t>Art. 386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b) CRR</w:t>
            </w:r>
          </w:p>
          <w:p w14:paraId="30AEB754" w14:textId="62661AE9" w:rsidR="00915077" w:rsidRPr="00E26EF6" w:rsidRDefault="000B0B09">
            <w:pPr>
              <w:rPr>
                <w:rFonts w:ascii="Times New Roman" w:hAnsi="Times New Roman"/>
                <w:b/>
                <w:sz w:val="24"/>
                <w:u w:val="single"/>
              </w:rPr>
            </w:pPr>
            <w:r w:rsidRPr="00E26EF6">
              <w:rPr>
                <w:rFonts w:ascii="Times New Roman" w:hAnsi="Times New Roman"/>
                <w:sz w:val="24"/>
              </w:rPr>
              <w:t>Łączna kwota referencyjna indeksowanego swapu ryzyka kredytowego stosowana jako zabezpieczenie</w:t>
            </w:r>
            <w:r w:rsidR="00E26EF6" w:rsidRPr="00E26EF6">
              <w:rPr>
                <w:rFonts w:ascii="Times New Roman" w:hAnsi="Times New Roman"/>
                <w:sz w:val="24"/>
              </w:rPr>
              <w:t xml:space="preserve"> w odn</w:t>
            </w:r>
            <w:r w:rsidRPr="00E26EF6">
              <w:rPr>
                <w:rFonts w:ascii="Times New Roman" w:hAnsi="Times New Roman"/>
                <w:sz w:val="24"/>
              </w:rPr>
              <w:t>iesieniu do ryzyka CVA.</w:t>
            </w:r>
          </w:p>
        </w:tc>
      </w:tr>
    </w:tbl>
    <w:p w14:paraId="77D3C427" w14:textId="77777777" w:rsidR="00915077" w:rsidRPr="00E26EF6" w:rsidRDefault="00915077">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15077" w:rsidRPr="00E26EF6" w14:paraId="63DD22C6" w14:textId="77777777" w:rsidTr="00672D2A">
        <w:tc>
          <w:tcPr>
            <w:tcW w:w="8856" w:type="dxa"/>
            <w:gridSpan w:val="2"/>
            <w:shd w:val="clear" w:color="auto" w:fill="CCCCCC"/>
          </w:tcPr>
          <w:p w14:paraId="1218FE36" w14:textId="77777777" w:rsidR="00915077" w:rsidRPr="00E26EF6" w:rsidRDefault="000B0B09">
            <w:pPr>
              <w:rPr>
                <w:rFonts w:ascii="Times New Roman" w:hAnsi="Times New Roman"/>
                <w:b/>
                <w:sz w:val="24"/>
                <w:highlight w:val="lightGray"/>
              </w:rPr>
            </w:pPr>
            <w:r w:rsidRPr="00E26EF6">
              <w:rPr>
                <w:rFonts w:ascii="Times New Roman" w:hAnsi="Times New Roman"/>
                <w:b/>
                <w:sz w:val="24"/>
              </w:rPr>
              <w:t>Wiersze</w:t>
            </w:r>
          </w:p>
        </w:tc>
      </w:tr>
      <w:tr w:rsidR="00915077" w:rsidRPr="00E26EF6" w14:paraId="24F67660" w14:textId="77777777" w:rsidTr="00672D2A">
        <w:tc>
          <w:tcPr>
            <w:tcW w:w="852" w:type="dxa"/>
          </w:tcPr>
          <w:p w14:paraId="358BF8DF" w14:textId="77777777" w:rsidR="00915077" w:rsidRPr="00E26EF6" w:rsidRDefault="000B0B09">
            <w:pPr>
              <w:rPr>
                <w:rFonts w:ascii="Times New Roman" w:hAnsi="Times New Roman"/>
                <w:sz w:val="24"/>
                <w:highlight w:val="lightGray"/>
              </w:rPr>
            </w:pPr>
            <w:r w:rsidRPr="00E26EF6">
              <w:rPr>
                <w:rFonts w:ascii="Times New Roman" w:hAnsi="Times New Roman"/>
                <w:sz w:val="24"/>
              </w:rPr>
              <w:t>010</w:t>
            </w:r>
          </w:p>
        </w:tc>
        <w:tc>
          <w:tcPr>
            <w:tcW w:w="8004" w:type="dxa"/>
          </w:tcPr>
          <w:p w14:paraId="55D74EEA" w14:textId="77777777" w:rsidR="00915077" w:rsidRPr="00E26EF6" w:rsidRDefault="000B0B09">
            <w:pPr>
              <w:rPr>
                <w:rFonts w:ascii="Times New Roman" w:hAnsi="Times New Roman"/>
                <w:b/>
                <w:bCs/>
                <w:sz w:val="24"/>
                <w:u w:val="single"/>
              </w:rPr>
            </w:pPr>
            <w:r w:rsidRPr="00E26EF6">
              <w:rPr>
                <w:rFonts w:ascii="Times New Roman" w:hAnsi="Times New Roman"/>
                <w:b/>
                <w:bCs/>
                <w:sz w:val="24"/>
                <w:u w:val="single"/>
              </w:rPr>
              <w:t>Ryzyko CVA razem</w:t>
            </w:r>
          </w:p>
          <w:p w14:paraId="3FFB40EC" w14:textId="11990D5A" w:rsidR="00915077" w:rsidRPr="00E26EF6" w:rsidRDefault="000B0B09">
            <w:pPr>
              <w:rPr>
                <w:rFonts w:ascii="Times New Roman" w:hAnsi="Times New Roman"/>
                <w:bCs/>
                <w:sz w:val="24"/>
                <w:highlight w:val="lightGray"/>
              </w:rPr>
            </w:pPr>
            <w:r w:rsidRPr="00E26EF6">
              <w:rPr>
                <w:rFonts w:ascii="Times New Roman" w:hAnsi="Times New Roman"/>
                <w:bCs/>
                <w:sz w:val="24"/>
              </w:rPr>
              <w:t>Suma wierszy 020–040</w:t>
            </w:r>
          </w:p>
        </w:tc>
      </w:tr>
      <w:tr w:rsidR="00915077" w:rsidRPr="00E26EF6" w14:paraId="117A9CD0" w14:textId="77777777" w:rsidTr="00672D2A">
        <w:tc>
          <w:tcPr>
            <w:tcW w:w="852" w:type="dxa"/>
          </w:tcPr>
          <w:p w14:paraId="1E281625" w14:textId="77777777" w:rsidR="00915077" w:rsidRPr="00E26EF6" w:rsidRDefault="000B0B09">
            <w:pPr>
              <w:rPr>
                <w:rFonts w:ascii="Times New Roman" w:hAnsi="Times New Roman"/>
                <w:sz w:val="24"/>
                <w:highlight w:val="lightGray"/>
              </w:rPr>
            </w:pPr>
            <w:r w:rsidRPr="00E26EF6">
              <w:rPr>
                <w:rFonts w:ascii="Times New Roman" w:hAnsi="Times New Roman"/>
                <w:sz w:val="24"/>
              </w:rPr>
              <w:t xml:space="preserve">020 </w:t>
            </w:r>
          </w:p>
        </w:tc>
        <w:tc>
          <w:tcPr>
            <w:tcW w:w="8004" w:type="dxa"/>
          </w:tcPr>
          <w:p w14:paraId="02E6580C" w14:textId="35DF5FF3" w:rsidR="00915077" w:rsidRPr="00E26EF6" w:rsidRDefault="000B0B09">
            <w:pPr>
              <w:rPr>
                <w:rFonts w:ascii="Times New Roman" w:hAnsi="Times New Roman"/>
                <w:b/>
                <w:bCs/>
                <w:sz w:val="24"/>
                <w:u w:val="single"/>
              </w:rPr>
            </w:pPr>
            <w:r w:rsidRPr="00E26EF6">
              <w:rPr>
                <w:rFonts w:ascii="Times New Roman" w:hAnsi="Times New Roman"/>
                <w:b/>
                <w:bCs/>
                <w:sz w:val="24"/>
                <w:u w:val="single"/>
              </w:rPr>
              <w:t>Metoda zaawansowana</w:t>
            </w:r>
          </w:p>
          <w:p w14:paraId="59CC663A" w14:textId="369B4EC5" w:rsidR="00915077" w:rsidRPr="00E26EF6" w:rsidRDefault="000B0B09">
            <w:pPr>
              <w:rPr>
                <w:rFonts w:ascii="Times New Roman" w:hAnsi="Times New Roman"/>
                <w:bCs/>
                <w:sz w:val="24"/>
                <w:highlight w:val="lightGray"/>
              </w:rPr>
            </w:pPr>
            <w:r w:rsidRPr="00E26EF6">
              <w:rPr>
                <w:rFonts w:ascii="Times New Roman" w:hAnsi="Times New Roman"/>
                <w:bCs/>
                <w:sz w:val="24"/>
              </w:rPr>
              <w:t>Zaawansowana metoda ryzyka CVA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 xml:space="preserve">383 CRR </w:t>
            </w:r>
          </w:p>
        </w:tc>
      </w:tr>
      <w:tr w:rsidR="00915077" w:rsidRPr="00E26EF6" w14:paraId="6FC0D15B" w14:textId="77777777" w:rsidTr="00672D2A">
        <w:tc>
          <w:tcPr>
            <w:tcW w:w="852" w:type="dxa"/>
          </w:tcPr>
          <w:p w14:paraId="27DE8499" w14:textId="77777777" w:rsidR="00915077" w:rsidRPr="00E26EF6" w:rsidRDefault="000B0B09">
            <w:pPr>
              <w:rPr>
                <w:rFonts w:ascii="Times New Roman" w:hAnsi="Times New Roman"/>
                <w:sz w:val="24"/>
                <w:highlight w:val="lightGray"/>
              </w:rPr>
            </w:pPr>
            <w:r w:rsidRPr="00E26EF6">
              <w:rPr>
                <w:rFonts w:ascii="Times New Roman" w:hAnsi="Times New Roman"/>
                <w:sz w:val="24"/>
              </w:rPr>
              <w:t>030</w:t>
            </w:r>
          </w:p>
        </w:tc>
        <w:tc>
          <w:tcPr>
            <w:tcW w:w="8004" w:type="dxa"/>
          </w:tcPr>
          <w:p w14:paraId="1E919B6E" w14:textId="607AF6EF" w:rsidR="00915077" w:rsidRPr="00E26EF6" w:rsidRDefault="000B0B09">
            <w:pPr>
              <w:rPr>
                <w:rFonts w:ascii="Times New Roman" w:hAnsi="Times New Roman"/>
                <w:b/>
                <w:bCs/>
                <w:sz w:val="24"/>
                <w:u w:val="single"/>
              </w:rPr>
            </w:pPr>
            <w:r w:rsidRPr="00E26EF6">
              <w:rPr>
                <w:rFonts w:ascii="Times New Roman" w:hAnsi="Times New Roman"/>
                <w:b/>
                <w:bCs/>
                <w:sz w:val="24"/>
                <w:u w:val="single"/>
              </w:rPr>
              <w:t>Metoda standardowa</w:t>
            </w:r>
          </w:p>
          <w:p w14:paraId="53048721" w14:textId="27098119" w:rsidR="00915077" w:rsidRPr="00E26EF6" w:rsidRDefault="000B0B09">
            <w:pPr>
              <w:rPr>
                <w:rFonts w:ascii="Times New Roman" w:hAnsi="Times New Roman"/>
                <w:bCs/>
                <w:sz w:val="24"/>
                <w:highlight w:val="lightGray"/>
              </w:rPr>
            </w:pPr>
            <w:r w:rsidRPr="00E26EF6">
              <w:rPr>
                <w:rFonts w:ascii="Times New Roman" w:hAnsi="Times New Roman"/>
                <w:bCs/>
                <w:sz w:val="24"/>
              </w:rPr>
              <w:t>Standardowa metoda ryzyka CVA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 xml:space="preserve">384 CRR </w:t>
            </w:r>
          </w:p>
        </w:tc>
      </w:tr>
      <w:tr w:rsidR="00915077" w:rsidRPr="00E26EF6" w14:paraId="221BFDBB" w14:textId="77777777" w:rsidTr="00672D2A">
        <w:tc>
          <w:tcPr>
            <w:tcW w:w="852" w:type="dxa"/>
          </w:tcPr>
          <w:p w14:paraId="532C7E21" w14:textId="77777777" w:rsidR="00915077" w:rsidRPr="00E26EF6" w:rsidRDefault="000B0B09">
            <w:pPr>
              <w:rPr>
                <w:rFonts w:ascii="Times New Roman" w:hAnsi="Times New Roman"/>
                <w:sz w:val="24"/>
                <w:highlight w:val="lightGray"/>
              </w:rPr>
            </w:pPr>
            <w:r w:rsidRPr="00E26EF6">
              <w:rPr>
                <w:rFonts w:ascii="Times New Roman" w:hAnsi="Times New Roman"/>
                <w:sz w:val="24"/>
              </w:rPr>
              <w:t>040</w:t>
            </w:r>
          </w:p>
        </w:tc>
        <w:tc>
          <w:tcPr>
            <w:tcW w:w="8004" w:type="dxa"/>
          </w:tcPr>
          <w:p w14:paraId="6CEF8B62" w14:textId="77777777" w:rsidR="00915077" w:rsidRPr="00E26EF6" w:rsidRDefault="000B0B09">
            <w:pPr>
              <w:rPr>
                <w:rFonts w:ascii="Times New Roman" w:hAnsi="Times New Roman"/>
                <w:b/>
                <w:bCs/>
                <w:sz w:val="24"/>
                <w:u w:val="single"/>
              </w:rPr>
            </w:pPr>
            <w:r w:rsidRPr="00E26EF6">
              <w:rPr>
                <w:rFonts w:ascii="Times New Roman" w:hAnsi="Times New Roman"/>
                <w:b/>
                <w:bCs/>
                <w:sz w:val="24"/>
                <w:u w:val="single"/>
              </w:rPr>
              <w:t>Na podstawie metody wyceny pierwotnej ekspozycji</w:t>
            </w:r>
          </w:p>
          <w:p w14:paraId="3CC30ECF" w14:textId="0EA86DC5" w:rsidR="00915077" w:rsidRPr="00E26EF6" w:rsidRDefault="000B0B09">
            <w:pPr>
              <w:rPr>
                <w:rFonts w:ascii="Times New Roman" w:hAnsi="Times New Roman"/>
                <w:bCs/>
                <w:sz w:val="24"/>
              </w:rPr>
            </w:pPr>
            <w:r w:rsidRPr="00E26EF6">
              <w:rPr>
                <w:rFonts w:ascii="Times New Roman" w:hAnsi="Times New Roman"/>
                <w:bCs/>
                <w:sz w:val="24"/>
              </w:rPr>
              <w:t>Kwoty podlegające zastosowaniu art.</w:t>
            </w:r>
            <w:r w:rsidR="00023409" w:rsidRPr="00E26EF6">
              <w:rPr>
                <w:rFonts w:ascii="Times New Roman" w:hAnsi="Times New Roman"/>
                <w:bCs/>
                <w:sz w:val="24"/>
              </w:rPr>
              <w:t> </w:t>
            </w:r>
            <w:r w:rsidRPr="00E26EF6">
              <w:rPr>
                <w:rFonts w:ascii="Times New Roman" w:hAnsi="Times New Roman"/>
                <w:bCs/>
                <w:sz w:val="24"/>
              </w:rPr>
              <w:t>385</w:t>
            </w:r>
            <w:r w:rsidRPr="00E26EF6">
              <w:rPr>
                <w:rFonts w:ascii="Times New Roman" w:hAnsi="Times New Roman"/>
                <w:sz w:val="24"/>
              </w:rPr>
              <w:t xml:space="preserve"> CRR</w:t>
            </w:r>
          </w:p>
        </w:tc>
      </w:tr>
    </w:tbl>
    <w:p w14:paraId="26E1C34E" w14:textId="77777777" w:rsidR="00915077" w:rsidRPr="00E26EF6" w:rsidRDefault="00915077">
      <w:pPr>
        <w:rPr>
          <w:rStyle w:val="InstructionsTabelleText"/>
          <w:rFonts w:ascii="Times New Roman" w:hAnsi="Times New Roman"/>
          <w:sz w:val="24"/>
        </w:rPr>
      </w:pPr>
    </w:p>
    <w:p w14:paraId="3E0E4F0B" w14:textId="77777777" w:rsidR="00915077" w:rsidRPr="00E26EF6" w:rsidRDefault="00995A7F">
      <w:pPr>
        <w:pStyle w:val="Instructionsberschrift2"/>
        <w:numPr>
          <w:ilvl w:val="0"/>
          <w:numId w:val="0"/>
        </w:numPr>
        <w:ind w:left="357" w:hanging="357"/>
        <w:rPr>
          <w:rFonts w:ascii="Times New Roman" w:hAnsi="Times New Roman" w:cs="Times New Roman"/>
          <w:sz w:val="24"/>
        </w:rPr>
      </w:pPr>
      <w:bookmarkStart w:id="107" w:name="_Toc31014404"/>
      <w:r w:rsidRPr="00E26EF6">
        <w:rPr>
          <w:rFonts w:ascii="Times New Roman" w:hAnsi="Times New Roman"/>
          <w:sz w:val="24"/>
          <w:u w:val="none"/>
        </w:rPr>
        <w:lastRenderedPageBreak/>
        <w:t>6.</w:t>
      </w:r>
      <w:r w:rsidRPr="00E26EF6">
        <w:rPr>
          <w:rFonts w:ascii="Times New Roman" w:hAnsi="Times New Roman"/>
          <w:sz w:val="24"/>
          <w:u w:val="none"/>
        </w:rPr>
        <w:tab/>
      </w:r>
      <w:r w:rsidRPr="00E26EF6">
        <w:rPr>
          <w:rFonts w:ascii="Times New Roman" w:hAnsi="Times New Roman"/>
          <w:sz w:val="24"/>
        </w:rPr>
        <w:t>Ostrożna wycena (PruVal)</w:t>
      </w:r>
      <w:bookmarkEnd w:id="107"/>
    </w:p>
    <w:p w14:paraId="45FB2C51" w14:textId="3F228E5F" w:rsidR="00915077" w:rsidRPr="00E26EF6" w:rsidRDefault="00995A7F">
      <w:pPr>
        <w:pStyle w:val="Instructionsberschrift2"/>
        <w:numPr>
          <w:ilvl w:val="0"/>
          <w:numId w:val="0"/>
        </w:numPr>
        <w:ind w:left="357" w:hanging="357"/>
        <w:rPr>
          <w:rFonts w:ascii="Times New Roman" w:hAnsi="Times New Roman" w:cs="Times New Roman"/>
          <w:sz w:val="24"/>
          <w:u w:val="none"/>
        </w:rPr>
      </w:pPr>
      <w:bookmarkStart w:id="108" w:name="_Toc31014405"/>
      <w:r w:rsidRPr="00E26EF6">
        <w:rPr>
          <w:rFonts w:ascii="Times New Roman" w:hAnsi="Times New Roman"/>
          <w:sz w:val="24"/>
          <w:u w:val="none"/>
        </w:rPr>
        <w:t>6.1.</w:t>
      </w:r>
      <w:r w:rsidRPr="00E26EF6">
        <w:rPr>
          <w:rFonts w:ascii="Times New Roman" w:hAnsi="Times New Roman"/>
          <w:sz w:val="24"/>
          <w:u w:val="none"/>
        </w:rPr>
        <w:tab/>
      </w:r>
      <w:r w:rsidRPr="00E26EF6">
        <w:rPr>
          <w:rFonts w:ascii="Times New Roman" w:hAnsi="Times New Roman"/>
          <w:sz w:val="24"/>
        </w:rPr>
        <w:t>C 32.01 - Ostrożna wycena: aktywa</w:t>
      </w:r>
      <w:r w:rsidR="00E26EF6" w:rsidRPr="00E26EF6">
        <w:rPr>
          <w:rFonts w:ascii="Times New Roman" w:hAnsi="Times New Roman"/>
          <w:sz w:val="24"/>
        </w:rPr>
        <w:t xml:space="preserve"> i zob</w:t>
      </w:r>
      <w:r w:rsidRPr="00E26EF6">
        <w:rPr>
          <w:rFonts w:ascii="Times New Roman" w:hAnsi="Times New Roman"/>
          <w:sz w:val="24"/>
        </w:rPr>
        <w:t>owiązania wyceniane według wartości godziwej (PruVal 1)</w:t>
      </w:r>
      <w:bookmarkEnd w:id="108"/>
    </w:p>
    <w:p w14:paraId="4FDFF8AA" w14:textId="77777777" w:rsidR="00915077" w:rsidRPr="00E26EF6" w:rsidRDefault="00995A7F">
      <w:pPr>
        <w:pStyle w:val="Instructionsberschrift2"/>
        <w:numPr>
          <w:ilvl w:val="0"/>
          <w:numId w:val="0"/>
        </w:numPr>
        <w:ind w:left="357" w:hanging="357"/>
        <w:rPr>
          <w:rFonts w:ascii="Times New Roman" w:hAnsi="Times New Roman" w:cs="Times New Roman"/>
          <w:sz w:val="24"/>
          <w:u w:val="none"/>
        </w:rPr>
      </w:pPr>
      <w:bookmarkStart w:id="109" w:name="_Toc31014406"/>
      <w:r w:rsidRPr="00E26EF6">
        <w:rPr>
          <w:rFonts w:ascii="Times New Roman" w:hAnsi="Times New Roman"/>
          <w:sz w:val="24"/>
          <w:u w:val="none"/>
        </w:rPr>
        <w:t>6.1.1.</w:t>
      </w:r>
      <w:r w:rsidRPr="00E26EF6">
        <w:rPr>
          <w:rFonts w:ascii="Times New Roman" w:hAnsi="Times New Roman"/>
          <w:sz w:val="24"/>
          <w:u w:val="none"/>
        </w:rPr>
        <w:tab/>
      </w:r>
      <w:r w:rsidRPr="00E26EF6">
        <w:rPr>
          <w:rFonts w:ascii="Times New Roman" w:hAnsi="Times New Roman"/>
          <w:sz w:val="24"/>
        </w:rPr>
        <w:t>Uwagi ogólne</w:t>
      </w:r>
      <w:bookmarkEnd w:id="109"/>
      <w:r w:rsidRPr="00E26EF6">
        <w:rPr>
          <w:rFonts w:ascii="Times New Roman" w:hAnsi="Times New Roman"/>
          <w:sz w:val="24"/>
          <w:u w:val="none"/>
        </w:rPr>
        <w:t xml:space="preserve"> </w:t>
      </w:r>
    </w:p>
    <w:p w14:paraId="5E537868" w14:textId="5D3FB596" w:rsidR="00915077" w:rsidRPr="00E26EF6" w:rsidRDefault="00995A7F">
      <w:pPr>
        <w:pStyle w:val="InstructionsText2"/>
        <w:numPr>
          <w:ilvl w:val="0"/>
          <w:numId w:val="0"/>
        </w:numPr>
        <w:ind w:left="993"/>
      </w:pPr>
      <w:r w:rsidRPr="00E26EF6">
        <w:t>154a. Wzór ten wypełniają wszystkie instytucje, niezależnie od tego, czy przyjęły metodę uproszczoną na potrzeby wyznaczania dodatkowych korekt wyceny („AVA”). Wzór ten poświęcony jest bezwzględnej wartości aktywów</w:t>
      </w:r>
      <w:r w:rsidR="00E26EF6" w:rsidRPr="00E26EF6">
        <w:t xml:space="preserve"> i zob</w:t>
      </w:r>
      <w:r w:rsidRPr="00E26EF6">
        <w:t>owiązań wycenianych według wartości godziwej stosowanej do ustalenia, czy spełniono warunki stosowania uproszczonej metody wyznaczania AVA określone</w:t>
      </w:r>
      <w:r w:rsidR="00E26EF6" w:rsidRPr="00E26EF6">
        <w:t xml:space="preserve"> w art</w:t>
      </w:r>
      <w:r w:rsidRPr="00E26EF6">
        <w:t>.</w:t>
      </w:r>
      <w:r w:rsidR="00023409" w:rsidRPr="00E26EF6">
        <w:t> </w:t>
      </w:r>
      <w:r w:rsidRPr="00E26EF6">
        <w:t>4 rozporządzenia delegowanego Komisji (UE) 2016/101</w:t>
      </w:r>
      <w:r w:rsidRPr="00E26EF6">
        <w:rPr>
          <w:rStyle w:val="FootnoteReference"/>
          <w:rFonts w:ascii="Times New Roman" w:hAnsi="Times New Roman"/>
          <w:sz w:val="24"/>
          <w:szCs w:val="24"/>
          <w:vertAlign w:val="superscript"/>
        </w:rPr>
        <w:footnoteReference w:id="17"/>
      </w:r>
      <w:r w:rsidRPr="00E26EF6">
        <w:t>.</w:t>
      </w:r>
    </w:p>
    <w:p w14:paraId="433F2824" w14:textId="23C8C726" w:rsidR="00915077" w:rsidRPr="00E26EF6" w:rsidRDefault="00B93FA1">
      <w:pPr>
        <w:pStyle w:val="InstructionsText2"/>
        <w:numPr>
          <w:ilvl w:val="0"/>
          <w:numId w:val="0"/>
        </w:numPr>
        <w:ind w:left="993"/>
      </w:pPr>
      <w:r w:rsidRPr="00E26EF6">
        <w:t>154b</w:t>
      </w:r>
      <w:r w:rsidR="00E26EF6" w:rsidRPr="00E26EF6">
        <w:t>. W prz</w:t>
      </w:r>
      <w:r w:rsidRPr="00E26EF6">
        <w:t>ypadku instytucji stosujących metodę uproszczoną</w:t>
      </w:r>
      <w:r w:rsidR="00E26EF6" w:rsidRPr="00E26EF6">
        <w:t xml:space="preserve"> z wzo</w:t>
      </w:r>
      <w:r w:rsidRPr="00E26EF6">
        <w:t>ru tego wynika całkowita AVA podlegająca odliczeniu od funduszy własnych na podstawie art.</w:t>
      </w:r>
      <w:r w:rsidR="00023409" w:rsidRPr="00E26EF6">
        <w:t> </w:t>
      </w:r>
      <w:r w:rsidRPr="00E26EF6">
        <w:t>34</w:t>
      </w:r>
      <w:r w:rsidR="00E26EF6" w:rsidRPr="00E26EF6">
        <w:t xml:space="preserve"> i 1</w:t>
      </w:r>
      <w:r w:rsidRPr="00E26EF6">
        <w:t>05 CRR, jak określono</w:t>
      </w:r>
      <w:r w:rsidR="00E26EF6" w:rsidRPr="00E26EF6">
        <w:t xml:space="preserve"> w art</w:t>
      </w:r>
      <w:r w:rsidRPr="00E26EF6">
        <w:t>.</w:t>
      </w:r>
      <w:r w:rsidR="00023409" w:rsidRPr="00E26EF6">
        <w:t> </w:t>
      </w:r>
      <w:r w:rsidRPr="00E26EF6">
        <w:t>5 rozporządzenia delegowanego (UE) 2016/101, którą zgłasza się odpowiednio</w:t>
      </w:r>
      <w:r w:rsidR="00E26EF6" w:rsidRPr="00E26EF6">
        <w:t xml:space="preserve"> w wie</w:t>
      </w:r>
      <w:r w:rsidRPr="00E26EF6">
        <w:t>rszu 290 wzoru C 01.00.</w:t>
      </w:r>
    </w:p>
    <w:p w14:paraId="68F3B84E" w14:textId="77777777" w:rsidR="00915077" w:rsidRPr="00E26EF6" w:rsidRDefault="00B93FA1">
      <w:pPr>
        <w:pStyle w:val="Instructionsberschrift2"/>
        <w:numPr>
          <w:ilvl w:val="0"/>
          <w:numId w:val="0"/>
        </w:numPr>
        <w:ind w:left="357" w:hanging="357"/>
        <w:rPr>
          <w:rFonts w:ascii="Times New Roman" w:hAnsi="Times New Roman" w:cs="Times New Roman"/>
          <w:sz w:val="24"/>
          <w:u w:val="none"/>
        </w:rPr>
      </w:pPr>
      <w:bookmarkStart w:id="110" w:name="_Toc31014407"/>
      <w:r w:rsidRPr="00E26EF6">
        <w:rPr>
          <w:rFonts w:ascii="Times New Roman" w:hAnsi="Times New Roman"/>
          <w:sz w:val="24"/>
          <w:u w:val="none"/>
        </w:rPr>
        <w:t>6.1.2.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15077" w:rsidRPr="00E26EF6" w14:paraId="37C991B5" w14:textId="77777777" w:rsidTr="00672D2A">
        <w:tc>
          <w:tcPr>
            <w:tcW w:w="9291" w:type="dxa"/>
            <w:gridSpan w:val="2"/>
            <w:shd w:val="clear" w:color="auto" w:fill="CCCCCC"/>
          </w:tcPr>
          <w:p w14:paraId="68F27042" w14:textId="77777777" w:rsidR="00915077" w:rsidRPr="00E26EF6" w:rsidRDefault="00B93FA1">
            <w:pPr>
              <w:spacing w:beforeLines="60" w:before="144" w:afterLines="60" w:after="144"/>
              <w:rPr>
                <w:rFonts w:ascii="Times New Roman" w:hAnsi="Times New Roman"/>
                <w:b/>
                <w:sz w:val="24"/>
                <w:highlight w:val="lightGray"/>
              </w:rPr>
            </w:pPr>
            <w:r w:rsidRPr="00E26EF6">
              <w:rPr>
                <w:rFonts w:ascii="Times New Roman" w:hAnsi="Times New Roman"/>
                <w:b/>
                <w:sz w:val="24"/>
              </w:rPr>
              <w:t>Kolumny</w:t>
            </w:r>
          </w:p>
        </w:tc>
      </w:tr>
      <w:tr w:rsidR="00915077" w:rsidRPr="00E26EF6" w14:paraId="58890713" w14:textId="77777777" w:rsidTr="00672D2A">
        <w:tc>
          <w:tcPr>
            <w:tcW w:w="1101" w:type="dxa"/>
          </w:tcPr>
          <w:p w14:paraId="4AE79EA6" w14:textId="77777777"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0010</w:t>
            </w:r>
          </w:p>
        </w:tc>
        <w:tc>
          <w:tcPr>
            <w:tcW w:w="8190" w:type="dxa"/>
          </w:tcPr>
          <w:p w14:paraId="32BE349A" w14:textId="77777777" w:rsidR="00915077" w:rsidRPr="00E26EF6" w:rsidRDefault="00B93FA1">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AKTYWA I ZOBOWIĄZANIA WYCENIANE WEDŁUG WARTOŚCI GODZIWEJ</w:t>
            </w:r>
          </w:p>
          <w:p w14:paraId="45F4B9CF" w14:textId="5DFA1B2C"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wykazana</w:t>
            </w:r>
            <w:r w:rsidR="00E26EF6" w:rsidRPr="00E26EF6">
              <w:rPr>
                <w:rFonts w:ascii="Times New Roman" w:hAnsi="Times New Roman"/>
                <w:sz w:val="24"/>
              </w:rPr>
              <w:t xml:space="preserve"> w spr</w:t>
            </w:r>
            <w:r w:rsidRPr="00E26EF6">
              <w:rPr>
                <w:rFonts w:ascii="Times New Roman" w:hAnsi="Times New Roman"/>
                <w:sz w:val="24"/>
              </w:rPr>
              <w:t>awozdaniu finansowym zgodnie</w:t>
            </w:r>
            <w:r w:rsidR="00E26EF6" w:rsidRPr="00E26EF6">
              <w:rPr>
                <w:rFonts w:ascii="Times New Roman" w:hAnsi="Times New Roman"/>
                <w:sz w:val="24"/>
              </w:rPr>
              <w:t xml:space="preserve"> z maj</w:t>
            </w:r>
            <w:r w:rsidRPr="00E26EF6">
              <w:rPr>
                <w:rFonts w:ascii="Times New Roman" w:hAnsi="Times New Roman"/>
                <w:sz w:val="24"/>
              </w:rPr>
              <w:t>ącymi zastosowanie standardami rachunkowości,</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rozporządzenia delegowanego (UE) 2016/101, przed dokonaniem jakichkolwiek wyłączeń na podstawie art.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2 rozporządzenia delegowanego (UE) 2016/101.</w:t>
            </w:r>
          </w:p>
        </w:tc>
      </w:tr>
      <w:tr w:rsidR="00915077" w:rsidRPr="00E26EF6" w14:paraId="0ADC2607" w14:textId="77777777" w:rsidTr="00672D2A">
        <w:tc>
          <w:tcPr>
            <w:tcW w:w="1101" w:type="dxa"/>
          </w:tcPr>
          <w:p w14:paraId="1BE14BAE"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0020</w:t>
            </w:r>
          </w:p>
        </w:tc>
        <w:tc>
          <w:tcPr>
            <w:tcW w:w="8190" w:type="dxa"/>
          </w:tcPr>
          <w:p w14:paraId="2D211BA4" w14:textId="77777777" w:rsidR="00915077" w:rsidRPr="00E26EF6" w:rsidRDefault="00B93FA1">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W TYM: portfel handlowy</w:t>
            </w:r>
          </w:p>
          <w:p w14:paraId="6A2E3CB7" w14:textId="12FF3EA6" w:rsidR="00915077" w:rsidRPr="00E26EF6" w:rsidRDefault="00B93FA1">
            <w:pPr>
              <w:spacing w:beforeLines="60" w:before="144" w:afterLines="60" w:after="144"/>
              <w:rPr>
                <w:rFonts w:ascii="Times New Roman" w:hAnsi="Times New Roman"/>
                <w:b/>
                <w:caps/>
                <w:sz w:val="24"/>
                <w:highlight w:val="lightGray"/>
                <w:u w:val="single"/>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zgłoszona</w:t>
            </w:r>
            <w:r w:rsidR="00E26EF6" w:rsidRPr="00E26EF6">
              <w:rPr>
                <w:rFonts w:ascii="Times New Roman" w:hAnsi="Times New Roman"/>
                <w:sz w:val="24"/>
              </w:rPr>
              <w:t xml:space="preserve"> w kol</w:t>
            </w:r>
            <w:r w:rsidRPr="00E26EF6">
              <w:rPr>
                <w:rFonts w:ascii="Times New Roman" w:hAnsi="Times New Roman"/>
                <w:sz w:val="24"/>
              </w:rPr>
              <w:t>umnie 010, odpowiadająca pozycjom utrzymywanym</w:t>
            </w:r>
            <w:r w:rsidR="00E26EF6" w:rsidRPr="00E26EF6">
              <w:rPr>
                <w:rFonts w:ascii="Times New Roman" w:hAnsi="Times New Roman"/>
                <w:sz w:val="24"/>
              </w:rPr>
              <w:t xml:space="preserve"> w por</w:t>
            </w:r>
            <w:r w:rsidRPr="00E26EF6">
              <w:rPr>
                <w:rFonts w:ascii="Times New Roman" w:hAnsi="Times New Roman"/>
                <w:sz w:val="24"/>
              </w:rPr>
              <w:t xml:space="preserve">tfelu handlowym. </w:t>
            </w:r>
          </w:p>
        </w:tc>
      </w:tr>
      <w:tr w:rsidR="00915077" w:rsidRPr="00E26EF6" w14:paraId="7BDB83B0" w14:textId="77777777" w:rsidTr="00672D2A">
        <w:tc>
          <w:tcPr>
            <w:tcW w:w="1101" w:type="dxa"/>
          </w:tcPr>
          <w:p w14:paraId="3AABA373" w14:textId="77777777"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0030-0070</w:t>
            </w:r>
          </w:p>
        </w:tc>
        <w:tc>
          <w:tcPr>
            <w:tcW w:w="8190" w:type="dxa"/>
          </w:tcPr>
          <w:p w14:paraId="65AA4280" w14:textId="77777777" w:rsidR="00915077" w:rsidRPr="00E26EF6" w:rsidRDefault="00B93FA1">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AKTYWA I ZOBOWIĄZANIA WYCENIANE WEDŁUG WARTOŚCI GODZIWEJ WYŁĄCZONE ZE WZGLĘDU NA CZĘŚCIOWY WPŁYW NA KAPITAŁ PODSTAWOWY TIER I</w:t>
            </w:r>
          </w:p>
          <w:p w14:paraId="4FC60C87" w14:textId="5A3CFBCB" w:rsidR="00915077" w:rsidRPr="00E26EF6" w:rsidRDefault="00B93FA1">
            <w:pPr>
              <w:spacing w:beforeLines="60" w:before="144" w:afterLines="60" w:after="144"/>
              <w:rPr>
                <w:rFonts w:ascii="Times New Roman" w:hAnsi="Times New Roman"/>
                <w:b/>
                <w:caps/>
                <w:sz w:val="24"/>
                <w:highlight w:val="lightGray"/>
                <w:u w:val="single"/>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wyłączonych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2 rozporządzenia delegowanego (UE) 2016/101.</w:t>
            </w:r>
          </w:p>
        </w:tc>
      </w:tr>
      <w:tr w:rsidR="00915077" w:rsidRPr="00E26EF6" w14:paraId="341FF8B7" w14:textId="77777777" w:rsidTr="00672D2A">
        <w:tc>
          <w:tcPr>
            <w:tcW w:w="1101" w:type="dxa"/>
          </w:tcPr>
          <w:p w14:paraId="2F57DF50" w14:textId="77777777"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0030</w:t>
            </w:r>
          </w:p>
        </w:tc>
        <w:tc>
          <w:tcPr>
            <w:tcW w:w="8190" w:type="dxa"/>
          </w:tcPr>
          <w:p w14:paraId="591EDAF3" w14:textId="77777777" w:rsidR="00915077" w:rsidRPr="00E26EF6" w:rsidRDefault="00B93FA1">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Dokładne dopasowanie</w:t>
            </w:r>
          </w:p>
          <w:p w14:paraId="0FC282C8" w14:textId="08B89936"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Dokładne dopasowanie pokrywające wartość bezwzględną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wyłączonych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2 rozporządzenia delegowanego (UE) 2016/101.</w:t>
            </w:r>
          </w:p>
        </w:tc>
      </w:tr>
      <w:tr w:rsidR="00915077" w:rsidRPr="00E26EF6" w14:paraId="750781F7" w14:textId="77777777" w:rsidTr="00672D2A">
        <w:tc>
          <w:tcPr>
            <w:tcW w:w="1101" w:type="dxa"/>
          </w:tcPr>
          <w:p w14:paraId="499557F3"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0040</w:t>
            </w:r>
          </w:p>
        </w:tc>
        <w:tc>
          <w:tcPr>
            <w:tcW w:w="8190" w:type="dxa"/>
          </w:tcPr>
          <w:p w14:paraId="015BEC75" w14:textId="77777777" w:rsidR="00915077" w:rsidRPr="00E26EF6" w:rsidRDefault="00B93FA1">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Rachunkowość zabezpieczeń</w:t>
            </w:r>
          </w:p>
          <w:p w14:paraId="3E8AFC8D" w14:textId="0D22D4E2"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W odniesieniu do pozycji objętych rachunkowością zabezpieczeń zgodnie</w:t>
            </w:r>
            <w:r w:rsidR="00E26EF6" w:rsidRPr="00E26EF6">
              <w:rPr>
                <w:rFonts w:ascii="Times New Roman" w:hAnsi="Times New Roman"/>
                <w:sz w:val="24"/>
              </w:rPr>
              <w:t xml:space="preserve"> z maj</w:t>
            </w:r>
            <w:r w:rsidRPr="00E26EF6">
              <w:rPr>
                <w:rFonts w:ascii="Times New Roman" w:hAnsi="Times New Roman"/>
                <w:sz w:val="24"/>
              </w:rPr>
              <w:t>ącymi zastosowanie standardami rachunkowości –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wyłączonych proporcjonalnie do wpływu odpowiedniej zmiany</w:t>
            </w:r>
            <w:r w:rsidR="00E26EF6" w:rsidRPr="00E26EF6">
              <w:rPr>
                <w:rFonts w:ascii="Times New Roman" w:hAnsi="Times New Roman"/>
                <w:sz w:val="24"/>
              </w:rPr>
              <w:t xml:space="preserve"> w wyc</w:t>
            </w:r>
            <w:r w:rsidRPr="00E26EF6">
              <w:rPr>
                <w:rFonts w:ascii="Times New Roman" w:hAnsi="Times New Roman"/>
                <w:sz w:val="24"/>
              </w:rPr>
              <w:t>enie na kapitał podstawowy Tier I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2 rozporządzenia delegowanego (UE) 2016/101.</w:t>
            </w:r>
          </w:p>
        </w:tc>
      </w:tr>
      <w:tr w:rsidR="00915077" w:rsidRPr="00E26EF6" w14:paraId="40FA2695" w14:textId="77777777" w:rsidTr="00672D2A">
        <w:tc>
          <w:tcPr>
            <w:tcW w:w="1101" w:type="dxa"/>
          </w:tcPr>
          <w:p w14:paraId="3C11D6BE"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0050</w:t>
            </w:r>
          </w:p>
        </w:tc>
        <w:tc>
          <w:tcPr>
            <w:tcW w:w="8190" w:type="dxa"/>
          </w:tcPr>
          <w:p w14:paraId="1368142A" w14:textId="77777777" w:rsidR="00915077" w:rsidRPr="00E26EF6" w:rsidRDefault="00B93FA1">
            <w:pPr>
              <w:spacing w:beforeLines="60" w:before="144" w:afterLines="60" w:after="144"/>
              <w:rPr>
                <w:rFonts w:ascii="Times New Roman" w:hAnsi="Times New Roman"/>
                <w:b/>
                <w:caps/>
                <w:sz w:val="24"/>
              </w:rPr>
            </w:pPr>
            <w:r w:rsidRPr="00E26EF6">
              <w:rPr>
                <w:rFonts w:ascii="Times New Roman" w:hAnsi="Times New Roman"/>
                <w:b/>
                <w:caps/>
                <w:sz w:val="24"/>
                <w:u w:val="single"/>
              </w:rPr>
              <w:t xml:space="preserve">Filtry ostrożnościowe </w:t>
            </w:r>
          </w:p>
          <w:p w14:paraId="1ADA3A45" w14:textId="7510163E"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wyłączonych na podstawie art.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2 rozporządzenia delegowanego (UE) 2016/101 ze względu na przejściowe filtry ostrożnościowe,</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467</w:t>
            </w:r>
            <w:r w:rsidR="00E26EF6" w:rsidRPr="00E26EF6">
              <w:rPr>
                <w:rFonts w:ascii="Times New Roman" w:hAnsi="Times New Roman"/>
                <w:sz w:val="24"/>
              </w:rPr>
              <w:t xml:space="preserve"> i 4</w:t>
            </w:r>
            <w:r w:rsidRPr="00E26EF6">
              <w:rPr>
                <w:rFonts w:ascii="Times New Roman" w:hAnsi="Times New Roman"/>
                <w:sz w:val="24"/>
              </w:rPr>
              <w:t>68 CRR.</w:t>
            </w:r>
          </w:p>
        </w:tc>
      </w:tr>
      <w:tr w:rsidR="00915077" w:rsidRPr="00E26EF6" w14:paraId="48DF7B27" w14:textId="77777777" w:rsidTr="00672D2A">
        <w:tc>
          <w:tcPr>
            <w:tcW w:w="1101" w:type="dxa"/>
          </w:tcPr>
          <w:p w14:paraId="57A700D6"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0060</w:t>
            </w:r>
          </w:p>
        </w:tc>
        <w:tc>
          <w:tcPr>
            <w:tcW w:w="8190" w:type="dxa"/>
          </w:tcPr>
          <w:p w14:paraId="3CD8025C" w14:textId="77777777" w:rsidR="00915077" w:rsidRPr="00E26EF6" w:rsidRDefault="00B93FA1">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Inne</w:t>
            </w:r>
          </w:p>
          <w:p w14:paraId="45DF5D7C" w14:textId="260BCED6"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Wszelkie inne pozycje wyłączone na podstawie art.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2 rozporządzenia delegowanego (UE) 2016/101 ze względu na fakt, że korekta ich wartości księgowej ma jedynie proporcjonalny wpływ na kapitał podstawowy Tier I.</w:t>
            </w:r>
          </w:p>
          <w:p w14:paraId="251244A0" w14:textId="30FA924F"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Wiersz ten wypełnia się tylko</w:t>
            </w:r>
            <w:r w:rsidR="00E26EF6" w:rsidRPr="00E26EF6">
              <w:rPr>
                <w:rFonts w:ascii="Times New Roman" w:hAnsi="Times New Roman"/>
                <w:sz w:val="24"/>
              </w:rPr>
              <w:t xml:space="preserve"> w rza</w:t>
            </w:r>
            <w:r w:rsidRPr="00E26EF6">
              <w:rPr>
                <w:rFonts w:ascii="Times New Roman" w:hAnsi="Times New Roman"/>
                <w:sz w:val="24"/>
              </w:rPr>
              <w:t>dkich przypadkach, gdy pozycji wyłączonych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2 rozporządzenia delegowanego (UE) 2016/101 nie można przypisać do kolumn 0030, 0040 lub</w:t>
            </w:r>
            <w:r w:rsidR="00023409" w:rsidRPr="00E26EF6">
              <w:rPr>
                <w:rFonts w:ascii="Times New Roman" w:hAnsi="Times New Roman"/>
                <w:sz w:val="24"/>
              </w:rPr>
              <w:t> </w:t>
            </w:r>
            <w:r w:rsidRPr="00E26EF6">
              <w:rPr>
                <w:rFonts w:ascii="Times New Roman" w:hAnsi="Times New Roman"/>
                <w:sz w:val="24"/>
              </w:rPr>
              <w:t>0050 tego wzoru.</w:t>
            </w:r>
          </w:p>
        </w:tc>
      </w:tr>
      <w:tr w:rsidR="00915077" w:rsidRPr="00E26EF6" w14:paraId="4376D441" w14:textId="77777777" w:rsidTr="00672D2A">
        <w:tc>
          <w:tcPr>
            <w:tcW w:w="1101" w:type="dxa"/>
          </w:tcPr>
          <w:p w14:paraId="40845684"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0070</w:t>
            </w:r>
          </w:p>
        </w:tc>
        <w:tc>
          <w:tcPr>
            <w:tcW w:w="8190" w:type="dxa"/>
          </w:tcPr>
          <w:p w14:paraId="2FF7ED81" w14:textId="77777777" w:rsidR="00915077" w:rsidRPr="00E26EF6" w:rsidRDefault="00B93FA1">
            <w:pPr>
              <w:spacing w:beforeLines="60" w:before="144" w:afterLines="60" w:after="144"/>
              <w:rPr>
                <w:rFonts w:ascii="Times New Roman" w:hAnsi="Times New Roman"/>
                <w:sz w:val="24"/>
              </w:rPr>
            </w:pPr>
            <w:r w:rsidRPr="00E26EF6">
              <w:rPr>
                <w:rFonts w:ascii="Times New Roman" w:hAnsi="Times New Roman"/>
                <w:b/>
                <w:caps/>
                <w:sz w:val="24"/>
                <w:u w:val="single"/>
              </w:rPr>
              <w:t>Uwagi dotyczące pozycji „inne”</w:t>
            </w:r>
            <w:r w:rsidRPr="00E26EF6">
              <w:rPr>
                <w:rFonts w:ascii="Times New Roman" w:hAnsi="Times New Roman"/>
                <w:sz w:val="24"/>
              </w:rPr>
              <w:t xml:space="preserve"> </w:t>
            </w:r>
          </w:p>
          <w:p w14:paraId="555F48C0" w14:textId="76995807" w:rsidR="00915077" w:rsidRPr="00E26EF6" w:rsidRDefault="00C11B8D">
            <w:pPr>
              <w:spacing w:beforeLines="60" w:before="144" w:afterLines="60" w:after="144"/>
              <w:rPr>
                <w:rFonts w:ascii="Times New Roman" w:hAnsi="Times New Roman"/>
                <w:b/>
                <w:caps/>
                <w:sz w:val="24"/>
                <w:highlight w:val="lightGray"/>
                <w:u w:val="single"/>
              </w:rPr>
            </w:pPr>
            <w:r w:rsidRPr="00E26EF6">
              <w:rPr>
                <w:rFonts w:ascii="Times New Roman" w:hAnsi="Times New Roman"/>
                <w:sz w:val="24"/>
              </w:rPr>
              <w:t>Podaje się główne powody, dla których wyłączono pozycje zgłoszone</w:t>
            </w:r>
            <w:r w:rsidR="00E26EF6" w:rsidRPr="00E26EF6">
              <w:rPr>
                <w:rFonts w:ascii="Times New Roman" w:hAnsi="Times New Roman"/>
                <w:sz w:val="24"/>
              </w:rPr>
              <w:t xml:space="preserve"> w kol</w:t>
            </w:r>
            <w:r w:rsidRPr="00E26EF6">
              <w:rPr>
                <w:rFonts w:ascii="Times New Roman" w:hAnsi="Times New Roman"/>
                <w:sz w:val="24"/>
              </w:rPr>
              <w:t>umnie 0060.</w:t>
            </w:r>
          </w:p>
        </w:tc>
      </w:tr>
      <w:tr w:rsidR="00915077" w:rsidRPr="00E26EF6" w14:paraId="45292F56" w14:textId="77777777" w:rsidTr="00672D2A">
        <w:tc>
          <w:tcPr>
            <w:tcW w:w="1101" w:type="dxa"/>
          </w:tcPr>
          <w:p w14:paraId="40B987AC"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0080</w:t>
            </w:r>
          </w:p>
        </w:tc>
        <w:tc>
          <w:tcPr>
            <w:tcW w:w="8190" w:type="dxa"/>
          </w:tcPr>
          <w:p w14:paraId="2896A4F5" w14:textId="1FB1E967" w:rsidR="00915077" w:rsidRPr="00E26EF6" w:rsidRDefault="00B93FA1">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Aktywa</w:t>
            </w:r>
            <w:r w:rsidR="00E26EF6" w:rsidRPr="00E26EF6">
              <w:rPr>
                <w:rFonts w:ascii="Times New Roman" w:hAnsi="Times New Roman"/>
                <w:b/>
                <w:caps/>
                <w:sz w:val="24"/>
                <w:u w:val="single"/>
              </w:rPr>
              <w:t xml:space="preserve"> i zob</w:t>
            </w:r>
            <w:r w:rsidRPr="00E26EF6">
              <w:rPr>
                <w:rFonts w:ascii="Times New Roman" w:hAnsi="Times New Roman"/>
                <w:b/>
                <w:caps/>
                <w:sz w:val="24"/>
                <w:u w:val="single"/>
              </w:rPr>
              <w:t>owiązania WYCENIANE WEDŁUG WARTOŚCI GODZIWEJ uwzględnione</w:t>
            </w:r>
            <w:r w:rsidR="00E26EF6" w:rsidRPr="00E26EF6">
              <w:rPr>
                <w:rFonts w:ascii="Times New Roman" w:hAnsi="Times New Roman"/>
                <w:b/>
                <w:caps/>
                <w:sz w:val="24"/>
                <w:u w:val="single"/>
              </w:rPr>
              <w:t xml:space="preserve"> w pro</w:t>
            </w:r>
            <w:r w:rsidRPr="00E26EF6">
              <w:rPr>
                <w:rFonts w:ascii="Times New Roman" w:hAnsi="Times New Roman"/>
                <w:b/>
                <w:caps/>
                <w:sz w:val="24"/>
                <w:u w:val="single"/>
              </w:rPr>
              <w:t>gu określonym</w:t>
            </w:r>
            <w:r w:rsidR="00E26EF6" w:rsidRPr="00E26EF6">
              <w:rPr>
                <w:rFonts w:ascii="Times New Roman" w:hAnsi="Times New Roman"/>
                <w:b/>
                <w:caps/>
                <w:sz w:val="24"/>
                <w:u w:val="single"/>
              </w:rPr>
              <w:t xml:space="preserve"> w art</w:t>
            </w:r>
            <w:r w:rsidRPr="00E26EF6">
              <w:rPr>
                <w:rFonts w:ascii="Times New Roman" w:hAnsi="Times New Roman"/>
                <w:b/>
                <w:caps/>
                <w:sz w:val="24"/>
                <w:u w:val="single"/>
              </w:rPr>
              <w:t>.</w:t>
            </w:r>
            <w:r w:rsidR="00023409" w:rsidRPr="00E26EF6">
              <w:rPr>
                <w:rFonts w:ascii="Times New Roman" w:hAnsi="Times New Roman"/>
                <w:b/>
                <w:caps/>
                <w:sz w:val="24"/>
                <w:u w:val="single"/>
              </w:rPr>
              <w:t> </w:t>
            </w:r>
            <w:r w:rsidRPr="00E26EF6">
              <w:rPr>
                <w:rFonts w:ascii="Times New Roman" w:hAnsi="Times New Roman"/>
                <w:b/>
                <w:caps/>
                <w:sz w:val="24"/>
                <w:u w:val="single"/>
              </w:rPr>
              <w:t>4 ust.</w:t>
            </w:r>
            <w:r w:rsidR="00023409" w:rsidRPr="00E26EF6">
              <w:rPr>
                <w:rFonts w:ascii="Times New Roman" w:hAnsi="Times New Roman"/>
                <w:b/>
                <w:caps/>
                <w:sz w:val="24"/>
                <w:u w:val="single"/>
              </w:rPr>
              <w:t> </w:t>
            </w:r>
            <w:r w:rsidRPr="00E26EF6">
              <w:rPr>
                <w:rFonts w:ascii="Times New Roman" w:hAnsi="Times New Roman"/>
                <w:b/>
                <w:caps/>
                <w:sz w:val="24"/>
                <w:u w:val="single"/>
              </w:rPr>
              <w:t>1</w:t>
            </w:r>
          </w:p>
          <w:p w14:paraId="36430BD1" w14:textId="5A0ECF95" w:rsidR="00915077" w:rsidRPr="00E26EF6" w:rsidRDefault="00B93FA1">
            <w:pPr>
              <w:spacing w:beforeLines="60" w:before="144" w:afterLines="60" w:after="144"/>
              <w:rPr>
                <w:rFonts w:ascii="Times New Roman" w:hAnsi="Times New Roman"/>
                <w:b/>
                <w:caps/>
                <w:sz w:val="24"/>
                <w:highlight w:val="lightGray"/>
                <w:u w:val="single"/>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faktycznie uwzględnionych</w:t>
            </w:r>
            <w:r w:rsidR="00E26EF6" w:rsidRPr="00E26EF6">
              <w:rPr>
                <w:rFonts w:ascii="Times New Roman" w:hAnsi="Times New Roman"/>
                <w:sz w:val="24"/>
              </w:rPr>
              <w:t xml:space="preserve"> w wyl</w:t>
            </w:r>
            <w:r w:rsidRPr="00E26EF6">
              <w:rPr>
                <w:rFonts w:ascii="Times New Roman" w:hAnsi="Times New Roman"/>
                <w:sz w:val="24"/>
              </w:rPr>
              <w:t>iczeniach progu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rozporządzenia delegowanego (UE) 2016/101.</w:t>
            </w:r>
          </w:p>
        </w:tc>
      </w:tr>
      <w:tr w:rsidR="00915077" w:rsidRPr="00E26EF6" w14:paraId="55F86639" w14:textId="77777777" w:rsidTr="00672D2A">
        <w:tc>
          <w:tcPr>
            <w:tcW w:w="1101" w:type="dxa"/>
          </w:tcPr>
          <w:p w14:paraId="5809CAFC"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0090</w:t>
            </w:r>
          </w:p>
        </w:tc>
        <w:tc>
          <w:tcPr>
            <w:tcW w:w="8190" w:type="dxa"/>
          </w:tcPr>
          <w:p w14:paraId="0ABD1019" w14:textId="77777777" w:rsidR="00915077" w:rsidRPr="00E26EF6" w:rsidRDefault="00B93FA1">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W TYM: portfel handlowy</w:t>
            </w:r>
          </w:p>
          <w:p w14:paraId="121F4DCD" w14:textId="0F913F12" w:rsidR="00915077" w:rsidRPr="00E26EF6" w:rsidRDefault="00B93FA1">
            <w:pPr>
              <w:spacing w:beforeLines="60" w:before="144" w:afterLines="60" w:after="144"/>
              <w:rPr>
                <w:rFonts w:ascii="Times New Roman" w:hAnsi="Times New Roman"/>
                <w:b/>
                <w:caps/>
                <w:sz w:val="24"/>
                <w:u w:val="single"/>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zgłoszona</w:t>
            </w:r>
            <w:r w:rsidR="00E26EF6" w:rsidRPr="00E26EF6">
              <w:rPr>
                <w:rFonts w:ascii="Times New Roman" w:hAnsi="Times New Roman"/>
                <w:sz w:val="24"/>
              </w:rPr>
              <w:t xml:space="preserve"> w kol</w:t>
            </w:r>
            <w:r w:rsidRPr="00E26EF6">
              <w:rPr>
                <w:rFonts w:ascii="Times New Roman" w:hAnsi="Times New Roman"/>
                <w:sz w:val="24"/>
              </w:rPr>
              <w:t>umnie 0080, odpowiadająca pozycjom utrzymywanym</w:t>
            </w:r>
            <w:r w:rsidR="00E26EF6" w:rsidRPr="00E26EF6">
              <w:rPr>
                <w:rFonts w:ascii="Times New Roman" w:hAnsi="Times New Roman"/>
                <w:sz w:val="24"/>
              </w:rPr>
              <w:t xml:space="preserve"> w por</w:t>
            </w:r>
            <w:r w:rsidRPr="00E26EF6">
              <w:rPr>
                <w:rFonts w:ascii="Times New Roman" w:hAnsi="Times New Roman"/>
                <w:sz w:val="24"/>
              </w:rPr>
              <w:t>tfelu handlowym.</w:t>
            </w:r>
          </w:p>
        </w:tc>
      </w:tr>
    </w:tbl>
    <w:p w14:paraId="35766DC0" w14:textId="77777777" w:rsidR="00915077" w:rsidRPr="00E26EF6" w:rsidRDefault="0091507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15077" w:rsidRPr="00E26EF6" w14:paraId="633F5FCB" w14:textId="77777777" w:rsidTr="00672D2A">
        <w:tc>
          <w:tcPr>
            <w:tcW w:w="9291" w:type="dxa"/>
            <w:gridSpan w:val="2"/>
            <w:shd w:val="clear" w:color="auto" w:fill="CCCCCC"/>
          </w:tcPr>
          <w:p w14:paraId="1B5D3ED0" w14:textId="77777777" w:rsidR="00915077" w:rsidRPr="00E26EF6" w:rsidRDefault="00B93FA1">
            <w:pPr>
              <w:spacing w:beforeLines="60" w:before="144" w:afterLines="60" w:after="144"/>
              <w:rPr>
                <w:rFonts w:ascii="Times New Roman" w:hAnsi="Times New Roman"/>
                <w:b/>
                <w:sz w:val="24"/>
                <w:highlight w:val="lightGray"/>
              </w:rPr>
            </w:pPr>
            <w:r w:rsidRPr="00E26EF6">
              <w:rPr>
                <w:rFonts w:ascii="Times New Roman" w:hAnsi="Times New Roman"/>
                <w:b/>
                <w:sz w:val="24"/>
              </w:rPr>
              <w:t>Wiersze</w:t>
            </w:r>
          </w:p>
        </w:tc>
      </w:tr>
      <w:tr w:rsidR="00915077" w:rsidRPr="00E26EF6" w14:paraId="25BA169B" w14:textId="77777777" w:rsidTr="00672D2A">
        <w:tc>
          <w:tcPr>
            <w:tcW w:w="1101" w:type="dxa"/>
          </w:tcPr>
          <w:p w14:paraId="114ACB5C"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0010–0210</w:t>
            </w:r>
          </w:p>
        </w:tc>
        <w:tc>
          <w:tcPr>
            <w:tcW w:w="8190" w:type="dxa"/>
          </w:tcPr>
          <w:p w14:paraId="7D684F60" w14:textId="3E127A85"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Definicje tych kategorii muszą odpowiadać definicjom odpowiadających im wierszy we wzorach FINREP 1.1</w:t>
            </w:r>
            <w:r w:rsidR="00E26EF6" w:rsidRPr="00E26EF6">
              <w:rPr>
                <w:rFonts w:ascii="Times New Roman" w:hAnsi="Times New Roman"/>
                <w:sz w:val="24"/>
              </w:rPr>
              <w:t xml:space="preserve"> </w:t>
            </w:r>
            <w:proofErr w:type="gramStart"/>
            <w:r w:rsidR="00E26EF6" w:rsidRPr="00E26EF6">
              <w:rPr>
                <w:rFonts w:ascii="Times New Roman" w:hAnsi="Times New Roman"/>
                <w:sz w:val="24"/>
              </w:rPr>
              <w:t>i</w:t>
            </w:r>
            <w:proofErr w:type="gramEnd"/>
            <w:r w:rsidR="00E26EF6" w:rsidRPr="00E26EF6">
              <w:rPr>
                <w:rFonts w:ascii="Times New Roman" w:hAnsi="Times New Roman"/>
                <w:sz w:val="24"/>
              </w:rPr>
              <w:t> 1</w:t>
            </w:r>
            <w:r w:rsidRPr="00E26EF6">
              <w:rPr>
                <w:rFonts w:ascii="Times New Roman" w:hAnsi="Times New Roman"/>
                <w:sz w:val="24"/>
              </w:rPr>
              <w:t xml:space="preserve">.2. </w:t>
            </w:r>
          </w:p>
        </w:tc>
      </w:tr>
      <w:tr w:rsidR="00915077" w:rsidRPr="00E26EF6" w14:paraId="2DA6A4C2" w14:textId="77777777" w:rsidTr="00672D2A">
        <w:tc>
          <w:tcPr>
            <w:tcW w:w="1101" w:type="dxa"/>
          </w:tcPr>
          <w:p w14:paraId="6F01EE2E"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0010</w:t>
            </w:r>
          </w:p>
        </w:tc>
        <w:tc>
          <w:tcPr>
            <w:tcW w:w="8190" w:type="dxa"/>
          </w:tcPr>
          <w:p w14:paraId="381B4B8E"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 AKTYWA I ZOBOWIĄZANIA WYCENIANE WEDŁUG WARTOŚCI GODZIWEJ RAZEM</w:t>
            </w:r>
          </w:p>
          <w:p w14:paraId="0A2E4F58" w14:textId="1E788869"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Aktywa</w:t>
            </w:r>
            <w:r w:rsidR="00E26EF6" w:rsidRPr="00E26EF6">
              <w:rPr>
                <w:rFonts w:ascii="Times New Roman" w:hAnsi="Times New Roman"/>
                <w:sz w:val="24"/>
              </w:rPr>
              <w:t xml:space="preserve"> i zob</w:t>
            </w:r>
            <w:r w:rsidRPr="00E26EF6">
              <w:rPr>
                <w:rFonts w:ascii="Times New Roman" w:hAnsi="Times New Roman"/>
                <w:sz w:val="24"/>
              </w:rPr>
              <w:t>owiązania wyceniane według wartości godziwej, zgłoszone</w:t>
            </w:r>
            <w:r w:rsidR="00E26EF6" w:rsidRPr="00E26EF6">
              <w:rPr>
                <w:rFonts w:ascii="Times New Roman" w:hAnsi="Times New Roman"/>
                <w:sz w:val="24"/>
              </w:rPr>
              <w:t xml:space="preserve"> w wie</w:t>
            </w:r>
            <w:r w:rsidRPr="00E26EF6">
              <w:rPr>
                <w:rFonts w:ascii="Times New Roman" w:hAnsi="Times New Roman"/>
                <w:sz w:val="24"/>
              </w:rPr>
              <w:t>rszach 20–210, razem.</w:t>
            </w:r>
          </w:p>
        </w:tc>
      </w:tr>
      <w:tr w:rsidR="00915077" w:rsidRPr="00E26EF6" w14:paraId="7BB10580" w14:textId="77777777" w:rsidTr="00672D2A">
        <w:tc>
          <w:tcPr>
            <w:tcW w:w="1101" w:type="dxa"/>
          </w:tcPr>
          <w:p w14:paraId="6D0B6C62"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0020</w:t>
            </w:r>
          </w:p>
        </w:tc>
        <w:tc>
          <w:tcPr>
            <w:tcW w:w="8190" w:type="dxa"/>
          </w:tcPr>
          <w:p w14:paraId="6A49D77F"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 AKTYWA WYCENIANE WEDŁUG WARTOŚCI GODZIWEJ RAZEM</w:t>
            </w:r>
          </w:p>
          <w:p w14:paraId="2DDD128E" w14:textId="2B0724EC"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Aktywa wyceniane według wartości godziwej, zgłoszone</w:t>
            </w:r>
            <w:r w:rsidR="00E26EF6" w:rsidRPr="00E26EF6">
              <w:rPr>
                <w:rFonts w:ascii="Times New Roman" w:hAnsi="Times New Roman"/>
                <w:sz w:val="24"/>
              </w:rPr>
              <w:t xml:space="preserve"> w wie</w:t>
            </w:r>
            <w:r w:rsidRPr="00E26EF6">
              <w:rPr>
                <w:rFonts w:ascii="Times New Roman" w:hAnsi="Times New Roman"/>
                <w:sz w:val="24"/>
              </w:rPr>
              <w:t xml:space="preserve">rszach 0030–0140, razem. </w:t>
            </w:r>
          </w:p>
          <w:p w14:paraId="151DAF40" w14:textId="7A42D142"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 xml:space="preserve">Odpowiednie pola wierszy 0030–0130 zgłasza się zgodnie ze wzorem FINREP F 01.01 </w:t>
            </w:r>
            <w:proofErr w:type="gramStart"/>
            <w:r w:rsidRPr="00E26EF6">
              <w:rPr>
                <w:rFonts w:ascii="Times New Roman" w:hAnsi="Times New Roman"/>
                <w:sz w:val="24"/>
              </w:rPr>
              <w:t>zawartym</w:t>
            </w:r>
            <w:proofErr w:type="gramEnd"/>
            <w:r w:rsidR="00E26EF6" w:rsidRPr="00E26EF6">
              <w:rPr>
                <w:rFonts w:ascii="Times New Roman" w:hAnsi="Times New Roman"/>
                <w:sz w:val="24"/>
              </w:rPr>
              <w:t xml:space="preserve"> w zał</w:t>
            </w:r>
            <w:r w:rsidRPr="00E26EF6">
              <w:rPr>
                <w:rFonts w:ascii="Times New Roman" w:hAnsi="Times New Roman"/>
                <w:sz w:val="24"/>
              </w:rPr>
              <w:t>ącznikach III i IV do niniejszego rozporządzenia wykonawczego</w:t>
            </w:r>
            <w:r w:rsidR="00E26EF6" w:rsidRPr="00E26EF6">
              <w:rPr>
                <w:rFonts w:ascii="Times New Roman" w:hAnsi="Times New Roman"/>
                <w:sz w:val="24"/>
              </w:rPr>
              <w:t xml:space="preserve"> w zal</w:t>
            </w:r>
            <w:r w:rsidRPr="00E26EF6">
              <w:rPr>
                <w:rFonts w:ascii="Times New Roman" w:hAnsi="Times New Roman"/>
                <w:sz w:val="24"/>
              </w:rPr>
              <w:t>eżności od standardów mających zastosowanie do instytucji:</w:t>
            </w:r>
          </w:p>
          <w:p w14:paraId="2ED8DFAD" w14:textId="5FBC791F" w:rsidR="00915077" w:rsidRPr="00E26EF6" w:rsidRDefault="00B93FA1">
            <w:pPr>
              <w:pStyle w:val="ListParagraph"/>
              <w:numPr>
                <w:ilvl w:val="0"/>
                <w:numId w:val="30"/>
              </w:numPr>
              <w:spacing w:beforeLines="60" w:before="144" w:afterLines="60" w:after="144"/>
              <w:rPr>
                <w:rFonts w:ascii="Times New Roman" w:hAnsi="Times New Roman"/>
                <w:sz w:val="24"/>
              </w:rPr>
            </w:pPr>
            <w:r w:rsidRPr="00E26EF6">
              <w:rPr>
                <w:rFonts w:ascii="Times New Roman" w:hAnsi="Times New Roman"/>
                <w:sz w:val="24"/>
              </w:rPr>
              <w:t>MSSF zatwierdzone przez Unię</w:t>
            </w:r>
            <w:r w:rsidR="00E26EF6" w:rsidRPr="00E26EF6">
              <w:rPr>
                <w:rFonts w:ascii="Times New Roman" w:hAnsi="Times New Roman"/>
                <w:sz w:val="24"/>
              </w:rPr>
              <w:t xml:space="preserve"> w zas</w:t>
            </w:r>
            <w:r w:rsidRPr="00E26EF6">
              <w:rPr>
                <w:rFonts w:ascii="Times New Roman" w:hAnsi="Times New Roman"/>
                <w:sz w:val="24"/>
              </w:rPr>
              <w:t>tosowaniu rozporządzenia (WE) nr</w:t>
            </w:r>
            <w:r w:rsidR="00023409" w:rsidRPr="00E26EF6">
              <w:rPr>
                <w:rFonts w:ascii="Times New Roman" w:hAnsi="Times New Roman"/>
                <w:sz w:val="24"/>
              </w:rPr>
              <w:t> </w:t>
            </w:r>
            <w:r w:rsidRPr="00E26EF6">
              <w:rPr>
                <w:rFonts w:ascii="Times New Roman" w:hAnsi="Times New Roman"/>
                <w:sz w:val="24"/>
              </w:rPr>
              <w:t>1606/2002 Parlamentu Europejskiego</w:t>
            </w:r>
            <w:r w:rsidR="00E26EF6" w:rsidRPr="00E26EF6">
              <w:rPr>
                <w:rFonts w:ascii="Times New Roman" w:hAnsi="Times New Roman"/>
                <w:sz w:val="24"/>
              </w:rPr>
              <w:t xml:space="preserve"> i Rad</w:t>
            </w:r>
            <w:r w:rsidRPr="00E26EF6">
              <w:rPr>
                <w:rFonts w:ascii="Times New Roman" w:hAnsi="Times New Roman"/>
                <w:sz w:val="24"/>
              </w:rPr>
              <w:t>y („MSSF UE”)</w:t>
            </w:r>
            <w:r w:rsidRPr="00E26EF6">
              <w:rPr>
                <w:rStyle w:val="FootnoteReference"/>
                <w:rFonts w:ascii="Times New Roman" w:hAnsi="Times New Roman"/>
                <w:sz w:val="24"/>
                <w:szCs w:val="24"/>
                <w:vertAlign w:val="superscript"/>
              </w:rPr>
              <w:footnoteReference w:id="18"/>
            </w:r>
            <w:r w:rsidRPr="00E26EF6">
              <w:rPr>
                <w:rFonts w:ascii="Times New Roman" w:hAnsi="Times New Roman"/>
                <w:sz w:val="24"/>
              </w:rPr>
              <w:t>;</w:t>
            </w:r>
          </w:p>
          <w:p w14:paraId="5109B6E1" w14:textId="719B428F" w:rsidR="00915077" w:rsidRPr="00E26EF6" w:rsidRDefault="00B93FA1">
            <w:pPr>
              <w:pStyle w:val="ListParagraph"/>
              <w:numPr>
                <w:ilvl w:val="0"/>
                <w:numId w:val="30"/>
              </w:numPr>
              <w:spacing w:beforeLines="60" w:before="144" w:afterLines="60" w:after="144"/>
              <w:rPr>
                <w:rFonts w:ascii="Times New Roman" w:hAnsi="Times New Roman"/>
                <w:sz w:val="24"/>
              </w:rPr>
            </w:pPr>
            <w:proofErr w:type="gramStart"/>
            <w:r w:rsidRPr="00E26EF6">
              <w:rPr>
                <w:rFonts w:ascii="Times New Roman" w:hAnsi="Times New Roman"/>
                <w:sz w:val="24"/>
              </w:rPr>
              <w:lastRenderedPageBreak/>
              <w:t>krajowych</w:t>
            </w:r>
            <w:proofErr w:type="gramEnd"/>
            <w:r w:rsidRPr="00E26EF6">
              <w:rPr>
                <w:rFonts w:ascii="Times New Roman" w:hAnsi="Times New Roman"/>
                <w:sz w:val="24"/>
              </w:rPr>
              <w:t xml:space="preserve"> standardów rachunkowości zgodnych z MSSF UE („krajowe ogólnie przyjęte zasady rachunkowości zgodne z MSSF”); lub</w:t>
            </w:r>
          </w:p>
          <w:p w14:paraId="7CB9B711" w14:textId="6C556155" w:rsidR="00915077" w:rsidRPr="00E26EF6" w:rsidRDefault="00B93FA1">
            <w:pPr>
              <w:pStyle w:val="ListParagraph"/>
              <w:numPr>
                <w:ilvl w:val="0"/>
                <w:numId w:val="30"/>
              </w:numPr>
              <w:spacing w:beforeLines="60" w:before="144" w:afterLines="60" w:after="144"/>
              <w:rPr>
                <w:rFonts w:ascii="Times New Roman" w:hAnsi="Times New Roman"/>
                <w:sz w:val="24"/>
                <w:highlight w:val="lightGray"/>
              </w:rPr>
            </w:pPr>
            <w:proofErr w:type="gramStart"/>
            <w:r w:rsidRPr="00E26EF6">
              <w:rPr>
                <w:rFonts w:ascii="Times New Roman" w:hAnsi="Times New Roman"/>
                <w:sz w:val="24"/>
              </w:rPr>
              <w:t>krajowych</w:t>
            </w:r>
            <w:proofErr w:type="gramEnd"/>
            <w:r w:rsidRPr="00E26EF6">
              <w:rPr>
                <w:rFonts w:ascii="Times New Roman" w:hAnsi="Times New Roman"/>
                <w:sz w:val="24"/>
              </w:rPr>
              <w:t xml:space="preserve"> ogólnie przyjętych zasad rachunkowości opartych na BAD (FINREP „krajowe ogólnie przyjęte zasady rachunkowości oparte na BAD”).</w:t>
            </w:r>
          </w:p>
        </w:tc>
      </w:tr>
      <w:tr w:rsidR="00915077" w:rsidRPr="00E26EF6" w14:paraId="052A7C17" w14:textId="77777777" w:rsidTr="00672D2A">
        <w:tc>
          <w:tcPr>
            <w:tcW w:w="1101" w:type="dxa"/>
          </w:tcPr>
          <w:p w14:paraId="512D094B"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0030</w:t>
            </w:r>
          </w:p>
        </w:tc>
        <w:tc>
          <w:tcPr>
            <w:tcW w:w="8190" w:type="dxa"/>
          </w:tcPr>
          <w:p w14:paraId="47CA5D95"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1.1.1 AKTYWA FINANSOWE PRZEZNACZONE DO OBROTU</w:t>
            </w:r>
          </w:p>
          <w:p w14:paraId="39750714" w14:textId="77777777"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MSSF 9 załącznik A.</w:t>
            </w:r>
          </w:p>
          <w:p w14:paraId="599D5DF6" w14:textId="358593F7"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050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66E93237" w14:textId="77777777" w:rsidTr="00672D2A">
        <w:tc>
          <w:tcPr>
            <w:tcW w:w="1101" w:type="dxa"/>
          </w:tcPr>
          <w:p w14:paraId="49E72A0A"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0040</w:t>
            </w:r>
          </w:p>
        </w:tc>
        <w:tc>
          <w:tcPr>
            <w:tcW w:w="8190" w:type="dxa"/>
          </w:tcPr>
          <w:p w14:paraId="44449780"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1.1.2 AKTYWA FINANSOWE Z PRZEZNACZENIEM DO OBROTU</w:t>
            </w:r>
          </w:p>
          <w:p w14:paraId="1674E97C" w14:textId="3DD8DDA6" w:rsidR="00915077" w:rsidRPr="00E26EF6" w:rsidRDefault="002F78EA">
            <w:pPr>
              <w:spacing w:beforeLines="60" w:before="144" w:afterLines="60" w:after="144"/>
              <w:rPr>
                <w:rFonts w:ascii="Times New Roman" w:hAnsi="Times New Roman"/>
                <w:sz w:val="24"/>
              </w:rPr>
            </w:pPr>
            <w:r w:rsidRPr="00E26EF6">
              <w:rPr>
                <w:rFonts w:ascii="Times New Roman" w:hAnsi="Times New Roman"/>
                <w:sz w:val="24"/>
              </w:rPr>
              <w:t>Art. 32</w:t>
            </w:r>
            <w:r w:rsidR="00E26EF6" w:rsidRPr="00E26EF6">
              <w:rPr>
                <w:rFonts w:ascii="Times New Roman" w:hAnsi="Times New Roman"/>
                <w:sz w:val="24"/>
              </w:rPr>
              <w:t xml:space="preserve"> i 3</w:t>
            </w:r>
            <w:r w:rsidRPr="00E26EF6">
              <w:rPr>
                <w:rFonts w:ascii="Times New Roman" w:hAnsi="Times New Roman"/>
                <w:sz w:val="24"/>
              </w:rPr>
              <w:t xml:space="preserve">3 BAD; </w:t>
            </w:r>
            <w:r w:rsidRPr="00E26EF6">
              <w:rPr>
                <w:rFonts w:ascii="Times New Roman" w:hAnsi="Times New Roman"/>
                <w:bCs/>
                <w:sz w:val="24"/>
              </w:rPr>
              <w:t xml:space="preserve">część 1.17 </w:t>
            </w:r>
            <w:proofErr w:type="gramStart"/>
            <w:r w:rsidRPr="00E26EF6">
              <w:rPr>
                <w:rFonts w:ascii="Times New Roman" w:hAnsi="Times New Roman"/>
                <w:bCs/>
                <w:sz w:val="24"/>
              </w:rPr>
              <w:t>załącznika</w:t>
            </w:r>
            <w:proofErr w:type="gramEnd"/>
            <w:r w:rsidRPr="00E26EF6">
              <w:rPr>
                <w:rFonts w:ascii="Times New Roman" w:hAnsi="Times New Roman"/>
                <w:bCs/>
                <w:sz w:val="24"/>
              </w:rPr>
              <w:t xml:space="preserve"> V do niniejszego rozporządzenia wykonawczego</w:t>
            </w:r>
            <w:r w:rsidRPr="00E26EF6">
              <w:rPr>
                <w:rFonts w:ascii="Times New Roman" w:hAnsi="Times New Roman"/>
                <w:sz w:val="24"/>
              </w:rPr>
              <w:t xml:space="preserve"> </w:t>
            </w:r>
          </w:p>
          <w:p w14:paraId="1E2E07AD" w14:textId="17120FF4"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091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6934103C" w14:textId="77777777" w:rsidTr="00672D2A">
        <w:tc>
          <w:tcPr>
            <w:tcW w:w="1101" w:type="dxa"/>
          </w:tcPr>
          <w:p w14:paraId="1B3854EE"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0050</w:t>
            </w:r>
          </w:p>
        </w:tc>
        <w:tc>
          <w:tcPr>
            <w:tcW w:w="8190" w:type="dxa"/>
          </w:tcPr>
          <w:p w14:paraId="5B1EE5FB"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 xml:space="preserve">1.1.3 AKTYWA FINANSOWE NIEPRZEZNACZONE DO OBROTU WYCENIANE OBOWIĄZKOWO WEDŁUG WARTOŚCI GODZIWEJ PRZEZ WYNIK FINANSOWY </w:t>
            </w:r>
          </w:p>
          <w:p w14:paraId="4B69BEE0" w14:textId="41549429"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MSSF 7 pkt</w:t>
            </w:r>
            <w:r w:rsidR="00023409" w:rsidRPr="00E26EF6">
              <w:rPr>
                <w:rFonts w:ascii="Times New Roman" w:hAnsi="Times New Roman"/>
                <w:sz w:val="24"/>
              </w:rPr>
              <w:t> </w:t>
            </w:r>
            <w:r w:rsidRPr="00E26EF6">
              <w:rPr>
                <w:rFonts w:ascii="Times New Roman" w:hAnsi="Times New Roman"/>
                <w:sz w:val="24"/>
              </w:rPr>
              <w:t>8 lit.</w:t>
            </w:r>
            <w:r w:rsidR="00023409" w:rsidRPr="00E26EF6">
              <w:rPr>
                <w:rFonts w:ascii="Times New Roman" w:hAnsi="Times New Roman"/>
                <w:sz w:val="24"/>
              </w:rPr>
              <w:t> </w:t>
            </w:r>
            <w:r w:rsidRPr="00E26EF6">
              <w:rPr>
                <w:rFonts w:ascii="Times New Roman" w:hAnsi="Times New Roman"/>
                <w:sz w:val="24"/>
              </w:rPr>
              <w:t>a) ppkt (ii); MSSF 9 pkt</w:t>
            </w:r>
            <w:r w:rsidR="00023409" w:rsidRPr="00E26EF6">
              <w:rPr>
                <w:rFonts w:ascii="Times New Roman" w:hAnsi="Times New Roman"/>
                <w:sz w:val="24"/>
              </w:rPr>
              <w:t> </w:t>
            </w:r>
            <w:r w:rsidRPr="00E26EF6">
              <w:rPr>
                <w:rFonts w:ascii="Times New Roman" w:hAnsi="Times New Roman"/>
                <w:sz w:val="24"/>
              </w:rPr>
              <w:t xml:space="preserve">4.1.4 </w:t>
            </w:r>
          </w:p>
          <w:p w14:paraId="32CC7869" w14:textId="4A2F30BB"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096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0B21D573" w14:textId="77777777" w:rsidTr="00672D2A">
        <w:tc>
          <w:tcPr>
            <w:tcW w:w="1101" w:type="dxa"/>
          </w:tcPr>
          <w:p w14:paraId="0D5FC191"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0060</w:t>
            </w:r>
          </w:p>
        </w:tc>
        <w:tc>
          <w:tcPr>
            <w:tcW w:w="8190" w:type="dxa"/>
          </w:tcPr>
          <w:p w14:paraId="2D917D24"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1.1.4 AKTYWA FINANSOWE WYCENIANE WEDŁUG WARTOŚCI GODZIWEJ PRZEZ WYNIK FINANSOWY</w:t>
            </w:r>
          </w:p>
          <w:p w14:paraId="417AA106" w14:textId="162D664E"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MSSF 7 pkt</w:t>
            </w:r>
            <w:r w:rsidR="00023409" w:rsidRPr="00E26EF6">
              <w:rPr>
                <w:rFonts w:ascii="Times New Roman" w:hAnsi="Times New Roman"/>
                <w:sz w:val="24"/>
              </w:rPr>
              <w:t> </w:t>
            </w:r>
            <w:r w:rsidRPr="00E26EF6">
              <w:rPr>
                <w:rFonts w:ascii="Times New Roman" w:hAnsi="Times New Roman"/>
                <w:sz w:val="24"/>
              </w:rPr>
              <w:t>8 lit.</w:t>
            </w:r>
            <w:r w:rsidR="00023409" w:rsidRPr="00E26EF6">
              <w:rPr>
                <w:rFonts w:ascii="Times New Roman" w:hAnsi="Times New Roman"/>
                <w:sz w:val="24"/>
              </w:rPr>
              <w:t> </w:t>
            </w:r>
            <w:r w:rsidRPr="00E26EF6">
              <w:rPr>
                <w:rFonts w:ascii="Times New Roman" w:hAnsi="Times New Roman"/>
                <w:sz w:val="24"/>
              </w:rPr>
              <w:t>a) ppkt (i); MSSF 9 pkt</w:t>
            </w:r>
            <w:r w:rsidR="00023409" w:rsidRPr="00E26EF6">
              <w:rPr>
                <w:rFonts w:ascii="Times New Roman" w:hAnsi="Times New Roman"/>
                <w:sz w:val="24"/>
              </w:rPr>
              <w:t> </w:t>
            </w:r>
            <w:r w:rsidRPr="00E26EF6">
              <w:rPr>
                <w:rFonts w:ascii="Times New Roman" w:hAnsi="Times New Roman"/>
                <w:sz w:val="24"/>
              </w:rPr>
              <w:t>4.1.5;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oraz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6 AD</w:t>
            </w:r>
          </w:p>
          <w:p w14:paraId="18803FF2" w14:textId="2F90FA06"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100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31AF53C2" w14:textId="77777777" w:rsidTr="00672D2A">
        <w:tc>
          <w:tcPr>
            <w:tcW w:w="1101" w:type="dxa"/>
          </w:tcPr>
          <w:p w14:paraId="2C064889"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0070</w:t>
            </w:r>
          </w:p>
        </w:tc>
        <w:tc>
          <w:tcPr>
            <w:tcW w:w="8190" w:type="dxa"/>
          </w:tcPr>
          <w:p w14:paraId="08198C9C" w14:textId="6BC1F223"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1.1.5</w:t>
            </w:r>
            <w:r w:rsidR="00023409" w:rsidRPr="00E26EF6">
              <w:rPr>
                <w:rFonts w:ascii="Times New Roman" w:hAnsi="Times New Roman"/>
                <w:b/>
                <w:sz w:val="24"/>
                <w:u w:val="single"/>
              </w:rPr>
              <w:t xml:space="preserve"> </w:t>
            </w:r>
            <w:r w:rsidRPr="00E26EF6">
              <w:rPr>
                <w:rFonts w:ascii="Times New Roman" w:hAnsi="Times New Roman"/>
                <w:b/>
                <w:sz w:val="24"/>
                <w:u w:val="single"/>
              </w:rPr>
              <w:t>AKTYWA FINANSOWE WYCENIANE WEDŁUG WARTOŚCI GODZIWEJ PRZEZ INNE CAŁKOWITE DOCHODY</w:t>
            </w:r>
          </w:p>
          <w:p w14:paraId="5733F22B" w14:textId="1E889589"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MSSF 7 pkt</w:t>
            </w:r>
            <w:r w:rsidR="00023409" w:rsidRPr="00E26EF6">
              <w:rPr>
                <w:rFonts w:ascii="Times New Roman" w:hAnsi="Times New Roman"/>
                <w:sz w:val="24"/>
              </w:rPr>
              <w:t> </w:t>
            </w:r>
            <w:r w:rsidRPr="00E26EF6">
              <w:rPr>
                <w:rFonts w:ascii="Times New Roman" w:hAnsi="Times New Roman"/>
                <w:sz w:val="24"/>
              </w:rPr>
              <w:t>8 lit.</w:t>
            </w:r>
            <w:r w:rsidR="00023409" w:rsidRPr="00E26EF6">
              <w:rPr>
                <w:rFonts w:ascii="Times New Roman" w:hAnsi="Times New Roman"/>
                <w:sz w:val="24"/>
              </w:rPr>
              <w:t> </w:t>
            </w:r>
            <w:r w:rsidRPr="00E26EF6">
              <w:rPr>
                <w:rFonts w:ascii="Times New Roman" w:hAnsi="Times New Roman"/>
                <w:sz w:val="24"/>
              </w:rPr>
              <w:t>h); MSSF 9 pkt</w:t>
            </w:r>
            <w:r w:rsidR="00023409" w:rsidRPr="00E26EF6">
              <w:rPr>
                <w:rFonts w:ascii="Times New Roman" w:hAnsi="Times New Roman"/>
                <w:sz w:val="24"/>
              </w:rPr>
              <w:t> </w:t>
            </w:r>
            <w:r w:rsidRPr="00E26EF6">
              <w:rPr>
                <w:rFonts w:ascii="Times New Roman" w:hAnsi="Times New Roman"/>
                <w:sz w:val="24"/>
              </w:rPr>
              <w:t>4.1.2A.</w:t>
            </w:r>
          </w:p>
          <w:p w14:paraId="7EDE4FFB" w14:textId="5846D1E5"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141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1BF5D773" w14:textId="77777777" w:rsidTr="00672D2A">
        <w:tc>
          <w:tcPr>
            <w:tcW w:w="1101" w:type="dxa"/>
          </w:tcPr>
          <w:p w14:paraId="2E2D11D2"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0080</w:t>
            </w:r>
          </w:p>
        </w:tc>
        <w:tc>
          <w:tcPr>
            <w:tcW w:w="8190" w:type="dxa"/>
          </w:tcPr>
          <w:p w14:paraId="12115EB0"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1.1.6 AKTYWA FINANSOWE NIEBĘDĄCE INSTRUMENTAMI POCHODNYMI NIEPRZEZNACZONE DO OBROTU WYCENIANE WEDŁUG WARTOŚCI GODZIWEJ PRZEZ WYNIK FINANSOWY</w:t>
            </w:r>
          </w:p>
          <w:p w14:paraId="69F2A020" w14:textId="13FA6E59" w:rsidR="00915077" w:rsidRPr="00E26EF6" w:rsidRDefault="002F78EA">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Art. 36 ust.</w:t>
            </w:r>
            <w:r w:rsidR="00023409" w:rsidRPr="00E26EF6">
              <w:rPr>
                <w:rFonts w:ascii="Times New Roman" w:hAnsi="Times New Roman"/>
                <w:sz w:val="24"/>
              </w:rPr>
              <w:t> </w:t>
            </w:r>
            <w:r w:rsidRPr="00E26EF6">
              <w:rPr>
                <w:rFonts w:ascii="Times New Roman" w:hAnsi="Times New Roman"/>
                <w:sz w:val="24"/>
              </w:rPr>
              <w:t>2 BAD 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171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0AA7E1B9" w14:textId="77777777" w:rsidTr="00672D2A">
        <w:tc>
          <w:tcPr>
            <w:tcW w:w="1101" w:type="dxa"/>
          </w:tcPr>
          <w:p w14:paraId="415718DD"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0090</w:t>
            </w:r>
          </w:p>
        </w:tc>
        <w:tc>
          <w:tcPr>
            <w:tcW w:w="8190" w:type="dxa"/>
          </w:tcPr>
          <w:p w14:paraId="4561B811"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1.1.7 AKTYWA FINANSOWE NIEBĘDĄCE INSTRUMENTAMI POCHODNYMI NIEPRZEZNACZONE DO OBROTU WYCENIANE WEDŁUG WARTOŚCI GODZIWEJ PRZEZ KAPITAŁY</w:t>
            </w:r>
          </w:p>
          <w:p w14:paraId="50DF3F96" w14:textId="5FD370A1" w:rsidR="00915077" w:rsidRPr="00E26EF6" w:rsidRDefault="002F78EA">
            <w:pPr>
              <w:spacing w:beforeLines="60" w:before="144" w:afterLines="60" w:after="144"/>
              <w:rPr>
                <w:rFonts w:ascii="Times New Roman" w:hAnsi="Times New Roman"/>
                <w:sz w:val="24"/>
              </w:rPr>
            </w:pPr>
            <w:r w:rsidRPr="00E26EF6">
              <w:rPr>
                <w:rFonts w:ascii="Times New Roman" w:hAnsi="Times New Roman"/>
                <w:sz w:val="24"/>
              </w:rPr>
              <w:t>Art. 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oraz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 xml:space="preserve">8 AD </w:t>
            </w:r>
          </w:p>
          <w:p w14:paraId="1F974E69" w14:textId="6F5532BB"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175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2EACAF1F" w14:textId="77777777" w:rsidTr="00672D2A">
        <w:tc>
          <w:tcPr>
            <w:tcW w:w="1101" w:type="dxa"/>
          </w:tcPr>
          <w:p w14:paraId="658B25EF"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0100</w:t>
            </w:r>
          </w:p>
        </w:tc>
        <w:tc>
          <w:tcPr>
            <w:tcW w:w="8190" w:type="dxa"/>
          </w:tcPr>
          <w:p w14:paraId="263B36B7"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1.1.8 INNE AKTYWA FINANSOWE NIEBĘDĄCE INSTRUMENTAMI POCHODNYMI NIEPRZEZNACZONE DO OBROTU</w:t>
            </w:r>
          </w:p>
          <w:p w14:paraId="48AECBBE" w14:textId="030F71B7" w:rsidR="00915077" w:rsidRPr="00E26EF6" w:rsidRDefault="002F78EA">
            <w:pPr>
              <w:spacing w:beforeLines="60" w:before="144" w:afterLines="60" w:after="144"/>
              <w:rPr>
                <w:rFonts w:ascii="Times New Roman" w:hAnsi="Times New Roman"/>
                <w:sz w:val="24"/>
              </w:rPr>
            </w:pPr>
            <w:r w:rsidRPr="00E26EF6">
              <w:rPr>
                <w:rFonts w:ascii="Times New Roman" w:hAnsi="Times New Roman"/>
                <w:sz w:val="24"/>
              </w:rPr>
              <w:t>Art. 37 BAD; art.</w:t>
            </w:r>
            <w:r w:rsidR="00023409" w:rsidRPr="00E26EF6">
              <w:rPr>
                <w:rFonts w:ascii="Times New Roman" w:hAnsi="Times New Roman"/>
                <w:sz w:val="24"/>
              </w:rPr>
              <w:t> </w:t>
            </w:r>
            <w:r w:rsidRPr="00E26EF6">
              <w:rPr>
                <w:rFonts w:ascii="Times New Roman" w:hAnsi="Times New Roman"/>
                <w:sz w:val="24"/>
              </w:rPr>
              <w:t>12 ust.</w:t>
            </w:r>
            <w:r w:rsidR="00023409" w:rsidRPr="00E26EF6">
              <w:rPr>
                <w:rFonts w:ascii="Times New Roman" w:hAnsi="Times New Roman"/>
                <w:sz w:val="24"/>
              </w:rPr>
              <w:t> </w:t>
            </w:r>
            <w:r w:rsidRPr="00E26EF6">
              <w:rPr>
                <w:rFonts w:ascii="Times New Roman" w:hAnsi="Times New Roman"/>
                <w:sz w:val="24"/>
              </w:rPr>
              <w:t xml:space="preserve">7 AD; </w:t>
            </w:r>
            <w:r w:rsidRPr="00E26EF6">
              <w:rPr>
                <w:rFonts w:ascii="Times New Roman" w:hAnsi="Times New Roman"/>
                <w:bCs/>
                <w:sz w:val="24"/>
              </w:rPr>
              <w:t xml:space="preserve">część 1.20 </w:t>
            </w:r>
            <w:proofErr w:type="gramStart"/>
            <w:r w:rsidRPr="00E26EF6">
              <w:rPr>
                <w:rFonts w:ascii="Times New Roman" w:hAnsi="Times New Roman"/>
                <w:bCs/>
                <w:sz w:val="24"/>
              </w:rPr>
              <w:t>załącznika</w:t>
            </w:r>
            <w:proofErr w:type="gramEnd"/>
            <w:r w:rsidRPr="00E26EF6">
              <w:rPr>
                <w:rFonts w:ascii="Times New Roman" w:hAnsi="Times New Roman"/>
                <w:bCs/>
                <w:sz w:val="24"/>
              </w:rPr>
              <w:t xml:space="preserve"> V do niniejszego rozporządzenia wykonawczego</w:t>
            </w:r>
          </w:p>
          <w:p w14:paraId="74CB19E0" w14:textId="42001FA0"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234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6E497EB9" w14:textId="77777777" w:rsidTr="00672D2A">
        <w:tc>
          <w:tcPr>
            <w:tcW w:w="1101" w:type="dxa"/>
          </w:tcPr>
          <w:p w14:paraId="31C6FEC5"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0110</w:t>
            </w:r>
          </w:p>
        </w:tc>
        <w:tc>
          <w:tcPr>
            <w:tcW w:w="8190" w:type="dxa"/>
          </w:tcPr>
          <w:p w14:paraId="3A28A27C"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1.1.9 INSTRUMENTY POCHODNE – RACHUNKOWOŚĆ ZABEZPIECZEŃ</w:t>
            </w:r>
          </w:p>
          <w:p w14:paraId="43EE3D7F" w14:textId="70CE0418"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MSSF 9 pkt</w:t>
            </w:r>
            <w:r w:rsidR="00023409" w:rsidRPr="00E26EF6">
              <w:rPr>
                <w:rFonts w:ascii="Times New Roman" w:hAnsi="Times New Roman"/>
                <w:sz w:val="24"/>
              </w:rPr>
              <w:t> </w:t>
            </w:r>
            <w:r w:rsidRPr="00E26EF6">
              <w:rPr>
                <w:rFonts w:ascii="Times New Roman" w:hAnsi="Times New Roman"/>
                <w:sz w:val="24"/>
              </w:rPr>
              <w:t xml:space="preserve">6.2.1; </w:t>
            </w:r>
            <w:r w:rsidRPr="00E26EF6">
              <w:rPr>
                <w:rFonts w:ascii="Times New Roman" w:hAnsi="Times New Roman"/>
                <w:bCs/>
                <w:sz w:val="24"/>
              </w:rPr>
              <w:t xml:space="preserve">część 1.22 </w:t>
            </w:r>
            <w:proofErr w:type="gramStart"/>
            <w:r w:rsidRPr="00E26EF6">
              <w:rPr>
                <w:rFonts w:ascii="Times New Roman" w:hAnsi="Times New Roman"/>
                <w:bCs/>
                <w:sz w:val="24"/>
              </w:rPr>
              <w:t>załącznika</w:t>
            </w:r>
            <w:proofErr w:type="gramEnd"/>
            <w:r w:rsidRPr="00E26EF6">
              <w:rPr>
                <w:rFonts w:ascii="Times New Roman" w:hAnsi="Times New Roman"/>
                <w:bCs/>
                <w:sz w:val="24"/>
              </w:rPr>
              <w:t xml:space="preserve"> V do niniejszego rozporządzenia wykonawczego</w:t>
            </w:r>
            <w:r w:rsidRPr="00E26EF6">
              <w:rPr>
                <w:rFonts w:ascii="Times New Roman" w:hAnsi="Times New Roman"/>
                <w:sz w:val="24"/>
              </w:rPr>
              <w:t>;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oraz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6</w:t>
            </w:r>
            <w:r w:rsidR="00E26EF6" w:rsidRPr="00E26EF6">
              <w:rPr>
                <w:rFonts w:ascii="Times New Roman" w:hAnsi="Times New Roman"/>
                <w:sz w:val="24"/>
              </w:rPr>
              <w:t xml:space="preserve"> i 8</w:t>
            </w:r>
            <w:r w:rsidRPr="00E26EF6">
              <w:rPr>
                <w:rFonts w:ascii="Times New Roman" w:hAnsi="Times New Roman"/>
                <w:sz w:val="24"/>
              </w:rPr>
              <w:t xml:space="preserve"> AD; MSR 39 pkt</w:t>
            </w:r>
            <w:r w:rsidR="00023409" w:rsidRPr="00E26EF6">
              <w:rPr>
                <w:rFonts w:ascii="Times New Roman" w:hAnsi="Times New Roman"/>
                <w:sz w:val="24"/>
              </w:rPr>
              <w:t> </w:t>
            </w:r>
            <w:r w:rsidRPr="00E26EF6">
              <w:rPr>
                <w:rFonts w:ascii="Times New Roman" w:hAnsi="Times New Roman"/>
                <w:sz w:val="24"/>
              </w:rPr>
              <w:t>9</w:t>
            </w:r>
          </w:p>
          <w:p w14:paraId="25BA11CC" w14:textId="2A65D17A"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240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302B88CB" w14:textId="77777777" w:rsidTr="00672D2A">
        <w:tc>
          <w:tcPr>
            <w:tcW w:w="1101" w:type="dxa"/>
          </w:tcPr>
          <w:p w14:paraId="148F6137" w14:textId="77777777" w:rsidR="00915077" w:rsidRPr="00E26EF6" w:rsidDel="006529A1"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0120</w:t>
            </w:r>
          </w:p>
        </w:tc>
        <w:tc>
          <w:tcPr>
            <w:tcW w:w="8190" w:type="dxa"/>
          </w:tcPr>
          <w:p w14:paraId="5B9144EF"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1.1.10 ZMIANY WARTOŚCI GODZIWEJ POZYCJI ZABEZPIECZANYCH W ZABEZPIECZANIU PORTFELA PRZED RYZYKIEM STOPY PROCENTOWEJ</w:t>
            </w:r>
          </w:p>
          <w:p w14:paraId="16ED7EF0" w14:textId="1A8F5951"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MSR 39 pkt</w:t>
            </w:r>
            <w:r w:rsidR="00023409" w:rsidRPr="00E26EF6">
              <w:rPr>
                <w:rFonts w:ascii="Times New Roman" w:hAnsi="Times New Roman"/>
                <w:sz w:val="24"/>
              </w:rPr>
              <w:t> </w:t>
            </w:r>
            <w:r w:rsidRPr="00E26EF6">
              <w:rPr>
                <w:rFonts w:ascii="Times New Roman" w:hAnsi="Times New Roman"/>
                <w:sz w:val="24"/>
              </w:rPr>
              <w:t>89A lit.</w:t>
            </w:r>
            <w:r w:rsidR="00023409" w:rsidRPr="00E26EF6">
              <w:rPr>
                <w:rFonts w:ascii="Times New Roman" w:hAnsi="Times New Roman"/>
                <w:sz w:val="24"/>
              </w:rPr>
              <w:t> </w:t>
            </w:r>
            <w:r w:rsidRPr="00E26EF6">
              <w:rPr>
                <w:rFonts w:ascii="Times New Roman" w:hAnsi="Times New Roman"/>
                <w:sz w:val="24"/>
              </w:rPr>
              <w:t>a); MSSF 9 pkt</w:t>
            </w:r>
            <w:r w:rsidR="00023409" w:rsidRPr="00E26EF6">
              <w:rPr>
                <w:rFonts w:ascii="Times New Roman" w:hAnsi="Times New Roman"/>
                <w:sz w:val="24"/>
              </w:rPr>
              <w:t> </w:t>
            </w:r>
            <w:r w:rsidRPr="00E26EF6">
              <w:rPr>
                <w:rFonts w:ascii="Times New Roman" w:hAnsi="Times New Roman"/>
                <w:sz w:val="24"/>
              </w:rPr>
              <w:t>6.5.8; Art. 8 ust.</w:t>
            </w:r>
            <w:r w:rsidR="00023409" w:rsidRPr="00E26EF6">
              <w:rPr>
                <w:rFonts w:ascii="Times New Roman" w:hAnsi="Times New Roman"/>
                <w:sz w:val="24"/>
              </w:rPr>
              <w:t> </w:t>
            </w:r>
            <w:r w:rsidRPr="00E26EF6">
              <w:rPr>
                <w:rFonts w:ascii="Times New Roman" w:hAnsi="Times New Roman"/>
                <w:sz w:val="24"/>
              </w:rPr>
              <w:t>5</w:t>
            </w:r>
            <w:r w:rsidR="00E26EF6" w:rsidRPr="00E26EF6">
              <w:rPr>
                <w:rFonts w:ascii="Times New Roman" w:hAnsi="Times New Roman"/>
                <w:sz w:val="24"/>
              </w:rPr>
              <w:t xml:space="preserve"> i 6</w:t>
            </w:r>
            <w:r w:rsidRPr="00E26EF6">
              <w:rPr>
                <w:rFonts w:ascii="Times New Roman" w:hAnsi="Times New Roman"/>
                <w:sz w:val="24"/>
              </w:rPr>
              <w:t xml:space="preserve"> AD 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250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2A7C4243" w14:textId="77777777" w:rsidTr="00672D2A">
        <w:tc>
          <w:tcPr>
            <w:tcW w:w="1101" w:type="dxa"/>
          </w:tcPr>
          <w:p w14:paraId="112B91CA"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0130</w:t>
            </w:r>
          </w:p>
        </w:tc>
        <w:tc>
          <w:tcPr>
            <w:tcW w:w="8190" w:type="dxa"/>
          </w:tcPr>
          <w:p w14:paraId="4F84B525"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1.1.11 INWESTYCJE W JEDNOSTKACH ZALEŻNYCH, WSPÓLNYCH PRZEDSIĘWZIĘCIACH I JEDNOSTKACH STOWARZYSZONYCH</w:t>
            </w:r>
          </w:p>
          <w:p w14:paraId="31262036" w14:textId="5D53B3C7"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MSR 1 pkt</w:t>
            </w:r>
            <w:r w:rsidR="00023409" w:rsidRPr="00E26EF6">
              <w:rPr>
                <w:rFonts w:ascii="Times New Roman" w:hAnsi="Times New Roman"/>
                <w:sz w:val="24"/>
              </w:rPr>
              <w:t> </w:t>
            </w:r>
            <w:r w:rsidRPr="00E26EF6">
              <w:rPr>
                <w:rFonts w:ascii="Times New Roman" w:hAnsi="Times New Roman"/>
                <w:sz w:val="24"/>
              </w:rPr>
              <w:t>54 lit.</w:t>
            </w:r>
            <w:r w:rsidR="00023409" w:rsidRPr="00E26EF6">
              <w:rPr>
                <w:rFonts w:ascii="Times New Roman" w:hAnsi="Times New Roman"/>
                <w:sz w:val="24"/>
              </w:rPr>
              <w:t> </w:t>
            </w:r>
            <w:r w:rsidRPr="00E26EF6">
              <w:rPr>
                <w:rFonts w:ascii="Times New Roman" w:hAnsi="Times New Roman"/>
                <w:sz w:val="24"/>
              </w:rPr>
              <w:t xml:space="preserve">e); </w:t>
            </w:r>
            <w:r w:rsidRPr="00E26EF6">
              <w:rPr>
                <w:rFonts w:ascii="Times New Roman" w:hAnsi="Times New Roman"/>
                <w:bCs/>
                <w:sz w:val="24"/>
              </w:rPr>
              <w:t>Części 1.21</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i</w:t>
            </w:r>
            <w:proofErr w:type="gramEnd"/>
            <w:r w:rsidR="00E26EF6" w:rsidRPr="00E26EF6">
              <w:rPr>
                <w:rFonts w:ascii="Times New Roman" w:hAnsi="Times New Roman"/>
                <w:bCs/>
                <w:sz w:val="24"/>
              </w:rPr>
              <w:t> 2</w:t>
            </w:r>
            <w:r w:rsidRPr="00E26EF6">
              <w:rPr>
                <w:rFonts w:ascii="Times New Roman" w:hAnsi="Times New Roman"/>
                <w:bCs/>
                <w:sz w:val="24"/>
              </w:rPr>
              <w:t xml:space="preserve">.4 </w:t>
            </w:r>
            <w:proofErr w:type="gramStart"/>
            <w:r w:rsidRPr="00E26EF6">
              <w:rPr>
                <w:rFonts w:ascii="Times New Roman" w:hAnsi="Times New Roman"/>
                <w:bCs/>
                <w:sz w:val="24"/>
              </w:rPr>
              <w:t>załącznika</w:t>
            </w:r>
            <w:proofErr w:type="gramEnd"/>
            <w:r w:rsidRPr="00E26EF6">
              <w:rPr>
                <w:rFonts w:ascii="Times New Roman" w:hAnsi="Times New Roman"/>
                <w:bCs/>
                <w:sz w:val="24"/>
              </w:rPr>
              <w:t xml:space="preserve"> V do niniejszego rozporządzenia wykonawczego</w:t>
            </w:r>
            <w:r w:rsidRPr="00E26EF6">
              <w:rPr>
                <w:rFonts w:ascii="Times New Roman" w:hAnsi="Times New Roman"/>
                <w:sz w:val="24"/>
              </w:rPr>
              <w:t>; art.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7</w:t>
            </w:r>
            <w:r w:rsidR="00E26EF6" w:rsidRPr="00E26EF6">
              <w:rPr>
                <w:rFonts w:ascii="Times New Roman" w:hAnsi="Times New Roman"/>
                <w:sz w:val="24"/>
              </w:rPr>
              <w:t xml:space="preserve"> i 8</w:t>
            </w:r>
            <w:r w:rsidRPr="00E26EF6">
              <w:rPr>
                <w:rFonts w:ascii="Times New Roman" w:hAnsi="Times New Roman"/>
                <w:sz w:val="24"/>
              </w:rPr>
              <w:t xml:space="preserve"> BAD; art.</w:t>
            </w:r>
            <w:r w:rsidR="00023409" w:rsidRPr="00E26EF6">
              <w:rPr>
                <w:rFonts w:ascii="Times New Roman" w:hAnsi="Times New Roman"/>
                <w:sz w:val="24"/>
              </w:rPr>
              <w:t> </w:t>
            </w:r>
            <w:r w:rsidRPr="00E26EF6">
              <w:rPr>
                <w:rFonts w:ascii="Times New Roman" w:hAnsi="Times New Roman"/>
                <w:sz w:val="24"/>
              </w:rPr>
              <w:t>2 ust.</w:t>
            </w:r>
            <w:r w:rsidR="00023409" w:rsidRPr="00E26EF6">
              <w:rPr>
                <w:rFonts w:ascii="Times New Roman" w:hAnsi="Times New Roman"/>
                <w:sz w:val="24"/>
              </w:rPr>
              <w:t> </w:t>
            </w:r>
            <w:r w:rsidRPr="00E26EF6">
              <w:rPr>
                <w:rFonts w:ascii="Times New Roman" w:hAnsi="Times New Roman"/>
                <w:sz w:val="24"/>
              </w:rPr>
              <w:t>2 AD</w:t>
            </w:r>
          </w:p>
          <w:p w14:paraId="1EAE944E" w14:textId="27E3BB7A"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260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7078A652" w14:textId="77777777" w:rsidTr="00672D2A">
        <w:tc>
          <w:tcPr>
            <w:tcW w:w="1101" w:type="dxa"/>
          </w:tcPr>
          <w:p w14:paraId="7C06DA94"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0140</w:t>
            </w:r>
          </w:p>
        </w:tc>
        <w:tc>
          <w:tcPr>
            <w:tcW w:w="8190" w:type="dxa"/>
          </w:tcPr>
          <w:p w14:paraId="2DFC6298" w14:textId="1C824B25"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1.1.12 (-) REDUKCJE WARTOŚCI W ODNIESIENIU DO AKTYWÓW Z PRZEZNACZENIEM DO OBROTU WYCENIAN</w:t>
            </w:r>
            <w:r w:rsidR="00E26EF6">
              <w:rPr>
                <w:rFonts w:ascii="Times New Roman" w:hAnsi="Times New Roman"/>
                <w:b/>
                <w:sz w:val="24"/>
                <w:u w:val="single"/>
              </w:rPr>
              <w:t>Y</w:t>
            </w:r>
            <w:r w:rsidRPr="00E26EF6">
              <w:rPr>
                <w:rFonts w:ascii="Times New Roman" w:hAnsi="Times New Roman"/>
                <w:b/>
                <w:sz w:val="24"/>
                <w:u w:val="single"/>
              </w:rPr>
              <w:t>CH WEDŁUG WARTOŚCI GODZIWEJ</w:t>
            </w:r>
          </w:p>
          <w:p w14:paraId="465F1A64" w14:textId="09AEDA1A" w:rsidR="00915077" w:rsidRPr="00E26EF6" w:rsidRDefault="002F78EA">
            <w:pPr>
              <w:spacing w:beforeLines="60" w:before="144" w:afterLines="60" w:after="144"/>
              <w:rPr>
                <w:rFonts w:ascii="Times New Roman" w:hAnsi="Times New Roman"/>
                <w:sz w:val="24"/>
              </w:rPr>
            </w:pPr>
            <w:r w:rsidRPr="00E26EF6">
              <w:rPr>
                <w:rFonts w:ascii="Times New Roman" w:hAnsi="Times New Roman"/>
                <w:bCs/>
                <w:sz w:val="24"/>
              </w:rPr>
              <w:t xml:space="preserve">Część 1.29 </w:t>
            </w:r>
            <w:proofErr w:type="gramStart"/>
            <w:r w:rsidRPr="00E26EF6">
              <w:rPr>
                <w:rFonts w:ascii="Times New Roman" w:hAnsi="Times New Roman"/>
                <w:bCs/>
                <w:sz w:val="24"/>
              </w:rPr>
              <w:t>załącznika</w:t>
            </w:r>
            <w:proofErr w:type="gramEnd"/>
            <w:r w:rsidRPr="00E26EF6">
              <w:rPr>
                <w:rFonts w:ascii="Times New Roman" w:hAnsi="Times New Roman"/>
                <w:bCs/>
                <w:sz w:val="24"/>
              </w:rPr>
              <w:t xml:space="preserve"> V do niniejszego rozporządzenia wykonawczego</w:t>
            </w:r>
          </w:p>
          <w:p w14:paraId="49843882" w14:textId="238B0402"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375 we wzorze F 01.01</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0F04ACD5" w14:textId="77777777" w:rsidTr="00672D2A">
        <w:tc>
          <w:tcPr>
            <w:tcW w:w="1101" w:type="dxa"/>
          </w:tcPr>
          <w:p w14:paraId="5F91827C"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0150</w:t>
            </w:r>
          </w:p>
        </w:tc>
        <w:tc>
          <w:tcPr>
            <w:tcW w:w="8190" w:type="dxa"/>
          </w:tcPr>
          <w:p w14:paraId="6C47C20F" w14:textId="7D5D637B"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1.2 ZOBOWIĄZANIA WYCENIANE WEDŁUG WARTOŚCI GODZIWEJ RAZEM</w:t>
            </w:r>
            <w:r w:rsidR="00023409" w:rsidRPr="00E26EF6">
              <w:rPr>
                <w:rFonts w:ascii="Times New Roman" w:hAnsi="Times New Roman"/>
                <w:b/>
                <w:sz w:val="24"/>
                <w:u w:val="single"/>
              </w:rPr>
              <w:t xml:space="preserve"> </w:t>
            </w:r>
          </w:p>
          <w:p w14:paraId="17ECB2B0" w14:textId="6BF363FB"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Zobowiązania wyceniane według wartości godziwej, zgłoszone</w:t>
            </w:r>
            <w:r w:rsidR="00E26EF6" w:rsidRPr="00E26EF6">
              <w:rPr>
                <w:rFonts w:ascii="Times New Roman" w:hAnsi="Times New Roman"/>
                <w:sz w:val="24"/>
              </w:rPr>
              <w:t xml:space="preserve"> w wie</w:t>
            </w:r>
            <w:r w:rsidRPr="00E26EF6">
              <w:rPr>
                <w:rFonts w:ascii="Times New Roman" w:hAnsi="Times New Roman"/>
                <w:sz w:val="24"/>
              </w:rPr>
              <w:t>rszach 0160–0210, razem.</w:t>
            </w:r>
          </w:p>
          <w:p w14:paraId="6E8FB984" w14:textId="54CEDF06"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 xml:space="preserve">Odpowiednie pola wierszy 0150–0190 zgłasza się zgodnie ze wzorem FINREP F 01.02 </w:t>
            </w:r>
            <w:proofErr w:type="gramStart"/>
            <w:r w:rsidRPr="00E26EF6">
              <w:rPr>
                <w:rFonts w:ascii="Times New Roman" w:hAnsi="Times New Roman"/>
                <w:sz w:val="24"/>
              </w:rPr>
              <w:t>zawartym</w:t>
            </w:r>
            <w:proofErr w:type="gramEnd"/>
            <w:r w:rsidR="00E26EF6" w:rsidRPr="00E26EF6">
              <w:rPr>
                <w:rFonts w:ascii="Times New Roman" w:hAnsi="Times New Roman"/>
                <w:sz w:val="24"/>
              </w:rPr>
              <w:t xml:space="preserve"> w zał</w:t>
            </w:r>
            <w:r w:rsidRPr="00E26EF6">
              <w:rPr>
                <w:rFonts w:ascii="Times New Roman" w:hAnsi="Times New Roman"/>
                <w:sz w:val="24"/>
              </w:rPr>
              <w:t>ącznikach III i IV do niniejszego rozporządzenia wykonawczego</w:t>
            </w:r>
            <w:r w:rsidR="00E26EF6" w:rsidRPr="00E26EF6">
              <w:rPr>
                <w:rFonts w:ascii="Times New Roman" w:hAnsi="Times New Roman"/>
                <w:sz w:val="24"/>
              </w:rPr>
              <w:t xml:space="preserve"> w zal</w:t>
            </w:r>
            <w:r w:rsidRPr="00E26EF6">
              <w:rPr>
                <w:rFonts w:ascii="Times New Roman" w:hAnsi="Times New Roman"/>
                <w:sz w:val="24"/>
              </w:rPr>
              <w:t xml:space="preserve">eżności od standardów mających zastosowanie do instytucji: </w:t>
            </w:r>
          </w:p>
          <w:p w14:paraId="1ACCE3E8" w14:textId="298505FA" w:rsidR="00915077" w:rsidRPr="00E26EF6" w:rsidRDefault="00B93FA1">
            <w:pPr>
              <w:pStyle w:val="ListParagraph"/>
              <w:numPr>
                <w:ilvl w:val="0"/>
                <w:numId w:val="30"/>
              </w:numPr>
              <w:spacing w:beforeLines="60" w:before="144" w:afterLines="60" w:after="144"/>
              <w:rPr>
                <w:rFonts w:ascii="Times New Roman" w:hAnsi="Times New Roman"/>
                <w:sz w:val="24"/>
              </w:rPr>
            </w:pPr>
            <w:r w:rsidRPr="00E26EF6">
              <w:rPr>
                <w:rFonts w:ascii="Times New Roman" w:hAnsi="Times New Roman"/>
                <w:sz w:val="24"/>
              </w:rPr>
              <w:t>MSSF zatwierdzone przez Unię</w:t>
            </w:r>
            <w:r w:rsidR="00E26EF6" w:rsidRPr="00E26EF6">
              <w:rPr>
                <w:rFonts w:ascii="Times New Roman" w:hAnsi="Times New Roman"/>
                <w:sz w:val="24"/>
              </w:rPr>
              <w:t xml:space="preserve"> w zas</w:t>
            </w:r>
            <w:r w:rsidRPr="00E26EF6">
              <w:rPr>
                <w:rFonts w:ascii="Times New Roman" w:hAnsi="Times New Roman"/>
                <w:sz w:val="24"/>
              </w:rPr>
              <w:t>tosowaniu rozporządzenia (WE) nr</w:t>
            </w:r>
            <w:r w:rsidR="00023409" w:rsidRPr="00E26EF6">
              <w:rPr>
                <w:rFonts w:ascii="Times New Roman" w:hAnsi="Times New Roman"/>
                <w:sz w:val="24"/>
              </w:rPr>
              <w:t> </w:t>
            </w:r>
            <w:r w:rsidRPr="00E26EF6">
              <w:rPr>
                <w:rFonts w:ascii="Times New Roman" w:hAnsi="Times New Roman"/>
                <w:sz w:val="24"/>
              </w:rPr>
              <w:t>1606/2002 („MSSF UE”);</w:t>
            </w:r>
          </w:p>
          <w:p w14:paraId="415004F0" w14:textId="77777777" w:rsidR="00915077" w:rsidRPr="00E26EF6" w:rsidRDefault="00B93FA1">
            <w:pPr>
              <w:pStyle w:val="ListParagraph"/>
              <w:numPr>
                <w:ilvl w:val="0"/>
                <w:numId w:val="30"/>
              </w:numPr>
              <w:spacing w:beforeLines="60" w:before="144" w:afterLines="60" w:after="144"/>
              <w:rPr>
                <w:rFonts w:ascii="Times New Roman" w:hAnsi="Times New Roman"/>
                <w:sz w:val="24"/>
              </w:rPr>
            </w:pPr>
            <w:proofErr w:type="gramStart"/>
            <w:r w:rsidRPr="00E26EF6">
              <w:rPr>
                <w:rFonts w:ascii="Times New Roman" w:hAnsi="Times New Roman"/>
                <w:sz w:val="24"/>
              </w:rPr>
              <w:t>krajowych</w:t>
            </w:r>
            <w:proofErr w:type="gramEnd"/>
            <w:r w:rsidRPr="00E26EF6">
              <w:rPr>
                <w:rFonts w:ascii="Times New Roman" w:hAnsi="Times New Roman"/>
                <w:sz w:val="24"/>
              </w:rPr>
              <w:t xml:space="preserve"> standardów rachunkowości zgodnych z MSSF UE („krajowe ogólnie przyjęte zasady rachunkowości zgodne z MSSF”) </w:t>
            </w:r>
          </w:p>
          <w:p w14:paraId="35DA33DE" w14:textId="4FCC3785" w:rsidR="00915077" w:rsidRPr="00E26EF6" w:rsidRDefault="00B93FA1">
            <w:pPr>
              <w:pStyle w:val="ListParagraph"/>
              <w:numPr>
                <w:ilvl w:val="0"/>
                <w:numId w:val="30"/>
              </w:numPr>
              <w:spacing w:beforeLines="60" w:before="144" w:afterLines="60" w:after="144"/>
              <w:rPr>
                <w:rFonts w:ascii="Times New Roman" w:hAnsi="Times New Roman"/>
                <w:sz w:val="24"/>
                <w:highlight w:val="lightGray"/>
              </w:rPr>
            </w:pPr>
            <w:proofErr w:type="gramStart"/>
            <w:r w:rsidRPr="00E26EF6">
              <w:rPr>
                <w:rFonts w:ascii="Times New Roman" w:hAnsi="Times New Roman"/>
                <w:sz w:val="24"/>
              </w:rPr>
              <w:t>lub</w:t>
            </w:r>
            <w:proofErr w:type="gramEnd"/>
            <w:r w:rsidRPr="00E26EF6">
              <w:rPr>
                <w:rFonts w:ascii="Times New Roman" w:hAnsi="Times New Roman"/>
                <w:sz w:val="24"/>
              </w:rPr>
              <w:t xml:space="preserve"> krajowych ogólnie przyjętych zasad rachunkowości opartych na BAD (FINREP „krajowe ogólnie przyjęte zasady rachunkowości oparte na BAD”).</w:t>
            </w:r>
          </w:p>
        </w:tc>
      </w:tr>
      <w:tr w:rsidR="00915077" w:rsidRPr="00E26EF6" w14:paraId="1D4C9290" w14:textId="77777777" w:rsidTr="00672D2A">
        <w:tc>
          <w:tcPr>
            <w:tcW w:w="1101" w:type="dxa"/>
          </w:tcPr>
          <w:p w14:paraId="41673169"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0160</w:t>
            </w:r>
          </w:p>
        </w:tc>
        <w:tc>
          <w:tcPr>
            <w:tcW w:w="8190" w:type="dxa"/>
          </w:tcPr>
          <w:p w14:paraId="2EDF4E4E"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1.2.1 ZOBOWIĄZANIA FINANSOWE PRZEZNACZONE DO OBROTU</w:t>
            </w:r>
          </w:p>
          <w:p w14:paraId="47CBD2EA" w14:textId="649F0638"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MSSF 7 pkt</w:t>
            </w:r>
            <w:r w:rsidR="00023409" w:rsidRPr="00E26EF6">
              <w:rPr>
                <w:rFonts w:ascii="Times New Roman" w:hAnsi="Times New Roman"/>
                <w:sz w:val="24"/>
              </w:rPr>
              <w:t> </w:t>
            </w:r>
            <w:r w:rsidRPr="00E26EF6">
              <w:rPr>
                <w:rFonts w:ascii="Times New Roman" w:hAnsi="Times New Roman"/>
                <w:sz w:val="24"/>
              </w:rPr>
              <w:t>8 lit.</w:t>
            </w:r>
            <w:r w:rsidR="00023409" w:rsidRPr="00E26EF6">
              <w:rPr>
                <w:rFonts w:ascii="Times New Roman" w:hAnsi="Times New Roman"/>
                <w:sz w:val="24"/>
              </w:rPr>
              <w:t> </w:t>
            </w:r>
            <w:r w:rsidRPr="00E26EF6">
              <w:rPr>
                <w:rFonts w:ascii="Times New Roman" w:hAnsi="Times New Roman"/>
                <w:sz w:val="24"/>
              </w:rPr>
              <w:t>e) ppkt (ii); MSSF 9 pkt BA.6.</w:t>
            </w:r>
          </w:p>
          <w:p w14:paraId="716726E8" w14:textId="048C6277"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010 we wzorze F 01.02</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0D80E4B6" w14:textId="77777777" w:rsidTr="00672D2A">
        <w:tc>
          <w:tcPr>
            <w:tcW w:w="1101" w:type="dxa"/>
          </w:tcPr>
          <w:p w14:paraId="1D9F5098"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0170</w:t>
            </w:r>
          </w:p>
        </w:tc>
        <w:tc>
          <w:tcPr>
            <w:tcW w:w="8190" w:type="dxa"/>
          </w:tcPr>
          <w:p w14:paraId="03E38621"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1.2.2 ZOBOWIĄZANIA FINANSOWE Z PRZEZNACZENIEM DO OBROTU</w:t>
            </w:r>
          </w:p>
          <w:p w14:paraId="4A9D4839" w14:textId="52CB628B" w:rsidR="00915077" w:rsidRPr="00E26EF6" w:rsidRDefault="002F78EA">
            <w:pPr>
              <w:spacing w:beforeLines="60" w:before="144" w:afterLines="60" w:after="144"/>
              <w:rPr>
                <w:rFonts w:ascii="Times New Roman" w:hAnsi="Times New Roman"/>
                <w:sz w:val="24"/>
              </w:rPr>
            </w:pPr>
            <w:r w:rsidRPr="00E26EF6">
              <w:rPr>
                <w:rFonts w:ascii="Times New Roman" w:hAnsi="Times New Roman"/>
                <w:sz w:val="24"/>
              </w:rPr>
              <w:t>Art. 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oraz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3</w:t>
            </w:r>
            <w:r w:rsidR="00E26EF6" w:rsidRPr="00E26EF6">
              <w:rPr>
                <w:rFonts w:ascii="Times New Roman" w:hAnsi="Times New Roman"/>
                <w:sz w:val="24"/>
              </w:rPr>
              <w:t xml:space="preserve"> i 6</w:t>
            </w:r>
            <w:r w:rsidRPr="00E26EF6">
              <w:rPr>
                <w:rFonts w:ascii="Times New Roman" w:hAnsi="Times New Roman"/>
                <w:sz w:val="24"/>
              </w:rPr>
              <w:t xml:space="preserve"> AD</w:t>
            </w:r>
          </w:p>
          <w:p w14:paraId="0EE8A14E" w14:textId="6D1C6E81"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061 we wzorze F 01.02</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54EA6CB4" w14:textId="77777777" w:rsidTr="00672D2A">
        <w:tc>
          <w:tcPr>
            <w:tcW w:w="1101" w:type="dxa"/>
          </w:tcPr>
          <w:p w14:paraId="24D2D683"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0180</w:t>
            </w:r>
          </w:p>
        </w:tc>
        <w:tc>
          <w:tcPr>
            <w:tcW w:w="8190" w:type="dxa"/>
          </w:tcPr>
          <w:p w14:paraId="477C2280"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1.2.3 ZOBOWIĄZANIA FINANSOWE WYCENIANE WEDŁUG WARTOŚCI GODZIWEJ PRZEZ WYNIK FINANSOWY</w:t>
            </w:r>
          </w:p>
          <w:p w14:paraId="00446A36" w14:textId="24C73D76"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MSSF 7 pkt</w:t>
            </w:r>
            <w:r w:rsidR="00023409" w:rsidRPr="00E26EF6">
              <w:rPr>
                <w:rFonts w:ascii="Times New Roman" w:hAnsi="Times New Roman"/>
                <w:sz w:val="24"/>
              </w:rPr>
              <w:t> </w:t>
            </w:r>
            <w:r w:rsidRPr="00E26EF6">
              <w:rPr>
                <w:rFonts w:ascii="Times New Roman" w:hAnsi="Times New Roman"/>
                <w:sz w:val="24"/>
              </w:rPr>
              <w:t>8 lit.</w:t>
            </w:r>
            <w:r w:rsidR="00023409" w:rsidRPr="00E26EF6">
              <w:rPr>
                <w:rFonts w:ascii="Times New Roman" w:hAnsi="Times New Roman"/>
                <w:sz w:val="24"/>
              </w:rPr>
              <w:t> </w:t>
            </w:r>
            <w:r w:rsidRPr="00E26EF6">
              <w:rPr>
                <w:rFonts w:ascii="Times New Roman" w:hAnsi="Times New Roman"/>
                <w:sz w:val="24"/>
              </w:rPr>
              <w:t>e) ppkt (i);</w:t>
            </w:r>
            <w:r w:rsidR="00023409" w:rsidRPr="00E26EF6">
              <w:rPr>
                <w:rFonts w:ascii="Times New Roman" w:hAnsi="Times New Roman"/>
                <w:sz w:val="24"/>
              </w:rPr>
              <w:t xml:space="preserve"> </w:t>
            </w:r>
            <w:r w:rsidRPr="00E26EF6">
              <w:rPr>
                <w:rFonts w:ascii="Times New Roman" w:hAnsi="Times New Roman"/>
                <w:sz w:val="24"/>
              </w:rPr>
              <w:t>MSSF 9 pkt</w:t>
            </w:r>
            <w:r w:rsidR="00023409" w:rsidRPr="00E26EF6">
              <w:rPr>
                <w:rFonts w:ascii="Times New Roman" w:hAnsi="Times New Roman"/>
                <w:sz w:val="24"/>
              </w:rPr>
              <w:t> </w:t>
            </w:r>
            <w:r w:rsidRPr="00E26EF6">
              <w:rPr>
                <w:rFonts w:ascii="Times New Roman" w:hAnsi="Times New Roman"/>
                <w:sz w:val="24"/>
              </w:rPr>
              <w:t>4.2.2;</w:t>
            </w:r>
            <w:r w:rsidRPr="00E26EF6">
              <w:rPr>
                <w:sz w:val="24"/>
              </w:rPr>
              <w:t xml:space="preserve"> </w:t>
            </w:r>
            <w:r w:rsidRPr="00E26EF6">
              <w:rPr>
                <w:rFonts w:ascii="Times New Roman" w:hAnsi="Times New Roman"/>
                <w:sz w:val="24"/>
              </w:rPr>
              <w:t>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oraz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6 AD MSR 39 pkt</w:t>
            </w:r>
            <w:r w:rsidR="00023409" w:rsidRPr="00E26EF6">
              <w:rPr>
                <w:rFonts w:ascii="Times New Roman" w:hAnsi="Times New Roman"/>
                <w:sz w:val="24"/>
              </w:rPr>
              <w:t> </w:t>
            </w:r>
            <w:r w:rsidRPr="00E26EF6">
              <w:rPr>
                <w:rFonts w:ascii="Times New Roman" w:hAnsi="Times New Roman"/>
                <w:sz w:val="24"/>
              </w:rPr>
              <w:t xml:space="preserve">9 </w:t>
            </w:r>
          </w:p>
          <w:p w14:paraId="5BAB47B2" w14:textId="5493FBE1"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070 we wzorze F 01.02</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56748B51" w14:textId="77777777" w:rsidTr="00672D2A">
        <w:tc>
          <w:tcPr>
            <w:tcW w:w="1101" w:type="dxa"/>
          </w:tcPr>
          <w:p w14:paraId="405912FA"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0190</w:t>
            </w:r>
          </w:p>
        </w:tc>
        <w:tc>
          <w:tcPr>
            <w:tcW w:w="8190" w:type="dxa"/>
          </w:tcPr>
          <w:p w14:paraId="3439D5A4"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1.2.4 INSTRUMENTY POCHODNE – RACHUNKOWOŚĆ ZABEZPIECZEŃ</w:t>
            </w:r>
          </w:p>
          <w:p w14:paraId="29C5BFBC" w14:textId="221F0080"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MSSF 9 pkt</w:t>
            </w:r>
            <w:r w:rsidR="00023409" w:rsidRPr="00E26EF6">
              <w:rPr>
                <w:rFonts w:ascii="Times New Roman" w:hAnsi="Times New Roman"/>
                <w:sz w:val="24"/>
              </w:rPr>
              <w:t> </w:t>
            </w:r>
            <w:r w:rsidRPr="00E26EF6">
              <w:rPr>
                <w:rFonts w:ascii="Times New Roman" w:hAnsi="Times New Roman"/>
                <w:sz w:val="24"/>
              </w:rPr>
              <w:t xml:space="preserve">6.2.1; </w:t>
            </w:r>
            <w:r w:rsidRPr="00E26EF6">
              <w:rPr>
                <w:rFonts w:ascii="Times New Roman" w:hAnsi="Times New Roman"/>
                <w:bCs/>
                <w:sz w:val="24"/>
              </w:rPr>
              <w:t xml:space="preserve">Część 1.26 </w:t>
            </w:r>
            <w:proofErr w:type="gramStart"/>
            <w:r w:rsidRPr="00E26EF6">
              <w:rPr>
                <w:rFonts w:ascii="Times New Roman" w:hAnsi="Times New Roman"/>
                <w:bCs/>
                <w:sz w:val="24"/>
              </w:rPr>
              <w:t>załącznika</w:t>
            </w:r>
            <w:proofErr w:type="gramEnd"/>
            <w:r w:rsidRPr="00E26EF6">
              <w:rPr>
                <w:rFonts w:ascii="Times New Roman" w:hAnsi="Times New Roman"/>
                <w:bCs/>
                <w:sz w:val="24"/>
              </w:rPr>
              <w:t xml:space="preserve"> V do niniejszego rozporządzenia wykonawczego</w:t>
            </w:r>
            <w:r w:rsidRPr="00E26EF6">
              <w:rPr>
                <w:rFonts w:ascii="Times New Roman" w:hAnsi="Times New Roman"/>
                <w:sz w:val="24"/>
              </w:rPr>
              <w:t>;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6 oraz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8 lit.</w:t>
            </w:r>
            <w:r w:rsidR="00023409" w:rsidRPr="00E26EF6">
              <w:rPr>
                <w:rFonts w:ascii="Times New Roman" w:hAnsi="Times New Roman"/>
                <w:sz w:val="24"/>
              </w:rPr>
              <w:t> </w:t>
            </w:r>
            <w:r w:rsidRPr="00E26EF6">
              <w:rPr>
                <w:rFonts w:ascii="Times New Roman" w:hAnsi="Times New Roman"/>
                <w:sz w:val="24"/>
              </w:rPr>
              <w:t>a) AD</w:t>
            </w:r>
          </w:p>
          <w:p w14:paraId="225949E5" w14:textId="79291A34" w:rsidR="00915077" w:rsidRPr="00E26EF6" w:rsidRDefault="00B93FA1">
            <w:pPr>
              <w:spacing w:beforeLines="60" w:before="144" w:afterLines="60" w:after="144"/>
              <w:rPr>
                <w:rFonts w:ascii="Times New Roman" w:hAnsi="Times New Roman"/>
                <w:sz w:val="24"/>
                <w:highlight w:val="lightGray"/>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150 we wzorze F 01.02</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325CBC42" w14:textId="77777777" w:rsidTr="00672D2A">
        <w:tc>
          <w:tcPr>
            <w:tcW w:w="1101" w:type="dxa"/>
          </w:tcPr>
          <w:p w14:paraId="501173F2"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0200</w:t>
            </w:r>
          </w:p>
        </w:tc>
        <w:tc>
          <w:tcPr>
            <w:tcW w:w="8190" w:type="dxa"/>
          </w:tcPr>
          <w:p w14:paraId="4899FCBB"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1.2.5 ZMIANY WARTOŚCI GODZIWEJ POZYCJI ZABEZPIECZANYCH W ZABEZPIECZANIU PORTFELA PRZED RYZYKIEM STOPY PROCENTOWEJ</w:t>
            </w:r>
          </w:p>
          <w:p w14:paraId="56816866" w14:textId="45921409" w:rsidR="00915077" w:rsidRPr="00E26EF6" w:rsidRDefault="00B93FA1">
            <w:pPr>
              <w:spacing w:beforeLines="60" w:before="144" w:afterLines="60" w:after="144"/>
              <w:rPr>
                <w:rFonts w:ascii="Times New Roman" w:hAnsi="Times New Roman"/>
                <w:sz w:val="24"/>
              </w:rPr>
            </w:pPr>
            <w:r w:rsidRPr="00E26EF6">
              <w:rPr>
                <w:rFonts w:ascii="Times New Roman" w:hAnsi="Times New Roman"/>
                <w:sz w:val="24"/>
              </w:rPr>
              <w:t>MSR 39 pkt</w:t>
            </w:r>
            <w:r w:rsidR="00023409" w:rsidRPr="00E26EF6">
              <w:rPr>
                <w:rFonts w:ascii="Times New Roman" w:hAnsi="Times New Roman"/>
                <w:sz w:val="24"/>
              </w:rPr>
              <w:t> </w:t>
            </w:r>
            <w:r w:rsidRPr="00E26EF6">
              <w:rPr>
                <w:rFonts w:ascii="Times New Roman" w:hAnsi="Times New Roman"/>
                <w:sz w:val="24"/>
              </w:rPr>
              <w:t>89A lit.</w:t>
            </w:r>
            <w:r w:rsidR="00023409" w:rsidRPr="00E26EF6">
              <w:rPr>
                <w:rFonts w:ascii="Times New Roman" w:hAnsi="Times New Roman"/>
                <w:sz w:val="24"/>
              </w:rPr>
              <w:t> </w:t>
            </w:r>
            <w:r w:rsidRPr="00E26EF6">
              <w:rPr>
                <w:rFonts w:ascii="Times New Roman" w:hAnsi="Times New Roman"/>
                <w:sz w:val="24"/>
              </w:rPr>
              <w:t>b), MSSF 9 pkt</w:t>
            </w:r>
            <w:r w:rsidR="00023409" w:rsidRPr="00E26EF6">
              <w:rPr>
                <w:rFonts w:ascii="Times New Roman" w:hAnsi="Times New Roman"/>
                <w:sz w:val="24"/>
              </w:rPr>
              <w:t> </w:t>
            </w:r>
            <w:r w:rsidRPr="00E26EF6">
              <w:rPr>
                <w:rFonts w:ascii="Times New Roman" w:hAnsi="Times New Roman"/>
                <w:sz w:val="24"/>
              </w:rPr>
              <w:t>6.5.8; art.</w:t>
            </w:r>
            <w:r w:rsidR="00023409" w:rsidRPr="00E26EF6">
              <w:rPr>
                <w:rFonts w:ascii="Times New Roman" w:hAnsi="Times New Roman"/>
                <w:sz w:val="24"/>
              </w:rPr>
              <w:t> </w:t>
            </w:r>
            <w:r w:rsidRPr="00E26EF6">
              <w:rPr>
                <w:rFonts w:ascii="Times New Roman" w:hAnsi="Times New Roman"/>
                <w:sz w:val="24"/>
              </w:rPr>
              <w:t>8 ust.</w:t>
            </w:r>
            <w:r w:rsidR="00023409" w:rsidRPr="00E26EF6">
              <w:rPr>
                <w:rFonts w:ascii="Times New Roman" w:hAnsi="Times New Roman"/>
                <w:sz w:val="24"/>
              </w:rPr>
              <w:t> </w:t>
            </w:r>
            <w:r w:rsidRPr="00E26EF6">
              <w:rPr>
                <w:rFonts w:ascii="Times New Roman" w:hAnsi="Times New Roman"/>
                <w:sz w:val="24"/>
              </w:rPr>
              <w:t>5</w:t>
            </w:r>
            <w:r w:rsidR="00E26EF6" w:rsidRPr="00E26EF6">
              <w:rPr>
                <w:rFonts w:ascii="Times New Roman" w:hAnsi="Times New Roman"/>
                <w:sz w:val="24"/>
              </w:rPr>
              <w:t xml:space="preserve"> i 6</w:t>
            </w:r>
            <w:r w:rsidRPr="00E26EF6">
              <w:rPr>
                <w:rFonts w:ascii="Times New Roman" w:hAnsi="Times New Roman"/>
                <w:sz w:val="24"/>
              </w:rPr>
              <w:t xml:space="preserve"> AD; część 2.8 </w:t>
            </w:r>
            <w:proofErr w:type="gramStart"/>
            <w:r w:rsidRPr="00E26EF6">
              <w:rPr>
                <w:rFonts w:ascii="Times New Roman" w:hAnsi="Times New Roman"/>
                <w:sz w:val="24"/>
              </w:rPr>
              <w:t>załącznika</w:t>
            </w:r>
            <w:proofErr w:type="gramEnd"/>
            <w:r w:rsidRPr="00E26EF6">
              <w:rPr>
                <w:rFonts w:ascii="Times New Roman" w:hAnsi="Times New Roman"/>
                <w:sz w:val="24"/>
              </w:rPr>
              <w:t xml:space="preserve"> V do niniejszego rozporządzenia wykonawczego</w:t>
            </w:r>
          </w:p>
          <w:p w14:paraId="3D8F026C" w14:textId="6A2753DF" w:rsidR="00915077" w:rsidRPr="00E26EF6" w:rsidRDefault="00B93FA1">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160 we wzorze F 01.02</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r w:rsidR="00915077" w:rsidRPr="00E26EF6" w14:paraId="4A0EB91C" w14:textId="77777777" w:rsidTr="00672D2A">
        <w:tc>
          <w:tcPr>
            <w:tcW w:w="1101" w:type="dxa"/>
          </w:tcPr>
          <w:p w14:paraId="2AAEED58" w14:textId="77777777" w:rsidR="00915077" w:rsidRPr="00E26EF6" w:rsidRDefault="001924F4">
            <w:pPr>
              <w:spacing w:beforeLines="60" w:before="144" w:afterLines="60" w:after="144"/>
              <w:rPr>
                <w:rFonts w:ascii="Times New Roman" w:hAnsi="Times New Roman"/>
                <w:sz w:val="24"/>
                <w:highlight w:val="lightGray"/>
              </w:rPr>
            </w:pPr>
            <w:r w:rsidRPr="00E26EF6">
              <w:rPr>
                <w:rFonts w:ascii="Times New Roman" w:hAnsi="Times New Roman"/>
                <w:sz w:val="24"/>
              </w:rPr>
              <w:t>0210</w:t>
            </w:r>
          </w:p>
        </w:tc>
        <w:tc>
          <w:tcPr>
            <w:tcW w:w="8190" w:type="dxa"/>
          </w:tcPr>
          <w:p w14:paraId="13D419BF" w14:textId="77777777"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b/>
                <w:sz w:val="24"/>
                <w:u w:val="single"/>
              </w:rPr>
              <w:t>1.2.6 REDUKCJE WARTOŚCI W ODNIESIENIU DO ZOBOWIĄZAŃ Z PRZEZNACZENIEM DO OBROTU WYCENIANYCH WEDŁUG WARTOŚCI GODZIWEJ</w:t>
            </w:r>
          </w:p>
          <w:p w14:paraId="4AEC6085" w14:textId="3A7FBCCB" w:rsidR="00915077" w:rsidRPr="00E26EF6" w:rsidRDefault="002F78EA">
            <w:pPr>
              <w:spacing w:beforeLines="60" w:before="144" w:afterLines="60" w:after="144"/>
              <w:rPr>
                <w:rFonts w:ascii="Times New Roman" w:hAnsi="Times New Roman"/>
                <w:sz w:val="24"/>
              </w:rPr>
            </w:pPr>
            <w:r w:rsidRPr="00E26EF6">
              <w:rPr>
                <w:rFonts w:ascii="Times New Roman" w:hAnsi="Times New Roman"/>
                <w:bCs/>
                <w:sz w:val="24"/>
              </w:rPr>
              <w:t xml:space="preserve">Część 1.29 </w:t>
            </w:r>
            <w:proofErr w:type="gramStart"/>
            <w:r w:rsidRPr="00E26EF6">
              <w:rPr>
                <w:rFonts w:ascii="Times New Roman" w:hAnsi="Times New Roman"/>
                <w:bCs/>
                <w:sz w:val="24"/>
              </w:rPr>
              <w:t>załącznika</w:t>
            </w:r>
            <w:proofErr w:type="gramEnd"/>
            <w:r w:rsidRPr="00E26EF6">
              <w:rPr>
                <w:rFonts w:ascii="Times New Roman" w:hAnsi="Times New Roman"/>
                <w:bCs/>
                <w:sz w:val="24"/>
              </w:rPr>
              <w:t xml:space="preserve"> V do niniejszego rozporządzenia wykonawczego</w:t>
            </w:r>
          </w:p>
          <w:p w14:paraId="693FA7A1" w14:textId="576F3394" w:rsidR="00915077" w:rsidRPr="00E26EF6" w:rsidRDefault="00B93FA1">
            <w:pPr>
              <w:spacing w:beforeLines="60" w:before="144" w:afterLines="60" w:after="144"/>
              <w:rPr>
                <w:rFonts w:ascii="Times New Roman" w:hAnsi="Times New Roman"/>
                <w:b/>
                <w:sz w:val="24"/>
                <w:u w:val="single"/>
              </w:rPr>
            </w:pPr>
            <w:r w:rsidRPr="00E26EF6">
              <w:rPr>
                <w:rFonts w:ascii="Times New Roman" w:hAnsi="Times New Roman"/>
                <w:sz w:val="24"/>
              </w:rPr>
              <w:t>Informacje zgłaszane</w:t>
            </w:r>
            <w:r w:rsidR="00E26EF6" w:rsidRPr="00E26EF6">
              <w:rPr>
                <w:rFonts w:ascii="Times New Roman" w:hAnsi="Times New Roman"/>
                <w:sz w:val="24"/>
              </w:rPr>
              <w:t xml:space="preserve"> w tym</w:t>
            </w:r>
            <w:r w:rsidRPr="00E26EF6">
              <w:rPr>
                <w:rFonts w:ascii="Times New Roman" w:hAnsi="Times New Roman"/>
                <w:sz w:val="24"/>
              </w:rPr>
              <w:t xml:space="preserve"> wierszu muszą odpowiadać informacjom zawartym</w:t>
            </w:r>
            <w:r w:rsidR="00E26EF6" w:rsidRPr="00E26EF6">
              <w:rPr>
                <w:rFonts w:ascii="Times New Roman" w:hAnsi="Times New Roman"/>
                <w:sz w:val="24"/>
              </w:rPr>
              <w:t xml:space="preserve"> w wie</w:t>
            </w:r>
            <w:r w:rsidRPr="00E26EF6">
              <w:rPr>
                <w:rFonts w:ascii="Times New Roman" w:hAnsi="Times New Roman"/>
                <w:sz w:val="24"/>
              </w:rPr>
              <w:t>rszu 295 we wzorze F 01.02</w:t>
            </w:r>
            <w:r w:rsidR="00E26EF6" w:rsidRPr="00E26EF6">
              <w:rPr>
                <w:rFonts w:ascii="Times New Roman" w:hAnsi="Times New Roman"/>
                <w:sz w:val="24"/>
              </w:rPr>
              <w:t xml:space="preserve"> </w:t>
            </w:r>
            <w:proofErr w:type="gramStart"/>
            <w:r w:rsidR="00E26EF6" w:rsidRPr="00E26EF6">
              <w:rPr>
                <w:rFonts w:ascii="Times New Roman" w:hAnsi="Times New Roman"/>
                <w:sz w:val="24"/>
              </w:rPr>
              <w:t>w</w:t>
            </w:r>
            <w:proofErr w:type="gramEnd"/>
            <w:r w:rsidR="00E26EF6" w:rsidRPr="00E26EF6">
              <w:rPr>
                <w:rFonts w:ascii="Times New Roman" w:hAnsi="Times New Roman"/>
                <w:sz w:val="24"/>
              </w:rPr>
              <w:t> zał</w:t>
            </w:r>
            <w:r w:rsidRPr="00E26EF6">
              <w:rPr>
                <w:rFonts w:ascii="Times New Roman" w:hAnsi="Times New Roman"/>
                <w:sz w:val="24"/>
              </w:rPr>
              <w:t>ącznikach III i IV do niniejszego rozporządzenia wykonawczego.</w:t>
            </w:r>
          </w:p>
        </w:tc>
      </w:tr>
    </w:tbl>
    <w:p w14:paraId="31E0370C" w14:textId="77777777" w:rsidR="00915077" w:rsidRPr="00E26EF6" w:rsidRDefault="00915077">
      <w:pPr>
        <w:rPr>
          <w:rStyle w:val="InstructionsTabelleText"/>
          <w:rFonts w:ascii="Times New Roman" w:hAnsi="Times New Roman"/>
          <w:sz w:val="24"/>
        </w:rPr>
      </w:pPr>
    </w:p>
    <w:p w14:paraId="01AC92F7" w14:textId="77777777" w:rsidR="00915077" w:rsidRPr="00E26EF6" w:rsidRDefault="00B93FA1">
      <w:pPr>
        <w:pStyle w:val="Instructionsberschrift2"/>
        <w:numPr>
          <w:ilvl w:val="0"/>
          <w:numId w:val="0"/>
        </w:numPr>
        <w:ind w:left="357" w:hanging="357"/>
        <w:rPr>
          <w:rFonts w:ascii="Times New Roman" w:hAnsi="Times New Roman" w:cs="Times New Roman"/>
          <w:sz w:val="24"/>
          <w:u w:val="none"/>
        </w:rPr>
      </w:pPr>
      <w:bookmarkStart w:id="111" w:name="_Toc31014408"/>
      <w:r w:rsidRPr="00E26EF6">
        <w:rPr>
          <w:rFonts w:ascii="Times New Roman" w:hAnsi="Times New Roman"/>
          <w:sz w:val="24"/>
          <w:u w:val="none"/>
        </w:rPr>
        <w:t>6.2.</w:t>
      </w:r>
      <w:r w:rsidRPr="00E26EF6">
        <w:rPr>
          <w:rFonts w:ascii="Times New Roman" w:hAnsi="Times New Roman"/>
          <w:sz w:val="24"/>
          <w:u w:val="none"/>
        </w:rPr>
        <w:tab/>
      </w:r>
      <w:r w:rsidRPr="00E26EF6">
        <w:rPr>
          <w:rFonts w:ascii="Times New Roman" w:hAnsi="Times New Roman"/>
          <w:sz w:val="24"/>
        </w:rPr>
        <w:t>C 32.02 - Ostrożna wycena: metoda podstawowa (PruVal 2)</w:t>
      </w:r>
      <w:bookmarkEnd w:id="111"/>
    </w:p>
    <w:p w14:paraId="548ECBC5" w14:textId="77777777" w:rsidR="00915077" w:rsidRPr="00E26EF6" w:rsidRDefault="00B93FA1">
      <w:pPr>
        <w:pStyle w:val="Instructionsberschrift2"/>
        <w:numPr>
          <w:ilvl w:val="0"/>
          <w:numId w:val="0"/>
        </w:numPr>
        <w:ind w:left="357" w:hanging="357"/>
        <w:rPr>
          <w:rFonts w:ascii="Times New Roman" w:hAnsi="Times New Roman" w:cs="Times New Roman"/>
          <w:sz w:val="24"/>
          <w:u w:val="none"/>
        </w:rPr>
      </w:pPr>
      <w:bookmarkStart w:id="112" w:name="_Toc31014409"/>
      <w:r w:rsidRPr="00E26EF6">
        <w:rPr>
          <w:rFonts w:ascii="Times New Roman" w:hAnsi="Times New Roman"/>
          <w:sz w:val="24"/>
          <w:u w:val="none"/>
        </w:rPr>
        <w:t>6.2.1.</w:t>
      </w:r>
      <w:r w:rsidRPr="00E26EF6">
        <w:rPr>
          <w:rFonts w:ascii="Times New Roman" w:hAnsi="Times New Roman"/>
          <w:sz w:val="24"/>
          <w:u w:val="none"/>
        </w:rPr>
        <w:tab/>
      </w:r>
      <w:r w:rsidRPr="00E26EF6">
        <w:rPr>
          <w:rFonts w:ascii="Times New Roman" w:hAnsi="Times New Roman"/>
          <w:sz w:val="24"/>
        </w:rPr>
        <w:t>Uwagi ogólne</w:t>
      </w:r>
      <w:bookmarkEnd w:id="112"/>
      <w:r w:rsidRPr="00E26EF6">
        <w:rPr>
          <w:rFonts w:ascii="Times New Roman" w:hAnsi="Times New Roman"/>
          <w:sz w:val="24"/>
          <w:u w:val="none"/>
        </w:rPr>
        <w:t xml:space="preserve"> </w:t>
      </w:r>
    </w:p>
    <w:p w14:paraId="052C2DB2" w14:textId="24F12D6C" w:rsidR="00915077" w:rsidRPr="00E26EF6" w:rsidRDefault="00B93FA1">
      <w:pPr>
        <w:pStyle w:val="InstructionsText2"/>
        <w:numPr>
          <w:ilvl w:val="0"/>
          <w:numId w:val="0"/>
        </w:numPr>
        <w:ind w:left="993"/>
      </w:pPr>
      <w:r w:rsidRPr="00E26EF6">
        <w:t>154c. Wzór ten służy do przekazywania informacji na temat składu całkowitej AVA, którą odlicza się od funduszy własnych na podstawie art.</w:t>
      </w:r>
      <w:r w:rsidR="00023409" w:rsidRPr="00E26EF6">
        <w:t> </w:t>
      </w:r>
      <w:r w:rsidRPr="00E26EF6">
        <w:t>34</w:t>
      </w:r>
      <w:r w:rsidR="00E26EF6" w:rsidRPr="00E26EF6">
        <w:t xml:space="preserve"> i 1</w:t>
      </w:r>
      <w:r w:rsidRPr="00E26EF6">
        <w:t>05 CRR,</w:t>
      </w:r>
      <w:r w:rsidR="00E26EF6" w:rsidRPr="00E26EF6">
        <w:t xml:space="preserve"> a tak</w:t>
      </w:r>
      <w:r w:rsidRPr="00E26EF6">
        <w:t>że informacji na temat wyceny księgowej pozycji,</w:t>
      </w:r>
      <w:r w:rsidR="00E26EF6" w:rsidRPr="00E26EF6">
        <w:t xml:space="preserve"> w sto</w:t>
      </w:r>
      <w:r w:rsidRPr="00E26EF6">
        <w:t>sunku do których nastąpiła konieczność wyznaczenia AVA.</w:t>
      </w:r>
    </w:p>
    <w:p w14:paraId="0AE1CA14" w14:textId="77777777" w:rsidR="00915077" w:rsidRPr="00E26EF6" w:rsidRDefault="00B93FA1">
      <w:pPr>
        <w:pStyle w:val="InstructionsText2"/>
        <w:numPr>
          <w:ilvl w:val="0"/>
          <w:numId w:val="0"/>
        </w:numPr>
        <w:ind w:left="993"/>
      </w:pPr>
      <w:r w:rsidRPr="00E26EF6">
        <w:t xml:space="preserve">154d. Wzór ten wypełniają wszystkie instytucje, które: </w:t>
      </w:r>
    </w:p>
    <w:p w14:paraId="13120E86" w14:textId="1158D55D" w:rsidR="00915077" w:rsidRPr="00E26EF6" w:rsidRDefault="00B93FA1">
      <w:pPr>
        <w:pStyle w:val="InstructionsText2"/>
        <w:numPr>
          <w:ilvl w:val="0"/>
          <w:numId w:val="0"/>
        </w:numPr>
        <w:ind w:left="993"/>
      </w:pPr>
      <w:proofErr w:type="gramStart"/>
      <w:r w:rsidRPr="00E26EF6">
        <w:t>a</w:t>
      </w:r>
      <w:proofErr w:type="gramEnd"/>
      <w:r w:rsidRPr="00E26EF6">
        <w:t>) są zobowiązane stosować metodę podstawową, ponieważ przekroczyły próg,</w:t>
      </w:r>
      <w:r w:rsidR="00E26EF6" w:rsidRPr="00E26EF6">
        <w:t xml:space="preserve"> o któ</w:t>
      </w:r>
      <w:r w:rsidRPr="00E26EF6">
        <w:t>rym mowa</w:t>
      </w:r>
      <w:r w:rsidR="00E26EF6" w:rsidRPr="00E26EF6">
        <w:t xml:space="preserve"> w art</w:t>
      </w:r>
      <w:r w:rsidRPr="00E26EF6">
        <w:t>.</w:t>
      </w:r>
      <w:r w:rsidR="00023409" w:rsidRPr="00E26EF6">
        <w:t> </w:t>
      </w:r>
      <w:r w:rsidRPr="00E26EF6">
        <w:t>4 ust.</w:t>
      </w:r>
      <w:r w:rsidR="00023409" w:rsidRPr="00E26EF6">
        <w:t> </w:t>
      </w:r>
      <w:r w:rsidRPr="00E26EF6">
        <w:t>1 rozporządzenia delegowanego (UE) 2016/101, na zasadzie indywidualnej bądź skonsolidowanej, jak określono</w:t>
      </w:r>
      <w:r w:rsidR="00E26EF6" w:rsidRPr="00E26EF6">
        <w:t xml:space="preserve"> w art</w:t>
      </w:r>
      <w:r w:rsidRPr="00E26EF6">
        <w:t>.</w:t>
      </w:r>
      <w:r w:rsidR="00023409" w:rsidRPr="00E26EF6">
        <w:t> </w:t>
      </w:r>
      <w:r w:rsidRPr="00E26EF6">
        <w:t>4 ust.</w:t>
      </w:r>
      <w:r w:rsidR="00023409" w:rsidRPr="00E26EF6">
        <w:t> </w:t>
      </w:r>
      <w:r w:rsidRPr="00E26EF6">
        <w:t>3 tego rozporządzenia; lub</w:t>
      </w:r>
    </w:p>
    <w:p w14:paraId="36C3F96E" w14:textId="22492AA1" w:rsidR="00915077" w:rsidRPr="00E26EF6" w:rsidRDefault="00973707">
      <w:pPr>
        <w:pStyle w:val="InstructionsText2"/>
        <w:numPr>
          <w:ilvl w:val="0"/>
          <w:numId w:val="0"/>
        </w:numPr>
        <w:ind w:left="993"/>
      </w:pPr>
      <w:proofErr w:type="gramStart"/>
      <w:r w:rsidRPr="00E26EF6">
        <w:lastRenderedPageBreak/>
        <w:t>b</w:t>
      </w:r>
      <w:proofErr w:type="gramEnd"/>
      <w:r w:rsidRPr="00E26EF6">
        <w:t xml:space="preserve">) zdecydowały się stosować metodę podstawową, mimo że nie przekroczyły wspomnianego progu. </w:t>
      </w:r>
    </w:p>
    <w:p w14:paraId="1744C722" w14:textId="22D5A9D5" w:rsidR="00915077" w:rsidRPr="00E26EF6" w:rsidRDefault="00973707">
      <w:pPr>
        <w:pStyle w:val="InstructionsText2"/>
        <w:numPr>
          <w:ilvl w:val="0"/>
          <w:numId w:val="0"/>
        </w:numPr>
        <w:ind w:left="993"/>
      </w:pPr>
      <w:r w:rsidRPr="00E26EF6">
        <w:t>154e. Do celów tego wzoru „wartość przy niskim poziomie ufności” (ang. upside uncertainty) definiuje się następująco: jak przewidziano</w:t>
      </w:r>
      <w:r w:rsidR="00E26EF6" w:rsidRPr="00E26EF6">
        <w:t xml:space="preserve"> w art</w:t>
      </w:r>
      <w:r w:rsidRPr="00E26EF6">
        <w:t>.</w:t>
      </w:r>
      <w:r w:rsidR="00023409" w:rsidRPr="00E26EF6">
        <w:t> </w:t>
      </w:r>
      <w:r w:rsidRPr="00E26EF6">
        <w:t>8 ust.</w:t>
      </w:r>
      <w:r w:rsidR="00023409" w:rsidRPr="00E26EF6">
        <w:t> </w:t>
      </w:r>
      <w:r w:rsidRPr="00E26EF6">
        <w:t>2 rozporządzenia delegowanego (UE) 2016/101, AVA oblicza się jako różnicę między wartością godziwą</w:t>
      </w:r>
      <w:r w:rsidR="00E26EF6" w:rsidRPr="00E26EF6">
        <w:t xml:space="preserve"> a war</w:t>
      </w:r>
      <w:r w:rsidRPr="00E26EF6">
        <w:t>tością wynikającą</w:t>
      </w:r>
      <w:r w:rsidR="00E26EF6" w:rsidRPr="00E26EF6">
        <w:t xml:space="preserve"> z ost</w:t>
      </w:r>
      <w:r w:rsidRPr="00E26EF6">
        <w:t>rożnej wyceny, którą określono</w:t>
      </w:r>
      <w:r w:rsidR="00E26EF6" w:rsidRPr="00E26EF6">
        <w:t xml:space="preserve"> z wyn</w:t>
      </w:r>
      <w:r w:rsidRPr="00E26EF6">
        <w:t>oszącą 90</w:t>
      </w:r>
      <w:r w:rsidR="00023409" w:rsidRPr="00E26EF6">
        <w:t> </w:t>
      </w:r>
      <w:r w:rsidRPr="00E26EF6">
        <w:t>% pewnością, że instytucje będą</w:t>
      </w:r>
      <w:r w:rsidR="00E26EF6" w:rsidRPr="00E26EF6">
        <w:t xml:space="preserve"> w sta</w:t>
      </w:r>
      <w:r w:rsidRPr="00E26EF6">
        <w:t>nie zamknąć daną ekspozycję przy tej lub większej wartości</w:t>
      </w:r>
      <w:r w:rsidR="00E26EF6" w:rsidRPr="00E26EF6">
        <w:t xml:space="preserve"> z nom</w:t>
      </w:r>
      <w:r w:rsidRPr="00E26EF6">
        <w:t>inalnego zakresu prawdopodobnych wartości. Wartością przy niskim poziomie ufności (ang. upside uncertainty) jest przeciwstawna wartość</w:t>
      </w:r>
      <w:r w:rsidR="00E26EF6" w:rsidRPr="00E26EF6">
        <w:t xml:space="preserve"> z roz</w:t>
      </w:r>
      <w:r w:rsidRPr="00E26EF6">
        <w:t>kładu prawdopodobnych wartości, przy której instytucje mają tylko 10-proc. pewność, że będą</w:t>
      </w:r>
      <w:r w:rsidR="00E26EF6" w:rsidRPr="00E26EF6">
        <w:t xml:space="preserve"> w sta</w:t>
      </w:r>
      <w:r w:rsidRPr="00E26EF6">
        <w:t>nie zamknąć daną pozycję przy tej lub większej wartości. Wartość przy niskim poziomie ufności oblicza się</w:t>
      </w:r>
      <w:r w:rsidR="00E26EF6" w:rsidRPr="00E26EF6">
        <w:t xml:space="preserve"> i agr</w:t>
      </w:r>
      <w:r w:rsidRPr="00E26EF6">
        <w:t>eguje na tych samych zasadach jak całkowitą AVA,</w:t>
      </w:r>
      <w:r w:rsidR="00E26EF6" w:rsidRPr="00E26EF6">
        <w:t xml:space="preserve"> z tym</w:t>
      </w:r>
      <w:r w:rsidRPr="00E26EF6">
        <w:t xml:space="preserve"> że 90-proc. poziom ufności stosowany przy wyznaczaniu całkowitej AVA zastępuje się</w:t>
      </w:r>
      <w:r w:rsidR="00023409" w:rsidRPr="00E26EF6">
        <w:t> </w:t>
      </w:r>
      <w:r w:rsidRPr="00E26EF6">
        <w:t>10-proc. poziomem ufności.</w:t>
      </w:r>
    </w:p>
    <w:p w14:paraId="4498127B" w14:textId="77777777" w:rsidR="00915077" w:rsidRPr="00E26EF6" w:rsidRDefault="00B93FA1">
      <w:pPr>
        <w:pStyle w:val="Instructionsberschrift2"/>
        <w:numPr>
          <w:ilvl w:val="0"/>
          <w:numId w:val="0"/>
        </w:numPr>
        <w:ind w:left="357" w:hanging="357"/>
        <w:rPr>
          <w:rFonts w:ascii="Times New Roman" w:hAnsi="Times New Roman" w:cs="Times New Roman"/>
          <w:sz w:val="24"/>
          <w:u w:val="none"/>
        </w:rPr>
      </w:pPr>
      <w:bookmarkStart w:id="113" w:name="_Toc31014410"/>
      <w:r w:rsidRPr="00E26EF6">
        <w:rPr>
          <w:rFonts w:ascii="Times New Roman" w:hAnsi="Times New Roman"/>
          <w:sz w:val="24"/>
          <w:u w:val="none"/>
        </w:rPr>
        <w:t>6.2.2.</w:t>
      </w:r>
      <w:r w:rsidRPr="00E26EF6">
        <w:rPr>
          <w:rFonts w:ascii="Times New Roman" w:hAnsi="Times New Roman"/>
          <w:sz w:val="24"/>
          <w:u w:val="none"/>
        </w:rPr>
        <w:tab/>
        <w:t>Instrukcje dotyczące poszczególnych pozycji</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15077" w:rsidRPr="00E26EF6" w14:paraId="2A50FFAC" w14:textId="77777777" w:rsidTr="00672D2A">
        <w:tc>
          <w:tcPr>
            <w:tcW w:w="9291" w:type="dxa"/>
            <w:gridSpan w:val="2"/>
            <w:shd w:val="clear" w:color="auto" w:fill="CCCCCC"/>
          </w:tcPr>
          <w:p w14:paraId="1909DC31" w14:textId="77777777" w:rsidR="00915077" w:rsidRPr="00E26EF6" w:rsidRDefault="00973707">
            <w:pPr>
              <w:spacing w:beforeLines="60" w:before="144" w:afterLines="60" w:after="144"/>
              <w:rPr>
                <w:rFonts w:ascii="Times New Roman" w:hAnsi="Times New Roman"/>
                <w:b/>
                <w:sz w:val="24"/>
                <w:highlight w:val="lightGray"/>
              </w:rPr>
            </w:pPr>
            <w:r w:rsidRPr="00E26EF6">
              <w:rPr>
                <w:rFonts w:ascii="Times New Roman" w:hAnsi="Times New Roman"/>
                <w:b/>
                <w:sz w:val="24"/>
              </w:rPr>
              <w:t>Kolumny</w:t>
            </w:r>
          </w:p>
        </w:tc>
      </w:tr>
      <w:tr w:rsidR="00915077" w:rsidRPr="00E26EF6" w14:paraId="51FA8283" w14:textId="77777777" w:rsidTr="00672D2A">
        <w:tc>
          <w:tcPr>
            <w:tcW w:w="1101" w:type="dxa"/>
          </w:tcPr>
          <w:p w14:paraId="006D21FC"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0010 - 0100</w:t>
            </w:r>
          </w:p>
        </w:tc>
        <w:tc>
          <w:tcPr>
            <w:tcW w:w="8190" w:type="dxa"/>
          </w:tcPr>
          <w:p w14:paraId="75BD725F"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AVA NA POZIOMIE KATEGORII Z TYTUŁU</w:t>
            </w:r>
          </w:p>
          <w:p w14:paraId="7FD99EB2" w14:textId="082D4645"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AVA na poziomie kategorii</w:t>
            </w:r>
            <w:r w:rsidR="00E26EF6" w:rsidRPr="00E26EF6">
              <w:rPr>
                <w:rFonts w:ascii="Times New Roman" w:hAnsi="Times New Roman"/>
                <w:sz w:val="24"/>
              </w:rPr>
              <w:t xml:space="preserve"> z tyt</w:t>
            </w:r>
            <w:r w:rsidRPr="00E26EF6">
              <w:rPr>
                <w:rFonts w:ascii="Times New Roman" w:hAnsi="Times New Roman"/>
                <w:sz w:val="24"/>
              </w:rPr>
              <w:t>ułu niepewności dotyczącej cen rynkowych, kosztów zamknięcia, ryzyka modelu, pozycji</w:t>
            </w:r>
            <w:r w:rsidR="00E26EF6" w:rsidRPr="00E26EF6">
              <w:rPr>
                <w:rFonts w:ascii="Times New Roman" w:hAnsi="Times New Roman"/>
                <w:sz w:val="24"/>
              </w:rPr>
              <w:t xml:space="preserve"> o duż</w:t>
            </w:r>
            <w:r w:rsidRPr="00E26EF6">
              <w:rPr>
                <w:rFonts w:ascii="Times New Roman" w:hAnsi="Times New Roman"/>
                <w:sz w:val="24"/>
              </w:rPr>
              <w:t>ej koncentracji, przyszłych kosztów administracyjnych, przedterminowego rozwiązania umowy oraz ryzyka operacyjnego oblicza się</w:t>
            </w:r>
            <w:r w:rsidR="00E26EF6" w:rsidRPr="00E26EF6">
              <w:rPr>
                <w:rFonts w:ascii="Times New Roman" w:hAnsi="Times New Roman"/>
                <w:sz w:val="24"/>
              </w:rPr>
              <w:t xml:space="preserve"> w spo</w:t>
            </w:r>
            <w:r w:rsidRPr="00E26EF6">
              <w:rPr>
                <w:rFonts w:ascii="Times New Roman" w:hAnsi="Times New Roman"/>
                <w:sz w:val="24"/>
              </w:rPr>
              <w:t>sób opisany odpowiednio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9, 10</w:t>
            </w:r>
            <w:r w:rsidR="00E26EF6" w:rsidRPr="00E26EF6">
              <w:rPr>
                <w:rFonts w:ascii="Times New Roman" w:hAnsi="Times New Roman"/>
                <w:sz w:val="24"/>
              </w:rPr>
              <w:t xml:space="preserve"> i 1</w:t>
            </w:r>
            <w:r w:rsidRPr="00E26EF6">
              <w:rPr>
                <w:rFonts w:ascii="Times New Roman" w:hAnsi="Times New Roman"/>
                <w:sz w:val="24"/>
              </w:rPr>
              <w:t>1 oraz art.</w:t>
            </w:r>
            <w:r w:rsidR="00023409" w:rsidRPr="00E26EF6">
              <w:rPr>
                <w:rFonts w:ascii="Times New Roman" w:hAnsi="Times New Roman"/>
                <w:sz w:val="24"/>
              </w:rPr>
              <w:t> </w:t>
            </w:r>
            <w:r w:rsidRPr="00E26EF6">
              <w:rPr>
                <w:rFonts w:ascii="Times New Roman" w:hAnsi="Times New Roman"/>
                <w:sz w:val="24"/>
              </w:rPr>
              <w:t>14–17 rozporządzenia delegowanego (UE) 2016/101.</w:t>
            </w:r>
          </w:p>
          <w:p w14:paraId="5AAA0587" w14:textId="0B387FFA"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 odniesieniu do kategorii: niepewność dotycząca cen rynkowych, koszty zamknięcia</w:t>
            </w:r>
            <w:r w:rsidR="00E26EF6" w:rsidRPr="00E26EF6">
              <w:rPr>
                <w:rFonts w:ascii="Times New Roman" w:hAnsi="Times New Roman"/>
                <w:sz w:val="24"/>
              </w:rPr>
              <w:t xml:space="preserve"> i ryz</w:t>
            </w:r>
            <w:r w:rsidRPr="00E26EF6">
              <w:rPr>
                <w:rFonts w:ascii="Times New Roman" w:hAnsi="Times New Roman"/>
                <w:sz w:val="24"/>
              </w:rPr>
              <w:t>yko modelu, do których zastosowanie ma korzyść</w:t>
            </w:r>
            <w:r w:rsidR="00E26EF6" w:rsidRPr="00E26EF6">
              <w:rPr>
                <w:rFonts w:ascii="Times New Roman" w:hAnsi="Times New Roman"/>
                <w:sz w:val="24"/>
              </w:rPr>
              <w:t xml:space="preserve"> z dyw</w:t>
            </w:r>
            <w:r w:rsidRPr="00E26EF6">
              <w:rPr>
                <w:rFonts w:ascii="Times New Roman" w:hAnsi="Times New Roman"/>
                <w:sz w:val="24"/>
              </w:rPr>
              <w:t>ersyfikacji, jak określono, odpowiednio,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6,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7</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 ust.</w:t>
            </w:r>
            <w:r w:rsidR="00023409" w:rsidRPr="00E26EF6">
              <w:rPr>
                <w:rFonts w:ascii="Times New Roman" w:hAnsi="Times New Roman"/>
                <w:sz w:val="24"/>
              </w:rPr>
              <w:t> </w:t>
            </w:r>
            <w:r w:rsidRPr="00E26EF6">
              <w:rPr>
                <w:rFonts w:ascii="Times New Roman" w:hAnsi="Times New Roman"/>
                <w:sz w:val="24"/>
              </w:rPr>
              <w:t>7 rozporządzenia delegowanego (UE) 2016/101, AVA na poziomie kategorii zgłasza się –</w:t>
            </w:r>
            <w:r w:rsidR="00E26EF6" w:rsidRPr="00E26EF6">
              <w:rPr>
                <w:rFonts w:ascii="Times New Roman" w:hAnsi="Times New Roman"/>
                <w:sz w:val="24"/>
              </w:rPr>
              <w:t xml:space="preserve"> o ile</w:t>
            </w:r>
            <w:r w:rsidRPr="00E26EF6">
              <w:rPr>
                <w:rFonts w:ascii="Times New Roman" w:hAnsi="Times New Roman"/>
                <w:sz w:val="24"/>
              </w:rPr>
              <w:t xml:space="preserve"> nie wskazano inaczej – jako zwykłą sumę indywidualnych AVA przed uwzględnieniem korzyści</w:t>
            </w:r>
            <w:r w:rsidR="00E26EF6" w:rsidRPr="00E26EF6">
              <w:rPr>
                <w:rFonts w:ascii="Times New Roman" w:hAnsi="Times New Roman"/>
                <w:sz w:val="24"/>
              </w:rPr>
              <w:t xml:space="preserve"> z dyw</w:t>
            </w:r>
            <w:r w:rsidRPr="00E26EF6">
              <w:rPr>
                <w:rFonts w:ascii="Times New Roman" w:hAnsi="Times New Roman"/>
                <w:sz w:val="24"/>
              </w:rPr>
              <w:t>ersyfikacji [ponieważ korzyści</w:t>
            </w:r>
            <w:r w:rsidR="00E26EF6" w:rsidRPr="00E26EF6">
              <w:rPr>
                <w:rFonts w:ascii="Times New Roman" w:hAnsi="Times New Roman"/>
                <w:sz w:val="24"/>
              </w:rPr>
              <w:t xml:space="preserve"> z dyw</w:t>
            </w:r>
            <w:r w:rsidRPr="00E26EF6">
              <w:rPr>
                <w:rFonts w:ascii="Times New Roman" w:hAnsi="Times New Roman"/>
                <w:sz w:val="24"/>
              </w:rPr>
              <w:t>ersyfikacji obliczone</w:t>
            </w:r>
            <w:r w:rsidR="00E26EF6" w:rsidRPr="00E26EF6">
              <w:rPr>
                <w:rFonts w:ascii="Times New Roman" w:hAnsi="Times New Roman"/>
                <w:sz w:val="24"/>
              </w:rPr>
              <w:t xml:space="preserve"> z wyk</w:t>
            </w:r>
            <w:r w:rsidRPr="00E26EF6">
              <w:rPr>
                <w:rFonts w:ascii="Times New Roman" w:hAnsi="Times New Roman"/>
                <w:sz w:val="24"/>
              </w:rPr>
              <w:t>orzystaniem metody 1 lub metody 2 określonej</w:t>
            </w:r>
            <w:r w:rsidR="00E26EF6" w:rsidRPr="00E26EF6">
              <w:rPr>
                <w:rFonts w:ascii="Times New Roman" w:hAnsi="Times New Roman"/>
                <w:sz w:val="24"/>
              </w:rPr>
              <w:t xml:space="preserve"> w zał</w:t>
            </w:r>
            <w:r w:rsidRPr="00E26EF6">
              <w:rPr>
                <w:rFonts w:ascii="Times New Roman" w:hAnsi="Times New Roman"/>
                <w:sz w:val="24"/>
              </w:rPr>
              <w:t>ączniku do rozporządzenia delegowanego (UE) 2016/101 zgłasza się</w:t>
            </w:r>
            <w:r w:rsidR="00E26EF6" w:rsidRPr="00E26EF6">
              <w:rPr>
                <w:rFonts w:ascii="Times New Roman" w:hAnsi="Times New Roman"/>
                <w:sz w:val="24"/>
              </w:rPr>
              <w:t xml:space="preserve"> w poz</w:t>
            </w:r>
            <w:r w:rsidRPr="00E26EF6">
              <w:rPr>
                <w:rFonts w:ascii="Times New Roman" w:hAnsi="Times New Roman"/>
                <w:sz w:val="24"/>
              </w:rPr>
              <w:t xml:space="preserve">ycjach 1.1.2, 1.1.2.1 </w:t>
            </w:r>
            <w:proofErr w:type="gramStart"/>
            <w:r w:rsidRPr="00E26EF6">
              <w:rPr>
                <w:rFonts w:ascii="Times New Roman" w:hAnsi="Times New Roman"/>
                <w:sz w:val="24"/>
              </w:rPr>
              <w:t>oraz</w:t>
            </w:r>
            <w:proofErr w:type="gramEnd"/>
            <w:r w:rsidRPr="00E26EF6">
              <w:rPr>
                <w:rFonts w:ascii="Times New Roman" w:hAnsi="Times New Roman"/>
                <w:sz w:val="24"/>
              </w:rPr>
              <w:t xml:space="preserve"> 1.1.2.2 </w:t>
            </w:r>
            <w:proofErr w:type="gramStart"/>
            <w:r w:rsidRPr="00E26EF6">
              <w:rPr>
                <w:rFonts w:ascii="Times New Roman" w:hAnsi="Times New Roman"/>
                <w:sz w:val="24"/>
              </w:rPr>
              <w:t>wzoru</w:t>
            </w:r>
            <w:proofErr w:type="gramEnd"/>
            <w:r w:rsidRPr="00E26EF6">
              <w:rPr>
                <w:rFonts w:ascii="Times New Roman" w:hAnsi="Times New Roman"/>
                <w:sz w:val="24"/>
              </w:rPr>
              <w:t xml:space="preserve">]. </w:t>
            </w:r>
          </w:p>
          <w:p w14:paraId="47A2F76A" w14:textId="393B16F9"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W odniesieniu do kategorii: niepewność dotycząca cen rynkowych, koszty zamknięcia</w:t>
            </w:r>
            <w:r w:rsidR="00E26EF6" w:rsidRPr="00E26EF6">
              <w:rPr>
                <w:rFonts w:ascii="Times New Roman" w:hAnsi="Times New Roman"/>
                <w:sz w:val="24"/>
              </w:rPr>
              <w:t xml:space="preserve"> i ryz</w:t>
            </w:r>
            <w:r w:rsidRPr="00E26EF6">
              <w:rPr>
                <w:rFonts w:ascii="Times New Roman" w:hAnsi="Times New Roman"/>
                <w:sz w:val="24"/>
              </w:rPr>
              <w:t>yko modelu kwoty obliczone przy zastosowaniu podejścia opartego na wiedzy eksperckiej, jak określono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5 lit.</w:t>
            </w:r>
            <w:r w:rsidR="00023409" w:rsidRPr="00E26EF6">
              <w:rPr>
                <w:rFonts w:ascii="Times New Roman" w:hAnsi="Times New Roman"/>
                <w:sz w:val="24"/>
              </w:rPr>
              <w:t> </w:t>
            </w:r>
            <w:r w:rsidRPr="00E26EF6">
              <w:rPr>
                <w:rFonts w:ascii="Times New Roman" w:hAnsi="Times New Roman"/>
                <w:sz w:val="24"/>
              </w:rPr>
              <w:t>b),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6 lit.</w:t>
            </w:r>
            <w:r w:rsidR="00023409" w:rsidRPr="00E26EF6">
              <w:rPr>
                <w:rFonts w:ascii="Times New Roman" w:hAnsi="Times New Roman"/>
                <w:sz w:val="24"/>
              </w:rPr>
              <w:t> </w:t>
            </w:r>
            <w:r w:rsidRPr="00E26EF6">
              <w:rPr>
                <w:rFonts w:ascii="Times New Roman" w:hAnsi="Times New Roman"/>
                <w:sz w:val="24"/>
              </w:rPr>
              <w:t>b)</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 ust.</w:t>
            </w:r>
            <w:r w:rsidR="00023409" w:rsidRPr="00E26EF6">
              <w:rPr>
                <w:rFonts w:ascii="Times New Roman" w:hAnsi="Times New Roman"/>
                <w:sz w:val="24"/>
              </w:rPr>
              <w:t> </w:t>
            </w:r>
            <w:r w:rsidRPr="00E26EF6">
              <w:rPr>
                <w:rFonts w:ascii="Times New Roman" w:hAnsi="Times New Roman"/>
                <w:sz w:val="24"/>
              </w:rPr>
              <w:t>4 rozporządzenia delegowanego (UE) 2016/101, zgłasza się odrębnie</w:t>
            </w:r>
            <w:r w:rsidR="00E26EF6" w:rsidRPr="00E26EF6">
              <w:rPr>
                <w:rFonts w:ascii="Times New Roman" w:hAnsi="Times New Roman"/>
                <w:sz w:val="24"/>
              </w:rPr>
              <w:t xml:space="preserve"> w kol</w:t>
            </w:r>
            <w:r w:rsidRPr="00E26EF6">
              <w:rPr>
                <w:rFonts w:ascii="Times New Roman" w:hAnsi="Times New Roman"/>
                <w:sz w:val="24"/>
              </w:rPr>
              <w:t>umnach 0020, 0040</w:t>
            </w:r>
            <w:r w:rsidR="00E26EF6" w:rsidRPr="00E26EF6">
              <w:rPr>
                <w:rFonts w:ascii="Times New Roman" w:hAnsi="Times New Roman"/>
                <w:sz w:val="24"/>
              </w:rPr>
              <w:t xml:space="preserve"> i 0</w:t>
            </w:r>
            <w:r w:rsidRPr="00E26EF6">
              <w:rPr>
                <w:rFonts w:ascii="Times New Roman" w:hAnsi="Times New Roman"/>
                <w:sz w:val="24"/>
              </w:rPr>
              <w:t>060.</w:t>
            </w:r>
          </w:p>
        </w:tc>
      </w:tr>
      <w:tr w:rsidR="00915077" w:rsidRPr="00E26EF6" w14:paraId="0CE4BF76" w14:textId="77777777" w:rsidTr="00672D2A">
        <w:tc>
          <w:tcPr>
            <w:tcW w:w="1101" w:type="dxa"/>
          </w:tcPr>
          <w:p w14:paraId="126DAFBD"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0010</w:t>
            </w:r>
          </w:p>
        </w:tc>
        <w:tc>
          <w:tcPr>
            <w:tcW w:w="8190" w:type="dxa"/>
          </w:tcPr>
          <w:p w14:paraId="14FB9877"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NIEPEWNOŚCI DOTYCZĄCEJ CEN RYNKOWYCH</w:t>
            </w:r>
          </w:p>
          <w:p w14:paraId="1314C68E" w14:textId="77777777"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 xml:space="preserve">Art. 105 ust. 10 CRR </w:t>
            </w:r>
          </w:p>
          <w:p w14:paraId="1F11E757" w14:textId="3AF30131"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niepewności dotyczącej cen rynkowych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rozporządzenia delegowanego (UE) 2016/101.</w:t>
            </w:r>
          </w:p>
        </w:tc>
      </w:tr>
      <w:tr w:rsidR="00915077" w:rsidRPr="00E26EF6" w14:paraId="3FC875F8" w14:textId="77777777" w:rsidTr="00672D2A">
        <w:tc>
          <w:tcPr>
            <w:tcW w:w="1101" w:type="dxa"/>
          </w:tcPr>
          <w:p w14:paraId="3E91D6F4"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0020</w:t>
            </w:r>
          </w:p>
        </w:tc>
        <w:tc>
          <w:tcPr>
            <w:tcW w:w="8190" w:type="dxa"/>
          </w:tcPr>
          <w:p w14:paraId="7BF0143F"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W TYM: OBLICZONA PRZY ZASTOSOWANIU PODEJŚCIA OPARTEGO NA WIEDZY EKSPERCKIEJ</w:t>
            </w:r>
          </w:p>
          <w:p w14:paraId="4445AB46" w14:textId="6E008682"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niepewności dotyczącej cen rynkowych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5 lit.</w:t>
            </w:r>
            <w:r w:rsidR="00023409" w:rsidRPr="00E26EF6">
              <w:rPr>
                <w:rFonts w:ascii="Times New Roman" w:hAnsi="Times New Roman"/>
                <w:sz w:val="24"/>
              </w:rPr>
              <w:t> </w:t>
            </w:r>
            <w:r w:rsidRPr="00E26EF6">
              <w:rPr>
                <w:rFonts w:ascii="Times New Roman" w:hAnsi="Times New Roman"/>
                <w:sz w:val="24"/>
              </w:rPr>
              <w:t>b) rozporządzenia delegowanego (UE) 2016/101.</w:t>
            </w:r>
          </w:p>
        </w:tc>
      </w:tr>
      <w:tr w:rsidR="00915077" w:rsidRPr="00E26EF6" w14:paraId="67191341" w14:textId="77777777" w:rsidTr="00672D2A">
        <w:tc>
          <w:tcPr>
            <w:tcW w:w="1101" w:type="dxa"/>
          </w:tcPr>
          <w:p w14:paraId="08628742"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0030</w:t>
            </w:r>
          </w:p>
        </w:tc>
        <w:tc>
          <w:tcPr>
            <w:tcW w:w="8190" w:type="dxa"/>
          </w:tcPr>
          <w:p w14:paraId="46EBB27D"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KOSZTÓW ZAMKNIĘCIA</w:t>
            </w:r>
          </w:p>
          <w:p w14:paraId="5B2B3223" w14:textId="77777777"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 xml:space="preserve">Art. 105 ust. 10 CRR </w:t>
            </w:r>
          </w:p>
          <w:p w14:paraId="232F428E" w14:textId="71A63400"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lastRenderedPageBreak/>
              <w:t>AVA</w:t>
            </w:r>
            <w:r w:rsidR="00E26EF6" w:rsidRPr="00E26EF6">
              <w:rPr>
                <w:rFonts w:ascii="Times New Roman" w:hAnsi="Times New Roman"/>
                <w:sz w:val="24"/>
              </w:rPr>
              <w:t xml:space="preserve"> z tyt</w:t>
            </w:r>
            <w:r w:rsidRPr="00E26EF6">
              <w:rPr>
                <w:rFonts w:ascii="Times New Roman" w:hAnsi="Times New Roman"/>
                <w:sz w:val="24"/>
              </w:rPr>
              <w:t>ułu kosztów zamknięcia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10 rozporządzenia delegowanego (UE) 2016/101. </w:t>
            </w:r>
          </w:p>
        </w:tc>
      </w:tr>
      <w:tr w:rsidR="00915077" w:rsidRPr="00E26EF6" w14:paraId="6F80DA8A" w14:textId="77777777" w:rsidTr="00672D2A">
        <w:tc>
          <w:tcPr>
            <w:tcW w:w="1101" w:type="dxa"/>
          </w:tcPr>
          <w:p w14:paraId="4804A45E"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0040</w:t>
            </w:r>
          </w:p>
        </w:tc>
        <w:tc>
          <w:tcPr>
            <w:tcW w:w="8190" w:type="dxa"/>
          </w:tcPr>
          <w:p w14:paraId="7522785F"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W TYM: OBLICZONA PRZY ZASTOSOWANIU PODEJŚCIA OPARTEGO NA WIEDZY EKSPERCKIEJ</w:t>
            </w:r>
          </w:p>
          <w:p w14:paraId="4670C6A1" w14:textId="22D59515"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kosztów zamknięcia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6 lit.</w:t>
            </w:r>
            <w:r w:rsidR="00023409" w:rsidRPr="00E26EF6">
              <w:rPr>
                <w:rFonts w:ascii="Times New Roman" w:hAnsi="Times New Roman"/>
                <w:sz w:val="24"/>
              </w:rPr>
              <w:t> </w:t>
            </w:r>
            <w:r w:rsidRPr="00E26EF6">
              <w:rPr>
                <w:rFonts w:ascii="Times New Roman" w:hAnsi="Times New Roman"/>
                <w:sz w:val="24"/>
              </w:rPr>
              <w:t>b) rozporządzenia delegowanego (UE) 2016/101.</w:t>
            </w:r>
          </w:p>
        </w:tc>
      </w:tr>
      <w:tr w:rsidR="00915077" w:rsidRPr="00E26EF6" w14:paraId="7C814463" w14:textId="77777777" w:rsidTr="00672D2A">
        <w:tc>
          <w:tcPr>
            <w:tcW w:w="1101" w:type="dxa"/>
          </w:tcPr>
          <w:p w14:paraId="3D4CC7FC"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0050</w:t>
            </w:r>
          </w:p>
        </w:tc>
        <w:tc>
          <w:tcPr>
            <w:tcW w:w="8190" w:type="dxa"/>
          </w:tcPr>
          <w:p w14:paraId="45A0DF18"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RYZYKA MODELU</w:t>
            </w:r>
          </w:p>
          <w:p w14:paraId="479B7FAC" w14:textId="77777777"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Art. 105 ust. 10 CRR</w:t>
            </w:r>
          </w:p>
          <w:p w14:paraId="337DCF2A" w14:textId="52654C76"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ryzyka modelu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11 rozporządzenia delegowanego (UE) 2016/101. </w:t>
            </w:r>
          </w:p>
        </w:tc>
      </w:tr>
      <w:tr w:rsidR="00915077" w:rsidRPr="00E26EF6" w14:paraId="570871F4" w14:textId="77777777" w:rsidTr="00672D2A">
        <w:tc>
          <w:tcPr>
            <w:tcW w:w="1101" w:type="dxa"/>
          </w:tcPr>
          <w:p w14:paraId="06298AC5"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0060</w:t>
            </w:r>
          </w:p>
        </w:tc>
        <w:tc>
          <w:tcPr>
            <w:tcW w:w="8190" w:type="dxa"/>
          </w:tcPr>
          <w:p w14:paraId="02BD6456"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W TYM: OBLICZONA PRZY ZASTOSOWANIU PODEJŚCIA OPARTEGO NA WIEDZY EKSPERCKIEJ</w:t>
            </w:r>
          </w:p>
          <w:p w14:paraId="36BEF6A2" w14:textId="00AC7F01"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ryzyka modelu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 ust.</w:t>
            </w:r>
            <w:r w:rsidR="00023409" w:rsidRPr="00E26EF6">
              <w:rPr>
                <w:rFonts w:ascii="Times New Roman" w:hAnsi="Times New Roman"/>
                <w:sz w:val="24"/>
              </w:rPr>
              <w:t> </w:t>
            </w:r>
            <w:r w:rsidRPr="00E26EF6">
              <w:rPr>
                <w:rFonts w:ascii="Times New Roman" w:hAnsi="Times New Roman"/>
                <w:sz w:val="24"/>
              </w:rPr>
              <w:t>4 rozporządzenia delegowanego (UE) 2016/101.</w:t>
            </w:r>
          </w:p>
        </w:tc>
      </w:tr>
      <w:tr w:rsidR="00915077" w:rsidRPr="00E26EF6" w14:paraId="7617E6FC" w14:textId="77777777" w:rsidTr="00672D2A">
        <w:tc>
          <w:tcPr>
            <w:tcW w:w="1101" w:type="dxa"/>
          </w:tcPr>
          <w:p w14:paraId="7A088AF5"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0070</w:t>
            </w:r>
          </w:p>
        </w:tc>
        <w:tc>
          <w:tcPr>
            <w:tcW w:w="8190" w:type="dxa"/>
          </w:tcPr>
          <w:p w14:paraId="34C7D9BB"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POZYCJI O DUŻEJ KONCENTRACJI</w:t>
            </w:r>
          </w:p>
          <w:p w14:paraId="71F8B72B" w14:textId="77777777"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Art. 105 ust. 11 CRR</w:t>
            </w:r>
          </w:p>
          <w:p w14:paraId="6D97DD76" w14:textId="15ACDBED"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pozycji</w:t>
            </w:r>
            <w:r w:rsidR="00E26EF6" w:rsidRPr="00E26EF6">
              <w:rPr>
                <w:rFonts w:ascii="Times New Roman" w:hAnsi="Times New Roman"/>
                <w:sz w:val="24"/>
              </w:rPr>
              <w:t xml:space="preserve"> o duż</w:t>
            </w:r>
            <w:r w:rsidRPr="00E26EF6">
              <w:rPr>
                <w:rFonts w:ascii="Times New Roman" w:hAnsi="Times New Roman"/>
                <w:sz w:val="24"/>
              </w:rPr>
              <w:t>ej koncentracji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 rozporządzenia delegowanego (UE) 2016/101.</w:t>
            </w:r>
          </w:p>
        </w:tc>
      </w:tr>
      <w:tr w:rsidR="00915077" w:rsidRPr="00E26EF6" w14:paraId="08D52651" w14:textId="77777777" w:rsidTr="00672D2A">
        <w:tc>
          <w:tcPr>
            <w:tcW w:w="1101" w:type="dxa"/>
          </w:tcPr>
          <w:p w14:paraId="0E0539C7"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0080</w:t>
            </w:r>
          </w:p>
        </w:tc>
        <w:tc>
          <w:tcPr>
            <w:tcW w:w="8190" w:type="dxa"/>
          </w:tcPr>
          <w:p w14:paraId="79862DE1"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PRZYSZŁYCH KOSZTÓW ADMINISTRACYJNYCH</w:t>
            </w:r>
          </w:p>
          <w:p w14:paraId="2B9AFF7C" w14:textId="77777777"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Art. 105 ust. 10 CRR</w:t>
            </w:r>
          </w:p>
          <w:p w14:paraId="7447FD81" w14:textId="6B713580"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przyszłych kosztów administracyjnych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15 rozporządzenia delegowanego (UE) 2016/101.</w:t>
            </w:r>
          </w:p>
        </w:tc>
      </w:tr>
      <w:tr w:rsidR="00915077" w:rsidRPr="00E26EF6" w14:paraId="68168FEB" w14:textId="77777777" w:rsidTr="00672D2A">
        <w:tc>
          <w:tcPr>
            <w:tcW w:w="1101" w:type="dxa"/>
          </w:tcPr>
          <w:p w14:paraId="742BACFE"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0090</w:t>
            </w:r>
          </w:p>
        </w:tc>
        <w:tc>
          <w:tcPr>
            <w:tcW w:w="8190" w:type="dxa"/>
          </w:tcPr>
          <w:p w14:paraId="4A98759F"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PRZEDTERMINOWEGO ROZWIĄZANIA UMOWY</w:t>
            </w:r>
          </w:p>
          <w:p w14:paraId="55E53D96" w14:textId="77777777"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Art. 105 ust. 10 CRR</w:t>
            </w:r>
          </w:p>
          <w:p w14:paraId="567881C0" w14:textId="68CEF280"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przedterminowego rozwiązania umowy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 xml:space="preserve">16 rozporządzenia delegowanego (UE) 2016/101. </w:t>
            </w:r>
          </w:p>
        </w:tc>
      </w:tr>
      <w:tr w:rsidR="00915077" w:rsidRPr="00E26EF6" w14:paraId="3A5D9EA9" w14:textId="77777777" w:rsidTr="00672D2A">
        <w:tc>
          <w:tcPr>
            <w:tcW w:w="1101" w:type="dxa"/>
          </w:tcPr>
          <w:p w14:paraId="449C1D29"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0100</w:t>
            </w:r>
          </w:p>
        </w:tc>
        <w:tc>
          <w:tcPr>
            <w:tcW w:w="8190" w:type="dxa"/>
          </w:tcPr>
          <w:p w14:paraId="34179239"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RYZYKA OPERACYJNEGO</w:t>
            </w:r>
          </w:p>
          <w:p w14:paraId="075176DE" w14:textId="77777777"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Art. 105 ust. 10 CRR</w:t>
            </w:r>
          </w:p>
          <w:p w14:paraId="5B49D42D" w14:textId="583D2B18"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ryzyka operacyjnego obliczona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17 rozporządzenia delegowanego (UE) 2016/101.</w:t>
            </w:r>
          </w:p>
        </w:tc>
      </w:tr>
      <w:tr w:rsidR="00915077" w:rsidRPr="00E26EF6" w14:paraId="7F226801" w14:textId="77777777" w:rsidTr="00672D2A">
        <w:tc>
          <w:tcPr>
            <w:tcW w:w="1101" w:type="dxa"/>
            <w:tcBorders>
              <w:bottom w:val="single" w:sz="4" w:space="0" w:color="auto"/>
            </w:tcBorders>
          </w:tcPr>
          <w:p w14:paraId="349C8AD8"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0110</w:t>
            </w:r>
          </w:p>
        </w:tc>
        <w:tc>
          <w:tcPr>
            <w:tcW w:w="8190" w:type="dxa"/>
            <w:tcBorders>
              <w:bottom w:val="single" w:sz="4" w:space="0" w:color="auto"/>
            </w:tcBorders>
          </w:tcPr>
          <w:p w14:paraId="748744F3"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 xml:space="preserve">CAŁKOWITA AVA </w:t>
            </w:r>
          </w:p>
          <w:p w14:paraId="046D1F3C" w14:textId="60BD0620" w:rsidR="00915077" w:rsidRPr="00E26EF6" w:rsidRDefault="00973707">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Wiersz 0010: całkowita AVA podlegająca odliczeniu od funduszy własnych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34</w:t>
            </w:r>
            <w:r w:rsidR="00E26EF6" w:rsidRPr="00E26EF6">
              <w:rPr>
                <w:rStyle w:val="InstructionsTabelleberschrift"/>
                <w:rFonts w:ascii="Times New Roman" w:hAnsi="Times New Roman"/>
                <w:b w:val="0"/>
                <w:sz w:val="24"/>
                <w:u w:val="none"/>
              </w:rPr>
              <w:t xml:space="preserve"> i 1</w:t>
            </w:r>
            <w:r w:rsidRPr="00E26EF6">
              <w:rPr>
                <w:rStyle w:val="InstructionsTabelleberschrift"/>
                <w:rFonts w:ascii="Times New Roman" w:hAnsi="Times New Roman"/>
                <w:b w:val="0"/>
                <w:sz w:val="24"/>
                <w:u w:val="none"/>
              </w:rPr>
              <w:t>05 CRR</w:t>
            </w:r>
            <w:r w:rsidR="00E26EF6" w:rsidRPr="00E26EF6">
              <w:rPr>
                <w:rStyle w:val="InstructionsTabelleberschrift"/>
                <w:rFonts w:ascii="Times New Roman" w:hAnsi="Times New Roman"/>
                <w:b w:val="0"/>
                <w:sz w:val="24"/>
                <w:u w:val="none"/>
              </w:rPr>
              <w:t xml:space="preserve"> i pod</w:t>
            </w:r>
            <w:r w:rsidRPr="00E26EF6">
              <w:rPr>
                <w:rStyle w:val="InstructionsTabelleberschrift"/>
                <w:rFonts w:ascii="Times New Roman" w:hAnsi="Times New Roman"/>
                <w:b w:val="0"/>
                <w:sz w:val="24"/>
                <w:u w:val="none"/>
              </w:rPr>
              <w:t>legająca zgłoszeniu odpowiednio</w:t>
            </w:r>
            <w:r w:rsidR="00E26EF6" w:rsidRPr="00E26EF6">
              <w:rPr>
                <w:rStyle w:val="InstructionsTabelleberschrift"/>
                <w:rFonts w:ascii="Times New Roman" w:hAnsi="Times New Roman"/>
                <w:b w:val="0"/>
                <w:sz w:val="24"/>
                <w:u w:val="none"/>
              </w:rPr>
              <w:t xml:space="preserve"> w wie</w:t>
            </w:r>
            <w:r w:rsidRPr="00E26EF6">
              <w:rPr>
                <w:rStyle w:val="InstructionsTabelleberschrift"/>
                <w:rFonts w:ascii="Times New Roman" w:hAnsi="Times New Roman"/>
                <w:b w:val="0"/>
                <w:sz w:val="24"/>
                <w:u w:val="none"/>
              </w:rPr>
              <w:t>rszu 290 wzoru C 01.00. Całkowita AVA jest sumą wierszy 0030</w:t>
            </w:r>
            <w:r w:rsidR="00E26EF6" w:rsidRPr="00E26EF6">
              <w:rPr>
                <w:rStyle w:val="InstructionsTabelleberschrift"/>
                <w:rFonts w:ascii="Times New Roman" w:hAnsi="Times New Roman"/>
                <w:b w:val="0"/>
                <w:sz w:val="24"/>
                <w:u w:val="none"/>
              </w:rPr>
              <w:t xml:space="preserve"> i 0</w:t>
            </w:r>
            <w:r w:rsidRPr="00E26EF6">
              <w:rPr>
                <w:rStyle w:val="InstructionsTabelleberschrift"/>
                <w:rFonts w:ascii="Times New Roman" w:hAnsi="Times New Roman"/>
                <w:b w:val="0"/>
                <w:sz w:val="24"/>
                <w:u w:val="none"/>
              </w:rPr>
              <w:t xml:space="preserve">180. </w:t>
            </w:r>
          </w:p>
          <w:p w14:paraId="6953E523" w14:textId="08117BFD" w:rsidR="00915077" w:rsidRPr="00E26EF6" w:rsidRDefault="00973707">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Wiersz 0020: część całkowitej AVA zgłoszonej</w:t>
            </w:r>
            <w:r w:rsidR="00E26EF6" w:rsidRPr="00E26EF6">
              <w:rPr>
                <w:rStyle w:val="InstructionsTabelleberschrift"/>
                <w:rFonts w:ascii="Times New Roman" w:hAnsi="Times New Roman"/>
                <w:b w:val="0"/>
                <w:sz w:val="24"/>
                <w:u w:val="none"/>
              </w:rPr>
              <w:t xml:space="preserve"> w wie</w:t>
            </w:r>
            <w:r w:rsidRPr="00E26EF6">
              <w:rPr>
                <w:rStyle w:val="InstructionsTabelleberschrift"/>
                <w:rFonts w:ascii="Times New Roman" w:hAnsi="Times New Roman"/>
                <w:b w:val="0"/>
                <w:sz w:val="24"/>
                <w:u w:val="none"/>
              </w:rPr>
              <w:t>rszu 0010 wynikająca</w:t>
            </w:r>
            <w:r w:rsidR="00E26EF6" w:rsidRPr="00E26EF6">
              <w:rPr>
                <w:rStyle w:val="InstructionsTabelleberschrift"/>
                <w:rFonts w:ascii="Times New Roman" w:hAnsi="Times New Roman"/>
                <w:b w:val="0"/>
                <w:sz w:val="24"/>
                <w:u w:val="none"/>
              </w:rPr>
              <w:t xml:space="preserve"> z poz</w:t>
            </w:r>
            <w:r w:rsidRPr="00E26EF6">
              <w:rPr>
                <w:rStyle w:val="InstructionsTabelleberschrift"/>
                <w:rFonts w:ascii="Times New Roman" w:hAnsi="Times New Roman"/>
                <w:b w:val="0"/>
                <w:sz w:val="24"/>
                <w:u w:val="none"/>
              </w:rPr>
              <w:t>ycji</w:t>
            </w:r>
            <w:r w:rsidR="00E26EF6" w:rsidRPr="00E26EF6">
              <w:rPr>
                <w:rStyle w:val="InstructionsTabelleberschrift"/>
                <w:rFonts w:ascii="Times New Roman" w:hAnsi="Times New Roman"/>
                <w:b w:val="0"/>
                <w:sz w:val="24"/>
                <w:u w:val="none"/>
              </w:rPr>
              <w:t xml:space="preserve"> w por</w:t>
            </w:r>
            <w:r w:rsidRPr="00E26EF6">
              <w:rPr>
                <w:rStyle w:val="InstructionsTabelleberschrift"/>
                <w:rFonts w:ascii="Times New Roman" w:hAnsi="Times New Roman"/>
                <w:b w:val="0"/>
                <w:sz w:val="24"/>
                <w:u w:val="none"/>
              </w:rPr>
              <w:t xml:space="preserve">tfelu handlowym (wartość bezwzględna). </w:t>
            </w:r>
          </w:p>
          <w:p w14:paraId="528A4D39" w14:textId="77777777" w:rsidR="00915077" w:rsidRPr="00E26EF6" w:rsidRDefault="00973707">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 xml:space="preserve">Wiersze 0030–0160: suma kolumn 0010, 0030, 0050 oraz 0070–0100. </w:t>
            </w:r>
          </w:p>
          <w:p w14:paraId="1EC177EC" w14:textId="5F447A86"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Wiersze 0180–0210: całkowita AVA wynikająca</w:t>
            </w:r>
            <w:r w:rsidR="00E26EF6" w:rsidRPr="00E26EF6">
              <w:rPr>
                <w:rStyle w:val="InstructionsTabelleberschrift"/>
                <w:rFonts w:ascii="Times New Roman" w:hAnsi="Times New Roman"/>
                <w:b w:val="0"/>
                <w:sz w:val="24"/>
                <w:u w:val="none"/>
              </w:rPr>
              <w:t xml:space="preserve"> z por</w:t>
            </w:r>
            <w:r w:rsidRPr="00E26EF6">
              <w:rPr>
                <w:rStyle w:val="InstructionsTabelleberschrift"/>
                <w:rFonts w:ascii="Times New Roman" w:hAnsi="Times New Roman"/>
                <w:b w:val="0"/>
                <w:sz w:val="24"/>
                <w:u w:val="none"/>
              </w:rPr>
              <w:t xml:space="preserve">tfeli na podstawie metody rezerwowej. </w:t>
            </w:r>
          </w:p>
        </w:tc>
      </w:tr>
      <w:tr w:rsidR="00915077" w:rsidRPr="00E26EF6" w14:paraId="3247717E" w14:textId="77777777" w:rsidTr="00672D2A">
        <w:tc>
          <w:tcPr>
            <w:tcW w:w="1101" w:type="dxa"/>
            <w:tcBorders>
              <w:bottom w:val="single" w:sz="4" w:space="0" w:color="auto"/>
            </w:tcBorders>
          </w:tcPr>
          <w:p w14:paraId="65FCF54F"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0120</w:t>
            </w:r>
          </w:p>
        </w:tc>
        <w:tc>
          <w:tcPr>
            <w:tcW w:w="8190" w:type="dxa"/>
            <w:tcBorders>
              <w:bottom w:val="single" w:sz="4" w:space="0" w:color="auto"/>
            </w:tcBorders>
          </w:tcPr>
          <w:p w14:paraId="345BB6C9"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 xml:space="preserve">WARTOŚĆ PRZY NISKIM POZIOMIE UFNOŚCI (ANG. </w:t>
            </w:r>
            <w:r w:rsidRPr="00E26EF6">
              <w:rPr>
                <w:rStyle w:val="InstructionsTabelleberschrift"/>
                <w:rFonts w:ascii="Times New Roman" w:hAnsi="Times New Roman"/>
                <w:i/>
                <w:sz w:val="24"/>
              </w:rPr>
              <w:t>UPSIDE UNCERTAINTY</w:t>
            </w:r>
            <w:r w:rsidRPr="00E26EF6">
              <w:rPr>
                <w:rStyle w:val="InstructionsTabelleberschrift"/>
                <w:rFonts w:ascii="Times New Roman" w:hAnsi="Times New Roman"/>
                <w:sz w:val="24"/>
              </w:rPr>
              <w:t>)</w:t>
            </w:r>
          </w:p>
          <w:p w14:paraId="3D8003C1" w14:textId="72EF2BA5" w:rsidR="00915077" w:rsidRPr="00E26EF6" w:rsidRDefault="00973707">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8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2 </w:t>
            </w:r>
            <w:r w:rsidRPr="00E26EF6">
              <w:rPr>
                <w:rFonts w:ascii="Times New Roman" w:hAnsi="Times New Roman"/>
                <w:sz w:val="24"/>
              </w:rPr>
              <w:t>rozporządzenia delegowanego (UE) 2016/101.</w:t>
            </w:r>
          </w:p>
          <w:p w14:paraId="731CC892" w14:textId="49C8F99C"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Wartość przy niskim poziomie ufności oblicza się</w:t>
            </w:r>
            <w:r w:rsidR="00E26EF6" w:rsidRPr="00E26EF6">
              <w:rPr>
                <w:rFonts w:ascii="Times New Roman" w:hAnsi="Times New Roman"/>
                <w:sz w:val="24"/>
              </w:rPr>
              <w:t xml:space="preserve"> i agr</w:t>
            </w:r>
            <w:r w:rsidRPr="00E26EF6">
              <w:rPr>
                <w:rFonts w:ascii="Times New Roman" w:hAnsi="Times New Roman"/>
                <w:sz w:val="24"/>
              </w:rPr>
              <w:t>eguje na tych samych zasadach jak całkowitą AVA obliczoną</w:t>
            </w:r>
            <w:r w:rsidR="00E26EF6" w:rsidRPr="00E26EF6">
              <w:rPr>
                <w:rFonts w:ascii="Times New Roman" w:hAnsi="Times New Roman"/>
                <w:sz w:val="24"/>
              </w:rPr>
              <w:t xml:space="preserve"> w kol</w:t>
            </w:r>
            <w:r w:rsidRPr="00E26EF6">
              <w:rPr>
                <w:rFonts w:ascii="Times New Roman" w:hAnsi="Times New Roman"/>
                <w:sz w:val="24"/>
              </w:rPr>
              <w:t>umnie 0110,</w:t>
            </w:r>
            <w:r w:rsidR="00E26EF6" w:rsidRPr="00E26EF6">
              <w:rPr>
                <w:rFonts w:ascii="Times New Roman" w:hAnsi="Times New Roman"/>
                <w:sz w:val="24"/>
              </w:rPr>
              <w:t xml:space="preserve"> z tym</w:t>
            </w:r>
            <w:r w:rsidRPr="00E26EF6">
              <w:rPr>
                <w:rFonts w:ascii="Times New Roman" w:hAnsi="Times New Roman"/>
                <w:sz w:val="24"/>
              </w:rPr>
              <w:t xml:space="preserve"> że 90-proc. poziom ufności stosowany przy wyznaczaniu całkowitej AVA zastępuje się</w:t>
            </w:r>
            <w:r w:rsidR="00023409" w:rsidRPr="00E26EF6">
              <w:rPr>
                <w:rFonts w:ascii="Times New Roman" w:hAnsi="Times New Roman"/>
                <w:sz w:val="24"/>
              </w:rPr>
              <w:t> </w:t>
            </w:r>
            <w:r w:rsidRPr="00E26EF6">
              <w:rPr>
                <w:rFonts w:ascii="Times New Roman" w:hAnsi="Times New Roman"/>
                <w:sz w:val="24"/>
              </w:rPr>
              <w:t>10-proc. poziomem ufności.</w:t>
            </w:r>
          </w:p>
        </w:tc>
      </w:tr>
      <w:tr w:rsidR="00915077" w:rsidRPr="00E26EF6" w14:paraId="54920B4C" w14:textId="77777777" w:rsidTr="00672D2A">
        <w:tc>
          <w:tcPr>
            <w:tcW w:w="1101" w:type="dxa"/>
          </w:tcPr>
          <w:p w14:paraId="79D9AA57"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0130-0140</w:t>
            </w:r>
          </w:p>
        </w:tc>
        <w:tc>
          <w:tcPr>
            <w:tcW w:w="8190" w:type="dxa"/>
          </w:tcPr>
          <w:p w14:paraId="2E68B4F5"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AKTYWA I ZOBOWIĄZANIA WYCENIANE WEDŁUG WARTOŚCI GODZIWEJ</w:t>
            </w:r>
          </w:p>
          <w:p w14:paraId="01F2DD78" w14:textId="34E28A9F"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odpowiadająca kwotom AVA zgłoszonym</w:t>
            </w:r>
            <w:r w:rsidR="00E26EF6" w:rsidRPr="00E26EF6">
              <w:rPr>
                <w:rFonts w:ascii="Times New Roman" w:hAnsi="Times New Roman"/>
                <w:sz w:val="24"/>
              </w:rPr>
              <w:t xml:space="preserve"> w wie</w:t>
            </w:r>
            <w:r w:rsidRPr="00E26EF6">
              <w:rPr>
                <w:rFonts w:ascii="Times New Roman" w:hAnsi="Times New Roman"/>
                <w:sz w:val="24"/>
              </w:rPr>
              <w:t>rszach 0010–0130 oraz</w:t>
            </w:r>
            <w:r w:rsidR="00E26EF6" w:rsidRPr="00E26EF6">
              <w:rPr>
                <w:rFonts w:ascii="Times New Roman" w:hAnsi="Times New Roman"/>
                <w:sz w:val="24"/>
              </w:rPr>
              <w:t xml:space="preserve"> w wie</w:t>
            </w:r>
            <w:r w:rsidRPr="00E26EF6">
              <w:rPr>
                <w:rFonts w:ascii="Times New Roman" w:hAnsi="Times New Roman"/>
                <w:sz w:val="24"/>
              </w:rPr>
              <w:t>rszu 0180</w:t>
            </w:r>
            <w:r w:rsidR="00E26EF6" w:rsidRPr="00E26EF6">
              <w:rPr>
                <w:rFonts w:ascii="Times New Roman" w:hAnsi="Times New Roman"/>
                <w:sz w:val="24"/>
              </w:rPr>
              <w:t>. W prz</w:t>
            </w:r>
            <w:r w:rsidRPr="00E26EF6">
              <w:rPr>
                <w:rFonts w:ascii="Times New Roman" w:hAnsi="Times New Roman"/>
                <w:sz w:val="24"/>
              </w:rPr>
              <w:t>ypadku niektórych wierszy,</w:t>
            </w:r>
            <w:r w:rsidR="00E26EF6" w:rsidRPr="00E26EF6">
              <w:rPr>
                <w:rFonts w:ascii="Times New Roman" w:hAnsi="Times New Roman"/>
                <w:sz w:val="24"/>
              </w:rPr>
              <w:t xml:space="preserve"> w szc</w:t>
            </w:r>
            <w:r w:rsidRPr="00E26EF6">
              <w:rPr>
                <w:rFonts w:ascii="Times New Roman" w:hAnsi="Times New Roman"/>
                <w:sz w:val="24"/>
              </w:rPr>
              <w:t>zególności wierszy 0090–0130, konieczne może być określenie tych kwot</w:t>
            </w:r>
            <w:r w:rsidR="00E26EF6" w:rsidRPr="00E26EF6">
              <w:rPr>
                <w:rFonts w:ascii="Times New Roman" w:hAnsi="Times New Roman"/>
                <w:sz w:val="24"/>
              </w:rPr>
              <w:t xml:space="preserve"> w prz</w:t>
            </w:r>
            <w:r w:rsidRPr="00E26EF6">
              <w:rPr>
                <w:rFonts w:ascii="Times New Roman" w:hAnsi="Times New Roman"/>
                <w:sz w:val="24"/>
              </w:rPr>
              <w:t>ybliżeniu lub ich przypisanie</w:t>
            </w:r>
            <w:r w:rsidR="00E26EF6" w:rsidRPr="00E26EF6">
              <w:rPr>
                <w:rFonts w:ascii="Times New Roman" w:hAnsi="Times New Roman"/>
                <w:sz w:val="24"/>
              </w:rPr>
              <w:t xml:space="preserve"> w opa</w:t>
            </w:r>
            <w:r w:rsidRPr="00E26EF6">
              <w:rPr>
                <w:rFonts w:ascii="Times New Roman" w:hAnsi="Times New Roman"/>
                <w:sz w:val="24"/>
              </w:rPr>
              <w:t>rciu</w:t>
            </w:r>
            <w:r w:rsidR="00E26EF6" w:rsidRPr="00E26EF6">
              <w:rPr>
                <w:rFonts w:ascii="Times New Roman" w:hAnsi="Times New Roman"/>
                <w:sz w:val="24"/>
              </w:rPr>
              <w:t xml:space="preserve"> o fac</w:t>
            </w:r>
            <w:r w:rsidRPr="00E26EF6">
              <w:rPr>
                <w:rFonts w:ascii="Times New Roman" w:hAnsi="Times New Roman"/>
                <w:sz w:val="24"/>
              </w:rPr>
              <w:t xml:space="preserve">howy osąd. </w:t>
            </w:r>
          </w:p>
          <w:p w14:paraId="5D26FC7D" w14:textId="7096E3CF" w:rsidR="00915077" w:rsidRPr="00E26EF6" w:rsidRDefault="00973707">
            <w:pPr>
              <w:spacing w:beforeLines="60" w:before="144" w:afterLines="60" w:after="144"/>
              <w:jc w:val="left"/>
              <w:rPr>
                <w:rFonts w:ascii="Times New Roman" w:hAnsi="Times New Roman"/>
                <w:sz w:val="24"/>
              </w:rPr>
            </w:pPr>
            <w:r w:rsidRPr="00E26EF6">
              <w:rPr>
                <w:rFonts w:ascii="Times New Roman" w:hAnsi="Times New Roman"/>
                <w:sz w:val="24"/>
              </w:rPr>
              <w:t>Wiersz 0010: Całkowita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uwzględnionych</w:t>
            </w:r>
            <w:r w:rsidR="00E26EF6" w:rsidRPr="00E26EF6">
              <w:rPr>
                <w:rFonts w:ascii="Times New Roman" w:hAnsi="Times New Roman"/>
                <w:sz w:val="24"/>
              </w:rPr>
              <w:t xml:space="preserve"> w wyl</w:t>
            </w:r>
            <w:r w:rsidRPr="00E26EF6">
              <w:rPr>
                <w:rFonts w:ascii="Times New Roman" w:hAnsi="Times New Roman"/>
                <w:sz w:val="24"/>
              </w:rPr>
              <w:t>iczeniach progu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rozporządzenia delegowanego (UE) 2016/101. Obejmuje ona wartość bezwzględną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w:t>
            </w:r>
            <w:r w:rsidR="00E26EF6" w:rsidRPr="00E26EF6">
              <w:rPr>
                <w:rFonts w:ascii="Times New Roman" w:hAnsi="Times New Roman"/>
                <w:sz w:val="24"/>
              </w:rPr>
              <w:t xml:space="preserve"> w sto</w:t>
            </w:r>
            <w:r w:rsidRPr="00E26EF6">
              <w:rPr>
                <w:rFonts w:ascii="Times New Roman" w:hAnsi="Times New Roman"/>
                <w:sz w:val="24"/>
              </w:rPr>
              <w:t>sunku do których AVA oszacowano jako mającą wartość zero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2,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2 lub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3 rozporządzenia delegowanego (UE) 2016/101, które to AVA zgłasza się również odrębnie</w:t>
            </w:r>
            <w:r w:rsidR="00E26EF6" w:rsidRPr="00E26EF6">
              <w:rPr>
                <w:rFonts w:ascii="Times New Roman" w:hAnsi="Times New Roman"/>
                <w:sz w:val="24"/>
              </w:rPr>
              <w:t xml:space="preserve"> w wie</w:t>
            </w:r>
            <w:r w:rsidRPr="00E26EF6">
              <w:rPr>
                <w:rFonts w:ascii="Times New Roman" w:hAnsi="Times New Roman"/>
                <w:sz w:val="24"/>
              </w:rPr>
              <w:t>rszach 0070</w:t>
            </w:r>
            <w:r w:rsidR="00E26EF6" w:rsidRPr="00E26EF6">
              <w:rPr>
                <w:rFonts w:ascii="Times New Roman" w:hAnsi="Times New Roman"/>
                <w:sz w:val="24"/>
              </w:rPr>
              <w:t xml:space="preserve"> i 0</w:t>
            </w:r>
            <w:r w:rsidRPr="00E26EF6">
              <w:rPr>
                <w:rFonts w:ascii="Times New Roman" w:hAnsi="Times New Roman"/>
                <w:sz w:val="24"/>
              </w:rPr>
              <w:t xml:space="preserve">080. </w:t>
            </w:r>
          </w:p>
          <w:p w14:paraId="3BB13495" w14:textId="31621127" w:rsidR="00915077" w:rsidRPr="00E26EF6" w:rsidRDefault="00973707">
            <w:pPr>
              <w:spacing w:beforeLines="60" w:before="144" w:afterLines="60" w:after="144"/>
              <w:jc w:val="left"/>
              <w:rPr>
                <w:rFonts w:ascii="Times New Roman" w:hAnsi="Times New Roman"/>
                <w:sz w:val="24"/>
              </w:rPr>
            </w:pPr>
            <w:r w:rsidRPr="00E26EF6">
              <w:rPr>
                <w:rFonts w:ascii="Times New Roman" w:hAnsi="Times New Roman"/>
                <w:sz w:val="24"/>
              </w:rPr>
              <w:t>Wiersz 0010 stanowi sumę wiersza 0030</w:t>
            </w:r>
            <w:r w:rsidR="00E26EF6" w:rsidRPr="00E26EF6">
              <w:rPr>
                <w:rFonts w:ascii="Times New Roman" w:hAnsi="Times New Roman"/>
                <w:sz w:val="24"/>
              </w:rPr>
              <w:t xml:space="preserve"> i wie</w:t>
            </w:r>
            <w:r w:rsidRPr="00E26EF6">
              <w:rPr>
                <w:rFonts w:ascii="Times New Roman" w:hAnsi="Times New Roman"/>
                <w:sz w:val="24"/>
              </w:rPr>
              <w:t xml:space="preserve">rsza 0180. </w:t>
            </w:r>
          </w:p>
          <w:p w14:paraId="183B1B90" w14:textId="7377568E"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Wiersz 0020: część całkowitej wartości bezwzględnej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zgłoszonej</w:t>
            </w:r>
            <w:r w:rsidR="00E26EF6" w:rsidRPr="00E26EF6">
              <w:rPr>
                <w:rFonts w:ascii="Times New Roman" w:hAnsi="Times New Roman"/>
                <w:sz w:val="24"/>
              </w:rPr>
              <w:t xml:space="preserve"> w wie</w:t>
            </w:r>
            <w:r w:rsidRPr="00E26EF6">
              <w:rPr>
                <w:rFonts w:ascii="Times New Roman" w:hAnsi="Times New Roman"/>
                <w:sz w:val="24"/>
              </w:rPr>
              <w:t>rszu 0010 wynikająca</w:t>
            </w:r>
            <w:r w:rsidR="00E26EF6" w:rsidRPr="00E26EF6">
              <w:rPr>
                <w:rFonts w:ascii="Times New Roman" w:hAnsi="Times New Roman"/>
                <w:sz w:val="24"/>
              </w:rPr>
              <w:t xml:space="preserve"> z poz</w:t>
            </w:r>
            <w:r w:rsidRPr="00E26EF6">
              <w:rPr>
                <w:rFonts w:ascii="Times New Roman" w:hAnsi="Times New Roman"/>
                <w:sz w:val="24"/>
              </w:rPr>
              <w:t>ycji</w:t>
            </w:r>
            <w:r w:rsidR="00E26EF6" w:rsidRPr="00E26EF6">
              <w:rPr>
                <w:rFonts w:ascii="Times New Roman" w:hAnsi="Times New Roman"/>
                <w:sz w:val="24"/>
              </w:rPr>
              <w:t xml:space="preserve"> w por</w:t>
            </w:r>
            <w:r w:rsidRPr="00E26EF6">
              <w:rPr>
                <w:rFonts w:ascii="Times New Roman" w:hAnsi="Times New Roman"/>
                <w:sz w:val="24"/>
              </w:rPr>
              <w:t xml:space="preserve">tfelu handlowym (wartość bezwzględna). </w:t>
            </w:r>
          </w:p>
          <w:p w14:paraId="2E9D1837" w14:textId="6370195D"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Wiersz 0030: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odpowiadająca portfelom na podstawie art.</w:t>
            </w:r>
            <w:r w:rsidR="00023409" w:rsidRPr="00E26EF6">
              <w:rPr>
                <w:rFonts w:ascii="Times New Roman" w:hAnsi="Times New Roman"/>
                <w:sz w:val="24"/>
              </w:rPr>
              <w:t> </w:t>
            </w:r>
            <w:r w:rsidRPr="00E26EF6">
              <w:rPr>
                <w:rFonts w:ascii="Times New Roman" w:hAnsi="Times New Roman"/>
                <w:sz w:val="24"/>
              </w:rPr>
              <w:t>9–17 rozporządzenia delegowanego (UE) 2016/101. Obejmuje ona wartość bezwzględną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w:t>
            </w:r>
            <w:r w:rsidR="00E26EF6" w:rsidRPr="00E26EF6">
              <w:rPr>
                <w:rFonts w:ascii="Times New Roman" w:hAnsi="Times New Roman"/>
                <w:sz w:val="24"/>
              </w:rPr>
              <w:t xml:space="preserve"> w sto</w:t>
            </w:r>
            <w:r w:rsidRPr="00E26EF6">
              <w:rPr>
                <w:rFonts w:ascii="Times New Roman" w:hAnsi="Times New Roman"/>
                <w:sz w:val="24"/>
              </w:rPr>
              <w:t>sunku do których AVA oszacowano jako mającą wartość zero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2,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2 lub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3 rozporządzenia delegowanego (UE) 2016/101, które to AVA zgłasza się również odrębnie</w:t>
            </w:r>
            <w:r w:rsidR="00E26EF6" w:rsidRPr="00E26EF6">
              <w:rPr>
                <w:rFonts w:ascii="Times New Roman" w:hAnsi="Times New Roman"/>
                <w:sz w:val="24"/>
              </w:rPr>
              <w:t xml:space="preserve"> w wie</w:t>
            </w:r>
            <w:r w:rsidRPr="00E26EF6">
              <w:rPr>
                <w:rFonts w:ascii="Times New Roman" w:hAnsi="Times New Roman"/>
                <w:sz w:val="24"/>
              </w:rPr>
              <w:t>rszach 0070</w:t>
            </w:r>
            <w:r w:rsidR="00E26EF6" w:rsidRPr="00E26EF6">
              <w:rPr>
                <w:rFonts w:ascii="Times New Roman" w:hAnsi="Times New Roman"/>
                <w:sz w:val="24"/>
              </w:rPr>
              <w:t xml:space="preserve"> i 0</w:t>
            </w:r>
            <w:r w:rsidRPr="00E26EF6">
              <w:rPr>
                <w:rFonts w:ascii="Times New Roman" w:hAnsi="Times New Roman"/>
                <w:sz w:val="24"/>
              </w:rPr>
              <w:t>080. Wiersz 0030 jest sumą wierszy 0090–0130.</w:t>
            </w:r>
          </w:p>
          <w:p w14:paraId="5BB6B299" w14:textId="5D3554F9"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Wiersz 0050: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uwzględnionych</w:t>
            </w:r>
            <w:r w:rsidR="00E26EF6" w:rsidRPr="00E26EF6">
              <w:rPr>
                <w:rFonts w:ascii="Times New Roman" w:hAnsi="Times New Roman"/>
                <w:sz w:val="24"/>
              </w:rPr>
              <w:t xml:space="preserve"> w zak</w:t>
            </w:r>
            <w:r w:rsidRPr="00E26EF6">
              <w:rPr>
                <w:rFonts w:ascii="Times New Roman" w:hAnsi="Times New Roman"/>
                <w:sz w:val="24"/>
              </w:rPr>
              <w:t>resie wyliczeń AVA</w:t>
            </w:r>
            <w:r w:rsidR="00E26EF6" w:rsidRPr="00E26EF6">
              <w:rPr>
                <w:rFonts w:ascii="Times New Roman" w:hAnsi="Times New Roman"/>
                <w:sz w:val="24"/>
              </w:rPr>
              <w:t xml:space="preserve"> z tyt</w:t>
            </w:r>
            <w:r w:rsidRPr="00E26EF6">
              <w:rPr>
                <w:rFonts w:ascii="Times New Roman" w:hAnsi="Times New Roman"/>
                <w:sz w:val="24"/>
              </w:rPr>
              <w:t>ułu niezrealizowanych marż kredytowych. Do celów wyliczania tej AVA dokładnie dopasowanych kompensujących się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wyłączonych</w:t>
            </w:r>
            <w:r w:rsidR="00E26EF6" w:rsidRPr="00E26EF6">
              <w:rPr>
                <w:rFonts w:ascii="Times New Roman" w:hAnsi="Times New Roman"/>
                <w:sz w:val="24"/>
              </w:rPr>
              <w:t xml:space="preserve"> z wyl</w:t>
            </w:r>
            <w:r w:rsidRPr="00E26EF6">
              <w:rPr>
                <w:rFonts w:ascii="Times New Roman" w:hAnsi="Times New Roman"/>
                <w:sz w:val="24"/>
              </w:rPr>
              <w:t>iczeń progu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 xml:space="preserve">2 rozporządzenia delegowanego (UE) 2016/101, nie można już uznawać za dokładnie dopasowane, kompensujące się pozycje. </w:t>
            </w:r>
          </w:p>
          <w:p w14:paraId="0AEE6F67" w14:textId="415F4B78"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Wiersz 0060: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uwzględnionych</w:t>
            </w:r>
            <w:r w:rsidR="00E26EF6" w:rsidRPr="00E26EF6">
              <w:rPr>
                <w:rFonts w:ascii="Times New Roman" w:hAnsi="Times New Roman"/>
                <w:sz w:val="24"/>
              </w:rPr>
              <w:t xml:space="preserve"> w zak</w:t>
            </w:r>
            <w:r w:rsidRPr="00E26EF6">
              <w:rPr>
                <w:rFonts w:ascii="Times New Roman" w:hAnsi="Times New Roman"/>
                <w:sz w:val="24"/>
              </w:rPr>
              <w:t>resie wyliczeń AVA</w:t>
            </w:r>
            <w:r w:rsidR="00E26EF6" w:rsidRPr="00E26EF6">
              <w:rPr>
                <w:rFonts w:ascii="Times New Roman" w:hAnsi="Times New Roman"/>
                <w:sz w:val="24"/>
              </w:rPr>
              <w:t xml:space="preserve"> z tyt</w:t>
            </w:r>
            <w:r w:rsidRPr="00E26EF6">
              <w:rPr>
                <w:rFonts w:ascii="Times New Roman" w:hAnsi="Times New Roman"/>
                <w:sz w:val="24"/>
              </w:rPr>
              <w:t>ułu kosztów inwestycji</w:t>
            </w:r>
            <w:r w:rsidR="00E26EF6" w:rsidRPr="00E26EF6">
              <w:rPr>
                <w:rFonts w:ascii="Times New Roman" w:hAnsi="Times New Roman"/>
                <w:sz w:val="24"/>
              </w:rPr>
              <w:t xml:space="preserve"> i fin</w:t>
            </w:r>
            <w:r w:rsidRPr="00E26EF6">
              <w:rPr>
                <w:rFonts w:ascii="Times New Roman" w:hAnsi="Times New Roman"/>
                <w:sz w:val="24"/>
              </w:rPr>
              <w:t>ansowania. Do celów wyliczania tej AVA dokładnie dopasowanych kompensujących się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wyłączonych</w:t>
            </w:r>
            <w:r w:rsidR="00E26EF6" w:rsidRPr="00E26EF6">
              <w:rPr>
                <w:rFonts w:ascii="Times New Roman" w:hAnsi="Times New Roman"/>
                <w:sz w:val="24"/>
              </w:rPr>
              <w:t xml:space="preserve"> z wyl</w:t>
            </w:r>
            <w:r w:rsidRPr="00E26EF6">
              <w:rPr>
                <w:rFonts w:ascii="Times New Roman" w:hAnsi="Times New Roman"/>
                <w:sz w:val="24"/>
              </w:rPr>
              <w:t>iczeń progu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 xml:space="preserve">2 rozporządzenia delegowanego (UE) 2016/101, nie można już uznawać za dokładnie dopasowane, kompensujące się pozycje. </w:t>
            </w:r>
          </w:p>
          <w:p w14:paraId="78347165" w14:textId="4646B87F"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Wiersz 0070: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odpowiadająca ekspozycjom</w:t>
            </w:r>
            <w:r w:rsidR="00E26EF6" w:rsidRPr="00E26EF6">
              <w:rPr>
                <w:rFonts w:ascii="Times New Roman" w:hAnsi="Times New Roman"/>
                <w:sz w:val="24"/>
              </w:rPr>
              <w:t xml:space="preserve"> z tyt</w:t>
            </w:r>
            <w:r w:rsidRPr="00E26EF6">
              <w:rPr>
                <w:rFonts w:ascii="Times New Roman" w:hAnsi="Times New Roman"/>
                <w:sz w:val="24"/>
              </w:rPr>
              <w:t>ułu wyceny,</w:t>
            </w:r>
            <w:r w:rsidR="00E26EF6" w:rsidRPr="00E26EF6">
              <w:rPr>
                <w:rFonts w:ascii="Times New Roman" w:hAnsi="Times New Roman"/>
                <w:sz w:val="24"/>
              </w:rPr>
              <w:t xml:space="preserve"> w sto</w:t>
            </w:r>
            <w:r w:rsidRPr="00E26EF6">
              <w:rPr>
                <w:rFonts w:ascii="Times New Roman" w:hAnsi="Times New Roman"/>
                <w:sz w:val="24"/>
              </w:rPr>
              <w:t>sunku do których AVA oszacowano jako mającą wartość zero na podstawie art.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 xml:space="preserve">2 rozporządzenia delegowanego (UE) 2016/101. </w:t>
            </w:r>
          </w:p>
          <w:p w14:paraId="0EEF2BA0" w14:textId="4D794478"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Wiersz 0080: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odpowiadająca ekspozycjom</w:t>
            </w:r>
            <w:r w:rsidR="00E26EF6" w:rsidRPr="00E26EF6">
              <w:rPr>
                <w:rFonts w:ascii="Times New Roman" w:hAnsi="Times New Roman"/>
                <w:sz w:val="24"/>
              </w:rPr>
              <w:t xml:space="preserve"> z tyt</w:t>
            </w:r>
            <w:r w:rsidRPr="00E26EF6">
              <w:rPr>
                <w:rFonts w:ascii="Times New Roman" w:hAnsi="Times New Roman"/>
                <w:sz w:val="24"/>
              </w:rPr>
              <w:t>ułu wyceny,</w:t>
            </w:r>
            <w:r w:rsidR="00E26EF6" w:rsidRPr="00E26EF6">
              <w:rPr>
                <w:rFonts w:ascii="Times New Roman" w:hAnsi="Times New Roman"/>
                <w:sz w:val="24"/>
              </w:rPr>
              <w:t xml:space="preserve"> w sto</w:t>
            </w:r>
            <w:r w:rsidRPr="00E26EF6">
              <w:rPr>
                <w:rFonts w:ascii="Times New Roman" w:hAnsi="Times New Roman"/>
                <w:sz w:val="24"/>
              </w:rPr>
              <w:t>sunku do których AVA oszacowano jako mającą wartość zero na podstawie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3</w:t>
            </w:r>
            <w:r w:rsidRPr="00E26EF6">
              <w:rPr>
                <w:rFonts w:ascii="Times New Roman" w:hAnsi="Times New Roman"/>
                <w:sz w:val="24"/>
              </w:rPr>
              <w:t xml:space="preserve"> rozporządzenia delegowanego (UE) 2016/101. </w:t>
            </w:r>
          </w:p>
          <w:p w14:paraId="08695D63" w14:textId="4F39625A"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Wiersze 0090–0130: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przypisanych zgodnie</w:t>
            </w:r>
            <w:r w:rsidR="00E26EF6" w:rsidRPr="00E26EF6">
              <w:rPr>
                <w:rFonts w:ascii="Times New Roman" w:hAnsi="Times New Roman"/>
                <w:sz w:val="24"/>
              </w:rPr>
              <w:t xml:space="preserve"> z pon</w:t>
            </w:r>
            <w:r w:rsidRPr="00E26EF6">
              <w:rPr>
                <w:rFonts w:ascii="Times New Roman" w:hAnsi="Times New Roman"/>
                <w:sz w:val="24"/>
              </w:rPr>
              <w:t>iższym opisem (zob. instrukcje dotyczące odnośnych wierszy) na podstawie następujących kategorii ryzyka: stopy procentowe, waluty obce, kredyty, papiery kapitałowe, towary. Obejmuje ona wartość bezwzględną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w:t>
            </w:r>
            <w:r w:rsidR="00E26EF6" w:rsidRPr="00E26EF6">
              <w:rPr>
                <w:rFonts w:ascii="Times New Roman" w:hAnsi="Times New Roman"/>
                <w:sz w:val="24"/>
              </w:rPr>
              <w:t xml:space="preserve"> w sto</w:t>
            </w:r>
            <w:r w:rsidRPr="00E26EF6">
              <w:rPr>
                <w:rFonts w:ascii="Times New Roman" w:hAnsi="Times New Roman"/>
                <w:sz w:val="24"/>
              </w:rPr>
              <w:t>sunku do których AVA oszacowano jako mającą wartość zero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2,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2 lub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3 rozporządzenia delegowanego (UE) 2016/101, które to AVA zgłasza się również odrębnie</w:t>
            </w:r>
            <w:r w:rsidR="00E26EF6" w:rsidRPr="00E26EF6">
              <w:rPr>
                <w:rFonts w:ascii="Times New Roman" w:hAnsi="Times New Roman"/>
                <w:sz w:val="24"/>
              </w:rPr>
              <w:t xml:space="preserve"> w wie</w:t>
            </w:r>
            <w:r w:rsidRPr="00E26EF6">
              <w:rPr>
                <w:rFonts w:ascii="Times New Roman" w:hAnsi="Times New Roman"/>
                <w:sz w:val="24"/>
              </w:rPr>
              <w:t>rszach 0070</w:t>
            </w:r>
            <w:r w:rsidR="00E26EF6" w:rsidRPr="00E26EF6">
              <w:rPr>
                <w:rFonts w:ascii="Times New Roman" w:hAnsi="Times New Roman"/>
                <w:sz w:val="24"/>
              </w:rPr>
              <w:t xml:space="preserve"> i 0</w:t>
            </w:r>
            <w:r w:rsidRPr="00E26EF6">
              <w:rPr>
                <w:rFonts w:ascii="Times New Roman" w:hAnsi="Times New Roman"/>
                <w:sz w:val="24"/>
              </w:rPr>
              <w:t>080.</w:t>
            </w:r>
          </w:p>
          <w:p w14:paraId="4D3064A6" w14:textId="63C86BBB"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Wiersz 0180: wartość bezwzględna aktywów</w:t>
            </w:r>
            <w:r w:rsidR="00E26EF6" w:rsidRPr="00E26EF6">
              <w:rPr>
                <w:rFonts w:ascii="Times New Roman" w:hAnsi="Times New Roman"/>
                <w:sz w:val="24"/>
              </w:rPr>
              <w:t xml:space="preserve"> i zob</w:t>
            </w:r>
            <w:r w:rsidRPr="00E26EF6">
              <w:rPr>
                <w:rFonts w:ascii="Times New Roman" w:hAnsi="Times New Roman"/>
                <w:sz w:val="24"/>
              </w:rPr>
              <w:t xml:space="preserve">owiązań wycenianych według wartości godziwej odpowiadająca portfelom na podstawie metody rezerwowej. </w:t>
            </w:r>
          </w:p>
        </w:tc>
      </w:tr>
      <w:tr w:rsidR="00915077" w:rsidRPr="00E26EF6" w14:paraId="4282DCF6" w14:textId="77777777" w:rsidTr="00672D2A">
        <w:tc>
          <w:tcPr>
            <w:tcW w:w="1101" w:type="dxa"/>
          </w:tcPr>
          <w:p w14:paraId="01C83808"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0130</w:t>
            </w:r>
          </w:p>
        </w:tc>
        <w:tc>
          <w:tcPr>
            <w:tcW w:w="8190" w:type="dxa"/>
          </w:tcPr>
          <w:p w14:paraId="791A4114"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AKTYWA WYCENIANE WEDŁUG WARTOŚCI GODZIWEJ</w:t>
            </w:r>
          </w:p>
          <w:p w14:paraId="7F3F829E" w14:textId="67D13F21" w:rsidR="00915077" w:rsidRPr="00E26EF6" w:rsidRDefault="00973707">
            <w:pPr>
              <w:spacing w:beforeLines="60" w:before="144" w:afterLines="60" w:after="144"/>
              <w:rPr>
                <w:rStyle w:val="InstructionsTabelleberschrift"/>
                <w:rFonts w:ascii="Times New Roman" w:hAnsi="Times New Roman"/>
                <w:sz w:val="24"/>
                <w:highlight w:val="lightGray"/>
                <w:u w:val="none"/>
              </w:rPr>
            </w:pPr>
            <w:r w:rsidRPr="00E26EF6">
              <w:rPr>
                <w:rFonts w:ascii="Times New Roman" w:hAnsi="Times New Roman"/>
                <w:sz w:val="24"/>
              </w:rPr>
              <w:t>Wartość bezwzględna aktywów wycenianych według wartości godziwej odpowiadająca różnym wierszom, jak wyjaśniono</w:t>
            </w:r>
            <w:r w:rsidR="00E26EF6" w:rsidRPr="00E26EF6">
              <w:rPr>
                <w:rFonts w:ascii="Times New Roman" w:hAnsi="Times New Roman"/>
                <w:sz w:val="24"/>
              </w:rPr>
              <w:t xml:space="preserve"> w ins</w:t>
            </w:r>
            <w:r w:rsidRPr="00E26EF6">
              <w:rPr>
                <w:rFonts w:ascii="Times New Roman" w:hAnsi="Times New Roman"/>
                <w:sz w:val="24"/>
              </w:rPr>
              <w:t>trukcjach dotyczących kolumn 0130–0140 powyżej</w:t>
            </w:r>
            <w:r w:rsidRPr="00E26EF6">
              <w:rPr>
                <w:rStyle w:val="InstructionsTabelleberschrift"/>
                <w:rFonts w:ascii="Times New Roman" w:hAnsi="Times New Roman"/>
                <w:b w:val="0"/>
                <w:sz w:val="24"/>
                <w:u w:val="none"/>
              </w:rPr>
              <w:t>.</w:t>
            </w:r>
          </w:p>
        </w:tc>
      </w:tr>
      <w:tr w:rsidR="00915077" w:rsidRPr="00E26EF6" w14:paraId="1EB7333B" w14:textId="77777777" w:rsidTr="00672D2A">
        <w:tc>
          <w:tcPr>
            <w:tcW w:w="1101" w:type="dxa"/>
          </w:tcPr>
          <w:p w14:paraId="3163A30F"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0140</w:t>
            </w:r>
          </w:p>
        </w:tc>
        <w:tc>
          <w:tcPr>
            <w:tcW w:w="8190" w:type="dxa"/>
          </w:tcPr>
          <w:p w14:paraId="56733A2F" w14:textId="77777777" w:rsidR="00915077" w:rsidRPr="00E26EF6" w:rsidRDefault="00973707">
            <w:pPr>
              <w:tabs>
                <w:tab w:val="center" w:pos="3894"/>
              </w:tabs>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ZOBOWIĄZANIA WYCENIANE WEDŁUG WARTOŚCI GODZIWEJ</w:t>
            </w:r>
          </w:p>
          <w:p w14:paraId="1D8BFEB5" w14:textId="5D492742"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Wartość bezwzględna zobowiązań wycenianych według wartości godziwej odpowiadająca różnym wierszom, jak wyjaśniono</w:t>
            </w:r>
            <w:r w:rsidR="00E26EF6" w:rsidRPr="00E26EF6">
              <w:rPr>
                <w:rFonts w:ascii="Times New Roman" w:hAnsi="Times New Roman"/>
                <w:sz w:val="24"/>
              </w:rPr>
              <w:t xml:space="preserve"> w ins</w:t>
            </w:r>
            <w:r w:rsidRPr="00E26EF6">
              <w:rPr>
                <w:rFonts w:ascii="Times New Roman" w:hAnsi="Times New Roman"/>
                <w:sz w:val="24"/>
              </w:rPr>
              <w:t>trukcjach dotyczących kolumn 0130–0140 powyżej</w:t>
            </w:r>
            <w:r w:rsidRPr="00E26EF6">
              <w:rPr>
                <w:rStyle w:val="InstructionsTabelleberschrift"/>
                <w:rFonts w:ascii="Times New Roman" w:hAnsi="Times New Roman"/>
                <w:b w:val="0"/>
                <w:sz w:val="24"/>
                <w:u w:val="none"/>
              </w:rPr>
              <w:t>.</w:t>
            </w:r>
          </w:p>
        </w:tc>
      </w:tr>
      <w:tr w:rsidR="00915077" w:rsidRPr="00E26EF6" w14:paraId="27DA91E9" w14:textId="77777777" w:rsidTr="00672D2A">
        <w:tc>
          <w:tcPr>
            <w:tcW w:w="1101" w:type="dxa"/>
          </w:tcPr>
          <w:p w14:paraId="7535313A"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0150</w:t>
            </w:r>
          </w:p>
        </w:tc>
        <w:tc>
          <w:tcPr>
            <w:tcW w:w="8190" w:type="dxa"/>
          </w:tcPr>
          <w:p w14:paraId="14AE7343"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DOCHODY QTD</w:t>
            </w:r>
          </w:p>
          <w:p w14:paraId="0388881E" w14:textId="35FD2490"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Dochody za okres od początku danego kwartału („przychody QTD”), od ostatniego dnia sprawozdawczego, przypisane do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odpowiadających różnym wierszom, jak wyjaśniono</w:t>
            </w:r>
            <w:r w:rsidR="00E26EF6" w:rsidRPr="00E26EF6">
              <w:rPr>
                <w:rFonts w:ascii="Times New Roman" w:hAnsi="Times New Roman"/>
                <w:sz w:val="24"/>
              </w:rPr>
              <w:t xml:space="preserve"> w ins</w:t>
            </w:r>
            <w:r w:rsidRPr="00E26EF6">
              <w:rPr>
                <w:rFonts w:ascii="Times New Roman" w:hAnsi="Times New Roman"/>
                <w:sz w:val="24"/>
              </w:rPr>
              <w:t>trukcjach dotyczących kolumn 0130–0140 powyżej,</w:t>
            </w:r>
            <w:r w:rsidR="00E26EF6" w:rsidRPr="00E26EF6">
              <w:rPr>
                <w:rFonts w:ascii="Times New Roman" w:hAnsi="Times New Roman"/>
                <w:sz w:val="24"/>
              </w:rPr>
              <w:t xml:space="preserve"> w sto</w:t>
            </w:r>
            <w:r w:rsidRPr="00E26EF6">
              <w:rPr>
                <w:rFonts w:ascii="Times New Roman" w:hAnsi="Times New Roman"/>
                <w:sz w:val="24"/>
              </w:rPr>
              <w:t>sownych przypadkach przypisane lub oszacowane</w:t>
            </w:r>
            <w:r w:rsidR="00E26EF6" w:rsidRPr="00E26EF6">
              <w:rPr>
                <w:rFonts w:ascii="Times New Roman" w:hAnsi="Times New Roman"/>
                <w:sz w:val="24"/>
              </w:rPr>
              <w:t xml:space="preserve"> w prz</w:t>
            </w:r>
            <w:r w:rsidRPr="00E26EF6">
              <w:rPr>
                <w:rFonts w:ascii="Times New Roman" w:hAnsi="Times New Roman"/>
                <w:sz w:val="24"/>
              </w:rPr>
              <w:t>ybliżeniu</w:t>
            </w:r>
            <w:r w:rsidR="00E26EF6" w:rsidRPr="00E26EF6">
              <w:rPr>
                <w:rFonts w:ascii="Times New Roman" w:hAnsi="Times New Roman"/>
                <w:sz w:val="24"/>
              </w:rPr>
              <w:t xml:space="preserve"> w opa</w:t>
            </w:r>
            <w:r w:rsidRPr="00E26EF6">
              <w:rPr>
                <w:rFonts w:ascii="Times New Roman" w:hAnsi="Times New Roman"/>
                <w:sz w:val="24"/>
              </w:rPr>
              <w:t>rciu</w:t>
            </w:r>
            <w:r w:rsidR="00E26EF6" w:rsidRPr="00E26EF6">
              <w:rPr>
                <w:rFonts w:ascii="Times New Roman" w:hAnsi="Times New Roman"/>
                <w:sz w:val="24"/>
              </w:rPr>
              <w:t xml:space="preserve"> o fac</w:t>
            </w:r>
            <w:r w:rsidRPr="00E26EF6">
              <w:rPr>
                <w:rFonts w:ascii="Times New Roman" w:hAnsi="Times New Roman"/>
                <w:sz w:val="24"/>
              </w:rPr>
              <w:t>howy osąd.</w:t>
            </w:r>
          </w:p>
        </w:tc>
      </w:tr>
      <w:tr w:rsidR="00915077" w:rsidRPr="00E26EF6" w14:paraId="0D514A2C" w14:textId="77777777" w:rsidTr="00672D2A">
        <w:tc>
          <w:tcPr>
            <w:tcW w:w="1101" w:type="dxa"/>
          </w:tcPr>
          <w:p w14:paraId="071C552A"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0160</w:t>
            </w:r>
          </w:p>
        </w:tc>
        <w:tc>
          <w:tcPr>
            <w:tcW w:w="8190" w:type="dxa"/>
          </w:tcPr>
          <w:p w14:paraId="64FBE49A"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RÓŻNICA Z TYTUŁU IPV</w:t>
            </w:r>
          </w:p>
          <w:p w14:paraId="2E7DD890" w14:textId="29FA1023" w:rsidR="00915077" w:rsidRPr="00E26EF6" w:rsidRDefault="00973707">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Suma wszystkich pozycji</w:t>
            </w:r>
            <w:r w:rsidR="00E26EF6" w:rsidRPr="00E26EF6">
              <w:rPr>
                <w:rStyle w:val="InstructionsTabelleberschrift"/>
                <w:rFonts w:ascii="Times New Roman" w:hAnsi="Times New Roman"/>
                <w:b w:val="0"/>
                <w:sz w:val="24"/>
                <w:u w:val="none"/>
              </w:rPr>
              <w:t xml:space="preserve"> i czy</w:t>
            </w:r>
            <w:r w:rsidRPr="00E26EF6">
              <w:rPr>
                <w:rStyle w:val="InstructionsTabelleberschrift"/>
                <w:rFonts w:ascii="Times New Roman" w:hAnsi="Times New Roman"/>
                <w:b w:val="0"/>
                <w:sz w:val="24"/>
                <w:u w:val="none"/>
              </w:rPr>
              <w:t>nników ryzyka dla nieskorygowanych kwot różnicy („różnica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IPV”) obliczonych na ostatni dzień miesiąca przypadający jak najbliżej dnia sprawozdawczego</w:t>
            </w:r>
            <w:r w:rsidR="00E26EF6" w:rsidRPr="00E26EF6">
              <w:rPr>
                <w:rStyle w:val="InstructionsTabelleberschrift"/>
                <w:rFonts w:ascii="Times New Roman" w:hAnsi="Times New Roman"/>
                <w:b w:val="0"/>
                <w:sz w:val="24"/>
                <w:u w:val="none"/>
              </w:rPr>
              <w:t xml:space="preserve"> w ram</w:t>
            </w:r>
            <w:r w:rsidRPr="00E26EF6">
              <w:rPr>
                <w:rStyle w:val="InstructionsTabelleberschrift"/>
                <w:rFonts w:ascii="Times New Roman" w:hAnsi="Times New Roman"/>
                <w:b w:val="0"/>
                <w:sz w:val="24"/>
                <w:u w:val="none"/>
              </w:rPr>
              <w:t>ach procesu niezależnej weryfikacji cen („IPV”) przeprowadzonego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105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8 CRR</w:t>
            </w:r>
            <w:r w:rsidR="00E26EF6" w:rsidRPr="00E26EF6">
              <w:rPr>
                <w:rStyle w:val="InstructionsTabelleberschrift"/>
                <w:rFonts w:ascii="Times New Roman" w:hAnsi="Times New Roman"/>
                <w:b w:val="0"/>
                <w:sz w:val="24"/>
                <w:u w:val="none"/>
              </w:rPr>
              <w:t xml:space="preserve"> w odn</w:t>
            </w:r>
            <w:r w:rsidRPr="00E26EF6">
              <w:rPr>
                <w:rStyle w:val="InstructionsTabelleberschrift"/>
                <w:rFonts w:ascii="Times New Roman" w:hAnsi="Times New Roman"/>
                <w:b w:val="0"/>
                <w:sz w:val="24"/>
                <w:u w:val="none"/>
              </w:rPr>
              <w:t xml:space="preserve">iesieniu do najlepszych dostępnych niezależnych danych dotyczących odnośnej pozycji lub odnośnego czynnika ryzyka. </w:t>
            </w:r>
          </w:p>
          <w:p w14:paraId="2CE9E661" w14:textId="08105FAA" w:rsidR="00915077" w:rsidRPr="00E26EF6" w:rsidRDefault="00973707">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Nieskorygowane kwoty różnicy dotyczą nieskorygowanych różnic między wycenami wygenerowanymi przez system transakcyjny</w:t>
            </w:r>
            <w:r w:rsidR="00E26EF6" w:rsidRPr="00E26EF6">
              <w:rPr>
                <w:rStyle w:val="InstructionsTabelleberschrift"/>
                <w:rFonts w:ascii="Times New Roman" w:hAnsi="Times New Roman"/>
                <w:b w:val="0"/>
                <w:sz w:val="24"/>
                <w:u w:val="none"/>
              </w:rPr>
              <w:t xml:space="preserve"> a wyc</w:t>
            </w:r>
            <w:r w:rsidRPr="00E26EF6">
              <w:rPr>
                <w:rStyle w:val="InstructionsTabelleberschrift"/>
                <w:rFonts w:ascii="Times New Roman" w:hAnsi="Times New Roman"/>
                <w:b w:val="0"/>
                <w:sz w:val="24"/>
                <w:u w:val="none"/>
              </w:rPr>
              <w:t xml:space="preserve">enami będącymi wynikiem comiesięcznego procesu IPV. </w:t>
            </w:r>
          </w:p>
          <w:p w14:paraId="2437D774" w14:textId="47768EE6" w:rsidR="00915077" w:rsidRPr="00E26EF6" w:rsidRDefault="004D2753">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W wyliczeniach różnicy</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IPV nie uwzględnia się żadnych skorygowanych kwot różnicy wykazanych</w:t>
            </w:r>
            <w:r w:rsidR="00E26EF6" w:rsidRPr="00E26EF6">
              <w:rPr>
                <w:rStyle w:val="InstructionsTabelleberschrift"/>
                <w:rFonts w:ascii="Times New Roman" w:hAnsi="Times New Roman"/>
                <w:b w:val="0"/>
                <w:sz w:val="24"/>
                <w:u w:val="none"/>
              </w:rPr>
              <w:t xml:space="preserve"> w ksi</w:t>
            </w:r>
            <w:r w:rsidRPr="00E26EF6">
              <w:rPr>
                <w:rStyle w:val="InstructionsTabelleberschrift"/>
                <w:rFonts w:ascii="Times New Roman" w:hAnsi="Times New Roman"/>
                <w:b w:val="0"/>
                <w:sz w:val="24"/>
                <w:u w:val="none"/>
              </w:rPr>
              <w:t>ęgach</w:t>
            </w:r>
            <w:r w:rsidR="00E26EF6" w:rsidRPr="00E26EF6">
              <w:rPr>
                <w:rStyle w:val="InstructionsTabelleberschrift"/>
                <w:rFonts w:ascii="Times New Roman" w:hAnsi="Times New Roman"/>
                <w:b w:val="0"/>
                <w:sz w:val="24"/>
                <w:u w:val="none"/>
              </w:rPr>
              <w:t xml:space="preserve"> i rej</w:t>
            </w:r>
            <w:r w:rsidRPr="00E26EF6">
              <w:rPr>
                <w:rStyle w:val="InstructionsTabelleberschrift"/>
                <w:rFonts w:ascii="Times New Roman" w:hAnsi="Times New Roman"/>
                <w:b w:val="0"/>
                <w:sz w:val="24"/>
                <w:u w:val="none"/>
              </w:rPr>
              <w:t>estrach instytucji na ostatni dzień danego miesiąca.</w:t>
            </w:r>
          </w:p>
        </w:tc>
      </w:tr>
      <w:tr w:rsidR="00915077" w:rsidRPr="00E26EF6" w14:paraId="312B8986" w14:textId="77777777" w:rsidTr="00672D2A">
        <w:tc>
          <w:tcPr>
            <w:tcW w:w="1101" w:type="dxa"/>
          </w:tcPr>
          <w:p w14:paraId="029722F9"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0170–0250</w:t>
            </w:r>
          </w:p>
        </w:tc>
        <w:tc>
          <w:tcPr>
            <w:tcW w:w="8190" w:type="dxa"/>
          </w:tcPr>
          <w:p w14:paraId="7B256BA4"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KOREKTY WARTOŚCI GODZIWEJ</w:t>
            </w:r>
          </w:p>
          <w:p w14:paraId="659F73D4" w14:textId="1E8AE414"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Korekty, czasami zwane również „rezerwami”, potencjalnie stosowane do przyjętej przez instytucję księgowej wartości godziwej, które dokonywane są</w:t>
            </w:r>
            <w:r w:rsidR="00E26EF6" w:rsidRPr="00E26EF6">
              <w:rPr>
                <w:rStyle w:val="InstructionsTabelleberschrift"/>
                <w:rFonts w:ascii="Times New Roman" w:hAnsi="Times New Roman"/>
                <w:b w:val="0"/>
                <w:sz w:val="24"/>
                <w:u w:val="none"/>
              </w:rPr>
              <w:t xml:space="preserve"> w ode</w:t>
            </w:r>
            <w:r w:rsidRPr="00E26EF6">
              <w:rPr>
                <w:rStyle w:val="InstructionsTabelleberschrift"/>
                <w:rFonts w:ascii="Times New Roman" w:hAnsi="Times New Roman"/>
                <w:b w:val="0"/>
                <w:sz w:val="24"/>
                <w:u w:val="none"/>
              </w:rPr>
              <w:t>rwaniu od modelu wyceny stosowanego do uzyskania wartości bilansowej (z wyłączeniem odroczonych zysków</w:t>
            </w:r>
            <w:r w:rsidR="00E26EF6" w:rsidRPr="00E26EF6">
              <w:rPr>
                <w:rStyle w:val="InstructionsTabelleberschrift"/>
                <w:rFonts w:ascii="Times New Roman" w:hAnsi="Times New Roman"/>
                <w:b w:val="0"/>
                <w:sz w:val="24"/>
                <w:u w:val="none"/>
              </w:rPr>
              <w:t xml:space="preserve"> i str</w:t>
            </w:r>
            <w:r w:rsidRPr="00E26EF6">
              <w:rPr>
                <w:rStyle w:val="InstructionsTabelleberschrift"/>
                <w:rFonts w:ascii="Times New Roman" w:hAnsi="Times New Roman"/>
                <w:b w:val="0"/>
                <w:sz w:val="24"/>
                <w:u w:val="none"/>
              </w:rPr>
              <w:t>at</w:t>
            </w:r>
            <w:r w:rsidR="00E26EF6" w:rsidRPr="00E26EF6">
              <w:rPr>
                <w:rStyle w:val="InstructionsTabelleberschrift"/>
                <w:rFonts w:ascii="Times New Roman" w:hAnsi="Times New Roman"/>
                <w:b w:val="0"/>
                <w:sz w:val="24"/>
                <w:u w:val="none"/>
              </w:rPr>
              <w:t xml:space="preserve"> z poc</w:t>
            </w:r>
            <w:r w:rsidRPr="00E26EF6">
              <w:rPr>
                <w:rStyle w:val="InstructionsTabelleberschrift"/>
                <w:rFonts w:ascii="Times New Roman" w:hAnsi="Times New Roman"/>
                <w:b w:val="0"/>
                <w:sz w:val="24"/>
                <w:u w:val="none"/>
              </w:rPr>
              <w:t>zątkowego ujęcia)</w:t>
            </w:r>
            <w:r w:rsidR="00E26EF6" w:rsidRPr="00E26EF6">
              <w:rPr>
                <w:rStyle w:val="InstructionsTabelleberschrift"/>
                <w:rFonts w:ascii="Times New Roman" w:hAnsi="Times New Roman"/>
                <w:b w:val="0"/>
                <w:sz w:val="24"/>
                <w:u w:val="none"/>
              </w:rPr>
              <w:t xml:space="preserve"> i któ</w:t>
            </w:r>
            <w:r w:rsidRPr="00E26EF6">
              <w:rPr>
                <w:rStyle w:val="InstructionsTabelleberschrift"/>
                <w:rFonts w:ascii="Times New Roman" w:hAnsi="Times New Roman"/>
                <w:b w:val="0"/>
                <w:sz w:val="24"/>
                <w:u w:val="none"/>
              </w:rPr>
              <w:t>re można wskazać jako środek mający zaradzić tym samym przyczynom niepewności wyceny,</w:t>
            </w:r>
            <w:r w:rsidR="00E26EF6" w:rsidRPr="00E26EF6">
              <w:rPr>
                <w:rStyle w:val="InstructionsTabelleberschrift"/>
                <w:rFonts w:ascii="Times New Roman" w:hAnsi="Times New Roman"/>
                <w:b w:val="0"/>
                <w:sz w:val="24"/>
                <w:u w:val="none"/>
              </w:rPr>
              <w:t xml:space="preserve"> z rac</w:t>
            </w:r>
            <w:r w:rsidRPr="00E26EF6">
              <w:rPr>
                <w:rStyle w:val="InstructionsTabelleberschrift"/>
                <w:rFonts w:ascii="Times New Roman" w:hAnsi="Times New Roman"/>
                <w:b w:val="0"/>
                <w:sz w:val="24"/>
                <w:u w:val="none"/>
              </w:rPr>
              <w:t>ji których zastosowano odnośną AVA. Mogą one odzwierciedlać czynniki ryzyka nieuwzględnione</w:t>
            </w:r>
            <w:r w:rsidR="00E26EF6" w:rsidRPr="00E26EF6">
              <w:rPr>
                <w:rStyle w:val="InstructionsTabelleberschrift"/>
                <w:rFonts w:ascii="Times New Roman" w:hAnsi="Times New Roman"/>
                <w:b w:val="0"/>
                <w:sz w:val="24"/>
                <w:u w:val="none"/>
              </w:rPr>
              <w:t xml:space="preserve"> w tec</w:t>
            </w:r>
            <w:r w:rsidRPr="00E26EF6">
              <w:rPr>
                <w:rStyle w:val="InstructionsTabelleberschrift"/>
                <w:rFonts w:ascii="Times New Roman" w:hAnsi="Times New Roman"/>
                <w:b w:val="0"/>
                <w:sz w:val="24"/>
                <w:u w:val="none"/>
              </w:rPr>
              <w:t>hnice wyceny, które mają postać premii</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ryzyka lub kosztów wyjścia i są zgodne</w:t>
            </w:r>
            <w:r w:rsidR="00E26EF6" w:rsidRPr="00E26EF6">
              <w:rPr>
                <w:rStyle w:val="InstructionsTabelleberschrift"/>
                <w:rFonts w:ascii="Times New Roman" w:hAnsi="Times New Roman"/>
                <w:b w:val="0"/>
                <w:sz w:val="24"/>
                <w:u w:val="none"/>
              </w:rPr>
              <w:t xml:space="preserve"> z def</w:t>
            </w:r>
            <w:r w:rsidRPr="00E26EF6">
              <w:rPr>
                <w:rStyle w:val="InstructionsTabelleberschrift"/>
                <w:rFonts w:ascii="Times New Roman" w:hAnsi="Times New Roman"/>
                <w:b w:val="0"/>
                <w:sz w:val="24"/>
                <w:u w:val="none"/>
              </w:rPr>
              <w:t>inicją wartości godziwej. Powinny mimo wszystko być brane pod uwagę przez uczestników rynku przy ustalaniu ceny. (MSSF 13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9 i MSSF 13 pkt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88)</w:t>
            </w:r>
          </w:p>
        </w:tc>
      </w:tr>
      <w:tr w:rsidR="00915077" w:rsidRPr="00E26EF6" w14:paraId="3EB0E701" w14:textId="77777777" w:rsidTr="00672D2A">
        <w:tc>
          <w:tcPr>
            <w:tcW w:w="1101" w:type="dxa"/>
          </w:tcPr>
          <w:p w14:paraId="6E4796AB"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0170</w:t>
            </w:r>
          </w:p>
        </w:tc>
        <w:tc>
          <w:tcPr>
            <w:tcW w:w="8190" w:type="dxa"/>
          </w:tcPr>
          <w:p w14:paraId="4B6C18C7" w14:textId="77777777" w:rsidR="00915077" w:rsidRPr="00E26EF6" w:rsidRDefault="00973707">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sz w:val="24"/>
              </w:rPr>
              <w:t>Z TYTUŁU NIEPEWNOŚCI DOTYCZĄCEJ CEN RYNKOWYCH</w:t>
            </w:r>
          </w:p>
          <w:p w14:paraId="0CFF7179" w14:textId="2E67DFA1"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Korekta stosowana do przyjętej przez instytucję wartości godziwej</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odzwierciedlenia premii</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ryzyka wynikającej</w:t>
            </w:r>
            <w:r w:rsidR="00E26EF6" w:rsidRPr="00E26EF6">
              <w:rPr>
                <w:rStyle w:val="InstructionsTabelleberschrift"/>
                <w:rFonts w:ascii="Times New Roman" w:hAnsi="Times New Roman"/>
                <w:b w:val="0"/>
                <w:sz w:val="24"/>
                <w:u w:val="none"/>
              </w:rPr>
              <w:t xml:space="preserve"> z ist</w:t>
            </w:r>
            <w:r w:rsidRPr="00E26EF6">
              <w:rPr>
                <w:rStyle w:val="InstructionsTabelleberschrift"/>
                <w:rFonts w:ascii="Times New Roman" w:hAnsi="Times New Roman"/>
                <w:b w:val="0"/>
                <w:sz w:val="24"/>
                <w:u w:val="none"/>
              </w:rPr>
              <w:t>nienia szeregu zaobserwowanych cen za równoważne instrumenty lub –</w:t>
            </w:r>
            <w:r w:rsidR="00E26EF6" w:rsidRPr="00E26EF6">
              <w:rPr>
                <w:rStyle w:val="InstructionsTabelleberschrift"/>
                <w:rFonts w:ascii="Times New Roman" w:hAnsi="Times New Roman"/>
                <w:b w:val="0"/>
                <w:sz w:val="24"/>
                <w:u w:val="none"/>
              </w:rPr>
              <w:t xml:space="preserve"> w odn</w:t>
            </w:r>
            <w:r w:rsidRPr="00E26EF6">
              <w:rPr>
                <w:rStyle w:val="InstructionsTabelleberschrift"/>
                <w:rFonts w:ascii="Times New Roman" w:hAnsi="Times New Roman"/>
                <w:b w:val="0"/>
                <w:sz w:val="24"/>
                <w:u w:val="none"/>
              </w:rPr>
              <w:t>iesieniu do parametrów rynkowych stanowiących dane wejściowe dla modelu wyceny – instrumenty,</w:t>
            </w:r>
            <w:r w:rsidR="00E26EF6" w:rsidRPr="00E26EF6">
              <w:rPr>
                <w:rStyle w:val="InstructionsTabelleberschrift"/>
                <w:rFonts w:ascii="Times New Roman" w:hAnsi="Times New Roman"/>
                <w:b w:val="0"/>
                <w:sz w:val="24"/>
                <w:u w:val="none"/>
              </w:rPr>
              <w:t xml:space="preserve"> w opa</w:t>
            </w:r>
            <w:r w:rsidRPr="00E26EF6">
              <w:rPr>
                <w:rStyle w:val="InstructionsTabelleberschrift"/>
                <w:rFonts w:ascii="Times New Roman" w:hAnsi="Times New Roman"/>
                <w:b w:val="0"/>
                <w:sz w:val="24"/>
                <w:u w:val="none"/>
              </w:rPr>
              <w:t>rciu</w:t>
            </w:r>
            <w:r w:rsidR="00E26EF6" w:rsidRPr="00E26EF6">
              <w:rPr>
                <w:rStyle w:val="InstructionsTabelleberschrift"/>
                <w:rFonts w:ascii="Times New Roman" w:hAnsi="Times New Roman"/>
                <w:b w:val="0"/>
                <w:sz w:val="24"/>
                <w:u w:val="none"/>
              </w:rPr>
              <w:t xml:space="preserve"> o któ</w:t>
            </w:r>
            <w:r w:rsidRPr="00E26EF6">
              <w:rPr>
                <w:rStyle w:val="InstructionsTabelleberschrift"/>
                <w:rFonts w:ascii="Times New Roman" w:hAnsi="Times New Roman"/>
                <w:b w:val="0"/>
                <w:sz w:val="24"/>
                <w:u w:val="none"/>
              </w:rPr>
              <w:t>re dokonano kalibracji danych wejściowych,</w:t>
            </w:r>
            <w:r w:rsidR="00E26EF6" w:rsidRPr="00E26EF6">
              <w:rPr>
                <w:rStyle w:val="InstructionsTabelleberschrift"/>
                <w:rFonts w:ascii="Times New Roman" w:hAnsi="Times New Roman"/>
                <w:b w:val="0"/>
                <w:sz w:val="24"/>
                <w:u w:val="none"/>
              </w:rPr>
              <w:t xml:space="preserve"> a zat</w:t>
            </w:r>
            <w:r w:rsidRPr="00E26EF6">
              <w:rPr>
                <w:rStyle w:val="InstructionsTabelleberschrift"/>
                <w:rFonts w:ascii="Times New Roman" w:hAnsi="Times New Roman"/>
                <w:b w:val="0"/>
                <w:sz w:val="24"/>
                <w:u w:val="none"/>
              </w:rPr>
              <w:t>em korektę tę można wskazać jako środek mający zaradzić tym samym przyczynom niepewności wyceny,</w:t>
            </w:r>
            <w:r w:rsidR="00E26EF6" w:rsidRPr="00E26EF6">
              <w:rPr>
                <w:rStyle w:val="InstructionsTabelleberschrift"/>
                <w:rFonts w:ascii="Times New Roman" w:hAnsi="Times New Roman"/>
                <w:b w:val="0"/>
                <w:sz w:val="24"/>
                <w:u w:val="none"/>
              </w:rPr>
              <w:t xml:space="preserve"> z rac</w:t>
            </w:r>
            <w:r w:rsidRPr="00E26EF6">
              <w:rPr>
                <w:rStyle w:val="InstructionsTabelleberschrift"/>
                <w:rFonts w:ascii="Times New Roman" w:hAnsi="Times New Roman"/>
                <w:b w:val="0"/>
                <w:sz w:val="24"/>
                <w:u w:val="none"/>
              </w:rPr>
              <w:t>ji których zastosowano AVA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 xml:space="preserve">ułu niepewności dotyczącej cen rynkowych. </w:t>
            </w:r>
          </w:p>
        </w:tc>
      </w:tr>
      <w:tr w:rsidR="00915077" w:rsidRPr="00E26EF6" w14:paraId="7B8B25D3" w14:textId="77777777" w:rsidTr="00672D2A">
        <w:tc>
          <w:tcPr>
            <w:tcW w:w="1101" w:type="dxa"/>
          </w:tcPr>
          <w:p w14:paraId="239AE61C"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0180</w:t>
            </w:r>
          </w:p>
        </w:tc>
        <w:tc>
          <w:tcPr>
            <w:tcW w:w="8190" w:type="dxa"/>
          </w:tcPr>
          <w:p w14:paraId="087A845C"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KOSZTÓW ZAMKNIĘCIA</w:t>
            </w:r>
          </w:p>
          <w:p w14:paraId="5F347C23" w14:textId="72778A1A"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Korekta stosowana do przyjętej przez instytucję wartości godziwej</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uwzględnienia faktu, że wyceny na poziomie pozycji nie odzwierciedlają ceny wyjścia dla danej pozycji lub danego portfela,</w:t>
            </w:r>
            <w:r w:rsidR="00E26EF6" w:rsidRPr="00E26EF6">
              <w:rPr>
                <w:rStyle w:val="InstructionsTabelleberschrift"/>
                <w:rFonts w:ascii="Times New Roman" w:hAnsi="Times New Roman"/>
                <w:b w:val="0"/>
                <w:sz w:val="24"/>
                <w:u w:val="none"/>
              </w:rPr>
              <w:t xml:space="preserve"> w szc</w:t>
            </w:r>
            <w:r w:rsidRPr="00E26EF6">
              <w:rPr>
                <w:rStyle w:val="InstructionsTabelleberschrift"/>
                <w:rFonts w:ascii="Times New Roman" w:hAnsi="Times New Roman"/>
                <w:b w:val="0"/>
                <w:sz w:val="24"/>
                <w:u w:val="none"/>
              </w:rPr>
              <w:t>zególności gdy wyceny te skalibrowano względem średniej ceny rynkowej,</w:t>
            </w:r>
            <w:r w:rsidR="00E26EF6" w:rsidRPr="00E26EF6">
              <w:rPr>
                <w:rStyle w:val="InstructionsTabelleberschrift"/>
                <w:rFonts w:ascii="Times New Roman" w:hAnsi="Times New Roman"/>
                <w:b w:val="0"/>
                <w:sz w:val="24"/>
                <w:u w:val="none"/>
              </w:rPr>
              <w:t xml:space="preserve"> a zat</w:t>
            </w:r>
            <w:r w:rsidRPr="00E26EF6">
              <w:rPr>
                <w:rStyle w:val="InstructionsTabelleberschrift"/>
                <w:rFonts w:ascii="Times New Roman" w:hAnsi="Times New Roman"/>
                <w:b w:val="0"/>
                <w:sz w:val="24"/>
                <w:u w:val="none"/>
              </w:rPr>
              <w:t>em korektę tę można wskazać jako środek mający zaradzić tym samym przyczynom niepewności wyceny,</w:t>
            </w:r>
            <w:r w:rsidR="00E26EF6" w:rsidRPr="00E26EF6">
              <w:rPr>
                <w:rStyle w:val="InstructionsTabelleberschrift"/>
                <w:rFonts w:ascii="Times New Roman" w:hAnsi="Times New Roman"/>
                <w:b w:val="0"/>
                <w:sz w:val="24"/>
                <w:u w:val="none"/>
              </w:rPr>
              <w:t xml:space="preserve"> z rac</w:t>
            </w:r>
            <w:r w:rsidRPr="00E26EF6">
              <w:rPr>
                <w:rStyle w:val="InstructionsTabelleberschrift"/>
                <w:rFonts w:ascii="Times New Roman" w:hAnsi="Times New Roman"/>
                <w:b w:val="0"/>
                <w:sz w:val="24"/>
                <w:u w:val="none"/>
              </w:rPr>
              <w:t xml:space="preserve">ji których zastosowano </w:t>
            </w: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kosztów zamknięcia</w:t>
            </w:r>
            <w:r w:rsidRPr="00E26EF6">
              <w:rPr>
                <w:rStyle w:val="InstructionsTabelleberschrift"/>
                <w:rFonts w:ascii="Times New Roman" w:hAnsi="Times New Roman"/>
                <w:b w:val="0"/>
                <w:sz w:val="24"/>
                <w:u w:val="none"/>
              </w:rPr>
              <w:t>.</w:t>
            </w:r>
          </w:p>
        </w:tc>
      </w:tr>
      <w:tr w:rsidR="00915077" w:rsidRPr="00E26EF6" w14:paraId="0056FFF2" w14:textId="77777777" w:rsidTr="00672D2A">
        <w:tc>
          <w:tcPr>
            <w:tcW w:w="1101" w:type="dxa"/>
          </w:tcPr>
          <w:p w14:paraId="24370B10"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0190</w:t>
            </w:r>
          </w:p>
        </w:tc>
        <w:tc>
          <w:tcPr>
            <w:tcW w:w="8190" w:type="dxa"/>
          </w:tcPr>
          <w:p w14:paraId="6EB01E94"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RYZYKA MODELU</w:t>
            </w:r>
          </w:p>
          <w:p w14:paraId="759215B0" w14:textId="0A0A801F"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Korekta stosowana do przyjętej przez instytucję wartości godziwej</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odzwierciedlenia czynników rynkowych lub produktowych, które nie zostały uwzględnione przez model stosowany do obliczania dziennych wartości pozycji</w:t>
            </w:r>
            <w:r w:rsidR="00E26EF6" w:rsidRPr="00E26EF6">
              <w:rPr>
                <w:rStyle w:val="InstructionsTabelleberschrift"/>
                <w:rFonts w:ascii="Times New Roman" w:hAnsi="Times New Roman"/>
                <w:b w:val="0"/>
                <w:sz w:val="24"/>
                <w:u w:val="none"/>
              </w:rPr>
              <w:t xml:space="preserve"> i ryz</w:t>
            </w:r>
            <w:r w:rsidRPr="00E26EF6">
              <w:rPr>
                <w:rStyle w:val="InstructionsTabelleberschrift"/>
                <w:rFonts w:ascii="Times New Roman" w:hAnsi="Times New Roman"/>
                <w:b w:val="0"/>
                <w:sz w:val="24"/>
                <w:u w:val="none"/>
              </w:rPr>
              <w:t>yka („model wyceny”), lub</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odzwierciedlenia odpowiedniego poziomu ostrożności ze względu na niepewność wynikającą</w:t>
            </w:r>
            <w:r w:rsidR="00E26EF6" w:rsidRPr="00E26EF6">
              <w:rPr>
                <w:rStyle w:val="InstructionsTabelleberschrift"/>
                <w:rFonts w:ascii="Times New Roman" w:hAnsi="Times New Roman"/>
                <w:b w:val="0"/>
                <w:sz w:val="24"/>
                <w:u w:val="none"/>
              </w:rPr>
              <w:t xml:space="preserve"> z ist</w:t>
            </w:r>
            <w:r w:rsidRPr="00E26EF6">
              <w:rPr>
                <w:rStyle w:val="InstructionsTabelleberschrift"/>
                <w:rFonts w:ascii="Times New Roman" w:hAnsi="Times New Roman"/>
                <w:b w:val="0"/>
                <w:sz w:val="24"/>
                <w:u w:val="none"/>
              </w:rPr>
              <w:t>nienia szeregu alternatywnych poprawnych modeli</w:t>
            </w:r>
            <w:r w:rsidR="00E26EF6" w:rsidRPr="00E26EF6">
              <w:rPr>
                <w:rStyle w:val="InstructionsTabelleberschrift"/>
                <w:rFonts w:ascii="Times New Roman" w:hAnsi="Times New Roman"/>
                <w:b w:val="0"/>
                <w:sz w:val="24"/>
                <w:u w:val="none"/>
              </w:rPr>
              <w:t xml:space="preserve"> i kal</w:t>
            </w:r>
            <w:r w:rsidRPr="00E26EF6">
              <w:rPr>
                <w:rStyle w:val="InstructionsTabelleberschrift"/>
                <w:rFonts w:ascii="Times New Roman" w:hAnsi="Times New Roman"/>
                <w:b w:val="0"/>
                <w:sz w:val="24"/>
                <w:u w:val="none"/>
              </w:rPr>
              <w:t>ibracji modelu,</w:t>
            </w:r>
            <w:r w:rsidR="00E26EF6" w:rsidRPr="00E26EF6">
              <w:rPr>
                <w:rStyle w:val="InstructionsTabelleberschrift"/>
                <w:rFonts w:ascii="Times New Roman" w:hAnsi="Times New Roman"/>
                <w:b w:val="0"/>
                <w:sz w:val="24"/>
                <w:u w:val="none"/>
              </w:rPr>
              <w:t xml:space="preserve"> a zat</w:t>
            </w:r>
            <w:r w:rsidRPr="00E26EF6">
              <w:rPr>
                <w:rStyle w:val="InstructionsTabelleberschrift"/>
                <w:rFonts w:ascii="Times New Roman" w:hAnsi="Times New Roman"/>
                <w:b w:val="0"/>
                <w:sz w:val="24"/>
                <w:u w:val="none"/>
              </w:rPr>
              <w:t>em korektę tę można wskazać jako środek mający zaradzić tym samym przyczynom niepewności wyceny,</w:t>
            </w:r>
            <w:r w:rsidR="00E26EF6" w:rsidRPr="00E26EF6">
              <w:rPr>
                <w:rStyle w:val="InstructionsTabelleberschrift"/>
                <w:rFonts w:ascii="Times New Roman" w:hAnsi="Times New Roman"/>
                <w:b w:val="0"/>
                <w:sz w:val="24"/>
                <w:u w:val="none"/>
              </w:rPr>
              <w:t xml:space="preserve"> z rac</w:t>
            </w:r>
            <w:r w:rsidRPr="00E26EF6">
              <w:rPr>
                <w:rStyle w:val="InstructionsTabelleberschrift"/>
                <w:rFonts w:ascii="Times New Roman" w:hAnsi="Times New Roman"/>
                <w:b w:val="0"/>
                <w:sz w:val="24"/>
                <w:u w:val="none"/>
              </w:rPr>
              <w:t xml:space="preserve">ji których zastosowano </w:t>
            </w: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ryzyka modelu</w:t>
            </w:r>
            <w:r w:rsidRPr="00E26EF6">
              <w:rPr>
                <w:rStyle w:val="InstructionsTabelleberschrift"/>
                <w:rFonts w:ascii="Times New Roman" w:hAnsi="Times New Roman"/>
                <w:b w:val="0"/>
                <w:sz w:val="24"/>
                <w:u w:val="none"/>
              </w:rPr>
              <w:t>.</w:t>
            </w:r>
          </w:p>
        </w:tc>
      </w:tr>
      <w:tr w:rsidR="00915077" w:rsidRPr="00E26EF6" w14:paraId="1AB87AA2" w14:textId="77777777" w:rsidTr="00672D2A">
        <w:tc>
          <w:tcPr>
            <w:tcW w:w="1101" w:type="dxa"/>
          </w:tcPr>
          <w:p w14:paraId="24A595E5"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0200</w:t>
            </w:r>
          </w:p>
        </w:tc>
        <w:tc>
          <w:tcPr>
            <w:tcW w:w="8190" w:type="dxa"/>
          </w:tcPr>
          <w:p w14:paraId="7F7447C2"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POZYCJI O DUŻEJ KONCENTRACJI</w:t>
            </w:r>
          </w:p>
          <w:p w14:paraId="2AF1D656" w14:textId="521156F1"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Korekta stosowana do przyjętej przez instytucję wartości godziwej</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odzwierciedlenia faktu, że zagregowana pozycja utrzymywana przez instytucję jest większa niż normalna wielkość obrotu lub większa niż wielkość pozycji stanowiącej podstawę obserwowalnych kwotowań lub transakcji, które są wykorzystywane do kalibracji ceny lub danych wejściowych stosowanych</w:t>
            </w:r>
            <w:r w:rsidR="00E26EF6" w:rsidRPr="00E26EF6">
              <w:rPr>
                <w:rStyle w:val="InstructionsTabelleberschrift"/>
                <w:rFonts w:ascii="Times New Roman" w:hAnsi="Times New Roman"/>
                <w:b w:val="0"/>
                <w:sz w:val="24"/>
                <w:u w:val="none"/>
              </w:rPr>
              <w:t xml:space="preserve"> w mod</w:t>
            </w:r>
            <w:r w:rsidRPr="00E26EF6">
              <w:rPr>
                <w:rStyle w:val="InstructionsTabelleberschrift"/>
                <w:rFonts w:ascii="Times New Roman" w:hAnsi="Times New Roman"/>
                <w:b w:val="0"/>
                <w:sz w:val="24"/>
                <w:u w:val="none"/>
              </w:rPr>
              <w:t>elu wyceny,</w:t>
            </w:r>
            <w:r w:rsidR="00E26EF6" w:rsidRPr="00E26EF6">
              <w:rPr>
                <w:rStyle w:val="InstructionsTabelleberschrift"/>
                <w:rFonts w:ascii="Times New Roman" w:hAnsi="Times New Roman"/>
                <w:b w:val="0"/>
                <w:sz w:val="24"/>
                <w:u w:val="none"/>
              </w:rPr>
              <w:t xml:space="preserve"> a zat</w:t>
            </w:r>
            <w:r w:rsidRPr="00E26EF6">
              <w:rPr>
                <w:rStyle w:val="InstructionsTabelleberschrift"/>
                <w:rFonts w:ascii="Times New Roman" w:hAnsi="Times New Roman"/>
                <w:b w:val="0"/>
                <w:sz w:val="24"/>
                <w:u w:val="none"/>
              </w:rPr>
              <w:t>em korektę tę można wskazać jako środek mający zaradzić tym samym przyczynom niepewności wyceny,</w:t>
            </w:r>
            <w:r w:rsidR="00E26EF6" w:rsidRPr="00E26EF6">
              <w:rPr>
                <w:rStyle w:val="InstructionsTabelleberschrift"/>
                <w:rFonts w:ascii="Times New Roman" w:hAnsi="Times New Roman"/>
                <w:b w:val="0"/>
                <w:sz w:val="24"/>
                <w:u w:val="none"/>
              </w:rPr>
              <w:t xml:space="preserve"> z rac</w:t>
            </w:r>
            <w:r w:rsidRPr="00E26EF6">
              <w:rPr>
                <w:rStyle w:val="InstructionsTabelleberschrift"/>
                <w:rFonts w:ascii="Times New Roman" w:hAnsi="Times New Roman"/>
                <w:b w:val="0"/>
                <w:sz w:val="24"/>
                <w:u w:val="none"/>
              </w:rPr>
              <w:t xml:space="preserve">ji których zastosowano </w:t>
            </w:r>
            <w:r w:rsidRPr="00E26EF6">
              <w:rPr>
                <w:rFonts w:ascii="Times New Roman" w:hAnsi="Times New Roman"/>
                <w:sz w:val="24"/>
              </w:rPr>
              <w:t>AVA</w:t>
            </w:r>
            <w:r w:rsidR="00E26EF6" w:rsidRPr="00E26EF6">
              <w:rPr>
                <w:rFonts w:ascii="Times New Roman" w:hAnsi="Times New Roman"/>
                <w:sz w:val="24"/>
              </w:rPr>
              <w:t xml:space="preserve"> z tyt</w:t>
            </w:r>
            <w:r w:rsidRPr="00E26EF6">
              <w:rPr>
                <w:rFonts w:ascii="Times New Roman" w:hAnsi="Times New Roman"/>
                <w:sz w:val="24"/>
              </w:rPr>
              <w:t>ułu pozycji</w:t>
            </w:r>
            <w:r w:rsidR="00E26EF6" w:rsidRPr="00E26EF6">
              <w:rPr>
                <w:rFonts w:ascii="Times New Roman" w:hAnsi="Times New Roman"/>
                <w:sz w:val="24"/>
              </w:rPr>
              <w:t xml:space="preserve"> o duż</w:t>
            </w:r>
            <w:r w:rsidRPr="00E26EF6">
              <w:rPr>
                <w:rFonts w:ascii="Times New Roman" w:hAnsi="Times New Roman"/>
                <w:sz w:val="24"/>
              </w:rPr>
              <w:t>ej koncentracji</w:t>
            </w:r>
            <w:r w:rsidRPr="00E26EF6">
              <w:rPr>
                <w:rStyle w:val="InstructionsTabelleberschrift"/>
                <w:rFonts w:ascii="Times New Roman" w:hAnsi="Times New Roman"/>
                <w:b w:val="0"/>
                <w:sz w:val="24"/>
                <w:u w:val="none"/>
              </w:rPr>
              <w:t xml:space="preserve">. </w:t>
            </w:r>
          </w:p>
        </w:tc>
      </w:tr>
      <w:tr w:rsidR="00915077" w:rsidRPr="00E26EF6" w14:paraId="67D131A0" w14:textId="77777777" w:rsidTr="00672D2A">
        <w:tc>
          <w:tcPr>
            <w:tcW w:w="1101" w:type="dxa"/>
          </w:tcPr>
          <w:p w14:paraId="32456714"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0210</w:t>
            </w:r>
          </w:p>
        </w:tc>
        <w:tc>
          <w:tcPr>
            <w:tcW w:w="8190" w:type="dxa"/>
          </w:tcPr>
          <w:p w14:paraId="2B903605"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NIEZREALIZOWANYCH MARŻ KREDYTOWYCH</w:t>
            </w:r>
          </w:p>
          <w:p w14:paraId="567529CB" w14:textId="72711728"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Style w:val="InstructionsTabelleberschrift"/>
                <w:rFonts w:ascii="Times New Roman" w:hAnsi="Times New Roman"/>
                <w:b w:val="0"/>
                <w:sz w:val="24"/>
                <w:u w:val="none"/>
              </w:rPr>
              <w:t>Korekta stosowana do przyjętej przez instytucję wartości godziwej</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uwzględnienia oczekiwanych strat</w:t>
            </w:r>
            <w:r w:rsidR="00E26EF6" w:rsidRPr="00E26EF6">
              <w:rPr>
                <w:rStyle w:val="InstructionsTabelleberschrift"/>
                <w:rFonts w:ascii="Times New Roman" w:hAnsi="Times New Roman"/>
                <w:b w:val="0"/>
                <w:sz w:val="24"/>
                <w:u w:val="none"/>
              </w:rPr>
              <w:t xml:space="preserve"> z pow</w:t>
            </w:r>
            <w:r w:rsidRPr="00E26EF6">
              <w:rPr>
                <w:rStyle w:val="InstructionsTabelleberschrift"/>
                <w:rFonts w:ascii="Times New Roman" w:hAnsi="Times New Roman"/>
                <w:b w:val="0"/>
                <w:sz w:val="24"/>
                <w:u w:val="none"/>
              </w:rPr>
              <w:t>odu niewykonania przez kontrahenta zobowiązania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pozycji</w:t>
            </w:r>
            <w:r w:rsidR="00E26EF6" w:rsidRPr="00E26EF6">
              <w:rPr>
                <w:rStyle w:val="InstructionsTabelleberschrift"/>
                <w:rFonts w:ascii="Times New Roman" w:hAnsi="Times New Roman"/>
                <w:b w:val="0"/>
                <w:sz w:val="24"/>
                <w:u w:val="none"/>
              </w:rPr>
              <w:t xml:space="preserve"> w ins</w:t>
            </w:r>
            <w:r w:rsidRPr="00E26EF6">
              <w:rPr>
                <w:rStyle w:val="InstructionsTabelleberschrift"/>
                <w:rFonts w:ascii="Times New Roman" w:hAnsi="Times New Roman"/>
                <w:b w:val="0"/>
                <w:sz w:val="24"/>
                <w:u w:val="none"/>
              </w:rPr>
              <w:t>trumentach pochodnych (tzn. całkowita korekta wyceny kredytowej („CVA”) na poziomie instytucji).</w:t>
            </w:r>
          </w:p>
        </w:tc>
      </w:tr>
      <w:tr w:rsidR="00915077" w:rsidRPr="00E26EF6" w14:paraId="270981FF" w14:textId="77777777" w:rsidTr="00672D2A">
        <w:tc>
          <w:tcPr>
            <w:tcW w:w="1101" w:type="dxa"/>
          </w:tcPr>
          <w:p w14:paraId="5F69C201"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0220</w:t>
            </w:r>
          </w:p>
        </w:tc>
        <w:tc>
          <w:tcPr>
            <w:tcW w:w="8190" w:type="dxa"/>
          </w:tcPr>
          <w:p w14:paraId="77449C5E"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KOSZTÓW INWESTYCJI I FINANSOWANIA</w:t>
            </w:r>
          </w:p>
          <w:p w14:paraId="1E2FB398" w14:textId="6A320ED8"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Korekta stosowana do przyjętej przez instytucję wartości godziwej tytułem kompensaty,</w:t>
            </w:r>
            <w:r w:rsidR="00E26EF6" w:rsidRPr="00E26EF6">
              <w:rPr>
                <w:rStyle w:val="InstructionsTabelleberschrift"/>
                <w:rFonts w:ascii="Times New Roman" w:hAnsi="Times New Roman"/>
                <w:b w:val="0"/>
                <w:sz w:val="24"/>
                <w:u w:val="none"/>
              </w:rPr>
              <w:t xml:space="preserve"> w prz</w:t>
            </w:r>
            <w:r w:rsidRPr="00E26EF6">
              <w:rPr>
                <w:rStyle w:val="InstructionsTabelleberschrift"/>
                <w:rFonts w:ascii="Times New Roman" w:hAnsi="Times New Roman"/>
                <w:b w:val="0"/>
                <w:sz w:val="24"/>
                <w:u w:val="none"/>
              </w:rPr>
              <w:t>ypadku gdy modele wyceny nie odzwierciedlają</w:t>
            </w:r>
            <w:r w:rsidR="00E26EF6" w:rsidRPr="00E26EF6">
              <w:rPr>
                <w:rStyle w:val="InstructionsTabelleberschrift"/>
                <w:rFonts w:ascii="Times New Roman" w:hAnsi="Times New Roman"/>
                <w:b w:val="0"/>
                <w:sz w:val="24"/>
                <w:u w:val="none"/>
              </w:rPr>
              <w:t xml:space="preserve"> w peł</w:t>
            </w:r>
            <w:r w:rsidRPr="00E26EF6">
              <w:rPr>
                <w:rStyle w:val="InstructionsTabelleberschrift"/>
                <w:rFonts w:ascii="Times New Roman" w:hAnsi="Times New Roman"/>
                <w:b w:val="0"/>
                <w:sz w:val="24"/>
                <w:u w:val="none"/>
              </w:rPr>
              <w:t>ni kosztów finansowania, które uczestnicy rynku uwzględniliby</w:t>
            </w:r>
            <w:r w:rsidR="00E26EF6" w:rsidRPr="00E26EF6">
              <w:rPr>
                <w:rStyle w:val="InstructionsTabelleberschrift"/>
                <w:rFonts w:ascii="Times New Roman" w:hAnsi="Times New Roman"/>
                <w:b w:val="0"/>
                <w:sz w:val="24"/>
                <w:u w:val="none"/>
              </w:rPr>
              <w:t xml:space="preserve"> w cen</w:t>
            </w:r>
            <w:r w:rsidRPr="00E26EF6">
              <w:rPr>
                <w:rStyle w:val="InstructionsTabelleberschrift"/>
                <w:rFonts w:ascii="Times New Roman" w:hAnsi="Times New Roman"/>
                <w:b w:val="0"/>
                <w:sz w:val="24"/>
                <w:u w:val="none"/>
              </w:rPr>
              <w:t>ie wyjścia dla pozycji lub portfela (tzn. całkowita korekta wyceny</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kosztów finansowania na poziomie instytucji, jeżeli instytucja oblicza tego rodzaju korektę, lub, alternatywnie, równorzędna korekta).</w:t>
            </w:r>
          </w:p>
        </w:tc>
      </w:tr>
      <w:tr w:rsidR="00915077" w:rsidRPr="00E26EF6" w14:paraId="2C092C7F" w14:textId="77777777" w:rsidTr="00672D2A">
        <w:tc>
          <w:tcPr>
            <w:tcW w:w="1101" w:type="dxa"/>
          </w:tcPr>
          <w:p w14:paraId="32CCDAD2"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0230</w:t>
            </w:r>
          </w:p>
        </w:tc>
        <w:tc>
          <w:tcPr>
            <w:tcW w:w="8190" w:type="dxa"/>
          </w:tcPr>
          <w:p w14:paraId="77F37331"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PRZYSZŁYCH KOSZTÓW ADMINISTRACYJNYCH</w:t>
            </w:r>
          </w:p>
          <w:p w14:paraId="519714E3" w14:textId="1EC5FA50"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Korekta stosowana do przyjętej przez instytucję wartości godziwej</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odzwierciedlenia kosztów administracyjnych poniesionych</w:t>
            </w:r>
            <w:r w:rsidR="00E26EF6" w:rsidRPr="00E26EF6">
              <w:rPr>
                <w:rStyle w:val="InstructionsTabelleberschrift"/>
                <w:rFonts w:ascii="Times New Roman" w:hAnsi="Times New Roman"/>
                <w:b w:val="0"/>
                <w:sz w:val="24"/>
                <w:u w:val="none"/>
              </w:rPr>
              <w:t xml:space="preserve"> w zwi</w:t>
            </w:r>
            <w:r w:rsidRPr="00E26EF6">
              <w:rPr>
                <w:rStyle w:val="InstructionsTabelleberschrift"/>
                <w:rFonts w:ascii="Times New Roman" w:hAnsi="Times New Roman"/>
                <w:b w:val="0"/>
                <w:sz w:val="24"/>
                <w:u w:val="none"/>
              </w:rPr>
              <w:t>ązku</w:t>
            </w:r>
            <w:r w:rsidR="00E26EF6" w:rsidRPr="00E26EF6">
              <w:rPr>
                <w:rStyle w:val="InstructionsTabelleberschrift"/>
                <w:rFonts w:ascii="Times New Roman" w:hAnsi="Times New Roman"/>
                <w:b w:val="0"/>
                <w:sz w:val="24"/>
                <w:u w:val="none"/>
              </w:rPr>
              <w:t xml:space="preserve"> z por</w:t>
            </w:r>
            <w:r w:rsidRPr="00E26EF6">
              <w:rPr>
                <w:rStyle w:val="InstructionsTabelleberschrift"/>
                <w:rFonts w:ascii="Times New Roman" w:hAnsi="Times New Roman"/>
                <w:b w:val="0"/>
                <w:sz w:val="24"/>
                <w:u w:val="none"/>
              </w:rPr>
              <w:t xml:space="preserve">tfelem lub pozycją, lecz </w:t>
            </w:r>
            <w:proofErr w:type="gramStart"/>
            <w:r w:rsidRPr="00E26EF6">
              <w:rPr>
                <w:rStyle w:val="InstructionsTabelleberschrift"/>
                <w:rFonts w:ascii="Times New Roman" w:hAnsi="Times New Roman"/>
                <w:b w:val="0"/>
                <w:sz w:val="24"/>
                <w:u w:val="none"/>
              </w:rPr>
              <w:t>nie uwzględnionych</w:t>
            </w:r>
            <w:proofErr w:type="gramEnd"/>
            <w:r w:rsidR="00E26EF6" w:rsidRPr="00E26EF6">
              <w:rPr>
                <w:rStyle w:val="InstructionsTabelleberschrift"/>
                <w:rFonts w:ascii="Times New Roman" w:hAnsi="Times New Roman"/>
                <w:b w:val="0"/>
                <w:sz w:val="24"/>
                <w:u w:val="none"/>
              </w:rPr>
              <w:t xml:space="preserve"> w mod</w:t>
            </w:r>
            <w:r w:rsidRPr="00E26EF6">
              <w:rPr>
                <w:rStyle w:val="InstructionsTabelleberschrift"/>
                <w:rFonts w:ascii="Times New Roman" w:hAnsi="Times New Roman"/>
                <w:b w:val="0"/>
                <w:sz w:val="24"/>
                <w:u w:val="none"/>
              </w:rPr>
              <w:t>elu wyceny lub cenach stosowanych do kalibracji danych wejściowych tego modelu,</w:t>
            </w:r>
            <w:r w:rsidR="00E26EF6" w:rsidRPr="00E26EF6">
              <w:rPr>
                <w:rStyle w:val="InstructionsTabelleberschrift"/>
                <w:rFonts w:ascii="Times New Roman" w:hAnsi="Times New Roman"/>
                <w:b w:val="0"/>
                <w:sz w:val="24"/>
                <w:u w:val="none"/>
              </w:rPr>
              <w:t xml:space="preserve"> a zat</w:t>
            </w:r>
            <w:r w:rsidRPr="00E26EF6">
              <w:rPr>
                <w:rStyle w:val="InstructionsTabelleberschrift"/>
                <w:rFonts w:ascii="Times New Roman" w:hAnsi="Times New Roman"/>
                <w:b w:val="0"/>
                <w:sz w:val="24"/>
                <w:u w:val="none"/>
              </w:rPr>
              <w:t>em korektę tę można wskazać jako środek mający zaradzić tym samym przyczynom niepewności wyceny,</w:t>
            </w:r>
            <w:r w:rsidR="00E26EF6" w:rsidRPr="00E26EF6">
              <w:rPr>
                <w:rStyle w:val="InstructionsTabelleberschrift"/>
                <w:rFonts w:ascii="Times New Roman" w:hAnsi="Times New Roman"/>
                <w:b w:val="0"/>
                <w:sz w:val="24"/>
                <w:u w:val="none"/>
              </w:rPr>
              <w:t xml:space="preserve"> z rac</w:t>
            </w:r>
            <w:r w:rsidRPr="00E26EF6">
              <w:rPr>
                <w:rStyle w:val="InstructionsTabelleberschrift"/>
                <w:rFonts w:ascii="Times New Roman" w:hAnsi="Times New Roman"/>
                <w:b w:val="0"/>
                <w:sz w:val="24"/>
                <w:u w:val="none"/>
              </w:rPr>
              <w:t>ji których zastosowano AVA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przyszłych kosztów administracyjnych.</w:t>
            </w:r>
          </w:p>
        </w:tc>
      </w:tr>
      <w:tr w:rsidR="00915077" w:rsidRPr="00E26EF6" w14:paraId="06CBFC6F" w14:textId="77777777" w:rsidTr="00672D2A">
        <w:tc>
          <w:tcPr>
            <w:tcW w:w="1101" w:type="dxa"/>
          </w:tcPr>
          <w:p w14:paraId="76FCCA6B"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0240</w:t>
            </w:r>
          </w:p>
        </w:tc>
        <w:tc>
          <w:tcPr>
            <w:tcW w:w="8190" w:type="dxa"/>
          </w:tcPr>
          <w:p w14:paraId="5AEE533F"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PRZEDTERMINOWEGO ROZWIĄZANIA UMOWY</w:t>
            </w:r>
          </w:p>
          <w:p w14:paraId="03FC72C7" w14:textId="6747D1F2"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Korekty stosowane do przyjętej przez instytucję wartości godziwej</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odzwierciedlenia oczekiwań związanych</w:t>
            </w:r>
            <w:r w:rsidR="00E26EF6" w:rsidRPr="00E26EF6">
              <w:rPr>
                <w:rStyle w:val="InstructionsTabelleberschrift"/>
                <w:rFonts w:ascii="Times New Roman" w:hAnsi="Times New Roman"/>
                <w:b w:val="0"/>
                <w:sz w:val="24"/>
                <w:u w:val="none"/>
              </w:rPr>
              <w:t xml:space="preserve"> z prz</w:t>
            </w:r>
            <w:r w:rsidRPr="00E26EF6">
              <w:rPr>
                <w:rStyle w:val="InstructionsTabelleberschrift"/>
                <w:rFonts w:ascii="Times New Roman" w:hAnsi="Times New Roman"/>
                <w:b w:val="0"/>
                <w:sz w:val="24"/>
                <w:u w:val="none"/>
              </w:rPr>
              <w:t>ewidzianym</w:t>
            </w:r>
            <w:r w:rsidR="00E26EF6" w:rsidRPr="00E26EF6">
              <w:rPr>
                <w:rStyle w:val="InstructionsTabelleberschrift"/>
                <w:rFonts w:ascii="Times New Roman" w:hAnsi="Times New Roman"/>
                <w:b w:val="0"/>
                <w:sz w:val="24"/>
                <w:u w:val="none"/>
              </w:rPr>
              <w:t xml:space="preserve"> w umo</w:t>
            </w:r>
            <w:r w:rsidRPr="00E26EF6">
              <w:rPr>
                <w:rStyle w:val="InstructionsTabelleberschrift"/>
                <w:rFonts w:ascii="Times New Roman" w:hAnsi="Times New Roman"/>
                <w:b w:val="0"/>
                <w:sz w:val="24"/>
                <w:u w:val="none"/>
              </w:rPr>
              <w:t>wie lub pozaumownym przedterminowym rozwiązaniem umowy, których nie odzwierciedlono</w:t>
            </w:r>
            <w:r w:rsidR="00E26EF6" w:rsidRPr="00E26EF6">
              <w:rPr>
                <w:rStyle w:val="InstructionsTabelleberschrift"/>
                <w:rFonts w:ascii="Times New Roman" w:hAnsi="Times New Roman"/>
                <w:b w:val="0"/>
                <w:sz w:val="24"/>
                <w:u w:val="none"/>
              </w:rPr>
              <w:t xml:space="preserve"> w mod</w:t>
            </w:r>
            <w:r w:rsidRPr="00E26EF6">
              <w:rPr>
                <w:rStyle w:val="InstructionsTabelleberschrift"/>
                <w:rFonts w:ascii="Times New Roman" w:hAnsi="Times New Roman"/>
                <w:b w:val="0"/>
                <w:sz w:val="24"/>
                <w:u w:val="none"/>
              </w:rPr>
              <w:t>elu wyceny,</w:t>
            </w:r>
            <w:r w:rsidR="00E26EF6" w:rsidRPr="00E26EF6">
              <w:rPr>
                <w:rStyle w:val="InstructionsTabelleberschrift"/>
                <w:rFonts w:ascii="Times New Roman" w:hAnsi="Times New Roman"/>
                <w:b w:val="0"/>
                <w:sz w:val="24"/>
                <w:u w:val="none"/>
              </w:rPr>
              <w:t xml:space="preserve"> a zat</w:t>
            </w:r>
            <w:r w:rsidRPr="00E26EF6">
              <w:rPr>
                <w:rStyle w:val="InstructionsTabelleberschrift"/>
                <w:rFonts w:ascii="Times New Roman" w:hAnsi="Times New Roman"/>
                <w:b w:val="0"/>
                <w:sz w:val="24"/>
                <w:u w:val="none"/>
              </w:rPr>
              <w:t>em korekty te można wskazać jako środek mający zaradzić tym samym przyczynom niepewności wyceny,</w:t>
            </w:r>
            <w:r w:rsidR="00E26EF6" w:rsidRPr="00E26EF6">
              <w:rPr>
                <w:rStyle w:val="InstructionsTabelleberschrift"/>
                <w:rFonts w:ascii="Times New Roman" w:hAnsi="Times New Roman"/>
                <w:b w:val="0"/>
                <w:sz w:val="24"/>
                <w:u w:val="none"/>
              </w:rPr>
              <w:t xml:space="preserve"> z rac</w:t>
            </w:r>
            <w:r w:rsidRPr="00E26EF6">
              <w:rPr>
                <w:rStyle w:val="InstructionsTabelleberschrift"/>
                <w:rFonts w:ascii="Times New Roman" w:hAnsi="Times New Roman"/>
                <w:b w:val="0"/>
                <w:sz w:val="24"/>
                <w:u w:val="none"/>
              </w:rPr>
              <w:t>ji których zastosowano AVA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przedterminowego rozwiązania umowy.</w:t>
            </w:r>
          </w:p>
        </w:tc>
      </w:tr>
      <w:tr w:rsidR="00915077" w:rsidRPr="00E26EF6" w14:paraId="6D997EE3" w14:textId="77777777" w:rsidTr="00672D2A">
        <w:tc>
          <w:tcPr>
            <w:tcW w:w="1101" w:type="dxa"/>
          </w:tcPr>
          <w:p w14:paraId="5A9FF462"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0250</w:t>
            </w:r>
          </w:p>
        </w:tc>
        <w:tc>
          <w:tcPr>
            <w:tcW w:w="8190" w:type="dxa"/>
          </w:tcPr>
          <w:p w14:paraId="456F2712"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 TYTUŁU RYZYKA OPERACYJNEGO</w:t>
            </w:r>
          </w:p>
          <w:p w14:paraId="543AC4B7" w14:textId="35E04E84" w:rsidR="00915077" w:rsidRPr="00E26EF6" w:rsidRDefault="00973707">
            <w:pPr>
              <w:spacing w:beforeLines="60" w:before="144" w:afterLines="60" w:after="144"/>
              <w:rPr>
                <w:rStyle w:val="InstructionsTabelleberschrift"/>
                <w:rFonts w:ascii="Times New Roman" w:hAnsi="Times New Roman"/>
                <w:sz w:val="24"/>
                <w:highlight w:val="lightGray"/>
              </w:rPr>
            </w:pPr>
            <w:r w:rsidRPr="00E26EF6">
              <w:rPr>
                <w:rStyle w:val="InstructionsTabelleberschrift"/>
                <w:rFonts w:ascii="Times New Roman" w:hAnsi="Times New Roman"/>
                <w:b w:val="0"/>
                <w:sz w:val="24"/>
                <w:u w:val="none"/>
              </w:rPr>
              <w:t>Korekty stosowane do przyjętej przez instytucję wartości godziwej</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odzwierciedlenia premii</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ryzyka, którą uczestnicy rynku naliczyliby, aby skompensować ryzyko operacyjne zaistniałe</w:t>
            </w:r>
            <w:r w:rsidR="00E26EF6" w:rsidRPr="00E26EF6">
              <w:rPr>
                <w:rStyle w:val="InstructionsTabelleberschrift"/>
                <w:rFonts w:ascii="Times New Roman" w:hAnsi="Times New Roman"/>
                <w:b w:val="0"/>
                <w:sz w:val="24"/>
                <w:u w:val="none"/>
              </w:rPr>
              <w:t xml:space="preserve"> w zwi</w:t>
            </w:r>
            <w:r w:rsidRPr="00E26EF6">
              <w:rPr>
                <w:rStyle w:val="InstructionsTabelleberschrift"/>
                <w:rFonts w:ascii="Times New Roman" w:hAnsi="Times New Roman"/>
                <w:b w:val="0"/>
                <w:sz w:val="24"/>
                <w:u w:val="none"/>
              </w:rPr>
              <w:t>ązku</w:t>
            </w:r>
            <w:r w:rsidR="00E26EF6" w:rsidRPr="00E26EF6">
              <w:rPr>
                <w:rStyle w:val="InstructionsTabelleberschrift"/>
                <w:rFonts w:ascii="Times New Roman" w:hAnsi="Times New Roman"/>
                <w:b w:val="0"/>
                <w:sz w:val="24"/>
                <w:u w:val="none"/>
              </w:rPr>
              <w:t xml:space="preserve"> z zab</w:t>
            </w:r>
            <w:r w:rsidRPr="00E26EF6">
              <w:rPr>
                <w:rStyle w:val="InstructionsTabelleberschrift"/>
                <w:rFonts w:ascii="Times New Roman" w:hAnsi="Times New Roman"/>
                <w:b w:val="0"/>
                <w:sz w:val="24"/>
                <w:u w:val="none"/>
              </w:rPr>
              <w:t>ezpieczeniem kontraktów</w:t>
            </w:r>
            <w:r w:rsidR="00E26EF6" w:rsidRPr="00E26EF6">
              <w:rPr>
                <w:rStyle w:val="InstructionsTabelleberschrift"/>
                <w:rFonts w:ascii="Times New Roman" w:hAnsi="Times New Roman"/>
                <w:b w:val="0"/>
                <w:sz w:val="24"/>
                <w:u w:val="none"/>
              </w:rPr>
              <w:t xml:space="preserve"> w por</w:t>
            </w:r>
            <w:r w:rsidRPr="00E26EF6">
              <w:rPr>
                <w:rStyle w:val="InstructionsTabelleberschrift"/>
                <w:rFonts w:ascii="Times New Roman" w:hAnsi="Times New Roman"/>
                <w:b w:val="0"/>
                <w:sz w:val="24"/>
                <w:u w:val="none"/>
              </w:rPr>
              <w:t>tfelu, ich administracją</w:t>
            </w:r>
            <w:r w:rsidR="00E26EF6" w:rsidRPr="00E26EF6">
              <w:rPr>
                <w:rStyle w:val="InstructionsTabelleberschrift"/>
                <w:rFonts w:ascii="Times New Roman" w:hAnsi="Times New Roman"/>
                <w:b w:val="0"/>
                <w:sz w:val="24"/>
                <w:u w:val="none"/>
              </w:rPr>
              <w:t xml:space="preserve"> i roz</w:t>
            </w:r>
            <w:r w:rsidRPr="00E26EF6">
              <w:rPr>
                <w:rStyle w:val="InstructionsTabelleberschrift"/>
                <w:rFonts w:ascii="Times New Roman" w:hAnsi="Times New Roman"/>
                <w:b w:val="0"/>
                <w:sz w:val="24"/>
                <w:u w:val="none"/>
              </w:rPr>
              <w:t>liczeniem,</w:t>
            </w:r>
            <w:r w:rsidR="00E26EF6" w:rsidRPr="00E26EF6">
              <w:rPr>
                <w:rStyle w:val="InstructionsTabelleberschrift"/>
                <w:rFonts w:ascii="Times New Roman" w:hAnsi="Times New Roman"/>
                <w:b w:val="0"/>
                <w:sz w:val="24"/>
                <w:u w:val="none"/>
              </w:rPr>
              <w:t xml:space="preserve"> a zat</w:t>
            </w:r>
            <w:r w:rsidRPr="00E26EF6">
              <w:rPr>
                <w:rStyle w:val="InstructionsTabelleberschrift"/>
                <w:rFonts w:ascii="Times New Roman" w:hAnsi="Times New Roman"/>
                <w:b w:val="0"/>
                <w:sz w:val="24"/>
                <w:u w:val="none"/>
              </w:rPr>
              <w:t>em korekty te można wskazać jako środek mający zaradzić tym samym przyczynom niepewności wyceny,</w:t>
            </w:r>
            <w:r w:rsidR="00E26EF6" w:rsidRPr="00E26EF6">
              <w:rPr>
                <w:rStyle w:val="InstructionsTabelleberschrift"/>
                <w:rFonts w:ascii="Times New Roman" w:hAnsi="Times New Roman"/>
                <w:b w:val="0"/>
                <w:sz w:val="24"/>
                <w:u w:val="none"/>
              </w:rPr>
              <w:t xml:space="preserve"> z rac</w:t>
            </w:r>
            <w:r w:rsidRPr="00E26EF6">
              <w:rPr>
                <w:rStyle w:val="InstructionsTabelleberschrift"/>
                <w:rFonts w:ascii="Times New Roman" w:hAnsi="Times New Roman"/>
                <w:b w:val="0"/>
                <w:sz w:val="24"/>
                <w:u w:val="none"/>
              </w:rPr>
              <w:t>ji których zastosowano AVA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ryzyka operacyjnego.</w:t>
            </w:r>
          </w:p>
        </w:tc>
      </w:tr>
      <w:tr w:rsidR="00915077" w:rsidRPr="00E26EF6" w14:paraId="00B1E50C" w14:textId="77777777" w:rsidTr="00672D2A">
        <w:tc>
          <w:tcPr>
            <w:tcW w:w="1101" w:type="dxa"/>
          </w:tcPr>
          <w:p w14:paraId="34A5C593"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0260</w:t>
            </w:r>
          </w:p>
        </w:tc>
        <w:tc>
          <w:tcPr>
            <w:tcW w:w="8190" w:type="dxa"/>
          </w:tcPr>
          <w:p w14:paraId="56995CA9"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ZYSKI I STRATY Z POCZĄTKOWEGO UJĘCIA</w:t>
            </w:r>
          </w:p>
          <w:p w14:paraId="5484AB71" w14:textId="56126423" w:rsidR="00915077" w:rsidRPr="00E26EF6" w:rsidRDefault="00973707">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Korekty dokonane</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odzwierciedlenia przypadków,</w:t>
            </w:r>
            <w:r w:rsidR="00E26EF6" w:rsidRPr="00E26EF6">
              <w:rPr>
                <w:rStyle w:val="InstructionsTabelleberschrift"/>
                <w:rFonts w:ascii="Times New Roman" w:hAnsi="Times New Roman"/>
                <w:b w:val="0"/>
                <w:sz w:val="24"/>
                <w:u w:val="none"/>
              </w:rPr>
              <w:t xml:space="preserve"> w któ</w:t>
            </w:r>
            <w:r w:rsidRPr="00E26EF6">
              <w:rPr>
                <w:rStyle w:val="InstructionsTabelleberschrift"/>
                <w:rFonts w:ascii="Times New Roman" w:hAnsi="Times New Roman"/>
                <w:b w:val="0"/>
                <w:sz w:val="24"/>
                <w:u w:val="none"/>
              </w:rPr>
              <w:t>rych model wyceny, jak również wszystkie inne stosowne korekty wartości godziwej zastosowane do pozycji lub portfela nie odzwierciedlają ceny zapłaconej lub otrzymanej</w:t>
            </w:r>
            <w:r w:rsidR="00E26EF6" w:rsidRPr="00E26EF6">
              <w:rPr>
                <w:rStyle w:val="InstructionsTabelleberschrift"/>
                <w:rFonts w:ascii="Times New Roman" w:hAnsi="Times New Roman"/>
                <w:b w:val="0"/>
                <w:sz w:val="24"/>
                <w:u w:val="none"/>
              </w:rPr>
              <w:t xml:space="preserve"> w mom</w:t>
            </w:r>
            <w:r w:rsidRPr="00E26EF6">
              <w:rPr>
                <w:rStyle w:val="InstructionsTabelleberschrift"/>
                <w:rFonts w:ascii="Times New Roman" w:hAnsi="Times New Roman"/>
                <w:b w:val="0"/>
                <w:sz w:val="24"/>
                <w:u w:val="none"/>
              </w:rPr>
              <w:t>encie początkowego ujęcia, tzn. odroczone zyski</w:t>
            </w:r>
            <w:r w:rsidR="00E26EF6" w:rsidRPr="00E26EF6">
              <w:rPr>
                <w:rStyle w:val="InstructionsTabelleberschrift"/>
                <w:rFonts w:ascii="Times New Roman" w:hAnsi="Times New Roman"/>
                <w:b w:val="0"/>
                <w:sz w:val="24"/>
                <w:u w:val="none"/>
              </w:rPr>
              <w:t xml:space="preserve"> i str</w:t>
            </w:r>
            <w:r w:rsidRPr="00E26EF6">
              <w:rPr>
                <w:rStyle w:val="InstructionsTabelleberschrift"/>
                <w:rFonts w:ascii="Times New Roman" w:hAnsi="Times New Roman"/>
                <w:b w:val="0"/>
                <w:sz w:val="24"/>
                <w:u w:val="none"/>
              </w:rPr>
              <w:t>aty</w:t>
            </w:r>
            <w:r w:rsidR="00E26EF6" w:rsidRPr="00E26EF6">
              <w:rPr>
                <w:rStyle w:val="InstructionsTabelleberschrift"/>
                <w:rFonts w:ascii="Times New Roman" w:hAnsi="Times New Roman"/>
                <w:b w:val="0"/>
                <w:sz w:val="24"/>
                <w:u w:val="none"/>
              </w:rPr>
              <w:t xml:space="preserve"> z poc</w:t>
            </w:r>
            <w:r w:rsidRPr="00E26EF6">
              <w:rPr>
                <w:rStyle w:val="InstructionsTabelleberschrift"/>
                <w:rFonts w:ascii="Times New Roman" w:hAnsi="Times New Roman"/>
                <w:b w:val="0"/>
                <w:sz w:val="24"/>
                <w:u w:val="none"/>
              </w:rPr>
              <w:t>zątkowego ujęcia (MSSF 9 pkt B5.1.2.A).</w:t>
            </w:r>
          </w:p>
        </w:tc>
      </w:tr>
      <w:tr w:rsidR="00915077" w:rsidRPr="00E26EF6" w14:paraId="1A373008" w14:textId="77777777" w:rsidTr="00672D2A">
        <w:tc>
          <w:tcPr>
            <w:tcW w:w="1101" w:type="dxa"/>
          </w:tcPr>
          <w:p w14:paraId="43ACAC6A"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0270</w:t>
            </w:r>
          </w:p>
        </w:tc>
        <w:tc>
          <w:tcPr>
            <w:tcW w:w="8190" w:type="dxa"/>
          </w:tcPr>
          <w:p w14:paraId="525F3B0B" w14:textId="77777777" w:rsidR="00915077" w:rsidRPr="00E26EF6" w:rsidRDefault="00973707">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OPIS/WYJAŚNIENIE</w:t>
            </w:r>
          </w:p>
          <w:p w14:paraId="2A6906D0" w14:textId="3CE045B3" w:rsidR="00915077" w:rsidRPr="00E26EF6" w:rsidRDefault="00973707">
            <w:pPr>
              <w:spacing w:beforeLines="60" w:before="144" w:afterLines="60" w:after="144"/>
              <w:rPr>
                <w:rStyle w:val="InstructionsTabelleberschrift"/>
                <w:rFonts w:ascii="Times New Roman" w:hAnsi="Times New Roman"/>
                <w:b w:val="0"/>
                <w:sz w:val="24"/>
                <w:u w:val="none"/>
              </w:rPr>
            </w:pPr>
            <w:r w:rsidRPr="00E26EF6">
              <w:rPr>
                <w:rFonts w:ascii="Times New Roman" w:hAnsi="Times New Roman"/>
                <w:sz w:val="24"/>
              </w:rPr>
              <w:t>Opis pozycji traktowanych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rozporządzenia delegowanego (UE) 2016/101 oraz powody, dla których nie można zastosować art.</w:t>
            </w:r>
            <w:r w:rsidR="00023409" w:rsidRPr="00E26EF6">
              <w:rPr>
                <w:rFonts w:ascii="Times New Roman" w:hAnsi="Times New Roman"/>
                <w:sz w:val="24"/>
              </w:rPr>
              <w:t> </w:t>
            </w:r>
            <w:r w:rsidRPr="00E26EF6">
              <w:rPr>
                <w:rFonts w:ascii="Times New Roman" w:hAnsi="Times New Roman"/>
                <w:sz w:val="24"/>
              </w:rPr>
              <w:t>9–17 tego rozporządzenia.</w:t>
            </w:r>
          </w:p>
        </w:tc>
      </w:tr>
    </w:tbl>
    <w:p w14:paraId="523A6DE9" w14:textId="77777777" w:rsidR="00915077" w:rsidRPr="00E26EF6" w:rsidRDefault="0091507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915077" w:rsidRPr="00E26EF6" w14:paraId="16E49B7D" w14:textId="77777777" w:rsidTr="00672D2A">
        <w:tc>
          <w:tcPr>
            <w:tcW w:w="9288" w:type="dxa"/>
            <w:gridSpan w:val="2"/>
            <w:shd w:val="clear" w:color="auto" w:fill="CCCCCC"/>
          </w:tcPr>
          <w:p w14:paraId="269756AB" w14:textId="77777777" w:rsidR="00915077" w:rsidRPr="00E26EF6" w:rsidRDefault="00973707">
            <w:pPr>
              <w:spacing w:beforeLines="60" w:before="144" w:afterLines="60" w:after="144"/>
              <w:rPr>
                <w:rFonts w:ascii="Times New Roman" w:hAnsi="Times New Roman"/>
                <w:b/>
                <w:sz w:val="24"/>
                <w:highlight w:val="lightGray"/>
              </w:rPr>
            </w:pPr>
            <w:r w:rsidRPr="00E26EF6">
              <w:rPr>
                <w:rFonts w:ascii="Times New Roman" w:hAnsi="Times New Roman"/>
                <w:b/>
                <w:sz w:val="24"/>
              </w:rPr>
              <w:t>Wiersze</w:t>
            </w:r>
          </w:p>
        </w:tc>
      </w:tr>
      <w:tr w:rsidR="00915077" w:rsidRPr="00E26EF6" w14:paraId="0D9B9B4E" w14:textId="77777777" w:rsidTr="00672D2A">
        <w:tc>
          <w:tcPr>
            <w:tcW w:w="1101" w:type="dxa"/>
          </w:tcPr>
          <w:p w14:paraId="5B2DDB2E"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0010</w:t>
            </w:r>
          </w:p>
        </w:tc>
        <w:tc>
          <w:tcPr>
            <w:tcW w:w="8187" w:type="dxa"/>
          </w:tcPr>
          <w:p w14:paraId="093E6C93" w14:textId="77777777" w:rsidR="00915077" w:rsidRPr="00E26EF6" w:rsidRDefault="00973707">
            <w:pPr>
              <w:spacing w:beforeLines="60" w:before="144" w:afterLines="60" w:after="144"/>
              <w:rPr>
                <w:rFonts w:ascii="Times New Roman" w:hAnsi="Times New Roman"/>
                <w:b/>
                <w:sz w:val="24"/>
                <w:u w:val="single"/>
              </w:rPr>
            </w:pPr>
            <w:r w:rsidRPr="00E26EF6">
              <w:rPr>
                <w:rFonts w:ascii="Times New Roman" w:hAnsi="Times New Roman"/>
                <w:b/>
                <w:sz w:val="24"/>
                <w:u w:val="single"/>
              </w:rPr>
              <w:t xml:space="preserve">1. METODA PODSTAWOWA RAZEM </w:t>
            </w:r>
          </w:p>
          <w:p w14:paraId="3AD7F65B" w14:textId="54E706AA"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Art. 7 ust.</w:t>
            </w:r>
            <w:r w:rsidR="00023409" w:rsidRPr="00E26EF6">
              <w:rPr>
                <w:rFonts w:ascii="Times New Roman" w:hAnsi="Times New Roman"/>
                <w:sz w:val="24"/>
              </w:rPr>
              <w:t> </w:t>
            </w:r>
            <w:r w:rsidRPr="00E26EF6">
              <w:rPr>
                <w:rFonts w:ascii="Times New Roman" w:hAnsi="Times New Roman"/>
                <w:sz w:val="24"/>
              </w:rPr>
              <w:t>2 rozporządzenia delegowanego (UE) 2016/101.</w:t>
            </w:r>
          </w:p>
          <w:p w14:paraId="0A12C852" w14:textId="7C321514"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Dla każdej odnośnej kategorii AVA,</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kol</w:t>
            </w:r>
            <w:r w:rsidRPr="00E26EF6">
              <w:rPr>
                <w:rFonts w:ascii="Times New Roman" w:hAnsi="Times New Roman"/>
                <w:sz w:val="24"/>
              </w:rPr>
              <w:t>umnach 0010–0110 – całkowite AVA obliczone przy użyciu metody podstawowej, jak określono</w:t>
            </w:r>
            <w:r w:rsidR="00E26EF6" w:rsidRPr="00E26EF6">
              <w:rPr>
                <w:rFonts w:ascii="Times New Roman" w:hAnsi="Times New Roman"/>
                <w:sz w:val="24"/>
              </w:rPr>
              <w:t xml:space="preserve"> w roz</w:t>
            </w:r>
            <w:r w:rsidRPr="00E26EF6">
              <w:rPr>
                <w:rFonts w:ascii="Times New Roman" w:hAnsi="Times New Roman"/>
                <w:sz w:val="24"/>
              </w:rPr>
              <w:t>dziale 3 rozporządzenia delegowanego (UE) 2016/101</w:t>
            </w:r>
            <w:r w:rsidR="00E26EF6" w:rsidRPr="00E26EF6">
              <w:rPr>
                <w:rFonts w:ascii="Times New Roman" w:hAnsi="Times New Roman"/>
                <w:sz w:val="24"/>
              </w:rPr>
              <w:t xml:space="preserve"> w odn</w:t>
            </w:r>
            <w:r w:rsidRPr="00E26EF6">
              <w:rPr>
                <w:rFonts w:ascii="Times New Roman" w:hAnsi="Times New Roman"/>
                <w:sz w:val="24"/>
              </w:rPr>
              <w:t>iesieniu do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uwzględnionych</w:t>
            </w:r>
            <w:r w:rsidR="00E26EF6" w:rsidRPr="00E26EF6">
              <w:rPr>
                <w:rFonts w:ascii="Times New Roman" w:hAnsi="Times New Roman"/>
                <w:sz w:val="24"/>
              </w:rPr>
              <w:t xml:space="preserve"> w wyl</w:t>
            </w:r>
            <w:r w:rsidRPr="00E26EF6">
              <w:rPr>
                <w:rFonts w:ascii="Times New Roman" w:hAnsi="Times New Roman"/>
                <w:sz w:val="24"/>
              </w:rPr>
              <w:t>iczeniach progu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tego rozporządzenia. Obejmuje to korzyści</w:t>
            </w:r>
            <w:r w:rsidR="00E26EF6" w:rsidRPr="00E26EF6">
              <w:rPr>
                <w:rFonts w:ascii="Times New Roman" w:hAnsi="Times New Roman"/>
                <w:sz w:val="24"/>
              </w:rPr>
              <w:t xml:space="preserve"> z dyw</w:t>
            </w:r>
            <w:r w:rsidRPr="00E26EF6">
              <w:rPr>
                <w:rFonts w:ascii="Times New Roman" w:hAnsi="Times New Roman"/>
                <w:sz w:val="24"/>
              </w:rPr>
              <w:t>ersyfikacji zgłoszone</w:t>
            </w:r>
            <w:r w:rsidR="00E26EF6" w:rsidRPr="00E26EF6">
              <w:rPr>
                <w:rFonts w:ascii="Times New Roman" w:hAnsi="Times New Roman"/>
                <w:sz w:val="24"/>
              </w:rPr>
              <w:t xml:space="preserve"> w wie</w:t>
            </w:r>
            <w:r w:rsidRPr="00E26EF6">
              <w:rPr>
                <w:rFonts w:ascii="Times New Roman" w:hAnsi="Times New Roman"/>
                <w:sz w:val="24"/>
              </w:rPr>
              <w:t>rszu 0140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6,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7</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 ust.</w:t>
            </w:r>
            <w:r w:rsidR="00023409" w:rsidRPr="00E26EF6">
              <w:rPr>
                <w:rFonts w:ascii="Times New Roman" w:hAnsi="Times New Roman"/>
                <w:sz w:val="24"/>
              </w:rPr>
              <w:t> </w:t>
            </w:r>
            <w:r w:rsidRPr="00E26EF6">
              <w:rPr>
                <w:rFonts w:ascii="Times New Roman" w:hAnsi="Times New Roman"/>
                <w:sz w:val="24"/>
              </w:rPr>
              <w:t xml:space="preserve">7 rozporządzenia delegowanego (UE) 2016/101. </w:t>
            </w:r>
          </w:p>
        </w:tc>
      </w:tr>
      <w:tr w:rsidR="00915077" w:rsidRPr="00E26EF6" w14:paraId="3EE92267" w14:textId="77777777" w:rsidTr="00672D2A">
        <w:tc>
          <w:tcPr>
            <w:tcW w:w="1101" w:type="dxa"/>
          </w:tcPr>
          <w:p w14:paraId="25A1A494"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0020</w:t>
            </w:r>
          </w:p>
        </w:tc>
        <w:tc>
          <w:tcPr>
            <w:tcW w:w="8187" w:type="dxa"/>
          </w:tcPr>
          <w:p w14:paraId="45337FCE" w14:textId="77777777" w:rsidR="00915077" w:rsidRPr="00E26EF6" w:rsidRDefault="00973707">
            <w:pPr>
              <w:spacing w:beforeLines="60" w:before="144" w:afterLines="60" w:after="144"/>
              <w:rPr>
                <w:rFonts w:ascii="Times New Roman" w:hAnsi="Times New Roman"/>
                <w:b/>
                <w:sz w:val="24"/>
                <w:u w:val="single"/>
              </w:rPr>
            </w:pPr>
            <w:r w:rsidRPr="00E26EF6">
              <w:rPr>
                <w:rFonts w:ascii="Times New Roman" w:hAnsi="Times New Roman"/>
                <w:b/>
                <w:sz w:val="24"/>
                <w:u w:val="single"/>
              </w:rPr>
              <w:t xml:space="preserve">W TYM: PORTFEL HANDLOWY </w:t>
            </w:r>
          </w:p>
          <w:p w14:paraId="63BAEAF5" w14:textId="7C3414EB"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Art. 7 ust.</w:t>
            </w:r>
            <w:r w:rsidR="00023409" w:rsidRPr="00E26EF6">
              <w:rPr>
                <w:rFonts w:ascii="Times New Roman" w:hAnsi="Times New Roman"/>
                <w:sz w:val="24"/>
              </w:rPr>
              <w:t> </w:t>
            </w:r>
            <w:r w:rsidRPr="00E26EF6">
              <w:rPr>
                <w:rFonts w:ascii="Times New Roman" w:hAnsi="Times New Roman"/>
                <w:sz w:val="24"/>
              </w:rPr>
              <w:t>2 rozporządzenia delegowanego (UE) 2016/101.</w:t>
            </w:r>
          </w:p>
          <w:p w14:paraId="14D4B324" w14:textId="6C306CC3" w:rsidR="00915077" w:rsidRPr="00E26EF6" w:rsidRDefault="00973707">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Dla każdej odnośnej kategorii AVA,</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kol</w:t>
            </w:r>
            <w:r w:rsidRPr="00E26EF6">
              <w:rPr>
                <w:rFonts w:ascii="Times New Roman" w:hAnsi="Times New Roman"/>
                <w:sz w:val="24"/>
              </w:rPr>
              <w:t>umnach 0010–0110 – część całkowitych AVA zgłoszonych</w:t>
            </w:r>
            <w:r w:rsidR="00E26EF6" w:rsidRPr="00E26EF6">
              <w:rPr>
                <w:rFonts w:ascii="Times New Roman" w:hAnsi="Times New Roman"/>
                <w:sz w:val="24"/>
              </w:rPr>
              <w:t xml:space="preserve"> w wie</w:t>
            </w:r>
            <w:r w:rsidRPr="00E26EF6">
              <w:rPr>
                <w:rFonts w:ascii="Times New Roman" w:hAnsi="Times New Roman"/>
                <w:sz w:val="24"/>
              </w:rPr>
              <w:t>rszu 0010 wynikająca</w:t>
            </w:r>
            <w:r w:rsidR="00E26EF6" w:rsidRPr="00E26EF6">
              <w:rPr>
                <w:rFonts w:ascii="Times New Roman" w:hAnsi="Times New Roman"/>
                <w:sz w:val="24"/>
              </w:rPr>
              <w:t xml:space="preserve"> z poz</w:t>
            </w:r>
            <w:r w:rsidRPr="00E26EF6">
              <w:rPr>
                <w:rFonts w:ascii="Times New Roman" w:hAnsi="Times New Roman"/>
                <w:sz w:val="24"/>
              </w:rPr>
              <w:t>ycji</w:t>
            </w:r>
            <w:r w:rsidR="00E26EF6" w:rsidRPr="00E26EF6">
              <w:rPr>
                <w:rFonts w:ascii="Times New Roman" w:hAnsi="Times New Roman"/>
                <w:sz w:val="24"/>
              </w:rPr>
              <w:t xml:space="preserve"> w por</w:t>
            </w:r>
            <w:r w:rsidRPr="00E26EF6">
              <w:rPr>
                <w:rFonts w:ascii="Times New Roman" w:hAnsi="Times New Roman"/>
                <w:sz w:val="24"/>
              </w:rPr>
              <w:t>tfelu handlowym (wartość bezwzględna).</w:t>
            </w:r>
          </w:p>
        </w:tc>
      </w:tr>
      <w:tr w:rsidR="00915077" w:rsidRPr="00E26EF6" w14:paraId="796F890B" w14:textId="77777777" w:rsidTr="00672D2A">
        <w:tc>
          <w:tcPr>
            <w:tcW w:w="1101" w:type="dxa"/>
          </w:tcPr>
          <w:p w14:paraId="10D99759"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0030</w:t>
            </w:r>
          </w:p>
        </w:tc>
        <w:tc>
          <w:tcPr>
            <w:tcW w:w="8187" w:type="dxa"/>
          </w:tcPr>
          <w:p w14:paraId="068FE137" w14:textId="327693F6" w:rsidR="00915077" w:rsidRPr="00E26EF6" w:rsidRDefault="00973707">
            <w:pPr>
              <w:spacing w:beforeLines="60" w:before="144" w:afterLines="60" w:after="144"/>
              <w:rPr>
                <w:rFonts w:ascii="Times New Roman" w:hAnsi="Times New Roman"/>
                <w:b/>
                <w:sz w:val="24"/>
                <w:u w:val="single"/>
              </w:rPr>
            </w:pPr>
            <w:r w:rsidRPr="00E26EF6">
              <w:rPr>
                <w:rFonts w:ascii="Times New Roman" w:hAnsi="Times New Roman"/>
                <w:b/>
                <w:sz w:val="24"/>
                <w:u w:val="single"/>
              </w:rPr>
              <w:t xml:space="preserve">1.1 PORTFELE NA PODSTAWIE ART. 9–17 ROZPORZĄDZENIA DELEGOWANEGO KOMISJI (UE) 2016/101 – RAZEM NA POZIOMIE KATEGORII PO DYWERSYFIKACJI </w:t>
            </w:r>
          </w:p>
          <w:p w14:paraId="58BFB114" w14:textId="3564425E" w:rsidR="00915077" w:rsidRPr="00E26EF6" w:rsidRDefault="002B004B">
            <w:pPr>
              <w:spacing w:beforeLines="60" w:before="144" w:afterLines="60" w:after="144"/>
              <w:rPr>
                <w:rFonts w:ascii="Times New Roman" w:hAnsi="Times New Roman"/>
                <w:sz w:val="24"/>
              </w:rPr>
            </w:pPr>
            <w:r w:rsidRPr="00E26EF6">
              <w:rPr>
                <w:rFonts w:ascii="Times New Roman" w:hAnsi="Times New Roman"/>
                <w:sz w:val="24"/>
              </w:rPr>
              <w:t>Art. 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a) rozporządzenia delegowanego (UE) 2016/101.</w:t>
            </w:r>
          </w:p>
          <w:p w14:paraId="4CF92BA6" w14:textId="0D1137D2"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Dla każdej odnośnej kategorii AVA,</w:t>
            </w:r>
            <w:r w:rsidR="00E26EF6" w:rsidRPr="00E26EF6">
              <w:rPr>
                <w:rFonts w:ascii="Times New Roman" w:hAnsi="Times New Roman"/>
                <w:sz w:val="24"/>
              </w:rPr>
              <w:t xml:space="preserve"> o któ</w:t>
            </w:r>
            <w:r w:rsidRPr="00E26EF6">
              <w:rPr>
                <w:rFonts w:ascii="Times New Roman" w:hAnsi="Times New Roman"/>
                <w:sz w:val="24"/>
              </w:rPr>
              <w:t>rych mowa</w:t>
            </w:r>
            <w:r w:rsidR="00E26EF6" w:rsidRPr="00E26EF6">
              <w:rPr>
                <w:rFonts w:ascii="Times New Roman" w:hAnsi="Times New Roman"/>
                <w:sz w:val="24"/>
              </w:rPr>
              <w:t xml:space="preserve"> w kol</w:t>
            </w:r>
            <w:r w:rsidRPr="00E26EF6">
              <w:rPr>
                <w:rFonts w:ascii="Times New Roman" w:hAnsi="Times New Roman"/>
                <w:sz w:val="24"/>
              </w:rPr>
              <w:t>umnach 0010–0110 – całkowite AVA obliczone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9–17 rozporządzenia delegowanego (UE) 2016/101</w:t>
            </w:r>
            <w:r w:rsidR="00E26EF6" w:rsidRPr="00E26EF6">
              <w:rPr>
                <w:rFonts w:ascii="Times New Roman" w:hAnsi="Times New Roman"/>
                <w:sz w:val="24"/>
              </w:rPr>
              <w:t xml:space="preserve"> w odn</w:t>
            </w:r>
            <w:r w:rsidRPr="00E26EF6">
              <w:rPr>
                <w:rFonts w:ascii="Times New Roman" w:hAnsi="Times New Roman"/>
                <w:sz w:val="24"/>
              </w:rPr>
              <w:t>iesieniu do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uwzględnionych</w:t>
            </w:r>
            <w:r w:rsidR="00E26EF6" w:rsidRPr="00E26EF6">
              <w:rPr>
                <w:rFonts w:ascii="Times New Roman" w:hAnsi="Times New Roman"/>
                <w:sz w:val="24"/>
              </w:rPr>
              <w:t xml:space="preserve"> w wyl</w:t>
            </w:r>
            <w:r w:rsidRPr="00E26EF6">
              <w:rPr>
                <w:rFonts w:ascii="Times New Roman" w:hAnsi="Times New Roman"/>
                <w:sz w:val="24"/>
              </w:rPr>
              <w:t>iczeniach progu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tego rozporządzenia,</w:t>
            </w:r>
            <w:r w:rsidR="00E26EF6" w:rsidRPr="00E26EF6">
              <w:rPr>
                <w:rFonts w:ascii="Times New Roman" w:hAnsi="Times New Roman"/>
                <w:sz w:val="24"/>
              </w:rPr>
              <w:t xml:space="preserve"> z wył</w:t>
            </w:r>
            <w:r w:rsidRPr="00E26EF6">
              <w:rPr>
                <w:rFonts w:ascii="Times New Roman" w:hAnsi="Times New Roman"/>
                <w:sz w:val="24"/>
              </w:rPr>
              <w:t>ączeniem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objętych traktowaniem opisanym</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 xml:space="preserve">b) rozporządzenia delegowanego (UE) 2016/101. </w:t>
            </w:r>
          </w:p>
          <w:p w14:paraId="0E0C61EA" w14:textId="0627A488"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Obejmuje to AVA obliczone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12</w:t>
            </w:r>
            <w:r w:rsidR="00E26EF6" w:rsidRPr="00E26EF6">
              <w:rPr>
                <w:rFonts w:ascii="Times New Roman" w:hAnsi="Times New Roman"/>
                <w:sz w:val="24"/>
              </w:rPr>
              <w:t xml:space="preserve"> i 1</w:t>
            </w:r>
            <w:r w:rsidRPr="00E26EF6">
              <w:rPr>
                <w:rFonts w:ascii="Times New Roman" w:hAnsi="Times New Roman"/>
                <w:sz w:val="24"/>
              </w:rPr>
              <w:t>3 rozporządzenia delegowanego (UE) 2016/101, które zgłoszono</w:t>
            </w:r>
            <w:r w:rsidR="00E26EF6" w:rsidRPr="00E26EF6">
              <w:rPr>
                <w:rFonts w:ascii="Times New Roman" w:hAnsi="Times New Roman"/>
                <w:sz w:val="24"/>
              </w:rPr>
              <w:t xml:space="preserve"> w wie</w:t>
            </w:r>
            <w:r w:rsidRPr="00E26EF6">
              <w:rPr>
                <w:rFonts w:ascii="Times New Roman" w:hAnsi="Times New Roman"/>
                <w:sz w:val="24"/>
              </w:rPr>
              <w:t>rszach 0050</w:t>
            </w:r>
            <w:r w:rsidR="00E26EF6" w:rsidRPr="00E26EF6">
              <w:rPr>
                <w:rFonts w:ascii="Times New Roman" w:hAnsi="Times New Roman"/>
                <w:sz w:val="24"/>
              </w:rPr>
              <w:t xml:space="preserve"> i 0</w:t>
            </w:r>
            <w:r w:rsidRPr="00E26EF6">
              <w:rPr>
                <w:rFonts w:ascii="Times New Roman" w:hAnsi="Times New Roman"/>
                <w:sz w:val="24"/>
              </w:rPr>
              <w:t>060 oraz uwzględniono w AVA</w:t>
            </w:r>
            <w:r w:rsidR="00E26EF6" w:rsidRPr="00E26EF6">
              <w:rPr>
                <w:rFonts w:ascii="Times New Roman" w:hAnsi="Times New Roman"/>
                <w:sz w:val="24"/>
              </w:rPr>
              <w:t xml:space="preserve"> z tyt</w:t>
            </w:r>
            <w:r w:rsidRPr="00E26EF6">
              <w:rPr>
                <w:rFonts w:ascii="Times New Roman" w:hAnsi="Times New Roman"/>
                <w:sz w:val="24"/>
              </w:rPr>
              <w:t>ułu niepewności dotyczącej cen rynkowych, AVA</w:t>
            </w:r>
            <w:r w:rsidR="00E26EF6" w:rsidRPr="00E26EF6">
              <w:rPr>
                <w:rFonts w:ascii="Times New Roman" w:hAnsi="Times New Roman"/>
                <w:sz w:val="24"/>
              </w:rPr>
              <w:t xml:space="preserve"> z tyt</w:t>
            </w:r>
            <w:r w:rsidRPr="00E26EF6">
              <w:rPr>
                <w:rFonts w:ascii="Times New Roman" w:hAnsi="Times New Roman"/>
                <w:sz w:val="24"/>
              </w:rPr>
              <w:t>ułu kosztów zamknięcia i AVA</w:t>
            </w:r>
            <w:r w:rsidR="00E26EF6" w:rsidRPr="00E26EF6">
              <w:rPr>
                <w:rFonts w:ascii="Times New Roman" w:hAnsi="Times New Roman"/>
                <w:sz w:val="24"/>
              </w:rPr>
              <w:t xml:space="preserve"> z tyt</w:t>
            </w:r>
            <w:r w:rsidRPr="00E26EF6">
              <w:rPr>
                <w:rFonts w:ascii="Times New Roman" w:hAnsi="Times New Roman"/>
                <w:sz w:val="24"/>
              </w:rPr>
              <w:t>ułu ryzyka modelu, jak określono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12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13 ust.</w:t>
            </w:r>
            <w:r w:rsidR="00023409" w:rsidRPr="00E26EF6">
              <w:rPr>
                <w:rFonts w:ascii="Times New Roman" w:hAnsi="Times New Roman"/>
                <w:sz w:val="24"/>
              </w:rPr>
              <w:t> </w:t>
            </w:r>
            <w:r w:rsidRPr="00E26EF6">
              <w:rPr>
                <w:rFonts w:ascii="Times New Roman" w:hAnsi="Times New Roman"/>
                <w:sz w:val="24"/>
              </w:rPr>
              <w:t xml:space="preserve">2 tego rozporządzenia. </w:t>
            </w:r>
          </w:p>
          <w:p w14:paraId="0C1502FC" w14:textId="7E8C975A"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Obejmuje to korzyści</w:t>
            </w:r>
            <w:r w:rsidR="00E26EF6" w:rsidRPr="00E26EF6">
              <w:rPr>
                <w:rFonts w:ascii="Times New Roman" w:hAnsi="Times New Roman"/>
                <w:sz w:val="24"/>
              </w:rPr>
              <w:t xml:space="preserve"> z dyw</w:t>
            </w:r>
            <w:r w:rsidRPr="00E26EF6">
              <w:rPr>
                <w:rFonts w:ascii="Times New Roman" w:hAnsi="Times New Roman"/>
                <w:sz w:val="24"/>
              </w:rPr>
              <w:t>ersyfikacji zgłoszone</w:t>
            </w:r>
            <w:r w:rsidR="00E26EF6" w:rsidRPr="00E26EF6">
              <w:rPr>
                <w:rFonts w:ascii="Times New Roman" w:hAnsi="Times New Roman"/>
                <w:sz w:val="24"/>
              </w:rPr>
              <w:t xml:space="preserve"> w wie</w:t>
            </w:r>
            <w:r w:rsidRPr="00E26EF6">
              <w:rPr>
                <w:rFonts w:ascii="Times New Roman" w:hAnsi="Times New Roman"/>
                <w:sz w:val="24"/>
              </w:rPr>
              <w:t>rszu 0140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6,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7</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 ust.</w:t>
            </w:r>
            <w:r w:rsidR="00023409" w:rsidRPr="00E26EF6">
              <w:rPr>
                <w:rFonts w:ascii="Times New Roman" w:hAnsi="Times New Roman"/>
                <w:sz w:val="24"/>
              </w:rPr>
              <w:t> </w:t>
            </w:r>
            <w:r w:rsidRPr="00E26EF6">
              <w:rPr>
                <w:rFonts w:ascii="Times New Roman" w:hAnsi="Times New Roman"/>
                <w:sz w:val="24"/>
              </w:rPr>
              <w:t xml:space="preserve">7 rozporządzenia delegowanego (UE) 2016/101. </w:t>
            </w:r>
          </w:p>
          <w:p w14:paraId="1D204122" w14:textId="75900DA9"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Wiersz 0030 stanowi różnicę między wierszem 0040</w:t>
            </w:r>
            <w:r w:rsidR="00E26EF6" w:rsidRPr="00E26EF6">
              <w:rPr>
                <w:rFonts w:ascii="Times New Roman" w:hAnsi="Times New Roman"/>
                <w:sz w:val="24"/>
              </w:rPr>
              <w:t xml:space="preserve"> a wie</w:t>
            </w:r>
            <w:r w:rsidRPr="00E26EF6">
              <w:rPr>
                <w:rFonts w:ascii="Times New Roman" w:hAnsi="Times New Roman"/>
                <w:sz w:val="24"/>
              </w:rPr>
              <w:t xml:space="preserve">rszem 0140. </w:t>
            </w:r>
          </w:p>
        </w:tc>
      </w:tr>
      <w:tr w:rsidR="00915077" w:rsidRPr="00E26EF6" w14:paraId="4BD0BD11" w14:textId="77777777" w:rsidTr="00672D2A">
        <w:tc>
          <w:tcPr>
            <w:tcW w:w="1101" w:type="dxa"/>
          </w:tcPr>
          <w:p w14:paraId="46E96714"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0040–0130</w:t>
            </w:r>
          </w:p>
        </w:tc>
        <w:tc>
          <w:tcPr>
            <w:tcW w:w="8187" w:type="dxa"/>
          </w:tcPr>
          <w:p w14:paraId="03243C51" w14:textId="77777777" w:rsidR="00915077" w:rsidRPr="00E26EF6" w:rsidRDefault="00973707">
            <w:pPr>
              <w:spacing w:beforeLines="60" w:before="144" w:afterLines="60" w:after="144"/>
              <w:rPr>
                <w:rFonts w:ascii="Times New Roman" w:hAnsi="Times New Roman"/>
                <w:b/>
                <w:sz w:val="24"/>
                <w:u w:val="single"/>
              </w:rPr>
            </w:pPr>
            <w:r w:rsidRPr="00E26EF6">
              <w:rPr>
                <w:rFonts w:ascii="Times New Roman" w:hAnsi="Times New Roman"/>
                <w:b/>
                <w:sz w:val="24"/>
                <w:u w:val="single"/>
              </w:rPr>
              <w:t>1.1.1 RAZEM NA POZIOMIE KATEGORII PRZED DYWERSYFIKACJĄ</w:t>
            </w:r>
          </w:p>
          <w:p w14:paraId="202A9EEF" w14:textId="24ED485D"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 odniesieniu do wierszy 0090–0130 instytucje dokonują przyporządkowania swoich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uwzględnionych</w:t>
            </w:r>
            <w:r w:rsidR="00E26EF6" w:rsidRPr="00E26EF6">
              <w:rPr>
                <w:rFonts w:ascii="Times New Roman" w:hAnsi="Times New Roman"/>
                <w:sz w:val="24"/>
              </w:rPr>
              <w:t xml:space="preserve"> w wyl</w:t>
            </w:r>
            <w:r w:rsidRPr="00E26EF6">
              <w:rPr>
                <w:rFonts w:ascii="Times New Roman" w:hAnsi="Times New Roman"/>
                <w:sz w:val="24"/>
              </w:rPr>
              <w:t xml:space="preserve">iczeniach progu </w:t>
            </w:r>
            <w:r w:rsidRPr="00E26EF6">
              <w:rPr>
                <w:rFonts w:ascii="Times New Roman" w:hAnsi="Times New Roman"/>
                <w:sz w:val="24"/>
              </w:rPr>
              <w:lastRenderedPageBreak/>
              <w:t>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1 rozporządzenia delegowanego (UE) 2016/101 (zaliczanych do portfela handlowego</w:t>
            </w:r>
            <w:r w:rsidR="00E26EF6" w:rsidRPr="00E26EF6">
              <w:rPr>
                <w:rFonts w:ascii="Times New Roman" w:hAnsi="Times New Roman"/>
                <w:sz w:val="24"/>
              </w:rPr>
              <w:t xml:space="preserve"> i por</w:t>
            </w:r>
            <w:r w:rsidRPr="00E26EF6">
              <w:rPr>
                <w:rFonts w:ascii="Times New Roman" w:hAnsi="Times New Roman"/>
                <w:sz w:val="24"/>
              </w:rPr>
              <w:t>tfela bankowego) zgodnie</w:t>
            </w:r>
            <w:r w:rsidR="00E26EF6" w:rsidRPr="00E26EF6">
              <w:rPr>
                <w:rFonts w:ascii="Times New Roman" w:hAnsi="Times New Roman"/>
                <w:sz w:val="24"/>
              </w:rPr>
              <w:t xml:space="preserve"> z nas</w:t>
            </w:r>
            <w:r w:rsidRPr="00E26EF6">
              <w:rPr>
                <w:rFonts w:ascii="Times New Roman" w:hAnsi="Times New Roman"/>
                <w:sz w:val="24"/>
              </w:rPr>
              <w:t xml:space="preserve">tępującymi kategoriami ryzyka: stopy procentowe, waluty obce, kredyty, papiery kapitałowe, towary. </w:t>
            </w:r>
          </w:p>
          <w:p w14:paraId="1E1FF073" w14:textId="5FED82FB"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 tym celu instytucje polegają na swoich wewnętrznych strukturach zarządzania ryzykiem i – stosując zestawienie opracowane</w:t>
            </w:r>
            <w:r w:rsidR="00E26EF6" w:rsidRPr="00E26EF6">
              <w:rPr>
                <w:rFonts w:ascii="Times New Roman" w:hAnsi="Times New Roman"/>
                <w:sz w:val="24"/>
              </w:rPr>
              <w:t xml:space="preserve"> w opa</w:t>
            </w:r>
            <w:r w:rsidRPr="00E26EF6">
              <w:rPr>
                <w:rFonts w:ascii="Times New Roman" w:hAnsi="Times New Roman"/>
                <w:sz w:val="24"/>
              </w:rPr>
              <w:t>rciu</w:t>
            </w:r>
            <w:r w:rsidR="00E26EF6" w:rsidRPr="00E26EF6">
              <w:rPr>
                <w:rFonts w:ascii="Times New Roman" w:hAnsi="Times New Roman"/>
                <w:sz w:val="24"/>
              </w:rPr>
              <w:t xml:space="preserve"> o fac</w:t>
            </w:r>
            <w:r w:rsidRPr="00E26EF6">
              <w:rPr>
                <w:rFonts w:ascii="Times New Roman" w:hAnsi="Times New Roman"/>
                <w:sz w:val="24"/>
              </w:rPr>
              <w:t>howy osąd – przyporządkowują swoje linie biznesowe lub jednostki odpowiadające za handel do najbardziej właściwej kategorii ryzyka. AVA, korekty wartości godziwej oraz inne wymagane informacje, które odpowiadają przyporządkowanym liniom biznesowym lub jednostkom odpowiadającym za handel, przyporządkowuje się do tych samych odpowiednich kategorii ryzyka, aby zapewnić – na poziomie wiersza dla każdej kategorii ryzyka – spójny obraz korekt dokonanych zarówno</w:t>
            </w:r>
            <w:r w:rsidR="00E26EF6" w:rsidRPr="00E26EF6">
              <w:rPr>
                <w:rFonts w:ascii="Times New Roman" w:hAnsi="Times New Roman"/>
                <w:sz w:val="24"/>
              </w:rPr>
              <w:t xml:space="preserve"> w cel</w:t>
            </w:r>
            <w:r w:rsidRPr="00E26EF6">
              <w:rPr>
                <w:rFonts w:ascii="Times New Roman" w:hAnsi="Times New Roman"/>
                <w:sz w:val="24"/>
              </w:rPr>
              <w:t>ach ostrożnościowych, jak</w:t>
            </w:r>
            <w:r w:rsidR="00E26EF6" w:rsidRPr="00E26EF6">
              <w:rPr>
                <w:rFonts w:ascii="Times New Roman" w:hAnsi="Times New Roman"/>
                <w:sz w:val="24"/>
              </w:rPr>
              <w:t xml:space="preserve"> i w cel</w:t>
            </w:r>
            <w:r w:rsidRPr="00E26EF6">
              <w:rPr>
                <w:rFonts w:ascii="Times New Roman" w:hAnsi="Times New Roman"/>
                <w:sz w:val="24"/>
              </w:rPr>
              <w:t>ach rachunkowych, jak również wskazanie wielkości danych pozycji (pod względem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Jeżeli AVA lub inne korekty oblicza się na innym poziomie agregacji,</w:t>
            </w:r>
            <w:r w:rsidR="00E26EF6" w:rsidRPr="00E26EF6">
              <w:rPr>
                <w:rFonts w:ascii="Times New Roman" w:hAnsi="Times New Roman"/>
                <w:sz w:val="24"/>
              </w:rPr>
              <w:t xml:space="preserve"> w szc</w:t>
            </w:r>
            <w:r w:rsidRPr="00E26EF6">
              <w:rPr>
                <w:rFonts w:ascii="Times New Roman" w:hAnsi="Times New Roman"/>
                <w:sz w:val="24"/>
              </w:rPr>
              <w:t>zególności na poziomie przedsiębiorstwa, instytucje opracowują metodę alokacji AVA do odpowiednich zbiorów pozycji</w:t>
            </w:r>
            <w:r w:rsidR="00E26EF6" w:rsidRPr="00E26EF6">
              <w:rPr>
                <w:rFonts w:ascii="Times New Roman" w:hAnsi="Times New Roman"/>
                <w:sz w:val="24"/>
              </w:rPr>
              <w:t>. W wyn</w:t>
            </w:r>
            <w:r w:rsidRPr="00E26EF6">
              <w:rPr>
                <w:rFonts w:ascii="Times New Roman" w:hAnsi="Times New Roman"/>
                <w:sz w:val="24"/>
              </w:rPr>
              <w:t xml:space="preserve">iku zastosowania metody alokacji wiersz 0040 musi stanowić sumę wierszy 0050–0130 dla kolumn 0010–0100. </w:t>
            </w:r>
          </w:p>
          <w:p w14:paraId="4A582A0B" w14:textId="44A5C7CF"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Niezależnie od zastosowanej metody zgłaszane informacje muszą –</w:t>
            </w:r>
            <w:r w:rsidR="00E26EF6" w:rsidRPr="00E26EF6">
              <w:rPr>
                <w:rFonts w:ascii="Times New Roman" w:hAnsi="Times New Roman"/>
                <w:sz w:val="24"/>
              </w:rPr>
              <w:t xml:space="preserve"> w jak</w:t>
            </w:r>
            <w:r w:rsidRPr="00E26EF6">
              <w:rPr>
                <w:rFonts w:ascii="Times New Roman" w:hAnsi="Times New Roman"/>
                <w:sz w:val="24"/>
              </w:rPr>
              <w:t xml:space="preserve"> najszerszym zakresie – być spójne na poziomie wiersza, ponieważ podane informacje będą porównywane na tym poziomie (kwoty AVA, wartość przy niskim poziomie ufności (ang. upside uncertainty), kwoty wartości godziwej</w:t>
            </w:r>
            <w:r w:rsidR="00E26EF6" w:rsidRPr="00E26EF6">
              <w:rPr>
                <w:rFonts w:ascii="Times New Roman" w:hAnsi="Times New Roman"/>
                <w:sz w:val="24"/>
              </w:rPr>
              <w:t xml:space="preserve"> i pot</w:t>
            </w:r>
            <w:r w:rsidRPr="00E26EF6">
              <w:rPr>
                <w:rFonts w:ascii="Times New Roman" w:hAnsi="Times New Roman"/>
                <w:sz w:val="24"/>
              </w:rPr>
              <w:t xml:space="preserve">encjalne korekty wartości godziwej). </w:t>
            </w:r>
          </w:p>
          <w:p w14:paraId="3351BFAA" w14:textId="0E902447"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Rozkład</w:t>
            </w:r>
            <w:r w:rsidR="00E26EF6" w:rsidRPr="00E26EF6">
              <w:rPr>
                <w:rFonts w:ascii="Times New Roman" w:hAnsi="Times New Roman"/>
                <w:sz w:val="24"/>
              </w:rPr>
              <w:t xml:space="preserve"> w wie</w:t>
            </w:r>
            <w:r w:rsidRPr="00E26EF6">
              <w:rPr>
                <w:rFonts w:ascii="Times New Roman" w:hAnsi="Times New Roman"/>
                <w:sz w:val="24"/>
              </w:rPr>
              <w:t>rszach 0090–0130 nie obejmuje AVA obliczonych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12</w:t>
            </w:r>
            <w:r w:rsidR="00E26EF6" w:rsidRPr="00E26EF6">
              <w:rPr>
                <w:rFonts w:ascii="Times New Roman" w:hAnsi="Times New Roman"/>
                <w:sz w:val="24"/>
              </w:rPr>
              <w:t xml:space="preserve"> i 1</w:t>
            </w:r>
            <w:r w:rsidRPr="00E26EF6">
              <w:rPr>
                <w:rFonts w:ascii="Times New Roman" w:hAnsi="Times New Roman"/>
                <w:sz w:val="24"/>
              </w:rPr>
              <w:t>3 rozporządzenia delegowanego (UE) 2016/101, które zgłoszono</w:t>
            </w:r>
            <w:r w:rsidR="00E26EF6" w:rsidRPr="00E26EF6">
              <w:rPr>
                <w:rFonts w:ascii="Times New Roman" w:hAnsi="Times New Roman"/>
                <w:sz w:val="24"/>
              </w:rPr>
              <w:t xml:space="preserve"> w wie</w:t>
            </w:r>
            <w:r w:rsidRPr="00E26EF6">
              <w:rPr>
                <w:rFonts w:ascii="Times New Roman" w:hAnsi="Times New Roman"/>
                <w:sz w:val="24"/>
              </w:rPr>
              <w:t>rszach 0050</w:t>
            </w:r>
            <w:r w:rsidR="00E26EF6" w:rsidRPr="00E26EF6">
              <w:rPr>
                <w:rFonts w:ascii="Times New Roman" w:hAnsi="Times New Roman"/>
                <w:sz w:val="24"/>
              </w:rPr>
              <w:t xml:space="preserve"> i 0</w:t>
            </w:r>
            <w:r w:rsidRPr="00E26EF6">
              <w:rPr>
                <w:rFonts w:ascii="Times New Roman" w:hAnsi="Times New Roman"/>
                <w:sz w:val="24"/>
              </w:rPr>
              <w:t>060 oraz uwzględniono w AVA</w:t>
            </w:r>
            <w:r w:rsidR="00E26EF6" w:rsidRPr="00E26EF6">
              <w:rPr>
                <w:rFonts w:ascii="Times New Roman" w:hAnsi="Times New Roman"/>
                <w:sz w:val="24"/>
              </w:rPr>
              <w:t xml:space="preserve"> z tyt</w:t>
            </w:r>
            <w:r w:rsidRPr="00E26EF6">
              <w:rPr>
                <w:rFonts w:ascii="Times New Roman" w:hAnsi="Times New Roman"/>
                <w:sz w:val="24"/>
              </w:rPr>
              <w:t>ułu niepewności dotyczącej cen rynkowych, AVA</w:t>
            </w:r>
            <w:r w:rsidR="00E26EF6" w:rsidRPr="00E26EF6">
              <w:rPr>
                <w:rFonts w:ascii="Times New Roman" w:hAnsi="Times New Roman"/>
                <w:sz w:val="24"/>
              </w:rPr>
              <w:t xml:space="preserve"> z tyt</w:t>
            </w:r>
            <w:r w:rsidRPr="00E26EF6">
              <w:rPr>
                <w:rFonts w:ascii="Times New Roman" w:hAnsi="Times New Roman"/>
                <w:sz w:val="24"/>
              </w:rPr>
              <w:t>ułu kosztów zamknięcia i AVA</w:t>
            </w:r>
            <w:r w:rsidR="00E26EF6" w:rsidRPr="00E26EF6">
              <w:rPr>
                <w:rFonts w:ascii="Times New Roman" w:hAnsi="Times New Roman"/>
                <w:sz w:val="24"/>
              </w:rPr>
              <w:t xml:space="preserve"> z tyt</w:t>
            </w:r>
            <w:r w:rsidRPr="00E26EF6">
              <w:rPr>
                <w:rFonts w:ascii="Times New Roman" w:hAnsi="Times New Roman"/>
                <w:sz w:val="24"/>
              </w:rPr>
              <w:t>ułu ryzyka modelu, jak określono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12 ust.</w:t>
            </w:r>
            <w:r w:rsidR="00023409" w:rsidRPr="00E26EF6">
              <w:rPr>
                <w:rFonts w:ascii="Times New Roman" w:hAnsi="Times New Roman"/>
                <w:sz w:val="24"/>
              </w:rPr>
              <w:t> </w:t>
            </w:r>
            <w:r w:rsidRPr="00E26EF6">
              <w:rPr>
                <w:rFonts w:ascii="Times New Roman" w:hAnsi="Times New Roman"/>
                <w:sz w:val="24"/>
              </w:rPr>
              <w:t>2</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13 ust.</w:t>
            </w:r>
            <w:r w:rsidR="00023409" w:rsidRPr="00E26EF6">
              <w:rPr>
                <w:rFonts w:ascii="Times New Roman" w:hAnsi="Times New Roman"/>
                <w:sz w:val="24"/>
              </w:rPr>
              <w:t> </w:t>
            </w:r>
            <w:r w:rsidRPr="00E26EF6">
              <w:rPr>
                <w:rFonts w:ascii="Times New Roman" w:hAnsi="Times New Roman"/>
                <w:sz w:val="24"/>
              </w:rPr>
              <w:t>2 tego rozporządzenia.</w:t>
            </w:r>
          </w:p>
          <w:p w14:paraId="6232A42A" w14:textId="3F6DD459"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Korzyści</w:t>
            </w:r>
            <w:r w:rsidR="00E26EF6" w:rsidRPr="00E26EF6">
              <w:rPr>
                <w:rFonts w:ascii="Times New Roman" w:hAnsi="Times New Roman"/>
                <w:sz w:val="24"/>
              </w:rPr>
              <w:t xml:space="preserve"> z dyw</w:t>
            </w:r>
            <w:r w:rsidRPr="00E26EF6">
              <w:rPr>
                <w:rFonts w:ascii="Times New Roman" w:hAnsi="Times New Roman"/>
                <w:sz w:val="24"/>
              </w:rPr>
              <w:t>ersyfikacji zgłasza się</w:t>
            </w:r>
            <w:r w:rsidR="00E26EF6" w:rsidRPr="00E26EF6">
              <w:rPr>
                <w:rFonts w:ascii="Times New Roman" w:hAnsi="Times New Roman"/>
                <w:sz w:val="24"/>
              </w:rPr>
              <w:t xml:space="preserve"> w wie</w:t>
            </w:r>
            <w:r w:rsidRPr="00E26EF6">
              <w:rPr>
                <w:rFonts w:ascii="Times New Roman" w:hAnsi="Times New Roman"/>
                <w:sz w:val="24"/>
              </w:rPr>
              <w:t>rszu 0140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6,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7</w:t>
            </w:r>
            <w:r w:rsidR="00E26EF6" w:rsidRPr="00E26EF6">
              <w:rPr>
                <w:rFonts w:ascii="Times New Roman" w:hAnsi="Times New Roman"/>
                <w:sz w:val="24"/>
              </w:rPr>
              <w:t xml:space="preserve"> i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 ust.</w:t>
            </w:r>
            <w:r w:rsidR="00023409" w:rsidRPr="00E26EF6">
              <w:rPr>
                <w:rFonts w:ascii="Times New Roman" w:hAnsi="Times New Roman"/>
                <w:sz w:val="24"/>
              </w:rPr>
              <w:t> </w:t>
            </w:r>
            <w:r w:rsidRPr="00E26EF6">
              <w:rPr>
                <w:rFonts w:ascii="Times New Roman" w:hAnsi="Times New Roman"/>
                <w:sz w:val="24"/>
              </w:rPr>
              <w:t>7 rozporządzenia delegowanego (UE) 2016/101</w:t>
            </w:r>
            <w:r w:rsidR="00E26EF6" w:rsidRPr="00E26EF6">
              <w:rPr>
                <w:rFonts w:ascii="Times New Roman" w:hAnsi="Times New Roman"/>
                <w:sz w:val="24"/>
              </w:rPr>
              <w:t xml:space="preserve"> i w zwi</w:t>
            </w:r>
            <w:r w:rsidRPr="00E26EF6">
              <w:rPr>
                <w:rFonts w:ascii="Times New Roman" w:hAnsi="Times New Roman"/>
                <w:sz w:val="24"/>
              </w:rPr>
              <w:t>ązku</w:t>
            </w:r>
            <w:r w:rsidR="00E26EF6" w:rsidRPr="00E26EF6">
              <w:rPr>
                <w:rFonts w:ascii="Times New Roman" w:hAnsi="Times New Roman"/>
                <w:sz w:val="24"/>
              </w:rPr>
              <w:t xml:space="preserve"> z tym</w:t>
            </w:r>
            <w:r w:rsidRPr="00E26EF6">
              <w:rPr>
                <w:rFonts w:ascii="Times New Roman" w:hAnsi="Times New Roman"/>
                <w:sz w:val="24"/>
              </w:rPr>
              <w:t xml:space="preserve"> nie uwzględnia się ich</w:t>
            </w:r>
            <w:r w:rsidR="00E26EF6" w:rsidRPr="00E26EF6">
              <w:rPr>
                <w:rFonts w:ascii="Times New Roman" w:hAnsi="Times New Roman"/>
                <w:sz w:val="24"/>
              </w:rPr>
              <w:t xml:space="preserve"> w wie</w:t>
            </w:r>
            <w:r w:rsidRPr="00E26EF6">
              <w:rPr>
                <w:rFonts w:ascii="Times New Roman" w:hAnsi="Times New Roman"/>
                <w:sz w:val="24"/>
              </w:rPr>
              <w:t xml:space="preserve">rszach 0040–0130. </w:t>
            </w:r>
          </w:p>
        </w:tc>
      </w:tr>
      <w:tr w:rsidR="00915077" w:rsidRPr="00E26EF6" w14:paraId="12ECE089" w14:textId="77777777" w:rsidTr="00672D2A">
        <w:tc>
          <w:tcPr>
            <w:tcW w:w="1101" w:type="dxa"/>
          </w:tcPr>
          <w:p w14:paraId="21F21EE7"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0050</w:t>
            </w:r>
          </w:p>
        </w:tc>
        <w:tc>
          <w:tcPr>
            <w:tcW w:w="8187" w:type="dxa"/>
            <w:shd w:val="clear" w:color="auto" w:fill="auto"/>
          </w:tcPr>
          <w:p w14:paraId="609842B5" w14:textId="77777777" w:rsidR="00915077" w:rsidRPr="00E26EF6" w:rsidRDefault="00973707">
            <w:pPr>
              <w:spacing w:beforeLines="60" w:before="144" w:afterLines="60" w:after="144"/>
              <w:rPr>
                <w:rFonts w:ascii="Times New Roman" w:hAnsi="Times New Roman"/>
                <w:b/>
                <w:sz w:val="24"/>
                <w:u w:val="single"/>
              </w:rPr>
            </w:pPr>
            <w:r w:rsidRPr="00E26EF6">
              <w:rPr>
                <w:rFonts w:ascii="Times New Roman" w:hAnsi="Times New Roman"/>
                <w:b/>
                <w:sz w:val="24"/>
                <w:u w:val="single"/>
              </w:rPr>
              <w:t>W TYM: AVA Z TYTUŁU NIEZREALIZOWANYCH MARŻ KREDYTOWYCH</w:t>
            </w:r>
          </w:p>
          <w:p w14:paraId="4C43FBD6" w14:textId="0F88345B"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Art. 105 ust.</w:t>
            </w:r>
            <w:r w:rsidR="00023409" w:rsidRPr="00E26EF6">
              <w:rPr>
                <w:rFonts w:ascii="Times New Roman" w:hAnsi="Times New Roman"/>
                <w:sz w:val="24"/>
              </w:rPr>
              <w:t> </w:t>
            </w:r>
            <w:r w:rsidRPr="00E26EF6">
              <w:rPr>
                <w:rFonts w:ascii="Times New Roman" w:hAnsi="Times New Roman"/>
                <w:sz w:val="24"/>
              </w:rPr>
              <w:t>10 CRR, art.</w:t>
            </w:r>
            <w:r w:rsidR="00023409" w:rsidRPr="00E26EF6">
              <w:rPr>
                <w:rFonts w:ascii="Times New Roman" w:hAnsi="Times New Roman"/>
                <w:sz w:val="24"/>
              </w:rPr>
              <w:t> </w:t>
            </w:r>
            <w:r w:rsidRPr="00E26EF6">
              <w:rPr>
                <w:rFonts w:ascii="Times New Roman" w:hAnsi="Times New Roman"/>
                <w:sz w:val="24"/>
              </w:rPr>
              <w:t>12 rozporządzenia delegowanego (UE) 2016/101.</w:t>
            </w:r>
          </w:p>
          <w:p w14:paraId="672111AA" w14:textId="61AEA29E"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Całkowita AVA obliczona</w:t>
            </w:r>
            <w:r w:rsidR="00E26EF6" w:rsidRPr="00E26EF6">
              <w:rPr>
                <w:rFonts w:ascii="Times New Roman" w:hAnsi="Times New Roman"/>
                <w:sz w:val="24"/>
              </w:rPr>
              <w:t xml:space="preserve"> w odn</w:t>
            </w:r>
            <w:r w:rsidRPr="00E26EF6">
              <w:rPr>
                <w:rFonts w:ascii="Times New Roman" w:hAnsi="Times New Roman"/>
                <w:sz w:val="24"/>
              </w:rPr>
              <w:t>iesieniu do niezrealizowanych marż kredytowych („AVA</w:t>
            </w:r>
            <w:r w:rsidR="00E26EF6" w:rsidRPr="00E26EF6">
              <w:rPr>
                <w:rFonts w:ascii="Times New Roman" w:hAnsi="Times New Roman"/>
                <w:sz w:val="24"/>
              </w:rPr>
              <w:t xml:space="preserve"> z tyt</w:t>
            </w:r>
            <w:r w:rsidRPr="00E26EF6">
              <w:rPr>
                <w:rFonts w:ascii="Times New Roman" w:hAnsi="Times New Roman"/>
                <w:sz w:val="24"/>
              </w:rPr>
              <w:t>ułu CVA”) oraz jej przyporządkowanie do AVA</w:t>
            </w:r>
            <w:r w:rsidR="00E26EF6" w:rsidRPr="00E26EF6">
              <w:rPr>
                <w:rFonts w:ascii="Times New Roman" w:hAnsi="Times New Roman"/>
                <w:sz w:val="24"/>
              </w:rPr>
              <w:t xml:space="preserve"> z tyt</w:t>
            </w:r>
            <w:r w:rsidRPr="00E26EF6">
              <w:rPr>
                <w:rFonts w:ascii="Times New Roman" w:hAnsi="Times New Roman"/>
                <w:sz w:val="24"/>
              </w:rPr>
              <w:t>ułu niepewności dotyczącej cen rynkowych, kosztów zamknięcia lub ryzyka modelu na podstawie art.</w:t>
            </w:r>
            <w:r w:rsidR="00023409" w:rsidRPr="00E26EF6">
              <w:rPr>
                <w:rFonts w:ascii="Times New Roman" w:hAnsi="Times New Roman"/>
                <w:sz w:val="24"/>
              </w:rPr>
              <w:t> </w:t>
            </w:r>
            <w:r w:rsidRPr="00E26EF6">
              <w:rPr>
                <w:rFonts w:ascii="Times New Roman" w:hAnsi="Times New Roman"/>
                <w:sz w:val="24"/>
              </w:rPr>
              <w:t xml:space="preserve">12 rozporządzenia delegowanego (UE) 2016/101. </w:t>
            </w:r>
          </w:p>
          <w:p w14:paraId="7AAF8730" w14:textId="7C0DDC07"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Kolumna 0110: całkowitą AVA podaje się tylko</w:t>
            </w:r>
            <w:r w:rsidR="00E26EF6" w:rsidRPr="00E26EF6">
              <w:rPr>
                <w:rFonts w:ascii="Times New Roman" w:hAnsi="Times New Roman"/>
                <w:sz w:val="24"/>
              </w:rPr>
              <w:t xml:space="preserve"> w cel</w:t>
            </w:r>
            <w:r w:rsidRPr="00E26EF6">
              <w:rPr>
                <w:rFonts w:ascii="Times New Roman" w:hAnsi="Times New Roman"/>
                <w:sz w:val="24"/>
              </w:rPr>
              <w:t>ach informacyjnych, ponieważ jej podział pomiędzy AVA</w:t>
            </w:r>
            <w:r w:rsidR="00E26EF6" w:rsidRPr="00E26EF6">
              <w:rPr>
                <w:rFonts w:ascii="Times New Roman" w:hAnsi="Times New Roman"/>
                <w:sz w:val="24"/>
              </w:rPr>
              <w:t xml:space="preserve"> z tyt</w:t>
            </w:r>
            <w:r w:rsidRPr="00E26EF6">
              <w:rPr>
                <w:rFonts w:ascii="Times New Roman" w:hAnsi="Times New Roman"/>
                <w:sz w:val="24"/>
              </w:rPr>
              <w:t>ułu niepewności dotyczącej cen rynkowych, kosztów zamknięcia lub ryzyka modelu prowadzi do jej uwzględnienia – po uwzględnieniu korzyści</w:t>
            </w:r>
            <w:r w:rsidR="00E26EF6" w:rsidRPr="00E26EF6">
              <w:rPr>
                <w:rFonts w:ascii="Times New Roman" w:hAnsi="Times New Roman"/>
                <w:sz w:val="24"/>
              </w:rPr>
              <w:t xml:space="preserve"> z dyw</w:t>
            </w:r>
            <w:r w:rsidRPr="00E26EF6">
              <w:rPr>
                <w:rFonts w:ascii="Times New Roman" w:hAnsi="Times New Roman"/>
                <w:sz w:val="24"/>
              </w:rPr>
              <w:t>ersyfikacji –</w:t>
            </w:r>
            <w:r w:rsidR="00E26EF6" w:rsidRPr="00E26EF6">
              <w:rPr>
                <w:rFonts w:ascii="Times New Roman" w:hAnsi="Times New Roman"/>
                <w:sz w:val="24"/>
              </w:rPr>
              <w:t xml:space="preserve"> w ram</w:t>
            </w:r>
            <w:r w:rsidRPr="00E26EF6">
              <w:rPr>
                <w:rFonts w:ascii="Times New Roman" w:hAnsi="Times New Roman"/>
                <w:sz w:val="24"/>
              </w:rPr>
              <w:t xml:space="preserve">ach odnośnych AVA na poziomie kategorii. </w:t>
            </w:r>
          </w:p>
          <w:p w14:paraId="3AE233E0" w14:textId="7CD26CAF"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Kolumny 0130</w:t>
            </w:r>
            <w:r w:rsidR="00E26EF6" w:rsidRPr="00E26EF6">
              <w:rPr>
                <w:rFonts w:ascii="Times New Roman" w:hAnsi="Times New Roman"/>
                <w:sz w:val="24"/>
              </w:rPr>
              <w:t xml:space="preserve"> i 0</w:t>
            </w:r>
            <w:r w:rsidRPr="00E26EF6">
              <w:rPr>
                <w:rFonts w:ascii="Times New Roman" w:hAnsi="Times New Roman"/>
                <w:sz w:val="24"/>
              </w:rPr>
              <w:t>140: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uwzględnionych</w:t>
            </w:r>
            <w:r w:rsidR="00E26EF6" w:rsidRPr="00E26EF6">
              <w:rPr>
                <w:rFonts w:ascii="Times New Roman" w:hAnsi="Times New Roman"/>
                <w:sz w:val="24"/>
              </w:rPr>
              <w:t xml:space="preserve"> w zak</w:t>
            </w:r>
            <w:r w:rsidRPr="00E26EF6">
              <w:rPr>
                <w:rFonts w:ascii="Times New Roman" w:hAnsi="Times New Roman"/>
                <w:sz w:val="24"/>
              </w:rPr>
              <w:t>resie wyliczeń AVA</w:t>
            </w:r>
            <w:r w:rsidR="00E26EF6" w:rsidRPr="00E26EF6">
              <w:rPr>
                <w:rFonts w:ascii="Times New Roman" w:hAnsi="Times New Roman"/>
                <w:sz w:val="24"/>
              </w:rPr>
              <w:t xml:space="preserve"> z tyt</w:t>
            </w:r>
            <w:r w:rsidRPr="00E26EF6">
              <w:rPr>
                <w:rFonts w:ascii="Times New Roman" w:hAnsi="Times New Roman"/>
                <w:sz w:val="24"/>
              </w:rPr>
              <w:t>ułu niezrealizowanych marż kredytowych. Do celów wyliczania tej AVA dokładnie dopasowanych kompensujących się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wyłączonych</w:t>
            </w:r>
            <w:r w:rsidR="00E26EF6" w:rsidRPr="00E26EF6">
              <w:rPr>
                <w:rFonts w:ascii="Times New Roman" w:hAnsi="Times New Roman"/>
                <w:sz w:val="24"/>
              </w:rPr>
              <w:t xml:space="preserve"> z wyl</w:t>
            </w:r>
            <w:r w:rsidRPr="00E26EF6">
              <w:rPr>
                <w:rFonts w:ascii="Times New Roman" w:hAnsi="Times New Roman"/>
                <w:sz w:val="24"/>
              </w:rPr>
              <w:t>iczeń progu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2 rozporządzenia delegowanego (UE) 2016/101, nie można już uznawać za dokładnie dopasowane, kompensujące się pozycje.</w:t>
            </w:r>
          </w:p>
        </w:tc>
      </w:tr>
      <w:tr w:rsidR="00915077" w:rsidRPr="00E26EF6" w14:paraId="2C7204F5" w14:textId="77777777" w:rsidTr="00672D2A">
        <w:tc>
          <w:tcPr>
            <w:tcW w:w="1101" w:type="dxa"/>
          </w:tcPr>
          <w:p w14:paraId="246E982D"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0060</w:t>
            </w:r>
          </w:p>
        </w:tc>
        <w:tc>
          <w:tcPr>
            <w:tcW w:w="8187" w:type="dxa"/>
            <w:shd w:val="clear" w:color="auto" w:fill="auto"/>
          </w:tcPr>
          <w:p w14:paraId="41D0B6DC" w14:textId="77777777" w:rsidR="00915077" w:rsidRPr="00E26EF6" w:rsidRDefault="00973707">
            <w:pPr>
              <w:spacing w:beforeLines="60" w:before="144" w:afterLines="60" w:after="144"/>
              <w:rPr>
                <w:rFonts w:ascii="Times New Roman" w:hAnsi="Times New Roman"/>
                <w:b/>
                <w:sz w:val="24"/>
                <w:u w:val="single"/>
              </w:rPr>
            </w:pPr>
            <w:r w:rsidRPr="00E26EF6">
              <w:rPr>
                <w:rFonts w:ascii="Times New Roman" w:hAnsi="Times New Roman"/>
                <w:b/>
                <w:sz w:val="24"/>
                <w:u w:val="single"/>
              </w:rPr>
              <w:t xml:space="preserve">W TYM: AVA Z TYTUŁU KOSZTÓW INWESTYCJI I FINANSOWANIA </w:t>
            </w:r>
          </w:p>
          <w:p w14:paraId="7F03FED1" w14:textId="70984F8C" w:rsidR="00915077" w:rsidRPr="00E26EF6" w:rsidRDefault="00973707">
            <w:pPr>
              <w:spacing w:beforeLines="60" w:before="144" w:afterLines="60" w:after="144"/>
              <w:rPr>
                <w:rFonts w:ascii="Times New Roman" w:hAnsi="Times New Roman"/>
                <w:caps/>
                <w:sz w:val="24"/>
                <w:u w:val="single"/>
              </w:rPr>
            </w:pPr>
            <w:r w:rsidRPr="00E26EF6">
              <w:rPr>
                <w:rFonts w:ascii="Times New Roman" w:hAnsi="Times New Roman"/>
                <w:sz w:val="24"/>
              </w:rPr>
              <w:t>Art. 105 ust.</w:t>
            </w:r>
            <w:r w:rsidR="00023409" w:rsidRPr="00E26EF6">
              <w:rPr>
                <w:rFonts w:ascii="Times New Roman" w:hAnsi="Times New Roman"/>
                <w:sz w:val="24"/>
              </w:rPr>
              <w:t> </w:t>
            </w:r>
            <w:r w:rsidRPr="00E26EF6">
              <w:rPr>
                <w:rFonts w:ascii="Times New Roman" w:hAnsi="Times New Roman"/>
                <w:sz w:val="24"/>
              </w:rPr>
              <w:t>10 CRR, art.</w:t>
            </w:r>
            <w:r w:rsidR="00023409" w:rsidRPr="00E26EF6">
              <w:rPr>
                <w:rFonts w:ascii="Times New Roman" w:hAnsi="Times New Roman"/>
                <w:sz w:val="24"/>
              </w:rPr>
              <w:t> </w:t>
            </w:r>
            <w:r w:rsidRPr="00E26EF6">
              <w:rPr>
                <w:rFonts w:ascii="Times New Roman" w:hAnsi="Times New Roman"/>
                <w:sz w:val="24"/>
              </w:rPr>
              <w:t>17 rozporządzenia delegowanego (UE) 2016/101.</w:t>
            </w:r>
          </w:p>
          <w:p w14:paraId="5753A384" w14:textId="60D80643"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Całkowita AVA obliczona</w:t>
            </w:r>
            <w:r w:rsidR="00E26EF6" w:rsidRPr="00E26EF6">
              <w:rPr>
                <w:rFonts w:ascii="Times New Roman" w:hAnsi="Times New Roman"/>
                <w:sz w:val="24"/>
              </w:rPr>
              <w:t xml:space="preserve"> w odn</w:t>
            </w:r>
            <w:r w:rsidRPr="00E26EF6">
              <w:rPr>
                <w:rFonts w:ascii="Times New Roman" w:hAnsi="Times New Roman"/>
                <w:sz w:val="24"/>
              </w:rPr>
              <w:t>iesieniu do kosztów inwestycji</w:t>
            </w:r>
            <w:r w:rsidR="00E26EF6" w:rsidRPr="00E26EF6">
              <w:rPr>
                <w:rFonts w:ascii="Times New Roman" w:hAnsi="Times New Roman"/>
                <w:sz w:val="24"/>
              </w:rPr>
              <w:t xml:space="preserve"> i fin</w:t>
            </w:r>
            <w:r w:rsidRPr="00E26EF6">
              <w:rPr>
                <w:rFonts w:ascii="Times New Roman" w:hAnsi="Times New Roman"/>
                <w:sz w:val="24"/>
              </w:rPr>
              <w:t>ansowania oraz jej przyporządkowanie do AVA</w:t>
            </w:r>
            <w:r w:rsidR="00E26EF6" w:rsidRPr="00E26EF6">
              <w:rPr>
                <w:rFonts w:ascii="Times New Roman" w:hAnsi="Times New Roman"/>
                <w:sz w:val="24"/>
              </w:rPr>
              <w:t xml:space="preserve"> z tyt</w:t>
            </w:r>
            <w:r w:rsidRPr="00E26EF6">
              <w:rPr>
                <w:rFonts w:ascii="Times New Roman" w:hAnsi="Times New Roman"/>
                <w:sz w:val="24"/>
              </w:rPr>
              <w:t>ułu niepewności dotyczącej cen rynkowych, kosztów zamknięcia lub ryzyka modelu na podstawie art.</w:t>
            </w:r>
            <w:r w:rsidR="00023409" w:rsidRPr="00E26EF6">
              <w:rPr>
                <w:rFonts w:ascii="Times New Roman" w:hAnsi="Times New Roman"/>
                <w:sz w:val="24"/>
              </w:rPr>
              <w:t> </w:t>
            </w:r>
            <w:r w:rsidRPr="00E26EF6">
              <w:rPr>
                <w:rFonts w:ascii="Times New Roman" w:hAnsi="Times New Roman"/>
                <w:sz w:val="24"/>
              </w:rPr>
              <w:t xml:space="preserve">13 rozporządzenia delegowanego (UE) 2016/101. </w:t>
            </w:r>
          </w:p>
          <w:p w14:paraId="3EB4E814" w14:textId="377ACCC4"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Kolumna 0110: całkowitą AVA podaje się tylko</w:t>
            </w:r>
            <w:r w:rsidR="00E26EF6" w:rsidRPr="00E26EF6">
              <w:rPr>
                <w:rFonts w:ascii="Times New Roman" w:hAnsi="Times New Roman"/>
                <w:sz w:val="24"/>
              </w:rPr>
              <w:t xml:space="preserve"> w cel</w:t>
            </w:r>
            <w:r w:rsidRPr="00E26EF6">
              <w:rPr>
                <w:rFonts w:ascii="Times New Roman" w:hAnsi="Times New Roman"/>
                <w:sz w:val="24"/>
              </w:rPr>
              <w:t>ach informacyjnych, ponieważ jej podział pomiędzy AVA</w:t>
            </w:r>
            <w:r w:rsidR="00E26EF6" w:rsidRPr="00E26EF6">
              <w:rPr>
                <w:rFonts w:ascii="Times New Roman" w:hAnsi="Times New Roman"/>
                <w:sz w:val="24"/>
              </w:rPr>
              <w:t xml:space="preserve"> z tyt</w:t>
            </w:r>
            <w:r w:rsidRPr="00E26EF6">
              <w:rPr>
                <w:rFonts w:ascii="Times New Roman" w:hAnsi="Times New Roman"/>
                <w:sz w:val="24"/>
              </w:rPr>
              <w:t xml:space="preserve">ułu niepewności dotyczącej cen rynkowych, kosztów zamknięcia lub ryzyka </w:t>
            </w:r>
            <w:r w:rsidRPr="00E26EF6">
              <w:rPr>
                <w:rFonts w:ascii="Times New Roman" w:hAnsi="Times New Roman"/>
                <w:sz w:val="24"/>
              </w:rPr>
              <w:lastRenderedPageBreak/>
              <w:t>modelu prowadzi do jej uwzględnienia – po uwzględnieniu korzyści</w:t>
            </w:r>
            <w:r w:rsidR="00E26EF6" w:rsidRPr="00E26EF6">
              <w:rPr>
                <w:rFonts w:ascii="Times New Roman" w:hAnsi="Times New Roman"/>
                <w:sz w:val="24"/>
              </w:rPr>
              <w:t xml:space="preserve"> z dyw</w:t>
            </w:r>
            <w:r w:rsidRPr="00E26EF6">
              <w:rPr>
                <w:rFonts w:ascii="Times New Roman" w:hAnsi="Times New Roman"/>
                <w:sz w:val="24"/>
              </w:rPr>
              <w:t>ersyfikacji –</w:t>
            </w:r>
            <w:r w:rsidR="00E26EF6" w:rsidRPr="00E26EF6">
              <w:rPr>
                <w:rFonts w:ascii="Times New Roman" w:hAnsi="Times New Roman"/>
                <w:sz w:val="24"/>
              </w:rPr>
              <w:t xml:space="preserve"> w ram</w:t>
            </w:r>
            <w:r w:rsidRPr="00E26EF6">
              <w:rPr>
                <w:rFonts w:ascii="Times New Roman" w:hAnsi="Times New Roman"/>
                <w:sz w:val="24"/>
              </w:rPr>
              <w:t xml:space="preserve">ach odnośnych AVA na poziomie kategorii. </w:t>
            </w:r>
          </w:p>
          <w:p w14:paraId="3D381B09" w14:textId="5FDD9183"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Kolumny 0130</w:t>
            </w:r>
            <w:r w:rsidR="00E26EF6" w:rsidRPr="00E26EF6">
              <w:rPr>
                <w:rFonts w:ascii="Times New Roman" w:hAnsi="Times New Roman"/>
                <w:sz w:val="24"/>
              </w:rPr>
              <w:t xml:space="preserve"> i 0</w:t>
            </w:r>
            <w:r w:rsidRPr="00E26EF6">
              <w:rPr>
                <w:rFonts w:ascii="Times New Roman" w:hAnsi="Times New Roman"/>
                <w:sz w:val="24"/>
              </w:rPr>
              <w:t>140: 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uwzględnionych</w:t>
            </w:r>
            <w:r w:rsidR="00E26EF6" w:rsidRPr="00E26EF6">
              <w:rPr>
                <w:rFonts w:ascii="Times New Roman" w:hAnsi="Times New Roman"/>
                <w:sz w:val="24"/>
              </w:rPr>
              <w:t xml:space="preserve"> w zak</w:t>
            </w:r>
            <w:r w:rsidRPr="00E26EF6">
              <w:rPr>
                <w:rFonts w:ascii="Times New Roman" w:hAnsi="Times New Roman"/>
                <w:sz w:val="24"/>
              </w:rPr>
              <w:t>resie wyliczeń AVA</w:t>
            </w:r>
            <w:r w:rsidR="00E26EF6" w:rsidRPr="00E26EF6">
              <w:rPr>
                <w:rFonts w:ascii="Times New Roman" w:hAnsi="Times New Roman"/>
                <w:sz w:val="24"/>
              </w:rPr>
              <w:t xml:space="preserve"> z tyt</w:t>
            </w:r>
            <w:r w:rsidRPr="00E26EF6">
              <w:rPr>
                <w:rFonts w:ascii="Times New Roman" w:hAnsi="Times New Roman"/>
                <w:sz w:val="24"/>
              </w:rPr>
              <w:t>ułu kosztów inwestycji</w:t>
            </w:r>
            <w:r w:rsidR="00E26EF6" w:rsidRPr="00E26EF6">
              <w:rPr>
                <w:rFonts w:ascii="Times New Roman" w:hAnsi="Times New Roman"/>
                <w:sz w:val="24"/>
              </w:rPr>
              <w:t xml:space="preserve"> i fin</w:t>
            </w:r>
            <w:r w:rsidRPr="00E26EF6">
              <w:rPr>
                <w:rFonts w:ascii="Times New Roman" w:hAnsi="Times New Roman"/>
                <w:sz w:val="24"/>
              </w:rPr>
              <w:t>ansowania. Do celów wyliczania tej AVA dokładnie dopasowanych kompensujących się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wyłączonych</w:t>
            </w:r>
            <w:r w:rsidR="00E26EF6" w:rsidRPr="00E26EF6">
              <w:rPr>
                <w:rFonts w:ascii="Times New Roman" w:hAnsi="Times New Roman"/>
                <w:sz w:val="24"/>
              </w:rPr>
              <w:t xml:space="preserve"> z wyl</w:t>
            </w:r>
            <w:r w:rsidRPr="00E26EF6">
              <w:rPr>
                <w:rFonts w:ascii="Times New Roman" w:hAnsi="Times New Roman"/>
                <w:sz w:val="24"/>
              </w:rPr>
              <w:t>iczeń progu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4 ust.</w:t>
            </w:r>
            <w:r w:rsidR="00023409" w:rsidRPr="00E26EF6">
              <w:rPr>
                <w:rFonts w:ascii="Times New Roman" w:hAnsi="Times New Roman"/>
                <w:sz w:val="24"/>
              </w:rPr>
              <w:t> </w:t>
            </w:r>
            <w:r w:rsidRPr="00E26EF6">
              <w:rPr>
                <w:rFonts w:ascii="Times New Roman" w:hAnsi="Times New Roman"/>
                <w:sz w:val="24"/>
              </w:rPr>
              <w:t>2 rozporządzenia delegowanego (UE) 2016/101, nie można już uznawać za dokładnie dopasowane, kompensujące się pozycje.</w:t>
            </w:r>
          </w:p>
        </w:tc>
      </w:tr>
      <w:tr w:rsidR="00915077" w:rsidRPr="00E26EF6" w14:paraId="35A14394" w14:textId="77777777" w:rsidTr="00672D2A">
        <w:tc>
          <w:tcPr>
            <w:tcW w:w="1101" w:type="dxa"/>
          </w:tcPr>
          <w:p w14:paraId="2D34F8EE"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0070</w:t>
            </w:r>
          </w:p>
        </w:tc>
        <w:tc>
          <w:tcPr>
            <w:tcW w:w="8187" w:type="dxa"/>
          </w:tcPr>
          <w:p w14:paraId="643E98B4" w14:textId="77777777" w:rsidR="00915077" w:rsidRPr="00E26EF6" w:rsidRDefault="00973707">
            <w:pPr>
              <w:spacing w:beforeLines="60" w:before="144" w:afterLines="60" w:after="144"/>
              <w:rPr>
                <w:rFonts w:ascii="Times New Roman" w:hAnsi="Times New Roman"/>
                <w:b/>
                <w:sz w:val="24"/>
                <w:u w:val="single"/>
              </w:rPr>
            </w:pPr>
            <w:r w:rsidRPr="00E26EF6">
              <w:rPr>
                <w:rFonts w:ascii="Times New Roman" w:hAnsi="Times New Roman"/>
                <w:b/>
                <w:sz w:val="24"/>
                <w:u w:val="single"/>
              </w:rPr>
              <w:t>W TYM: AVA OSZACOWANA JAKO MAJĄCA WARTOŚĆ ZERO NA PODSTAWIE ART. 9 UST. 2</w:t>
            </w:r>
            <w:r w:rsidRPr="00E26EF6">
              <w:rPr>
                <w:rFonts w:ascii="Times New Roman" w:hAnsi="Times New Roman"/>
                <w:sz w:val="24"/>
              </w:rPr>
              <w:t xml:space="preserve"> </w:t>
            </w:r>
            <w:r w:rsidRPr="00E26EF6">
              <w:rPr>
                <w:rFonts w:ascii="Times New Roman" w:hAnsi="Times New Roman"/>
                <w:b/>
                <w:caps/>
                <w:sz w:val="24"/>
              </w:rPr>
              <w:t>rozporządzenia delegowanego (UE) 2016/101</w:t>
            </w:r>
          </w:p>
          <w:p w14:paraId="50750DDA" w14:textId="5BE53487"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odpowiadająca ekspozycjom</w:t>
            </w:r>
            <w:r w:rsidR="00E26EF6" w:rsidRPr="00E26EF6">
              <w:rPr>
                <w:rFonts w:ascii="Times New Roman" w:hAnsi="Times New Roman"/>
                <w:sz w:val="24"/>
              </w:rPr>
              <w:t xml:space="preserve"> z tyt</w:t>
            </w:r>
            <w:r w:rsidRPr="00E26EF6">
              <w:rPr>
                <w:rFonts w:ascii="Times New Roman" w:hAnsi="Times New Roman"/>
                <w:sz w:val="24"/>
              </w:rPr>
              <w:t>ułu wyceny,</w:t>
            </w:r>
            <w:r w:rsidR="00E26EF6" w:rsidRPr="00E26EF6">
              <w:rPr>
                <w:rFonts w:ascii="Times New Roman" w:hAnsi="Times New Roman"/>
                <w:sz w:val="24"/>
              </w:rPr>
              <w:t xml:space="preserve"> w sto</w:t>
            </w:r>
            <w:r w:rsidRPr="00E26EF6">
              <w:rPr>
                <w:rFonts w:ascii="Times New Roman" w:hAnsi="Times New Roman"/>
                <w:sz w:val="24"/>
              </w:rPr>
              <w:t>sunku do których AVA oszacowano jako mającą wartość zero na podstawie art.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 xml:space="preserve">2 rozporządzenia delegowanego (UE) 2016/101. </w:t>
            </w:r>
          </w:p>
        </w:tc>
      </w:tr>
      <w:tr w:rsidR="00915077" w:rsidRPr="00E26EF6" w14:paraId="510BD45A" w14:textId="77777777" w:rsidTr="00672D2A">
        <w:tc>
          <w:tcPr>
            <w:tcW w:w="1101" w:type="dxa"/>
          </w:tcPr>
          <w:p w14:paraId="06AA6760"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0080</w:t>
            </w:r>
          </w:p>
        </w:tc>
        <w:tc>
          <w:tcPr>
            <w:tcW w:w="8187" w:type="dxa"/>
          </w:tcPr>
          <w:p w14:paraId="524C82D9" w14:textId="43E8EFDB" w:rsidR="00915077" w:rsidRPr="00E26EF6" w:rsidRDefault="00973707">
            <w:pPr>
              <w:spacing w:beforeLines="60" w:before="144" w:afterLines="60" w:after="144"/>
              <w:rPr>
                <w:rFonts w:ascii="Times New Roman" w:hAnsi="Times New Roman"/>
                <w:b/>
                <w:sz w:val="24"/>
                <w:u w:val="single"/>
              </w:rPr>
            </w:pPr>
            <w:r w:rsidRPr="00E26EF6">
              <w:rPr>
                <w:rFonts w:ascii="Times New Roman" w:hAnsi="Times New Roman"/>
                <w:b/>
                <w:sz w:val="24"/>
                <w:u w:val="single"/>
              </w:rPr>
              <w:t>W TYM: AVA OSZACOWANA JAKO MAJĄCA WARTOŚĆ ZERO NA PODSTAWIE ART. 10 UST. 2</w:t>
            </w:r>
            <w:r w:rsidR="00E26EF6" w:rsidRPr="00E26EF6">
              <w:rPr>
                <w:rFonts w:ascii="Times New Roman" w:hAnsi="Times New Roman"/>
                <w:b/>
                <w:sz w:val="24"/>
                <w:u w:val="single"/>
              </w:rPr>
              <w:t xml:space="preserve"> i 3</w:t>
            </w:r>
            <w:r w:rsidRPr="00E26EF6">
              <w:rPr>
                <w:rFonts w:ascii="Times New Roman" w:hAnsi="Times New Roman"/>
                <w:sz w:val="24"/>
              </w:rPr>
              <w:t xml:space="preserve"> </w:t>
            </w:r>
            <w:r w:rsidRPr="00E26EF6">
              <w:rPr>
                <w:rFonts w:ascii="Times New Roman" w:hAnsi="Times New Roman"/>
                <w:b/>
                <w:caps/>
                <w:sz w:val="24"/>
              </w:rPr>
              <w:t>rozporządzenia delegowanego (UE) 2016/101</w:t>
            </w:r>
          </w:p>
          <w:p w14:paraId="5C44A8C7" w14:textId="1D99FF11"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odpowiadająca ekspozycjom</w:t>
            </w:r>
            <w:r w:rsidR="00E26EF6" w:rsidRPr="00E26EF6">
              <w:rPr>
                <w:rFonts w:ascii="Times New Roman" w:hAnsi="Times New Roman"/>
                <w:sz w:val="24"/>
              </w:rPr>
              <w:t xml:space="preserve"> z tyt</w:t>
            </w:r>
            <w:r w:rsidRPr="00E26EF6">
              <w:rPr>
                <w:rFonts w:ascii="Times New Roman" w:hAnsi="Times New Roman"/>
                <w:sz w:val="24"/>
              </w:rPr>
              <w:t>ułu wyceny,</w:t>
            </w:r>
            <w:r w:rsidR="00E26EF6" w:rsidRPr="00E26EF6">
              <w:rPr>
                <w:rFonts w:ascii="Times New Roman" w:hAnsi="Times New Roman"/>
                <w:sz w:val="24"/>
              </w:rPr>
              <w:t xml:space="preserve"> w sto</w:t>
            </w:r>
            <w:r w:rsidRPr="00E26EF6">
              <w:rPr>
                <w:rFonts w:ascii="Times New Roman" w:hAnsi="Times New Roman"/>
                <w:sz w:val="24"/>
              </w:rPr>
              <w:t>sunku do których AVA oszacowano jako mającą wartość zero na podstawie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2 lub</w:t>
            </w:r>
            <w:r w:rsidR="00023409" w:rsidRPr="00E26EF6">
              <w:rPr>
                <w:rFonts w:ascii="Times New Roman" w:hAnsi="Times New Roman"/>
                <w:sz w:val="24"/>
              </w:rPr>
              <w:t> </w:t>
            </w:r>
            <w:r w:rsidRPr="00E26EF6">
              <w:rPr>
                <w:rFonts w:ascii="Times New Roman" w:hAnsi="Times New Roman"/>
                <w:sz w:val="24"/>
              </w:rPr>
              <w:t>3 rozporządzenia delegowanego (UE) 2016/101.</w:t>
            </w:r>
          </w:p>
        </w:tc>
      </w:tr>
      <w:tr w:rsidR="00915077" w:rsidRPr="00E26EF6" w14:paraId="2A570775" w14:textId="77777777" w:rsidTr="00672D2A">
        <w:tc>
          <w:tcPr>
            <w:tcW w:w="1101" w:type="dxa"/>
          </w:tcPr>
          <w:p w14:paraId="4DDE566A"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0090</w:t>
            </w:r>
          </w:p>
        </w:tc>
        <w:tc>
          <w:tcPr>
            <w:tcW w:w="8187" w:type="dxa"/>
          </w:tcPr>
          <w:p w14:paraId="65A5F28D" w14:textId="77777777" w:rsidR="00915077" w:rsidRPr="00E26EF6" w:rsidRDefault="00973707">
            <w:pPr>
              <w:spacing w:beforeLines="60" w:before="144" w:afterLines="60" w:after="144"/>
              <w:rPr>
                <w:rFonts w:ascii="Times New Roman" w:hAnsi="Times New Roman"/>
                <w:b/>
                <w:sz w:val="24"/>
                <w:highlight w:val="lightGray"/>
                <w:u w:val="single"/>
              </w:rPr>
            </w:pPr>
            <w:r w:rsidRPr="00E26EF6">
              <w:rPr>
                <w:rFonts w:ascii="Times New Roman" w:hAnsi="Times New Roman"/>
                <w:b/>
                <w:sz w:val="24"/>
                <w:u w:val="single"/>
              </w:rPr>
              <w:t>1.1.1.1 STOPY PROCENTOWE</w:t>
            </w:r>
          </w:p>
        </w:tc>
      </w:tr>
      <w:tr w:rsidR="00915077" w:rsidRPr="00E26EF6" w14:paraId="02D801FD" w14:textId="77777777" w:rsidTr="00672D2A">
        <w:tc>
          <w:tcPr>
            <w:tcW w:w="1101" w:type="dxa"/>
          </w:tcPr>
          <w:p w14:paraId="67C5CD1F"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0100</w:t>
            </w:r>
          </w:p>
        </w:tc>
        <w:tc>
          <w:tcPr>
            <w:tcW w:w="8187" w:type="dxa"/>
          </w:tcPr>
          <w:p w14:paraId="2A5B1241" w14:textId="77777777" w:rsidR="00915077" w:rsidRPr="00E26EF6" w:rsidRDefault="00AF3D7A">
            <w:pPr>
              <w:spacing w:beforeLines="60" w:before="144" w:afterLines="60" w:after="144"/>
              <w:rPr>
                <w:rFonts w:ascii="Times New Roman" w:hAnsi="Times New Roman"/>
                <w:b/>
                <w:sz w:val="24"/>
                <w:highlight w:val="lightGray"/>
                <w:u w:val="single"/>
              </w:rPr>
            </w:pPr>
            <w:r w:rsidRPr="00E26EF6">
              <w:rPr>
                <w:rFonts w:ascii="Times New Roman" w:hAnsi="Times New Roman"/>
                <w:b/>
                <w:sz w:val="24"/>
                <w:u w:val="single"/>
              </w:rPr>
              <w:t>1.1.1.2 WALUTY OBCE</w:t>
            </w:r>
          </w:p>
        </w:tc>
      </w:tr>
      <w:tr w:rsidR="00915077" w:rsidRPr="00E26EF6" w14:paraId="57F104B5" w14:textId="77777777" w:rsidTr="00672D2A">
        <w:tc>
          <w:tcPr>
            <w:tcW w:w="1101" w:type="dxa"/>
          </w:tcPr>
          <w:p w14:paraId="33D0E721"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0110</w:t>
            </w:r>
          </w:p>
        </w:tc>
        <w:tc>
          <w:tcPr>
            <w:tcW w:w="8187" w:type="dxa"/>
          </w:tcPr>
          <w:p w14:paraId="703FBAE0" w14:textId="77777777" w:rsidR="00915077" w:rsidRPr="00E26EF6" w:rsidRDefault="00AF3D7A">
            <w:pPr>
              <w:spacing w:beforeLines="60" w:before="144" w:afterLines="60" w:after="144"/>
              <w:rPr>
                <w:rFonts w:ascii="Times New Roman" w:hAnsi="Times New Roman"/>
                <w:b/>
                <w:sz w:val="24"/>
                <w:highlight w:val="lightGray"/>
                <w:u w:val="single"/>
              </w:rPr>
            </w:pPr>
            <w:r w:rsidRPr="00E26EF6">
              <w:rPr>
                <w:rFonts w:ascii="Times New Roman" w:hAnsi="Times New Roman"/>
                <w:b/>
                <w:sz w:val="24"/>
                <w:u w:val="single"/>
              </w:rPr>
              <w:t>1.1.1.3 KREDYTY</w:t>
            </w:r>
          </w:p>
        </w:tc>
      </w:tr>
      <w:tr w:rsidR="00915077" w:rsidRPr="00E26EF6" w14:paraId="541FE3D7" w14:textId="77777777" w:rsidTr="00672D2A">
        <w:tc>
          <w:tcPr>
            <w:tcW w:w="1101" w:type="dxa"/>
          </w:tcPr>
          <w:p w14:paraId="544E6BCB"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0120</w:t>
            </w:r>
          </w:p>
        </w:tc>
        <w:tc>
          <w:tcPr>
            <w:tcW w:w="8187" w:type="dxa"/>
          </w:tcPr>
          <w:p w14:paraId="5F8A34FE" w14:textId="77777777" w:rsidR="00915077" w:rsidRPr="00E26EF6" w:rsidRDefault="00AF3D7A">
            <w:pPr>
              <w:spacing w:beforeLines="60" w:before="144" w:afterLines="60" w:after="144"/>
              <w:rPr>
                <w:rFonts w:ascii="Times New Roman" w:hAnsi="Times New Roman"/>
                <w:b/>
                <w:sz w:val="24"/>
                <w:highlight w:val="lightGray"/>
                <w:u w:val="single"/>
              </w:rPr>
            </w:pPr>
            <w:r w:rsidRPr="00E26EF6">
              <w:rPr>
                <w:rFonts w:ascii="Times New Roman" w:hAnsi="Times New Roman"/>
                <w:b/>
                <w:sz w:val="24"/>
                <w:u w:val="single"/>
              </w:rPr>
              <w:t>1.1.1.4 PAPIERY KAPITAŁOWE</w:t>
            </w:r>
          </w:p>
        </w:tc>
      </w:tr>
      <w:tr w:rsidR="00915077" w:rsidRPr="00E26EF6" w14:paraId="4E2CC4F8" w14:textId="77777777" w:rsidTr="00672D2A">
        <w:tc>
          <w:tcPr>
            <w:tcW w:w="1101" w:type="dxa"/>
          </w:tcPr>
          <w:p w14:paraId="66749AB3"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0130</w:t>
            </w:r>
          </w:p>
        </w:tc>
        <w:tc>
          <w:tcPr>
            <w:tcW w:w="8187" w:type="dxa"/>
          </w:tcPr>
          <w:p w14:paraId="225FBEF0" w14:textId="77777777" w:rsidR="00915077" w:rsidRPr="00E26EF6" w:rsidRDefault="00973707">
            <w:pPr>
              <w:spacing w:beforeLines="60" w:before="144" w:afterLines="60" w:after="144"/>
              <w:rPr>
                <w:rFonts w:ascii="Times New Roman" w:hAnsi="Times New Roman"/>
                <w:b/>
                <w:sz w:val="24"/>
                <w:highlight w:val="lightGray"/>
                <w:u w:val="single"/>
              </w:rPr>
            </w:pPr>
            <w:r w:rsidRPr="00E26EF6">
              <w:rPr>
                <w:rFonts w:ascii="Times New Roman" w:hAnsi="Times New Roman"/>
                <w:b/>
                <w:sz w:val="24"/>
                <w:u w:val="single"/>
              </w:rPr>
              <w:t>1.1.1.5 TOWARY</w:t>
            </w:r>
          </w:p>
        </w:tc>
      </w:tr>
      <w:tr w:rsidR="00915077" w:rsidRPr="00E26EF6" w14:paraId="4C68EC7C" w14:textId="77777777" w:rsidTr="00672D2A">
        <w:tc>
          <w:tcPr>
            <w:tcW w:w="1101" w:type="dxa"/>
          </w:tcPr>
          <w:p w14:paraId="268D3862"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0140</w:t>
            </w:r>
          </w:p>
        </w:tc>
        <w:tc>
          <w:tcPr>
            <w:tcW w:w="8187" w:type="dxa"/>
          </w:tcPr>
          <w:p w14:paraId="12B8DCB9" w14:textId="037E38F3" w:rsidR="00915077" w:rsidRPr="00E26EF6" w:rsidRDefault="00973707">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1.1.2 (-) Korzyści</w:t>
            </w:r>
            <w:r w:rsidR="00E26EF6" w:rsidRPr="00E26EF6">
              <w:rPr>
                <w:rFonts w:ascii="Times New Roman" w:hAnsi="Times New Roman"/>
                <w:b/>
                <w:caps/>
                <w:sz w:val="24"/>
                <w:u w:val="single"/>
              </w:rPr>
              <w:t xml:space="preserve"> z dyw</w:t>
            </w:r>
            <w:r w:rsidRPr="00E26EF6">
              <w:rPr>
                <w:rFonts w:ascii="Times New Roman" w:hAnsi="Times New Roman"/>
                <w:b/>
                <w:caps/>
                <w:sz w:val="24"/>
                <w:u w:val="single"/>
              </w:rPr>
              <w:t>ersyfikacji</w:t>
            </w:r>
          </w:p>
          <w:p w14:paraId="58F865DE" w14:textId="26172ABD"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Całkowita korzyść</w:t>
            </w:r>
            <w:r w:rsidR="00E26EF6" w:rsidRPr="00E26EF6">
              <w:rPr>
                <w:rFonts w:ascii="Times New Roman" w:hAnsi="Times New Roman"/>
                <w:sz w:val="24"/>
              </w:rPr>
              <w:t xml:space="preserve"> z dyw</w:t>
            </w:r>
            <w:r w:rsidRPr="00E26EF6">
              <w:rPr>
                <w:rFonts w:ascii="Times New Roman" w:hAnsi="Times New Roman"/>
                <w:sz w:val="24"/>
              </w:rPr>
              <w:t>ersyfikacji. Suma wierszy 0150</w:t>
            </w:r>
            <w:r w:rsidR="00E26EF6" w:rsidRPr="00E26EF6">
              <w:rPr>
                <w:rFonts w:ascii="Times New Roman" w:hAnsi="Times New Roman"/>
                <w:sz w:val="24"/>
              </w:rPr>
              <w:t xml:space="preserve"> i 0</w:t>
            </w:r>
            <w:r w:rsidRPr="00E26EF6">
              <w:rPr>
                <w:rFonts w:ascii="Times New Roman" w:hAnsi="Times New Roman"/>
                <w:sz w:val="24"/>
              </w:rPr>
              <w:t>160.</w:t>
            </w:r>
          </w:p>
        </w:tc>
      </w:tr>
      <w:tr w:rsidR="00915077" w:rsidRPr="00E26EF6" w14:paraId="18A6928D" w14:textId="77777777" w:rsidTr="00672D2A">
        <w:tc>
          <w:tcPr>
            <w:tcW w:w="1101" w:type="dxa"/>
          </w:tcPr>
          <w:p w14:paraId="70452E08"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0150</w:t>
            </w:r>
          </w:p>
        </w:tc>
        <w:tc>
          <w:tcPr>
            <w:tcW w:w="8187" w:type="dxa"/>
          </w:tcPr>
          <w:p w14:paraId="2903D2B5" w14:textId="63409B56" w:rsidR="00915077" w:rsidRPr="00E26EF6" w:rsidRDefault="00973707">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1.1.2.1 (-) Korzyść</w:t>
            </w:r>
            <w:r w:rsidR="00E26EF6" w:rsidRPr="00E26EF6">
              <w:rPr>
                <w:rFonts w:ascii="Times New Roman" w:hAnsi="Times New Roman"/>
                <w:b/>
                <w:caps/>
                <w:sz w:val="24"/>
                <w:u w:val="single"/>
              </w:rPr>
              <w:t xml:space="preserve"> z dyw</w:t>
            </w:r>
            <w:r w:rsidRPr="00E26EF6">
              <w:rPr>
                <w:rFonts w:ascii="Times New Roman" w:hAnsi="Times New Roman"/>
                <w:b/>
                <w:caps/>
                <w:sz w:val="24"/>
                <w:u w:val="single"/>
              </w:rPr>
              <w:t>ersyfikacji obliczona przy użyciu metody 1</w:t>
            </w:r>
          </w:p>
          <w:p w14:paraId="12B72F84" w14:textId="5E49C4BA"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Dla kategorii AVA zagregowanych przy użyciu metody 1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6,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7, art.</w:t>
            </w:r>
            <w:r w:rsidR="00023409" w:rsidRPr="00E26EF6">
              <w:rPr>
                <w:rFonts w:ascii="Times New Roman" w:hAnsi="Times New Roman"/>
                <w:sz w:val="24"/>
              </w:rPr>
              <w:t> </w:t>
            </w:r>
            <w:r w:rsidRPr="00E26EF6">
              <w:rPr>
                <w:rFonts w:ascii="Times New Roman" w:hAnsi="Times New Roman"/>
                <w:sz w:val="24"/>
              </w:rPr>
              <w:t>11 ust.</w:t>
            </w:r>
            <w:r w:rsidR="00023409" w:rsidRPr="00E26EF6">
              <w:rPr>
                <w:rFonts w:ascii="Times New Roman" w:hAnsi="Times New Roman"/>
                <w:sz w:val="24"/>
              </w:rPr>
              <w:t> </w:t>
            </w:r>
            <w:r w:rsidRPr="00E26EF6">
              <w:rPr>
                <w:rFonts w:ascii="Times New Roman" w:hAnsi="Times New Roman"/>
                <w:sz w:val="24"/>
              </w:rPr>
              <w:t>6 rozporządzenia delegowanego (UE) 2016/101 – różnica między sumą indywidualnych AVA</w:t>
            </w:r>
            <w:r w:rsidR="00E26EF6" w:rsidRPr="00E26EF6">
              <w:rPr>
                <w:rFonts w:ascii="Times New Roman" w:hAnsi="Times New Roman"/>
                <w:sz w:val="24"/>
              </w:rPr>
              <w:t xml:space="preserve"> a cał</w:t>
            </w:r>
            <w:r w:rsidRPr="00E26EF6">
              <w:rPr>
                <w:rFonts w:ascii="Times New Roman" w:hAnsi="Times New Roman"/>
                <w:sz w:val="24"/>
              </w:rPr>
              <w:t>kowitą AVA na poziomie kategorii po skorygowaniu</w:t>
            </w:r>
            <w:r w:rsidR="00E26EF6" w:rsidRPr="00E26EF6">
              <w:rPr>
                <w:rFonts w:ascii="Times New Roman" w:hAnsi="Times New Roman"/>
                <w:sz w:val="24"/>
              </w:rPr>
              <w:t xml:space="preserve"> o sku</w:t>
            </w:r>
            <w:r w:rsidRPr="00E26EF6">
              <w:rPr>
                <w:rFonts w:ascii="Times New Roman" w:hAnsi="Times New Roman"/>
                <w:sz w:val="24"/>
              </w:rPr>
              <w:t>tki agregacji.</w:t>
            </w:r>
          </w:p>
        </w:tc>
      </w:tr>
      <w:tr w:rsidR="00915077" w:rsidRPr="00E26EF6" w14:paraId="04EB1DCD" w14:textId="77777777" w:rsidTr="00672D2A">
        <w:tc>
          <w:tcPr>
            <w:tcW w:w="1101" w:type="dxa"/>
          </w:tcPr>
          <w:p w14:paraId="4950FC85"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0160</w:t>
            </w:r>
          </w:p>
        </w:tc>
        <w:tc>
          <w:tcPr>
            <w:tcW w:w="8187" w:type="dxa"/>
          </w:tcPr>
          <w:p w14:paraId="42F4573A" w14:textId="35BFCF1F" w:rsidR="00915077" w:rsidRPr="00E26EF6" w:rsidRDefault="00973707">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1.1.2.2 (-) Korzyść</w:t>
            </w:r>
            <w:r w:rsidR="00E26EF6" w:rsidRPr="00E26EF6">
              <w:rPr>
                <w:rFonts w:ascii="Times New Roman" w:hAnsi="Times New Roman"/>
                <w:b/>
                <w:caps/>
                <w:sz w:val="24"/>
                <w:u w:val="single"/>
              </w:rPr>
              <w:t xml:space="preserve"> z dyw</w:t>
            </w:r>
            <w:r w:rsidRPr="00E26EF6">
              <w:rPr>
                <w:rFonts w:ascii="Times New Roman" w:hAnsi="Times New Roman"/>
                <w:b/>
                <w:caps/>
                <w:sz w:val="24"/>
                <w:u w:val="single"/>
              </w:rPr>
              <w:t>ersyfikacji obliczona przy użyciu metody 2</w:t>
            </w:r>
          </w:p>
          <w:p w14:paraId="32C32EE7" w14:textId="14F8E230"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Dla kategorii AVA zagregowanych przy użyciu metody 2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9 ust.</w:t>
            </w:r>
            <w:r w:rsidR="00023409" w:rsidRPr="00E26EF6">
              <w:rPr>
                <w:rFonts w:ascii="Times New Roman" w:hAnsi="Times New Roman"/>
                <w:sz w:val="24"/>
              </w:rPr>
              <w:t> </w:t>
            </w:r>
            <w:r w:rsidRPr="00E26EF6">
              <w:rPr>
                <w:rFonts w:ascii="Times New Roman" w:hAnsi="Times New Roman"/>
                <w:sz w:val="24"/>
              </w:rPr>
              <w:t>6, art.</w:t>
            </w:r>
            <w:r w:rsidR="00023409" w:rsidRPr="00E26EF6">
              <w:rPr>
                <w:rFonts w:ascii="Times New Roman" w:hAnsi="Times New Roman"/>
                <w:sz w:val="24"/>
              </w:rPr>
              <w:t> </w:t>
            </w:r>
            <w:r w:rsidRPr="00E26EF6">
              <w:rPr>
                <w:rFonts w:ascii="Times New Roman" w:hAnsi="Times New Roman"/>
                <w:sz w:val="24"/>
              </w:rPr>
              <w:t>10 ust.</w:t>
            </w:r>
            <w:r w:rsidR="00023409" w:rsidRPr="00E26EF6">
              <w:rPr>
                <w:rFonts w:ascii="Times New Roman" w:hAnsi="Times New Roman"/>
                <w:sz w:val="24"/>
              </w:rPr>
              <w:t> </w:t>
            </w:r>
            <w:r w:rsidRPr="00E26EF6">
              <w:rPr>
                <w:rFonts w:ascii="Times New Roman" w:hAnsi="Times New Roman"/>
                <w:sz w:val="24"/>
              </w:rPr>
              <w:t>7, art.</w:t>
            </w:r>
            <w:r w:rsidR="00023409" w:rsidRPr="00E26EF6">
              <w:rPr>
                <w:rFonts w:ascii="Times New Roman" w:hAnsi="Times New Roman"/>
                <w:sz w:val="24"/>
              </w:rPr>
              <w:t> </w:t>
            </w:r>
            <w:r w:rsidRPr="00E26EF6">
              <w:rPr>
                <w:rFonts w:ascii="Times New Roman" w:hAnsi="Times New Roman"/>
                <w:sz w:val="24"/>
              </w:rPr>
              <w:t>11 ust.</w:t>
            </w:r>
            <w:r w:rsidR="00023409" w:rsidRPr="00E26EF6">
              <w:rPr>
                <w:rFonts w:ascii="Times New Roman" w:hAnsi="Times New Roman"/>
                <w:sz w:val="24"/>
              </w:rPr>
              <w:t> </w:t>
            </w:r>
            <w:r w:rsidRPr="00E26EF6">
              <w:rPr>
                <w:rFonts w:ascii="Times New Roman" w:hAnsi="Times New Roman"/>
                <w:sz w:val="24"/>
              </w:rPr>
              <w:t>6 rozporządzenia delegowanego (UE) 2016/101 – różnica między sumą indywidualnych AVA</w:t>
            </w:r>
            <w:r w:rsidR="00E26EF6" w:rsidRPr="00E26EF6">
              <w:rPr>
                <w:rFonts w:ascii="Times New Roman" w:hAnsi="Times New Roman"/>
                <w:sz w:val="24"/>
              </w:rPr>
              <w:t xml:space="preserve"> a cał</w:t>
            </w:r>
            <w:r w:rsidRPr="00E26EF6">
              <w:rPr>
                <w:rFonts w:ascii="Times New Roman" w:hAnsi="Times New Roman"/>
                <w:sz w:val="24"/>
              </w:rPr>
              <w:t>kowitą AVA na poziomie kategorii po skorygowaniu</w:t>
            </w:r>
            <w:r w:rsidR="00E26EF6" w:rsidRPr="00E26EF6">
              <w:rPr>
                <w:rFonts w:ascii="Times New Roman" w:hAnsi="Times New Roman"/>
                <w:sz w:val="24"/>
              </w:rPr>
              <w:t xml:space="preserve"> o sku</w:t>
            </w:r>
            <w:r w:rsidRPr="00E26EF6">
              <w:rPr>
                <w:rFonts w:ascii="Times New Roman" w:hAnsi="Times New Roman"/>
                <w:sz w:val="24"/>
              </w:rPr>
              <w:t>tki agregacji.</w:t>
            </w:r>
          </w:p>
        </w:tc>
      </w:tr>
      <w:tr w:rsidR="00915077" w:rsidRPr="00E26EF6" w14:paraId="092A867D" w14:textId="77777777" w:rsidTr="00672D2A">
        <w:tc>
          <w:tcPr>
            <w:tcW w:w="1101" w:type="dxa"/>
          </w:tcPr>
          <w:p w14:paraId="4AE2F8B2"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0170</w:t>
            </w:r>
          </w:p>
        </w:tc>
        <w:tc>
          <w:tcPr>
            <w:tcW w:w="8187" w:type="dxa"/>
          </w:tcPr>
          <w:p w14:paraId="006B997D" w14:textId="53182AAE" w:rsidR="00915077" w:rsidRPr="00E26EF6" w:rsidRDefault="00973707">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1.1.2.2 * Pozycja uzupełniająca: AVA przed dywersyfikacją zmniejszone</w:t>
            </w:r>
            <w:r w:rsidR="00E26EF6" w:rsidRPr="00E26EF6">
              <w:rPr>
                <w:rFonts w:ascii="Times New Roman" w:hAnsi="Times New Roman"/>
                <w:b/>
                <w:caps/>
                <w:sz w:val="24"/>
                <w:u w:val="single"/>
              </w:rPr>
              <w:t xml:space="preserve"> o pon</w:t>
            </w:r>
            <w:r w:rsidRPr="00E26EF6">
              <w:rPr>
                <w:rFonts w:ascii="Times New Roman" w:hAnsi="Times New Roman"/>
                <w:b/>
                <w:caps/>
                <w:sz w:val="24"/>
                <w:u w:val="single"/>
              </w:rPr>
              <w:t>ad 90</w:t>
            </w:r>
            <w:r w:rsidR="00023409" w:rsidRPr="00E26EF6">
              <w:rPr>
                <w:rFonts w:ascii="Times New Roman" w:hAnsi="Times New Roman"/>
                <w:b/>
                <w:caps/>
                <w:sz w:val="24"/>
                <w:u w:val="single"/>
              </w:rPr>
              <w:t> </w:t>
            </w:r>
            <w:r w:rsidRPr="00E26EF6">
              <w:rPr>
                <w:rFonts w:ascii="Times New Roman" w:hAnsi="Times New Roman"/>
                <w:b/>
                <w:caps/>
                <w:sz w:val="24"/>
                <w:u w:val="single"/>
              </w:rPr>
              <w:t>%</w:t>
            </w:r>
            <w:r w:rsidR="00E26EF6" w:rsidRPr="00E26EF6">
              <w:rPr>
                <w:rFonts w:ascii="Times New Roman" w:hAnsi="Times New Roman"/>
                <w:b/>
                <w:caps/>
                <w:sz w:val="24"/>
                <w:u w:val="single"/>
              </w:rPr>
              <w:t xml:space="preserve"> w wyn</w:t>
            </w:r>
            <w:r w:rsidRPr="00E26EF6">
              <w:rPr>
                <w:rFonts w:ascii="Times New Roman" w:hAnsi="Times New Roman"/>
                <w:b/>
                <w:caps/>
                <w:sz w:val="24"/>
                <w:u w:val="single"/>
              </w:rPr>
              <w:t>iku dywersyfikacji na podstawie metody 2</w:t>
            </w:r>
          </w:p>
          <w:p w14:paraId="3AEBF533" w14:textId="54AB6D5A"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Zgodnie</w:t>
            </w:r>
            <w:r w:rsidR="00E26EF6" w:rsidRPr="00E26EF6">
              <w:rPr>
                <w:rFonts w:ascii="Times New Roman" w:hAnsi="Times New Roman"/>
                <w:sz w:val="24"/>
              </w:rPr>
              <w:t xml:space="preserve"> z ter</w:t>
            </w:r>
            <w:r w:rsidRPr="00E26EF6">
              <w:rPr>
                <w:rFonts w:ascii="Times New Roman" w:hAnsi="Times New Roman"/>
                <w:sz w:val="24"/>
              </w:rPr>
              <w:t>minologią stosowaną</w:t>
            </w:r>
            <w:r w:rsidR="00E26EF6" w:rsidRPr="00E26EF6">
              <w:rPr>
                <w:rFonts w:ascii="Times New Roman" w:hAnsi="Times New Roman"/>
                <w:sz w:val="24"/>
              </w:rPr>
              <w:t xml:space="preserve"> w ram</w:t>
            </w:r>
            <w:r w:rsidRPr="00E26EF6">
              <w:rPr>
                <w:rFonts w:ascii="Times New Roman" w:hAnsi="Times New Roman"/>
                <w:sz w:val="24"/>
              </w:rPr>
              <w:t>ach metody 2 – suma FV – PV dla wszystkich ekspozycji</w:t>
            </w:r>
            <w:r w:rsidR="00E26EF6" w:rsidRPr="00E26EF6">
              <w:rPr>
                <w:rFonts w:ascii="Times New Roman" w:hAnsi="Times New Roman"/>
                <w:sz w:val="24"/>
              </w:rPr>
              <w:t xml:space="preserve"> z tyt</w:t>
            </w:r>
            <w:r w:rsidRPr="00E26EF6">
              <w:rPr>
                <w:rFonts w:ascii="Times New Roman" w:hAnsi="Times New Roman"/>
                <w:sz w:val="24"/>
              </w:rPr>
              <w:t>ułu wyceny, dla których APVA &lt; 10 % (FV – PV).</w:t>
            </w:r>
          </w:p>
        </w:tc>
      </w:tr>
      <w:tr w:rsidR="00915077" w:rsidRPr="00E26EF6" w14:paraId="1E1D23C9" w14:textId="77777777" w:rsidTr="00672D2A">
        <w:tc>
          <w:tcPr>
            <w:tcW w:w="1101" w:type="dxa"/>
          </w:tcPr>
          <w:p w14:paraId="3F762A00"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0180</w:t>
            </w:r>
          </w:p>
        </w:tc>
        <w:tc>
          <w:tcPr>
            <w:tcW w:w="8187" w:type="dxa"/>
          </w:tcPr>
          <w:p w14:paraId="33360B81" w14:textId="77777777" w:rsidR="00915077" w:rsidRPr="00E26EF6" w:rsidRDefault="00973707">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1.2 Portfele obliczane przy użyciu metody rezerwowej</w:t>
            </w:r>
          </w:p>
          <w:p w14:paraId="3B6434F9" w14:textId="4B578FF1" w:rsidR="00915077" w:rsidRPr="00E26EF6" w:rsidRDefault="002F78EA">
            <w:pPr>
              <w:spacing w:beforeLines="60" w:before="144" w:afterLines="60" w:after="144"/>
              <w:rPr>
                <w:rFonts w:ascii="Times New Roman" w:hAnsi="Times New Roman"/>
                <w:sz w:val="24"/>
              </w:rPr>
            </w:pPr>
            <w:r w:rsidRPr="00E26EF6">
              <w:rPr>
                <w:rFonts w:ascii="Times New Roman" w:hAnsi="Times New Roman"/>
                <w:sz w:val="24"/>
              </w:rPr>
              <w:lastRenderedPageBreak/>
              <w:t>Art. 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rozporządzenia delegowanego (UE) 2016/101.</w:t>
            </w:r>
          </w:p>
          <w:p w14:paraId="0E50F785" w14:textId="0ACEF008" w:rsidR="00915077" w:rsidRPr="00E26EF6" w:rsidRDefault="00973707">
            <w:pPr>
              <w:spacing w:beforeLines="60" w:before="144" w:afterLines="60" w:after="144"/>
              <w:rPr>
                <w:rFonts w:ascii="Times New Roman" w:hAnsi="Times New Roman"/>
                <w:sz w:val="24"/>
              </w:rPr>
            </w:pPr>
            <w:r w:rsidRPr="00E26EF6">
              <w:rPr>
                <w:rFonts w:ascii="Times New Roman" w:hAnsi="Times New Roman"/>
                <w:sz w:val="24"/>
              </w:rPr>
              <w:t>W odniesieniu do portfeli podlegających metodzie rezerwowej na podstawie art.</w:t>
            </w:r>
            <w:r w:rsidR="00023409" w:rsidRPr="00E26EF6">
              <w:rPr>
                <w:rFonts w:ascii="Times New Roman" w:hAnsi="Times New Roman"/>
                <w:sz w:val="24"/>
              </w:rPr>
              <w:t> </w:t>
            </w:r>
            <w:r w:rsidRPr="00E26EF6">
              <w:rPr>
                <w:rFonts w:ascii="Times New Roman" w:hAnsi="Times New Roman"/>
                <w:sz w:val="24"/>
              </w:rPr>
              <w:t>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rozporządzenia delegowanego (UE) 2016/101 całkowitą AVA oblicza się jako sumę wierszy 0190, 0200</w:t>
            </w:r>
            <w:r w:rsidR="00E26EF6" w:rsidRPr="00E26EF6">
              <w:rPr>
                <w:rFonts w:ascii="Times New Roman" w:hAnsi="Times New Roman"/>
                <w:sz w:val="24"/>
              </w:rPr>
              <w:t xml:space="preserve"> i 0</w:t>
            </w:r>
            <w:r w:rsidRPr="00E26EF6">
              <w:rPr>
                <w:rFonts w:ascii="Times New Roman" w:hAnsi="Times New Roman"/>
                <w:sz w:val="24"/>
              </w:rPr>
              <w:t xml:space="preserve">210. </w:t>
            </w:r>
          </w:p>
          <w:p w14:paraId="53347298" w14:textId="10490F25" w:rsidR="00915077" w:rsidRPr="00E26EF6" w:rsidRDefault="00973707">
            <w:pPr>
              <w:spacing w:beforeLines="60" w:before="144" w:afterLines="60" w:after="144"/>
              <w:rPr>
                <w:rFonts w:ascii="Times New Roman" w:hAnsi="Times New Roman"/>
                <w:sz w:val="24"/>
                <w:highlight w:val="lightGray"/>
              </w:rPr>
            </w:pPr>
            <w:r w:rsidRPr="00E26EF6">
              <w:rPr>
                <w:rFonts w:ascii="Times New Roman" w:hAnsi="Times New Roman"/>
                <w:sz w:val="24"/>
              </w:rPr>
              <w:t>Istotne informacje bilansowe oraz inne informacje kontekstowe podaje się</w:t>
            </w:r>
            <w:r w:rsidR="00E26EF6" w:rsidRPr="00E26EF6">
              <w:rPr>
                <w:rFonts w:ascii="Times New Roman" w:hAnsi="Times New Roman"/>
                <w:sz w:val="24"/>
              </w:rPr>
              <w:t xml:space="preserve"> w kol</w:t>
            </w:r>
            <w:r w:rsidRPr="00E26EF6">
              <w:rPr>
                <w:rFonts w:ascii="Times New Roman" w:hAnsi="Times New Roman"/>
                <w:sz w:val="24"/>
              </w:rPr>
              <w:t>umnach 0130–0260. Opis pozycji oraz powody, dla których nie można było zastosować art.</w:t>
            </w:r>
            <w:r w:rsidR="00023409" w:rsidRPr="00E26EF6">
              <w:rPr>
                <w:rFonts w:ascii="Times New Roman" w:hAnsi="Times New Roman"/>
                <w:sz w:val="24"/>
              </w:rPr>
              <w:t> </w:t>
            </w:r>
            <w:r w:rsidRPr="00E26EF6">
              <w:rPr>
                <w:rFonts w:ascii="Times New Roman" w:hAnsi="Times New Roman"/>
                <w:sz w:val="24"/>
              </w:rPr>
              <w:t>9–17 rozporządzenia delegowanego (UE) 2016/101, podaje się</w:t>
            </w:r>
            <w:r w:rsidR="00E26EF6" w:rsidRPr="00E26EF6">
              <w:rPr>
                <w:rFonts w:ascii="Times New Roman" w:hAnsi="Times New Roman"/>
                <w:sz w:val="24"/>
              </w:rPr>
              <w:t xml:space="preserve"> w kol</w:t>
            </w:r>
            <w:r w:rsidRPr="00E26EF6">
              <w:rPr>
                <w:rFonts w:ascii="Times New Roman" w:hAnsi="Times New Roman"/>
                <w:sz w:val="24"/>
              </w:rPr>
              <w:t xml:space="preserve">umnie 0270. </w:t>
            </w:r>
          </w:p>
        </w:tc>
      </w:tr>
      <w:tr w:rsidR="00915077" w:rsidRPr="00E26EF6" w14:paraId="4232FEB6" w14:textId="77777777" w:rsidTr="00672D2A">
        <w:tc>
          <w:tcPr>
            <w:tcW w:w="1101" w:type="dxa"/>
          </w:tcPr>
          <w:p w14:paraId="5EF2A571"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0190</w:t>
            </w:r>
          </w:p>
        </w:tc>
        <w:tc>
          <w:tcPr>
            <w:tcW w:w="8187" w:type="dxa"/>
          </w:tcPr>
          <w:p w14:paraId="1DC1CE93" w14:textId="0090652B" w:rsidR="00915077" w:rsidRPr="00E26EF6" w:rsidRDefault="00973707">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1.2.1 Metoda rezerwowa; 100</w:t>
            </w:r>
            <w:r w:rsidR="00023409" w:rsidRPr="00E26EF6">
              <w:rPr>
                <w:rFonts w:ascii="Times New Roman" w:hAnsi="Times New Roman"/>
                <w:b/>
                <w:caps/>
                <w:sz w:val="24"/>
                <w:u w:val="single"/>
              </w:rPr>
              <w:t> </w:t>
            </w:r>
            <w:r w:rsidRPr="00E26EF6">
              <w:rPr>
                <w:rFonts w:ascii="Times New Roman" w:hAnsi="Times New Roman"/>
                <w:b/>
                <w:caps/>
                <w:sz w:val="24"/>
                <w:u w:val="single"/>
              </w:rPr>
              <w:t>% niezrealizowanego zysku</w:t>
            </w:r>
          </w:p>
          <w:p w14:paraId="2F1E8DCF" w14:textId="482DEE23" w:rsidR="00915077" w:rsidRPr="00E26EF6" w:rsidRDefault="002F78EA">
            <w:pPr>
              <w:spacing w:beforeLines="60" w:before="144" w:afterLines="60" w:after="144"/>
              <w:rPr>
                <w:rFonts w:ascii="Times New Roman" w:hAnsi="Times New Roman"/>
                <w:sz w:val="24"/>
                <w:highlight w:val="lightGray"/>
              </w:rPr>
            </w:pPr>
            <w:r w:rsidRPr="00E26EF6">
              <w:rPr>
                <w:rFonts w:ascii="Times New Roman" w:hAnsi="Times New Roman"/>
                <w:sz w:val="24"/>
              </w:rPr>
              <w:t>Art. 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ppkt (i) rozporządzenia delegowanego (UE) 2016/101.</w:t>
            </w:r>
          </w:p>
        </w:tc>
      </w:tr>
      <w:tr w:rsidR="00915077" w:rsidRPr="00E26EF6" w14:paraId="709A9A24" w14:textId="77777777" w:rsidTr="00672D2A">
        <w:tc>
          <w:tcPr>
            <w:tcW w:w="1101" w:type="dxa"/>
          </w:tcPr>
          <w:p w14:paraId="39627504"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0200</w:t>
            </w:r>
          </w:p>
        </w:tc>
        <w:tc>
          <w:tcPr>
            <w:tcW w:w="8187" w:type="dxa"/>
          </w:tcPr>
          <w:p w14:paraId="112FFFAF" w14:textId="45CE7D7C" w:rsidR="00915077" w:rsidRPr="00E26EF6" w:rsidRDefault="00973707">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1.2.2 Metoda rezerwowa; 10</w:t>
            </w:r>
            <w:r w:rsidR="00023409" w:rsidRPr="00E26EF6">
              <w:rPr>
                <w:rFonts w:ascii="Times New Roman" w:hAnsi="Times New Roman"/>
                <w:b/>
                <w:caps/>
                <w:sz w:val="24"/>
                <w:u w:val="single"/>
              </w:rPr>
              <w:t> </w:t>
            </w:r>
            <w:r w:rsidRPr="00E26EF6">
              <w:rPr>
                <w:rFonts w:ascii="Times New Roman" w:hAnsi="Times New Roman"/>
                <w:b/>
                <w:caps/>
                <w:sz w:val="24"/>
                <w:u w:val="single"/>
              </w:rPr>
              <w:t>% wartości referencyjnej</w:t>
            </w:r>
          </w:p>
          <w:p w14:paraId="79709F42" w14:textId="5D9476C1" w:rsidR="00915077" w:rsidRPr="00E26EF6" w:rsidRDefault="002F78EA">
            <w:pPr>
              <w:spacing w:beforeLines="60" w:before="144" w:afterLines="60" w:after="144"/>
              <w:rPr>
                <w:rFonts w:ascii="Times New Roman" w:hAnsi="Times New Roman"/>
                <w:sz w:val="24"/>
                <w:highlight w:val="lightGray"/>
              </w:rPr>
            </w:pPr>
            <w:r w:rsidRPr="00E26EF6">
              <w:rPr>
                <w:rFonts w:ascii="Times New Roman" w:hAnsi="Times New Roman"/>
                <w:sz w:val="24"/>
              </w:rPr>
              <w:t>Art. 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ppkt (ii) rozporządzenia delegowanego (UE) 2016/101.</w:t>
            </w:r>
          </w:p>
        </w:tc>
      </w:tr>
      <w:tr w:rsidR="00915077" w:rsidRPr="00E26EF6" w14:paraId="04DD8504" w14:textId="77777777" w:rsidTr="00672D2A">
        <w:tc>
          <w:tcPr>
            <w:tcW w:w="1101" w:type="dxa"/>
          </w:tcPr>
          <w:p w14:paraId="761837F5" w14:textId="77777777" w:rsidR="00915077" w:rsidRPr="00E26EF6" w:rsidRDefault="009A7A38">
            <w:pPr>
              <w:spacing w:beforeLines="60" w:before="144" w:afterLines="60" w:after="144"/>
              <w:rPr>
                <w:rFonts w:ascii="Times New Roman" w:hAnsi="Times New Roman"/>
                <w:sz w:val="24"/>
                <w:highlight w:val="lightGray"/>
              </w:rPr>
            </w:pPr>
            <w:r w:rsidRPr="00E26EF6">
              <w:rPr>
                <w:rFonts w:ascii="Times New Roman" w:hAnsi="Times New Roman"/>
                <w:sz w:val="24"/>
              </w:rPr>
              <w:t>0210</w:t>
            </w:r>
          </w:p>
        </w:tc>
        <w:tc>
          <w:tcPr>
            <w:tcW w:w="8187" w:type="dxa"/>
          </w:tcPr>
          <w:p w14:paraId="1A27ACF7" w14:textId="77777777" w:rsidR="00915077" w:rsidRPr="00E26EF6" w:rsidRDefault="00973707">
            <w:pPr>
              <w:spacing w:beforeLines="60" w:before="144" w:afterLines="60" w:after="144"/>
              <w:rPr>
                <w:rFonts w:ascii="Times New Roman" w:hAnsi="Times New Roman"/>
                <w:b/>
                <w:caps/>
                <w:sz w:val="24"/>
                <w:u w:val="single"/>
              </w:rPr>
            </w:pPr>
            <w:r w:rsidRPr="00E26EF6">
              <w:rPr>
                <w:rFonts w:ascii="Times New Roman" w:hAnsi="Times New Roman"/>
                <w:b/>
                <w:caps/>
                <w:sz w:val="24"/>
                <w:u w:val="single"/>
              </w:rPr>
              <w:t>1.2.3 Metoda rezerwowa; 25 % wartości początkowej</w:t>
            </w:r>
          </w:p>
          <w:p w14:paraId="7F23360D" w14:textId="567163B7" w:rsidR="00915077" w:rsidRPr="00E26EF6" w:rsidRDefault="002F78EA">
            <w:pPr>
              <w:spacing w:beforeLines="60" w:before="144" w:afterLines="60" w:after="144"/>
              <w:rPr>
                <w:rFonts w:ascii="Times New Roman" w:hAnsi="Times New Roman"/>
                <w:sz w:val="24"/>
              </w:rPr>
            </w:pPr>
            <w:r w:rsidRPr="00E26EF6">
              <w:rPr>
                <w:rFonts w:ascii="Times New Roman" w:hAnsi="Times New Roman"/>
                <w:sz w:val="24"/>
              </w:rPr>
              <w:t>Art. 7 ust.</w:t>
            </w:r>
            <w:r w:rsidR="00023409" w:rsidRPr="00E26EF6">
              <w:rPr>
                <w:rFonts w:ascii="Times New Roman" w:hAnsi="Times New Roman"/>
                <w:sz w:val="24"/>
              </w:rPr>
              <w:t> </w:t>
            </w:r>
            <w:r w:rsidRPr="00E26EF6">
              <w:rPr>
                <w:rFonts w:ascii="Times New Roman" w:hAnsi="Times New Roman"/>
                <w:sz w:val="24"/>
              </w:rPr>
              <w:t>2 lit.</w:t>
            </w:r>
            <w:r w:rsidR="00023409" w:rsidRPr="00E26EF6">
              <w:rPr>
                <w:rFonts w:ascii="Times New Roman" w:hAnsi="Times New Roman"/>
                <w:sz w:val="24"/>
              </w:rPr>
              <w:t> </w:t>
            </w:r>
            <w:r w:rsidRPr="00E26EF6">
              <w:rPr>
                <w:rFonts w:ascii="Times New Roman" w:hAnsi="Times New Roman"/>
                <w:sz w:val="24"/>
              </w:rPr>
              <w:t>b) ppkt (iii) rozporządzenia delegowanego (UE) 2016/101.</w:t>
            </w:r>
          </w:p>
        </w:tc>
      </w:tr>
    </w:tbl>
    <w:p w14:paraId="41449A55" w14:textId="77777777" w:rsidR="00915077" w:rsidRPr="00E26EF6" w:rsidRDefault="00915077">
      <w:pPr>
        <w:rPr>
          <w:rStyle w:val="InstructionsTabelleText"/>
          <w:rFonts w:ascii="Times New Roman" w:hAnsi="Times New Roman"/>
          <w:sz w:val="24"/>
        </w:rPr>
      </w:pPr>
    </w:p>
    <w:p w14:paraId="7FE18B56" w14:textId="6EF8D73D" w:rsidR="00915077" w:rsidRPr="00E26EF6" w:rsidRDefault="00AF3D7A">
      <w:pPr>
        <w:pStyle w:val="Instructionsberschrift2"/>
        <w:numPr>
          <w:ilvl w:val="0"/>
          <w:numId w:val="0"/>
        </w:numPr>
        <w:ind w:left="357" w:hanging="357"/>
        <w:rPr>
          <w:rFonts w:ascii="Times New Roman" w:hAnsi="Times New Roman"/>
          <w:sz w:val="24"/>
          <w:u w:val="none"/>
        </w:rPr>
      </w:pPr>
      <w:bookmarkStart w:id="114" w:name="_Toc31014411"/>
      <w:r w:rsidRPr="00E26EF6">
        <w:rPr>
          <w:rFonts w:ascii="Times New Roman" w:hAnsi="Times New Roman"/>
          <w:sz w:val="24"/>
          <w:u w:val="none"/>
        </w:rPr>
        <w:t xml:space="preserve">6.3. </w:t>
      </w:r>
      <w:r w:rsidRPr="00E26EF6">
        <w:rPr>
          <w:rFonts w:ascii="Times New Roman" w:hAnsi="Times New Roman"/>
          <w:sz w:val="24"/>
        </w:rPr>
        <w:t>C 32.03 - Ostrożna wycena: AVA</w:t>
      </w:r>
      <w:r w:rsidR="00E26EF6" w:rsidRPr="00E26EF6">
        <w:rPr>
          <w:rFonts w:ascii="Times New Roman" w:hAnsi="Times New Roman"/>
          <w:sz w:val="24"/>
        </w:rPr>
        <w:t xml:space="preserve"> z tyt</w:t>
      </w:r>
      <w:r w:rsidRPr="00E26EF6">
        <w:rPr>
          <w:rFonts w:ascii="Times New Roman" w:hAnsi="Times New Roman"/>
          <w:sz w:val="24"/>
        </w:rPr>
        <w:t>ułu ryzyka modelu (PruVal 3)</w:t>
      </w:r>
      <w:bookmarkEnd w:id="114"/>
    </w:p>
    <w:p w14:paraId="0AAB67FE" w14:textId="77777777" w:rsidR="00915077" w:rsidRPr="00E26EF6" w:rsidRDefault="00B93FA1">
      <w:pPr>
        <w:pStyle w:val="Instructionsberschrift2"/>
        <w:numPr>
          <w:ilvl w:val="0"/>
          <w:numId w:val="0"/>
        </w:numPr>
        <w:ind w:left="357" w:hanging="357"/>
        <w:rPr>
          <w:rFonts w:ascii="Times New Roman" w:hAnsi="Times New Roman" w:cs="Times New Roman"/>
          <w:sz w:val="24"/>
          <w:u w:val="none"/>
        </w:rPr>
      </w:pPr>
      <w:bookmarkStart w:id="115" w:name="_Toc31014412"/>
      <w:r w:rsidRPr="00E26EF6">
        <w:rPr>
          <w:rFonts w:ascii="Times New Roman" w:hAnsi="Times New Roman"/>
          <w:sz w:val="24"/>
          <w:u w:val="none"/>
        </w:rPr>
        <w:t>6.3.1.</w:t>
      </w:r>
      <w:r w:rsidRPr="00E26EF6">
        <w:rPr>
          <w:rFonts w:ascii="Times New Roman" w:hAnsi="Times New Roman"/>
          <w:sz w:val="24"/>
          <w:u w:val="none"/>
        </w:rPr>
        <w:tab/>
      </w:r>
      <w:r w:rsidRPr="00E26EF6">
        <w:rPr>
          <w:rFonts w:ascii="Times New Roman" w:hAnsi="Times New Roman"/>
          <w:sz w:val="24"/>
        </w:rPr>
        <w:t>Uwagi ogólne</w:t>
      </w:r>
      <w:bookmarkEnd w:id="115"/>
      <w:r w:rsidRPr="00E26EF6">
        <w:rPr>
          <w:rFonts w:ascii="Times New Roman" w:hAnsi="Times New Roman"/>
          <w:sz w:val="24"/>
          <w:u w:val="none"/>
        </w:rPr>
        <w:t xml:space="preserve"> </w:t>
      </w:r>
    </w:p>
    <w:p w14:paraId="6CC13797" w14:textId="1196A437" w:rsidR="00915077" w:rsidRPr="00E26EF6" w:rsidRDefault="00AF3D7A">
      <w:pPr>
        <w:pStyle w:val="InstructionsText2"/>
        <w:numPr>
          <w:ilvl w:val="0"/>
          <w:numId w:val="0"/>
        </w:numPr>
        <w:ind w:left="993"/>
      </w:pPr>
      <w:r w:rsidRPr="00E26EF6">
        <w:t>154f. Wzór ten wypełniają wyłącznie instytucje, które przekraczają – na swoim poziomie – próg,</w:t>
      </w:r>
      <w:r w:rsidR="00E26EF6" w:rsidRPr="00E26EF6">
        <w:t xml:space="preserve"> o któ</w:t>
      </w:r>
      <w:r w:rsidRPr="00E26EF6">
        <w:t>rym mowa</w:t>
      </w:r>
      <w:r w:rsidR="00E26EF6" w:rsidRPr="00E26EF6">
        <w:t xml:space="preserve"> w art</w:t>
      </w:r>
      <w:r w:rsidRPr="00E26EF6">
        <w:t>.</w:t>
      </w:r>
      <w:r w:rsidR="00023409" w:rsidRPr="00E26EF6">
        <w:t> </w:t>
      </w:r>
      <w:r w:rsidRPr="00E26EF6">
        <w:t>4 ust.</w:t>
      </w:r>
      <w:r w:rsidR="00023409" w:rsidRPr="00E26EF6">
        <w:t> </w:t>
      </w:r>
      <w:r w:rsidRPr="00E26EF6">
        <w:t>1 rozporządzenia delegowanego (UE) 2016/101. Instytucje, które są częścią grupy przekraczającej próg</w:t>
      </w:r>
      <w:r w:rsidR="00E26EF6" w:rsidRPr="00E26EF6">
        <w:t xml:space="preserve"> w uję</w:t>
      </w:r>
      <w:r w:rsidRPr="00E26EF6">
        <w:t>ciu skonsolidowanym, mają obowiązek wypełnić ten wzór tylko wówczas, gdy również one same na swoim poziomie przekraczają ten próg.</w:t>
      </w:r>
    </w:p>
    <w:p w14:paraId="4B7E7E29" w14:textId="0960A061" w:rsidR="00915077" w:rsidRPr="00E26EF6" w:rsidRDefault="00AF3D7A">
      <w:pPr>
        <w:pStyle w:val="InstructionsText2"/>
        <w:numPr>
          <w:ilvl w:val="0"/>
          <w:numId w:val="0"/>
        </w:numPr>
        <w:ind w:left="993"/>
      </w:pPr>
      <w:r w:rsidRPr="00E26EF6">
        <w:t>154g. Wzór ten stosuje się do zgłaszania szczegółowych informacji na temat pierwszych 20 (pod względem wysokości AVA) indywidualnych AVA</w:t>
      </w:r>
      <w:r w:rsidR="00E26EF6" w:rsidRPr="00E26EF6">
        <w:t xml:space="preserve"> z tyt</w:t>
      </w:r>
      <w:r w:rsidRPr="00E26EF6">
        <w:t>ułu ryzyka modelu, które stanowią wkład do całkowitej AVA</w:t>
      </w:r>
      <w:r w:rsidR="00E26EF6" w:rsidRPr="00E26EF6">
        <w:t xml:space="preserve"> z tyt</w:t>
      </w:r>
      <w:r w:rsidRPr="00E26EF6">
        <w:t>ułu ryzyka modelu na poziomie kategorii obliczonej zgodnie</w:t>
      </w:r>
      <w:r w:rsidR="00E26EF6" w:rsidRPr="00E26EF6">
        <w:t xml:space="preserve"> z art</w:t>
      </w:r>
      <w:r w:rsidRPr="00E26EF6">
        <w:t>.</w:t>
      </w:r>
      <w:r w:rsidR="00023409" w:rsidRPr="00E26EF6">
        <w:t> </w:t>
      </w:r>
      <w:r w:rsidRPr="00E26EF6">
        <w:t>11 rozporządzenia delegowanego (UE) 2016/101. Informacje te odpowiadają informacjom zgłaszanym</w:t>
      </w:r>
      <w:r w:rsidR="00E26EF6" w:rsidRPr="00E26EF6">
        <w:t xml:space="preserve"> w kol</w:t>
      </w:r>
      <w:r w:rsidRPr="00E26EF6">
        <w:t>umnie 0050 we wzorze C 32.02.</w:t>
      </w:r>
    </w:p>
    <w:p w14:paraId="4EBAD0B9" w14:textId="2929040D" w:rsidR="00915077" w:rsidRPr="00E26EF6" w:rsidRDefault="00AF3D7A">
      <w:pPr>
        <w:pStyle w:val="InstructionsText2"/>
        <w:numPr>
          <w:ilvl w:val="0"/>
          <w:numId w:val="0"/>
        </w:numPr>
        <w:ind w:left="993"/>
      </w:pPr>
      <w:r w:rsidRPr="00E26EF6">
        <w:t>154h. Pierwsze 20 indywidualne AVA</w:t>
      </w:r>
      <w:r w:rsidR="00E26EF6" w:rsidRPr="00E26EF6">
        <w:t xml:space="preserve"> z tyt</w:t>
      </w:r>
      <w:r w:rsidRPr="00E26EF6">
        <w:t>ułu ryzyka modelu oraz odnośne informacje na temat produktu zgłasza się</w:t>
      </w:r>
      <w:r w:rsidR="00E26EF6" w:rsidRPr="00E26EF6">
        <w:t xml:space="preserve"> w por</w:t>
      </w:r>
      <w:r w:rsidRPr="00E26EF6">
        <w:t>ządku malejącym, począwszy od największej indywidualnej AVA</w:t>
      </w:r>
      <w:r w:rsidR="00E26EF6" w:rsidRPr="00E26EF6">
        <w:t xml:space="preserve"> z tyt</w:t>
      </w:r>
      <w:r w:rsidRPr="00E26EF6">
        <w:t xml:space="preserve">ułu ryzyka modelu. </w:t>
      </w:r>
    </w:p>
    <w:p w14:paraId="6FE61D46" w14:textId="3BB20F12" w:rsidR="00915077" w:rsidRPr="00E26EF6" w:rsidRDefault="00AF3D7A">
      <w:pPr>
        <w:pStyle w:val="InstructionsText2"/>
        <w:numPr>
          <w:ilvl w:val="0"/>
          <w:numId w:val="0"/>
        </w:numPr>
        <w:ind w:left="993"/>
      </w:pPr>
      <w:r w:rsidRPr="00E26EF6">
        <w:t>154i. Produkty odpowiadające tym największym indywidualnym AVA</w:t>
      </w:r>
      <w:r w:rsidR="00E26EF6" w:rsidRPr="00E26EF6">
        <w:t xml:space="preserve"> z tyt</w:t>
      </w:r>
      <w:r w:rsidRPr="00E26EF6">
        <w:t>ułu ryzyka modelu zgłasza się przy użyciu wykazu produktów wymaganego na podstawie art.</w:t>
      </w:r>
      <w:r w:rsidR="00023409" w:rsidRPr="00E26EF6">
        <w:t> </w:t>
      </w:r>
      <w:r w:rsidRPr="00E26EF6">
        <w:t>19 ust.</w:t>
      </w:r>
      <w:r w:rsidR="00023409" w:rsidRPr="00E26EF6">
        <w:t> </w:t>
      </w:r>
      <w:r w:rsidRPr="00E26EF6">
        <w:t>3 lit.</w:t>
      </w:r>
      <w:r w:rsidR="00023409" w:rsidRPr="00E26EF6">
        <w:t> </w:t>
      </w:r>
      <w:r w:rsidRPr="00E26EF6">
        <w:t xml:space="preserve">a) rozporządzenia delegowanego (UE) 2016/101. </w:t>
      </w:r>
    </w:p>
    <w:p w14:paraId="69FDFEFD" w14:textId="68AA01E1" w:rsidR="00915077" w:rsidRPr="00E26EF6" w:rsidRDefault="00113E45">
      <w:pPr>
        <w:pStyle w:val="InstructionsText2"/>
        <w:numPr>
          <w:ilvl w:val="0"/>
          <w:numId w:val="0"/>
        </w:numPr>
        <w:ind w:left="993"/>
      </w:pPr>
      <w:r w:rsidRPr="00E26EF6">
        <w:t>154j</w:t>
      </w:r>
      <w:r w:rsidR="00E26EF6" w:rsidRPr="00E26EF6">
        <w:t>. W prz</w:t>
      </w:r>
      <w:r w:rsidRPr="00E26EF6">
        <w:t>ypadku gdy produkty są wystarczająco jednorodne pod względem modelu wyceny i AVA</w:t>
      </w:r>
      <w:r w:rsidR="00E26EF6" w:rsidRPr="00E26EF6">
        <w:t xml:space="preserve"> z tyt</w:t>
      </w:r>
      <w:r w:rsidRPr="00E26EF6">
        <w:t>ułu ryzyka modelu, dokonuje się ich scalenia</w:t>
      </w:r>
      <w:r w:rsidR="00E26EF6" w:rsidRPr="00E26EF6">
        <w:t xml:space="preserve"> i wyk</w:t>
      </w:r>
      <w:r w:rsidRPr="00E26EF6">
        <w:t>azuje się je</w:t>
      </w:r>
      <w:r w:rsidR="00E26EF6" w:rsidRPr="00E26EF6">
        <w:t xml:space="preserve"> w jed</w:t>
      </w:r>
      <w:r w:rsidRPr="00E26EF6">
        <w:t>nym wierszu</w:t>
      </w:r>
      <w:r w:rsidR="00E26EF6" w:rsidRPr="00E26EF6">
        <w:t xml:space="preserve"> w cel</w:t>
      </w:r>
      <w:r w:rsidRPr="00E26EF6">
        <w:t>u maksymalizacji zakresu tego wzoru</w:t>
      </w:r>
      <w:r w:rsidR="00E26EF6" w:rsidRPr="00E26EF6">
        <w:t xml:space="preserve"> w odn</w:t>
      </w:r>
      <w:r w:rsidRPr="00E26EF6">
        <w:t>iesieniu do wyliczonej dla danej instytucji całkowitej AVA</w:t>
      </w:r>
      <w:r w:rsidR="00E26EF6" w:rsidRPr="00E26EF6">
        <w:t xml:space="preserve"> z tyt</w:t>
      </w:r>
      <w:r w:rsidRPr="00E26EF6">
        <w:t>ułu ryzyka modelu na poziomie kategorii.</w:t>
      </w:r>
    </w:p>
    <w:p w14:paraId="502C13CA" w14:textId="77777777" w:rsidR="00915077" w:rsidRPr="00E26EF6" w:rsidRDefault="00B93FA1">
      <w:pPr>
        <w:pStyle w:val="Instructionsberschrift2"/>
        <w:numPr>
          <w:ilvl w:val="0"/>
          <w:numId w:val="0"/>
        </w:numPr>
        <w:ind w:left="357" w:hanging="357"/>
        <w:rPr>
          <w:rFonts w:ascii="Times New Roman" w:hAnsi="Times New Roman" w:cs="Times New Roman"/>
          <w:sz w:val="24"/>
        </w:rPr>
      </w:pPr>
      <w:bookmarkStart w:id="116" w:name="_Toc31014413"/>
      <w:r w:rsidRPr="00E26EF6">
        <w:rPr>
          <w:rFonts w:ascii="Times New Roman" w:hAnsi="Times New Roman"/>
          <w:sz w:val="24"/>
          <w:u w:val="none"/>
        </w:rPr>
        <w:lastRenderedPageBreak/>
        <w:t>6.3.2.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915077" w:rsidRPr="00E26EF6" w14:paraId="0AB661FA" w14:textId="77777777" w:rsidTr="00672D2A">
        <w:tc>
          <w:tcPr>
            <w:tcW w:w="9322" w:type="dxa"/>
            <w:gridSpan w:val="2"/>
            <w:shd w:val="clear" w:color="auto" w:fill="CCCCCC"/>
          </w:tcPr>
          <w:p w14:paraId="46000B18" w14:textId="77777777" w:rsidR="00915077" w:rsidRPr="00E26EF6" w:rsidRDefault="00113E45">
            <w:pPr>
              <w:spacing w:beforeLines="60" w:before="144" w:afterLines="60" w:after="144"/>
              <w:rPr>
                <w:rFonts w:ascii="Times New Roman" w:hAnsi="Times New Roman"/>
                <w:b/>
                <w:sz w:val="24"/>
                <w:highlight w:val="lightGray"/>
              </w:rPr>
            </w:pPr>
            <w:r w:rsidRPr="00E26EF6">
              <w:rPr>
                <w:rFonts w:ascii="Times New Roman" w:hAnsi="Times New Roman"/>
                <w:b/>
                <w:sz w:val="24"/>
              </w:rPr>
              <w:t>Kolumny</w:t>
            </w:r>
          </w:p>
        </w:tc>
      </w:tr>
      <w:tr w:rsidR="00915077" w:rsidRPr="00E26EF6" w14:paraId="45A890B1" w14:textId="77777777" w:rsidTr="00672D2A">
        <w:tc>
          <w:tcPr>
            <w:tcW w:w="1101" w:type="dxa"/>
          </w:tcPr>
          <w:p w14:paraId="11D96786"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0005</w:t>
            </w:r>
          </w:p>
        </w:tc>
        <w:tc>
          <w:tcPr>
            <w:tcW w:w="8221" w:type="dxa"/>
          </w:tcPr>
          <w:p w14:paraId="5C653FE4"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POZYCJA W RANKINGU</w:t>
            </w:r>
          </w:p>
          <w:p w14:paraId="33510138" w14:textId="41C5CC5F" w:rsidR="00915077" w:rsidRPr="00E26EF6" w:rsidRDefault="00113E45">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Pozycja</w:t>
            </w:r>
            <w:r w:rsidR="00E26EF6" w:rsidRPr="00E26EF6">
              <w:rPr>
                <w:rFonts w:ascii="Times New Roman" w:hAnsi="Times New Roman"/>
                <w:sz w:val="24"/>
              </w:rPr>
              <w:t xml:space="preserve"> w ran</w:t>
            </w:r>
            <w:r w:rsidRPr="00E26EF6">
              <w:rPr>
                <w:rFonts w:ascii="Times New Roman" w:hAnsi="Times New Roman"/>
                <w:sz w:val="24"/>
              </w:rPr>
              <w:t>kingu stanowi identyfikator wiersza</w:t>
            </w:r>
            <w:r w:rsidR="00E26EF6" w:rsidRPr="00E26EF6">
              <w:rPr>
                <w:rFonts w:ascii="Times New Roman" w:hAnsi="Times New Roman"/>
                <w:sz w:val="24"/>
              </w:rPr>
              <w:t xml:space="preserve"> i jes</w:t>
            </w:r>
            <w:r w:rsidRPr="00E26EF6">
              <w:rPr>
                <w:rFonts w:ascii="Times New Roman" w:hAnsi="Times New Roman"/>
                <w:sz w:val="24"/>
              </w:rPr>
              <w:t>t niepowtarzalna dla każdego wiersza we wzorze. Podaje się ją</w:t>
            </w:r>
            <w:r w:rsidR="00E26EF6" w:rsidRPr="00E26EF6">
              <w:rPr>
                <w:rFonts w:ascii="Times New Roman" w:hAnsi="Times New Roman"/>
                <w:sz w:val="24"/>
              </w:rPr>
              <w:t xml:space="preserve"> w por</w:t>
            </w:r>
            <w:r w:rsidRPr="00E26EF6">
              <w:rPr>
                <w:rFonts w:ascii="Times New Roman" w:hAnsi="Times New Roman"/>
                <w:sz w:val="24"/>
              </w:rPr>
              <w:t>ządku numerycznym 1, 2, 3 itd., przy czym 1 oznacza największą indywidualną AVA</w:t>
            </w:r>
            <w:r w:rsidR="00E26EF6" w:rsidRPr="00E26EF6">
              <w:rPr>
                <w:rFonts w:ascii="Times New Roman" w:hAnsi="Times New Roman"/>
                <w:sz w:val="24"/>
              </w:rPr>
              <w:t xml:space="preserve"> z tyt</w:t>
            </w:r>
            <w:r w:rsidRPr="00E26EF6">
              <w:rPr>
                <w:rFonts w:ascii="Times New Roman" w:hAnsi="Times New Roman"/>
                <w:sz w:val="24"/>
              </w:rPr>
              <w:t>ułu ryzyka modelu, 2 – drugą największą itd.</w:t>
            </w:r>
          </w:p>
        </w:tc>
      </w:tr>
      <w:tr w:rsidR="00915077" w:rsidRPr="00E26EF6" w14:paraId="1AD80148" w14:textId="77777777" w:rsidTr="00672D2A">
        <w:tc>
          <w:tcPr>
            <w:tcW w:w="1101" w:type="dxa"/>
          </w:tcPr>
          <w:p w14:paraId="6EC3BDD9"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0010</w:t>
            </w:r>
          </w:p>
        </w:tc>
        <w:tc>
          <w:tcPr>
            <w:tcW w:w="8221" w:type="dxa"/>
          </w:tcPr>
          <w:p w14:paraId="66572F15"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MODEL</w:t>
            </w:r>
          </w:p>
          <w:p w14:paraId="39B61F35" w14:textId="77777777" w:rsidR="00915077" w:rsidRPr="00E26EF6" w:rsidRDefault="00113E45">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Wewnętrzna nazwa (alfanumeryczna) modelu stosowana przez instytucję do identyfikacji modelu.</w:t>
            </w:r>
          </w:p>
        </w:tc>
      </w:tr>
      <w:tr w:rsidR="00915077" w:rsidRPr="00E26EF6" w14:paraId="61B4C079" w14:textId="77777777" w:rsidTr="00672D2A">
        <w:tc>
          <w:tcPr>
            <w:tcW w:w="1101" w:type="dxa"/>
          </w:tcPr>
          <w:p w14:paraId="6BB5F681"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0020</w:t>
            </w:r>
          </w:p>
        </w:tc>
        <w:tc>
          <w:tcPr>
            <w:tcW w:w="8221" w:type="dxa"/>
          </w:tcPr>
          <w:p w14:paraId="3EBE9A6A"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KATEGORIA RYZYKA</w:t>
            </w:r>
          </w:p>
          <w:p w14:paraId="3136AF8C" w14:textId="38748F2E"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Kategoria ryzyka (stopy procentowe, waluty obce, kredyty, papiery kapitałowe, towary), która</w:t>
            </w:r>
            <w:r w:rsidR="00E26EF6" w:rsidRPr="00E26EF6">
              <w:rPr>
                <w:rFonts w:ascii="Times New Roman" w:hAnsi="Times New Roman"/>
                <w:sz w:val="24"/>
              </w:rPr>
              <w:t xml:space="preserve"> w naj</w:t>
            </w:r>
            <w:r w:rsidRPr="00E26EF6">
              <w:rPr>
                <w:rFonts w:ascii="Times New Roman" w:hAnsi="Times New Roman"/>
                <w:sz w:val="24"/>
              </w:rPr>
              <w:t>bardziej odpowiedni sposób charakteryzuje produkt lub grupę produktów,</w:t>
            </w:r>
            <w:r w:rsidR="00E26EF6" w:rsidRPr="00E26EF6">
              <w:rPr>
                <w:rFonts w:ascii="Times New Roman" w:hAnsi="Times New Roman"/>
                <w:sz w:val="24"/>
              </w:rPr>
              <w:t xml:space="preserve"> w sto</w:t>
            </w:r>
            <w:r w:rsidRPr="00E26EF6">
              <w:rPr>
                <w:rFonts w:ascii="Times New Roman" w:hAnsi="Times New Roman"/>
                <w:sz w:val="24"/>
              </w:rPr>
              <w:t>sunku do których występuje konieczność zastosowania korekty wyceny</w:t>
            </w:r>
            <w:r w:rsidR="00E26EF6" w:rsidRPr="00E26EF6">
              <w:rPr>
                <w:rFonts w:ascii="Times New Roman" w:hAnsi="Times New Roman"/>
                <w:sz w:val="24"/>
              </w:rPr>
              <w:t xml:space="preserve"> z tyt</w:t>
            </w:r>
            <w:r w:rsidRPr="00E26EF6">
              <w:rPr>
                <w:rFonts w:ascii="Times New Roman" w:hAnsi="Times New Roman"/>
                <w:sz w:val="24"/>
              </w:rPr>
              <w:t>ułu ryzyka modelu.</w:t>
            </w:r>
          </w:p>
          <w:p w14:paraId="19F95BF0" w14:textId="77777777"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Instytucje zgłaszają następujące kody:</w:t>
            </w:r>
          </w:p>
          <w:p w14:paraId="0E48C402" w14:textId="77777777"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IR – stopa procentowa</w:t>
            </w:r>
          </w:p>
          <w:p w14:paraId="18942E96" w14:textId="77777777" w:rsidR="00915077" w:rsidRPr="00E26EF6" w:rsidRDefault="00A74B40">
            <w:pPr>
              <w:spacing w:beforeLines="60" w:before="144" w:afterLines="60" w:after="144"/>
              <w:rPr>
                <w:rFonts w:ascii="Times New Roman" w:hAnsi="Times New Roman"/>
                <w:sz w:val="24"/>
              </w:rPr>
            </w:pPr>
            <w:r w:rsidRPr="00E26EF6">
              <w:rPr>
                <w:rFonts w:ascii="Times New Roman" w:hAnsi="Times New Roman"/>
                <w:sz w:val="24"/>
              </w:rPr>
              <w:t>FX – waluty obce</w:t>
            </w:r>
          </w:p>
          <w:p w14:paraId="07CBEA44" w14:textId="77777777"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CR – kredyty</w:t>
            </w:r>
          </w:p>
          <w:p w14:paraId="34E6E7E7" w14:textId="77777777"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EQ – papiery kapitałowe</w:t>
            </w:r>
          </w:p>
          <w:p w14:paraId="195B6169" w14:textId="77777777" w:rsidR="00915077" w:rsidRPr="00E26EF6" w:rsidRDefault="00113E45">
            <w:pPr>
              <w:spacing w:beforeLines="60" w:before="144" w:afterLines="60" w:after="144"/>
              <w:rPr>
                <w:rFonts w:ascii="Times New Roman" w:hAnsi="Times New Roman"/>
                <w:sz w:val="24"/>
                <w:highlight w:val="lightGray"/>
              </w:rPr>
            </w:pPr>
            <w:r w:rsidRPr="00E26EF6">
              <w:rPr>
                <w:rFonts w:ascii="Times New Roman" w:hAnsi="Times New Roman"/>
                <w:sz w:val="24"/>
              </w:rPr>
              <w:t>CO – towary</w:t>
            </w:r>
          </w:p>
        </w:tc>
      </w:tr>
      <w:tr w:rsidR="00915077" w:rsidRPr="00E26EF6" w14:paraId="3E2DE61B" w14:textId="77777777" w:rsidTr="00672D2A">
        <w:tc>
          <w:tcPr>
            <w:tcW w:w="1101" w:type="dxa"/>
          </w:tcPr>
          <w:p w14:paraId="6E48DF29"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0030</w:t>
            </w:r>
          </w:p>
        </w:tc>
        <w:tc>
          <w:tcPr>
            <w:tcW w:w="8221" w:type="dxa"/>
          </w:tcPr>
          <w:p w14:paraId="7CA615BC"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PRODUKT</w:t>
            </w:r>
          </w:p>
          <w:p w14:paraId="0A9CD898" w14:textId="5D418281" w:rsidR="00915077" w:rsidRPr="00E26EF6" w:rsidRDefault="00113E45">
            <w:pPr>
              <w:spacing w:beforeLines="60" w:before="144" w:afterLines="60" w:after="144"/>
              <w:rPr>
                <w:rFonts w:ascii="Times New Roman" w:hAnsi="Times New Roman"/>
                <w:sz w:val="24"/>
                <w:highlight w:val="lightGray"/>
              </w:rPr>
            </w:pPr>
            <w:r w:rsidRPr="00E26EF6">
              <w:rPr>
                <w:rFonts w:ascii="Times New Roman" w:hAnsi="Times New Roman"/>
                <w:sz w:val="24"/>
              </w:rPr>
              <w:t>Wewnętrzna nazwa (alfanumeryczna) produktu lub grupy produktów zgodnie</w:t>
            </w:r>
            <w:r w:rsidR="00E26EF6" w:rsidRPr="00E26EF6">
              <w:rPr>
                <w:rFonts w:ascii="Times New Roman" w:hAnsi="Times New Roman"/>
                <w:sz w:val="24"/>
              </w:rPr>
              <w:t xml:space="preserve"> z wyk</w:t>
            </w:r>
            <w:r w:rsidRPr="00E26EF6">
              <w:rPr>
                <w:rFonts w:ascii="Times New Roman" w:hAnsi="Times New Roman"/>
                <w:sz w:val="24"/>
              </w:rPr>
              <w:t>azem produktów wymaganym na podstawie art.</w:t>
            </w:r>
            <w:r w:rsidR="00023409" w:rsidRPr="00E26EF6">
              <w:rPr>
                <w:rFonts w:ascii="Times New Roman" w:hAnsi="Times New Roman"/>
                <w:sz w:val="24"/>
              </w:rPr>
              <w:t> </w:t>
            </w:r>
            <w:r w:rsidRPr="00E26EF6">
              <w:rPr>
                <w:rFonts w:ascii="Times New Roman" w:hAnsi="Times New Roman"/>
                <w:sz w:val="24"/>
              </w:rPr>
              <w:t>19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a) rozporządzenia delegowanego (UE) 2016/101, które wyceniono przy użyciu modelu.</w:t>
            </w:r>
          </w:p>
        </w:tc>
      </w:tr>
      <w:tr w:rsidR="00915077" w:rsidRPr="00E26EF6" w14:paraId="31840EB1" w14:textId="77777777" w:rsidTr="00672D2A">
        <w:tc>
          <w:tcPr>
            <w:tcW w:w="1101" w:type="dxa"/>
          </w:tcPr>
          <w:p w14:paraId="01E17E11"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0040</w:t>
            </w:r>
          </w:p>
        </w:tc>
        <w:tc>
          <w:tcPr>
            <w:tcW w:w="8221" w:type="dxa"/>
          </w:tcPr>
          <w:p w14:paraId="42AE0700"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OBSERWOWALNOŚĆ</w:t>
            </w:r>
          </w:p>
          <w:p w14:paraId="294F6704" w14:textId="6B6CB8C9" w:rsidR="00915077" w:rsidRPr="00E26EF6" w:rsidRDefault="00113E45">
            <w:pPr>
              <w:pStyle w:val="CommentText"/>
              <w:rPr>
                <w:rFonts w:ascii="Times New Roman" w:hAnsi="Times New Roman"/>
                <w:sz w:val="24"/>
                <w:szCs w:val="24"/>
              </w:rPr>
            </w:pPr>
            <w:r w:rsidRPr="00E26EF6">
              <w:rPr>
                <w:rFonts w:ascii="Times New Roman" w:hAnsi="Times New Roman"/>
                <w:sz w:val="24"/>
                <w:szCs w:val="24"/>
              </w:rPr>
              <w:t>Liczba obserwacji cen produktu lub grupy produktów</w:t>
            </w:r>
            <w:r w:rsidR="00E26EF6" w:rsidRPr="00E26EF6">
              <w:rPr>
                <w:rFonts w:ascii="Times New Roman" w:hAnsi="Times New Roman"/>
                <w:sz w:val="24"/>
                <w:szCs w:val="24"/>
              </w:rPr>
              <w:t xml:space="preserve"> w cią</w:t>
            </w:r>
            <w:r w:rsidRPr="00E26EF6">
              <w:rPr>
                <w:rFonts w:ascii="Times New Roman" w:hAnsi="Times New Roman"/>
                <w:sz w:val="24"/>
                <w:szCs w:val="24"/>
              </w:rPr>
              <w:t>gu ostatnich dwunastu miesięcy, które spełniają którekolwiek</w:t>
            </w:r>
            <w:r w:rsidR="00E26EF6" w:rsidRPr="00E26EF6">
              <w:rPr>
                <w:rFonts w:ascii="Times New Roman" w:hAnsi="Times New Roman"/>
                <w:sz w:val="24"/>
                <w:szCs w:val="24"/>
              </w:rPr>
              <w:t xml:space="preserve"> z nas</w:t>
            </w:r>
            <w:r w:rsidRPr="00E26EF6">
              <w:rPr>
                <w:rFonts w:ascii="Times New Roman" w:hAnsi="Times New Roman"/>
                <w:sz w:val="24"/>
                <w:szCs w:val="24"/>
              </w:rPr>
              <w:t>tępujących kryteriów:</w:t>
            </w:r>
          </w:p>
          <w:p w14:paraId="662FD107" w14:textId="77777777" w:rsidR="00915077" w:rsidRPr="00E26EF6" w:rsidRDefault="00113E45">
            <w:pPr>
              <w:pStyle w:val="CommentText"/>
              <w:numPr>
                <w:ilvl w:val="0"/>
                <w:numId w:val="31"/>
              </w:numPr>
              <w:rPr>
                <w:rFonts w:ascii="Times New Roman" w:hAnsi="Times New Roman"/>
                <w:sz w:val="24"/>
                <w:szCs w:val="24"/>
              </w:rPr>
            </w:pPr>
            <w:proofErr w:type="gramStart"/>
            <w:r w:rsidRPr="00E26EF6">
              <w:rPr>
                <w:rFonts w:ascii="Times New Roman" w:hAnsi="Times New Roman"/>
                <w:sz w:val="24"/>
                <w:szCs w:val="24"/>
              </w:rPr>
              <w:t>zaobserwowana</w:t>
            </w:r>
            <w:proofErr w:type="gramEnd"/>
            <w:r w:rsidRPr="00E26EF6">
              <w:rPr>
                <w:rFonts w:ascii="Times New Roman" w:hAnsi="Times New Roman"/>
                <w:sz w:val="24"/>
                <w:szCs w:val="24"/>
              </w:rPr>
              <w:t xml:space="preserve"> cena jest ceną, po której instytucja zawarła transakcję;</w:t>
            </w:r>
          </w:p>
          <w:p w14:paraId="5372EBCF" w14:textId="77777777" w:rsidR="00915077" w:rsidRPr="00E26EF6" w:rsidRDefault="00113E45">
            <w:pPr>
              <w:pStyle w:val="CommentText"/>
              <w:numPr>
                <w:ilvl w:val="0"/>
                <w:numId w:val="31"/>
              </w:numPr>
              <w:rPr>
                <w:rFonts w:ascii="Times New Roman" w:hAnsi="Times New Roman"/>
                <w:sz w:val="24"/>
                <w:szCs w:val="24"/>
              </w:rPr>
            </w:pPr>
            <w:proofErr w:type="gramStart"/>
            <w:r w:rsidRPr="00E26EF6">
              <w:rPr>
                <w:rFonts w:ascii="Times New Roman" w:hAnsi="Times New Roman"/>
                <w:sz w:val="24"/>
                <w:szCs w:val="24"/>
              </w:rPr>
              <w:t>cenę</w:t>
            </w:r>
            <w:proofErr w:type="gramEnd"/>
            <w:r w:rsidRPr="00E26EF6">
              <w:rPr>
                <w:rFonts w:ascii="Times New Roman" w:hAnsi="Times New Roman"/>
                <w:sz w:val="24"/>
                <w:szCs w:val="24"/>
              </w:rPr>
              <w:t xml:space="preserve"> stanowi możliwa do zweryfikowania cena, po której doszło do zawarcia faktycznej transakcji między osobami trzecimi;</w:t>
            </w:r>
          </w:p>
          <w:p w14:paraId="7ACD3E1C" w14:textId="620748C8" w:rsidR="00915077" w:rsidRPr="00E26EF6" w:rsidRDefault="00113E45">
            <w:pPr>
              <w:pStyle w:val="CommentText"/>
              <w:numPr>
                <w:ilvl w:val="0"/>
                <w:numId w:val="31"/>
              </w:numPr>
              <w:rPr>
                <w:rFonts w:ascii="Times New Roman" w:hAnsi="Times New Roman"/>
                <w:sz w:val="24"/>
                <w:szCs w:val="24"/>
              </w:rPr>
            </w:pPr>
            <w:proofErr w:type="gramStart"/>
            <w:r w:rsidRPr="00E26EF6">
              <w:rPr>
                <w:rFonts w:ascii="Times New Roman" w:hAnsi="Times New Roman"/>
                <w:sz w:val="24"/>
                <w:szCs w:val="24"/>
              </w:rPr>
              <w:t>cenę</w:t>
            </w:r>
            <w:proofErr w:type="gramEnd"/>
            <w:r w:rsidRPr="00E26EF6">
              <w:rPr>
                <w:rFonts w:ascii="Times New Roman" w:hAnsi="Times New Roman"/>
                <w:sz w:val="24"/>
                <w:szCs w:val="24"/>
              </w:rPr>
              <w:t xml:space="preserve"> uzyskano</w:t>
            </w:r>
            <w:r w:rsidR="00E26EF6" w:rsidRPr="00E26EF6">
              <w:rPr>
                <w:rFonts w:ascii="Times New Roman" w:hAnsi="Times New Roman"/>
                <w:sz w:val="24"/>
                <w:szCs w:val="24"/>
              </w:rPr>
              <w:t xml:space="preserve"> z zat</w:t>
            </w:r>
            <w:r w:rsidRPr="00E26EF6">
              <w:rPr>
                <w:rFonts w:ascii="Times New Roman" w:hAnsi="Times New Roman"/>
                <w:sz w:val="24"/>
                <w:szCs w:val="24"/>
              </w:rPr>
              <w:t>wierdzonego kwotowania.</w:t>
            </w:r>
          </w:p>
          <w:p w14:paraId="2ED4B72D" w14:textId="5EE333D1" w:rsidR="00915077" w:rsidRPr="00E26EF6" w:rsidRDefault="00113E45">
            <w:pPr>
              <w:pStyle w:val="CommentText"/>
              <w:rPr>
                <w:rStyle w:val="InstructionsTabelleberschrift"/>
                <w:rFonts w:ascii="Times New Roman" w:hAnsi="Times New Roman"/>
                <w:b w:val="0"/>
                <w:sz w:val="24"/>
                <w:szCs w:val="24"/>
                <w:highlight w:val="lightGray"/>
                <w:u w:val="none"/>
              </w:rPr>
            </w:pPr>
            <w:r w:rsidRPr="00E26EF6">
              <w:rPr>
                <w:rFonts w:ascii="Times New Roman" w:hAnsi="Times New Roman"/>
                <w:sz w:val="24"/>
                <w:szCs w:val="24"/>
              </w:rPr>
              <w:t>Instytucje zgłaszają jedną</w:t>
            </w:r>
            <w:r w:rsidR="00E26EF6" w:rsidRPr="00E26EF6">
              <w:rPr>
                <w:rFonts w:ascii="Times New Roman" w:hAnsi="Times New Roman"/>
                <w:sz w:val="24"/>
                <w:szCs w:val="24"/>
              </w:rPr>
              <w:t xml:space="preserve"> z nas</w:t>
            </w:r>
            <w:r w:rsidRPr="00E26EF6">
              <w:rPr>
                <w:rFonts w:ascii="Times New Roman" w:hAnsi="Times New Roman"/>
                <w:sz w:val="24"/>
                <w:szCs w:val="24"/>
              </w:rPr>
              <w:t>tępujących wartości: „brak”, „1–6”, „6–24”, „24–100”, „100+”.</w:t>
            </w:r>
          </w:p>
        </w:tc>
      </w:tr>
      <w:tr w:rsidR="00915077" w:rsidRPr="00E26EF6" w14:paraId="75614A0E" w14:textId="77777777" w:rsidTr="00672D2A">
        <w:tc>
          <w:tcPr>
            <w:tcW w:w="1101" w:type="dxa"/>
          </w:tcPr>
          <w:p w14:paraId="323471DF"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0050</w:t>
            </w:r>
          </w:p>
        </w:tc>
        <w:tc>
          <w:tcPr>
            <w:tcW w:w="8221" w:type="dxa"/>
          </w:tcPr>
          <w:p w14:paraId="21013C20"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AVA Z TYTUŁU RYZYKA MODELU</w:t>
            </w:r>
          </w:p>
          <w:p w14:paraId="476C4F5F" w14:textId="63FDEA24" w:rsidR="00915077" w:rsidRPr="00E26EF6" w:rsidRDefault="00113E45">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Art. 11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1 </w:t>
            </w:r>
            <w:r w:rsidRPr="00E26EF6">
              <w:rPr>
                <w:rFonts w:ascii="Times New Roman" w:hAnsi="Times New Roman"/>
                <w:sz w:val="24"/>
              </w:rPr>
              <w:t>rozporządzenia delegowanego (UE) 2016/101.</w:t>
            </w:r>
          </w:p>
          <w:p w14:paraId="212DCEBF" w14:textId="1B0985D0" w:rsidR="00915077" w:rsidRPr="00E26EF6" w:rsidRDefault="00113E45">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Indywidualna AVA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ryzyka modelu przed uwzględnieniem korzyści</w:t>
            </w:r>
            <w:r w:rsidR="00E26EF6" w:rsidRPr="00E26EF6">
              <w:rPr>
                <w:rStyle w:val="InstructionsTabelleberschrift"/>
                <w:rFonts w:ascii="Times New Roman" w:hAnsi="Times New Roman"/>
                <w:b w:val="0"/>
                <w:sz w:val="24"/>
                <w:u w:val="none"/>
              </w:rPr>
              <w:t xml:space="preserve"> z dyw</w:t>
            </w:r>
            <w:r w:rsidRPr="00E26EF6">
              <w:rPr>
                <w:rStyle w:val="InstructionsTabelleberschrift"/>
                <w:rFonts w:ascii="Times New Roman" w:hAnsi="Times New Roman"/>
                <w:b w:val="0"/>
                <w:sz w:val="24"/>
                <w:u w:val="none"/>
              </w:rPr>
              <w:t>ersyfikacji, lecz po –</w:t>
            </w:r>
            <w:r w:rsidR="00E26EF6" w:rsidRPr="00E26EF6">
              <w:rPr>
                <w:rStyle w:val="InstructionsTabelleberschrift"/>
                <w:rFonts w:ascii="Times New Roman" w:hAnsi="Times New Roman"/>
                <w:b w:val="0"/>
                <w:sz w:val="24"/>
                <w:u w:val="none"/>
              </w:rPr>
              <w:t xml:space="preserve"> w sto</w:t>
            </w:r>
            <w:r w:rsidRPr="00E26EF6">
              <w:rPr>
                <w:rStyle w:val="InstructionsTabelleberschrift"/>
                <w:rFonts w:ascii="Times New Roman" w:hAnsi="Times New Roman"/>
                <w:b w:val="0"/>
                <w:sz w:val="24"/>
                <w:u w:val="none"/>
              </w:rPr>
              <w:t>sownych przypadkach – kompensacji portfela.</w:t>
            </w:r>
          </w:p>
        </w:tc>
      </w:tr>
      <w:tr w:rsidR="00915077" w:rsidRPr="00E26EF6" w14:paraId="34D2B07B" w14:textId="77777777" w:rsidTr="00672D2A">
        <w:tc>
          <w:tcPr>
            <w:tcW w:w="1101" w:type="dxa"/>
          </w:tcPr>
          <w:p w14:paraId="3062DEAB"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0060</w:t>
            </w:r>
          </w:p>
        </w:tc>
        <w:tc>
          <w:tcPr>
            <w:tcW w:w="8221" w:type="dxa"/>
          </w:tcPr>
          <w:p w14:paraId="5C050908"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W TYM: WYLICZONA Z ZASTOSOWANIEM PODEJŚCIA OPARTEGO NA WIEDZY EKSPERCKIEJ</w:t>
            </w:r>
          </w:p>
          <w:p w14:paraId="4838599D" w14:textId="6457FF86" w:rsidR="00915077" w:rsidRPr="00E26EF6" w:rsidRDefault="00113E45">
            <w:pPr>
              <w:spacing w:beforeLines="60" w:before="144" w:afterLines="60" w:after="144"/>
              <w:rPr>
                <w:rStyle w:val="InstructionsTabelleberschrift"/>
                <w:rFonts w:ascii="Times New Roman" w:hAnsi="Times New Roman"/>
                <w:sz w:val="24"/>
                <w:highlight w:val="lightGray"/>
                <w:u w:val="none"/>
              </w:rPr>
            </w:pPr>
            <w:r w:rsidRPr="00E26EF6">
              <w:rPr>
                <w:rFonts w:ascii="Times New Roman" w:hAnsi="Times New Roman"/>
                <w:sz w:val="24"/>
              </w:rPr>
              <w:lastRenderedPageBreak/>
              <w:t>Kwoty</w:t>
            </w:r>
            <w:r w:rsidR="00E26EF6" w:rsidRPr="00E26EF6">
              <w:rPr>
                <w:rFonts w:ascii="Times New Roman" w:hAnsi="Times New Roman"/>
                <w:sz w:val="24"/>
              </w:rPr>
              <w:t xml:space="preserve"> z kol</w:t>
            </w:r>
            <w:r w:rsidRPr="00E26EF6">
              <w:rPr>
                <w:rFonts w:ascii="Times New Roman" w:hAnsi="Times New Roman"/>
                <w:sz w:val="24"/>
              </w:rPr>
              <w:t>umny 0050, które wyliczono</w:t>
            </w:r>
            <w:r w:rsidR="00E26EF6" w:rsidRPr="00E26EF6">
              <w:rPr>
                <w:rFonts w:ascii="Times New Roman" w:hAnsi="Times New Roman"/>
                <w:sz w:val="24"/>
              </w:rPr>
              <w:t xml:space="preserve"> z zas</w:t>
            </w:r>
            <w:r w:rsidRPr="00E26EF6">
              <w:rPr>
                <w:rFonts w:ascii="Times New Roman" w:hAnsi="Times New Roman"/>
                <w:sz w:val="24"/>
              </w:rPr>
              <w:t>tosowaniem podejścia opartego na wiedzy eksperckiej, jak określono</w:t>
            </w:r>
            <w:r w:rsidR="00E26EF6" w:rsidRPr="00E26EF6">
              <w:rPr>
                <w:rFonts w:ascii="Times New Roman" w:hAnsi="Times New Roman"/>
                <w:sz w:val="24"/>
              </w:rPr>
              <w:t xml:space="preserve"> w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11 ust.</w:t>
            </w:r>
            <w:r w:rsidR="00023409" w:rsidRPr="00E26EF6">
              <w:rPr>
                <w:rFonts w:ascii="Times New Roman" w:hAnsi="Times New Roman"/>
                <w:sz w:val="24"/>
              </w:rPr>
              <w:t> </w:t>
            </w:r>
            <w:r w:rsidRPr="00E26EF6">
              <w:rPr>
                <w:rFonts w:ascii="Times New Roman" w:hAnsi="Times New Roman"/>
                <w:sz w:val="24"/>
              </w:rPr>
              <w:t>4 rozporządzenia delegowanego (UE) 2016/101.</w:t>
            </w:r>
          </w:p>
        </w:tc>
      </w:tr>
      <w:tr w:rsidR="00915077" w:rsidRPr="00E26EF6" w14:paraId="564B5801" w14:textId="77777777" w:rsidTr="00672D2A">
        <w:tc>
          <w:tcPr>
            <w:tcW w:w="1101" w:type="dxa"/>
          </w:tcPr>
          <w:p w14:paraId="11C92D5D"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0070</w:t>
            </w:r>
          </w:p>
        </w:tc>
        <w:tc>
          <w:tcPr>
            <w:tcW w:w="8221" w:type="dxa"/>
          </w:tcPr>
          <w:p w14:paraId="6DDDF19E"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W TYM: ZAGREGOWANA Z UŻYCIEM METODY 2</w:t>
            </w:r>
          </w:p>
          <w:p w14:paraId="768B3A5F" w14:textId="45F733A8" w:rsidR="00915077" w:rsidRPr="00E26EF6" w:rsidRDefault="00113E45">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Kwoty</w:t>
            </w:r>
            <w:r w:rsidR="00E26EF6" w:rsidRPr="00E26EF6">
              <w:rPr>
                <w:rFonts w:ascii="Times New Roman" w:hAnsi="Times New Roman"/>
                <w:sz w:val="24"/>
              </w:rPr>
              <w:t xml:space="preserve"> z kol</w:t>
            </w:r>
            <w:r w:rsidRPr="00E26EF6">
              <w:rPr>
                <w:rFonts w:ascii="Times New Roman" w:hAnsi="Times New Roman"/>
                <w:sz w:val="24"/>
              </w:rPr>
              <w:t>umny 0050, które zagregowano</w:t>
            </w:r>
            <w:r w:rsidR="00E26EF6" w:rsidRPr="00E26EF6">
              <w:rPr>
                <w:rFonts w:ascii="Times New Roman" w:hAnsi="Times New Roman"/>
                <w:sz w:val="24"/>
              </w:rPr>
              <w:t xml:space="preserve"> z uży</w:t>
            </w:r>
            <w:r w:rsidRPr="00E26EF6">
              <w:rPr>
                <w:rFonts w:ascii="Times New Roman" w:hAnsi="Times New Roman"/>
                <w:sz w:val="24"/>
              </w:rPr>
              <w:t>ciem metody 2 określonej</w:t>
            </w:r>
            <w:r w:rsidR="00E26EF6" w:rsidRPr="00E26EF6">
              <w:rPr>
                <w:rFonts w:ascii="Times New Roman" w:hAnsi="Times New Roman"/>
                <w:sz w:val="24"/>
              </w:rPr>
              <w:t xml:space="preserve"> w zał</w:t>
            </w:r>
            <w:r w:rsidRPr="00E26EF6">
              <w:rPr>
                <w:rFonts w:ascii="Times New Roman" w:hAnsi="Times New Roman"/>
                <w:sz w:val="24"/>
              </w:rPr>
              <w:t>ączniku do rozporządzenia delegowanego (UE) 2016/101. Kwoty te odpowiadają FV – PV zgodnie</w:t>
            </w:r>
            <w:r w:rsidR="00E26EF6" w:rsidRPr="00E26EF6">
              <w:rPr>
                <w:rFonts w:ascii="Times New Roman" w:hAnsi="Times New Roman"/>
                <w:sz w:val="24"/>
              </w:rPr>
              <w:t xml:space="preserve"> z ter</w:t>
            </w:r>
            <w:r w:rsidRPr="00E26EF6">
              <w:rPr>
                <w:rFonts w:ascii="Times New Roman" w:hAnsi="Times New Roman"/>
                <w:sz w:val="24"/>
              </w:rPr>
              <w:t>minologią stosowaną</w:t>
            </w:r>
            <w:r w:rsidR="00E26EF6" w:rsidRPr="00E26EF6">
              <w:rPr>
                <w:rFonts w:ascii="Times New Roman" w:hAnsi="Times New Roman"/>
                <w:sz w:val="24"/>
              </w:rPr>
              <w:t xml:space="preserve"> w tym</w:t>
            </w:r>
            <w:r w:rsidRPr="00E26EF6">
              <w:rPr>
                <w:rFonts w:ascii="Times New Roman" w:hAnsi="Times New Roman"/>
                <w:sz w:val="24"/>
              </w:rPr>
              <w:t xml:space="preserve"> załączniku. </w:t>
            </w:r>
          </w:p>
        </w:tc>
      </w:tr>
      <w:tr w:rsidR="00915077" w:rsidRPr="00E26EF6" w14:paraId="740FD50E" w14:textId="77777777" w:rsidTr="00672D2A">
        <w:tc>
          <w:tcPr>
            <w:tcW w:w="1101" w:type="dxa"/>
          </w:tcPr>
          <w:p w14:paraId="237C0431"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0080</w:t>
            </w:r>
          </w:p>
        </w:tc>
        <w:tc>
          <w:tcPr>
            <w:tcW w:w="8221" w:type="dxa"/>
          </w:tcPr>
          <w:p w14:paraId="67B99FDE"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ZAGREGOWANA AVA OBLICZONA ZGODNIE Z METODĄ 2</w:t>
            </w:r>
          </w:p>
          <w:p w14:paraId="57370035" w14:textId="01CD42E7" w:rsidR="00915077" w:rsidRPr="00E26EF6" w:rsidRDefault="00113E45">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Udział, jaki</w:t>
            </w:r>
            <w:r w:rsidR="00E26EF6" w:rsidRPr="00E26EF6">
              <w:rPr>
                <w:rStyle w:val="InstructionsTabelleberschrift"/>
                <w:rFonts w:ascii="Times New Roman" w:hAnsi="Times New Roman"/>
                <w:b w:val="0"/>
                <w:sz w:val="24"/>
                <w:u w:val="none"/>
              </w:rPr>
              <w:t xml:space="preserve"> w cał</w:t>
            </w:r>
            <w:r w:rsidRPr="00E26EF6">
              <w:rPr>
                <w:rStyle w:val="InstructionsTabelleberschrift"/>
                <w:rFonts w:ascii="Times New Roman" w:hAnsi="Times New Roman"/>
                <w:b w:val="0"/>
                <w:sz w:val="24"/>
                <w:u w:val="none"/>
              </w:rPr>
              <w:t>kowitej AVA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ryzyka modelu na poziomie kategorii wyliczonej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11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7 </w:t>
            </w:r>
            <w:r w:rsidRPr="00E26EF6">
              <w:rPr>
                <w:rFonts w:ascii="Times New Roman" w:hAnsi="Times New Roman"/>
                <w:sz w:val="24"/>
              </w:rPr>
              <w:t>rozporządzenia delegowanego (UE) 2016/101</w:t>
            </w:r>
            <w:r w:rsidRPr="00E26EF6">
              <w:rPr>
                <w:rStyle w:val="InstructionsTabelleberschrift"/>
                <w:rFonts w:ascii="Times New Roman" w:hAnsi="Times New Roman"/>
                <w:b w:val="0"/>
                <w:sz w:val="24"/>
                <w:u w:val="none"/>
              </w:rPr>
              <w:t>, mają indywidualne AVA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ryzyka modelu, które zagregowano</w:t>
            </w:r>
            <w:r w:rsidR="00E26EF6" w:rsidRPr="00E26EF6">
              <w:rPr>
                <w:rStyle w:val="InstructionsTabelleberschrift"/>
                <w:rFonts w:ascii="Times New Roman" w:hAnsi="Times New Roman"/>
                <w:b w:val="0"/>
                <w:sz w:val="24"/>
                <w:u w:val="none"/>
              </w:rPr>
              <w:t xml:space="preserve"> z uży</w:t>
            </w:r>
            <w:r w:rsidRPr="00E26EF6">
              <w:rPr>
                <w:rStyle w:val="InstructionsTabelleberschrift"/>
                <w:rFonts w:ascii="Times New Roman" w:hAnsi="Times New Roman"/>
                <w:b w:val="0"/>
                <w:sz w:val="24"/>
                <w:u w:val="none"/>
              </w:rPr>
              <w:t>ciem metody 2 określonej</w:t>
            </w:r>
            <w:r w:rsidR="00E26EF6" w:rsidRPr="00E26EF6">
              <w:rPr>
                <w:rStyle w:val="InstructionsTabelleberschrift"/>
                <w:rFonts w:ascii="Times New Roman" w:hAnsi="Times New Roman"/>
                <w:b w:val="0"/>
                <w:sz w:val="24"/>
                <w:u w:val="none"/>
              </w:rPr>
              <w:t xml:space="preserve"> w zał</w:t>
            </w:r>
            <w:r w:rsidRPr="00E26EF6">
              <w:rPr>
                <w:rStyle w:val="InstructionsTabelleberschrift"/>
                <w:rFonts w:ascii="Times New Roman" w:hAnsi="Times New Roman"/>
                <w:b w:val="0"/>
                <w:sz w:val="24"/>
                <w:u w:val="none"/>
              </w:rPr>
              <w:t xml:space="preserve">ączniku do </w:t>
            </w:r>
            <w:r w:rsidRPr="00E26EF6">
              <w:rPr>
                <w:rFonts w:ascii="Times New Roman" w:hAnsi="Times New Roman"/>
                <w:sz w:val="24"/>
              </w:rPr>
              <w:t>tego rozporządzenia (UE)</w:t>
            </w:r>
            <w:r w:rsidRPr="00E26EF6">
              <w:rPr>
                <w:rStyle w:val="InstructionsTabelleberschrift"/>
                <w:rFonts w:ascii="Times New Roman" w:hAnsi="Times New Roman"/>
                <w:b w:val="0"/>
                <w:sz w:val="24"/>
                <w:u w:val="none"/>
              </w:rPr>
              <w:t xml:space="preserve">. </w:t>
            </w:r>
            <w:r w:rsidRPr="00E26EF6">
              <w:rPr>
                <w:rFonts w:ascii="Times New Roman" w:hAnsi="Times New Roman"/>
                <w:sz w:val="24"/>
              </w:rPr>
              <w:t>Kwota ta odpowiada APVA zgodnie</w:t>
            </w:r>
            <w:r w:rsidR="00E26EF6" w:rsidRPr="00E26EF6">
              <w:rPr>
                <w:rFonts w:ascii="Times New Roman" w:hAnsi="Times New Roman"/>
                <w:sz w:val="24"/>
              </w:rPr>
              <w:t xml:space="preserve"> z ter</w:t>
            </w:r>
            <w:r w:rsidRPr="00E26EF6">
              <w:rPr>
                <w:rFonts w:ascii="Times New Roman" w:hAnsi="Times New Roman"/>
                <w:sz w:val="24"/>
              </w:rPr>
              <w:t>minologią stosowaną</w:t>
            </w:r>
            <w:r w:rsidR="00E26EF6" w:rsidRPr="00E26EF6">
              <w:rPr>
                <w:rFonts w:ascii="Times New Roman" w:hAnsi="Times New Roman"/>
                <w:sz w:val="24"/>
              </w:rPr>
              <w:t xml:space="preserve"> w zał</w:t>
            </w:r>
            <w:r w:rsidRPr="00E26EF6">
              <w:rPr>
                <w:rFonts w:ascii="Times New Roman" w:hAnsi="Times New Roman"/>
                <w:sz w:val="24"/>
              </w:rPr>
              <w:t>ączniku.</w:t>
            </w:r>
          </w:p>
        </w:tc>
      </w:tr>
      <w:tr w:rsidR="00915077" w:rsidRPr="00E26EF6" w14:paraId="4AC61342" w14:textId="77777777" w:rsidTr="00672D2A">
        <w:tc>
          <w:tcPr>
            <w:tcW w:w="1101" w:type="dxa"/>
          </w:tcPr>
          <w:p w14:paraId="1E6D7831"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0090-0100</w:t>
            </w:r>
          </w:p>
        </w:tc>
        <w:tc>
          <w:tcPr>
            <w:tcW w:w="8221" w:type="dxa"/>
          </w:tcPr>
          <w:p w14:paraId="68A8BE40"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AKTYWA I ZOBOWIĄZANIA WYCENIANE WEDŁUG WARTOŚCI GODZIWEJ</w:t>
            </w:r>
          </w:p>
          <w:p w14:paraId="2C977DE9" w14:textId="317E8758" w:rsidR="00915077" w:rsidRPr="00E26EF6" w:rsidRDefault="00113E45">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Wartość bezwzględna aktywów</w:t>
            </w:r>
            <w:r w:rsidR="00E26EF6" w:rsidRPr="00E26EF6">
              <w:rPr>
                <w:rFonts w:ascii="Times New Roman" w:hAnsi="Times New Roman"/>
                <w:sz w:val="24"/>
              </w:rPr>
              <w:t xml:space="preserve"> i zob</w:t>
            </w:r>
            <w:r w:rsidRPr="00E26EF6">
              <w:rPr>
                <w:rFonts w:ascii="Times New Roman" w:hAnsi="Times New Roman"/>
                <w:sz w:val="24"/>
              </w:rPr>
              <w:t>owiązań wycenianych według wartości godziwej, które wycenia się zgodnie</w:t>
            </w:r>
            <w:r w:rsidR="00E26EF6" w:rsidRPr="00E26EF6">
              <w:rPr>
                <w:rFonts w:ascii="Times New Roman" w:hAnsi="Times New Roman"/>
                <w:sz w:val="24"/>
              </w:rPr>
              <w:t xml:space="preserve"> z mod</w:t>
            </w:r>
            <w:r w:rsidRPr="00E26EF6">
              <w:rPr>
                <w:rFonts w:ascii="Times New Roman" w:hAnsi="Times New Roman"/>
                <w:sz w:val="24"/>
              </w:rPr>
              <w:t>elem zgłoszonym</w:t>
            </w:r>
            <w:r w:rsidR="00E26EF6" w:rsidRPr="00E26EF6">
              <w:rPr>
                <w:rFonts w:ascii="Times New Roman" w:hAnsi="Times New Roman"/>
                <w:sz w:val="24"/>
              </w:rPr>
              <w:t xml:space="preserve"> w kol</w:t>
            </w:r>
            <w:r w:rsidRPr="00E26EF6">
              <w:rPr>
                <w:rFonts w:ascii="Times New Roman" w:hAnsi="Times New Roman"/>
                <w:sz w:val="24"/>
              </w:rPr>
              <w:t>umnie 0010, jak wykazano</w:t>
            </w:r>
            <w:r w:rsidR="00E26EF6" w:rsidRPr="00E26EF6">
              <w:rPr>
                <w:rFonts w:ascii="Times New Roman" w:hAnsi="Times New Roman"/>
                <w:sz w:val="24"/>
              </w:rPr>
              <w:t xml:space="preserve"> w spr</w:t>
            </w:r>
            <w:r w:rsidRPr="00E26EF6">
              <w:rPr>
                <w:rFonts w:ascii="Times New Roman" w:hAnsi="Times New Roman"/>
                <w:sz w:val="24"/>
              </w:rPr>
              <w:t xml:space="preserve">awozdaniu finansowym sporządzonym na podstawie mających zastosowanie standardów. </w:t>
            </w:r>
          </w:p>
        </w:tc>
      </w:tr>
      <w:tr w:rsidR="00915077" w:rsidRPr="00E26EF6" w14:paraId="6605E1EE" w14:textId="77777777" w:rsidTr="00672D2A">
        <w:tc>
          <w:tcPr>
            <w:tcW w:w="1101" w:type="dxa"/>
          </w:tcPr>
          <w:p w14:paraId="2BDDACFC"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0090</w:t>
            </w:r>
          </w:p>
        </w:tc>
        <w:tc>
          <w:tcPr>
            <w:tcW w:w="8221" w:type="dxa"/>
          </w:tcPr>
          <w:p w14:paraId="72420980"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AKTYWA WYCENIANE WEDŁUG WARTOŚCI GODZIWEJ</w:t>
            </w:r>
          </w:p>
          <w:p w14:paraId="6A73580D" w14:textId="66DDC790" w:rsidR="00915077" w:rsidRPr="00E26EF6" w:rsidRDefault="00113E45">
            <w:pPr>
              <w:spacing w:beforeLines="60" w:before="144" w:afterLines="60" w:after="144"/>
              <w:rPr>
                <w:rStyle w:val="InstructionsTabelleberschrift"/>
                <w:rFonts w:ascii="Times New Roman" w:hAnsi="Times New Roman"/>
                <w:b w:val="0"/>
                <w:bCs w:val="0"/>
                <w:sz w:val="24"/>
                <w:highlight w:val="lightGray"/>
                <w:u w:val="none"/>
              </w:rPr>
            </w:pPr>
            <w:r w:rsidRPr="00E26EF6">
              <w:rPr>
                <w:rFonts w:ascii="Times New Roman" w:hAnsi="Times New Roman"/>
                <w:sz w:val="24"/>
              </w:rPr>
              <w:t>Wartość bezwzględna aktywów wycenianych według wartości godziwej, które wycenia się zgodnie</w:t>
            </w:r>
            <w:r w:rsidR="00E26EF6" w:rsidRPr="00E26EF6">
              <w:rPr>
                <w:rFonts w:ascii="Times New Roman" w:hAnsi="Times New Roman"/>
                <w:sz w:val="24"/>
              </w:rPr>
              <w:t xml:space="preserve"> z mod</w:t>
            </w:r>
            <w:r w:rsidRPr="00E26EF6">
              <w:rPr>
                <w:rFonts w:ascii="Times New Roman" w:hAnsi="Times New Roman"/>
                <w:sz w:val="24"/>
              </w:rPr>
              <w:t>elem zgłoszonym</w:t>
            </w:r>
            <w:r w:rsidR="00E26EF6" w:rsidRPr="00E26EF6">
              <w:rPr>
                <w:rFonts w:ascii="Times New Roman" w:hAnsi="Times New Roman"/>
                <w:sz w:val="24"/>
              </w:rPr>
              <w:t xml:space="preserve"> w kol</w:t>
            </w:r>
            <w:r w:rsidRPr="00E26EF6">
              <w:rPr>
                <w:rFonts w:ascii="Times New Roman" w:hAnsi="Times New Roman"/>
                <w:sz w:val="24"/>
              </w:rPr>
              <w:t>umnie 0010, jak wykazano</w:t>
            </w:r>
            <w:r w:rsidR="00E26EF6" w:rsidRPr="00E26EF6">
              <w:rPr>
                <w:rFonts w:ascii="Times New Roman" w:hAnsi="Times New Roman"/>
                <w:sz w:val="24"/>
              </w:rPr>
              <w:t xml:space="preserve"> w spr</w:t>
            </w:r>
            <w:r w:rsidRPr="00E26EF6">
              <w:rPr>
                <w:rFonts w:ascii="Times New Roman" w:hAnsi="Times New Roman"/>
                <w:sz w:val="24"/>
              </w:rPr>
              <w:t>awozdaniu finansowym sporządzonym na podstawie mających zastosowanie standardów.</w:t>
            </w:r>
          </w:p>
        </w:tc>
      </w:tr>
      <w:tr w:rsidR="00915077" w:rsidRPr="00E26EF6" w14:paraId="3D6980E8" w14:textId="77777777" w:rsidTr="00672D2A">
        <w:tc>
          <w:tcPr>
            <w:tcW w:w="1101" w:type="dxa"/>
          </w:tcPr>
          <w:p w14:paraId="0AB9674B"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0100</w:t>
            </w:r>
          </w:p>
        </w:tc>
        <w:tc>
          <w:tcPr>
            <w:tcW w:w="8221" w:type="dxa"/>
          </w:tcPr>
          <w:p w14:paraId="05BC5715"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ZOBOWIĄZANIA WYCENIANE WEDŁUG WARTOŚCI GODZIWEJ</w:t>
            </w:r>
          </w:p>
          <w:p w14:paraId="256561E6" w14:textId="7143BE20" w:rsidR="00915077" w:rsidRPr="00E26EF6" w:rsidRDefault="00113E45">
            <w:pPr>
              <w:spacing w:beforeLines="60" w:before="144" w:afterLines="60" w:after="144"/>
              <w:rPr>
                <w:rStyle w:val="InstructionsTabelleberschrift"/>
                <w:rFonts w:ascii="Times New Roman" w:hAnsi="Times New Roman"/>
                <w:b w:val="0"/>
                <w:bCs w:val="0"/>
                <w:sz w:val="24"/>
                <w:highlight w:val="lightGray"/>
                <w:u w:val="none"/>
              </w:rPr>
            </w:pPr>
            <w:r w:rsidRPr="00E26EF6">
              <w:rPr>
                <w:rFonts w:ascii="Times New Roman" w:hAnsi="Times New Roman"/>
                <w:sz w:val="24"/>
              </w:rPr>
              <w:t>Wartość bezwzględna zobowiązań wycenianych według wartości godziwej, które wycenia się zgodnie</w:t>
            </w:r>
            <w:r w:rsidR="00E26EF6" w:rsidRPr="00E26EF6">
              <w:rPr>
                <w:rFonts w:ascii="Times New Roman" w:hAnsi="Times New Roman"/>
                <w:sz w:val="24"/>
              </w:rPr>
              <w:t xml:space="preserve"> z mod</w:t>
            </w:r>
            <w:r w:rsidRPr="00E26EF6">
              <w:rPr>
                <w:rFonts w:ascii="Times New Roman" w:hAnsi="Times New Roman"/>
                <w:sz w:val="24"/>
              </w:rPr>
              <w:t>elem zgłoszonym</w:t>
            </w:r>
            <w:r w:rsidR="00E26EF6" w:rsidRPr="00E26EF6">
              <w:rPr>
                <w:rFonts w:ascii="Times New Roman" w:hAnsi="Times New Roman"/>
                <w:sz w:val="24"/>
              </w:rPr>
              <w:t xml:space="preserve"> w kol</w:t>
            </w:r>
            <w:r w:rsidRPr="00E26EF6">
              <w:rPr>
                <w:rFonts w:ascii="Times New Roman" w:hAnsi="Times New Roman"/>
                <w:sz w:val="24"/>
              </w:rPr>
              <w:t>umnie 0010, jak wykazano</w:t>
            </w:r>
            <w:r w:rsidR="00E26EF6" w:rsidRPr="00E26EF6">
              <w:rPr>
                <w:rFonts w:ascii="Times New Roman" w:hAnsi="Times New Roman"/>
                <w:sz w:val="24"/>
              </w:rPr>
              <w:t xml:space="preserve"> w spr</w:t>
            </w:r>
            <w:r w:rsidRPr="00E26EF6">
              <w:rPr>
                <w:rFonts w:ascii="Times New Roman" w:hAnsi="Times New Roman"/>
                <w:sz w:val="24"/>
              </w:rPr>
              <w:t xml:space="preserve">awozdaniu finansowym sporządzonym na podstawie mających zastosowanie standardów. </w:t>
            </w:r>
          </w:p>
        </w:tc>
      </w:tr>
      <w:tr w:rsidR="00915077" w:rsidRPr="00E26EF6" w14:paraId="0F047089" w14:textId="77777777" w:rsidTr="00672D2A">
        <w:tc>
          <w:tcPr>
            <w:tcW w:w="1101" w:type="dxa"/>
          </w:tcPr>
          <w:p w14:paraId="138321A5"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0110</w:t>
            </w:r>
          </w:p>
        </w:tc>
        <w:tc>
          <w:tcPr>
            <w:tcW w:w="8221" w:type="dxa"/>
          </w:tcPr>
          <w:p w14:paraId="28AE76DB"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RÓŻNICA Z TYTUŁU IPV (BADANIE DANYCH WYJŚCIOWYCH)</w:t>
            </w:r>
          </w:p>
          <w:p w14:paraId="48128713" w14:textId="2468A570" w:rsidR="00915077" w:rsidRPr="00E26EF6" w:rsidRDefault="00113E45">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Suma nieskorygowanych kwot różnicy („różnica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IPV”) obliczonych na ostatni dzień miesiąca przypadający jak najbliżej dnia sprawozdawczego</w:t>
            </w:r>
            <w:r w:rsidR="00E26EF6" w:rsidRPr="00E26EF6">
              <w:rPr>
                <w:rStyle w:val="InstructionsTabelleberschrift"/>
                <w:rFonts w:ascii="Times New Roman" w:hAnsi="Times New Roman"/>
                <w:b w:val="0"/>
                <w:sz w:val="24"/>
                <w:u w:val="none"/>
              </w:rPr>
              <w:t xml:space="preserve"> w ram</w:t>
            </w:r>
            <w:r w:rsidRPr="00E26EF6">
              <w:rPr>
                <w:rStyle w:val="InstructionsTabelleberschrift"/>
                <w:rFonts w:ascii="Times New Roman" w:hAnsi="Times New Roman"/>
                <w:b w:val="0"/>
                <w:sz w:val="24"/>
                <w:u w:val="none"/>
              </w:rPr>
              <w:t>ach procesu niezależnej weryfikacji cen przeprowadzonego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105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8 CRR</w:t>
            </w:r>
            <w:r w:rsidR="00E26EF6" w:rsidRPr="00E26EF6">
              <w:rPr>
                <w:rStyle w:val="InstructionsTabelleberschrift"/>
                <w:rFonts w:ascii="Times New Roman" w:hAnsi="Times New Roman"/>
                <w:b w:val="0"/>
                <w:sz w:val="24"/>
                <w:u w:val="none"/>
              </w:rPr>
              <w:t xml:space="preserve"> w odn</w:t>
            </w:r>
            <w:r w:rsidRPr="00E26EF6">
              <w:rPr>
                <w:rStyle w:val="InstructionsTabelleberschrift"/>
                <w:rFonts w:ascii="Times New Roman" w:hAnsi="Times New Roman"/>
                <w:b w:val="0"/>
                <w:sz w:val="24"/>
                <w:u w:val="none"/>
              </w:rPr>
              <w:t xml:space="preserve">iesieniu do najlepszych dostępnych niezależnych danych dotyczących odnośnego produktu lub odnośnej grupy produktów. </w:t>
            </w:r>
          </w:p>
          <w:p w14:paraId="09D4C3BD" w14:textId="471A289C" w:rsidR="00915077" w:rsidRPr="00E26EF6" w:rsidRDefault="00113E45">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Nieskorygowane kwoty różnicy dotyczą nieskorygowanych różnic między wycenami wygenerowanymi przez system transakcyjny</w:t>
            </w:r>
            <w:r w:rsidR="00E26EF6" w:rsidRPr="00E26EF6">
              <w:rPr>
                <w:rStyle w:val="InstructionsTabelleberschrift"/>
                <w:rFonts w:ascii="Times New Roman" w:hAnsi="Times New Roman"/>
                <w:b w:val="0"/>
                <w:sz w:val="24"/>
                <w:u w:val="none"/>
              </w:rPr>
              <w:t xml:space="preserve"> a wyc</w:t>
            </w:r>
            <w:r w:rsidRPr="00E26EF6">
              <w:rPr>
                <w:rStyle w:val="InstructionsTabelleberschrift"/>
                <w:rFonts w:ascii="Times New Roman" w:hAnsi="Times New Roman"/>
                <w:b w:val="0"/>
                <w:sz w:val="24"/>
                <w:u w:val="none"/>
              </w:rPr>
              <w:t>enami będącymi wynikiem comiesięcznego procesu IPV.</w:t>
            </w:r>
          </w:p>
          <w:p w14:paraId="4265E959" w14:textId="1E32525A" w:rsidR="00915077" w:rsidRPr="00E26EF6" w:rsidRDefault="004D2753">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 wyliczeniach różnicy</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IPV nie uwzględnia się żadnych skorygowanych kwot różnicy wykazanych</w:t>
            </w:r>
            <w:r w:rsidR="00E26EF6" w:rsidRPr="00E26EF6">
              <w:rPr>
                <w:rStyle w:val="InstructionsTabelleberschrift"/>
                <w:rFonts w:ascii="Times New Roman" w:hAnsi="Times New Roman"/>
                <w:b w:val="0"/>
                <w:sz w:val="24"/>
                <w:u w:val="none"/>
              </w:rPr>
              <w:t xml:space="preserve"> w ksi</w:t>
            </w:r>
            <w:r w:rsidRPr="00E26EF6">
              <w:rPr>
                <w:rStyle w:val="InstructionsTabelleberschrift"/>
                <w:rFonts w:ascii="Times New Roman" w:hAnsi="Times New Roman"/>
                <w:b w:val="0"/>
                <w:sz w:val="24"/>
                <w:u w:val="none"/>
              </w:rPr>
              <w:t>ęgach</w:t>
            </w:r>
            <w:r w:rsidR="00E26EF6" w:rsidRPr="00E26EF6">
              <w:rPr>
                <w:rStyle w:val="InstructionsTabelleberschrift"/>
                <w:rFonts w:ascii="Times New Roman" w:hAnsi="Times New Roman"/>
                <w:b w:val="0"/>
                <w:sz w:val="24"/>
                <w:u w:val="none"/>
              </w:rPr>
              <w:t xml:space="preserve"> i rej</w:t>
            </w:r>
            <w:r w:rsidRPr="00E26EF6">
              <w:rPr>
                <w:rStyle w:val="InstructionsTabelleberschrift"/>
                <w:rFonts w:ascii="Times New Roman" w:hAnsi="Times New Roman"/>
                <w:b w:val="0"/>
                <w:sz w:val="24"/>
                <w:u w:val="none"/>
              </w:rPr>
              <w:t>estrach instytucji na ostatni dzień danego miesiąca.</w:t>
            </w:r>
          </w:p>
          <w:p w14:paraId="5AB5E44E" w14:textId="40A3D502" w:rsidR="00915077" w:rsidRPr="00E26EF6" w:rsidRDefault="00113E45">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W tym miejscu uwzględnia się wyłącznie wyniki, które skalibrowano</w:t>
            </w:r>
            <w:r w:rsidR="00E26EF6" w:rsidRPr="00E26EF6">
              <w:rPr>
                <w:rStyle w:val="InstructionsTabelleberschrift"/>
                <w:rFonts w:ascii="Times New Roman" w:hAnsi="Times New Roman"/>
                <w:b w:val="0"/>
                <w:sz w:val="24"/>
                <w:u w:val="none"/>
              </w:rPr>
              <w:t xml:space="preserve"> w opa</w:t>
            </w:r>
            <w:r w:rsidRPr="00E26EF6">
              <w:rPr>
                <w:rStyle w:val="InstructionsTabelleberschrift"/>
                <w:rFonts w:ascii="Times New Roman" w:hAnsi="Times New Roman"/>
                <w:b w:val="0"/>
                <w:sz w:val="24"/>
                <w:u w:val="none"/>
              </w:rPr>
              <w:t>rciu</w:t>
            </w:r>
            <w:r w:rsidR="00E26EF6" w:rsidRPr="00E26EF6">
              <w:rPr>
                <w:rStyle w:val="InstructionsTabelleberschrift"/>
                <w:rFonts w:ascii="Times New Roman" w:hAnsi="Times New Roman"/>
                <w:b w:val="0"/>
                <w:sz w:val="24"/>
                <w:u w:val="none"/>
              </w:rPr>
              <w:t xml:space="preserve"> o cen</w:t>
            </w:r>
            <w:r w:rsidRPr="00E26EF6">
              <w:rPr>
                <w:rStyle w:val="InstructionsTabelleberschrift"/>
                <w:rFonts w:ascii="Times New Roman" w:hAnsi="Times New Roman"/>
                <w:b w:val="0"/>
                <w:sz w:val="24"/>
                <w:u w:val="none"/>
              </w:rPr>
              <w:t>y instrumentów, które przyporządkowano by do tego samego produktu (badanie danych wyjściowych). Nie uwzględnia się wyników badania danych wejściowych przeprowadzanego</w:t>
            </w:r>
            <w:r w:rsidR="00E26EF6" w:rsidRPr="00E26EF6">
              <w:rPr>
                <w:rStyle w:val="InstructionsTabelleberschrift"/>
                <w:rFonts w:ascii="Times New Roman" w:hAnsi="Times New Roman"/>
                <w:b w:val="0"/>
                <w:sz w:val="24"/>
                <w:u w:val="none"/>
              </w:rPr>
              <w:t xml:space="preserve"> w opa</w:t>
            </w:r>
            <w:r w:rsidRPr="00E26EF6">
              <w:rPr>
                <w:rStyle w:val="InstructionsTabelleberschrift"/>
                <w:rFonts w:ascii="Times New Roman" w:hAnsi="Times New Roman"/>
                <w:b w:val="0"/>
                <w:sz w:val="24"/>
                <w:u w:val="none"/>
              </w:rPr>
              <w:t>rciu</w:t>
            </w:r>
            <w:r w:rsidR="00E26EF6" w:rsidRPr="00E26EF6">
              <w:rPr>
                <w:rStyle w:val="InstructionsTabelleberschrift"/>
                <w:rFonts w:ascii="Times New Roman" w:hAnsi="Times New Roman"/>
                <w:b w:val="0"/>
                <w:sz w:val="24"/>
                <w:u w:val="none"/>
              </w:rPr>
              <w:t xml:space="preserve"> o dan</w:t>
            </w:r>
            <w:r w:rsidRPr="00E26EF6">
              <w:rPr>
                <w:rStyle w:val="InstructionsTabelleberschrift"/>
                <w:rFonts w:ascii="Times New Roman" w:hAnsi="Times New Roman"/>
                <w:b w:val="0"/>
                <w:sz w:val="24"/>
                <w:u w:val="none"/>
              </w:rPr>
              <w:t>e rynkowe stanowiące dane wejściowe, które skalibrowano</w:t>
            </w:r>
            <w:r w:rsidR="00E26EF6" w:rsidRPr="00E26EF6">
              <w:rPr>
                <w:rStyle w:val="InstructionsTabelleberschrift"/>
                <w:rFonts w:ascii="Times New Roman" w:hAnsi="Times New Roman"/>
                <w:b w:val="0"/>
                <w:sz w:val="24"/>
                <w:u w:val="none"/>
              </w:rPr>
              <w:t xml:space="preserve"> w opa</w:t>
            </w:r>
            <w:r w:rsidRPr="00E26EF6">
              <w:rPr>
                <w:rStyle w:val="InstructionsTabelleberschrift"/>
                <w:rFonts w:ascii="Times New Roman" w:hAnsi="Times New Roman"/>
                <w:b w:val="0"/>
                <w:sz w:val="24"/>
                <w:u w:val="none"/>
              </w:rPr>
              <w:t>rciu</w:t>
            </w:r>
            <w:r w:rsidR="00E26EF6" w:rsidRPr="00E26EF6">
              <w:rPr>
                <w:rStyle w:val="InstructionsTabelleberschrift"/>
                <w:rFonts w:ascii="Times New Roman" w:hAnsi="Times New Roman"/>
                <w:b w:val="0"/>
                <w:sz w:val="24"/>
                <w:u w:val="none"/>
              </w:rPr>
              <w:t xml:space="preserve"> o róż</w:t>
            </w:r>
            <w:r w:rsidRPr="00E26EF6">
              <w:rPr>
                <w:rStyle w:val="InstructionsTabelleberschrift"/>
                <w:rFonts w:ascii="Times New Roman" w:hAnsi="Times New Roman"/>
                <w:b w:val="0"/>
                <w:sz w:val="24"/>
                <w:u w:val="none"/>
              </w:rPr>
              <w:t>ne produkty.</w:t>
            </w:r>
          </w:p>
        </w:tc>
      </w:tr>
      <w:tr w:rsidR="00915077" w:rsidRPr="00E26EF6" w14:paraId="10D769D8" w14:textId="77777777" w:rsidTr="00672D2A">
        <w:tc>
          <w:tcPr>
            <w:tcW w:w="1101" w:type="dxa"/>
          </w:tcPr>
          <w:p w14:paraId="385DF656"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0120</w:t>
            </w:r>
          </w:p>
        </w:tc>
        <w:tc>
          <w:tcPr>
            <w:tcW w:w="8221" w:type="dxa"/>
          </w:tcPr>
          <w:p w14:paraId="07C00E6C" w14:textId="77777777" w:rsidR="00915077" w:rsidRPr="00E26EF6" w:rsidRDefault="00113E45">
            <w:pPr>
              <w:spacing w:beforeLines="60" w:before="144" w:afterLines="60" w:after="144"/>
              <w:jc w:val="left"/>
              <w:rPr>
                <w:rStyle w:val="InstructionsTabelleberschrift"/>
                <w:rFonts w:ascii="Times New Roman" w:hAnsi="Times New Roman"/>
                <w:sz w:val="24"/>
              </w:rPr>
            </w:pPr>
            <w:r w:rsidRPr="00E26EF6">
              <w:rPr>
                <w:rStyle w:val="InstructionsTabelleberschrift"/>
                <w:rFonts w:ascii="Times New Roman" w:hAnsi="Times New Roman"/>
                <w:sz w:val="24"/>
              </w:rPr>
              <w:t>ZAKRES IPV (BADANIE DANYCH WYJŚCIOWYCH)</w:t>
            </w:r>
          </w:p>
          <w:p w14:paraId="6DF5FC28" w14:textId="2BEFED24" w:rsidR="00915077" w:rsidRPr="00E26EF6" w:rsidRDefault="00113E45">
            <w:pPr>
              <w:spacing w:beforeLines="60" w:before="144" w:afterLines="60" w:after="144"/>
              <w:jc w:val="left"/>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Odsetek pozycji przyporządkowanych do modelu ważonego AVA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ryzyka modelu, który pokryty jest wynikami badania danych wyjściowych IPV podanymi</w:t>
            </w:r>
            <w:r w:rsidR="00E26EF6" w:rsidRPr="00E26EF6">
              <w:rPr>
                <w:rStyle w:val="InstructionsTabelleberschrift"/>
                <w:rFonts w:ascii="Times New Roman" w:hAnsi="Times New Roman"/>
                <w:b w:val="0"/>
                <w:sz w:val="24"/>
                <w:u w:val="none"/>
              </w:rPr>
              <w:t xml:space="preserve"> w kol</w:t>
            </w:r>
            <w:r w:rsidRPr="00E26EF6">
              <w:rPr>
                <w:rStyle w:val="InstructionsTabelleberschrift"/>
                <w:rFonts w:ascii="Times New Roman" w:hAnsi="Times New Roman"/>
                <w:b w:val="0"/>
                <w:sz w:val="24"/>
                <w:u w:val="none"/>
              </w:rPr>
              <w:t>umnie 0110.</w:t>
            </w:r>
          </w:p>
        </w:tc>
      </w:tr>
      <w:tr w:rsidR="00915077" w:rsidRPr="00E26EF6" w14:paraId="10CCE332" w14:textId="77777777" w:rsidTr="00672D2A">
        <w:tc>
          <w:tcPr>
            <w:tcW w:w="1101" w:type="dxa"/>
          </w:tcPr>
          <w:p w14:paraId="330438BE"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t>0130-0140</w:t>
            </w:r>
          </w:p>
        </w:tc>
        <w:tc>
          <w:tcPr>
            <w:tcW w:w="8221" w:type="dxa"/>
          </w:tcPr>
          <w:p w14:paraId="4401B07B"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KOREKTY WARTOŚCI GODZIWEJ</w:t>
            </w:r>
          </w:p>
          <w:p w14:paraId="0FDC4843" w14:textId="0BDC5182" w:rsidR="00915077" w:rsidRPr="00E26EF6" w:rsidRDefault="00113E45">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Korekty wartości godziwej określone</w:t>
            </w:r>
            <w:r w:rsidR="00E26EF6" w:rsidRPr="00E26EF6">
              <w:rPr>
                <w:rStyle w:val="InstructionsTabelleberschrift"/>
                <w:rFonts w:ascii="Times New Roman" w:hAnsi="Times New Roman"/>
                <w:b w:val="0"/>
                <w:sz w:val="24"/>
                <w:u w:val="none"/>
              </w:rPr>
              <w:t xml:space="preserve"> w kol</w:t>
            </w:r>
            <w:r w:rsidRPr="00E26EF6">
              <w:rPr>
                <w:rStyle w:val="InstructionsTabelleberschrift"/>
                <w:rFonts w:ascii="Times New Roman" w:hAnsi="Times New Roman"/>
                <w:b w:val="0"/>
                <w:sz w:val="24"/>
                <w:u w:val="none"/>
              </w:rPr>
              <w:t>umnach 0190</w:t>
            </w:r>
            <w:r w:rsidR="00E26EF6" w:rsidRPr="00E26EF6">
              <w:rPr>
                <w:rStyle w:val="InstructionsTabelleberschrift"/>
                <w:rFonts w:ascii="Times New Roman" w:hAnsi="Times New Roman"/>
                <w:b w:val="0"/>
                <w:sz w:val="24"/>
                <w:u w:val="none"/>
              </w:rPr>
              <w:t xml:space="preserve"> i 0</w:t>
            </w:r>
            <w:r w:rsidRPr="00E26EF6">
              <w:rPr>
                <w:rStyle w:val="InstructionsTabelleberschrift"/>
                <w:rFonts w:ascii="Times New Roman" w:hAnsi="Times New Roman"/>
                <w:b w:val="0"/>
                <w:sz w:val="24"/>
                <w:u w:val="none"/>
              </w:rPr>
              <w:t xml:space="preserve">240 we wzorze C 32.02, </w:t>
            </w:r>
            <w:proofErr w:type="gramStart"/>
            <w:r w:rsidRPr="00E26EF6">
              <w:rPr>
                <w:rStyle w:val="InstructionsTabelleberschrift"/>
                <w:rFonts w:ascii="Times New Roman" w:hAnsi="Times New Roman"/>
                <w:b w:val="0"/>
                <w:sz w:val="24"/>
                <w:u w:val="none"/>
              </w:rPr>
              <w:t>które</w:t>
            </w:r>
            <w:proofErr w:type="gramEnd"/>
            <w:r w:rsidRPr="00E26EF6">
              <w:rPr>
                <w:rStyle w:val="InstructionsTabelleberschrift"/>
                <w:rFonts w:ascii="Times New Roman" w:hAnsi="Times New Roman"/>
                <w:b w:val="0"/>
                <w:sz w:val="24"/>
                <w:u w:val="none"/>
              </w:rPr>
              <w:t xml:space="preserve"> zastosowano do pozycji przyporządkowanych do </w:t>
            </w:r>
            <w:r w:rsidRPr="00E26EF6">
              <w:rPr>
                <w:rFonts w:ascii="Times New Roman" w:hAnsi="Times New Roman"/>
                <w:sz w:val="24"/>
              </w:rPr>
              <w:t>modelu</w:t>
            </w:r>
            <w:r w:rsidR="00E26EF6" w:rsidRPr="00E26EF6">
              <w:rPr>
                <w:rFonts w:ascii="Times New Roman" w:hAnsi="Times New Roman"/>
                <w:sz w:val="24"/>
              </w:rPr>
              <w:t xml:space="preserve"> w kol</w:t>
            </w:r>
            <w:r w:rsidRPr="00E26EF6">
              <w:rPr>
                <w:rFonts w:ascii="Times New Roman" w:hAnsi="Times New Roman"/>
                <w:sz w:val="24"/>
              </w:rPr>
              <w:t>umnie 0010</w:t>
            </w:r>
            <w:r w:rsidRPr="00E26EF6">
              <w:rPr>
                <w:rStyle w:val="InstructionsTabelleberschrift"/>
                <w:rFonts w:ascii="Times New Roman" w:hAnsi="Times New Roman"/>
                <w:b w:val="0"/>
                <w:sz w:val="24"/>
                <w:u w:val="none"/>
              </w:rPr>
              <w:t>.</w:t>
            </w:r>
          </w:p>
        </w:tc>
      </w:tr>
      <w:tr w:rsidR="00915077" w:rsidRPr="00E26EF6" w14:paraId="1AB5936A" w14:textId="77777777" w:rsidTr="00672D2A">
        <w:tc>
          <w:tcPr>
            <w:tcW w:w="1101" w:type="dxa"/>
          </w:tcPr>
          <w:p w14:paraId="1F34B920" w14:textId="77777777" w:rsidR="00915077" w:rsidRPr="00E26EF6" w:rsidRDefault="008136B4">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0150</w:t>
            </w:r>
          </w:p>
        </w:tc>
        <w:tc>
          <w:tcPr>
            <w:tcW w:w="8221" w:type="dxa"/>
          </w:tcPr>
          <w:p w14:paraId="44AED0CC"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ZYSKI I STRATY Z POCZĄTKOWEGO UJĘCIA</w:t>
            </w:r>
          </w:p>
          <w:p w14:paraId="018D0997" w14:textId="7635E4F6"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b w:val="0"/>
                <w:sz w:val="24"/>
                <w:u w:val="none"/>
              </w:rPr>
              <w:t>Korekty określone</w:t>
            </w:r>
            <w:r w:rsidR="00E26EF6" w:rsidRPr="00E26EF6">
              <w:rPr>
                <w:rStyle w:val="InstructionsTabelleberschrift"/>
                <w:rFonts w:ascii="Times New Roman" w:hAnsi="Times New Roman"/>
                <w:b w:val="0"/>
                <w:sz w:val="24"/>
                <w:u w:val="none"/>
              </w:rPr>
              <w:t xml:space="preserve"> w kol</w:t>
            </w:r>
            <w:r w:rsidRPr="00E26EF6">
              <w:rPr>
                <w:rStyle w:val="InstructionsTabelleberschrift"/>
                <w:rFonts w:ascii="Times New Roman" w:hAnsi="Times New Roman"/>
                <w:b w:val="0"/>
                <w:sz w:val="24"/>
                <w:u w:val="none"/>
              </w:rPr>
              <w:t xml:space="preserve">umnie 0260 we wzorze C 32.02, </w:t>
            </w:r>
            <w:proofErr w:type="gramStart"/>
            <w:r w:rsidRPr="00E26EF6">
              <w:rPr>
                <w:rStyle w:val="InstructionsTabelleberschrift"/>
                <w:rFonts w:ascii="Times New Roman" w:hAnsi="Times New Roman"/>
                <w:b w:val="0"/>
                <w:sz w:val="24"/>
                <w:u w:val="none"/>
              </w:rPr>
              <w:t>które</w:t>
            </w:r>
            <w:proofErr w:type="gramEnd"/>
            <w:r w:rsidRPr="00E26EF6">
              <w:rPr>
                <w:rStyle w:val="InstructionsTabelleberschrift"/>
                <w:rFonts w:ascii="Times New Roman" w:hAnsi="Times New Roman"/>
                <w:b w:val="0"/>
                <w:sz w:val="24"/>
                <w:u w:val="none"/>
              </w:rPr>
              <w:t xml:space="preserve"> zastosowano do pozycji przyporządkowanych do </w:t>
            </w:r>
            <w:r w:rsidRPr="00E26EF6">
              <w:rPr>
                <w:rFonts w:ascii="Times New Roman" w:hAnsi="Times New Roman"/>
                <w:sz w:val="24"/>
              </w:rPr>
              <w:t>modelu</w:t>
            </w:r>
            <w:r w:rsidR="00E26EF6" w:rsidRPr="00E26EF6">
              <w:rPr>
                <w:rFonts w:ascii="Times New Roman" w:hAnsi="Times New Roman"/>
                <w:sz w:val="24"/>
              </w:rPr>
              <w:t xml:space="preserve"> w kol</w:t>
            </w:r>
            <w:r w:rsidRPr="00E26EF6">
              <w:rPr>
                <w:rFonts w:ascii="Times New Roman" w:hAnsi="Times New Roman"/>
                <w:sz w:val="24"/>
              </w:rPr>
              <w:t>umnie 0010</w:t>
            </w:r>
            <w:r w:rsidRPr="00E26EF6">
              <w:rPr>
                <w:rStyle w:val="InstructionsTabelleberschrift"/>
                <w:rFonts w:ascii="Times New Roman" w:hAnsi="Times New Roman"/>
                <w:b w:val="0"/>
                <w:sz w:val="24"/>
                <w:u w:val="none"/>
              </w:rPr>
              <w:t>.</w:t>
            </w:r>
          </w:p>
        </w:tc>
      </w:tr>
    </w:tbl>
    <w:p w14:paraId="42E50DC5" w14:textId="77777777" w:rsidR="00915077" w:rsidRPr="00E26EF6" w:rsidRDefault="00915077">
      <w:pPr>
        <w:rPr>
          <w:rStyle w:val="InstructionsTabelleText"/>
          <w:rFonts w:ascii="Times New Roman" w:hAnsi="Times New Roman"/>
          <w:sz w:val="24"/>
        </w:rPr>
      </w:pPr>
    </w:p>
    <w:p w14:paraId="684E0FC0" w14:textId="42A054A0" w:rsidR="00915077" w:rsidRPr="00E26EF6" w:rsidRDefault="00113E45">
      <w:pPr>
        <w:pStyle w:val="Instructionsberschrift2"/>
        <w:numPr>
          <w:ilvl w:val="0"/>
          <w:numId w:val="0"/>
        </w:numPr>
        <w:ind w:left="357" w:hanging="357"/>
        <w:rPr>
          <w:rFonts w:ascii="Times New Roman" w:hAnsi="Times New Roman"/>
          <w:sz w:val="24"/>
          <w:u w:val="none"/>
        </w:rPr>
      </w:pPr>
      <w:bookmarkStart w:id="117" w:name="_Toc31014414"/>
      <w:r w:rsidRPr="00E26EF6">
        <w:rPr>
          <w:rFonts w:ascii="Times New Roman" w:hAnsi="Times New Roman"/>
          <w:sz w:val="24"/>
          <w:u w:val="none"/>
        </w:rPr>
        <w:t xml:space="preserve">6.4 </w:t>
      </w:r>
      <w:r w:rsidRPr="00E26EF6">
        <w:rPr>
          <w:rFonts w:ascii="Times New Roman" w:hAnsi="Times New Roman"/>
          <w:sz w:val="24"/>
        </w:rPr>
        <w:t>C 32.04 – Ostrożna wycena: AVA</w:t>
      </w:r>
      <w:r w:rsidR="00E26EF6" w:rsidRPr="00E26EF6">
        <w:rPr>
          <w:rFonts w:ascii="Times New Roman" w:hAnsi="Times New Roman"/>
          <w:sz w:val="24"/>
        </w:rPr>
        <w:t xml:space="preserve"> z tyt</w:t>
      </w:r>
      <w:r w:rsidRPr="00E26EF6">
        <w:rPr>
          <w:rFonts w:ascii="Times New Roman" w:hAnsi="Times New Roman"/>
          <w:sz w:val="24"/>
        </w:rPr>
        <w:t>ułu pozycji</w:t>
      </w:r>
      <w:r w:rsidR="00E26EF6" w:rsidRPr="00E26EF6">
        <w:rPr>
          <w:rFonts w:ascii="Times New Roman" w:hAnsi="Times New Roman"/>
          <w:sz w:val="24"/>
        </w:rPr>
        <w:t xml:space="preserve"> o duż</w:t>
      </w:r>
      <w:r w:rsidRPr="00E26EF6">
        <w:rPr>
          <w:rFonts w:ascii="Times New Roman" w:hAnsi="Times New Roman"/>
          <w:sz w:val="24"/>
        </w:rPr>
        <w:t>ej koncentracji (PruVal 4)</w:t>
      </w:r>
      <w:bookmarkEnd w:id="117"/>
    </w:p>
    <w:p w14:paraId="15BF1E5B" w14:textId="77777777" w:rsidR="00915077" w:rsidRPr="00E26EF6" w:rsidRDefault="00B93FA1">
      <w:pPr>
        <w:pStyle w:val="Instructionsberschrift2"/>
        <w:numPr>
          <w:ilvl w:val="0"/>
          <w:numId w:val="0"/>
        </w:numPr>
        <w:ind w:left="357" w:hanging="357"/>
        <w:rPr>
          <w:rFonts w:ascii="Times New Roman" w:hAnsi="Times New Roman" w:cs="Times New Roman"/>
          <w:sz w:val="24"/>
          <w:u w:val="none"/>
        </w:rPr>
      </w:pPr>
      <w:bookmarkStart w:id="118" w:name="_Toc31014415"/>
      <w:r w:rsidRPr="00E26EF6">
        <w:rPr>
          <w:rFonts w:ascii="Times New Roman" w:hAnsi="Times New Roman"/>
          <w:sz w:val="24"/>
          <w:u w:val="none"/>
        </w:rPr>
        <w:t>6.4.1.</w:t>
      </w:r>
      <w:r w:rsidRPr="00E26EF6">
        <w:rPr>
          <w:rFonts w:ascii="Times New Roman" w:hAnsi="Times New Roman"/>
          <w:sz w:val="24"/>
          <w:u w:val="none"/>
        </w:rPr>
        <w:tab/>
      </w:r>
      <w:r w:rsidRPr="00E26EF6">
        <w:rPr>
          <w:rFonts w:ascii="Times New Roman" w:hAnsi="Times New Roman"/>
          <w:sz w:val="24"/>
        </w:rPr>
        <w:t>Uwagi ogólne</w:t>
      </w:r>
      <w:bookmarkEnd w:id="118"/>
      <w:r w:rsidRPr="00E26EF6">
        <w:rPr>
          <w:rFonts w:ascii="Times New Roman" w:hAnsi="Times New Roman"/>
          <w:sz w:val="24"/>
          <w:u w:val="none"/>
        </w:rPr>
        <w:t xml:space="preserve"> </w:t>
      </w:r>
    </w:p>
    <w:p w14:paraId="5FFC4839" w14:textId="05ED1B69" w:rsidR="00915077" w:rsidRPr="00E26EF6" w:rsidRDefault="00113E45">
      <w:pPr>
        <w:pStyle w:val="InstructionsText2"/>
        <w:numPr>
          <w:ilvl w:val="0"/>
          <w:numId w:val="0"/>
        </w:numPr>
        <w:ind w:left="993"/>
      </w:pPr>
      <w:r w:rsidRPr="00E26EF6">
        <w:t>154k. Wzór ten wypełniają wyłącznie instytucje, które przekraczają – na swoim poziomie – próg,</w:t>
      </w:r>
      <w:r w:rsidR="00E26EF6" w:rsidRPr="00E26EF6">
        <w:t xml:space="preserve"> o któ</w:t>
      </w:r>
      <w:r w:rsidRPr="00E26EF6">
        <w:t>rym mowa</w:t>
      </w:r>
      <w:r w:rsidR="00E26EF6" w:rsidRPr="00E26EF6">
        <w:t xml:space="preserve"> w art</w:t>
      </w:r>
      <w:r w:rsidRPr="00E26EF6">
        <w:t>.</w:t>
      </w:r>
      <w:r w:rsidR="00023409" w:rsidRPr="00E26EF6">
        <w:t> </w:t>
      </w:r>
      <w:r w:rsidRPr="00E26EF6">
        <w:t>4 ust.</w:t>
      </w:r>
      <w:r w:rsidR="00023409" w:rsidRPr="00E26EF6">
        <w:t> </w:t>
      </w:r>
      <w:r w:rsidRPr="00E26EF6">
        <w:t>1 rozporządzenia delegowanego (UE) 2016/101. Instytucje, które są częścią grupy przekraczającej próg</w:t>
      </w:r>
      <w:r w:rsidR="00E26EF6" w:rsidRPr="00E26EF6">
        <w:t xml:space="preserve"> w uję</w:t>
      </w:r>
      <w:r w:rsidRPr="00E26EF6">
        <w:t>ciu skonsolidowanym, mają obowiązek wypełnić ten wzór tylko wówczas, gdy również one same na swoim poziomie przekraczają ten próg.</w:t>
      </w:r>
    </w:p>
    <w:p w14:paraId="6C6B9144" w14:textId="1202B67D" w:rsidR="00915077" w:rsidRPr="00E26EF6" w:rsidRDefault="00113E45">
      <w:pPr>
        <w:pStyle w:val="InstructionsText2"/>
        <w:numPr>
          <w:ilvl w:val="0"/>
          <w:numId w:val="0"/>
        </w:numPr>
        <w:ind w:left="993"/>
      </w:pPr>
      <w:r w:rsidRPr="00E26EF6">
        <w:t>154l. Wzór ten stosuje się do zgłaszania szczegółowych informacji na temat pierwszych 20 (pod względem wysokości AVA) indywidualnych AVA</w:t>
      </w:r>
      <w:r w:rsidR="00E26EF6" w:rsidRPr="00E26EF6">
        <w:t xml:space="preserve"> z tyt</w:t>
      </w:r>
      <w:r w:rsidRPr="00E26EF6">
        <w:t>ułu pozycji</w:t>
      </w:r>
      <w:r w:rsidR="00E26EF6" w:rsidRPr="00E26EF6">
        <w:t xml:space="preserve"> o duż</w:t>
      </w:r>
      <w:r w:rsidRPr="00E26EF6">
        <w:t>ej koncentracji, które stanowią wkład do całkowitej AVA</w:t>
      </w:r>
      <w:r w:rsidR="00E26EF6" w:rsidRPr="00E26EF6">
        <w:t xml:space="preserve"> z tyt</w:t>
      </w:r>
      <w:r w:rsidRPr="00E26EF6">
        <w:t>ułu pozycji</w:t>
      </w:r>
      <w:r w:rsidR="00E26EF6" w:rsidRPr="00E26EF6">
        <w:t xml:space="preserve"> o duż</w:t>
      </w:r>
      <w:r w:rsidRPr="00E26EF6">
        <w:t>ej koncentracji na poziomie kategorii obliczonej zgodnie</w:t>
      </w:r>
      <w:r w:rsidR="00E26EF6" w:rsidRPr="00E26EF6">
        <w:t xml:space="preserve"> z art</w:t>
      </w:r>
      <w:r w:rsidRPr="00E26EF6">
        <w:t>.</w:t>
      </w:r>
      <w:r w:rsidR="00023409" w:rsidRPr="00E26EF6">
        <w:t> </w:t>
      </w:r>
      <w:r w:rsidRPr="00E26EF6">
        <w:t>14 rozporządzenia delegowanego (UE) 2016/101. Informacje te odpowiadają informacjom zgłaszanym</w:t>
      </w:r>
      <w:r w:rsidR="00E26EF6" w:rsidRPr="00E26EF6">
        <w:t xml:space="preserve"> w kol</w:t>
      </w:r>
      <w:r w:rsidRPr="00E26EF6">
        <w:t xml:space="preserve">umnie 0070 we wzorze C 32.02. </w:t>
      </w:r>
    </w:p>
    <w:p w14:paraId="75B0C061" w14:textId="40EACE33" w:rsidR="00915077" w:rsidRPr="00E26EF6" w:rsidRDefault="00113E45">
      <w:pPr>
        <w:pStyle w:val="InstructionsText2"/>
        <w:numPr>
          <w:ilvl w:val="0"/>
          <w:numId w:val="0"/>
        </w:numPr>
        <w:ind w:left="993"/>
      </w:pPr>
      <w:r w:rsidRPr="00E26EF6">
        <w:t>154m. Pierwsze 20 AVA</w:t>
      </w:r>
      <w:r w:rsidR="00E26EF6" w:rsidRPr="00E26EF6">
        <w:t xml:space="preserve"> z tyt</w:t>
      </w:r>
      <w:r w:rsidRPr="00E26EF6">
        <w:t>ułu pozycji</w:t>
      </w:r>
      <w:r w:rsidR="00E26EF6" w:rsidRPr="00E26EF6">
        <w:t xml:space="preserve"> o duż</w:t>
      </w:r>
      <w:r w:rsidRPr="00E26EF6">
        <w:t>ej koncentracji oraz odnośne informacje na temat produktu zgłasza się</w:t>
      </w:r>
      <w:r w:rsidR="00E26EF6" w:rsidRPr="00E26EF6">
        <w:t xml:space="preserve"> w por</w:t>
      </w:r>
      <w:r w:rsidRPr="00E26EF6">
        <w:t>ządku malejącym, począwszy od największej indywidualnej AVA</w:t>
      </w:r>
      <w:r w:rsidR="00E26EF6" w:rsidRPr="00E26EF6">
        <w:t xml:space="preserve"> z tyt</w:t>
      </w:r>
      <w:r w:rsidRPr="00E26EF6">
        <w:t>ułu pozycji</w:t>
      </w:r>
      <w:r w:rsidR="00E26EF6" w:rsidRPr="00E26EF6">
        <w:t xml:space="preserve"> o duż</w:t>
      </w:r>
      <w:r w:rsidRPr="00E26EF6">
        <w:t>ej koncentracji.</w:t>
      </w:r>
    </w:p>
    <w:p w14:paraId="18D151FC" w14:textId="3DBEFF5B" w:rsidR="00915077" w:rsidRPr="00E26EF6" w:rsidRDefault="00113E45">
      <w:pPr>
        <w:pStyle w:val="InstructionsText2"/>
        <w:numPr>
          <w:ilvl w:val="0"/>
          <w:numId w:val="0"/>
        </w:numPr>
        <w:ind w:left="993"/>
      </w:pPr>
      <w:r w:rsidRPr="00E26EF6">
        <w:t>154n. Produkty odpowiadające tym największym indywidualnym AVA</w:t>
      </w:r>
      <w:r w:rsidR="00E26EF6" w:rsidRPr="00E26EF6">
        <w:t xml:space="preserve"> z tyt</w:t>
      </w:r>
      <w:r w:rsidRPr="00E26EF6">
        <w:t>ułu pozycji</w:t>
      </w:r>
      <w:r w:rsidR="00E26EF6" w:rsidRPr="00E26EF6">
        <w:t xml:space="preserve"> o duż</w:t>
      </w:r>
      <w:r w:rsidRPr="00E26EF6">
        <w:t>ej koncentracji zgłasza się przy użyciu wykazu produktów wymaganego na podstawie art.</w:t>
      </w:r>
      <w:r w:rsidR="00023409" w:rsidRPr="00E26EF6">
        <w:t> </w:t>
      </w:r>
      <w:r w:rsidRPr="00E26EF6">
        <w:t>19 ust.</w:t>
      </w:r>
      <w:r w:rsidR="00023409" w:rsidRPr="00E26EF6">
        <w:t> </w:t>
      </w:r>
      <w:r w:rsidRPr="00E26EF6">
        <w:t>3 lit.</w:t>
      </w:r>
      <w:r w:rsidR="00023409" w:rsidRPr="00E26EF6">
        <w:t> </w:t>
      </w:r>
      <w:r w:rsidRPr="00E26EF6">
        <w:t>a) rozporządzenia delegowanego (UE) 2016/101.</w:t>
      </w:r>
    </w:p>
    <w:p w14:paraId="3142F70E" w14:textId="41FC5676" w:rsidR="00915077" w:rsidRPr="00E26EF6" w:rsidRDefault="00113E45">
      <w:pPr>
        <w:pStyle w:val="InstructionsText2"/>
        <w:numPr>
          <w:ilvl w:val="0"/>
          <w:numId w:val="0"/>
        </w:numPr>
        <w:ind w:left="993"/>
      </w:pPr>
      <w:r w:rsidRPr="00E26EF6">
        <w:t>154o. Pozycje, które są jednorodne pod względem metody wyliczania AVA,</w:t>
      </w:r>
      <w:r w:rsidR="00E26EF6" w:rsidRPr="00E26EF6">
        <w:t xml:space="preserve"> w mia</w:t>
      </w:r>
      <w:r w:rsidRPr="00E26EF6">
        <w:t>rę możliwości agreguje się, aby zmaksymalizować zakres tego wzoru.</w:t>
      </w:r>
    </w:p>
    <w:p w14:paraId="710CAB00" w14:textId="77777777" w:rsidR="00915077" w:rsidRPr="00E26EF6" w:rsidRDefault="00B93FA1">
      <w:pPr>
        <w:pStyle w:val="Instructionsberschrift2"/>
        <w:numPr>
          <w:ilvl w:val="0"/>
          <w:numId w:val="0"/>
        </w:numPr>
        <w:ind w:left="357" w:hanging="357"/>
        <w:rPr>
          <w:rFonts w:ascii="Times New Roman" w:hAnsi="Times New Roman" w:cs="Times New Roman"/>
          <w:sz w:val="24"/>
          <w:u w:val="none"/>
        </w:rPr>
      </w:pPr>
      <w:bookmarkStart w:id="119" w:name="_Toc31014416"/>
      <w:r w:rsidRPr="00E26EF6">
        <w:rPr>
          <w:rFonts w:ascii="Times New Roman" w:hAnsi="Times New Roman"/>
          <w:sz w:val="24"/>
          <w:u w:val="none"/>
        </w:rPr>
        <w:t>6.4.2.</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15077" w:rsidRPr="00E26EF6" w14:paraId="0D49F34C" w14:textId="77777777" w:rsidTr="00672D2A">
        <w:tc>
          <w:tcPr>
            <w:tcW w:w="8856" w:type="dxa"/>
            <w:gridSpan w:val="2"/>
            <w:shd w:val="clear" w:color="auto" w:fill="CCCCCC"/>
          </w:tcPr>
          <w:p w14:paraId="0E0913D1" w14:textId="77777777" w:rsidR="00915077" w:rsidRPr="00E26EF6" w:rsidRDefault="00113E45">
            <w:pPr>
              <w:spacing w:beforeLines="60" w:before="144" w:afterLines="60" w:after="144"/>
              <w:rPr>
                <w:rFonts w:ascii="Times New Roman" w:hAnsi="Times New Roman"/>
                <w:b/>
                <w:sz w:val="24"/>
                <w:highlight w:val="lightGray"/>
              </w:rPr>
            </w:pPr>
            <w:r w:rsidRPr="00E26EF6">
              <w:rPr>
                <w:rFonts w:ascii="Times New Roman" w:hAnsi="Times New Roman"/>
                <w:b/>
                <w:sz w:val="24"/>
              </w:rPr>
              <w:t>Kolumny</w:t>
            </w:r>
          </w:p>
        </w:tc>
      </w:tr>
      <w:tr w:rsidR="00915077" w:rsidRPr="00E26EF6" w14:paraId="01F925BD" w14:textId="77777777" w:rsidTr="00672D2A">
        <w:tc>
          <w:tcPr>
            <w:tcW w:w="852" w:type="dxa"/>
          </w:tcPr>
          <w:p w14:paraId="69077131"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t>0005</w:t>
            </w:r>
          </w:p>
        </w:tc>
        <w:tc>
          <w:tcPr>
            <w:tcW w:w="8004" w:type="dxa"/>
          </w:tcPr>
          <w:p w14:paraId="5D8E42AF"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POZYCJA W RANKINGU</w:t>
            </w:r>
          </w:p>
          <w:p w14:paraId="35A12444" w14:textId="1C8E75E3" w:rsidR="00915077" w:rsidRPr="00E26EF6" w:rsidDel="003016B5" w:rsidRDefault="00113E45">
            <w:pPr>
              <w:spacing w:beforeLines="60" w:before="144" w:afterLines="60" w:after="144"/>
              <w:rPr>
                <w:rFonts w:ascii="Times New Roman" w:hAnsi="Times New Roman"/>
                <w:b/>
                <w:sz w:val="24"/>
                <w:highlight w:val="lightGray"/>
                <w:u w:val="single"/>
              </w:rPr>
            </w:pPr>
            <w:r w:rsidRPr="00E26EF6">
              <w:rPr>
                <w:rFonts w:ascii="Times New Roman" w:hAnsi="Times New Roman"/>
                <w:sz w:val="24"/>
              </w:rPr>
              <w:t>Pozycja</w:t>
            </w:r>
            <w:r w:rsidR="00E26EF6" w:rsidRPr="00E26EF6">
              <w:rPr>
                <w:rFonts w:ascii="Times New Roman" w:hAnsi="Times New Roman"/>
                <w:sz w:val="24"/>
              </w:rPr>
              <w:t xml:space="preserve"> w ran</w:t>
            </w:r>
            <w:r w:rsidRPr="00E26EF6">
              <w:rPr>
                <w:rFonts w:ascii="Times New Roman" w:hAnsi="Times New Roman"/>
                <w:sz w:val="24"/>
              </w:rPr>
              <w:t>kingu stanowi identyfikator wiersza</w:t>
            </w:r>
            <w:r w:rsidR="00E26EF6" w:rsidRPr="00E26EF6">
              <w:rPr>
                <w:rFonts w:ascii="Times New Roman" w:hAnsi="Times New Roman"/>
                <w:sz w:val="24"/>
              </w:rPr>
              <w:t xml:space="preserve"> i jes</w:t>
            </w:r>
            <w:r w:rsidRPr="00E26EF6">
              <w:rPr>
                <w:rFonts w:ascii="Times New Roman" w:hAnsi="Times New Roman"/>
                <w:sz w:val="24"/>
              </w:rPr>
              <w:t>t niepowtarzalna dla każdego wiersza we wzorze. Podaje się ją</w:t>
            </w:r>
            <w:r w:rsidR="00E26EF6" w:rsidRPr="00E26EF6">
              <w:rPr>
                <w:rFonts w:ascii="Times New Roman" w:hAnsi="Times New Roman"/>
                <w:sz w:val="24"/>
              </w:rPr>
              <w:t xml:space="preserve"> w por</w:t>
            </w:r>
            <w:r w:rsidRPr="00E26EF6">
              <w:rPr>
                <w:rFonts w:ascii="Times New Roman" w:hAnsi="Times New Roman"/>
                <w:sz w:val="24"/>
              </w:rPr>
              <w:t>ządku numerycznym 1, 2, 3 itd., przy czym 1 oznacza największą AVA</w:t>
            </w:r>
            <w:r w:rsidR="00E26EF6" w:rsidRPr="00E26EF6">
              <w:rPr>
                <w:rFonts w:ascii="Times New Roman" w:hAnsi="Times New Roman"/>
                <w:sz w:val="24"/>
              </w:rPr>
              <w:t xml:space="preserve"> z tyt</w:t>
            </w:r>
            <w:r w:rsidRPr="00E26EF6">
              <w:rPr>
                <w:rFonts w:ascii="Times New Roman" w:hAnsi="Times New Roman"/>
                <w:sz w:val="24"/>
              </w:rPr>
              <w:t>ułu pozycji</w:t>
            </w:r>
            <w:r w:rsidR="00E26EF6" w:rsidRPr="00E26EF6">
              <w:rPr>
                <w:rFonts w:ascii="Times New Roman" w:hAnsi="Times New Roman"/>
                <w:sz w:val="24"/>
              </w:rPr>
              <w:t xml:space="preserve"> o duż</w:t>
            </w:r>
            <w:r w:rsidRPr="00E26EF6">
              <w:rPr>
                <w:rFonts w:ascii="Times New Roman" w:hAnsi="Times New Roman"/>
                <w:sz w:val="24"/>
              </w:rPr>
              <w:t>ej koncentracji, 2 – drugą największą itd.</w:t>
            </w:r>
          </w:p>
        </w:tc>
      </w:tr>
      <w:tr w:rsidR="00915077" w:rsidRPr="00E26EF6" w14:paraId="6B3108A4" w14:textId="77777777" w:rsidTr="00672D2A">
        <w:tc>
          <w:tcPr>
            <w:tcW w:w="852" w:type="dxa"/>
          </w:tcPr>
          <w:p w14:paraId="4E297FC1"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t>0010</w:t>
            </w:r>
          </w:p>
        </w:tc>
        <w:tc>
          <w:tcPr>
            <w:tcW w:w="8004" w:type="dxa"/>
          </w:tcPr>
          <w:p w14:paraId="2916DC85"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KATEGORIA RYZYKA</w:t>
            </w:r>
          </w:p>
          <w:p w14:paraId="6D1696C8" w14:textId="7278D5AF"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Kategoria ryzyka (stopy procentowe, waluty obce, kredyty, papiery kapitałowe, towary), która</w:t>
            </w:r>
            <w:r w:rsidR="00E26EF6" w:rsidRPr="00E26EF6">
              <w:rPr>
                <w:rFonts w:ascii="Times New Roman" w:hAnsi="Times New Roman"/>
                <w:sz w:val="24"/>
              </w:rPr>
              <w:t xml:space="preserve"> w naj</w:t>
            </w:r>
            <w:r w:rsidRPr="00E26EF6">
              <w:rPr>
                <w:rFonts w:ascii="Times New Roman" w:hAnsi="Times New Roman"/>
                <w:sz w:val="24"/>
              </w:rPr>
              <w:t>bardziej odpowiedni sposób charakteryzuje pozycję.</w:t>
            </w:r>
          </w:p>
          <w:p w14:paraId="16A366E7" w14:textId="77777777"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Instytucje zgłaszają następujące kody:</w:t>
            </w:r>
          </w:p>
          <w:p w14:paraId="15AF634B" w14:textId="77777777"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IR – stopa procentowa</w:t>
            </w:r>
          </w:p>
          <w:p w14:paraId="0480F0A4" w14:textId="77777777" w:rsidR="00915077" w:rsidRPr="00E26EF6" w:rsidRDefault="0022597E">
            <w:pPr>
              <w:spacing w:beforeLines="60" w:before="144" w:afterLines="60" w:after="144"/>
              <w:rPr>
                <w:rFonts w:ascii="Times New Roman" w:hAnsi="Times New Roman"/>
                <w:sz w:val="24"/>
              </w:rPr>
            </w:pPr>
            <w:r w:rsidRPr="00E26EF6">
              <w:rPr>
                <w:rFonts w:ascii="Times New Roman" w:hAnsi="Times New Roman"/>
                <w:sz w:val="24"/>
              </w:rPr>
              <w:t>FX – waluty obce</w:t>
            </w:r>
          </w:p>
          <w:p w14:paraId="619C867D" w14:textId="77777777"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lastRenderedPageBreak/>
              <w:t>CR – kredyty</w:t>
            </w:r>
          </w:p>
          <w:p w14:paraId="4CE04B1E" w14:textId="77777777"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EQ – papiery kapitałowe</w:t>
            </w:r>
          </w:p>
          <w:p w14:paraId="53AE9257" w14:textId="77777777" w:rsidR="00915077" w:rsidRPr="00E26EF6" w:rsidRDefault="00113E45">
            <w:pPr>
              <w:spacing w:beforeLines="60" w:before="144" w:afterLines="60" w:after="144"/>
              <w:rPr>
                <w:rFonts w:ascii="Times New Roman" w:hAnsi="Times New Roman"/>
                <w:sz w:val="24"/>
                <w:highlight w:val="lightGray"/>
              </w:rPr>
            </w:pPr>
            <w:r w:rsidRPr="00E26EF6">
              <w:rPr>
                <w:rFonts w:ascii="Times New Roman" w:hAnsi="Times New Roman"/>
                <w:sz w:val="24"/>
              </w:rPr>
              <w:t>CO – towary</w:t>
            </w:r>
          </w:p>
        </w:tc>
      </w:tr>
      <w:tr w:rsidR="00915077" w:rsidRPr="00E26EF6" w14:paraId="3E66D39B" w14:textId="77777777" w:rsidTr="00672D2A">
        <w:tc>
          <w:tcPr>
            <w:tcW w:w="852" w:type="dxa"/>
          </w:tcPr>
          <w:p w14:paraId="53257124"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0020</w:t>
            </w:r>
          </w:p>
        </w:tc>
        <w:tc>
          <w:tcPr>
            <w:tcW w:w="8004" w:type="dxa"/>
          </w:tcPr>
          <w:p w14:paraId="5E724BC4"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 xml:space="preserve">PRODUKT </w:t>
            </w:r>
          </w:p>
          <w:p w14:paraId="61D1884D" w14:textId="35029D4F" w:rsidR="00915077" w:rsidRPr="00E26EF6" w:rsidRDefault="00113E45">
            <w:pPr>
              <w:spacing w:beforeLines="60" w:before="144" w:afterLines="60" w:after="144"/>
              <w:rPr>
                <w:rFonts w:ascii="Times New Roman" w:hAnsi="Times New Roman"/>
                <w:sz w:val="24"/>
                <w:highlight w:val="lightGray"/>
              </w:rPr>
            </w:pPr>
            <w:r w:rsidRPr="00E26EF6">
              <w:rPr>
                <w:rFonts w:ascii="Times New Roman" w:hAnsi="Times New Roman"/>
                <w:sz w:val="24"/>
              </w:rPr>
              <w:t>Wewnętrzna nazwa produktu lub grupy produktów zgodnie</w:t>
            </w:r>
            <w:r w:rsidR="00E26EF6" w:rsidRPr="00E26EF6">
              <w:rPr>
                <w:rFonts w:ascii="Times New Roman" w:hAnsi="Times New Roman"/>
                <w:sz w:val="24"/>
              </w:rPr>
              <w:t xml:space="preserve"> z wyk</w:t>
            </w:r>
            <w:r w:rsidRPr="00E26EF6">
              <w:rPr>
                <w:rFonts w:ascii="Times New Roman" w:hAnsi="Times New Roman"/>
                <w:sz w:val="24"/>
              </w:rPr>
              <w:t>azem produktów wymaganym na podstawie art.</w:t>
            </w:r>
            <w:r w:rsidR="00023409" w:rsidRPr="00E26EF6">
              <w:rPr>
                <w:rFonts w:ascii="Times New Roman" w:hAnsi="Times New Roman"/>
                <w:sz w:val="24"/>
              </w:rPr>
              <w:t> </w:t>
            </w:r>
            <w:r w:rsidRPr="00E26EF6">
              <w:rPr>
                <w:rFonts w:ascii="Times New Roman" w:hAnsi="Times New Roman"/>
                <w:sz w:val="24"/>
              </w:rPr>
              <w:t>19 ust.</w:t>
            </w:r>
            <w:r w:rsidR="00023409" w:rsidRPr="00E26EF6">
              <w:rPr>
                <w:rFonts w:ascii="Times New Roman" w:hAnsi="Times New Roman"/>
                <w:sz w:val="24"/>
              </w:rPr>
              <w:t> </w:t>
            </w:r>
            <w:r w:rsidRPr="00E26EF6">
              <w:rPr>
                <w:rFonts w:ascii="Times New Roman" w:hAnsi="Times New Roman"/>
                <w:sz w:val="24"/>
              </w:rPr>
              <w:t>3 lit.</w:t>
            </w:r>
            <w:r w:rsidR="00023409" w:rsidRPr="00E26EF6">
              <w:rPr>
                <w:rFonts w:ascii="Times New Roman" w:hAnsi="Times New Roman"/>
                <w:sz w:val="24"/>
              </w:rPr>
              <w:t> </w:t>
            </w:r>
            <w:r w:rsidRPr="00E26EF6">
              <w:rPr>
                <w:rFonts w:ascii="Times New Roman" w:hAnsi="Times New Roman"/>
                <w:sz w:val="24"/>
              </w:rPr>
              <w:t>a) rozporządzenia delegowanego (UE) 2016/101.</w:t>
            </w:r>
          </w:p>
        </w:tc>
      </w:tr>
      <w:tr w:rsidR="00915077" w:rsidRPr="00E26EF6" w14:paraId="0198E1E4" w14:textId="77777777" w:rsidTr="00672D2A">
        <w:tc>
          <w:tcPr>
            <w:tcW w:w="852" w:type="dxa"/>
          </w:tcPr>
          <w:p w14:paraId="09D0AECA"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t>0030</w:t>
            </w:r>
          </w:p>
        </w:tc>
        <w:tc>
          <w:tcPr>
            <w:tcW w:w="8004" w:type="dxa"/>
          </w:tcPr>
          <w:p w14:paraId="25CE27D1"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INSTRUMENT BAZOWY</w:t>
            </w:r>
          </w:p>
          <w:p w14:paraId="70DA4BBF" w14:textId="6A8025AF" w:rsidR="00915077" w:rsidRPr="00E26EF6" w:rsidRDefault="00113E45">
            <w:pPr>
              <w:spacing w:beforeLines="60" w:before="144" w:afterLines="60" w:after="144"/>
              <w:rPr>
                <w:rFonts w:ascii="Times New Roman" w:hAnsi="Times New Roman"/>
                <w:sz w:val="24"/>
                <w:highlight w:val="lightGray"/>
              </w:rPr>
            </w:pPr>
            <w:r w:rsidRPr="00E26EF6">
              <w:rPr>
                <w:rFonts w:ascii="Times New Roman" w:hAnsi="Times New Roman"/>
                <w:sz w:val="24"/>
              </w:rPr>
              <w:t>Wewnętrzna nazwa instrumentu bazowego lub instrumentów bazowych</w:t>
            </w:r>
            <w:r w:rsidR="00E26EF6" w:rsidRPr="00E26EF6">
              <w:rPr>
                <w:rFonts w:ascii="Times New Roman" w:hAnsi="Times New Roman"/>
                <w:sz w:val="24"/>
              </w:rPr>
              <w:t xml:space="preserve"> w prz</w:t>
            </w:r>
            <w:r w:rsidRPr="00E26EF6">
              <w:rPr>
                <w:rFonts w:ascii="Times New Roman" w:hAnsi="Times New Roman"/>
                <w:sz w:val="24"/>
              </w:rPr>
              <w:t>ypadku instrumentów pochodnych lub instrumentów</w:t>
            </w:r>
            <w:r w:rsidR="00E26EF6" w:rsidRPr="00E26EF6">
              <w:rPr>
                <w:rFonts w:ascii="Times New Roman" w:hAnsi="Times New Roman"/>
                <w:sz w:val="24"/>
              </w:rPr>
              <w:t xml:space="preserve"> w prz</w:t>
            </w:r>
            <w:r w:rsidRPr="00E26EF6">
              <w:rPr>
                <w:rFonts w:ascii="Times New Roman" w:hAnsi="Times New Roman"/>
                <w:sz w:val="24"/>
              </w:rPr>
              <w:t>ypadku instrumentów niebędących instrumentem pochodnym.</w:t>
            </w:r>
          </w:p>
        </w:tc>
      </w:tr>
      <w:tr w:rsidR="00915077" w:rsidRPr="00E26EF6" w14:paraId="5EB9E9C6" w14:textId="77777777" w:rsidTr="00672D2A">
        <w:tc>
          <w:tcPr>
            <w:tcW w:w="852" w:type="dxa"/>
          </w:tcPr>
          <w:p w14:paraId="611E92E9"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t>0040</w:t>
            </w:r>
          </w:p>
        </w:tc>
        <w:tc>
          <w:tcPr>
            <w:tcW w:w="8004" w:type="dxa"/>
          </w:tcPr>
          <w:p w14:paraId="6CF6DF7E"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WIELKOŚĆ POZYCJI O DUŻEJ KONCENTRACJI</w:t>
            </w:r>
          </w:p>
          <w:p w14:paraId="55E8CAD3" w14:textId="0BC62502" w:rsidR="00915077" w:rsidRPr="00E26EF6" w:rsidRDefault="00113E45">
            <w:pPr>
              <w:spacing w:beforeLines="60" w:before="144" w:afterLines="60" w:after="144"/>
              <w:rPr>
                <w:rStyle w:val="InstructionsTabelleberschrift"/>
                <w:rFonts w:ascii="Times New Roman" w:hAnsi="Times New Roman"/>
                <w:sz w:val="24"/>
                <w:highlight w:val="lightGray"/>
              </w:rPr>
            </w:pPr>
            <w:r w:rsidRPr="00E26EF6">
              <w:rPr>
                <w:rFonts w:ascii="Times New Roman" w:hAnsi="Times New Roman"/>
                <w:sz w:val="24"/>
              </w:rPr>
              <w:t>Wielkość podlegającej wycenie indywidualnej pozycji</w:t>
            </w:r>
            <w:r w:rsidR="00E26EF6" w:rsidRPr="00E26EF6">
              <w:rPr>
                <w:rFonts w:ascii="Times New Roman" w:hAnsi="Times New Roman"/>
                <w:sz w:val="24"/>
              </w:rPr>
              <w:t xml:space="preserve"> o duż</w:t>
            </w:r>
            <w:r w:rsidRPr="00E26EF6">
              <w:rPr>
                <w:rFonts w:ascii="Times New Roman" w:hAnsi="Times New Roman"/>
                <w:sz w:val="24"/>
              </w:rPr>
              <w:t>ej koncentracji zidentyfikowanej zgodnie</w:t>
            </w:r>
            <w:r w:rsidR="00E26EF6" w:rsidRPr="00E26EF6">
              <w:rPr>
                <w:rFonts w:ascii="Times New Roman" w:hAnsi="Times New Roman"/>
                <w:sz w:val="24"/>
              </w:rPr>
              <w:t xml:space="preserve"> z art</w:t>
            </w:r>
            <w:r w:rsidRPr="00E26EF6">
              <w:rPr>
                <w:rFonts w:ascii="Times New Roman" w:hAnsi="Times New Roman"/>
                <w:sz w:val="24"/>
              </w:rPr>
              <w:t>.</w:t>
            </w:r>
            <w:r w:rsidR="00023409" w:rsidRPr="00E26EF6">
              <w:rPr>
                <w:rFonts w:ascii="Times New Roman" w:hAnsi="Times New Roman"/>
                <w:sz w:val="24"/>
              </w:rPr>
              <w:t> </w:t>
            </w:r>
            <w:r w:rsidRPr="00E26EF6">
              <w:rPr>
                <w:rFonts w:ascii="Times New Roman" w:hAnsi="Times New Roman"/>
                <w:sz w:val="24"/>
              </w:rPr>
              <w:t>14 ust.</w:t>
            </w:r>
            <w:r w:rsidR="00023409" w:rsidRPr="00E26EF6">
              <w:rPr>
                <w:rFonts w:ascii="Times New Roman" w:hAnsi="Times New Roman"/>
                <w:sz w:val="24"/>
              </w:rPr>
              <w:t> </w:t>
            </w:r>
            <w:r w:rsidRPr="00E26EF6">
              <w:rPr>
                <w:rFonts w:ascii="Times New Roman" w:hAnsi="Times New Roman"/>
                <w:sz w:val="24"/>
              </w:rPr>
              <w:t>1 lit.</w:t>
            </w:r>
            <w:r w:rsidR="00023409" w:rsidRPr="00E26EF6">
              <w:rPr>
                <w:rFonts w:ascii="Times New Roman" w:hAnsi="Times New Roman"/>
                <w:sz w:val="24"/>
              </w:rPr>
              <w:t> </w:t>
            </w:r>
            <w:r w:rsidRPr="00E26EF6">
              <w:rPr>
                <w:rFonts w:ascii="Times New Roman" w:hAnsi="Times New Roman"/>
                <w:sz w:val="24"/>
              </w:rPr>
              <w:t>a) rozporządzenia delegowanego (UE) 2016/101, wyrażona</w:t>
            </w:r>
            <w:r w:rsidR="00E26EF6" w:rsidRPr="00E26EF6">
              <w:rPr>
                <w:rFonts w:ascii="Times New Roman" w:hAnsi="Times New Roman"/>
                <w:sz w:val="24"/>
              </w:rPr>
              <w:t xml:space="preserve"> w jed</w:t>
            </w:r>
            <w:r w:rsidRPr="00E26EF6">
              <w:rPr>
                <w:rFonts w:ascii="Times New Roman" w:hAnsi="Times New Roman"/>
                <w:sz w:val="24"/>
              </w:rPr>
              <w:t>nostkach określonych</w:t>
            </w:r>
            <w:r w:rsidR="00E26EF6" w:rsidRPr="00E26EF6">
              <w:rPr>
                <w:rFonts w:ascii="Times New Roman" w:hAnsi="Times New Roman"/>
                <w:sz w:val="24"/>
              </w:rPr>
              <w:t xml:space="preserve"> w kol</w:t>
            </w:r>
            <w:r w:rsidRPr="00E26EF6">
              <w:rPr>
                <w:rFonts w:ascii="Times New Roman" w:hAnsi="Times New Roman"/>
                <w:sz w:val="24"/>
              </w:rPr>
              <w:t xml:space="preserve">umnie 0050. </w:t>
            </w:r>
          </w:p>
        </w:tc>
      </w:tr>
      <w:tr w:rsidR="00915077" w:rsidRPr="00E26EF6" w14:paraId="6D7EE985" w14:textId="77777777" w:rsidTr="00672D2A">
        <w:tc>
          <w:tcPr>
            <w:tcW w:w="852" w:type="dxa"/>
          </w:tcPr>
          <w:p w14:paraId="1D4A4B11"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t>0050</w:t>
            </w:r>
          </w:p>
        </w:tc>
        <w:tc>
          <w:tcPr>
            <w:tcW w:w="8004" w:type="dxa"/>
          </w:tcPr>
          <w:p w14:paraId="462E8180" w14:textId="77777777" w:rsidR="00915077" w:rsidRPr="00E26EF6" w:rsidRDefault="00113E45">
            <w:pPr>
              <w:spacing w:beforeLines="60" w:before="144" w:afterLines="60" w:after="144"/>
              <w:rPr>
                <w:rFonts w:ascii="Times New Roman" w:hAnsi="Times New Roman"/>
                <w:b/>
                <w:sz w:val="24"/>
                <w:u w:val="single"/>
              </w:rPr>
            </w:pPr>
            <w:r w:rsidRPr="00E26EF6">
              <w:rPr>
                <w:rFonts w:ascii="Times New Roman" w:hAnsi="Times New Roman"/>
                <w:b/>
                <w:sz w:val="24"/>
                <w:u w:val="single"/>
              </w:rPr>
              <w:t>MIARA WIELKOŚCI</w:t>
            </w:r>
          </w:p>
          <w:p w14:paraId="012AD96E" w14:textId="7FFFCB09" w:rsidR="00915077" w:rsidRPr="00E26EF6" w:rsidRDefault="00113E45">
            <w:pPr>
              <w:spacing w:beforeLines="60" w:before="144" w:afterLines="60" w:after="144"/>
              <w:rPr>
                <w:rFonts w:ascii="Times New Roman" w:hAnsi="Times New Roman"/>
                <w:sz w:val="24"/>
              </w:rPr>
            </w:pPr>
            <w:r w:rsidRPr="00E26EF6">
              <w:rPr>
                <w:rFonts w:ascii="Times New Roman" w:hAnsi="Times New Roman"/>
                <w:sz w:val="24"/>
              </w:rPr>
              <w:t>Jednostka miary wielkości stosowana wewnętrznie</w:t>
            </w:r>
            <w:r w:rsidR="00E26EF6" w:rsidRPr="00E26EF6">
              <w:rPr>
                <w:rFonts w:ascii="Times New Roman" w:hAnsi="Times New Roman"/>
                <w:sz w:val="24"/>
              </w:rPr>
              <w:t xml:space="preserve"> w ram</w:t>
            </w:r>
            <w:r w:rsidRPr="00E26EF6">
              <w:rPr>
                <w:rFonts w:ascii="Times New Roman" w:hAnsi="Times New Roman"/>
                <w:sz w:val="24"/>
              </w:rPr>
              <w:t>ach procesu identyfikacji podlegającej wycenie pozycji</w:t>
            </w:r>
            <w:r w:rsidR="00E26EF6" w:rsidRPr="00E26EF6">
              <w:rPr>
                <w:rFonts w:ascii="Times New Roman" w:hAnsi="Times New Roman"/>
                <w:sz w:val="24"/>
              </w:rPr>
              <w:t xml:space="preserve"> o duż</w:t>
            </w:r>
            <w:r w:rsidRPr="00E26EF6">
              <w:rPr>
                <w:rFonts w:ascii="Times New Roman" w:hAnsi="Times New Roman"/>
                <w:sz w:val="24"/>
              </w:rPr>
              <w:t>ej koncentracji do wyliczenia wielkości pozycji</w:t>
            </w:r>
            <w:r w:rsidR="00E26EF6" w:rsidRPr="00E26EF6">
              <w:rPr>
                <w:rFonts w:ascii="Times New Roman" w:hAnsi="Times New Roman"/>
                <w:sz w:val="24"/>
              </w:rPr>
              <w:t xml:space="preserve"> o duż</w:t>
            </w:r>
            <w:r w:rsidRPr="00E26EF6">
              <w:rPr>
                <w:rFonts w:ascii="Times New Roman" w:hAnsi="Times New Roman"/>
                <w:sz w:val="24"/>
              </w:rPr>
              <w:t>ej koncentracji,</w:t>
            </w:r>
            <w:r w:rsidR="00E26EF6" w:rsidRPr="00E26EF6">
              <w:rPr>
                <w:rFonts w:ascii="Times New Roman" w:hAnsi="Times New Roman"/>
                <w:sz w:val="24"/>
              </w:rPr>
              <w:t xml:space="preserve"> o któ</w:t>
            </w:r>
            <w:r w:rsidRPr="00E26EF6">
              <w:rPr>
                <w:rFonts w:ascii="Times New Roman" w:hAnsi="Times New Roman"/>
                <w:sz w:val="24"/>
              </w:rPr>
              <w:t>rej mowa</w:t>
            </w:r>
            <w:r w:rsidR="00E26EF6" w:rsidRPr="00E26EF6">
              <w:rPr>
                <w:rFonts w:ascii="Times New Roman" w:hAnsi="Times New Roman"/>
                <w:sz w:val="24"/>
              </w:rPr>
              <w:t xml:space="preserve"> w kol</w:t>
            </w:r>
            <w:r w:rsidRPr="00E26EF6">
              <w:rPr>
                <w:rFonts w:ascii="Times New Roman" w:hAnsi="Times New Roman"/>
                <w:sz w:val="24"/>
              </w:rPr>
              <w:t xml:space="preserve">umnie 0040. </w:t>
            </w:r>
          </w:p>
          <w:p w14:paraId="63E400D7" w14:textId="45DD90E0" w:rsidR="00915077" w:rsidRPr="00E26EF6" w:rsidRDefault="00113E45">
            <w:pPr>
              <w:spacing w:beforeLines="60" w:before="144" w:afterLines="60" w:after="144"/>
              <w:rPr>
                <w:rStyle w:val="InstructionsTabelleberschrift"/>
                <w:rFonts w:ascii="Times New Roman" w:hAnsi="Times New Roman"/>
                <w:b w:val="0"/>
                <w:bCs w:val="0"/>
                <w:sz w:val="24"/>
                <w:u w:val="none"/>
              </w:rPr>
            </w:pPr>
            <w:r w:rsidRPr="00E26EF6">
              <w:rPr>
                <w:rStyle w:val="InstructionsTabelleberschrift"/>
                <w:rFonts w:ascii="Times New Roman" w:hAnsi="Times New Roman"/>
                <w:b w:val="0"/>
                <w:bCs w:val="0"/>
                <w:sz w:val="24"/>
                <w:u w:val="none"/>
              </w:rPr>
              <w:t>W przypadku pozycji</w:t>
            </w:r>
            <w:r w:rsidR="00E26EF6" w:rsidRPr="00E26EF6">
              <w:rPr>
                <w:rStyle w:val="InstructionsTabelleberschrift"/>
                <w:rFonts w:ascii="Times New Roman" w:hAnsi="Times New Roman"/>
                <w:b w:val="0"/>
                <w:bCs w:val="0"/>
                <w:sz w:val="24"/>
                <w:u w:val="none"/>
              </w:rPr>
              <w:t xml:space="preserve"> w obl</w:t>
            </w:r>
            <w:r w:rsidRPr="00E26EF6">
              <w:rPr>
                <w:rStyle w:val="InstructionsTabelleberschrift"/>
                <w:rFonts w:ascii="Times New Roman" w:hAnsi="Times New Roman"/>
                <w:b w:val="0"/>
                <w:bCs w:val="0"/>
                <w:sz w:val="24"/>
                <w:u w:val="none"/>
              </w:rPr>
              <w:t xml:space="preserve">igacjach lub papierach kapitałowych należy podać jednostkę stosowaną do </w:t>
            </w:r>
            <w:r w:rsidRPr="00E26EF6">
              <w:rPr>
                <w:rFonts w:ascii="Times New Roman" w:hAnsi="Times New Roman"/>
                <w:sz w:val="24"/>
              </w:rPr>
              <w:t>celów wewnętrznego zarządzania ryzykiem</w:t>
            </w:r>
            <w:r w:rsidRPr="00E26EF6">
              <w:rPr>
                <w:rStyle w:val="InstructionsTabelleberschrift"/>
                <w:rFonts w:ascii="Times New Roman" w:hAnsi="Times New Roman"/>
                <w:b w:val="0"/>
                <w:bCs w:val="0"/>
                <w:sz w:val="24"/>
                <w:u w:val="none"/>
              </w:rPr>
              <w:t xml:space="preserve">, taką jak „liczba obligacji”, „liczba akcji” lub „wartość rynkowa”. </w:t>
            </w:r>
          </w:p>
          <w:p w14:paraId="3D011492" w14:textId="67684255" w:rsidR="00915077" w:rsidRPr="00E26EF6" w:rsidRDefault="00113E45">
            <w:pPr>
              <w:spacing w:beforeLines="60" w:before="144" w:afterLines="60" w:after="144"/>
              <w:rPr>
                <w:rStyle w:val="InstructionsTabelleberschrift"/>
                <w:rFonts w:ascii="Times New Roman" w:hAnsi="Times New Roman"/>
                <w:b w:val="0"/>
                <w:bCs w:val="0"/>
                <w:sz w:val="24"/>
                <w:highlight w:val="lightGray"/>
                <w:u w:val="none"/>
              </w:rPr>
            </w:pPr>
            <w:r w:rsidRPr="00E26EF6">
              <w:rPr>
                <w:rFonts w:ascii="Times New Roman" w:hAnsi="Times New Roman"/>
                <w:sz w:val="24"/>
              </w:rPr>
              <w:t>W przypadku pozycji</w:t>
            </w:r>
            <w:r w:rsidR="00E26EF6" w:rsidRPr="00E26EF6">
              <w:rPr>
                <w:rFonts w:ascii="Times New Roman" w:hAnsi="Times New Roman"/>
                <w:sz w:val="24"/>
              </w:rPr>
              <w:t xml:space="preserve"> w ins</w:t>
            </w:r>
            <w:r w:rsidRPr="00E26EF6">
              <w:rPr>
                <w:rFonts w:ascii="Times New Roman" w:hAnsi="Times New Roman"/>
                <w:sz w:val="24"/>
              </w:rPr>
              <w:t>trumentach pochodnych należy podać jednostkę stosowano do celów wewnętrznego zarządzania ryzykiem, taką jak „PV01; EUR za przesunięcie równoległe krzywej rentowności</w:t>
            </w:r>
            <w:r w:rsidR="00E26EF6" w:rsidRPr="00E26EF6">
              <w:rPr>
                <w:rFonts w:ascii="Times New Roman" w:hAnsi="Times New Roman"/>
                <w:sz w:val="24"/>
              </w:rPr>
              <w:t xml:space="preserve"> o 1</w:t>
            </w:r>
            <w:r w:rsidRPr="00E26EF6">
              <w:rPr>
                <w:rFonts w:ascii="Times New Roman" w:hAnsi="Times New Roman"/>
                <w:sz w:val="24"/>
              </w:rPr>
              <w:t xml:space="preserve"> punkt bazowy”. </w:t>
            </w:r>
          </w:p>
        </w:tc>
      </w:tr>
      <w:tr w:rsidR="00915077" w:rsidRPr="00E26EF6" w14:paraId="0F65911F" w14:textId="77777777" w:rsidTr="00672D2A">
        <w:tc>
          <w:tcPr>
            <w:tcW w:w="852" w:type="dxa"/>
          </w:tcPr>
          <w:p w14:paraId="38D19445"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t>0060</w:t>
            </w:r>
          </w:p>
        </w:tc>
        <w:tc>
          <w:tcPr>
            <w:tcW w:w="8004" w:type="dxa"/>
          </w:tcPr>
          <w:p w14:paraId="5B31E5C5"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WARTOŚĆ RYNKOWA</w:t>
            </w:r>
          </w:p>
          <w:p w14:paraId="24489414" w14:textId="77777777" w:rsidR="00915077" w:rsidRPr="00E26EF6" w:rsidRDefault="00113E45">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Wartość rynkowa pozycji.</w:t>
            </w:r>
          </w:p>
        </w:tc>
      </w:tr>
      <w:tr w:rsidR="00915077" w:rsidRPr="00E26EF6" w14:paraId="28D8D3B4" w14:textId="77777777" w:rsidTr="00672D2A">
        <w:tc>
          <w:tcPr>
            <w:tcW w:w="852" w:type="dxa"/>
          </w:tcPr>
          <w:p w14:paraId="467CFB2C"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t>0070</w:t>
            </w:r>
          </w:p>
        </w:tc>
        <w:tc>
          <w:tcPr>
            <w:tcW w:w="8004" w:type="dxa"/>
          </w:tcPr>
          <w:p w14:paraId="43BCA791"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OKRES OSTROŻNEGO WYJŚCIA</w:t>
            </w:r>
          </w:p>
          <w:p w14:paraId="377544B0" w14:textId="3839EDF4" w:rsidR="00915077" w:rsidRPr="00E26EF6" w:rsidRDefault="00113E45">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Okres ostrożnego wyjścia wyrażony jako liczba dni oszacowana na podstawie art.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14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 lit.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b) </w:t>
            </w:r>
            <w:r w:rsidRPr="00E26EF6">
              <w:rPr>
                <w:rFonts w:ascii="Times New Roman" w:hAnsi="Times New Roman"/>
                <w:sz w:val="24"/>
              </w:rPr>
              <w:t>rozporządzenia delegowanego (UE) 2016/101</w:t>
            </w:r>
            <w:r w:rsidRPr="00E26EF6">
              <w:rPr>
                <w:rStyle w:val="InstructionsTabelleberschrift"/>
                <w:rFonts w:ascii="Times New Roman" w:hAnsi="Times New Roman"/>
                <w:b w:val="0"/>
                <w:sz w:val="24"/>
                <w:u w:val="none"/>
              </w:rPr>
              <w:t>.</w:t>
            </w:r>
          </w:p>
        </w:tc>
      </w:tr>
      <w:tr w:rsidR="00915077" w:rsidRPr="00E26EF6" w14:paraId="02D4BAC2" w14:textId="77777777" w:rsidTr="00672D2A">
        <w:tc>
          <w:tcPr>
            <w:tcW w:w="852" w:type="dxa"/>
          </w:tcPr>
          <w:p w14:paraId="213E69F9"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t>0080</w:t>
            </w:r>
          </w:p>
        </w:tc>
        <w:tc>
          <w:tcPr>
            <w:tcW w:w="8004" w:type="dxa"/>
          </w:tcPr>
          <w:p w14:paraId="7274372B"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AVA Z TYTUŁU POZYCJI O DUŻEJ KONCENTRACJI</w:t>
            </w:r>
          </w:p>
          <w:p w14:paraId="6F7551EC" w14:textId="42E7BF4B" w:rsidR="00915077" w:rsidRPr="00E26EF6" w:rsidRDefault="00113E45">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Kwota AVA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pozycji</w:t>
            </w:r>
            <w:r w:rsidR="00E26EF6" w:rsidRPr="00E26EF6">
              <w:rPr>
                <w:rStyle w:val="InstructionsTabelleberschrift"/>
                <w:rFonts w:ascii="Times New Roman" w:hAnsi="Times New Roman"/>
                <w:b w:val="0"/>
                <w:sz w:val="24"/>
                <w:u w:val="none"/>
              </w:rPr>
              <w:t xml:space="preserve"> o duż</w:t>
            </w:r>
            <w:r w:rsidRPr="00E26EF6">
              <w:rPr>
                <w:rStyle w:val="InstructionsTabelleberschrift"/>
                <w:rFonts w:ascii="Times New Roman" w:hAnsi="Times New Roman"/>
                <w:b w:val="0"/>
                <w:sz w:val="24"/>
                <w:u w:val="none"/>
              </w:rPr>
              <w:t>ej koncentracji wyliczona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14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 xml:space="preserve">1 </w:t>
            </w:r>
            <w:r w:rsidRPr="00E26EF6">
              <w:rPr>
                <w:rFonts w:ascii="Times New Roman" w:hAnsi="Times New Roman"/>
                <w:sz w:val="24"/>
              </w:rPr>
              <w:t>rozporządzenia delegowanego (UE) 2016/101</w:t>
            </w:r>
            <w:r w:rsidR="00E26EF6" w:rsidRPr="00E26EF6">
              <w:rPr>
                <w:rStyle w:val="InstructionsTabelleberschrift"/>
                <w:rFonts w:ascii="Times New Roman" w:hAnsi="Times New Roman"/>
                <w:b w:val="0"/>
                <w:sz w:val="24"/>
                <w:u w:val="none"/>
              </w:rPr>
              <w:t xml:space="preserve"> w odn</w:t>
            </w:r>
            <w:r w:rsidRPr="00E26EF6">
              <w:rPr>
                <w:rStyle w:val="InstructionsTabelleberschrift"/>
                <w:rFonts w:ascii="Times New Roman" w:hAnsi="Times New Roman"/>
                <w:b w:val="0"/>
                <w:sz w:val="24"/>
                <w:u w:val="none"/>
              </w:rPr>
              <w:t>iesieniu do danej podlegającej wycenie indywidualnej pozycji</w:t>
            </w:r>
            <w:r w:rsidR="00E26EF6" w:rsidRPr="00E26EF6">
              <w:rPr>
                <w:rStyle w:val="InstructionsTabelleberschrift"/>
                <w:rFonts w:ascii="Times New Roman" w:hAnsi="Times New Roman"/>
                <w:b w:val="0"/>
                <w:sz w:val="24"/>
                <w:u w:val="none"/>
              </w:rPr>
              <w:t xml:space="preserve"> o duż</w:t>
            </w:r>
            <w:r w:rsidRPr="00E26EF6">
              <w:rPr>
                <w:rStyle w:val="InstructionsTabelleberschrift"/>
                <w:rFonts w:ascii="Times New Roman" w:hAnsi="Times New Roman"/>
                <w:b w:val="0"/>
                <w:sz w:val="24"/>
                <w:u w:val="none"/>
              </w:rPr>
              <w:t>ej koncentracji.</w:t>
            </w:r>
          </w:p>
        </w:tc>
      </w:tr>
      <w:tr w:rsidR="00915077" w:rsidRPr="00E26EF6" w14:paraId="4F4D7534" w14:textId="77777777" w:rsidTr="00672D2A">
        <w:tc>
          <w:tcPr>
            <w:tcW w:w="852" w:type="dxa"/>
          </w:tcPr>
          <w:p w14:paraId="360D46DF"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t>0090</w:t>
            </w:r>
          </w:p>
        </w:tc>
        <w:tc>
          <w:tcPr>
            <w:tcW w:w="8004" w:type="dxa"/>
          </w:tcPr>
          <w:p w14:paraId="36649ACD"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KOREKTA WARTOŚCI GODZIWEJ Z TYTUŁU POZYCJI O DUŻEJ KONCENTRACJI</w:t>
            </w:r>
          </w:p>
          <w:p w14:paraId="4C938762" w14:textId="3C9F9DC6" w:rsidR="00915077" w:rsidRPr="00E26EF6" w:rsidRDefault="00113E45">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Kwota wszelkich korekt wartości godziwej dokonanych</w:t>
            </w:r>
            <w:r w:rsidR="00E26EF6" w:rsidRPr="00E26EF6">
              <w:rPr>
                <w:rStyle w:val="InstructionsTabelleberschrift"/>
                <w:rFonts w:ascii="Times New Roman" w:hAnsi="Times New Roman"/>
                <w:b w:val="0"/>
                <w:sz w:val="24"/>
                <w:u w:val="none"/>
              </w:rPr>
              <w:t xml:space="preserve"> w cel</w:t>
            </w:r>
            <w:r w:rsidRPr="00E26EF6">
              <w:rPr>
                <w:rStyle w:val="InstructionsTabelleberschrift"/>
                <w:rFonts w:ascii="Times New Roman" w:hAnsi="Times New Roman"/>
                <w:b w:val="0"/>
                <w:sz w:val="24"/>
                <w:u w:val="none"/>
              </w:rPr>
              <w:t>u odzwierciedlenia faktu, że pozycja zagregowana utrzymywana przez instytucję jest większa niż normalna wielkość obrotu lub większa niż wielkości pozycji stanowiące podstawę kwotowań lub transakcji, które są wykorzystywane do kalibracji ceny lub danych wejściowych stosowanych</w:t>
            </w:r>
            <w:r w:rsidR="00E26EF6" w:rsidRPr="00E26EF6">
              <w:rPr>
                <w:rStyle w:val="InstructionsTabelleberschrift"/>
                <w:rFonts w:ascii="Times New Roman" w:hAnsi="Times New Roman"/>
                <w:b w:val="0"/>
                <w:sz w:val="24"/>
                <w:u w:val="none"/>
              </w:rPr>
              <w:t xml:space="preserve"> w mod</w:t>
            </w:r>
            <w:r w:rsidRPr="00E26EF6">
              <w:rPr>
                <w:rStyle w:val="InstructionsTabelleberschrift"/>
                <w:rFonts w:ascii="Times New Roman" w:hAnsi="Times New Roman"/>
                <w:b w:val="0"/>
                <w:sz w:val="24"/>
                <w:u w:val="none"/>
              </w:rPr>
              <w:t>elu wyceny.</w:t>
            </w:r>
          </w:p>
          <w:p w14:paraId="52BD9D6E" w14:textId="58A2C7B0" w:rsidR="00915077" w:rsidRPr="00E26EF6" w:rsidRDefault="00955AA6">
            <w:pPr>
              <w:spacing w:beforeLines="60" w:before="144" w:afterLines="60" w:after="144"/>
              <w:rPr>
                <w:rStyle w:val="InstructionsTabelleberschrift"/>
                <w:rFonts w:ascii="Times New Roman" w:hAnsi="Times New Roman"/>
                <w:b w:val="0"/>
                <w:sz w:val="24"/>
                <w:highlight w:val="lightGray"/>
                <w:u w:val="none"/>
              </w:rPr>
            </w:pPr>
            <w:r w:rsidRPr="00E26EF6">
              <w:rPr>
                <w:rStyle w:val="InstructionsTabelleberschrift"/>
                <w:rFonts w:ascii="Times New Roman" w:hAnsi="Times New Roman"/>
                <w:b w:val="0"/>
                <w:sz w:val="24"/>
                <w:u w:val="none"/>
              </w:rPr>
              <w:t>Zgłaszana kwota musi odpowiadać kwocie, którą zastosowano do danej podlegającej wycenie indywidualnej pozycji</w:t>
            </w:r>
            <w:r w:rsidR="00E26EF6" w:rsidRPr="00E26EF6">
              <w:rPr>
                <w:rStyle w:val="InstructionsTabelleberschrift"/>
                <w:rFonts w:ascii="Times New Roman" w:hAnsi="Times New Roman"/>
                <w:b w:val="0"/>
                <w:sz w:val="24"/>
                <w:u w:val="none"/>
              </w:rPr>
              <w:t xml:space="preserve"> o duż</w:t>
            </w:r>
            <w:r w:rsidRPr="00E26EF6">
              <w:rPr>
                <w:rStyle w:val="InstructionsTabelleberschrift"/>
                <w:rFonts w:ascii="Times New Roman" w:hAnsi="Times New Roman"/>
                <w:b w:val="0"/>
                <w:sz w:val="24"/>
                <w:u w:val="none"/>
              </w:rPr>
              <w:t>ej koncentracji.</w:t>
            </w:r>
          </w:p>
        </w:tc>
      </w:tr>
      <w:tr w:rsidR="00915077" w:rsidRPr="00E26EF6" w14:paraId="252B0831" w14:textId="77777777" w:rsidTr="00672D2A">
        <w:tc>
          <w:tcPr>
            <w:tcW w:w="852" w:type="dxa"/>
          </w:tcPr>
          <w:p w14:paraId="69962979" w14:textId="77777777" w:rsidR="00915077" w:rsidRPr="00E26EF6" w:rsidRDefault="0022597E">
            <w:pPr>
              <w:spacing w:beforeLines="60" w:before="144" w:afterLines="60" w:after="144"/>
              <w:rPr>
                <w:rFonts w:ascii="Times New Roman" w:hAnsi="Times New Roman"/>
                <w:sz w:val="24"/>
                <w:highlight w:val="lightGray"/>
              </w:rPr>
            </w:pPr>
            <w:r w:rsidRPr="00E26EF6">
              <w:rPr>
                <w:rFonts w:ascii="Times New Roman" w:hAnsi="Times New Roman"/>
                <w:sz w:val="24"/>
              </w:rPr>
              <w:lastRenderedPageBreak/>
              <w:t>0100</w:t>
            </w:r>
          </w:p>
        </w:tc>
        <w:tc>
          <w:tcPr>
            <w:tcW w:w="8004" w:type="dxa"/>
          </w:tcPr>
          <w:p w14:paraId="40C20224" w14:textId="77777777" w:rsidR="00915077" w:rsidRPr="00E26EF6" w:rsidRDefault="00113E45">
            <w:pPr>
              <w:spacing w:beforeLines="60" w:before="144" w:afterLines="60" w:after="144"/>
              <w:rPr>
                <w:rStyle w:val="InstructionsTabelleberschrift"/>
                <w:rFonts w:ascii="Times New Roman" w:hAnsi="Times New Roman"/>
                <w:sz w:val="24"/>
              </w:rPr>
            </w:pPr>
            <w:r w:rsidRPr="00E26EF6">
              <w:rPr>
                <w:rStyle w:val="InstructionsTabelleberschrift"/>
                <w:rFonts w:ascii="Times New Roman" w:hAnsi="Times New Roman"/>
                <w:sz w:val="24"/>
              </w:rPr>
              <w:t>RÓŻNICA Z TYTUŁU IPV</w:t>
            </w:r>
          </w:p>
          <w:p w14:paraId="6DD8EA3B" w14:textId="3E43E816" w:rsidR="00915077" w:rsidRPr="00E26EF6" w:rsidRDefault="00113E45">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Suma nieskorygowanych kwot różnicy („różnica</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IPV”) obliczonych na ostatni dzień miesiąca przypadający jak najbliżej dnia sprawozdawczego</w:t>
            </w:r>
            <w:r w:rsidR="00E26EF6" w:rsidRPr="00E26EF6">
              <w:rPr>
                <w:rStyle w:val="InstructionsTabelleberschrift"/>
                <w:rFonts w:ascii="Times New Roman" w:hAnsi="Times New Roman"/>
                <w:b w:val="0"/>
                <w:sz w:val="24"/>
                <w:u w:val="none"/>
              </w:rPr>
              <w:t xml:space="preserve"> w ram</w:t>
            </w:r>
            <w:r w:rsidRPr="00E26EF6">
              <w:rPr>
                <w:rStyle w:val="InstructionsTabelleberschrift"/>
                <w:rFonts w:ascii="Times New Roman" w:hAnsi="Times New Roman"/>
                <w:b w:val="0"/>
                <w:sz w:val="24"/>
                <w:u w:val="none"/>
              </w:rPr>
              <w:t>ach procesu niezależnej weryfikacji cen przeprowadzonego zgodnie</w:t>
            </w:r>
            <w:r w:rsidR="00E26EF6" w:rsidRPr="00E26EF6">
              <w:rPr>
                <w:rStyle w:val="InstructionsTabelleberschrift"/>
                <w:rFonts w:ascii="Times New Roman" w:hAnsi="Times New Roman"/>
                <w:b w:val="0"/>
                <w:sz w:val="24"/>
                <w:u w:val="none"/>
              </w:rPr>
              <w:t xml:space="preserve"> z art</w:t>
            </w:r>
            <w:r w:rsidRPr="00E26EF6">
              <w:rPr>
                <w:rStyle w:val="InstructionsTabelleberschrift"/>
                <w:rFonts w:ascii="Times New Roman" w:hAnsi="Times New Roman"/>
                <w:b w:val="0"/>
                <w:sz w:val="24"/>
                <w:u w:val="none"/>
              </w:rPr>
              <w: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105 ust.</w:t>
            </w:r>
            <w:r w:rsidR="00023409" w:rsidRPr="00E26EF6">
              <w:rPr>
                <w:rStyle w:val="InstructionsTabelleberschrift"/>
                <w:rFonts w:ascii="Times New Roman" w:hAnsi="Times New Roman"/>
                <w:b w:val="0"/>
                <w:sz w:val="24"/>
                <w:u w:val="none"/>
              </w:rPr>
              <w:t> </w:t>
            </w:r>
            <w:r w:rsidRPr="00E26EF6">
              <w:rPr>
                <w:rStyle w:val="InstructionsTabelleberschrift"/>
                <w:rFonts w:ascii="Times New Roman" w:hAnsi="Times New Roman"/>
                <w:b w:val="0"/>
                <w:sz w:val="24"/>
                <w:u w:val="none"/>
              </w:rPr>
              <w:t>8 CRR</w:t>
            </w:r>
            <w:r w:rsidR="00E26EF6" w:rsidRPr="00E26EF6">
              <w:rPr>
                <w:rStyle w:val="InstructionsTabelleberschrift"/>
                <w:rFonts w:ascii="Times New Roman" w:hAnsi="Times New Roman"/>
                <w:b w:val="0"/>
                <w:sz w:val="24"/>
                <w:u w:val="none"/>
              </w:rPr>
              <w:t xml:space="preserve"> w odn</w:t>
            </w:r>
            <w:r w:rsidRPr="00E26EF6">
              <w:rPr>
                <w:rStyle w:val="InstructionsTabelleberschrift"/>
                <w:rFonts w:ascii="Times New Roman" w:hAnsi="Times New Roman"/>
                <w:b w:val="0"/>
                <w:sz w:val="24"/>
                <w:u w:val="none"/>
              </w:rPr>
              <w:t>iesieniu do najlepszych dostępnych niezależnych danych dotyczących danej podlegającej wycenie indywidualnej pozycji</w:t>
            </w:r>
            <w:r w:rsidR="00E26EF6" w:rsidRPr="00E26EF6">
              <w:rPr>
                <w:rStyle w:val="InstructionsTabelleberschrift"/>
                <w:rFonts w:ascii="Times New Roman" w:hAnsi="Times New Roman"/>
                <w:b w:val="0"/>
                <w:sz w:val="24"/>
                <w:u w:val="none"/>
              </w:rPr>
              <w:t xml:space="preserve"> o duż</w:t>
            </w:r>
            <w:r w:rsidRPr="00E26EF6">
              <w:rPr>
                <w:rStyle w:val="InstructionsTabelleberschrift"/>
                <w:rFonts w:ascii="Times New Roman" w:hAnsi="Times New Roman"/>
                <w:b w:val="0"/>
                <w:sz w:val="24"/>
                <w:u w:val="none"/>
              </w:rPr>
              <w:t xml:space="preserve">ej koncentracji. </w:t>
            </w:r>
          </w:p>
          <w:p w14:paraId="359EBA64" w14:textId="69059A7B" w:rsidR="00915077" w:rsidRPr="00E26EF6" w:rsidRDefault="00113E45">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Nieskorygowane kwoty różnicy dotyczą nieskorygowanych różnic między wycenami wygenerowanymi przez system transakcyjny</w:t>
            </w:r>
            <w:r w:rsidR="00E26EF6" w:rsidRPr="00E26EF6">
              <w:rPr>
                <w:rStyle w:val="InstructionsTabelleberschrift"/>
                <w:rFonts w:ascii="Times New Roman" w:hAnsi="Times New Roman"/>
                <w:b w:val="0"/>
                <w:sz w:val="24"/>
                <w:u w:val="none"/>
              </w:rPr>
              <w:t xml:space="preserve"> a wyc</w:t>
            </w:r>
            <w:r w:rsidRPr="00E26EF6">
              <w:rPr>
                <w:rStyle w:val="InstructionsTabelleberschrift"/>
                <w:rFonts w:ascii="Times New Roman" w:hAnsi="Times New Roman"/>
                <w:b w:val="0"/>
                <w:sz w:val="24"/>
                <w:u w:val="none"/>
              </w:rPr>
              <w:t>enami będącymi wynikiem comiesięcznego procesu IPV.</w:t>
            </w:r>
          </w:p>
          <w:p w14:paraId="256169F8" w14:textId="66024FF8" w:rsidR="00915077" w:rsidRPr="00E26EF6" w:rsidRDefault="00D2428D">
            <w:pPr>
              <w:spacing w:beforeLines="60" w:before="144" w:afterLines="60" w:after="144"/>
              <w:rPr>
                <w:rStyle w:val="InstructionsTabelleberschrift"/>
                <w:rFonts w:ascii="Times New Roman" w:hAnsi="Times New Roman"/>
                <w:b w:val="0"/>
                <w:sz w:val="24"/>
                <w:u w:val="none"/>
              </w:rPr>
            </w:pPr>
            <w:r w:rsidRPr="00E26EF6">
              <w:rPr>
                <w:rStyle w:val="InstructionsTabelleberschrift"/>
                <w:rFonts w:ascii="Times New Roman" w:hAnsi="Times New Roman"/>
                <w:b w:val="0"/>
                <w:sz w:val="24"/>
                <w:u w:val="none"/>
              </w:rPr>
              <w:t>W wyliczeniach różnicy</w:t>
            </w:r>
            <w:r w:rsidR="00E26EF6" w:rsidRPr="00E26EF6">
              <w:rPr>
                <w:rStyle w:val="InstructionsTabelleberschrift"/>
                <w:rFonts w:ascii="Times New Roman" w:hAnsi="Times New Roman"/>
                <w:b w:val="0"/>
                <w:sz w:val="24"/>
                <w:u w:val="none"/>
              </w:rPr>
              <w:t xml:space="preserve"> z tyt</w:t>
            </w:r>
            <w:r w:rsidRPr="00E26EF6">
              <w:rPr>
                <w:rStyle w:val="InstructionsTabelleberschrift"/>
                <w:rFonts w:ascii="Times New Roman" w:hAnsi="Times New Roman"/>
                <w:b w:val="0"/>
                <w:sz w:val="24"/>
                <w:u w:val="none"/>
              </w:rPr>
              <w:t>ułu IPV nie uwzględnia się żadnych skorygowanych kwot różnicy wykazanych</w:t>
            </w:r>
            <w:r w:rsidR="00E26EF6" w:rsidRPr="00E26EF6">
              <w:rPr>
                <w:rStyle w:val="InstructionsTabelleberschrift"/>
                <w:rFonts w:ascii="Times New Roman" w:hAnsi="Times New Roman"/>
                <w:b w:val="0"/>
                <w:sz w:val="24"/>
                <w:u w:val="none"/>
              </w:rPr>
              <w:t xml:space="preserve"> w ksi</w:t>
            </w:r>
            <w:r w:rsidRPr="00E26EF6">
              <w:rPr>
                <w:rStyle w:val="InstructionsTabelleberschrift"/>
                <w:rFonts w:ascii="Times New Roman" w:hAnsi="Times New Roman"/>
                <w:b w:val="0"/>
                <w:sz w:val="24"/>
                <w:u w:val="none"/>
              </w:rPr>
              <w:t>ęgach</w:t>
            </w:r>
            <w:r w:rsidR="00E26EF6" w:rsidRPr="00E26EF6">
              <w:rPr>
                <w:rStyle w:val="InstructionsTabelleberschrift"/>
                <w:rFonts w:ascii="Times New Roman" w:hAnsi="Times New Roman"/>
                <w:b w:val="0"/>
                <w:sz w:val="24"/>
                <w:u w:val="none"/>
              </w:rPr>
              <w:t xml:space="preserve"> i rej</w:t>
            </w:r>
            <w:r w:rsidRPr="00E26EF6">
              <w:rPr>
                <w:rStyle w:val="InstructionsTabelleberschrift"/>
                <w:rFonts w:ascii="Times New Roman" w:hAnsi="Times New Roman"/>
                <w:b w:val="0"/>
                <w:sz w:val="24"/>
                <w:u w:val="none"/>
              </w:rPr>
              <w:t>estrach instytucji na ostatni dzień danego miesiąca.</w:t>
            </w:r>
          </w:p>
        </w:tc>
      </w:tr>
    </w:tbl>
    <w:p w14:paraId="7EE60302" w14:textId="77777777" w:rsidR="00915077" w:rsidRPr="00E26EF6" w:rsidRDefault="00915077">
      <w:pPr>
        <w:rPr>
          <w:rStyle w:val="InstructionsTabelleText"/>
          <w:rFonts w:ascii="Times New Roman" w:hAnsi="Times New Roman"/>
          <w:sz w:val="24"/>
        </w:rPr>
      </w:pPr>
    </w:p>
    <w:p w14:paraId="590E614E" w14:textId="550A011F" w:rsidR="00915077" w:rsidRPr="00E26EF6" w:rsidRDefault="00995A7F">
      <w:pPr>
        <w:pStyle w:val="Instructionsberschrift2"/>
        <w:numPr>
          <w:ilvl w:val="0"/>
          <w:numId w:val="0"/>
        </w:numPr>
        <w:ind w:left="357" w:hanging="357"/>
        <w:rPr>
          <w:rFonts w:ascii="Times New Roman" w:hAnsi="Times New Roman" w:cs="Times New Roman"/>
          <w:sz w:val="24"/>
        </w:rPr>
      </w:pPr>
      <w:bookmarkStart w:id="120" w:name="_Toc31014417"/>
      <w:r w:rsidRPr="00E26EF6">
        <w:rPr>
          <w:rFonts w:ascii="Times New Roman" w:hAnsi="Times New Roman"/>
          <w:sz w:val="24"/>
          <w:u w:val="none"/>
        </w:rPr>
        <w:t>7.</w:t>
      </w:r>
      <w:r w:rsidRPr="00E26EF6">
        <w:rPr>
          <w:rFonts w:ascii="Times New Roman" w:hAnsi="Times New Roman"/>
          <w:sz w:val="24"/>
          <w:u w:val="none"/>
        </w:rPr>
        <w:tab/>
      </w:r>
      <w:r w:rsidRPr="00E26EF6">
        <w:rPr>
          <w:rFonts w:ascii="Times New Roman" w:hAnsi="Times New Roman"/>
          <w:sz w:val="24"/>
        </w:rPr>
        <w:t>C 33.00 – Ekspozycje wobec sektora instytucji rządowych</w:t>
      </w:r>
      <w:r w:rsidR="00E26EF6" w:rsidRPr="00E26EF6">
        <w:rPr>
          <w:rFonts w:ascii="Times New Roman" w:hAnsi="Times New Roman"/>
          <w:sz w:val="24"/>
        </w:rPr>
        <w:t xml:space="preserve"> i sam</w:t>
      </w:r>
      <w:r w:rsidRPr="00E26EF6">
        <w:rPr>
          <w:rFonts w:ascii="Times New Roman" w:hAnsi="Times New Roman"/>
          <w:sz w:val="24"/>
        </w:rPr>
        <w:t>orządowych według państwa kontrahenta (GOV)</w:t>
      </w:r>
      <w:bookmarkEnd w:id="120"/>
    </w:p>
    <w:p w14:paraId="17B7D7A9" w14:textId="77777777" w:rsidR="00915077" w:rsidRPr="00E26EF6" w:rsidRDefault="00995A7F">
      <w:pPr>
        <w:pStyle w:val="Instructionsberschrift2"/>
        <w:numPr>
          <w:ilvl w:val="0"/>
          <w:numId w:val="0"/>
        </w:numPr>
        <w:ind w:left="357" w:hanging="357"/>
        <w:rPr>
          <w:rFonts w:ascii="Times New Roman" w:hAnsi="Times New Roman" w:cs="Times New Roman"/>
          <w:sz w:val="24"/>
        </w:rPr>
      </w:pPr>
      <w:bookmarkStart w:id="121" w:name="_Toc31014418"/>
      <w:r w:rsidRPr="00E26EF6">
        <w:rPr>
          <w:rFonts w:ascii="Times New Roman" w:hAnsi="Times New Roman"/>
          <w:sz w:val="24"/>
          <w:u w:val="none"/>
        </w:rPr>
        <w:t>7.1.</w:t>
      </w:r>
      <w:r w:rsidRPr="00E26EF6">
        <w:rPr>
          <w:rFonts w:ascii="Times New Roman" w:hAnsi="Times New Roman"/>
          <w:sz w:val="24"/>
          <w:u w:val="none"/>
        </w:rPr>
        <w:tab/>
      </w:r>
      <w:r w:rsidRPr="00E26EF6">
        <w:rPr>
          <w:rFonts w:ascii="Times New Roman" w:hAnsi="Times New Roman"/>
          <w:sz w:val="24"/>
        </w:rPr>
        <w:t>Uwagi ogólne</w:t>
      </w:r>
      <w:bookmarkEnd w:id="121"/>
      <w:r w:rsidRPr="00E26EF6">
        <w:rPr>
          <w:rFonts w:ascii="Times New Roman" w:hAnsi="Times New Roman"/>
          <w:sz w:val="24"/>
        </w:rPr>
        <w:t xml:space="preserve"> </w:t>
      </w:r>
    </w:p>
    <w:p w14:paraId="02D93E92" w14:textId="420BD57F" w:rsidR="00915077" w:rsidRPr="00E26EF6" w:rsidRDefault="00125707">
      <w:pPr>
        <w:pStyle w:val="InstructionsText2"/>
        <w:numPr>
          <w:ilvl w:val="0"/>
          <w:numId w:val="0"/>
        </w:numPr>
        <w:ind w:left="993"/>
      </w:pPr>
      <w:r w:rsidRPr="00E26EF6">
        <w:t>155.</w:t>
      </w:r>
      <w:r w:rsidRPr="00E26EF6">
        <w:tab/>
        <w:t xml:space="preserve"> Informacje do celów wzoru C 33.00 </w:t>
      </w:r>
      <w:proofErr w:type="gramStart"/>
      <w:r w:rsidRPr="00E26EF6">
        <w:t>obejmują</w:t>
      </w:r>
      <w:proofErr w:type="gramEnd"/>
      <w:r w:rsidRPr="00E26EF6">
        <w:t xml:space="preserve"> wszystkie ekspozycje wobec „sektora instytucji rządowych</w:t>
      </w:r>
      <w:r w:rsidR="00E26EF6" w:rsidRPr="00E26EF6">
        <w:t xml:space="preserve"> i sam</w:t>
      </w:r>
      <w:r w:rsidRPr="00E26EF6">
        <w:t>orządowych” zgodnie</w:t>
      </w:r>
      <w:r w:rsidR="00E26EF6" w:rsidRPr="00E26EF6">
        <w:t xml:space="preserve"> z def</w:t>
      </w:r>
      <w:r w:rsidRPr="00E26EF6">
        <w:t>inicją</w:t>
      </w:r>
      <w:r w:rsidR="00E26EF6" w:rsidRPr="00E26EF6">
        <w:t xml:space="preserve"> w pkt</w:t>
      </w:r>
      <w:r w:rsidR="00023409" w:rsidRPr="00E26EF6">
        <w:t> </w:t>
      </w:r>
      <w:r w:rsidRPr="00E26EF6">
        <w:t>42 lit.</w:t>
      </w:r>
      <w:r w:rsidR="00023409" w:rsidRPr="00E26EF6">
        <w:t> </w:t>
      </w:r>
      <w:r w:rsidRPr="00E26EF6">
        <w:t>b) załącznika V do niniejszego rozporządzenia wykonawczego.</w:t>
      </w:r>
    </w:p>
    <w:p w14:paraId="63422826" w14:textId="7275518D" w:rsidR="00915077" w:rsidRPr="00E26EF6" w:rsidRDefault="00125707">
      <w:pPr>
        <w:pStyle w:val="InstructionsText2"/>
        <w:numPr>
          <w:ilvl w:val="0"/>
          <w:numId w:val="0"/>
        </w:numPr>
        <w:ind w:left="993"/>
      </w:pPr>
      <w:r w:rsidRPr="00E26EF6">
        <w:t>156.</w:t>
      </w:r>
      <w:r w:rsidRPr="00E26EF6">
        <w:tab/>
        <w:t xml:space="preserve"> Ekspozycje wobec „sektora instytucji rządowych</w:t>
      </w:r>
      <w:r w:rsidR="00E26EF6" w:rsidRPr="00E26EF6">
        <w:t xml:space="preserve"> i sam</w:t>
      </w:r>
      <w:r w:rsidRPr="00E26EF6">
        <w:t>orządowych” są zawarte</w:t>
      </w:r>
      <w:r w:rsidR="00E26EF6" w:rsidRPr="00E26EF6">
        <w:t xml:space="preserve"> w róż</w:t>
      </w:r>
      <w:r w:rsidRPr="00E26EF6">
        <w:t>nych kategoriach ekspozycji zgodnie</w:t>
      </w:r>
      <w:r w:rsidR="00E26EF6" w:rsidRPr="00E26EF6">
        <w:t xml:space="preserve"> z art</w:t>
      </w:r>
      <w:r w:rsidRPr="00E26EF6">
        <w:t>.</w:t>
      </w:r>
      <w:r w:rsidR="00023409" w:rsidRPr="00E26EF6">
        <w:t> </w:t>
      </w:r>
      <w:r w:rsidRPr="00E26EF6">
        <w:t>112</w:t>
      </w:r>
      <w:r w:rsidR="00E26EF6" w:rsidRPr="00E26EF6">
        <w:t xml:space="preserve"> i 1</w:t>
      </w:r>
      <w:r w:rsidRPr="00E26EF6">
        <w:t>47 CRR, jak określono</w:t>
      </w:r>
      <w:r w:rsidR="00E26EF6" w:rsidRPr="00E26EF6">
        <w:t xml:space="preserve"> w ins</w:t>
      </w:r>
      <w:r w:rsidRPr="00E26EF6">
        <w:t xml:space="preserve">trukcjach na potrzeby wypełniania wzorów C 07.00, C 08.01 </w:t>
      </w:r>
      <w:proofErr w:type="gramStart"/>
      <w:r w:rsidRPr="00E26EF6">
        <w:t>i</w:t>
      </w:r>
      <w:proofErr w:type="gramEnd"/>
      <w:r w:rsidRPr="00E26EF6">
        <w:t xml:space="preserve"> C 08.02. </w:t>
      </w:r>
    </w:p>
    <w:p w14:paraId="7C0B3416" w14:textId="1073C42F" w:rsidR="00915077" w:rsidRPr="00E26EF6" w:rsidRDefault="00125707">
      <w:pPr>
        <w:pStyle w:val="InstructionsText2"/>
        <w:numPr>
          <w:ilvl w:val="0"/>
          <w:numId w:val="0"/>
        </w:numPr>
        <w:ind w:left="993"/>
      </w:pPr>
      <w:r w:rsidRPr="00E26EF6">
        <w:t>157.</w:t>
      </w:r>
      <w:r w:rsidRPr="00E26EF6">
        <w:tab/>
        <w:t xml:space="preserve"> Na potrzeby przyporządkowania kategorii ekspozycji wykorzystywanych do obliczania wymogów kapitałowych zgodnie z CRR do sektora kontrahenta „sektor instytucji rządowych</w:t>
      </w:r>
      <w:r w:rsidR="00E26EF6" w:rsidRPr="00E26EF6">
        <w:t xml:space="preserve"> i sam</w:t>
      </w:r>
      <w:r w:rsidRPr="00E26EF6">
        <w:t>orządowych” przestrzega się tabeli 2 (metoda standardowa)</w:t>
      </w:r>
      <w:r w:rsidR="00E26EF6" w:rsidRPr="00E26EF6">
        <w:t xml:space="preserve"> i tab</w:t>
      </w:r>
      <w:r w:rsidRPr="00E26EF6">
        <w:t>eli 3 (metoda IRB) zawartych</w:t>
      </w:r>
      <w:r w:rsidR="00E26EF6" w:rsidRPr="00E26EF6">
        <w:t xml:space="preserve"> w czę</w:t>
      </w:r>
      <w:r w:rsidRPr="00E26EF6">
        <w:t xml:space="preserve">ści 3 załącznika V do niniejszego rozporządzenia wykonawczego. </w:t>
      </w:r>
    </w:p>
    <w:p w14:paraId="54DA319E" w14:textId="1CDE6D3C" w:rsidR="00915077" w:rsidRPr="00E26EF6" w:rsidRDefault="00125707">
      <w:pPr>
        <w:pStyle w:val="InstructionsText2"/>
        <w:numPr>
          <w:ilvl w:val="0"/>
          <w:numId w:val="0"/>
        </w:numPr>
        <w:ind w:left="993"/>
      </w:pPr>
      <w:r w:rsidRPr="00E26EF6">
        <w:t>158. Informacje zgłasza się</w:t>
      </w:r>
      <w:r w:rsidR="00E26EF6" w:rsidRPr="00E26EF6">
        <w:t xml:space="preserve"> w odn</w:t>
      </w:r>
      <w:r w:rsidRPr="00E26EF6">
        <w:t>iesieniu do całkowitych zagregowanych ekspozycji (co oznacza sumę dla wszystkich krajów,</w:t>
      </w:r>
      <w:r w:rsidR="00E26EF6" w:rsidRPr="00E26EF6">
        <w:t xml:space="preserve"> w któ</w:t>
      </w:r>
      <w:r w:rsidRPr="00E26EF6">
        <w:t>rych bank ma ekspozycje wobec państwa) oraz</w:t>
      </w:r>
      <w:r w:rsidR="00E26EF6" w:rsidRPr="00E26EF6">
        <w:t xml:space="preserve"> w odn</w:t>
      </w:r>
      <w:r w:rsidRPr="00E26EF6">
        <w:t xml:space="preserve">iesieniu do każdego kraju na podstawie siedziby kontrahenta według lokalizacji bezpośredniego dłużnika. </w:t>
      </w:r>
    </w:p>
    <w:p w14:paraId="51AE5D87" w14:textId="10188D6E" w:rsidR="00915077" w:rsidRPr="00E26EF6" w:rsidRDefault="00125707">
      <w:pPr>
        <w:pStyle w:val="InstructionsText2"/>
        <w:numPr>
          <w:ilvl w:val="0"/>
          <w:numId w:val="0"/>
        </w:numPr>
        <w:ind w:left="993"/>
      </w:pPr>
      <w:r w:rsidRPr="00E26EF6">
        <w:t>159.</w:t>
      </w:r>
      <w:r w:rsidRPr="00E26EF6">
        <w:tab/>
        <w:t xml:space="preserve"> Przypisania ekspozycji do kategorii ekspozycji lub do jurysdykcji dokonuje się bez uwzględniania technik ograniczania ryzyka kredytowego,</w:t>
      </w:r>
      <w:r w:rsidR="00E26EF6" w:rsidRPr="00E26EF6">
        <w:t xml:space="preserve"> a w szc</w:t>
      </w:r>
      <w:r w:rsidRPr="00E26EF6">
        <w:t>zególności bez uwzględniania efektów substytucyjnych. Jednakże obliczenia wartości ekspozycji</w:t>
      </w:r>
      <w:r w:rsidR="00E26EF6" w:rsidRPr="00E26EF6">
        <w:t xml:space="preserve"> i kwo</w:t>
      </w:r>
      <w:r w:rsidRPr="00E26EF6">
        <w:t>t ekspozycji ważonej ryzykiem dla każdej kategorii ekspozycji</w:t>
      </w:r>
      <w:r w:rsidR="00E26EF6" w:rsidRPr="00E26EF6">
        <w:t xml:space="preserve"> i każ</w:t>
      </w:r>
      <w:r w:rsidRPr="00E26EF6">
        <w:t>dej jurysdykcji uwzględniają wpływ technik ograniczania ryzyka kredytowego,</w:t>
      </w:r>
      <w:r w:rsidR="00E26EF6" w:rsidRPr="00E26EF6">
        <w:t xml:space="preserve"> w tym</w:t>
      </w:r>
      <w:r w:rsidRPr="00E26EF6">
        <w:t xml:space="preserve"> efektów substytucyjnych. </w:t>
      </w:r>
    </w:p>
    <w:p w14:paraId="2946E9CC" w14:textId="3729CB54" w:rsidR="00915077" w:rsidRPr="00E26EF6" w:rsidRDefault="00125707">
      <w:pPr>
        <w:pStyle w:val="InstructionsText2"/>
        <w:numPr>
          <w:ilvl w:val="0"/>
          <w:numId w:val="0"/>
        </w:numPr>
        <w:ind w:left="993"/>
      </w:pPr>
      <w:r w:rsidRPr="00E26EF6">
        <w:t>160.</w:t>
      </w:r>
      <w:r w:rsidRPr="00E26EF6">
        <w:tab/>
        <w:t xml:space="preserve"> Zgłaszanie informacji dotyczących ekspozycji wobec „sektora instytucji rządowych</w:t>
      </w:r>
      <w:r w:rsidR="00E26EF6" w:rsidRPr="00E26EF6">
        <w:t xml:space="preserve"> i sam</w:t>
      </w:r>
      <w:r w:rsidRPr="00E26EF6">
        <w:t>orządowych” według jurysdykcji siedziby bezpośredniego kontrahenta innej niż krajowa jurysdykcja instytucji sprawozdającej podlega progom określonym</w:t>
      </w:r>
      <w:r w:rsidR="00E26EF6" w:rsidRPr="00E26EF6">
        <w:t xml:space="preserve"> w art</w:t>
      </w:r>
      <w:r w:rsidRPr="00E26EF6">
        <w:t>.</w:t>
      </w:r>
      <w:r w:rsidR="00023409" w:rsidRPr="00E26EF6">
        <w:t> </w:t>
      </w:r>
      <w:r w:rsidRPr="00E26EF6">
        <w:t>5 lit.</w:t>
      </w:r>
      <w:r w:rsidR="00023409" w:rsidRPr="00E26EF6">
        <w:t> </w:t>
      </w:r>
      <w:r w:rsidRPr="00E26EF6">
        <w:t>b) pkt</w:t>
      </w:r>
      <w:r w:rsidR="00023409" w:rsidRPr="00E26EF6">
        <w:t> </w:t>
      </w:r>
      <w:r w:rsidRPr="00E26EF6">
        <w:t>3 niniejszego rozporządzenia wykonawczego.</w:t>
      </w:r>
    </w:p>
    <w:p w14:paraId="20840436" w14:textId="3AB934C5" w:rsidR="00915077" w:rsidRPr="00E26EF6" w:rsidRDefault="00995A7F">
      <w:pPr>
        <w:pStyle w:val="Instructionsberschrift2"/>
        <w:numPr>
          <w:ilvl w:val="0"/>
          <w:numId w:val="0"/>
        </w:numPr>
        <w:ind w:left="357" w:hanging="357"/>
        <w:rPr>
          <w:rFonts w:ascii="Times New Roman" w:hAnsi="Times New Roman" w:cs="Times New Roman"/>
          <w:sz w:val="24"/>
        </w:rPr>
      </w:pPr>
      <w:bookmarkStart w:id="122" w:name="_Toc31014419"/>
      <w:r w:rsidRPr="00E26EF6">
        <w:rPr>
          <w:rFonts w:ascii="Times New Roman" w:hAnsi="Times New Roman"/>
          <w:sz w:val="24"/>
          <w:u w:val="none"/>
        </w:rPr>
        <w:lastRenderedPageBreak/>
        <w:t>7.2.</w:t>
      </w:r>
      <w:r w:rsidRPr="00E26EF6">
        <w:rPr>
          <w:rFonts w:ascii="Times New Roman" w:hAnsi="Times New Roman"/>
          <w:sz w:val="24"/>
          <w:u w:val="none"/>
        </w:rPr>
        <w:tab/>
      </w:r>
      <w:r w:rsidRPr="00E26EF6">
        <w:rPr>
          <w:rFonts w:ascii="Times New Roman" w:hAnsi="Times New Roman"/>
          <w:sz w:val="24"/>
        </w:rPr>
        <w:t>Zakres wzoru dotyczącego ekspozycji wobec „sektora instytucji rządowych</w:t>
      </w:r>
      <w:r w:rsidR="00E26EF6" w:rsidRPr="00E26EF6">
        <w:rPr>
          <w:rFonts w:ascii="Times New Roman" w:hAnsi="Times New Roman"/>
          <w:sz w:val="24"/>
        </w:rPr>
        <w:t xml:space="preserve"> i sam</w:t>
      </w:r>
      <w:r w:rsidRPr="00E26EF6">
        <w:rPr>
          <w:rFonts w:ascii="Times New Roman" w:hAnsi="Times New Roman"/>
          <w:sz w:val="24"/>
        </w:rPr>
        <w:t>orządowych”</w:t>
      </w:r>
      <w:bookmarkEnd w:id="122"/>
    </w:p>
    <w:p w14:paraId="03A261F0" w14:textId="4DB1D50B" w:rsidR="00915077" w:rsidRPr="00E26EF6" w:rsidRDefault="00125707">
      <w:pPr>
        <w:pStyle w:val="InstructionsText2"/>
        <w:numPr>
          <w:ilvl w:val="0"/>
          <w:numId w:val="0"/>
        </w:numPr>
        <w:ind w:left="993"/>
      </w:pPr>
      <w:r w:rsidRPr="00E26EF6">
        <w:t>161.</w:t>
      </w:r>
      <w:r w:rsidRPr="00E26EF6">
        <w:tab/>
        <w:t xml:space="preserve"> Zakres wzoru GOV obejmuje bezpośrednie ekspozycje bilansowe, pozabilansowe oraz</w:t>
      </w:r>
      <w:r w:rsidR="00E26EF6" w:rsidRPr="00E26EF6">
        <w:t xml:space="preserve"> z tyt</w:t>
      </w:r>
      <w:r w:rsidRPr="00E26EF6">
        <w:t>ułu instrumentów pochodnych wobec „sektora instytucji rządowych</w:t>
      </w:r>
      <w:r w:rsidR="00E26EF6" w:rsidRPr="00E26EF6">
        <w:t xml:space="preserve"> i sam</w:t>
      </w:r>
      <w:r w:rsidRPr="00E26EF6">
        <w:t>orządowych”</w:t>
      </w:r>
      <w:r w:rsidR="00E26EF6" w:rsidRPr="00E26EF6">
        <w:t xml:space="preserve"> w por</w:t>
      </w:r>
      <w:r w:rsidRPr="00E26EF6">
        <w:t>tfelach bankowym</w:t>
      </w:r>
      <w:r w:rsidR="00E26EF6" w:rsidRPr="00E26EF6">
        <w:t xml:space="preserve"> i han</w:t>
      </w:r>
      <w:r w:rsidRPr="00E26EF6">
        <w:t>dlowym. Ponadto wymagana jest również pozycja uzupełniająca dotycząca ekspozycji pośrednich</w:t>
      </w:r>
      <w:r w:rsidR="00E26EF6" w:rsidRPr="00E26EF6">
        <w:t xml:space="preserve"> w for</w:t>
      </w:r>
      <w:r w:rsidRPr="00E26EF6">
        <w:t>mie kredytowych instrumentów pochodnych sprzedanych</w:t>
      </w:r>
      <w:r w:rsidR="00E26EF6" w:rsidRPr="00E26EF6">
        <w:t xml:space="preserve"> w zwi</w:t>
      </w:r>
      <w:r w:rsidRPr="00E26EF6">
        <w:t>ązku</w:t>
      </w:r>
      <w:r w:rsidR="00E26EF6" w:rsidRPr="00E26EF6">
        <w:t xml:space="preserve"> z eks</w:t>
      </w:r>
      <w:r w:rsidRPr="00E26EF6">
        <w:t>pozycjami wobec sektora instytucji rządowych</w:t>
      </w:r>
      <w:r w:rsidR="00E26EF6" w:rsidRPr="00E26EF6">
        <w:t xml:space="preserve"> i sam</w:t>
      </w:r>
      <w:r w:rsidRPr="00E26EF6">
        <w:t>orządowych.</w:t>
      </w:r>
    </w:p>
    <w:p w14:paraId="0793F142" w14:textId="012615FB" w:rsidR="00915077" w:rsidRPr="00E26EF6" w:rsidRDefault="00125707">
      <w:pPr>
        <w:pStyle w:val="InstructionsText2"/>
        <w:numPr>
          <w:ilvl w:val="0"/>
          <w:numId w:val="0"/>
        </w:numPr>
        <w:ind w:left="993"/>
      </w:pPr>
      <w:r w:rsidRPr="00E26EF6">
        <w:t>162.</w:t>
      </w:r>
      <w:r w:rsidRPr="00E26EF6">
        <w:tab/>
        <w:t xml:space="preserve"> Ekspozycja jest ekspozycją bezpośrednią, jeżeli bezpośredni kontrahent jest podmiotem objętym definicją „sektora instytucji rządowych</w:t>
      </w:r>
      <w:r w:rsidR="00E26EF6" w:rsidRPr="00E26EF6">
        <w:t xml:space="preserve"> i sam</w:t>
      </w:r>
      <w:r w:rsidRPr="00E26EF6">
        <w:t>orządowych” przedstawioną</w:t>
      </w:r>
      <w:r w:rsidR="00E26EF6" w:rsidRPr="00E26EF6">
        <w:t xml:space="preserve"> w pkt</w:t>
      </w:r>
      <w:r w:rsidR="00023409" w:rsidRPr="00E26EF6">
        <w:t> </w:t>
      </w:r>
      <w:r w:rsidRPr="00E26EF6">
        <w:t>42 lit.</w:t>
      </w:r>
      <w:r w:rsidR="00023409" w:rsidRPr="00E26EF6">
        <w:t> </w:t>
      </w:r>
      <w:r w:rsidRPr="00E26EF6">
        <w:t xml:space="preserve">b) załącznika V do niniejszego rozporządzenia wykonawczego. </w:t>
      </w:r>
    </w:p>
    <w:p w14:paraId="519B25E0" w14:textId="4D0D4E71" w:rsidR="00915077" w:rsidRPr="00E26EF6" w:rsidRDefault="00125707">
      <w:pPr>
        <w:pStyle w:val="InstructionsText2"/>
        <w:numPr>
          <w:ilvl w:val="0"/>
          <w:numId w:val="0"/>
        </w:numPr>
        <w:ind w:left="993"/>
      </w:pPr>
      <w:r w:rsidRPr="00E26EF6">
        <w:t>163.</w:t>
      </w:r>
      <w:r w:rsidRPr="00E26EF6">
        <w:tab/>
        <w:t xml:space="preserve"> Wzór jest podzielony na dwie sekcje. Pierwsza sekcja opiera się na podziale ekspozycji według ryzyka, podejścia regulacyjnego</w:t>
      </w:r>
      <w:r w:rsidR="00E26EF6" w:rsidRPr="00E26EF6">
        <w:t xml:space="preserve"> i kat</w:t>
      </w:r>
      <w:r w:rsidRPr="00E26EF6">
        <w:t>egorii ekspozycji, natomiast druga sekcja opiera się na podziale według rezydualnego termin zapadalności.</w:t>
      </w:r>
    </w:p>
    <w:p w14:paraId="4808E55B" w14:textId="77777777" w:rsidR="00915077" w:rsidRPr="00E26EF6" w:rsidRDefault="00995A7F">
      <w:pPr>
        <w:pStyle w:val="Instructionsberschrift2"/>
        <w:numPr>
          <w:ilvl w:val="0"/>
          <w:numId w:val="0"/>
        </w:numPr>
        <w:ind w:left="357" w:hanging="357"/>
        <w:rPr>
          <w:rFonts w:ascii="Times New Roman" w:hAnsi="Times New Roman" w:cs="Times New Roman"/>
          <w:sz w:val="24"/>
        </w:rPr>
      </w:pPr>
      <w:bookmarkStart w:id="123" w:name="_Toc31014420"/>
      <w:r w:rsidRPr="00E26EF6">
        <w:rPr>
          <w:rFonts w:ascii="Times New Roman" w:hAnsi="Times New Roman"/>
          <w:sz w:val="24"/>
          <w:u w:val="none"/>
        </w:rPr>
        <w:t>7.3.</w:t>
      </w:r>
      <w:r w:rsidRPr="00E26EF6">
        <w:rPr>
          <w:rFonts w:ascii="Times New Roman" w:hAnsi="Times New Roman"/>
          <w:sz w:val="24"/>
          <w:u w:val="none"/>
        </w:rPr>
        <w:tab/>
      </w:r>
      <w:r w:rsidRPr="00E26EF6">
        <w:rPr>
          <w:rFonts w:ascii="Times New Roman" w:hAnsi="Times New Roman"/>
          <w:sz w:val="24"/>
        </w:rPr>
        <w:t>Instrukcje dotyczące poszczególnych pozycji</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15077" w:rsidRPr="00E26EF6" w14:paraId="7330DB9D" w14:textId="77777777" w:rsidTr="00672D2A">
        <w:tc>
          <w:tcPr>
            <w:tcW w:w="1188" w:type="dxa"/>
            <w:shd w:val="pct25" w:color="auto" w:fill="auto"/>
          </w:tcPr>
          <w:p w14:paraId="1853ABE1" w14:textId="7777777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Kolumny</w:t>
            </w:r>
          </w:p>
          <w:p w14:paraId="5CF585B8" w14:textId="77777777" w:rsidR="00915077" w:rsidRPr="00E26EF6" w:rsidRDefault="00915077">
            <w:pPr>
              <w:spacing w:before="0" w:after="0"/>
              <w:ind w:left="33"/>
              <w:rPr>
                <w:rFonts w:ascii="Times New Roman" w:hAnsi="Times New Roman"/>
                <w:bCs/>
                <w:sz w:val="24"/>
                <w:highlight w:val="lightGray"/>
              </w:rPr>
            </w:pPr>
          </w:p>
        </w:tc>
        <w:tc>
          <w:tcPr>
            <w:tcW w:w="8640" w:type="dxa"/>
            <w:shd w:val="pct25" w:color="auto" w:fill="auto"/>
          </w:tcPr>
          <w:p w14:paraId="5217B969"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Instrukcje</w:t>
            </w:r>
          </w:p>
        </w:tc>
      </w:tr>
      <w:tr w:rsidR="00915077" w:rsidRPr="00E26EF6" w14:paraId="2E979F8A" w14:textId="77777777" w:rsidTr="00672D2A">
        <w:tc>
          <w:tcPr>
            <w:tcW w:w="1188" w:type="dxa"/>
            <w:tcBorders>
              <w:bottom w:val="single" w:sz="4" w:space="0" w:color="auto"/>
            </w:tcBorders>
          </w:tcPr>
          <w:p w14:paraId="34661A82"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010-260</w:t>
            </w:r>
          </w:p>
        </w:tc>
        <w:tc>
          <w:tcPr>
            <w:tcW w:w="8640" w:type="dxa"/>
            <w:tcBorders>
              <w:bottom w:val="single" w:sz="4" w:space="0" w:color="auto"/>
            </w:tcBorders>
          </w:tcPr>
          <w:p w14:paraId="4C13CC76" w14:textId="77777777" w:rsidR="00915077" w:rsidRPr="00E26EF6" w:rsidRDefault="00FD54FC">
            <w:pPr>
              <w:spacing w:before="0" w:after="0"/>
              <w:ind w:left="33"/>
              <w:rPr>
                <w:rFonts w:ascii="Times New Roman" w:hAnsi="Times New Roman"/>
                <w:b/>
                <w:bCs/>
                <w:sz w:val="24"/>
                <w:highlight w:val="lightGray"/>
                <w:u w:val="single"/>
              </w:rPr>
            </w:pPr>
            <w:r w:rsidRPr="00E26EF6">
              <w:rPr>
                <w:rFonts w:ascii="Times New Roman" w:hAnsi="Times New Roman"/>
                <w:b/>
                <w:bCs/>
                <w:sz w:val="24"/>
                <w:u w:val="single"/>
              </w:rPr>
              <w:t xml:space="preserve">EKSPOZYCJE BEZPOŚREDNIE </w:t>
            </w:r>
          </w:p>
        </w:tc>
      </w:tr>
      <w:tr w:rsidR="00915077" w:rsidRPr="00E26EF6" w14:paraId="116E3D26" w14:textId="77777777" w:rsidTr="00672D2A">
        <w:tc>
          <w:tcPr>
            <w:tcW w:w="1188" w:type="dxa"/>
          </w:tcPr>
          <w:p w14:paraId="09D02E5A"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010-140</w:t>
            </w:r>
          </w:p>
        </w:tc>
        <w:tc>
          <w:tcPr>
            <w:tcW w:w="8640" w:type="dxa"/>
          </w:tcPr>
          <w:p w14:paraId="128EF589" w14:textId="77777777" w:rsidR="00915077" w:rsidRPr="00E26EF6" w:rsidRDefault="00FD54FC">
            <w:pPr>
              <w:spacing w:before="0" w:after="0"/>
              <w:ind w:left="33"/>
              <w:rPr>
                <w:rFonts w:ascii="Times New Roman" w:hAnsi="Times New Roman"/>
                <w:b/>
                <w:bCs/>
                <w:sz w:val="24"/>
                <w:highlight w:val="lightGray"/>
                <w:u w:val="single"/>
              </w:rPr>
            </w:pPr>
            <w:r w:rsidRPr="00E26EF6">
              <w:rPr>
                <w:rFonts w:ascii="Times New Roman" w:hAnsi="Times New Roman"/>
                <w:b/>
                <w:bCs/>
                <w:sz w:val="24"/>
                <w:u w:val="single"/>
              </w:rPr>
              <w:t>EKSPOZYCJE BILANSOWE</w:t>
            </w:r>
          </w:p>
        </w:tc>
      </w:tr>
      <w:tr w:rsidR="00915077" w:rsidRPr="00E26EF6" w14:paraId="1E75959F" w14:textId="77777777" w:rsidTr="00672D2A">
        <w:tc>
          <w:tcPr>
            <w:tcW w:w="1188" w:type="dxa"/>
          </w:tcPr>
          <w:p w14:paraId="4D2C8D02"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010</w:t>
            </w:r>
          </w:p>
        </w:tc>
        <w:tc>
          <w:tcPr>
            <w:tcW w:w="8640" w:type="dxa"/>
          </w:tcPr>
          <w:p w14:paraId="412A5407"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 xml:space="preserve">Całkowita wartość bilansowa brutto aktywów finansowych niebędących instrumentami pochodnymi </w:t>
            </w:r>
          </w:p>
          <w:p w14:paraId="0FE66344" w14:textId="77777777" w:rsidR="00915077" w:rsidRPr="00E26EF6" w:rsidRDefault="00915077">
            <w:pPr>
              <w:spacing w:before="0" w:after="0"/>
              <w:ind w:left="33"/>
              <w:rPr>
                <w:rFonts w:ascii="Times New Roman" w:hAnsi="Times New Roman"/>
                <w:bCs/>
                <w:sz w:val="24"/>
              </w:rPr>
            </w:pPr>
          </w:p>
          <w:p w14:paraId="147AEF90" w14:textId="0C496379"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Zagregowana wartość bilansowa brutto, określona zgodnie</w:t>
            </w:r>
            <w:r w:rsidR="00E26EF6" w:rsidRPr="00E26EF6">
              <w:rPr>
                <w:rFonts w:ascii="Times New Roman" w:hAnsi="Times New Roman"/>
                <w:bCs/>
                <w:sz w:val="24"/>
              </w:rPr>
              <w:t xml:space="preserve"> z czę</w:t>
            </w:r>
            <w:r w:rsidRPr="00E26EF6">
              <w:rPr>
                <w:rFonts w:ascii="Times New Roman" w:hAnsi="Times New Roman"/>
                <w:bCs/>
                <w:sz w:val="24"/>
              </w:rPr>
              <w:t>ścią 1, pkt</w:t>
            </w:r>
            <w:r w:rsidR="00023409" w:rsidRPr="00E26EF6">
              <w:rPr>
                <w:rFonts w:ascii="Times New Roman" w:hAnsi="Times New Roman"/>
                <w:bCs/>
                <w:sz w:val="24"/>
              </w:rPr>
              <w:t> </w:t>
            </w:r>
            <w:r w:rsidRPr="00E26EF6">
              <w:rPr>
                <w:rFonts w:ascii="Times New Roman" w:hAnsi="Times New Roman"/>
                <w:bCs/>
                <w:sz w:val="24"/>
              </w:rPr>
              <w:t>34 załącznika V do niniejszego rozporządzenia wykonawczego, aktywów finansowych niebędących instrumentami pochodnymi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dla wszystkich portfeli księgowych zgodnie z MSSF lub krajowymi ogólnie przyjętymi zasadami rachunkowości opartymi na BAD zdefiniowanych</w:t>
            </w:r>
            <w:r w:rsidR="00E26EF6" w:rsidRPr="00E26EF6">
              <w:rPr>
                <w:rFonts w:ascii="Times New Roman" w:hAnsi="Times New Roman"/>
                <w:bCs/>
                <w:sz w:val="24"/>
              </w:rPr>
              <w:t xml:space="preserve"> w czę</w:t>
            </w:r>
            <w:r w:rsidRPr="00E26EF6">
              <w:rPr>
                <w:rFonts w:ascii="Times New Roman" w:hAnsi="Times New Roman"/>
                <w:bCs/>
                <w:sz w:val="24"/>
              </w:rPr>
              <w:t xml:space="preserve">ści 1, </w:t>
            </w:r>
            <w:r w:rsidRPr="00113518">
              <w:rPr>
                <w:rFonts w:ascii="Times New Roman" w:hAnsi="Times New Roman"/>
                <w:bCs/>
                <w:sz w:val="24"/>
                <w:highlight w:val="yellow"/>
              </w:rPr>
              <w:t>pkt</w:t>
            </w:r>
            <w:r w:rsidR="00023409" w:rsidRPr="00113518">
              <w:rPr>
                <w:rFonts w:ascii="Times New Roman" w:hAnsi="Times New Roman"/>
                <w:bCs/>
                <w:sz w:val="24"/>
                <w:highlight w:val="yellow"/>
              </w:rPr>
              <w:t> </w:t>
            </w:r>
            <w:r w:rsidRPr="00113518">
              <w:rPr>
                <w:rFonts w:ascii="Times New Roman" w:hAnsi="Times New Roman"/>
                <w:bCs/>
                <w:sz w:val="24"/>
                <w:highlight w:val="yellow"/>
              </w:rPr>
              <w:t>15–22</w:t>
            </w:r>
            <w:r w:rsidRPr="00E26EF6">
              <w:rPr>
                <w:rFonts w:ascii="Times New Roman" w:hAnsi="Times New Roman"/>
                <w:bCs/>
                <w:sz w:val="24"/>
              </w:rPr>
              <w:t xml:space="preserve"> załącznika V do niniejszego rozporządzenia wykonawczego</w:t>
            </w:r>
            <w:r w:rsidR="00E26EF6" w:rsidRPr="00E26EF6">
              <w:rPr>
                <w:rFonts w:ascii="Times New Roman" w:hAnsi="Times New Roman"/>
                <w:bCs/>
                <w:sz w:val="24"/>
              </w:rPr>
              <w:t xml:space="preserve"> i wym</w:t>
            </w:r>
            <w:r w:rsidRPr="00E26EF6">
              <w:rPr>
                <w:rFonts w:ascii="Times New Roman" w:hAnsi="Times New Roman"/>
                <w:bCs/>
                <w:sz w:val="24"/>
              </w:rPr>
              <w:t>ienionych</w:t>
            </w:r>
            <w:r w:rsidR="00E26EF6" w:rsidRPr="00E26EF6">
              <w:rPr>
                <w:rFonts w:ascii="Times New Roman" w:hAnsi="Times New Roman"/>
                <w:bCs/>
                <w:sz w:val="24"/>
              </w:rPr>
              <w:t xml:space="preserve"> w kol</w:t>
            </w:r>
            <w:r w:rsidRPr="00E26EF6">
              <w:rPr>
                <w:rFonts w:ascii="Times New Roman" w:hAnsi="Times New Roman"/>
                <w:bCs/>
                <w:sz w:val="24"/>
              </w:rPr>
              <w:t>umnach 030 do</w:t>
            </w:r>
            <w:r w:rsidR="00023409" w:rsidRPr="00E26EF6">
              <w:rPr>
                <w:rFonts w:ascii="Times New Roman" w:hAnsi="Times New Roman"/>
                <w:bCs/>
                <w:sz w:val="24"/>
              </w:rPr>
              <w:t> </w:t>
            </w:r>
            <w:r w:rsidRPr="00E26EF6">
              <w:rPr>
                <w:rFonts w:ascii="Times New Roman" w:hAnsi="Times New Roman"/>
                <w:bCs/>
                <w:sz w:val="24"/>
              </w:rPr>
              <w:t xml:space="preserve">120. </w:t>
            </w:r>
          </w:p>
          <w:p w14:paraId="4B452235" w14:textId="77777777" w:rsidR="00915077" w:rsidRPr="00E26EF6" w:rsidRDefault="00915077">
            <w:pPr>
              <w:spacing w:before="0" w:after="0"/>
              <w:ind w:left="33"/>
              <w:rPr>
                <w:rFonts w:ascii="Times New Roman" w:hAnsi="Times New Roman"/>
                <w:bCs/>
                <w:sz w:val="24"/>
              </w:rPr>
            </w:pPr>
          </w:p>
          <w:p w14:paraId="363E1C41" w14:textId="188F5B86"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Korekty</w:t>
            </w:r>
            <w:r w:rsidR="00E26EF6" w:rsidRPr="00E26EF6">
              <w:rPr>
                <w:rFonts w:ascii="Times New Roman" w:hAnsi="Times New Roman"/>
                <w:bCs/>
                <w:sz w:val="24"/>
              </w:rPr>
              <w:t xml:space="preserve"> z tyt</w:t>
            </w:r>
            <w:r w:rsidRPr="00E26EF6">
              <w:rPr>
                <w:rFonts w:ascii="Times New Roman" w:hAnsi="Times New Roman"/>
                <w:bCs/>
                <w:sz w:val="24"/>
              </w:rPr>
              <w:t>ułu ostrożnej wyceny nie zmniejszają wartości bilansowej brutto ekspozycji</w:t>
            </w:r>
            <w:r w:rsidR="00E26EF6" w:rsidRPr="00E26EF6">
              <w:rPr>
                <w:rFonts w:ascii="Times New Roman" w:hAnsi="Times New Roman"/>
                <w:bCs/>
                <w:sz w:val="24"/>
              </w:rPr>
              <w:t xml:space="preserve"> w por</w:t>
            </w:r>
            <w:r w:rsidRPr="00E26EF6">
              <w:rPr>
                <w:rFonts w:ascii="Times New Roman" w:hAnsi="Times New Roman"/>
                <w:bCs/>
                <w:sz w:val="24"/>
              </w:rPr>
              <w:t>tfelu handlowym</w:t>
            </w:r>
            <w:r w:rsidR="00E26EF6" w:rsidRPr="00E26EF6">
              <w:rPr>
                <w:rFonts w:ascii="Times New Roman" w:hAnsi="Times New Roman"/>
                <w:bCs/>
                <w:sz w:val="24"/>
              </w:rPr>
              <w:t xml:space="preserve"> i por</w:t>
            </w:r>
            <w:r w:rsidRPr="00E26EF6">
              <w:rPr>
                <w:rFonts w:ascii="Times New Roman" w:hAnsi="Times New Roman"/>
                <w:bCs/>
                <w:sz w:val="24"/>
              </w:rPr>
              <w:t>tfelu bankowym wycenianych według wartości godziwej.</w:t>
            </w:r>
          </w:p>
          <w:p w14:paraId="07CEAAA8" w14:textId="77777777" w:rsidR="00915077" w:rsidRPr="00E26EF6" w:rsidRDefault="00915077">
            <w:pPr>
              <w:spacing w:before="0" w:after="0"/>
              <w:rPr>
                <w:rFonts w:ascii="Times New Roman" w:hAnsi="Times New Roman"/>
                <w:bCs/>
                <w:sz w:val="24"/>
                <w:highlight w:val="lightGray"/>
              </w:rPr>
            </w:pPr>
          </w:p>
        </w:tc>
      </w:tr>
      <w:tr w:rsidR="00915077" w:rsidRPr="00E26EF6" w14:paraId="18D48B1A" w14:textId="77777777" w:rsidTr="00672D2A">
        <w:tc>
          <w:tcPr>
            <w:tcW w:w="1188" w:type="dxa"/>
          </w:tcPr>
          <w:p w14:paraId="1FF9BD25"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020</w:t>
            </w:r>
          </w:p>
        </w:tc>
        <w:tc>
          <w:tcPr>
            <w:tcW w:w="8640" w:type="dxa"/>
          </w:tcPr>
          <w:p w14:paraId="4AD9F9C0"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Całkowita wartość bilansowa aktywów finansowych niebędących instrumentami pochodnymi (po odliczeniu pozycji krótkich)</w:t>
            </w:r>
          </w:p>
          <w:p w14:paraId="274F1544" w14:textId="77777777" w:rsidR="00915077" w:rsidRPr="00E26EF6" w:rsidRDefault="00915077">
            <w:pPr>
              <w:spacing w:before="0" w:after="0"/>
              <w:ind w:left="33"/>
              <w:rPr>
                <w:rFonts w:ascii="Times New Roman" w:hAnsi="Times New Roman"/>
                <w:bCs/>
                <w:sz w:val="24"/>
              </w:rPr>
            </w:pPr>
          </w:p>
          <w:p w14:paraId="1FEF955E" w14:textId="3B6FB013"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Zagregowana wartość bilansowa, określona zgodnie</w:t>
            </w:r>
            <w:r w:rsidR="00E26EF6" w:rsidRPr="00E26EF6">
              <w:rPr>
                <w:rFonts w:ascii="Times New Roman" w:hAnsi="Times New Roman"/>
                <w:bCs/>
                <w:sz w:val="24"/>
              </w:rPr>
              <w:t xml:space="preserve"> z czę</w:t>
            </w:r>
            <w:r w:rsidRPr="00E26EF6">
              <w:rPr>
                <w:rFonts w:ascii="Times New Roman" w:hAnsi="Times New Roman"/>
                <w:bCs/>
                <w:sz w:val="24"/>
              </w:rPr>
              <w:t>ścią 1, pkt</w:t>
            </w:r>
            <w:r w:rsidR="00023409" w:rsidRPr="00E26EF6">
              <w:rPr>
                <w:rFonts w:ascii="Times New Roman" w:hAnsi="Times New Roman"/>
                <w:bCs/>
                <w:sz w:val="24"/>
              </w:rPr>
              <w:t> </w:t>
            </w:r>
            <w:r w:rsidRPr="00E26EF6">
              <w:rPr>
                <w:rFonts w:ascii="Times New Roman" w:hAnsi="Times New Roman"/>
                <w:bCs/>
                <w:sz w:val="24"/>
              </w:rPr>
              <w:t>27 załącznika V do niniejszego rozporządzenia wykonawczego, aktywów finansowych niebędących instrumentami pochodnymi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dla wszystkich portfeli księgowych zgodnie z MSSF lub krajowymi ogólnie przyjętymi zasadami rachunkowości opartymi na BAD zdefiniowanych</w:t>
            </w:r>
            <w:r w:rsidR="00E26EF6" w:rsidRPr="00E26EF6">
              <w:rPr>
                <w:rFonts w:ascii="Times New Roman" w:hAnsi="Times New Roman"/>
                <w:bCs/>
                <w:sz w:val="24"/>
              </w:rPr>
              <w:t xml:space="preserve"> w czę</w:t>
            </w:r>
            <w:r w:rsidRPr="00E26EF6">
              <w:rPr>
                <w:rFonts w:ascii="Times New Roman" w:hAnsi="Times New Roman"/>
                <w:bCs/>
                <w:sz w:val="24"/>
              </w:rPr>
              <w:t xml:space="preserve">ści 1, </w:t>
            </w:r>
            <w:r w:rsidRPr="00113518">
              <w:rPr>
                <w:rFonts w:ascii="Times New Roman" w:hAnsi="Times New Roman"/>
                <w:bCs/>
                <w:sz w:val="24"/>
                <w:highlight w:val="yellow"/>
              </w:rPr>
              <w:t>pkt</w:t>
            </w:r>
            <w:r w:rsidR="00023409" w:rsidRPr="00113518">
              <w:rPr>
                <w:rFonts w:ascii="Times New Roman" w:hAnsi="Times New Roman"/>
                <w:bCs/>
                <w:sz w:val="24"/>
                <w:highlight w:val="yellow"/>
              </w:rPr>
              <w:t> </w:t>
            </w:r>
            <w:r w:rsidRPr="00113518">
              <w:rPr>
                <w:rFonts w:ascii="Times New Roman" w:hAnsi="Times New Roman"/>
                <w:bCs/>
                <w:sz w:val="24"/>
                <w:highlight w:val="yellow"/>
              </w:rPr>
              <w:t>15–22</w:t>
            </w:r>
            <w:r w:rsidRPr="00E26EF6">
              <w:rPr>
                <w:rFonts w:ascii="Times New Roman" w:hAnsi="Times New Roman"/>
                <w:bCs/>
                <w:sz w:val="24"/>
              </w:rPr>
              <w:t xml:space="preserve"> załącznika V do niniejszego rozporządzenia wykonawczego</w:t>
            </w:r>
            <w:r w:rsidR="00E26EF6" w:rsidRPr="00E26EF6">
              <w:rPr>
                <w:rFonts w:ascii="Times New Roman" w:hAnsi="Times New Roman"/>
                <w:bCs/>
                <w:sz w:val="24"/>
              </w:rPr>
              <w:t xml:space="preserve"> i wym</w:t>
            </w:r>
            <w:r w:rsidRPr="00E26EF6">
              <w:rPr>
                <w:rFonts w:ascii="Times New Roman" w:hAnsi="Times New Roman"/>
                <w:bCs/>
                <w:sz w:val="24"/>
              </w:rPr>
              <w:t>ienionych</w:t>
            </w:r>
            <w:r w:rsidR="00E26EF6" w:rsidRPr="00E26EF6">
              <w:rPr>
                <w:rFonts w:ascii="Times New Roman" w:hAnsi="Times New Roman"/>
                <w:bCs/>
                <w:sz w:val="24"/>
              </w:rPr>
              <w:t xml:space="preserve"> w kol</w:t>
            </w:r>
            <w:r w:rsidRPr="00E26EF6">
              <w:rPr>
                <w:rFonts w:ascii="Times New Roman" w:hAnsi="Times New Roman"/>
                <w:bCs/>
                <w:sz w:val="24"/>
              </w:rPr>
              <w:t>umnach 030 do</w:t>
            </w:r>
            <w:r w:rsidR="00023409" w:rsidRPr="00E26EF6">
              <w:rPr>
                <w:rFonts w:ascii="Times New Roman" w:hAnsi="Times New Roman"/>
                <w:bCs/>
                <w:sz w:val="24"/>
              </w:rPr>
              <w:t> </w:t>
            </w:r>
            <w:r w:rsidRPr="00E26EF6">
              <w:rPr>
                <w:rFonts w:ascii="Times New Roman" w:hAnsi="Times New Roman"/>
                <w:bCs/>
                <w:sz w:val="24"/>
              </w:rPr>
              <w:t>120, po odliczeniu pozycji krótkich.</w:t>
            </w:r>
          </w:p>
          <w:p w14:paraId="4541EB73" w14:textId="77777777" w:rsidR="00915077" w:rsidRPr="00E26EF6" w:rsidRDefault="00915077">
            <w:pPr>
              <w:spacing w:before="0" w:after="0"/>
              <w:ind w:left="33"/>
              <w:rPr>
                <w:rFonts w:ascii="Times New Roman" w:hAnsi="Times New Roman"/>
                <w:bCs/>
                <w:sz w:val="24"/>
              </w:rPr>
            </w:pPr>
          </w:p>
          <w:p w14:paraId="0CF26C61" w14:textId="69B29A00"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Jeżeli instytucja posiada pozycję krótką dla tego samego rezydualnego terminu zapadalności</w:t>
            </w:r>
            <w:r w:rsidR="00E26EF6" w:rsidRPr="00E26EF6">
              <w:rPr>
                <w:rFonts w:ascii="Times New Roman" w:hAnsi="Times New Roman"/>
                <w:bCs/>
                <w:sz w:val="24"/>
              </w:rPr>
              <w:t xml:space="preserve"> i wzg</w:t>
            </w:r>
            <w:r w:rsidRPr="00E26EF6">
              <w:rPr>
                <w:rFonts w:ascii="Times New Roman" w:hAnsi="Times New Roman"/>
                <w:bCs/>
                <w:sz w:val="24"/>
              </w:rPr>
              <w:t xml:space="preserve">lędem </w:t>
            </w:r>
            <w:r w:rsidRPr="00113518">
              <w:rPr>
                <w:rFonts w:ascii="Times New Roman" w:hAnsi="Times New Roman"/>
                <w:bCs/>
                <w:sz w:val="24"/>
                <w:highlight w:val="yellow"/>
              </w:rPr>
              <w:t>tego samego bezpośredniego kontrahenta, która to pozycja jest denominowana</w:t>
            </w:r>
            <w:r w:rsidR="00E26EF6" w:rsidRPr="00113518">
              <w:rPr>
                <w:rFonts w:ascii="Times New Roman" w:hAnsi="Times New Roman"/>
                <w:bCs/>
                <w:sz w:val="24"/>
                <w:highlight w:val="yellow"/>
              </w:rPr>
              <w:t xml:space="preserve"> w tej</w:t>
            </w:r>
            <w:r w:rsidRPr="00113518">
              <w:rPr>
                <w:rFonts w:ascii="Times New Roman" w:hAnsi="Times New Roman"/>
                <w:bCs/>
                <w:sz w:val="24"/>
                <w:highlight w:val="yellow"/>
              </w:rPr>
              <w:t xml:space="preserve"> samej walucie</w:t>
            </w:r>
            <w:r w:rsidRPr="00E26EF6">
              <w:rPr>
                <w:rFonts w:ascii="Times New Roman" w:hAnsi="Times New Roman"/>
                <w:bCs/>
                <w:sz w:val="24"/>
              </w:rPr>
              <w:t>, wartość bilansową pozycji krótkiej kompensuje się</w:t>
            </w:r>
            <w:r w:rsidR="00E26EF6" w:rsidRPr="00E26EF6">
              <w:rPr>
                <w:rFonts w:ascii="Times New Roman" w:hAnsi="Times New Roman"/>
                <w:bCs/>
                <w:sz w:val="24"/>
              </w:rPr>
              <w:t xml:space="preserve"> z war</w:t>
            </w:r>
            <w:r w:rsidRPr="00E26EF6">
              <w:rPr>
                <w:rFonts w:ascii="Times New Roman" w:hAnsi="Times New Roman"/>
                <w:bCs/>
                <w:sz w:val="24"/>
              </w:rPr>
              <w:t>tością bilansową pozycji bezpośredniej. Jeżeli otrzymana</w:t>
            </w:r>
            <w:r w:rsidR="00E26EF6" w:rsidRPr="00E26EF6">
              <w:rPr>
                <w:rFonts w:ascii="Times New Roman" w:hAnsi="Times New Roman"/>
                <w:bCs/>
                <w:sz w:val="24"/>
              </w:rPr>
              <w:t xml:space="preserve"> w ten</w:t>
            </w:r>
            <w:r w:rsidRPr="00E26EF6">
              <w:rPr>
                <w:rFonts w:ascii="Times New Roman" w:hAnsi="Times New Roman"/>
                <w:bCs/>
                <w:sz w:val="24"/>
              </w:rPr>
              <w:t xml:space="preserve"> sposób kwota netto jest kwotą ujemną, przypisuje się jej wartość zero.</w:t>
            </w:r>
          </w:p>
          <w:p w14:paraId="4B34714C" w14:textId="77777777" w:rsidR="00915077" w:rsidRPr="00E26EF6" w:rsidRDefault="00915077">
            <w:pPr>
              <w:spacing w:before="0" w:after="0"/>
              <w:ind w:left="33"/>
              <w:rPr>
                <w:rFonts w:ascii="Times New Roman" w:hAnsi="Times New Roman"/>
                <w:bCs/>
                <w:sz w:val="24"/>
              </w:rPr>
            </w:pPr>
          </w:p>
          <w:p w14:paraId="35EB42F5" w14:textId="08DB25F4"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Zgłasza się sumę kolumn 030–120 pomniejszoną</w:t>
            </w:r>
            <w:r w:rsidR="00E26EF6" w:rsidRPr="00E26EF6">
              <w:rPr>
                <w:rFonts w:ascii="Times New Roman" w:hAnsi="Times New Roman"/>
                <w:bCs/>
                <w:sz w:val="24"/>
              </w:rPr>
              <w:t xml:space="preserve"> o war</w:t>
            </w:r>
            <w:r w:rsidRPr="00E26EF6">
              <w:rPr>
                <w:rFonts w:ascii="Times New Roman" w:hAnsi="Times New Roman"/>
                <w:bCs/>
                <w:sz w:val="24"/>
              </w:rPr>
              <w:t>tość kolumny 130.</w:t>
            </w:r>
            <w:r w:rsidRPr="00E26EF6">
              <w:rPr>
                <w:sz w:val="24"/>
              </w:rPr>
              <w:t xml:space="preserve"> </w:t>
            </w:r>
            <w:r w:rsidRPr="00E26EF6">
              <w:rPr>
                <w:rFonts w:ascii="Times New Roman" w:hAnsi="Times New Roman"/>
                <w:bCs/>
                <w:sz w:val="24"/>
              </w:rPr>
              <w:t>Jeżeli kwota ta jest mniejsza niż zero, zgłasza się kwotę równą zero.</w:t>
            </w:r>
          </w:p>
          <w:p w14:paraId="1D747C62" w14:textId="77777777" w:rsidR="00915077" w:rsidRPr="00E26EF6" w:rsidDel="00FB1EBF" w:rsidRDefault="00915077">
            <w:pPr>
              <w:spacing w:before="0" w:after="0"/>
              <w:ind w:left="33"/>
              <w:rPr>
                <w:rFonts w:ascii="Times New Roman" w:hAnsi="Times New Roman"/>
                <w:bCs/>
                <w:sz w:val="24"/>
                <w:highlight w:val="lightGray"/>
              </w:rPr>
            </w:pPr>
          </w:p>
        </w:tc>
      </w:tr>
      <w:tr w:rsidR="00915077" w:rsidRPr="00E26EF6" w14:paraId="2886DAF8" w14:textId="77777777" w:rsidTr="00672D2A">
        <w:tc>
          <w:tcPr>
            <w:tcW w:w="1188" w:type="dxa"/>
          </w:tcPr>
          <w:p w14:paraId="2CE93392"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lastRenderedPageBreak/>
              <w:t>030-120</w:t>
            </w:r>
          </w:p>
        </w:tc>
        <w:tc>
          <w:tcPr>
            <w:tcW w:w="8640" w:type="dxa"/>
          </w:tcPr>
          <w:p w14:paraId="096C3AB0"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AKTYWA FINANSOWE NIEBĘDĄCE INSTRUMENTAMI POCHODNYMI WEDŁUG PORTFELI KSIĘGOWYCH</w:t>
            </w:r>
          </w:p>
          <w:p w14:paraId="181432D4" w14:textId="77777777" w:rsidR="00915077" w:rsidRPr="00E26EF6" w:rsidRDefault="00915077">
            <w:pPr>
              <w:spacing w:before="0" w:after="0"/>
              <w:ind w:left="33"/>
              <w:rPr>
                <w:rFonts w:ascii="Times New Roman" w:hAnsi="Times New Roman"/>
                <w:bCs/>
                <w:sz w:val="24"/>
              </w:rPr>
            </w:pPr>
          </w:p>
          <w:p w14:paraId="59EEAE07" w14:textId="73EA3B26"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Zagregowana wartość bilansowa aktywów finansowych niebędących instrumentami pochodnymi, zgodnie</w:t>
            </w:r>
            <w:r w:rsidR="00E26EF6" w:rsidRPr="00E26EF6">
              <w:rPr>
                <w:rFonts w:ascii="Times New Roman" w:hAnsi="Times New Roman"/>
                <w:bCs/>
                <w:sz w:val="24"/>
              </w:rPr>
              <w:t xml:space="preserve"> z def</w:t>
            </w:r>
            <w:r w:rsidRPr="00E26EF6">
              <w:rPr>
                <w:rFonts w:ascii="Times New Roman" w:hAnsi="Times New Roman"/>
                <w:bCs/>
                <w:sz w:val="24"/>
              </w:rPr>
              <w:t>inicją zawartą</w:t>
            </w:r>
            <w:r w:rsidR="00E26EF6" w:rsidRPr="00E26EF6">
              <w:rPr>
                <w:rFonts w:ascii="Times New Roman" w:hAnsi="Times New Roman"/>
                <w:bCs/>
                <w:sz w:val="24"/>
              </w:rPr>
              <w:t xml:space="preserve"> w wie</w:t>
            </w:r>
            <w:r w:rsidRPr="00E26EF6">
              <w:rPr>
                <w:rFonts w:ascii="Times New Roman" w:hAnsi="Times New Roman"/>
                <w:bCs/>
                <w:sz w:val="24"/>
              </w:rPr>
              <w:t>rszu powyżej niniejszej tabeli,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w:t>
            </w:r>
            <w:r w:rsidR="00E26EF6" w:rsidRPr="00E26EF6">
              <w:rPr>
                <w:rFonts w:ascii="Times New Roman" w:hAnsi="Times New Roman"/>
                <w:bCs/>
                <w:sz w:val="24"/>
              </w:rPr>
              <w:t xml:space="preserve"> w pod</w:t>
            </w:r>
            <w:r w:rsidRPr="00E26EF6">
              <w:rPr>
                <w:rFonts w:ascii="Times New Roman" w:hAnsi="Times New Roman"/>
                <w:bCs/>
                <w:sz w:val="24"/>
              </w:rPr>
              <w:t>ziale na portfele księgowe zgodnie</w:t>
            </w:r>
            <w:r w:rsidR="00E26EF6" w:rsidRPr="00E26EF6">
              <w:rPr>
                <w:rFonts w:ascii="Times New Roman" w:hAnsi="Times New Roman"/>
                <w:bCs/>
                <w:sz w:val="24"/>
              </w:rPr>
              <w:t xml:space="preserve"> z maj</w:t>
            </w:r>
            <w:r w:rsidRPr="00E26EF6">
              <w:rPr>
                <w:rFonts w:ascii="Times New Roman" w:hAnsi="Times New Roman"/>
                <w:bCs/>
                <w:sz w:val="24"/>
              </w:rPr>
              <w:t>ącymi zastosowanie standardami rachunkowości.</w:t>
            </w:r>
          </w:p>
          <w:p w14:paraId="34973988" w14:textId="77777777" w:rsidR="00915077" w:rsidRPr="00E26EF6" w:rsidDel="00FB1EBF" w:rsidRDefault="00915077">
            <w:pPr>
              <w:spacing w:before="0" w:after="0"/>
              <w:ind w:left="33"/>
              <w:rPr>
                <w:rFonts w:ascii="Times New Roman" w:hAnsi="Times New Roman"/>
                <w:bCs/>
                <w:sz w:val="24"/>
                <w:highlight w:val="lightGray"/>
              </w:rPr>
            </w:pPr>
          </w:p>
        </w:tc>
      </w:tr>
      <w:tr w:rsidR="00915077" w:rsidRPr="00E26EF6" w14:paraId="3DE98288" w14:textId="77777777" w:rsidTr="00672D2A">
        <w:tc>
          <w:tcPr>
            <w:tcW w:w="1188" w:type="dxa"/>
          </w:tcPr>
          <w:p w14:paraId="588B1749"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030</w:t>
            </w:r>
          </w:p>
        </w:tc>
        <w:tc>
          <w:tcPr>
            <w:tcW w:w="8640" w:type="dxa"/>
          </w:tcPr>
          <w:p w14:paraId="6B093863" w14:textId="77777777" w:rsidR="00915077" w:rsidRPr="00E26EF6" w:rsidRDefault="00FD54FC">
            <w:pPr>
              <w:spacing w:before="0" w:after="0"/>
              <w:ind w:left="33"/>
              <w:rPr>
                <w:rFonts w:ascii="Times New Roman" w:hAnsi="Times New Roman"/>
                <w:bCs/>
                <w:sz w:val="24"/>
              </w:rPr>
            </w:pPr>
            <w:r w:rsidRPr="00E26EF6">
              <w:rPr>
                <w:rFonts w:ascii="Times New Roman" w:hAnsi="Times New Roman"/>
                <w:b/>
                <w:bCs/>
                <w:sz w:val="24"/>
                <w:u w:val="single"/>
              </w:rPr>
              <w:t>Aktywa finansowe przeznaczone do obrotu</w:t>
            </w:r>
          </w:p>
          <w:p w14:paraId="5BC52B3E" w14:textId="77777777" w:rsidR="00915077" w:rsidRPr="00E26EF6" w:rsidRDefault="00915077">
            <w:pPr>
              <w:spacing w:before="0" w:after="0"/>
              <w:ind w:left="33"/>
              <w:rPr>
                <w:rFonts w:ascii="Times New Roman" w:hAnsi="Times New Roman"/>
                <w:bCs/>
                <w:sz w:val="24"/>
              </w:rPr>
            </w:pPr>
          </w:p>
          <w:p w14:paraId="3618DE56" w14:textId="7B40F40C" w:rsidR="00915077" w:rsidRPr="00E26EF6" w:rsidRDefault="001C79CB">
            <w:pPr>
              <w:spacing w:before="0" w:after="0"/>
              <w:ind w:left="33"/>
              <w:rPr>
                <w:rFonts w:ascii="Times New Roman" w:hAnsi="Times New Roman"/>
                <w:bCs/>
                <w:sz w:val="24"/>
              </w:rPr>
            </w:pPr>
            <w:r w:rsidRPr="00E26EF6">
              <w:rPr>
                <w:rFonts w:ascii="Times New Roman" w:hAnsi="Times New Roman"/>
                <w:bCs/>
                <w:sz w:val="24"/>
              </w:rPr>
              <w:t>MSSF 7 pkt</w:t>
            </w:r>
            <w:r w:rsidR="00023409" w:rsidRPr="00E26EF6">
              <w:rPr>
                <w:rFonts w:ascii="Times New Roman" w:hAnsi="Times New Roman"/>
                <w:bCs/>
                <w:sz w:val="24"/>
              </w:rPr>
              <w:t> </w:t>
            </w:r>
            <w:r w:rsidRPr="00E26EF6">
              <w:rPr>
                <w:rFonts w:ascii="Times New Roman" w:hAnsi="Times New Roman"/>
                <w:bCs/>
                <w:sz w:val="24"/>
              </w:rPr>
              <w:t>8 lit.</w:t>
            </w:r>
            <w:r w:rsidR="00023409" w:rsidRPr="00E26EF6">
              <w:rPr>
                <w:rFonts w:ascii="Times New Roman" w:hAnsi="Times New Roman"/>
                <w:bCs/>
                <w:sz w:val="24"/>
              </w:rPr>
              <w:t> </w:t>
            </w:r>
            <w:r w:rsidRPr="00E26EF6">
              <w:rPr>
                <w:rFonts w:ascii="Times New Roman" w:hAnsi="Times New Roman"/>
                <w:bCs/>
                <w:sz w:val="24"/>
              </w:rPr>
              <w:t>a) ppkt (ii); MSSF 9 dodatek A</w:t>
            </w:r>
          </w:p>
          <w:p w14:paraId="731669E6" w14:textId="77777777" w:rsidR="00915077" w:rsidRPr="00E26EF6" w:rsidDel="00FB1EBF" w:rsidRDefault="00915077">
            <w:pPr>
              <w:spacing w:before="0" w:after="0"/>
              <w:ind w:left="33"/>
              <w:rPr>
                <w:rFonts w:ascii="Times New Roman" w:hAnsi="Times New Roman"/>
                <w:bCs/>
                <w:sz w:val="24"/>
                <w:highlight w:val="lightGray"/>
              </w:rPr>
            </w:pPr>
          </w:p>
        </w:tc>
      </w:tr>
      <w:tr w:rsidR="00915077" w:rsidRPr="00E26EF6" w14:paraId="2FF466CF" w14:textId="77777777" w:rsidTr="00672D2A">
        <w:tc>
          <w:tcPr>
            <w:tcW w:w="1188" w:type="dxa"/>
          </w:tcPr>
          <w:p w14:paraId="42417D7D"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040</w:t>
            </w:r>
          </w:p>
        </w:tc>
        <w:tc>
          <w:tcPr>
            <w:tcW w:w="8640" w:type="dxa"/>
          </w:tcPr>
          <w:p w14:paraId="6577F555" w14:textId="41B3637D"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Aktywa finansowe</w:t>
            </w:r>
            <w:r w:rsidR="00E26EF6" w:rsidRPr="00E26EF6">
              <w:rPr>
                <w:rFonts w:ascii="Times New Roman" w:hAnsi="Times New Roman"/>
                <w:b/>
                <w:bCs/>
                <w:sz w:val="24"/>
                <w:u w:val="single"/>
              </w:rPr>
              <w:t xml:space="preserve"> z prz</w:t>
            </w:r>
            <w:r w:rsidRPr="00E26EF6">
              <w:rPr>
                <w:rFonts w:ascii="Times New Roman" w:hAnsi="Times New Roman"/>
                <w:b/>
                <w:bCs/>
                <w:sz w:val="24"/>
                <w:u w:val="single"/>
              </w:rPr>
              <w:t>eznaczeniem do obrotu</w:t>
            </w:r>
          </w:p>
          <w:p w14:paraId="460B9E50" w14:textId="77777777" w:rsidR="00915077" w:rsidRPr="00E26EF6" w:rsidRDefault="00915077">
            <w:pPr>
              <w:spacing w:before="0" w:after="0"/>
              <w:ind w:left="33"/>
              <w:rPr>
                <w:rFonts w:ascii="Times New Roman" w:hAnsi="Times New Roman"/>
                <w:bCs/>
                <w:sz w:val="24"/>
              </w:rPr>
            </w:pPr>
          </w:p>
          <w:p w14:paraId="46C53423" w14:textId="40D4D58A" w:rsidR="00915077" w:rsidRPr="00E26EF6" w:rsidRDefault="00245E37">
            <w:pPr>
              <w:spacing w:before="0" w:after="0"/>
              <w:ind w:left="33"/>
              <w:rPr>
                <w:rFonts w:ascii="Times New Roman" w:hAnsi="Times New Roman"/>
                <w:bCs/>
                <w:sz w:val="24"/>
              </w:rPr>
            </w:pPr>
            <w:r w:rsidRPr="00E26EF6">
              <w:rPr>
                <w:rFonts w:ascii="Times New Roman" w:hAnsi="Times New Roman"/>
                <w:bCs/>
                <w:sz w:val="24"/>
              </w:rPr>
              <w:t>Art. 32</w:t>
            </w:r>
            <w:r w:rsidR="00E26EF6" w:rsidRPr="00E26EF6">
              <w:rPr>
                <w:rFonts w:ascii="Times New Roman" w:hAnsi="Times New Roman"/>
                <w:bCs/>
                <w:sz w:val="24"/>
              </w:rPr>
              <w:t xml:space="preserve"> i 3</w:t>
            </w:r>
            <w:r w:rsidRPr="00E26EF6">
              <w:rPr>
                <w:rFonts w:ascii="Times New Roman" w:hAnsi="Times New Roman"/>
                <w:bCs/>
                <w:sz w:val="24"/>
              </w:rPr>
              <w:t>3 BAD; część 1 pkt</w:t>
            </w:r>
            <w:r w:rsidR="00023409" w:rsidRPr="00E26EF6">
              <w:rPr>
                <w:rFonts w:ascii="Times New Roman" w:hAnsi="Times New Roman"/>
                <w:bCs/>
                <w:sz w:val="24"/>
              </w:rPr>
              <w:t> </w:t>
            </w:r>
            <w:r w:rsidRPr="00E26EF6">
              <w:rPr>
                <w:rFonts w:ascii="Times New Roman" w:hAnsi="Times New Roman"/>
                <w:bCs/>
                <w:sz w:val="24"/>
              </w:rPr>
              <w:t>16 załącznika V do niniejszego rozporządzenia wykonawczego; art.</w:t>
            </w:r>
            <w:r w:rsidR="00023409" w:rsidRPr="00E26EF6">
              <w:rPr>
                <w:rFonts w:ascii="Times New Roman" w:hAnsi="Times New Roman"/>
                <w:bCs/>
                <w:sz w:val="24"/>
              </w:rPr>
              <w:t> </w:t>
            </w:r>
            <w:r w:rsidRPr="00E26EF6">
              <w:rPr>
                <w:rFonts w:ascii="Times New Roman" w:hAnsi="Times New Roman"/>
                <w:bCs/>
                <w:sz w:val="24"/>
              </w:rPr>
              <w:t>8 ust.</w:t>
            </w:r>
            <w:r w:rsidR="00023409" w:rsidRPr="00E26EF6">
              <w:rPr>
                <w:rFonts w:ascii="Times New Roman" w:hAnsi="Times New Roman"/>
                <w:bCs/>
                <w:sz w:val="24"/>
              </w:rPr>
              <w:t> </w:t>
            </w:r>
            <w:r w:rsidRPr="00E26EF6">
              <w:rPr>
                <w:rFonts w:ascii="Times New Roman" w:hAnsi="Times New Roman"/>
                <w:bCs/>
                <w:sz w:val="24"/>
              </w:rPr>
              <w:t>1 lit.</w:t>
            </w:r>
            <w:r w:rsidR="00023409" w:rsidRPr="00E26EF6">
              <w:rPr>
                <w:rFonts w:ascii="Times New Roman" w:hAnsi="Times New Roman"/>
                <w:bCs/>
                <w:sz w:val="24"/>
              </w:rPr>
              <w:t> </w:t>
            </w:r>
            <w:r w:rsidRPr="00E26EF6">
              <w:rPr>
                <w:rFonts w:ascii="Times New Roman" w:hAnsi="Times New Roman"/>
                <w:bCs/>
                <w:sz w:val="24"/>
              </w:rPr>
              <w:t>a) AD</w:t>
            </w:r>
          </w:p>
          <w:p w14:paraId="166DEAB9" w14:textId="77777777" w:rsidR="00915077" w:rsidRPr="00E26EF6" w:rsidRDefault="00915077">
            <w:pPr>
              <w:spacing w:before="0" w:after="0"/>
              <w:ind w:left="33"/>
              <w:rPr>
                <w:rFonts w:ascii="Times New Roman" w:hAnsi="Times New Roman"/>
                <w:bCs/>
                <w:sz w:val="24"/>
              </w:rPr>
            </w:pPr>
          </w:p>
          <w:p w14:paraId="54203C63" w14:textId="4D33CCF4"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Podlegają zgłoszeniu przez instytucje tylko zgodnie</w:t>
            </w:r>
            <w:r w:rsidR="00E26EF6" w:rsidRPr="00E26EF6">
              <w:rPr>
                <w:rFonts w:ascii="Times New Roman" w:hAnsi="Times New Roman"/>
                <w:bCs/>
                <w:sz w:val="24"/>
              </w:rPr>
              <w:t xml:space="preserve"> z kra</w:t>
            </w:r>
            <w:r w:rsidRPr="00E26EF6">
              <w:rPr>
                <w:rFonts w:ascii="Times New Roman" w:hAnsi="Times New Roman"/>
                <w:bCs/>
                <w:sz w:val="24"/>
              </w:rPr>
              <w:t>jowymi ogólnie przyjętymi zasadami rachunkowości.</w:t>
            </w:r>
          </w:p>
          <w:p w14:paraId="73B98A1D" w14:textId="77777777" w:rsidR="00915077" w:rsidRPr="00E26EF6" w:rsidDel="00FB1EBF" w:rsidRDefault="00915077">
            <w:pPr>
              <w:spacing w:before="0" w:after="0"/>
              <w:ind w:left="33"/>
              <w:rPr>
                <w:rFonts w:ascii="Times New Roman" w:hAnsi="Times New Roman"/>
                <w:bCs/>
                <w:sz w:val="24"/>
                <w:highlight w:val="lightGray"/>
              </w:rPr>
            </w:pPr>
          </w:p>
        </w:tc>
      </w:tr>
      <w:tr w:rsidR="00915077" w:rsidRPr="00E26EF6" w14:paraId="43742E86" w14:textId="77777777" w:rsidTr="00672D2A">
        <w:tc>
          <w:tcPr>
            <w:tcW w:w="1188" w:type="dxa"/>
          </w:tcPr>
          <w:p w14:paraId="4E18D8CF"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050</w:t>
            </w:r>
          </w:p>
        </w:tc>
        <w:tc>
          <w:tcPr>
            <w:tcW w:w="8640" w:type="dxa"/>
          </w:tcPr>
          <w:p w14:paraId="2A424D39"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Aktywa finansowe nieprzeznaczone do obrotu wyceniane obowiązkowo według wartości godziwej przez wynik finansowy</w:t>
            </w:r>
          </w:p>
          <w:p w14:paraId="4C995D3F" w14:textId="77777777" w:rsidR="00915077" w:rsidRPr="00E26EF6" w:rsidRDefault="00915077">
            <w:pPr>
              <w:spacing w:before="0" w:after="0"/>
              <w:ind w:left="33"/>
              <w:rPr>
                <w:rFonts w:ascii="Times New Roman" w:hAnsi="Times New Roman"/>
                <w:bCs/>
                <w:sz w:val="24"/>
              </w:rPr>
            </w:pPr>
          </w:p>
          <w:p w14:paraId="329B160D" w14:textId="411F5C50"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MSSF 7 pkt</w:t>
            </w:r>
            <w:r w:rsidR="00023409" w:rsidRPr="00E26EF6">
              <w:rPr>
                <w:rFonts w:ascii="Times New Roman" w:hAnsi="Times New Roman"/>
                <w:bCs/>
                <w:sz w:val="24"/>
              </w:rPr>
              <w:t> </w:t>
            </w:r>
            <w:r w:rsidRPr="00E26EF6">
              <w:rPr>
                <w:rFonts w:ascii="Times New Roman" w:hAnsi="Times New Roman"/>
                <w:bCs/>
                <w:sz w:val="24"/>
              </w:rPr>
              <w:t>8 lit.</w:t>
            </w:r>
            <w:r w:rsidR="00023409" w:rsidRPr="00E26EF6">
              <w:rPr>
                <w:rFonts w:ascii="Times New Roman" w:hAnsi="Times New Roman"/>
                <w:bCs/>
                <w:sz w:val="24"/>
              </w:rPr>
              <w:t> </w:t>
            </w:r>
            <w:r w:rsidRPr="00E26EF6">
              <w:rPr>
                <w:rFonts w:ascii="Times New Roman" w:hAnsi="Times New Roman"/>
                <w:bCs/>
                <w:sz w:val="24"/>
              </w:rPr>
              <w:t>a) ppkt (ii); MSSF 9 pkt</w:t>
            </w:r>
            <w:r w:rsidR="00023409" w:rsidRPr="00E26EF6">
              <w:rPr>
                <w:rFonts w:ascii="Times New Roman" w:hAnsi="Times New Roman"/>
                <w:bCs/>
                <w:sz w:val="24"/>
              </w:rPr>
              <w:t> </w:t>
            </w:r>
            <w:r w:rsidRPr="00E26EF6">
              <w:rPr>
                <w:rFonts w:ascii="Times New Roman" w:hAnsi="Times New Roman"/>
                <w:bCs/>
                <w:sz w:val="24"/>
              </w:rPr>
              <w:t>4.1.4</w:t>
            </w:r>
          </w:p>
          <w:p w14:paraId="02A9B43D"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6203366A" w14:textId="77777777" w:rsidTr="00672D2A">
        <w:tc>
          <w:tcPr>
            <w:tcW w:w="1188" w:type="dxa"/>
          </w:tcPr>
          <w:p w14:paraId="5B29A485"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060</w:t>
            </w:r>
          </w:p>
        </w:tc>
        <w:tc>
          <w:tcPr>
            <w:tcW w:w="8640" w:type="dxa"/>
          </w:tcPr>
          <w:p w14:paraId="67996AFD"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Aktywa finansowe wyznaczone jako wyceniane według wartości godziwej przez wynik finansowy</w:t>
            </w:r>
          </w:p>
          <w:p w14:paraId="03AA629A" w14:textId="77777777" w:rsidR="00915077" w:rsidRPr="00E26EF6" w:rsidRDefault="00915077">
            <w:pPr>
              <w:spacing w:before="0" w:after="0"/>
              <w:ind w:left="33"/>
              <w:rPr>
                <w:rFonts w:ascii="Times New Roman" w:hAnsi="Times New Roman"/>
                <w:bCs/>
                <w:sz w:val="24"/>
              </w:rPr>
            </w:pPr>
          </w:p>
          <w:p w14:paraId="3A9556A2" w14:textId="76A1FCD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MSSF 7 pkt</w:t>
            </w:r>
            <w:r w:rsidR="00023409" w:rsidRPr="00E26EF6">
              <w:rPr>
                <w:rFonts w:ascii="Times New Roman" w:hAnsi="Times New Roman"/>
                <w:bCs/>
                <w:sz w:val="24"/>
              </w:rPr>
              <w:t> </w:t>
            </w:r>
            <w:r w:rsidRPr="00E26EF6">
              <w:rPr>
                <w:rFonts w:ascii="Times New Roman" w:hAnsi="Times New Roman"/>
                <w:bCs/>
                <w:sz w:val="24"/>
              </w:rPr>
              <w:t>8 lit.</w:t>
            </w:r>
            <w:r w:rsidR="00023409" w:rsidRPr="00E26EF6">
              <w:rPr>
                <w:rFonts w:ascii="Times New Roman" w:hAnsi="Times New Roman"/>
                <w:bCs/>
                <w:sz w:val="24"/>
              </w:rPr>
              <w:t> </w:t>
            </w:r>
            <w:r w:rsidRPr="00E26EF6">
              <w:rPr>
                <w:rFonts w:ascii="Times New Roman" w:hAnsi="Times New Roman"/>
                <w:bCs/>
                <w:sz w:val="24"/>
              </w:rPr>
              <w:t>a) ppkt (i); MSSF 9 pkt</w:t>
            </w:r>
            <w:r w:rsidR="00023409" w:rsidRPr="00E26EF6">
              <w:rPr>
                <w:rFonts w:ascii="Times New Roman" w:hAnsi="Times New Roman"/>
                <w:bCs/>
                <w:sz w:val="24"/>
              </w:rPr>
              <w:t> </w:t>
            </w:r>
            <w:r w:rsidRPr="00E26EF6">
              <w:rPr>
                <w:rFonts w:ascii="Times New Roman" w:hAnsi="Times New Roman"/>
                <w:bCs/>
                <w:sz w:val="24"/>
              </w:rPr>
              <w:t>4.1.5</w:t>
            </w:r>
            <w:r w:rsidR="00E26EF6" w:rsidRPr="00E26EF6">
              <w:rPr>
                <w:rFonts w:ascii="Times New Roman" w:hAnsi="Times New Roman"/>
                <w:bCs/>
                <w:sz w:val="24"/>
              </w:rPr>
              <w:t xml:space="preserve"> i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8 ust.</w:t>
            </w:r>
            <w:r w:rsidR="00023409" w:rsidRPr="00E26EF6">
              <w:rPr>
                <w:rFonts w:ascii="Times New Roman" w:hAnsi="Times New Roman"/>
                <w:bCs/>
                <w:sz w:val="24"/>
              </w:rPr>
              <w:t> </w:t>
            </w:r>
            <w:r w:rsidRPr="00E26EF6">
              <w:rPr>
                <w:rFonts w:ascii="Times New Roman" w:hAnsi="Times New Roman"/>
                <w:bCs/>
                <w:sz w:val="24"/>
              </w:rPr>
              <w:t>1 lit.</w:t>
            </w:r>
            <w:r w:rsidR="00023409" w:rsidRPr="00E26EF6">
              <w:rPr>
                <w:rFonts w:ascii="Times New Roman" w:hAnsi="Times New Roman"/>
                <w:bCs/>
                <w:sz w:val="24"/>
              </w:rPr>
              <w:t> </w:t>
            </w:r>
            <w:r w:rsidRPr="00E26EF6">
              <w:rPr>
                <w:rFonts w:ascii="Times New Roman" w:hAnsi="Times New Roman"/>
                <w:bCs/>
                <w:sz w:val="24"/>
              </w:rPr>
              <w:t>a) oraz art.</w:t>
            </w:r>
            <w:r w:rsidR="00023409" w:rsidRPr="00E26EF6">
              <w:rPr>
                <w:rFonts w:ascii="Times New Roman" w:hAnsi="Times New Roman"/>
                <w:bCs/>
                <w:sz w:val="24"/>
              </w:rPr>
              <w:t> </w:t>
            </w:r>
            <w:r w:rsidRPr="00E26EF6">
              <w:rPr>
                <w:rFonts w:ascii="Times New Roman" w:hAnsi="Times New Roman"/>
                <w:bCs/>
                <w:sz w:val="24"/>
              </w:rPr>
              <w:t>8 ust.</w:t>
            </w:r>
            <w:r w:rsidR="00023409" w:rsidRPr="00E26EF6">
              <w:rPr>
                <w:rFonts w:ascii="Times New Roman" w:hAnsi="Times New Roman"/>
                <w:bCs/>
                <w:sz w:val="24"/>
              </w:rPr>
              <w:t> </w:t>
            </w:r>
            <w:r w:rsidRPr="00E26EF6">
              <w:rPr>
                <w:rFonts w:ascii="Times New Roman" w:hAnsi="Times New Roman"/>
                <w:bCs/>
                <w:sz w:val="24"/>
              </w:rPr>
              <w:t>6 AD</w:t>
            </w:r>
          </w:p>
          <w:p w14:paraId="0E295088"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3FAC6E46" w14:textId="77777777" w:rsidTr="00672D2A">
        <w:tc>
          <w:tcPr>
            <w:tcW w:w="1188" w:type="dxa"/>
          </w:tcPr>
          <w:p w14:paraId="304B6583"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070</w:t>
            </w:r>
          </w:p>
        </w:tc>
        <w:tc>
          <w:tcPr>
            <w:tcW w:w="8640" w:type="dxa"/>
          </w:tcPr>
          <w:p w14:paraId="578226BC"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Aktywa finansowe niebędące instrumentami pochodnymi nieprzeznaczone do obrotu wyceniane według wartości godziwej przez wynik finansowy</w:t>
            </w:r>
          </w:p>
          <w:p w14:paraId="3714D376" w14:textId="77777777" w:rsidR="00915077" w:rsidRPr="00E26EF6" w:rsidRDefault="00915077">
            <w:pPr>
              <w:spacing w:before="0" w:after="0"/>
              <w:ind w:left="33"/>
              <w:rPr>
                <w:rFonts w:ascii="Times New Roman" w:hAnsi="Times New Roman"/>
                <w:bCs/>
                <w:sz w:val="24"/>
              </w:rPr>
            </w:pPr>
          </w:p>
          <w:p w14:paraId="3501358D" w14:textId="09E331FC" w:rsidR="00915077" w:rsidRPr="00E26EF6" w:rsidRDefault="002F78EA">
            <w:pPr>
              <w:spacing w:before="0" w:after="0"/>
              <w:ind w:left="33"/>
              <w:rPr>
                <w:rFonts w:ascii="Times New Roman" w:hAnsi="Times New Roman"/>
                <w:bCs/>
                <w:sz w:val="24"/>
              </w:rPr>
            </w:pPr>
            <w:r w:rsidRPr="00E26EF6">
              <w:rPr>
                <w:rFonts w:ascii="Times New Roman" w:hAnsi="Times New Roman"/>
                <w:bCs/>
                <w:sz w:val="24"/>
              </w:rPr>
              <w:t>Art. 36 ust.</w:t>
            </w:r>
            <w:r w:rsidR="00023409" w:rsidRPr="00E26EF6">
              <w:rPr>
                <w:rFonts w:ascii="Times New Roman" w:hAnsi="Times New Roman"/>
                <w:bCs/>
                <w:sz w:val="24"/>
              </w:rPr>
              <w:t> </w:t>
            </w:r>
            <w:r w:rsidRPr="00E26EF6">
              <w:rPr>
                <w:rFonts w:ascii="Times New Roman" w:hAnsi="Times New Roman"/>
                <w:bCs/>
                <w:sz w:val="24"/>
              </w:rPr>
              <w:t>2 BAD; art.</w:t>
            </w:r>
            <w:r w:rsidR="00023409" w:rsidRPr="00E26EF6">
              <w:rPr>
                <w:rFonts w:ascii="Times New Roman" w:hAnsi="Times New Roman"/>
                <w:bCs/>
                <w:sz w:val="24"/>
              </w:rPr>
              <w:t> </w:t>
            </w:r>
            <w:r w:rsidRPr="00E26EF6">
              <w:rPr>
                <w:rFonts w:ascii="Times New Roman" w:hAnsi="Times New Roman"/>
                <w:bCs/>
                <w:sz w:val="24"/>
              </w:rPr>
              <w:t>8 ust.</w:t>
            </w:r>
            <w:r w:rsidR="00023409" w:rsidRPr="00E26EF6">
              <w:rPr>
                <w:rFonts w:ascii="Times New Roman" w:hAnsi="Times New Roman"/>
                <w:bCs/>
                <w:sz w:val="24"/>
              </w:rPr>
              <w:t> </w:t>
            </w:r>
            <w:r w:rsidRPr="00E26EF6">
              <w:rPr>
                <w:rFonts w:ascii="Times New Roman" w:hAnsi="Times New Roman"/>
                <w:bCs/>
                <w:sz w:val="24"/>
              </w:rPr>
              <w:t>1 lit.</w:t>
            </w:r>
            <w:r w:rsidR="00023409" w:rsidRPr="00E26EF6">
              <w:rPr>
                <w:rFonts w:ascii="Times New Roman" w:hAnsi="Times New Roman"/>
                <w:bCs/>
                <w:sz w:val="24"/>
              </w:rPr>
              <w:t> </w:t>
            </w:r>
            <w:r w:rsidRPr="00E26EF6">
              <w:rPr>
                <w:rFonts w:ascii="Times New Roman" w:hAnsi="Times New Roman"/>
                <w:bCs/>
                <w:sz w:val="24"/>
              </w:rPr>
              <w:t>a) AD</w:t>
            </w:r>
          </w:p>
          <w:p w14:paraId="0A703A58" w14:textId="77777777" w:rsidR="00915077" w:rsidRPr="00E26EF6" w:rsidRDefault="00915077">
            <w:pPr>
              <w:spacing w:before="0" w:after="0"/>
              <w:ind w:left="33"/>
              <w:rPr>
                <w:rFonts w:ascii="Times New Roman" w:hAnsi="Times New Roman"/>
                <w:bCs/>
                <w:sz w:val="24"/>
              </w:rPr>
            </w:pPr>
          </w:p>
          <w:p w14:paraId="1BE801F4" w14:textId="4D5A84DE"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Podlegają zgłoszeniu przez instytucje tylko zgodnie</w:t>
            </w:r>
            <w:r w:rsidR="00E26EF6" w:rsidRPr="00E26EF6">
              <w:rPr>
                <w:rFonts w:ascii="Times New Roman" w:hAnsi="Times New Roman"/>
                <w:bCs/>
                <w:sz w:val="24"/>
              </w:rPr>
              <w:t xml:space="preserve"> z kra</w:t>
            </w:r>
            <w:r w:rsidRPr="00E26EF6">
              <w:rPr>
                <w:rFonts w:ascii="Times New Roman" w:hAnsi="Times New Roman"/>
                <w:bCs/>
                <w:sz w:val="24"/>
              </w:rPr>
              <w:t>jowymi ogólnie przyjętymi zasadami rachunkowości.</w:t>
            </w:r>
          </w:p>
          <w:p w14:paraId="2E9FB340"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41921E42" w14:textId="77777777" w:rsidTr="00672D2A">
        <w:tc>
          <w:tcPr>
            <w:tcW w:w="1188" w:type="dxa"/>
          </w:tcPr>
          <w:p w14:paraId="550F4CF8"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080</w:t>
            </w:r>
          </w:p>
        </w:tc>
        <w:tc>
          <w:tcPr>
            <w:tcW w:w="8640" w:type="dxa"/>
          </w:tcPr>
          <w:p w14:paraId="4708A241"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Aktywa finansowe wyceniane według wartości godziwej przez inne całkowite dochody</w:t>
            </w:r>
          </w:p>
          <w:p w14:paraId="3145817D" w14:textId="77777777" w:rsidR="00915077" w:rsidRPr="00E26EF6" w:rsidRDefault="00915077">
            <w:pPr>
              <w:spacing w:before="0" w:after="0"/>
              <w:ind w:left="33"/>
              <w:rPr>
                <w:rFonts w:ascii="Times New Roman" w:hAnsi="Times New Roman"/>
                <w:bCs/>
                <w:sz w:val="24"/>
              </w:rPr>
            </w:pPr>
          </w:p>
          <w:p w14:paraId="52856523" w14:textId="630B46AC"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MSSF 7 pkt</w:t>
            </w:r>
            <w:r w:rsidR="00023409" w:rsidRPr="00E26EF6">
              <w:rPr>
                <w:rFonts w:ascii="Times New Roman" w:hAnsi="Times New Roman"/>
                <w:bCs/>
                <w:sz w:val="24"/>
              </w:rPr>
              <w:t> </w:t>
            </w:r>
            <w:r w:rsidRPr="00E26EF6">
              <w:rPr>
                <w:rFonts w:ascii="Times New Roman" w:hAnsi="Times New Roman"/>
                <w:bCs/>
                <w:sz w:val="24"/>
              </w:rPr>
              <w:t>8 lit.</w:t>
            </w:r>
            <w:r w:rsidR="00023409" w:rsidRPr="00E26EF6">
              <w:rPr>
                <w:rFonts w:ascii="Times New Roman" w:hAnsi="Times New Roman"/>
                <w:bCs/>
                <w:sz w:val="24"/>
              </w:rPr>
              <w:t> </w:t>
            </w:r>
            <w:r w:rsidRPr="00E26EF6">
              <w:rPr>
                <w:rFonts w:ascii="Times New Roman" w:hAnsi="Times New Roman"/>
                <w:bCs/>
                <w:sz w:val="24"/>
              </w:rPr>
              <w:t>d); MSSF 9 pkt</w:t>
            </w:r>
            <w:r w:rsidR="00023409" w:rsidRPr="00E26EF6">
              <w:rPr>
                <w:rFonts w:ascii="Times New Roman" w:hAnsi="Times New Roman"/>
                <w:bCs/>
                <w:sz w:val="24"/>
              </w:rPr>
              <w:t> </w:t>
            </w:r>
            <w:r w:rsidRPr="00E26EF6">
              <w:rPr>
                <w:rFonts w:ascii="Times New Roman" w:hAnsi="Times New Roman"/>
                <w:bCs/>
                <w:sz w:val="24"/>
              </w:rPr>
              <w:t>4.1.2A</w:t>
            </w:r>
          </w:p>
          <w:p w14:paraId="6285C98D" w14:textId="77777777" w:rsidR="00915077" w:rsidRPr="00E26EF6" w:rsidRDefault="00915077">
            <w:pPr>
              <w:spacing w:before="0" w:after="0"/>
              <w:ind w:left="33"/>
              <w:rPr>
                <w:rFonts w:ascii="Times New Roman" w:hAnsi="Times New Roman"/>
                <w:b/>
                <w:bCs/>
                <w:sz w:val="24"/>
                <w:highlight w:val="lightGray"/>
              </w:rPr>
            </w:pPr>
          </w:p>
        </w:tc>
      </w:tr>
      <w:tr w:rsidR="00915077" w:rsidRPr="00E26EF6" w14:paraId="7224C013" w14:textId="77777777" w:rsidTr="00672D2A">
        <w:tc>
          <w:tcPr>
            <w:tcW w:w="1188" w:type="dxa"/>
          </w:tcPr>
          <w:p w14:paraId="1D9FA35E"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090</w:t>
            </w:r>
          </w:p>
        </w:tc>
        <w:tc>
          <w:tcPr>
            <w:tcW w:w="8640" w:type="dxa"/>
          </w:tcPr>
          <w:p w14:paraId="104B1B60"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Aktywa finansowe niebędące instrumentami pochodnymi nieprzeznaczone do obrotu wyceniane według wartości godziwej przez kapitały</w:t>
            </w:r>
          </w:p>
          <w:p w14:paraId="2C65FDA1" w14:textId="77777777" w:rsidR="00915077" w:rsidRPr="00E26EF6" w:rsidRDefault="00915077">
            <w:pPr>
              <w:spacing w:before="0" w:after="0"/>
              <w:ind w:left="33"/>
              <w:rPr>
                <w:rFonts w:ascii="Times New Roman" w:hAnsi="Times New Roman"/>
                <w:bCs/>
                <w:sz w:val="24"/>
              </w:rPr>
            </w:pPr>
          </w:p>
          <w:p w14:paraId="5FBFD577" w14:textId="2547239C" w:rsidR="00915077" w:rsidRPr="00E26EF6" w:rsidRDefault="00B14253">
            <w:pPr>
              <w:spacing w:before="0" w:after="0"/>
              <w:ind w:left="33"/>
              <w:rPr>
                <w:rFonts w:ascii="Times New Roman" w:hAnsi="Times New Roman"/>
                <w:bCs/>
                <w:sz w:val="24"/>
              </w:rPr>
            </w:pPr>
            <w:r w:rsidRPr="00E26EF6">
              <w:rPr>
                <w:rFonts w:ascii="Times New Roman" w:hAnsi="Times New Roman"/>
                <w:bCs/>
                <w:sz w:val="24"/>
              </w:rPr>
              <w:t>Art. 8 ust.</w:t>
            </w:r>
            <w:r w:rsidR="00023409" w:rsidRPr="00E26EF6">
              <w:rPr>
                <w:rFonts w:ascii="Times New Roman" w:hAnsi="Times New Roman"/>
                <w:bCs/>
                <w:sz w:val="24"/>
              </w:rPr>
              <w:t> </w:t>
            </w:r>
            <w:r w:rsidRPr="00E26EF6">
              <w:rPr>
                <w:rFonts w:ascii="Times New Roman" w:hAnsi="Times New Roman"/>
                <w:bCs/>
                <w:sz w:val="24"/>
              </w:rPr>
              <w:t>1 lit.</w:t>
            </w:r>
            <w:r w:rsidR="00023409" w:rsidRPr="00E26EF6">
              <w:rPr>
                <w:rFonts w:ascii="Times New Roman" w:hAnsi="Times New Roman"/>
                <w:bCs/>
                <w:sz w:val="24"/>
              </w:rPr>
              <w:t> </w:t>
            </w:r>
            <w:r w:rsidRPr="00E26EF6">
              <w:rPr>
                <w:rFonts w:ascii="Times New Roman" w:hAnsi="Times New Roman"/>
                <w:bCs/>
                <w:sz w:val="24"/>
              </w:rPr>
              <w:t>a) oraz art.</w:t>
            </w:r>
            <w:r w:rsidR="00023409" w:rsidRPr="00E26EF6">
              <w:rPr>
                <w:rFonts w:ascii="Times New Roman" w:hAnsi="Times New Roman"/>
                <w:bCs/>
                <w:sz w:val="24"/>
              </w:rPr>
              <w:t> </w:t>
            </w:r>
            <w:r w:rsidRPr="00E26EF6">
              <w:rPr>
                <w:rFonts w:ascii="Times New Roman" w:hAnsi="Times New Roman"/>
                <w:bCs/>
                <w:sz w:val="24"/>
              </w:rPr>
              <w:t>8 ust.</w:t>
            </w:r>
            <w:r w:rsidR="00023409" w:rsidRPr="00E26EF6">
              <w:rPr>
                <w:rFonts w:ascii="Times New Roman" w:hAnsi="Times New Roman"/>
                <w:bCs/>
                <w:sz w:val="24"/>
              </w:rPr>
              <w:t> </w:t>
            </w:r>
            <w:r w:rsidRPr="00E26EF6">
              <w:rPr>
                <w:rFonts w:ascii="Times New Roman" w:hAnsi="Times New Roman"/>
                <w:bCs/>
                <w:sz w:val="24"/>
              </w:rPr>
              <w:t>8 AD</w:t>
            </w:r>
          </w:p>
          <w:p w14:paraId="5D6D171C" w14:textId="77777777" w:rsidR="00915077" w:rsidRPr="00E26EF6" w:rsidRDefault="00915077">
            <w:pPr>
              <w:spacing w:before="0" w:after="0"/>
              <w:ind w:left="33"/>
              <w:rPr>
                <w:rFonts w:ascii="Times New Roman" w:hAnsi="Times New Roman"/>
                <w:bCs/>
                <w:sz w:val="24"/>
              </w:rPr>
            </w:pPr>
          </w:p>
          <w:p w14:paraId="0A9C56BC" w14:textId="5A65386B"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Podlegają zgłoszeniu przez instytucje tylko zgodnie</w:t>
            </w:r>
            <w:r w:rsidR="00E26EF6" w:rsidRPr="00E26EF6">
              <w:rPr>
                <w:rFonts w:ascii="Times New Roman" w:hAnsi="Times New Roman"/>
                <w:bCs/>
                <w:sz w:val="24"/>
              </w:rPr>
              <w:t xml:space="preserve"> z kra</w:t>
            </w:r>
            <w:r w:rsidRPr="00E26EF6">
              <w:rPr>
                <w:rFonts w:ascii="Times New Roman" w:hAnsi="Times New Roman"/>
                <w:bCs/>
                <w:sz w:val="24"/>
              </w:rPr>
              <w:t>jowymi ogólnie przyjętymi zasadami rachunkowości.</w:t>
            </w:r>
          </w:p>
          <w:p w14:paraId="2AB80F03"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022AA6CD" w14:textId="77777777" w:rsidTr="00672D2A">
        <w:tc>
          <w:tcPr>
            <w:tcW w:w="1188" w:type="dxa"/>
          </w:tcPr>
          <w:p w14:paraId="06E99EE1"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100</w:t>
            </w:r>
          </w:p>
        </w:tc>
        <w:tc>
          <w:tcPr>
            <w:tcW w:w="8640" w:type="dxa"/>
          </w:tcPr>
          <w:p w14:paraId="4B80C886"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Aktywa finansowe wyceniane według kosztu zamortyzowanego</w:t>
            </w:r>
          </w:p>
          <w:p w14:paraId="26998BA8" w14:textId="77777777" w:rsidR="00915077" w:rsidRPr="00E26EF6" w:rsidRDefault="00915077">
            <w:pPr>
              <w:spacing w:before="0" w:after="0"/>
              <w:ind w:left="33"/>
              <w:rPr>
                <w:rFonts w:ascii="Times New Roman" w:hAnsi="Times New Roman"/>
                <w:bCs/>
                <w:sz w:val="24"/>
              </w:rPr>
            </w:pPr>
          </w:p>
          <w:p w14:paraId="6B8F70BD" w14:textId="5C511FE2" w:rsidR="00915077" w:rsidRPr="00E26EF6" w:rsidDel="00501397" w:rsidRDefault="00FD54FC">
            <w:pPr>
              <w:spacing w:before="0" w:after="0"/>
              <w:ind w:left="33"/>
              <w:rPr>
                <w:rFonts w:ascii="Times New Roman" w:hAnsi="Times New Roman"/>
                <w:b/>
                <w:bCs/>
                <w:sz w:val="24"/>
                <w:u w:val="single"/>
              </w:rPr>
            </w:pPr>
            <w:r w:rsidRPr="00E26EF6">
              <w:rPr>
                <w:rFonts w:ascii="Times New Roman" w:hAnsi="Times New Roman"/>
                <w:bCs/>
                <w:sz w:val="24"/>
              </w:rPr>
              <w:t>MSSF 7 pkt</w:t>
            </w:r>
            <w:r w:rsidR="00023409" w:rsidRPr="00E26EF6">
              <w:rPr>
                <w:rFonts w:ascii="Times New Roman" w:hAnsi="Times New Roman"/>
                <w:bCs/>
                <w:sz w:val="24"/>
              </w:rPr>
              <w:t> </w:t>
            </w:r>
            <w:r w:rsidRPr="00E26EF6">
              <w:rPr>
                <w:rFonts w:ascii="Times New Roman" w:hAnsi="Times New Roman"/>
                <w:bCs/>
                <w:sz w:val="24"/>
              </w:rPr>
              <w:t>8 lit.</w:t>
            </w:r>
            <w:r w:rsidR="00023409" w:rsidRPr="00E26EF6">
              <w:rPr>
                <w:rFonts w:ascii="Times New Roman" w:hAnsi="Times New Roman"/>
                <w:bCs/>
                <w:sz w:val="24"/>
              </w:rPr>
              <w:t> </w:t>
            </w:r>
            <w:r w:rsidRPr="00E26EF6">
              <w:rPr>
                <w:rFonts w:ascii="Times New Roman" w:hAnsi="Times New Roman"/>
                <w:bCs/>
                <w:sz w:val="24"/>
              </w:rPr>
              <w:t>f); MSSF 9 pkt</w:t>
            </w:r>
            <w:r w:rsidR="00023409" w:rsidRPr="00E26EF6">
              <w:rPr>
                <w:rFonts w:ascii="Times New Roman" w:hAnsi="Times New Roman"/>
                <w:bCs/>
                <w:sz w:val="24"/>
              </w:rPr>
              <w:t> </w:t>
            </w:r>
            <w:r w:rsidRPr="00E26EF6">
              <w:rPr>
                <w:rFonts w:ascii="Times New Roman" w:hAnsi="Times New Roman"/>
                <w:bCs/>
                <w:sz w:val="24"/>
              </w:rPr>
              <w:t xml:space="preserve">4.1.2; </w:t>
            </w:r>
            <w:r w:rsidRPr="00113518">
              <w:rPr>
                <w:rFonts w:ascii="Times New Roman" w:hAnsi="Times New Roman"/>
                <w:bCs/>
                <w:sz w:val="24"/>
                <w:highlight w:val="yellow"/>
              </w:rPr>
              <w:t>część 1 pkt</w:t>
            </w:r>
            <w:r w:rsidR="00023409" w:rsidRPr="00113518">
              <w:rPr>
                <w:rFonts w:ascii="Times New Roman" w:hAnsi="Times New Roman"/>
                <w:bCs/>
                <w:sz w:val="24"/>
                <w:highlight w:val="yellow"/>
              </w:rPr>
              <w:t> </w:t>
            </w:r>
            <w:r w:rsidRPr="00113518">
              <w:rPr>
                <w:rFonts w:ascii="Times New Roman" w:hAnsi="Times New Roman"/>
                <w:bCs/>
                <w:sz w:val="24"/>
                <w:highlight w:val="yellow"/>
              </w:rPr>
              <w:t>15</w:t>
            </w:r>
            <w:r w:rsidRPr="00E26EF6">
              <w:rPr>
                <w:rFonts w:ascii="Times New Roman" w:hAnsi="Times New Roman"/>
                <w:bCs/>
                <w:sz w:val="24"/>
              </w:rPr>
              <w:t xml:space="preserve"> załącznika V do niniejszego rozporządzenia wykonawczego</w:t>
            </w:r>
          </w:p>
          <w:p w14:paraId="78E4F226"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159EABBC" w14:textId="77777777" w:rsidTr="00672D2A">
        <w:tc>
          <w:tcPr>
            <w:tcW w:w="1188" w:type="dxa"/>
          </w:tcPr>
          <w:p w14:paraId="394DB7DA"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110</w:t>
            </w:r>
          </w:p>
        </w:tc>
        <w:tc>
          <w:tcPr>
            <w:tcW w:w="8640" w:type="dxa"/>
          </w:tcPr>
          <w:p w14:paraId="7592F492"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Aktywa finansowe niebędące instrumentami pochodnymi nieprzeznaczone do obrotu wyceniane metodą ceny nabycia</w:t>
            </w:r>
          </w:p>
          <w:p w14:paraId="21BD75BC" w14:textId="77777777" w:rsidR="00915077" w:rsidRPr="00E26EF6" w:rsidRDefault="00915077">
            <w:pPr>
              <w:spacing w:before="0" w:after="0"/>
              <w:ind w:left="33"/>
              <w:rPr>
                <w:rFonts w:ascii="Times New Roman" w:hAnsi="Times New Roman"/>
                <w:bCs/>
                <w:sz w:val="24"/>
              </w:rPr>
            </w:pPr>
          </w:p>
          <w:p w14:paraId="7C5A67F6" w14:textId="0C514A51" w:rsidR="00915077" w:rsidRPr="00E26EF6" w:rsidRDefault="002F78EA">
            <w:pPr>
              <w:spacing w:before="0" w:after="0"/>
              <w:ind w:left="33"/>
              <w:rPr>
                <w:rFonts w:ascii="Times New Roman" w:hAnsi="Times New Roman"/>
                <w:bCs/>
                <w:sz w:val="24"/>
              </w:rPr>
            </w:pPr>
            <w:r w:rsidRPr="00E26EF6">
              <w:rPr>
                <w:rFonts w:ascii="Times New Roman" w:hAnsi="Times New Roman"/>
                <w:bCs/>
                <w:sz w:val="24"/>
              </w:rPr>
              <w:t>Art. 35 BAD; art.</w:t>
            </w:r>
            <w:r w:rsidR="00023409" w:rsidRPr="00E26EF6">
              <w:rPr>
                <w:rFonts w:ascii="Times New Roman" w:hAnsi="Times New Roman"/>
                <w:bCs/>
                <w:sz w:val="24"/>
              </w:rPr>
              <w:t> </w:t>
            </w:r>
            <w:r w:rsidRPr="00E26EF6">
              <w:rPr>
                <w:rFonts w:ascii="Times New Roman" w:hAnsi="Times New Roman"/>
                <w:bCs/>
                <w:sz w:val="24"/>
              </w:rPr>
              <w:t>6 ust.</w:t>
            </w:r>
            <w:r w:rsidR="00023409" w:rsidRPr="00E26EF6">
              <w:rPr>
                <w:rFonts w:ascii="Times New Roman" w:hAnsi="Times New Roman"/>
                <w:bCs/>
                <w:sz w:val="24"/>
              </w:rPr>
              <w:t> </w:t>
            </w:r>
            <w:r w:rsidRPr="00E26EF6">
              <w:rPr>
                <w:rFonts w:ascii="Times New Roman" w:hAnsi="Times New Roman"/>
                <w:bCs/>
                <w:sz w:val="24"/>
              </w:rPr>
              <w:t>1 pkt (i)</w:t>
            </w:r>
            <w:r w:rsidR="00E26EF6" w:rsidRPr="00E26EF6">
              <w:rPr>
                <w:rFonts w:ascii="Times New Roman" w:hAnsi="Times New Roman"/>
                <w:bCs/>
                <w:sz w:val="24"/>
              </w:rPr>
              <w:t xml:space="preserve"> i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8 ust.</w:t>
            </w:r>
            <w:r w:rsidR="00023409" w:rsidRPr="00E26EF6">
              <w:rPr>
                <w:rFonts w:ascii="Times New Roman" w:hAnsi="Times New Roman"/>
                <w:bCs/>
                <w:sz w:val="24"/>
              </w:rPr>
              <w:t> </w:t>
            </w:r>
            <w:r w:rsidRPr="00E26EF6">
              <w:rPr>
                <w:rFonts w:ascii="Times New Roman" w:hAnsi="Times New Roman"/>
                <w:bCs/>
                <w:sz w:val="24"/>
              </w:rPr>
              <w:t xml:space="preserve">2 AD; </w:t>
            </w:r>
            <w:r w:rsidRPr="00113518">
              <w:rPr>
                <w:rFonts w:ascii="Times New Roman" w:hAnsi="Times New Roman"/>
                <w:bCs/>
                <w:sz w:val="24"/>
                <w:highlight w:val="yellow"/>
              </w:rPr>
              <w:t>część 1 pkt</w:t>
            </w:r>
            <w:r w:rsidR="00023409" w:rsidRPr="00113518">
              <w:rPr>
                <w:rFonts w:ascii="Times New Roman" w:hAnsi="Times New Roman"/>
                <w:bCs/>
                <w:sz w:val="24"/>
                <w:highlight w:val="yellow"/>
              </w:rPr>
              <w:t> </w:t>
            </w:r>
            <w:r w:rsidRPr="00113518">
              <w:rPr>
                <w:rFonts w:ascii="Times New Roman" w:hAnsi="Times New Roman"/>
                <w:bCs/>
                <w:sz w:val="24"/>
                <w:highlight w:val="yellow"/>
              </w:rPr>
              <w:t>16</w:t>
            </w:r>
            <w:r w:rsidRPr="00E26EF6">
              <w:rPr>
                <w:rFonts w:ascii="Times New Roman" w:hAnsi="Times New Roman"/>
                <w:bCs/>
                <w:sz w:val="24"/>
              </w:rPr>
              <w:t xml:space="preserve"> załącznika V do niniejszego rozporządzenia wykonawczego</w:t>
            </w:r>
          </w:p>
          <w:p w14:paraId="33535130" w14:textId="77777777" w:rsidR="00915077" w:rsidRPr="00E26EF6" w:rsidRDefault="00915077">
            <w:pPr>
              <w:spacing w:before="0" w:after="0"/>
              <w:ind w:left="33"/>
              <w:rPr>
                <w:rFonts w:ascii="Times New Roman" w:hAnsi="Times New Roman"/>
                <w:bCs/>
                <w:sz w:val="24"/>
              </w:rPr>
            </w:pPr>
          </w:p>
          <w:p w14:paraId="2761A2AD" w14:textId="33E74059"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Podlegają zgłoszeniu przez instytucje tylko zgodnie</w:t>
            </w:r>
            <w:r w:rsidR="00E26EF6" w:rsidRPr="00E26EF6">
              <w:rPr>
                <w:rFonts w:ascii="Times New Roman" w:hAnsi="Times New Roman"/>
                <w:bCs/>
                <w:sz w:val="24"/>
              </w:rPr>
              <w:t xml:space="preserve"> z kra</w:t>
            </w:r>
            <w:r w:rsidRPr="00E26EF6">
              <w:rPr>
                <w:rFonts w:ascii="Times New Roman" w:hAnsi="Times New Roman"/>
                <w:bCs/>
                <w:sz w:val="24"/>
              </w:rPr>
              <w:t>jowymi ogólnie przyjętymi zasadami rachunkowości.</w:t>
            </w:r>
          </w:p>
          <w:p w14:paraId="67AA918D"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7B5CE477" w14:textId="77777777" w:rsidTr="00672D2A">
        <w:tc>
          <w:tcPr>
            <w:tcW w:w="1188" w:type="dxa"/>
          </w:tcPr>
          <w:p w14:paraId="032F1927"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lastRenderedPageBreak/>
              <w:t>120</w:t>
            </w:r>
          </w:p>
        </w:tc>
        <w:tc>
          <w:tcPr>
            <w:tcW w:w="8640" w:type="dxa"/>
          </w:tcPr>
          <w:p w14:paraId="40E49614"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Inne aktywa finansowe niebędące instrumentami pochodnymi nieprzeznaczone do obrotu</w:t>
            </w:r>
          </w:p>
          <w:p w14:paraId="1C5E5DDA" w14:textId="77777777" w:rsidR="00915077" w:rsidRPr="00E26EF6" w:rsidRDefault="00915077">
            <w:pPr>
              <w:spacing w:before="0" w:after="0"/>
              <w:ind w:left="33"/>
              <w:rPr>
                <w:rFonts w:ascii="Times New Roman" w:hAnsi="Times New Roman"/>
                <w:bCs/>
                <w:sz w:val="24"/>
              </w:rPr>
            </w:pPr>
          </w:p>
          <w:p w14:paraId="6B4343D7" w14:textId="25C4887B" w:rsidR="00915077" w:rsidRPr="00E26EF6" w:rsidRDefault="002B004B">
            <w:pPr>
              <w:spacing w:before="0" w:after="0"/>
              <w:ind w:left="33"/>
              <w:rPr>
                <w:rFonts w:ascii="Times New Roman" w:hAnsi="Times New Roman"/>
                <w:bCs/>
                <w:sz w:val="24"/>
              </w:rPr>
            </w:pPr>
            <w:r w:rsidRPr="00E26EF6">
              <w:rPr>
                <w:rFonts w:ascii="Times New Roman" w:hAnsi="Times New Roman"/>
                <w:bCs/>
                <w:sz w:val="24"/>
              </w:rPr>
              <w:t>Art. 37 BAD; art.</w:t>
            </w:r>
            <w:r w:rsidR="00023409" w:rsidRPr="00E26EF6">
              <w:rPr>
                <w:rFonts w:ascii="Times New Roman" w:hAnsi="Times New Roman"/>
                <w:bCs/>
                <w:sz w:val="24"/>
              </w:rPr>
              <w:t> </w:t>
            </w:r>
            <w:r w:rsidRPr="00E26EF6">
              <w:rPr>
                <w:rFonts w:ascii="Times New Roman" w:hAnsi="Times New Roman"/>
                <w:bCs/>
                <w:sz w:val="24"/>
              </w:rPr>
              <w:t>12 ust.</w:t>
            </w:r>
            <w:r w:rsidR="00023409" w:rsidRPr="00E26EF6">
              <w:rPr>
                <w:rFonts w:ascii="Times New Roman" w:hAnsi="Times New Roman"/>
                <w:bCs/>
                <w:sz w:val="24"/>
              </w:rPr>
              <w:t> </w:t>
            </w:r>
            <w:r w:rsidRPr="00E26EF6">
              <w:rPr>
                <w:rFonts w:ascii="Times New Roman" w:hAnsi="Times New Roman"/>
                <w:bCs/>
                <w:sz w:val="24"/>
              </w:rPr>
              <w:t xml:space="preserve">7 AD; </w:t>
            </w:r>
            <w:r w:rsidRPr="00113518">
              <w:rPr>
                <w:rFonts w:ascii="Times New Roman" w:hAnsi="Times New Roman"/>
                <w:bCs/>
                <w:sz w:val="24"/>
                <w:highlight w:val="yellow"/>
              </w:rPr>
              <w:t>część 1 pkt</w:t>
            </w:r>
            <w:r w:rsidR="00023409" w:rsidRPr="00113518">
              <w:rPr>
                <w:rFonts w:ascii="Times New Roman" w:hAnsi="Times New Roman"/>
                <w:bCs/>
                <w:sz w:val="24"/>
                <w:highlight w:val="yellow"/>
              </w:rPr>
              <w:t> </w:t>
            </w:r>
            <w:r w:rsidRPr="00113518">
              <w:rPr>
                <w:rFonts w:ascii="Times New Roman" w:hAnsi="Times New Roman"/>
                <w:bCs/>
                <w:sz w:val="24"/>
                <w:highlight w:val="yellow"/>
              </w:rPr>
              <w:t>16</w:t>
            </w:r>
            <w:r w:rsidRPr="00E26EF6">
              <w:rPr>
                <w:rFonts w:ascii="Times New Roman" w:hAnsi="Times New Roman"/>
                <w:bCs/>
                <w:sz w:val="24"/>
              </w:rPr>
              <w:t xml:space="preserve"> załącznika V do niniejszego rozporządzenia wykonawczego</w:t>
            </w:r>
          </w:p>
          <w:p w14:paraId="0E8E9288" w14:textId="77777777" w:rsidR="00915077" w:rsidRPr="00E26EF6" w:rsidRDefault="00915077">
            <w:pPr>
              <w:spacing w:before="0" w:after="0"/>
              <w:ind w:left="33"/>
              <w:rPr>
                <w:rFonts w:ascii="Times New Roman" w:hAnsi="Times New Roman"/>
                <w:bCs/>
                <w:sz w:val="24"/>
              </w:rPr>
            </w:pPr>
          </w:p>
          <w:p w14:paraId="005AEDF2" w14:textId="6AAD11DD"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Podlegają zgłoszeniu przez instytucje tylko zgodnie</w:t>
            </w:r>
            <w:r w:rsidR="00E26EF6" w:rsidRPr="00E26EF6">
              <w:rPr>
                <w:rFonts w:ascii="Times New Roman" w:hAnsi="Times New Roman"/>
                <w:bCs/>
                <w:sz w:val="24"/>
              </w:rPr>
              <w:t xml:space="preserve"> z kra</w:t>
            </w:r>
            <w:r w:rsidRPr="00E26EF6">
              <w:rPr>
                <w:rFonts w:ascii="Times New Roman" w:hAnsi="Times New Roman"/>
                <w:bCs/>
                <w:sz w:val="24"/>
              </w:rPr>
              <w:t>jowymi ogólnie przyjętymi zasadami rachunkowości.</w:t>
            </w:r>
          </w:p>
          <w:p w14:paraId="3B670CA5"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1776AA02" w14:textId="77777777" w:rsidTr="00672D2A">
        <w:tc>
          <w:tcPr>
            <w:tcW w:w="1188" w:type="dxa"/>
          </w:tcPr>
          <w:p w14:paraId="35B59F3E"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130</w:t>
            </w:r>
          </w:p>
        </w:tc>
        <w:tc>
          <w:tcPr>
            <w:tcW w:w="8640" w:type="dxa"/>
          </w:tcPr>
          <w:p w14:paraId="13AAEAAA"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Pozycje krótkie</w:t>
            </w:r>
          </w:p>
          <w:p w14:paraId="1EF926C5" w14:textId="77777777" w:rsidR="00915077" w:rsidRPr="00E26EF6" w:rsidRDefault="00915077">
            <w:pPr>
              <w:spacing w:before="0" w:after="0"/>
              <w:ind w:left="33"/>
              <w:rPr>
                <w:rFonts w:ascii="Times New Roman" w:hAnsi="Times New Roman"/>
                <w:bCs/>
                <w:sz w:val="24"/>
              </w:rPr>
            </w:pPr>
          </w:p>
          <w:p w14:paraId="57511115" w14:textId="5687A242"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Wartość bilansowa pozycji krótkich zgodnie</w:t>
            </w:r>
            <w:r w:rsidR="00E26EF6" w:rsidRPr="00E26EF6">
              <w:rPr>
                <w:rFonts w:ascii="Times New Roman" w:hAnsi="Times New Roman"/>
                <w:bCs/>
                <w:sz w:val="24"/>
              </w:rPr>
              <w:t xml:space="preserve"> z def</w:t>
            </w:r>
            <w:r w:rsidRPr="00E26EF6">
              <w:rPr>
                <w:rFonts w:ascii="Times New Roman" w:hAnsi="Times New Roman"/>
                <w:bCs/>
                <w:sz w:val="24"/>
              </w:rPr>
              <w:t xml:space="preserve">inicją w MSSF 9 pkt BA.7 </w:t>
            </w:r>
            <w:proofErr w:type="gramStart"/>
            <w:r w:rsidRPr="00E26EF6">
              <w:rPr>
                <w:rFonts w:ascii="Times New Roman" w:hAnsi="Times New Roman"/>
                <w:bCs/>
                <w:sz w:val="24"/>
              </w:rPr>
              <w:t>lit</w:t>
            </w:r>
            <w:proofErr w:type="gramEnd"/>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b), jeżeli bezpośredni kontrahent należy do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zgodnie</w:t>
            </w:r>
            <w:r w:rsidR="00E26EF6" w:rsidRPr="00E26EF6">
              <w:rPr>
                <w:rFonts w:ascii="Times New Roman" w:hAnsi="Times New Roman"/>
                <w:bCs/>
                <w:sz w:val="24"/>
              </w:rPr>
              <w:t xml:space="preserve"> z def</w:t>
            </w:r>
            <w:r w:rsidRPr="00E26EF6">
              <w:rPr>
                <w:rFonts w:ascii="Times New Roman" w:hAnsi="Times New Roman"/>
                <w:bCs/>
                <w:sz w:val="24"/>
              </w:rPr>
              <w:t>inicją</w:t>
            </w:r>
            <w:r w:rsidR="00E26EF6" w:rsidRPr="00E26EF6">
              <w:rPr>
                <w:rFonts w:ascii="Times New Roman" w:hAnsi="Times New Roman"/>
                <w:bCs/>
                <w:sz w:val="24"/>
              </w:rPr>
              <w:t xml:space="preserve"> w pkt</w:t>
            </w:r>
            <w:r w:rsidR="00023409" w:rsidRPr="00E26EF6">
              <w:rPr>
                <w:rFonts w:ascii="Times New Roman" w:hAnsi="Times New Roman"/>
                <w:bCs/>
                <w:sz w:val="24"/>
              </w:rPr>
              <w:t> </w:t>
            </w:r>
            <w:r w:rsidRPr="00E26EF6">
              <w:rPr>
                <w:rFonts w:ascii="Times New Roman" w:hAnsi="Times New Roman"/>
                <w:bCs/>
                <w:sz w:val="24"/>
              </w:rPr>
              <w:t>155–160 niniejszego załącznika.</w:t>
            </w:r>
          </w:p>
          <w:p w14:paraId="5C093156" w14:textId="77777777" w:rsidR="00915077" w:rsidRPr="00E26EF6" w:rsidRDefault="00915077">
            <w:pPr>
              <w:spacing w:before="0" w:after="0"/>
              <w:ind w:left="33"/>
              <w:rPr>
                <w:rFonts w:ascii="Times New Roman" w:hAnsi="Times New Roman"/>
                <w:bCs/>
                <w:sz w:val="24"/>
              </w:rPr>
            </w:pPr>
          </w:p>
          <w:p w14:paraId="67B6A0DB" w14:textId="253B7A6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Pozycje krótkie powstają, jeżeli instytucja sprzedaje papiery wartościowe nabyte</w:t>
            </w:r>
            <w:r w:rsidR="00E26EF6" w:rsidRPr="00E26EF6">
              <w:rPr>
                <w:rFonts w:ascii="Times New Roman" w:hAnsi="Times New Roman"/>
                <w:bCs/>
                <w:sz w:val="24"/>
              </w:rPr>
              <w:t xml:space="preserve"> w ram</w:t>
            </w:r>
            <w:r w:rsidRPr="00E26EF6">
              <w:rPr>
                <w:rFonts w:ascii="Times New Roman" w:hAnsi="Times New Roman"/>
                <w:bCs/>
                <w:sz w:val="24"/>
              </w:rPr>
              <w:t>ach transakcji kredytu</w:t>
            </w:r>
            <w:r w:rsidR="00E26EF6" w:rsidRPr="00E26EF6">
              <w:rPr>
                <w:rFonts w:ascii="Times New Roman" w:hAnsi="Times New Roman"/>
                <w:bCs/>
                <w:sz w:val="24"/>
              </w:rPr>
              <w:t xml:space="preserve"> z otr</w:t>
            </w:r>
            <w:r w:rsidRPr="00E26EF6">
              <w:rPr>
                <w:rFonts w:ascii="Times New Roman" w:hAnsi="Times New Roman"/>
                <w:bCs/>
                <w:sz w:val="24"/>
              </w:rPr>
              <w:t>zymanym przyrzeczeniem odkupu lub pożyczone</w:t>
            </w:r>
            <w:r w:rsidR="00E26EF6" w:rsidRPr="00E26EF6">
              <w:rPr>
                <w:rFonts w:ascii="Times New Roman" w:hAnsi="Times New Roman"/>
                <w:bCs/>
                <w:sz w:val="24"/>
              </w:rPr>
              <w:t xml:space="preserve"> w ram</w:t>
            </w:r>
            <w:r w:rsidRPr="00E26EF6">
              <w:rPr>
                <w:rFonts w:ascii="Times New Roman" w:hAnsi="Times New Roman"/>
                <w:bCs/>
                <w:sz w:val="24"/>
              </w:rPr>
              <w:t>ach transakcji udzielenia pożyczki papierów wartościowych.</w:t>
            </w:r>
          </w:p>
          <w:p w14:paraId="6445F1FC" w14:textId="77777777" w:rsidR="00915077" w:rsidRPr="00E26EF6" w:rsidRDefault="00915077">
            <w:pPr>
              <w:spacing w:before="0" w:after="0"/>
              <w:ind w:left="33"/>
              <w:rPr>
                <w:rFonts w:ascii="Times New Roman" w:hAnsi="Times New Roman"/>
                <w:bCs/>
                <w:sz w:val="24"/>
              </w:rPr>
            </w:pPr>
          </w:p>
          <w:p w14:paraId="6A61371F" w14:textId="7777777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Wartością bilansową jest wartość godziwa pozycji krótkich.</w:t>
            </w:r>
          </w:p>
          <w:p w14:paraId="2E8C93A7" w14:textId="77777777" w:rsidR="00915077" w:rsidRPr="00E26EF6" w:rsidRDefault="00915077">
            <w:pPr>
              <w:spacing w:before="0" w:after="0"/>
              <w:ind w:left="33"/>
              <w:rPr>
                <w:rFonts w:ascii="Times New Roman" w:hAnsi="Times New Roman"/>
                <w:bCs/>
                <w:sz w:val="24"/>
              </w:rPr>
            </w:pPr>
          </w:p>
          <w:p w14:paraId="62093D04" w14:textId="1B2D276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Pozycje krótkie zgłasza się według przedziału rezydualnego terminu zapadalności, określonego</w:t>
            </w:r>
            <w:r w:rsidR="00E26EF6" w:rsidRPr="00E26EF6">
              <w:rPr>
                <w:rFonts w:ascii="Times New Roman" w:hAnsi="Times New Roman"/>
                <w:bCs/>
                <w:sz w:val="24"/>
              </w:rPr>
              <w:t xml:space="preserve"> w wie</w:t>
            </w:r>
            <w:r w:rsidRPr="00E26EF6">
              <w:rPr>
                <w:rFonts w:ascii="Times New Roman" w:hAnsi="Times New Roman"/>
                <w:bCs/>
                <w:sz w:val="24"/>
              </w:rPr>
              <w:t>rszach 170 do</w:t>
            </w:r>
            <w:r w:rsidR="00023409" w:rsidRPr="00E26EF6">
              <w:rPr>
                <w:rFonts w:ascii="Times New Roman" w:hAnsi="Times New Roman"/>
                <w:bCs/>
                <w:sz w:val="24"/>
              </w:rPr>
              <w:t> </w:t>
            </w:r>
            <w:r w:rsidRPr="00E26EF6">
              <w:rPr>
                <w:rFonts w:ascii="Times New Roman" w:hAnsi="Times New Roman"/>
                <w:bCs/>
                <w:sz w:val="24"/>
              </w:rPr>
              <w:t>230, oraz według bezpośredniego kontrahenta. Pozycje krótkie wykorzystuje się do kompensowania</w:t>
            </w:r>
            <w:r w:rsidR="00E26EF6" w:rsidRPr="00E26EF6">
              <w:rPr>
                <w:rFonts w:ascii="Times New Roman" w:hAnsi="Times New Roman"/>
                <w:bCs/>
                <w:sz w:val="24"/>
              </w:rPr>
              <w:t xml:space="preserve"> z poz</w:t>
            </w:r>
            <w:r w:rsidRPr="00E26EF6">
              <w:rPr>
                <w:rFonts w:ascii="Times New Roman" w:hAnsi="Times New Roman"/>
                <w:bCs/>
                <w:sz w:val="24"/>
              </w:rPr>
              <w:t>ycjami dla tego samego rezydualnego terminu zapadalności</w:t>
            </w:r>
            <w:r w:rsidR="00E26EF6" w:rsidRPr="00E26EF6">
              <w:rPr>
                <w:rFonts w:ascii="Times New Roman" w:hAnsi="Times New Roman"/>
                <w:bCs/>
                <w:sz w:val="24"/>
              </w:rPr>
              <w:t xml:space="preserve"> i wzg</w:t>
            </w:r>
            <w:r w:rsidRPr="00E26EF6">
              <w:rPr>
                <w:rFonts w:ascii="Times New Roman" w:hAnsi="Times New Roman"/>
                <w:bCs/>
                <w:sz w:val="24"/>
              </w:rPr>
              <w:t>lędem tego samego bezpośredniego kontrahenta do celów obliczenia wartości dla kolumn 030 do</w:t>
            </w:r>
            <w:r w:rsidR="00023409" w:rsidRPr="00E26EF6">
              <w:rPr>
                <w:rFonts w:ascii="Times New Roman" w:hAnsi="Times New Roman"/>
                <w:bCs/>
                <w:sz w:val="24"/>
              </w:rPr>
              <w:t> </w:t>
            </w:r>
            <w:r w:rsidRPr="00E26EF6">
              <w:rPr>
                <w:rFonts w:ascii="Times New Roman" w:hAnsi="Times New Roman"/>
                <w:bCs/>
                <w:sz w:val="24"/>
              </w:rPr>
              <w:t>120.</w:t>
            </w:r>
          </w:p>
        </w:tc>
      </w:tr>
      <w:tr w:rsidR="00915077" w:rsidRPr="00E26EF6" w14:paraId="0744067D" w14:textId="77777777" w:rsidTr="00672D2A">
        <w:tc>
          <w:tcPr>
            <w:tcW w:w="1188" w:type="dxa"/>
          </w:tcPr>
          <w:p w14:paraId="3E64C340" w14:textId="77777777" w:rsidR="00915077" w:rsidRPr="00E26EF6" w:rsidDel="00E97A51" w:rsidRDefault="00FD54FC">
            <w:pPr>
              <w:spacing w:before="0" w:after="0"/>
              <w:ind w:left="33"/>
              <w:rPr>
                <w:rFonts w:ascii="Times New Roman" w:hAnsi="Times New Roman"/>
                <w:bCs/>
                <w:sz w:val="24"/>
                <w:highlight w:val="lightGray"/>
              </w:rPr>
            </w:pPr>
            <w:r w:rsidRPr="00E26EF6">
              <w:rPr>
                <w:rFonts w:ascii="Times New Roman" w:hAnsi="Times New Roman"/>
                <w:bCs/>
                <w:sz w:val="24"/>
              </w:rPr>
              <w:t>140</w:t>
            </w:r>
          </w:p>
        </w:tc>
        <w:tc>
          <w:tcPr>
            <w:tcW w:w="8640" w:type="dxa"/>
          </w:tcPr>
          <w:p w14:paraId="3AA354C1" w14:textId="6E7033BF"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W tym: Pozycje krótkie</w:t>
            </w:r>
            <w:r w:rsidR="00E26EF6" w:rsidRPr="00E26EF6">
              <w:rPr>
                <w:rFonts w:ascii="Times New Roman" w:hAnsi="Times New Roman"/>
                <w:b/>
                <w:bCs/>
                <w:sz w:val="24"/>
                <w:u w:val="single"/>
              </w:rPr>
              <w:t xml:space="preserve"> z tyt</w:t>
            </w:r>
            <w:r w:rsidRPr="00E26EF6">
              <w:rPr>
                <w:rFonts w:ascii="Times New Roman" w:hAnsi="Times New Roman"/>
                <w:b/>
                <w:bCs/>
                <w:sz w:val="24"/>
                <w:u w:val="single"/>
              </w:rPr>
              <w:t>ułu kredytów</w:t>
            </w:r>
            <w:r w:rsidR="00E26EF6" w:rsidRPr="00E26EF6">
              <w:rPr>
                <w:rFonts w:ascii="Times New Roman" w:hAnsi="Times New Roman"/>
                <w:b/>
                <w:bCs/>
                <w:sz w:val="24"/>
                <w:u w:val="single"/>
              </w:rPr>
              <w:t xml:space="preserve"> z otr</w:t>
            </w:r>
            <w:r w:rsidRPr="00E26EF6">
              <w:rPr>
                <w:rFonts w:ascii="Times New Roman" w:hAnsi="Times New Roman"/>
                <w:b/>
                <w:bCs/>
                <w:sz w:val="24"/>
                <w:u w:val="single"/>
              </w:rPr>
              <w:t>zymanym przyrzeczeniem odkupu zaklasyfikowanych jako aktywa finansowe przeznaczone do obrotu lub aktywa finansowe</w:t>
            </w:r>
            <w:r w:rsidR="00E26EF6" w:rsidRPr="00E26EF6">
              <w:rPr>
                <w:rFonts w:ascii="Times New Roman" w:hAnsi="Times New Roman"/>
                <w:b/>
                <w:bCs/>
                <w:sz w:val="24"/>
                <w:u w:val="single"/>
              </w:rPr>
              <w:t xml:space="preserve"> z prz</w:t>
            </w:r>
            <w:r w:rsidRPr="00E26EF6">
              <w:rPr>
                <w:rFonts w:ascii="Times New Roman" w:hAnsi="Times New Roman"/>
                <w:b/>
                <w:bCs/>
                <w:sz w:val="24"/>
                <w:u w:val="single"/>
              </w:rPr>
              <w:t>eznaczeniem do obrotu</w:t>
            </w:r>
          </w:p>
          <w:p w14:paraId="26F7362C" w14:textId="77777777" w:rsidR="00915077" w:rsidRPr="00E26EF6" w:rsidRDefault="00915077">
            <w:pPr>
              <w:spacing w:before="0" w:after="0"/>
              <w:ind w:left="33"/>
              <w:rPr>
                <w:rFonts w:ascii="Times New Roman" w:hAnsi="Times New Roman"/>
                <w:bCs/>
                <w:sz w:val="24"/>
              </w:rPr>
            </w:pPr>
          </w:p>
          <w:p w14:paraId="74E60974" w14:textId="044AF99C"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Wartość bilansowa pozycji krótkich zgodnie</w:t>
            </w:r>
            <w:r w:rsidR="00E26EF6" w:rsidRPr="00E26EF6">
              <w:rPr>
                <w:rFonts w:ascii="Times New Roman" w:hAnsi="Times New Roman"/>
                <w:bCs/>
                <w:sz w:val="24"/>
              </w:rPr>
              <w:t xml:space="preserve"> z def</w:t>
            </w:r>
            <w:r w:rsidRPr="00E26EF6">
              <w:rPr>
                <w:rFonts w:ascii="Times New Roman" w:hAnsi="Times New Roman"/>
                <w:bCs/>
                <w:sz w:val="24"/>
              </w:rPr>
              <w:t xml:space="preserve">inicją w MSSF 9 pkt BA.7 </w:t>
            </w:r>
            <w:proofErr w:type="gramStart"/>
            <w:r w:rsidRPr="00E26EF6">
              <w:rPr>
                <w:rFonts w:ascii="Times New Roman" w:hAnsi="Times New Roman"/>
                <w:bCs/>
                <w:sz w:val="24"/>
              </w:rPr>
              <w:t>lit</w:t>
            </w:r>
            <w:proofErr w:type="gramEnd"/>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b), które powstają, gdy instytucja sprzedaje papiery wartościowe nabyte</w:t>
            </w:r>
            <w:r w:rsidR="00E26EF6" w:rsidRPr="00E26EF6">
              <w:rPr>
                <w:rFonts w:ascii="Times New Roman" w:hAnsi="Times New Roman"/>
                <w:bCs/>
                <w:sz w:val="24"/>
              </w:rPr>
              <w:t xml:space="preserve"> w ram</w:t>
            </w:r>
            <w:r w:rsidRPr="00E26EF6">
              <w:rPr>
                <w:rFonts w:ascii="Times New Roman" w:hAnsi="Times New Roman"/>
                <w:bCs/>
                <w:sz w:val="24"/>
              </w:rPr>
              <w:t>ach transakcji kredytu</w:t>
            </w:r>
            <w:r w:rsidR="00E26EF6" w:rsidRPr="00E26EF6">
              <w:rPr>
                <w:rFonts w:ascii="Times New Roman" w:hAnsi="Times New Roman"/>
                <w:bCs/>
                <w:sz w:val="24"/>
              </w:rPr>
              <w:t xml:space="preserve"> z otr</w:t>
            </w:r>
            <w:r w:rsidRPr="00E26EF6">
              <w:rPr>
                <w:rFonts w:ascii="Times New Roman" w:hAnsi="Times New Roman"/>
                <w:bCs/>
                <w:sz w:val="24"/>
              </w:rPr>
              <w:t>zymanym przyrzeczeniem odkupu,</w:t>
            </w:r>
            <w:r w:rsidR="00E26EF6" w:rsidRPr="00E26EF6">
              <w:rPr>
                <w:rFonts w:ascii="Times New Roman" w:hAnsi="Times New Roman"/>
                <w:bCs/>
                <w:sz w:val="24"/>
              </w:rPr>
              <w:t xml:space="preserve"> a bez</w:t>
            </w:r>
            <w:r w:rsidRPr="00E26EF6">
              <w:rPr>
                <w:rFonts w:ascii="Times New Roman" w:hAnsi="Times New Roman"/>
                <w:bCs/>
                <w:sz w:val="24"/>
              </w:rPr>
              <w:t>pośrednim kontrahentem tych papierów wartościowych jest sektor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w:t>
            </w:r>
            <w:r w:rsidR="00E26EF6" w:rsidRPr="00E26EF6">
              <w:rPr>
                <w:rFonts w:ascii="Times New Roman" w:hAnsi="Times New Roman"/>
                <w:bCs/>
                <w:sz w:val="24"/>
              </w:rPr>
              <w:t xml:space="preserve"> i któ</w:t>
            </w:r>
            <w:r w:rsidRPr="00E26EF6">
              <w:rPr>
                <w:rFonts w:ascii="Times New Roman" w:hAnsi="Times New Roman"/>
                <w:bCs/>
                <w:sz w:val="24"/>
              </w:rPr>
              <w:t>re są ujęte</w:t>
            </w:r>
            <w:r w:rsidR="00E26EF6" w:rsidRPr="00E26EF6">
              <w:rPr>
                <w:rFonts w:ascii="Times New Roman" w:hAnsi="Times New Roman"/>
                <w:bCs/>
                <w:sz w:val="24"/>
              </w:rPr>
              <w:t xml:space="preserve"> w por</w:t>
            </w:r>
            <w:r w:rsidRPr="00E26EF6">
              <w:rPr>
                <w:rFonts w:ascii="Times New Roman" w:hAnsi="Times New Roman"/>
                <w:bCs/>
                <w:sz w:val="24"/>
              </w:rPr>
              <w:t>tfelach księgowych aktywów finansowych przeznaczonych do obrotu lub aktywów finansowych</w:t>
            </w:r>
            <w:r w:rsidR="00E26EF6" w:rsidRPr="00E26EF6">
              <w:rPr>
                <w:rFonts w:ascii="Times New Roman" w:hAnsi="Times New Roman"/>
                <w:bCs/>
                <w:sz w:val="24"/>
              </w:rPr>
              <w:t xml:space="preserve"> z prz</w:t>
            </w:r>
            <w:r w:rsidRPr="00E26EF6">
              <w:rPr>
                <w:rFonts w:ascii="Times New Roman" w:hAnsi="Times New Roman"/>
                <w:bCs/>
                <w:sz w:val="24"/>
              </w:rPr>
              <w:t>eznaczeniem do obrotu (kolumny 030 lub</w:t>
            </w:r>
            <w:r w:rsidR="00023409" w:rsidRPr="00E26EF6">
              <w:rPr>
                <w:rFonts w:ascii="Times New Roman" w:hAnsi="Times New Roman"/>
                <w:bCs/>
                <w:sz w:val="24"/>
              </w:rPr>
              <w:t> </w:t>
            </w:r>
            <w:r w:rsidRPr="00E26EF6">
              <w:rPr>
                <w:rFonts w:ascii="Times New Roman" w:hAnsi="Times New Roman"/>
                <w:bCs/>
                <w:sz w:val="24"/>
              </w:rPr>
              <w:t>040).</w:t>
            </w:r>
          </w:p>
          <w:p w14:paraId="38058E51" w14:textId="77777777" w:rsidR="00915077" w:rsidRPr="00E26EF6" w:rsidRDefault="00915077">
            <w:pPr>
              <w:spacing w:before="0" w:after="0"/>
              <w:ind w:left="33"/>
              <w:rPr>
                <w:rFonts w:ascii="Times New Roman" w:hAnsi="Times New Roman"/>
                <w:b/>
                <w:bCs/>
                <w:sz w:val="24"/>
                <w:u w:val="single"/>
              </w:rPr>
            </w:pPr>
          </w:p>
          <w:p w14:paraId="483197E9" w14:textId="2AB6242F"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 kolumnie tej nie uwzględnia się pozycji krótkich, które powstają, gdy sprzedane papiery wartościowe zostały pożyczone</w:t>
            </w:r>
            <w:r w:rsidR="00E26EF6" w:rsidRPr="00E26EF6">
              <w:rPr>
                <w:rFonts w:ascii="Times New Roman" w:hAnsi="Times New Roman"/>
                <w:bCs/>
                <w:sz w:val="24"/>
              </w:rPr>
              <w:t xml:space="preserve"> w ram</w:t>
            </w:r>
            <w:r w:rsidRPr="00E26EF6">
              <w:rPr>
                <w:rFonts w:ascii="Times New Roman" w:hAnsi="Times New Roman"/>
                <w:bCs/>
                <w:sz w:val="24"/>
              </w:rPr>
              <w:t xml:space="preserve">ach transakcji udzielenia pożyczki papierów wartościowych. </w:t>
            </w:r>
          </w:p>
          <w:p w14:paraId="319DA15C" w14:textId="77777777" w:rsidR="00915077" w:rsidRPr="00E26EF6" w:rsidDel="00E97A51" w:rsidRDefault="00915077">
            <w:pPr>
              <w:spacing w:before="0" w:after="0"/>
              <w:ind w:left="33"/>
              <w:rPr>
                <w:rFonts w:ascii="Times New Roman" w:hAnsi="Times New Roman"/>
                <w:b/>
                <w:bCs/>
                <w:sz w:val="24"/>
                <w:highlight w:val="lightGray"/>
                <w:u w:val="single"/>
              </w:rPr>
            </w:pPr>
          </w:p>
        </w:tc>
      </w:tr>
      <w:tr w:rsidR="00915077" w:rsidRPr="00E26EF6" w:rsidDel="004A25FD" w14:paraId="7E9D7807" w14:textId="77777777" w:rsidTr="00672D2A">
        <w:tc>
          <w:tcPr>
            <w:tcW w:w="1188" w:type="dxa"/>
          </w:tcPr>
          <w:p w14:paraId="57B9A880" w14:textId="77777777" w:rsidR="00915077" w:rsidRPr="00E26EF6" w:rsidDel="004A25FD" w:rsidRDefault="00FD54FC">
            <w:pPr>
              <w:spacing w:before="0" w:after="0"/>
              <w:ind w:left="33"/>
              <w:rPr>
                <w:rFonts w:ascii="Times New Roman" w:hAnsi="Times New Roman"/>
                <w:bCs/>
                <w:sz w:val="24"/>
                <w:highlight w:val="lightGray"/>
              </w:rPr>
            </w:pPr>
            <w:r w:rsidRPr="00E26EF6">
              <w:rPr>
                <w:rFonts w:ascii="Times New Roman" w:hAnsi="Times New Roman"/>
                <w:bCs/>
                <w:sz w:val="24"/>
              </w:rPr>
              <w:t>150</w:t>
            </w:r>
          </w:p>
        </w:tc>
        <w:tc>
          <w:tcPr>
            <w:tcW w:w="8640" w:type="dxa"/>
          </w:tcPr>
          <w:p w14:paraId="08820E18"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Skumulowana utrata wartości</w:t>
            </w:r>
          </w:p>
          <w:p w14:paraId="00636F29" w14:textId="77777777" w:rsidR="00915077" w:rsidRPr="00E26EF6" w:rsidRDefault="00915077">
            <w:pPr>
              <w:spacing w:before="0" w:after="0"/>
              <w:ind w:left="33"/>
              <w:rPr>
                <w:rFonts w:ascii="Times New Roman" w:hAnsi="Times New Roman"/>
                <w:b/>
                <w:bCs/>
                <w:sz w:val="24"/>
                <w:u w:val="single"/>
              </w:rPr>
            </w:pPr>
          </w:p>
          <w:p w14:paraId="01AC3377" w14:textId="24B5F35A"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Zagregowana skumulowana utrata wartości związana</w:t>
            </w:r>
            <w:r w:rsidR="00E26EF6" w:rsidRPr="00E26EF6">
              <w:rPr>
                <w:rFonts w:ascii="Times New Roman" w:hAnsi="Times New Roman"/>
                <w:bCs/>
                <w:sz w:val="24"/>
              </w:rPr>
              <w:t xml:space="preserve"> z akt</w:t>
            </w:r>
            <w:r w:rsidRPr="00E26EF6">
              <w:rPr>
                <w:rFonts w:ascii="Times New Roman" w:hAnsi="Times New Roman"/>
                <w:bCs/>
                <w:sz w:val="24"/>
              </w:rPr>
              <w:t>ywami finansowymi niebędącymi instrumentami pochodnymi zgłoszonymi</w:t>
            </w:r>
            <w:r w:rsidR="00E26EF6" w:rsidRPr="00E26EF6">
              <w:rPr>
                <w:rFonts w:ascii="Times New Roman" w:hAnsi="Times New Roman"/>
                <w:bCs/>
                <w:sz w:val="24"/>
              </w:rPr>
              <w:t xml:space="preserve"> w kol</w:t>
            </w:r>
            <w:r w:rsidRPr="00E26EF6">
              <w:rPr>
                <w:rFonts w:ascii="Times New Roman" w:hAnsi="Times New Roman"/>
                <w:bCs/>
                <w:sz w:val="24"/>
              </w:rPr>
              <w:t>umnach 080 do</w:t>
            </w:r>
            <w:r w:rsidR="00023409" w:rsidRPr="00E26EF6">
              <w:rPr>
                <w:rFonts w:ascii="Times New Roman" w:hAnsi="Times New Roman"/>
                <w:bCs/>
                <w:sz w:val="24"/>
              </w:rPr>
              <w:t> </w:t>
            </w:r>
            <w:r w:rsidRPr="00E26EF6">
              <w:rPr>
                <w:rFonts w:ascii="Times New Roman" w:hAnsi="Times New Roman"/>
                <w:bCs/>
                <w:sz w:val="24"/>
              </w:rPr>
              <w:t>120 (część 2 pkt</w:t>
            </w:r>
            <w:r w:rsidR="00023409" w:rsidRPr="00E26EF6">
              <w:rPr>
                <w:rFonts w:ascii="Times New Roman" w:hAnsi="Times New Roman"/>
                <w:bCs/>
                <w:sz w:val="24"/>
              </w:rPr>
              <w:t> </w:t>
            </w:r>
            <w:r w:rsidRPr="00E26EF6">
              <w:rPr>
                <w:rFonts w:ascii="Times New Roman" w:hAnsi="Times New Roman"/>
                <w:bCs/>
                <w:sz w:val="24"/>
              </w:rPr>
              <w:t>70</w:t>
            </w:r>
            <w:r w:rsidR="00E26EF6" w:rsidRPr="00E26EF6">
              <w:rPr>
                <w:rFonts w:ascii="Times New Roman" w:hAnsi="Times New Roman"/>
                <w:bCs/>
                <w:sz w:val="24"/>
              </w:rPr>
              <w:t xml:space="preserve"> i 7</w:t>
            </w:r>
            <w:r w:rsidRPr="00E26EF6">
              <w:rPr>
                <w:rFonts w:ascii="Times New Roman" w:hAnsi="Times New Roman"/>
                <w:bCs/>
                <w:sz w:val="24"/>
              </w:rPr>
              <w:t>1 załącznika V do niniejszego rozporządzenia wykonawczego)</w:t>
            </w:r>
          </w:p>
          <w:p w14:paraId="463F1F38" w14:textId="77777777" w:rsidR="00915077" w:rsidRPr="00E26EF6" w:rsidDel="004A25FD" w:rsidRDefault="00915077">
            <w:pPr>
              <w:spacing w:before="0" w:after="0"/>
              <w:ind w:left="33"/>
              <w:rPr>
                <w:rFonts w:ascii="Times New Roman" w:hAnsi="Times New Roman"/>
                <w:bCs/>
                <w:sz w:val="24"/>
                <w:highlight w:val="lightGray"/>
              </w:rPr>
            </w:pPr>
          </w:p>
        </w:tc>
      </w:tr>
      <w:tr w:rsidR="00915077" w:rsidRPr="00E26EF6" w14:paraId="58743D2E" w14:textId="77777777" w:rsidTr="00672D2A">
        <w:tc>
          <w:tcPr>
            <w:tcW w:w="1188" w:type="dxa"/>
          </w:tcPr>
          <w:p w14:paraId="7A129681"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160</w:t>
            </w:r>
          </w:p>
        </w:tc>
        <w:tc>
          <w:tcPr>
            <w:tcW w:w="8640" w:type="dxa"/>
          </w:tcPr>
          <w:p w14:paraId="3624DDB5" w14:textId="0DA6B414"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Skumulowana utrata wartości –</w:t>
            </w:r>
            <w:r w:rsidR="00E26EF6" w:rsidRPr="00E26EF6">
              <w:rPr>
                <w:rFonts w:ascii="Times New Roman" w:hAnsi="Times New Roman"/>
                <w:b/>
                <w:bCs/>
                <w:sz w:val="24"/>
                <w:u w:val="single"/>
              </w:rPr>
              <w:t xml:space="preserve"> w tym</w:t>
            </w:r>
            <w:r w:rsidRPr="00E26EF6">
              <w:rPr>
                <w:rFonts w:ascii="Times New Roman" w:hAnsi="Times New Roman"/>
                <w:b/>
                <w:bCs/>
                <w:sz w:val="24"/>
                <w:u w:val="single"/>
              </w:rPr>
              <w:t>:</w:t>
            </w:r>
            <w:r w:rsidR="00E26EF6" w:rsidRPr="00E26EF6">
              <w:rPr>
                <w:rFonts w:ascii="Times New Roman" w:hAnsi="Times New Roman"/>
                <w:b/>
                <w:bCs/>
                <w:sz w:val="24"/>
                <w:u w:val="single"/>
              </w:rPr>
              <w:t xml:space="preserve"> z tyt</w:t>
            </w:r>
            <w:r w:rsidRPr="00E26EF6">
              <w:rPr>
                <w:rFonts w:ascii="Times New Roman" w:hAnsi="Times New Roman"/>
                <w:b/>
                <w:bCs/>
                <w:sz w:val="24"/>
                <w:u w:val="single"/>
              </w:rPr>
              <w:t>ułu aktywów finansowych wycenianych według wartości godziwej przez inne całkowite dochody lub aktywów finansowych niebędących instrumentami pochodnymi nieprzeznaczonych do obrotu wycenianych według wartości godziwej przez kapitały</w:t>
            </w:r>
          </w:p>
          <w:p w14:paraId="3F5A328F" w14:textId="77777777" w:rsidR="00915077" w:rsidRPr="00E26EF6" w:rsidRDefault="00915077">
            <w:pPr>
              <w:spacing w:before="0" w:after="0"/>
              <w:ind w:left="33"/>
              <w:rPr>
                <w:rFonts w:ascii="Times New Roman" w:hAnsi="Times New Roman"/>
                <w:b/>
                <w:bCs/>
                <w:sz w:val="24"/>
                <w:u w:val="single"/>
              </w:rPr>
            </w:pPr>
          </w:p>
          <w:p w14:paraId="02526E92" w14:textId="490C1609"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Zagregowana skumulowana utrata wartości związana</w:t>
            </w:r>
            <w:r w:rsidR="00E26EF6" w:rsidRPr="00E26EF6">
              <w:rPr>
                <w:rFonts w:ascii="Times New Roman" w:hAnsi="Times New Roman"/>
                <w:bCs/>
                <w:sz w:val="24"/>
              </w:rPr>
              <w:t xml:space="preserve"> z akt</w:t>
            </w:r>
            <w:r w:rsidRPr="00E26EF6">
              <w:rPr>
                <w:rFonts w:ascii="Times New Roman" w:hAnsi="Times New Roman"/>
                <w:bCs/>
                <w:sz w:val="24"/>
              </w:rPr>
              <w:t>ywami finansowymi niebędącymi instrumentami pochodnymi zgłoszonymi</w:t>
            </w:r>
            <w:r w:rsidR="00E26EF6" w:rsidRPr="00E26EF6">
              <w:rPr>
                <w:rFonts w:ascii="Times New Roman" w:hAnsi="Times New Roman"/>
                <w:bCs/>
                <w:sz w:val="24"/>
              </w:rPr>
              <w:t xml:space="preserve"> w kol</w:t>
            </w:r>
            <w:r w:rsidRPr="00E26EF6">
              <w:rPr>
                <w:rFonts w:ascii="Times New Roman" w:hAnsi="Times New Roman"/>
                <w:bCs/>
                <w:sz w:val="24"/>
              </w:rPr>
              <w:t>umnach 080</w:t>
            </w:r>
            <w:r w:rsidR="00E26EF6" w:rsidRPr="00E26EF6">
              <w:rPr>
                <w:rFonts w:ascii="Times New Roman" w:hAnsi="Times New Roman"/>
                <w:bCs/>
                <w:sz w:val="24"/>
              </w:rPr>
              <w:t xml:space="preserve"> i 0</w:t>
            </w:r>
            <w:r w:rsidRPr="00E26EF6">
              <w:rPr>
                <w:rFonts w:ascii="Times New Roman" w:hAnsi="Times New Roman"/>
                <w:bCs/>
                <w:sz w:val="24"/>
              </w:rPr>
              <w:t xml:space="preserve">90. </w:t>
            </w:r>
          </w:p>
          <w:p w14:paraId="2F68899E"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rsidDel="004A25FD" w14:paraId="3774B7A3" w14:textId="77777777" w:rsidTr="00672D2A">
        <w:tc>
          <w:tcPr>
            <w:tcW w:w="1188" w:type="dxa"/>
          </w:tcPr>
          <w:p w14:paraId="7E5BE2D3" w14:textId="77777777" w:rsidR="00915077" w:rsidRPr="00E26EF6" w:rsidDel="004A25FD" w:rsidRDefault="00FD54FC">
            <w:pPr>
              <w:spacing w:before="0" w:after="0"/>
              <w:ind w:left="33"/>
              <w:rPr>
                <w:rFonts w:ascii="Times New Roman" w:hAnsi="Times New Roman"/>
                <w:bCs/>
                <w:sz w:val="24"/>
                <w:highlight w:val="lightGray"/>
              </w:rPr>
            </w:pPr>
            <w:r w:rsidRPr="00E26EF6">
              <w:rPr>
                <w:rFonts w:ascii="Times New Roman" w:hAnsi="Times New Roman"/>
                <w:bCs/>
                <w:sz w:val="24"/>
              </w:rPr>
              <w:lastRenderedPageBreak/>
              <w:t>170</w:t>
            </w:r>
          </w:p>
        </w:tc>
        <w:tc>
          <w:tcPr>
            <w:tcW w:w="8640" w:type="dxa"/>
          </w:tcPr>
          <w:p w14:paraId="2619C60B" w14:textId="4BD41E45"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Skumulowane ujemne zmiany wartości godziwej</w:t>
            </w:r>
            <w:r w:rsidR="00E26EF6" w:rsidRPr="00E26EF6">
              <w:rPr>
                <w:rFonts w:ascii="Times New Roman" w:hAnsi="Times New Roman"/>
                <w:b/>
                <w:bCs/>
                <w:sz w:val="24"/>
                <w:u w:val="single"/>
              </w:rPr>
              <w:t xml:space="preserve"> z pow</w:t>
            </w:r>
            <w:r w:rsidRPr="00E26EF6">
              <w:rPr>
                <w:rFonts w:ascii="Times New Roman" w:hAnsi="Times New Roman"/>
                <w:b/>
                <w:bCs/>
                <w:sz w:val="24"/>
                <w:u w:val="single"/>
              </w:rPr>
              <w:t xml:space="preserve">odu ryzyka kredytowego </w:t>
            </w:r>
          </w:p>
          <w:p w14:paraId="45CF648B" w14:textId="77777777" w:rsidR="00915077" w:rsidRPr="00E26EF6" w:rsidRDefault="00915077">
            <w:pPr>
              <w:spacing w:before="0" w:after="0"/>
              <w:ind w:left="33"/>
              <w:rPr>
                <w:rFonts w:ascii="Times New Roman" w:hAnsi="Times New Roman"/>
                <w:b/>
                <w:bCs/>
                <w:sz w:val="24"/>
                <w:u w:val="single"/>
              </w:rPr>
            </w:pPr>
          </w:p>
          <w:p w14:paraId="40510C73" w14:textId="3D9FADEC"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Suma skumulowanych ujemnych zmian wartości godziwej</w:t>
            </w:r>
            <w:r w:rsidR="00E26EF6" w:rsidRPr="00E26EF6">
              <w:rPr>
                <w:rFonts w:ascii="Times New Roman" w:hAnsi="Times New Roman"/>
                <w:bCs/>
                <w:sz w:val="24"/>
              </w:rPr>
              <w:t xml:space="preserve"> z pow</w:t>
            </w:r>
            <w:r w:rsidRPr="00E26EF6">
              <w:rPr>
                <w:rFonts w:ascii="Times New Roman" w:hAnsi="Times New Roman"/>
                <w:bCs/>
                <w:sz w:val="24"/>
              </w:rPr>
              <w:t>odu ryzyka kredytowego związanych</w:t>
            </w:r>
            <w:r w:rsidR="00E26EF6" w:rsidRPr="00E26EF6">
              <w:rPr>
                <w:rFonts w:ascii="Times New Roman" w:hAnsi="Times New Roman"/>
                <w:bCs/>
                <w:sz w:val="24"/>
              </w:rPr>
              <w:t xml:space="preserve"> z poz</w:t>
            </w:r>
            <w:r w:rsidRPr="00E26EF6">
              <w:rPr>
                <w:rFonts w:ascii="Times New Roman" w:hAnsi="Times New Roman"/>
                <w:bCs/>
                <w:sz w:val="24"/>
              </w:rPr>
              <w:t>ycjami zgłoszonymi</w:t>
            </w:r>
            <w:r w:rsidR="00E26EF6" w:rsidRPr="00E26EF6">
              <w:rPr>
                <w:rFonts w:ascii="Times New Roman" w:hAnsi="Times New Roman"/>
                <w:bCs/>
                <w:sz w:val="24"/>
              </w:rPr>
              <w:t xml:space="preserve"> w kol</w:t>
            </w:r>
            <w:r w:rsidRPr="00E26EF6">
              <w:rPr>
                <w:rFonts w:ascii="Times New Roman" w:hAnsi="Times New Roman"/>
                <w:bCs/>
                <w:sz w:val="24"/>
              </w:rPr>
              <w:t>umnach 050, 060, 070, 080</w:t>
            </w:r>
            <w:r w:rsidR="00E26EF6" w:rsidRPr="00E26EF6">
              <w:rPr>
                <w:rFonts w:ascii="Times New Roman" w:hAnsi="Times New Roman"/>
                <w:bCs/>
                <w:sz w:val="24"/>
              </w:rPr>
              <w:t xml:space="preserve"> i 0</w:t>
            </w:r>
            <w:r w:rsidRPr="00E26EF6">
              <w:rPr>
                <w:rFonts w:ascii="Times New Roman" w:hAnsi="Times New Roman"/>
                <w:bCs/>
                <w:sz w:val="24"/>
              </w:rPr>
              <w:t>90 (część 2 pkt</w:t>
            </w:r>
            <w:r w:rsidR="00023409" w:rsidRPr="00E26EF6">
              <w:rPr>
                <w:rFonts w:ascii="Times New Roman" w:hAnsi="Times New Roman"/>
                <w:bCs/>
                <w:sz w:val="24"/>
              </w:rPr>
              <w:t> </w:t>
            </w:r>
            <w:r w:rsidRPr="00E26EF6">
              <w:rPr>
                <w:rFonts w:ascii="Times New Roman" w:hAnsi="Times New Roman"/>
                <w:bCs/>
                <w:sz w:val="24"/>
              </w:rPr>
              <w:t>69 załącznika V do niniejszego rozporządzenia wykonawczego).</w:t>
            </w:r>
          </w:p>
          <w:p w14:paraId="00577D76" w14:textId="77777777" w:rsidR="00915077" w:rsidRPr="00E26EF6" w:rsidDel="004A25FD" w:rsidRDefault="00915077">
            <w:pPr>
              <w:spacing w:before="0" w:after="0"/>
              <w:ind w:left="33"/>
              <w:rPr>
                <w:rFonts w:ascii="Times New Roman" w:hAnsi="Times New Roman"/>
                <w:bCs/>
                <w:sz w:val="24"/>
                <w:highlight w:val="lightGray"/>
              </w:rPr>
            </w:pPr>
          </w:p>
        </w:tc>
      </w:tr>
      <w:tr w:rsidR="00915077" w:rsidRPr="00E26EF6" w14:paraId="467A9911" w14:textId="77777777" w:rsidTr="00672D2A">
        <w:tc>
          <w:tcPr>
            <w:tcW w:w="1188" w:type="dxa"/>
          </w:tcPr>
          <w:p w14:paraId="13B5C2A8"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180</w:t>
            </w:r>
          </w:p>
        </w:tc>
        <w:tc>
          <w:tcPr>
            <w:tcW w:w="8640" w:type="dxa"/>
          </w:tcPr>
          <w:p w14:paraId="3EF9721C" w14:textId="6E0779BA"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Skumulowane ujemne zmiany wartości godziwej</w:t>
            </w:r>
            <w:r w:rsidR="00E26EF6" w:rsidRPr="00E26EF6">
              <w:rPr>
                <w:rFonts w:ascii="Times New Roman" w:hAnsi="Times New Roman"/>
                <w:b/>
                <w:bCs/>
                <w:sz w:val="24"/>
                <w:u w:val="single"/>
              </w:rPr>
              <w:t xml:space="preserve"> z pow</w:t>
            </w:r>
            <w:r w:rsidRPr="00E26EF6">
              <w:rPr>
                <w:rFonts w:ascii="Times New Roman" w:hAnsi="Times New Roman"/>
                <w:b/>
                <w:bCs/>
                <w:sz w:val="24"/>
                <w:u w:val="single"/>
              </w:rPr>
              <w:t>odu ryzyka kredytowego –</w:t>
            </w:r>
            <w:r w:rsidR="00E26EF6" w:rsidRPr="00E26EF6">
              <w:rPr>
                <w:rFonts w:ascii="Times New Roman" w:hAnsi="Times New Roman"/>
                <w:b/>
                <w:bCs/>
                <w:sz w:val="24"/>
                <w:u w:val="single"/>
              </w:rPr>
              <w:t xml:space="preserve"> w tym</w:t>
            </w:r>
            <w:r w:rsidRPr="00E26EF6">
              <w:rPr>
                <w:rFonts w:ascii="Times New Roman" w:hAnsi="Times New Roman"/>
                <w:b/>
                <w:bCs/>
                <w:sz w:val="24"/>
                <w:u w:val="single"/>
              </w:rPr>
              <w:t>:</w:t>
            </w:r>
            <w:r w:rsidR="00E26EF6" w:rsidRPr="00E26EF6">
              <w:rPr>
                <w:rFonts w:ascii="Times New Roman" w:hAnsi="Times New Roman"/>
                <w:b/>
                <w:bCs/>
                <w:sz w:val="24"/>
                <w:u w:val="single"/>
              </w:rPr>
              <w:t xml:space="preserve"> z tyt</w:t>
            </w:r>
            <w:r w:rsidRPr="00E26EF6">
              <w:rPr>
                <w:rFonts w:ascii="Times New Roman" w:hAnsi="Times New Roman"/>
                <w:b/>
                <w:bCs/>
                <w:sz w:val="24"/>
                <w:u w:val="single"/>
              </w:rPr>
              <w:t>ułu aktywów finansowych nieprzeznaczonych do obrotu wycenianych obowiązkowo według wartości godziwej przez wynik finansowy, aktywów finansowych wyznaczonych jako wyceniane według wartości godziwej przez wynik finansowy lub aktywów finansowych nieprzeznaczonych do obrotu wycenianych według wartości godziwej przez wynik finansowy</w:t>
            </w:r>
          </w:p>
          <w:p w14:paraId="029B762A" w14:textId="77777777" w:rsidR="00915077" w:rsidRPr="00E26EF6" w:rsidRDefault="00915077">
            <w:pPr>
              <w:spacing w:before="0" w:after="0"/>
              <w:ind w:left="33"/>
              <w:rPr>
                <w:rFonts w:ascii="Times New Roman" w:hAnsi="Times New Roman"/>
                <w:bCs/>
                <w:sz w:val="24"/>
              </w:rPr>
            </w:pPr>
          </w:p>
          <w:p w14:paraId="2110E281" w14:textId="41AD1FF1"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Suma skumulowanych ujemnych zmian wartości godziwej</w:t>
            </w:r>
            <w:r w:rsidR="00E26EF6" w:rsidRPr="00E26EF6">
              <w:rPr>
                <w:rFonts w:ascii="Times New Roman" w:hAnsi="Times New Roman"/>
                <w:bCs/>
                <w:sz w:val="24"/>
              </w:rPr>
              <w:t xml:space="preserve"> z pow</w:t>
            </w:r>
            <w:r w:rsidRPr="00E26EF6">
              <w:rPr>
                <w:rFonts w:ascii="Times New Roman" w:hAnsi="Times New Roman"/>
                <w:bCs/>
                <w:sz w:val="24"/>
              </w:rPr>
              <w:t>odu ryzyka kredytowego związanych</w:t>
            </w:r>
            <w:r w:rsidR="00E26EF6" w:rsidRPr="00E26EF6">
              <w:rPr>
                <w:rFonts w:ascii="Times New Roman" w:hAnsi="Times New Roman"/>
                <w:bCs/>
                <w:sz w:val="24"/>
              </w:rPr>
              <w:t xml:space="preserve"> z poz</w:t>
            </w:r>
            <w:r w:rsidRPr="00E26EF6">
              <w:rPr>
                <w:rFonts w:ascii="Times New Roman" w:hAnsi="Times New Roman"/>
                <w:bCs/>
                <w:sz w:val="24"/>
              </w:rPr>
              <w:t>ycjami zgłoszonymi</w:t>
            </w:r>
            <w:r w:rsidR="00E26EF6" w:rsidRPr="00E26EF6">
              <w:rPr>
                <w:rFonts w:ascii="Times New Roman" w:hAnsi="Times New Roman"/>
                <w:bCs/>
                <w:sz w:val="24"/>
              </w:rPr>
              <w:t xml:space="preserve"> w kol</w:t>
            </w:r>
            <w:r w:rsidRPr="00E26EF6">
              <w:rPr>
                <w:rFonts w:ascii="Times New Roman" w:hAnsi="Times New Roman"/>
                <w:bCs/>
                <w:sz w:val="24"/>
              </w:rPr>
              <w:t>umnach 050, 060</w:t>
            </w:r>
            <w:r w:rsidR="00E26EF6" w:rsidRPr="00E26EF6">
              <w:rPr>
                <w:rFonts w:ascii="Times New Roman" w:hAnsi="Times New Roman"/>
                <w:bCs/>
                <w:sz w:val="24"/>
              </w:rPr>
              <w:t xml:space="preserve"> i 0</w:t>
            </w:r>
            <w:r w:rsidRPr="00E26EF6">
              <w:rPr>
                <w:rFonts w:ascii="Times New Roman" w:hAnsi="Times New Roman"/>
                <w:bCs/>
                <w:sz w:val="24"/>
              </w:rPr>
              <w:t>70.</w:t>
            </w:r>
          </w:p>
          <w:p w14:paraId="1FCE4004"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
                <w:bCs/>
                <w:sz w:val="24"/>
                <w:u w:val="single"/>
              </w:rPr>
              <w:t xml:space="preserve"> </w:t>
            </w:r>
          </w:p>
        </w:tc>
      </w:tr>
      <w:tr w:rsidR="00915077" w:rsidRPr="00E26EF6" w14:paraId="6313C482" w14:textId="77777777" w:rsidTr="00672D2A">
        <w:tc>
          <w:tcPr>
            <w:tcW w:w="1188" w:type="dxa"/>
          </w:tcPr>
          <w:p w14:paraId="684F032E"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190</w:t>
            </w:r>
          </w:p>
        </w:tc>
        <w:tc>
          <w:tcPr>
            <w:tcW w:w="8640" w:type="dxa"/>
          </w:tcPr>
          <w:p w14:paraId="3A39EC07" w14:textId="4BFDA4D5"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Skumulowane ujemne zmiany wartości godziwej</w:t>
            </w:r>
            <w:r w:rsidR="00E26EF6" w:rsidRPr="00E26EF6">
              <w:rPr>
                <w:rFonts w:ascii="Times New Roman" w:hAnsi="Times New Roman"/>
                <w:b/>
                <w:bCs/>
                <w:sz w:val="24"/>
                <w:u w:val="single"/>
              </w:rPr>
              <w:t xml:space="preserve"> z pow</w:t>
            </w:r>
            <w:r w:rsidRPr="00E26EF6">
              <w:rPr>
                <w:rFonts w:ascii="Times New Roman" w:hAnsi="Times New Roman"/>
                <w:b/>
                <w:bCs/>
                <w:sz w:val="24"/>
                <w:u w:val="single"/>
              </w:rPr>
              <w:t>odu ryzyka kredytowego –</w:t>
            </w:r>
            <w:r w:rsidR="00E26EF6" w:rsidRPr="00E26EF6">
              <w:rPr>
                <w:rFonts w:ascii="Times New Roman" w:hAnsi="Times New Roman"/>
                <w:b/>
                <w:bCs/>
                <w:sz w:val="24"/>
                <w:u w:val="single"/>
              </w:rPr>
              <w:t xml:space="preserve"> w tym</w:t>
            </w:r>
            <w:r w:rsidRPr="00E26EF6">
              <w:rPr>
                <w:rFonts w:ascii="Times New Roman" w:hAnsi="Times New Roman"/>
                <w:b/>
                <w:bCs/>
                <w:sz w:val="24"/>
                <w:u w:val="single"/>
              </w:rPr>
              <w:t>:</w:t>
            </w:r>
            <w:r w:rsidR="00E26EF6" w:rsidRPr="00E26EF6">
              <w:rPr>
                <w:rFonts w:ascii="Times New Roman" w:hAnsi="Times New Roman"/>
                <w:b/>
                <w:bCs/>
                <w:sz w:val="24"/>
                <w:u w:val="single"/>
              </w:rPr>
              <w:t xml:space="preserve"> z tyt</w:t>
            </w:r>
            <w:r w:rsidRPr="00E26EF6">
              <w:rPr>
                <w:rFonts w:ascii="Times New Roman" w:hAnsi="Times New Roman"/>
                <w:b/>
                <w:bCs/>
                <w:sz w:val="24"/>
                <w:u w:val="single"/>
              </w:rPr>
              <w:t>ułu aktywów finansowych wycenianych według wartości godziwej przez inne całkowite dochody lub aktywów finansowych niebędących instrumentami pochodnymi nieprzeznaczonych do obrotu wycenianych według wartości godziwej przez kapitały</w:t>
            </w:r>
          </w:p>
          <w:p w14:paraId="5B20AD18" w14:textId="77777777" w:rsidR="00915077" w:rsidRPr="00E26EF6" w:rsidRDefault="00915077">
            <w:pPr>
              <w:spacing w:before="0" w:after="0"/>
              <w:ind w:left="33"/>
              <w:rPr>
                <w:rFonts w:ascii="Times New Roman" w:hAnsi="Times New Roman"/>
                <w:bCs/>
                <w:sz w:val="24"/>
              </w:rPr>
            </w:pPr>
          </w:p>
          <w:p w14:paraId="0F9D68C8" w14:textId="43C2B054"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Suma skumulowanych ujemnych zmian wartości godziwej</w:t>
            </w:r>
            <w:r w:rsidR="00E26EF6" w:rsidRPr="00E26EF6">
              <w:rPr>
                <w:rFonts w:ascii="Times New Roman" w:hAnsi="Times New Roman"/>
                <w:bCs/>
                <w:sz w:val="24"/>
              </w:rPr>
              <w:t xml:space="preserve"> z pow</w:t>
            </w:r>
            <w:r w:rsidRPr="00E26EF6">
              <w:rPr>
                <w:rFonts w:ascii="Times New Roman" w:hAnsi="Times New Roman"/>
                <w:bCs/>
                <w:sz w:val="24"/>
              </w:rPr>
              <w:t>odu ryzyka kredytowego związanych</w:t>
            </w:r>
            <w:r w:rsidR="00E26EF6" w:rsidRPr="00E26EF6">
              <w:rPr>
                <w:rFonts w:ascii="Times New Roman" w:hAnsi="Times New Roman"/>
                <w:bCs/>
                <w:sz w:val="24"/>
              </w:rPr>
              <w:t xml:space="preserve"> z poz</w:t>
            </w:r>
            <w:r w:rsidRPr="00E26EF6">
              <w:rPr>
                <w:rFonts w:ascii="Times New Roman" w:hAnsi="Times New Roman"/>
                <w:bCs/>
                <w:sz w:val="24"/>
              </w:rPr>
              <w:t>ycjami zgłoszonymi</w:t>
            </w:r>
            <w:r w:rsidR="00E26EF6" w:rsidRPr="00E26EF6">
              <w:rPr>
                <w:rFonts w:ascii="Times New Roman" w:hAnsi="Times New Roman"/>
                <w:bCs/>
                <w:sz w:val="24"/>
              </w:rPr>
              <w:t xml:space="preserve"> w kol</w:t>
            </w:r>
            <w:r w:rsidRPr="00E26EF6">
              <w:rPr>
                <w:rFonts w:ascii="Times New Roman" w:hAnsi="Times New Roman"/>
                <w:bCs/>
                <w:sz w:val="24"/>
              </w:rPr>
              <w:t>umnach 080</w:t>
            </w:r>
            <w:r w:rsidR="00E26EF6" w:rsidRPr="00E26EF6">
              <w:rPr>
                <w:rFonts w:ascii="Times New Roman" w:hAnsi="Times New Roman"/>
                <w:bCs/>
                <w:sz w:val="24"/>
              </w:rPr>
              <w:t xml:space="preserve"> i 0</w:t>
            </w:r>
            <w:r w:rsidRPr="00E26EF6">
              <w:rPr>
                <w:rFonts w:ascii="Times New Roman" w:hAnsi="Times New Roman"/>
                <w:bCs/>
                <w:sz w:val="24"/>
              </w:rPr>
              <w:t>90.</w:t>
            </w:r>
          </w:p>
          <w:p w14:paraId="24C98C30"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61019DE2" w14:textId="77777777" w:rsidTr="00672D2A">
        <w:tc>
          <w:tcPr>
            <w:tcW w:w="1188" w:type="dxa"/>
          </w:tcPr>
          <w:p w14:paraId="08669C7A"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200-230</w:t>
            </w:r>
          </w:p>
        </w:tc>
        <w:tc>
          <w:tcPr>
            <w:tcW w:w="8640" w:type="dxa"/>
          </w:tcPr>
          <w:p w14:paraId="638DA15A"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INSTRUMENTY POCHODNE</w:t>
            </w:r>
          </w:p>
          <w:p w14:paraId="4B73D9E7" w14:textId="77777777" w:rsidR="00915077" w:rsidRPr="00E26EF6" w:rsidRDefault="00915077">
            <w:pPr>
              <w:spacing w:before="0" w:after="0"/>
              <w:ind w:left="33"/>
              <w:rPr>
                <w:rFonts w:ascii="Times New Roman" w:hAnsi="Times New Roman"/>
                <w:b/>
                <w:bCs/>
                <w:sz w:val="24"/>
                <w:u w:val="single"/>
              </w:rPr>
            </w:pPr>
          </w:p>
          <w:p w14:paraId="367B5573" w14:textId="06C9C308"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Bezpośrednie pozycje</w:t>
            </w:r>
            <w:r w:rsidR="00E26EF6" w:rsidRPr="00E26EF6">
              <w:rPr>
                <w:rFonts w:ascii="Times New Roman" w:hAnsi="Times New Roman"/>
                <w:bCs/>
                <w:sz w:val="24"/>
              </w:rPr>
              <w:t xml:space="preserve"> w ins</w:t>
            </w:r>
            <w:r w:rsidRPr="00E26EF6">
              <w:rPr>
                <w:rFonts w:ascii="Times New Roman" w:hAnsi="Times New Roman"/>
                <w:bCs/>
                <w:sz w:val="24"/>
              </w:rPr>
              <w:t>trumentach pochodnych zgłasza się</w:t>
            </w:r>
            <w:r w:rsidR="00E26EF6" w:rsidRPr="00E26EF6">
              <w:rPr>
                <w:rFonts w:ascii="Times New Roman" w:hAnsi="Times New Roman"/>
                <w:bCs/>
                <w:sz w:val="24"/>
              </w:rPr>
              <w:t xml:space="preserve"> w kol</w:t>
            </w:r>
            <w:r w:rsidRPr="00E26EF6">
              <w:rPr>
                <w:rFonts w:ascii="Times New Roman" w:hAnsi="Times New Roman"/>
                <w:bCs/>
                <w:sz w:val="24"/>
              </w:rPr>
              <w:t>umnach 200 do</w:t>
            </w:r>
            <w:r w:rsidR="00023409" w:rsidRPr="00E26EF6">
              <w:rPr>
                <w:rFonts w:ascii="Times New Roman" w:hAnsi="Times New Roman"/>
                <w:bCs/>
                <w:sz w:val="24"/>
              </w:rPr>
              <w:t> </w:t>
            </w:r>
            <w:r w:rsidRPr="00E26EF6">
              <w:rPr>
                <w:rFonts w:ascii="Times New Roman" w:hAnsi="Times New Roman"/>
                <w:bCs/>
                <w:sz w:val="24"/>
              </w:rPr>
              <w:t>230.</w:t>
            </w:r>
          </w:p>
          <w:p w14:paraId="3489F126" w14:textId="77777777" w:rsidR="00915077" w:rsidRPr="00E26EF6" w:rsidRDefault="00915077">
            <w:pPr>
              <w:spacing w:before="0" w:after="0"/>
              <w:ind w:left="33"/>
              <w:rPr>
                <w:rFonts w:ascii="Times New Roman" w:hAnsi="Times New Roman"/>
                <w:b/>
                <w:bCs/>
                <w:sz w:val="24"/>
                <w:u w:val="single"/>
              </w:rPr>
            </w:pPr>
          </w:p>
          <w:p w14:paraId="2AF50683" w14:textId="6BD82C1A"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 odniesieniu do zgłaszania instrumentów pochodnych podlegających zarówno ryzyku kredytowemu kontrahenta, jak</w:t>
            </w:r>
            <w:r w:rsidR="00E26EF6" w:rsidRPr="00E26EF6">
              <w:rPr>
                <w:rFonts w:ascii="Times New Roman" w:hAnsi="Times New Roman"/>
                <w:bCs/>
                <w:sz w:val="24"/>
              </w:rPr>
              <w:t xml:space="preserve"> i nar</w:t>
            </w:r>
            <w:r w:rsidRPr="00E26EF6">
              <w:rPr>
                <w:rFonts w:ascii="Times New Roman" w:hAnsi="Times New Roman"/>
                <w:bCs/>
                <w:sz w:val="24"/>
              </w:rPr>
              <w:t>zutom kapitałowym</w:t>
            </w:r>
            <w:r w:rsidR="00E26EF6" w:rsidRPr="00E26EF6">
              <w:rPr>
                <w:rFonts w:ascii="Times New Roman" w:hAnsi="Times New Roman"/>
                <w:bCs/>
                <w:sz w:val="24"/>
              </w:rPr>
              <w:t xml:space="preserve"> z tyt</w:t>
            </w:r>
            <w:r w:rsidRPr="00E26EF6">
              <w:rPr>
                <w:rFonts w:ascii="Times New Roman" w:hAnsi="Times New Roman"/>
                <w:bCs/>
                <w:sz w:val="24"/>
              </w:rPr>
              <w:t>ułu ryzyka rynkowego – zob. instrukcje dotyczące podziału wierszy.</w:t>
            </w:r>
          </w:p>
          <w:p w14:paraId="1507A2EA"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0489B5D0" w14:textId="77777777" w:rsidTr="00672D2A">
        <w:tc>
          <w:tcPr>
            <w:tcW w:w="1188" w:type="dxa"/>
          </w:tcPr>
          <w:p w14:paraId="1612CDC2"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200-210</w:t>
            </w:r>
          </w:p>
        </w:tc>
        <w:tc>
          <w:tcPr>
            <w:tcW w:w="8640" w:type="dxa"/>
          </w:tcPr>
          <w:p w14:paraId="6A6C391B" w14:textId="54B218BB"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Instrumenty pochodne</w:t>
            </w:r>
            <w:r w:rsidR="00E26EF6" w:rsidRPr="00E26EF6">
              <w:rPr>
                <w:rFonts w:ascii="Times New Roman" w:hAnsi="Times New Roman"/>
                <w:b/>
                <w:bCs/>
                <w:sz w:val="24"/>
                <w:u w:val="single"/>
              </w:rPr>
              <w:t xml:space="preserve"> o dod</w:t>
            </w:r>
            <w:r w:rsidRPr="00E26EF6">
              <w:rPr>
                <w:rFonts w:ascii="Times New Roman" w:hAnsi="Times New Roman"/>
                <w:b/>
                <w:bCs/>
                <w:sz w:val="24"/>
                <w:u w:val="single"/>
              </w:rPr>
              <w:t>atniej wartości godziwej</w:t>
            </w:r>
          </w:p>
          <w:p w14:paraId="54D7B266" w14:textId="77777777" w:rsidR="00915077" w:rsidRPr="00E26EF6" w:rsidRDefault="00915077">
            <w:pPr>
              <w:spacing w:before="0" w:after="0"/>
              <w:ind w:left="33"/>
              <w:rPr>
                <w:rFonts w:ascii="Times New Roman" w:hAnsi="Times New Roman"/>
                <w:bCs/>
                <w:sz w:val="24"/>
              </w:rPr>
            </w:pPr>
          </w:p>
          <w:p w14:paraId="71E3DAFA" w14:textId="612A514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Wszystkie instrumenty pochodne</w:t>
            </w:r>
            <w:r w:rsidR="00E26EF6" w:rsidRPr="00E26EF6">
              <w:rPr>
                <w:rFonts w:ascii="Times New Roman" w:hAnsi="Times New Roman"/>
                <w:bCs/>
                <w:sz w:val="24"/>
              </w:rPr>
              <w:t xml:space="preserve"> z kon</w:t>
            </w:r>
            <w:r w:rsidRPr="00E26EF6">
              <w:rPr>
                <w:rFonts w:ascii="Times New Roman" w:hAnsi="Times New Roman"/>
                <w:bCs/>
                <w:sz w:val="24"/>
              </w:rPr>
              <w:t>trahentem należącym do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w:t>
            </w:r>
            <w:r w:rsidR="00E26EF6" w:rsidRPr="00E26EF6">
              <w:rPr>
                <w:rFonts w:ascii="Times New Roman" w:hAnsi="Times New Roman"/>
                <w:bCs/>
                <w:sz w:val="24"/>
              </w:rPr>
              <w:t xml:space="preserve"> o dod</w:t>
            </w:r>
            <w:r w:rsidRPr="00E26EF6">
              <w:rPr>
                <w:rFonts w:ascii="Times New Roman" w:hAnsi="Times New Roman"/>
                <w:bCs/>
                <w:sz w:val="24"/>
              </w:rPr>
              <w:t>atniej wartości godziwej dla instytucji</w:t>
            </w:r>
            <w:r w:rsidR="00E26EF6" w:rsidRPr="00E26EF6">
              <w:rPr>
                <w:rFonts w:ascii="Times New Roman" w:hAnsi="Times New Roman"/>
                <w:bCs/>
                <w:sz w:val="24"/>
              </w:rPr>
              <w:t xml:space="preserve"> w dni</w:t>
            </w:r>
            <w:r w:rsidRPr="00E26EF6">
              <w:rPr>
                <w:rFonts w:ascii="Times New Roman" w:hAnsi="Times New Roman"/>
                <w:bCs/>
                <w:sz w:val="24"/>
              </w:rPr>
              <w:t>u sprawozdawczym, niezależnie od tego, czy instrumenty te są wykorzystywane</w:t>
            </w:r>
            <w:r w:rsidR="00E26EF6" w:rsidRPr="00E26EF6">
              <w:rPr>
                <w:rFonts w:ascii="Times New Roman" w:hAnsi="Times New Roman"/>
                <w:bCs/>
                <w:sz w:val="24"/>
              </w:rPr>
              <w:t xml:space="preserve"> w ram</w:t>
            </w:r>
            <w:r w:rsidRPr="00E26EF6">
              <w:rPr>
                <w:rFonts w:ascii="Times New Roman" w:hAnsi="Times New Roman"/>
                <w:bCs/>
                <w:sz w:val="24"/>
              </w:rPr>
              <w:t>ach kwalifikującego się powiązania zabezpieczającego, są przeznaczone do obrotu lub są ujęte</w:t>
            </w:r>
            <w:r w:rsidR="00E26EF6" w:rsidRPr="00E26EF6">
              <w:rPr>
                <w:rFonts w:ascii="Times New Roman" w:hAnsi="Times New Roman"/>
                <w:bCs/>
                <w:sz w:val="24"/>
              </w:rPr>
              <w:t xml:space="preserve"> w por</w:t>
            </w:r>
            <w:r w:rsidRPr="00E26EF6">
              <w:rPr>
                <w:rFonts w:ascii="Times New Roman" w:hAnsi="Times New Roman"/>
                <w:bCs/>
                <w:sz w:val="24"/>
              </w:rPr>
              <w:t xml:space="preserve">tfelu handlowym zgodnie z MSSF lub krajowymi ogólnie przyjętymi zasadami rachunkowości opartymi na BAD. </w:t>
            </w:r>
          </w:p>
          <w:p w14:paraId="4D54A68D" w14:textId="77777777" w:rsidR="00915077" w:rsidRPr="00E26EF6" w:rsidRDefault="00915077">
            <w:pPr>
              <w:spacing w:before="0" w:after="0"/>
              <w:ind w:left="33"/>
              <w:rPr>
                <w:rFonts w:ascii="Times New Roman" w:hAnsi="Times New Roman"/>
                <w:bCs/>
                <w:sz w:val="24"/>
              </w:rPr>
            </w:pPr>
          </w:p>
          <w:p w14:paraId="43864145" w14:textId="61419E39"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Instrumenty pochodne wykorzystywane</w:t>
            </w:r>
            <w:r w:rsidR="00E26EF6" w:rsidRPr="00E26EF6">
              <w:rPr>
                <w:rFonts w:ascii="Times New Roman" w:hAnsi="Times New Roman"/>
                <w:bCs/>
                <w:sz w:val="24"/>
              </w:rPr>
              <w:t xml:space="preserve"> w ram</w:t>
            </w:r>
            <w:r w:rsidRPr="00E26EF6">
              <w:rPr>
                <w:rFonts w:ascii="Times New Roman" w:hAnsi="Times New Roman"/>
                <w:bCs/>
                <w:sz w:val="24"/>
              </w:rPr>
              <w:t>ach zabezpieczenia ekonomicznego zgłasza się</w:t>
            </w:r>
            <w:r w:rsidR="00E26EF6" w:rsidRPr="00E26EF6">
              <w:rPr>
                <w:rFonts w:ascii="Times New Roman" w:hAnsi="Times New Roman"/>
                <w:bCs/>
                <w:sz w:val="24"/>
              </w:rPr>
              <w:t xml:space="preserve"> w tej</w:t>
            </w:r>
            <w:r w:rsidRPr="00E26EF6">
              <w:rPr>
                <w:rFonts w:ascii="Times New Roman" w:hAnsi="Times New Roman"/>
                <w:bCs/>
                <w:sz w:val="24"/>
              </w:rPr>
              <w:t xml:space="preserve"> pozycji, jeżeli są one ujęte</w:t>
            </w:r>
            <w:r w:rsidR="00E26EF6" w:rsidRPr="00E26EF6">
              <w:rPr>
                <w:rFonts w:ascii="Times New Roman" w:hAnsi="Times New Roman"/>
                <w:bCs/>
                <w:sz w:val="24"/>
              </w:rPr>
              <w:t xml:space="preserve"> w por</w:t>
            </w:r>
            <w:r w:rsidRPr="00E26EF6">
              <w:rPr>
                <w:rFonts w:ascii="Times New Roman" w:hAnsi="Times New Roman"/>
                <w:bCs/>
                <w:sz w:val="24"/>
              </w:rPr>
              <w:t>tfelach księgowych obejmujących pozycje przeznaczone do obrotu lub pozycje</w:t>
            </w:r>
            <w:r w:rsidR="00E26EF6" w:rsidRPr="00E26EF6">
              <w:rPr>
                <w:rFonts w:ascii="Times New Roman" w:hAnsi="Times New Roman"/>
                <w:bCs/>
                <w:sz w:val="24"/>
              </w:rPr>
              <w:t xml:space="preserve"> z prz</w:t>
            </w:r>
            <w:r w:rsidRPr="00E26EF6">
              <w:rPr>
                <w:rFonts w:ascii="Times New Roman" w:hAnsi="Times New Roman"/>
                <w:bCs/>
                <w:sz w:val="24"/>
              </w:rPr>
              <w:t>eznaczeniem do obrotu (część 2, pkt</w:t>
            </w:r>
            <w:r w:rsidR="00023409" w:rsidRPr="00E26EF6">
              <w:rPr>
                <w:rFonts w:ascii="Times New Roman" w:hAnsi="Times New Roman"/>
                <w:bCs/>
                <w:sz w:val="24"/>
              </w:rPr>
              <w:t> </w:t>
            </w:r>
            <w:r w:rsidRPr="00E26EF6">
              <w:rPr>
                <w:rFonts w:ascii="Times New Roman" w:hAnsi="Times New Roman"/>
                <w:bCs/>
                <w:sz w:val="24"/>
              </w:rPr>
              <w:t>120, 124, 125 oraz 137 do</w:t>
            </w:r>
            <w:r w:rsidR="00023409" w:rsidRPr="00E26EF6">
              <w:rPr>
                <w:rFonts w:ascii="Times New Roman" w:hAnsi="Times New Roman"/>
                <w:bCs/>
                <w:sz w:val="24"/>
              </w:rPr>
              <w:t> </w:t>
            </w:r>
            <w:r w:rsidRPr="00E26EF6">
              <w:rPr>
                <w:rFonts w:ascii="Times New Roman" w:hAnsi="Times New Roman"/>
                <w:bCs/>
                <w:sz w:val="24"/>
              </w:rPr>
              <w:t>140 załącznika V do niniejszego rozporządzenia wykonawczego).</w:t>
            </w:r>
          </w:p>
          <w:p w14:paraId="1082C9F0"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6AB829A1" w14:textId="77777777" w:rsidTr="00672D2A">
        <w:tc>
          <w:tcPr>
            <w:tcW w:w="1188" w:type="dxa"/>
          </w:tcPr>
          <w:p w14:paraId="321093D3"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200</w:t>
            </w:r>
          </w:p>
        </w:tc>
        <w:tc>
          <w:tcPr>
            <w:tcW w:w="8640" w:type="dxa"/>
          </w:tcPr>
          <w:p w14:paraId="4103E663" w14:textId="7E616DC9"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Instrumenty pochodne</w:t>
            </w:r>
            <w:r w:rsidR="00E26EF6" w:rsidRPr="00E26EF6">
              <w:rPr>
                <w:rFonts w:ascii="Times New Roman" w:hAnsi="Times New Roman"/>
                <w:b/>
                <w:bCs/>
                <w:sz w:val="24"/>
                <w:u w:val="single"/>
              </w:rPr>
              <w:t xml:space="preserve"> o dod</w:t>
            </w:r>
            <w:r w:rsidRPr="00E26EF6">
              <w:rPr>
                <w:rFonts w:ascii="Times New Roman" w:hAnsi="Times New Roman"/>
                <w:b/>
                <w:bCs/>
                <w:sz w:val="24"/>
                <w:u w:val="single"/>
              </w:rPr>
              <w:t xml:space="preserve">atniej wartości godziwej: Wartość bilansowa </w:t>
            </w:r>
          </w:p>
          <w:p w14:paraId="4DAA2A8C" w14:textId="77777777" w:rsidR="00915077" w:rsidRPr="00E26EF6" w:rsidRDefault="00915077">
            <w:pPr>
              <w:spacing w:before="0" w:after="0"/>
              <w:ind w:left="33"/>
              <w:rPr>
                <w:rFonts w:ascii="Times New Roman" w:hAnsi="Times New Roman"/>
                <w:bCs/>
                <w:sz w:val="24"/>
              </w:rPr>
            </w:pPr>
          </w:p>
          <w:p w14:paraId="142F1ABF" w14:textId="7777777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 xml:space="preserve">Wartość bilansowa instrumentów pochodnych ujętych jako aktywa finansowe na sprawozdawczy dzień odniesienia. </w:t>
            </w:r>
          </w:p>
          <w:p w14:paraId="6E21DBB7" w14:textId="77777777" w:rsidR="00915077" w:rsidRPr="00E26EF6" w:rsidRDefault="00915077">
            <w:pPr>
              <w:spacing w:before="0" w:after="0"/>
              <w:ind w:left="33"/>
              <w:rPr>
                <w:rFonts w:ascii="Times New Roman" w:hAnsi="Times New Roman"/>
                <w:bCs/>
                <w:sz w:val="24"/>
              </w:rPr>
            </w:pPr>
          </w:p>
          <w:p w14:paraId="23F6DC84" w14:textId="638506A3"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Zgodnie</w:t>
            </w:r>
            <w:r w:rsidR="00E26EF6" w:rsidRPr="00E26EF6">
              <w:rPr>
                <w:rFonts w:ascii="Times New Roman" w:hAnsi="Times New Roman"/>
                <w:bCs/>
                <w:sz w:val="24"/>
              </w:rPr>
              <w:t xml:space="preserve"> z kra</w:t>
            </w:r>
            <w:r w:rsidRPr="00E26EF6">
              <w:rPr>
                <w:rFonts w:ascii="Times New Roman" w:hAnsi="Times New Roman"/>
                <w:bCs/>
                <w:sz w:val="24"/>
              </w:rPr>
              <w:t>jowymi ogólnie przyjętymi zasadami rachunkowości opartymi na BAD, instrumenty pochodne, które należy zgłosić</w:t>
            </w:r>
            <w:r w:rsidR="00E26EF6" w:rsidRPr="00E26EF6">
              <w:rPr>
                <w:rFonts w:ascii="Times New Roman" w:hAnsi="Times New Roman"/>
                <w:bCs/>
                <w:sz w:val="24"/>
              </w:rPr>
              <w:t xml:space="preserve"> w tyc</w:t>
            </w:r>
            <w:r w:rsidRPr="00E26EF6">
              <w:rPr>
                <w:rFonts w:ascii="Times New Roman" w:hAnsi="Times New Roman"/>
                <w:bCs/>
                <w:sz w:val="24"/>
              </w:rPr>
              <w:t>h kolumnach, obejmują instrumenty pochodne wyceniane według ceny nabycia lub według niższej</w:t>
            </w:r>
            <w:r w:rsidR="00E26EF6" w:rsidRPr="00E26EF6">
              <w:rPr>
                <w:rFonts w:ascii="Times New Roman" w:hAnsi="Times New Roman"/>
                <w:bCs/>
                <w:sz w:val="24"/>
              </w:rPr>
              <w:t xml:space="preserve"> z dwó</w:t>
            </w:r>
            <w:r w:rsidRPr="00E26EF6">
              <w:rPr>
                <w:rFonts w:ascii="Times New Roman" w:hAnsi="Times New Roman"/>
                <w:bCs/>
                <w:sz w:val="24"/>
              </w:rPr>
              <w:t>ch wartości: ceny nabycia lub wartości rynkowej, ujęte</w:t>
            </w:r>
            <w:r w:rsidR="00E26EF6" w:rsidRPr="00E26EF6">
              <w:rPr>
                <w:rFonts w:ascii="Times New Roman" w:hAnsi="Times New Roman"/>
                <w:bCs/>
                <w:sz w:val="24"/>
              </w:rPr>
              <w:t xml:space="preserve"> w por</w:t>
            </w:r>
            <w:r w:rsidRPr="00E26EF6">
              <w:rPr>
                <w:rFonts w:ascii="Times New Roman" w:hAnsi="Times New Roman"/>
                <w:bCs/>
                <w:sz w:val="24"/>
              </w:rPr>
              <w:t xml:space="preserve">tfelu handlowym lub wyznaczone jako instrumenty zabezpieczające. </w:t>
            </w:r>
          </w:p>
          <w:p w14:paraId="5076701F"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55ABF682" w14:textId="77777777" w:rsidTr="00672D2A">
        <w:tc>
          <w:tcPr>
            <w:tcW w:w="1188" w:type="dxa"/>
          </w:tcPr>
          <w:p w14:paraId="3621F38F"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210</w:t>
            </w:r>
          </w:p>
        </w:tc>
        <w:tc>
          <w:tcPr>
            <w:tcW w:w="8640" w:type="dxa"/>
          </w:tcPr>
          <w:p w14:paraId="4F898845" w14:textId="3AE8F1C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Instrumenty pochodne</w:t>
            </w:r>
            <w:r w:rsidR="00E26EF6" w:rsidRPr="00E26EF6">
              <w:rPr>
                <w:rFonts w:ascii="Times New Roman" w:hAnsi="Times New Roman"/>
                <w:b/>
                <w:bCs/>
                <w:sz w:val="24"/>
                <w:u w:val="single"/>
              </w:rPr>
              <w:t xml:space="preserve"> o dod</w:t>
            </w:r>
            <w:r w:rsidRPr="00E26EF6">
              <w:rPr>
                <w:rFonts w:ascii="Times New Roman" w:hAnsi="Times New Roman"/>
                <w:b/>
                <w:bCs/>
                <w:sz w:val="24"/>
                <w:u w:val="single"/>
              </w:rPr>
              <w:t>atniej wartości godziwej: Wartość nominalna</w:t>
            </w:r>
          </w:p>
          <w:p w14:paraId="6A3D984E" w14:textId="77777777" w:rsidR="00915077" w:rsidRPr="00E26EF6" w:rsidRDefault="00915077">
            <w:pPr>
              <w:spacing w:before="0" w:after="0"/>
              <w:ind w:left="33"/>
              <w:rPr>
                <w:rFonts w:ascii="Times New Roman" w:hAnsi="Times New Roman"/>
                <w:bCs/>
                <w:sz w:val="24"/>
              </w:rPr>
            </w:pPr>
          </w:p>
          <w:p w14:paraId="5808CEFD" w14:textId="338583DA"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lastRenderedPageBreak/>
              <w:t>Zgodnie z MSSF</w:t>
            </w:r>
            <w:r w:rsidR="00E26EF6" w:rsidRPr="00E26EF6">
              <w:rPr>
                <w:rFonts w:ascii="Times New Roman" w:hAnsi="Times New Roman"/>
                <w:bCs/>
                <w:sz w:val="24"/>
              </w:rPr>
              <w:t xml:space="preserve"> i kra</w:t>
            </w:r>
            <w:r w:rsidRPr="00E26EF6">
              <w:rPr>
                <w:rFonts w:ascii="Times New Roman" w:hAnsi="Times New Roman"/>
                <w:bCs/>
                <w:sz w:val="24"/>
              </w:rPr>
              <w:t xml:space="preserve">jowymi ogólnie przyjętymi zasadami rachunkowości opartymi na BAD, wartość nominalna, </w:t>
            </w:r>
            <w:r w:rsidRPr="00113518">
              <w:rPr>
                <w:rFonts w:ascii="Times New Roman" w:hAnsi="Times New Roman"/>
                <w:bCs/>
                <w:sz w:val="24"/>
                <w:highlight w:val="yellow"/>
              </w:rPr>
              <w:t>zgodnie</w:t>
            </w:r>
            <w:r w:rsidR="00E26EF6" w:rsidRPr="00113518">
              <w:rPr>
                <w:rFonts w:ascii="Times New Roman" w:hAnsi="Times New Roman"/>
                <w:bCs/>
                <w:sz w:val="24"/>
                <w:highlight w:val="yellow"/>
              </w:rPr>
              <w:t xml:space="preserve"> z def</w:t>
            </w:r>
            <w:r w:rsidRPr="00113518">
              <w:rPr>
                <w:rFonts w:ascii="Times New Roman" w:hAnsi="Times New Roman"/>
                <w:bCs/>
                <w:sz w:val="24"/>
                <w:highlight w:val="yellow"/>
              </w:rPr>
              <w:t>inicją</w:t>
            </w:r>
            <w:r w:rsidR="00E26EF6" w:rsidRPr="00113518">
              <w:rPr>
                <w:rFonts w:ascii="Times New Roman" w:hAnsi="Times New Roman"/>
                <w:bCs/>
                <w:sz w:val="24"/>
                <w:highlight w:val="yellow"/>
              </w:rPr>
              <w:t xml:space="preserve"> w czę</w:t>
            </w:r>
            <w:r w:rsidRPr="00113518">
              <w:rPr>
                <w:rFonts w:ascii="Times New Roman" w:hAnsi="Times New Roman"/>
                <w:bCs/>
                <w:sz w:val="24"/>
                <w:highlight w:val="yellow"/>
              </w:rPr>
              <w:t>ści 2, pkt</w:t>
            </w:r>
            <w:r w:rsidR="00023409" w:rsidRPr="00113518">
              <w:rPr>
                <w:rFonts w:ascii="Times New Roman" w:hAnsi="Times New Roman"/>
                <w:bCs/>
                <w:sz w:val="24"/>
                <w:highlight w:val="yellow"/>
              </w:rPr>
              <w:t> </w:t>
            </w:r>
            <w:r w:rsidRPr="00113518">
              <w:rPr>
                <w:rFonts w:ascii="Times New Roman" w:hAnsi="Times New Roman"/>
                <w:bCs/>
                <w:sz w:val="24"/>
                <w:highlight w:val="yellow"/>
              </w:rPr>
              <w:t>133 do</w:t>
            </w:r>
            <w:r w:rsidR="00023409" w:rsidRPr="00113518">
              <w:rPr>
                <w:rFonts w:ascii="Times New Roman" w:hAnsi="Times New Roman"/>
                <w:bCs/>
                <w:sz w:val="24"/>
                <w:highlight w:val="yellow"/>
              </w:rPr>
              <w:t> </w:t>
            </w:r>
            <w:r w:rsidRPr="00113518">
              <w:rPr>
                <w:rFonts w:ascii="Times New Roman" w:hAnsi="Times New Roman"/>
                <w:bCs/>
                <w:sz w:val="24"/>
                <w:highlight w:val="yellow"/>
              </w:rPr>
              <w:t>135</w:t>
            </w:r>
            <w:r w:rsidRPr="00E26EF6">
              <w:rPr>
                <w:rFonts w:ascii="Times New Roman" w:hAnsi="Times New Roman"/>
                <w:bCs/>
                <w:sz w:val="24"/>
              </w:rPr>
              <w:t xml:space="preserve"> załącznika V do niniejszego rozporządzenia wykonawczego, wszystkich instrumentów pochodnych nierozliczonych jeszcze na sprawozdawczy dzień odniesienia, których kontrahentem jest sektor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zgodnie</w:t>
            </w:r>
            <w:r w:rsidR="00E26EF6" w:rsidRPr="00E26EF6">
              <w:rPr>
                <w:rFonts w:ascii="Times New Roman" w:hAnsi="Times New Roman"/>
                <w:bCs/>
                <w:sz w:val="24"/>
              </w:rPr>
              <w:t xml:space="preserve"> z def</w:t>
            </w:r>
            <w:r w:rsidRPr="00E26EF6">
              <w:rPr>
                <w:rFonts w:ascii="Times New Roman" w:hAnsi="Times New Roman"/>
                <w:bCs/>
                <w:sz w:val="24"/>
              </w:rPr>
              <w:t>inicją</w:t>
            </w:r>
            <w:r w:rsidR="00E26EF6" w:rsidRPr="00E26EF6">
              <w:rPr>
                <w:rFonts w:ascii="Times New Roman" w:hAnsi="Times New Roman"/>
                <w:bCs/>
                <w:sz w:val="24"/>
              </w:rPr>
              <w:t xml:space="preserve"> w pkt</w:t>
            </w:r>
            <w:r w:rsidR="00023409" w:rsidRPr="00E26EF6">
              <w:rPr>
                <w:rFonts w:ascii="Times New Roman" w:hAnsi="Times New Roman"/>
                <w:bCs/>
                <w:sz w:val="24"/>
              </w:rPr>
              <w:t> </w:t>
            </w:r>
            <w:r w:rsidRPr="00E26EF6">
              <w:rPr>
                <w:rFonts w:ascii="Times New Roman" w:hAnsi="Times New Roman"/>
                <w:bCs/>
                <w:sz w:val="24"/>
              </w:rPr>
              <w:t>155–160 niniejszego załącznika,</w:t>
            </w:r>
            <w:r w:rsidR="00E26EF6" w:rsidRPr="00E26EF6">
              <w:rPr>
                <w:rFonts w:ascii="Times New Roman" w:hAnsi="Times New Roman"/>
                <w:bCs/>
                <w:sz w:val="24"/>
              </w:rPr>
              <w:t xml:space="preserve"> a ich</w:t>
            </w:r>
            <w:r w:rsidRPr="00E26EF6">
              <w:rPr>
                <w:rFonts w:ascii="Times New Roman" w:hAnsi="Times New Roman"/>
                <w:bCs/>
                <w:sz w:val="24"/>
              </w:rPr>
              <w:t xml:space="preserve"> wartość godziwa instrumentu pochodnego jest dodatnia dla instytucji na sprawozdawczy dzień odniesienia.</w:t>
            </w:r>
          </w:p>
          <w:p w14:paraId="64F993E7"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6D901A57" w14:textId="77777777" w:rsidTr="00672D2A">
        <w:tc>
          <w:tcPr>
            <w:tcW w:w="1188" w:type="dxa"/>
          </w:tcPr>
          <w:p w14:paraId="411CC127"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lastRenderedPageBreak/>
              <w:t>220-230</w:t>
            </w:r>
          </w:p>
        </w:tc>
        <w:tc>
          <w:tcPr>
            <w:tcW w:w="8640" w:type="dxa"/>
          </w:tcPr>
          <w:p w14:paraId="072ACC8A" w14:textId="351D69CC"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Instrumenty pochodne</w:t>
            </w:r>
            <w:r w:rsidR="00E26EF6" w:rsidRPr="00E26EF6">
              <w:rPr>
                <w:rFonts w:ascii="Times New Roman" w:hAnsi="Times New Roman"/>
                <w:b/>
                <w:bCs/>
                <w:sz w:val="24"/>
                <w:u w:val="single"/>
              </w:rPr>
              <w:t xml:space="preserve"> o uje</w:t>
            </w:r>
            <w:r w:rsidRPr="00E26EF6">
              <w:rPr>
                <w:rFonts w:ascii="Times New Roman" w:hAnsi="Times New Roman"/>
                <w:b/>
                <w:bCs/>
                <w:sz w:val="24"/>
                <w:u w:val="single"/>
              </w:rPr>
              <w:t>mnej wartości godziwej</w:t>
            </w:r>
          </w:p>
          <w:p w14:paraId="0FF575AB" w14:textId="77777777" w:rsidR="00915077" w:rsidRPr="00E26EF6" w:rsidDel="00501397" w:rsidRDefault="00915077">
            <w:pPr>
              <w:spacing w:before="0" w:after="0"/>
              <w:ind w:left="33"/>
              <w:rPr>
                <w:rFonts w:ascii="Times New Roman" w:hAnsi="Times New Roman"/>
                <w:bCs/>
                <w:sz w:val="24"/>
              </w:rPr>
            </w:pPr>
          </w:p>
          <w:p w14:paraId="56AFE90D" w14:textId="75D4FB99"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Wszystkie instrumenty pochodne</w:t>
            </w:r>
            <w:r w:rsidR="00E26EF6" w:rsidRPr="00E26EF6">
              <w:rPr>
                <w:rFonts w:ascii="Times New Roman" w:hAnsi="Times New Roman"/>
                <w:bCs/>
                <w:sz w:val="24"/>
              </w:rPr>
              <w:t xml:space="preserve"> z kon</w:t>
            </w:r>
            <w:r w:rsidRPr="00E26EF6">
              <w:rPr>
                <w:rFonts w:ascii="Times New Roman" w:hAnsi="Times New Roman"/>
                <w:bCs/>
                <w:sz w:val="24"/>
              </w:rPr>
              <w:t>trahentem należącym do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w:t>
            </w:r>
            <w:r w:rsidR="00E26EF6" w:rsidRPr="00E26EF6">
              <w:rPr>
                <w:rFonts w:ascii="Times New Roman" w:hAnsi="Times New Roman"/>
                <w:bCs/>
                <w:sz w:val="24"/>
              </w:rPr>
              <w:t xml:space="preserve"> o uje</w:t>
            </w:r>
            <w:r w:rsidRPr="00E26EF6">
              <w:rPr>
                <w:rFonts w:ascii="Times New Roman" w:hAnsi="Times New Roman"/>
                <w:bCs/>
                <w:sz w:val="24"/>
              </w:rPr>
              <w:t>mnej wartości godziwej dla instytucji</w:t>
            </w:r>
            <w:r w:rsidR="00E26EF6" w:rsidRPr="00E26EF6">
              <w:rPr>
                <w:rFonts w:ascii="Times New Roman" w:hAnsi="Times New Roman"/>
                <w:bCs/>
                <w:sz w:val="24"/>
              </w:rPr>
              <w:t xml:space="preserve"> w spr</w:t>
            </w:r>
            <w:r w:rsidRPr="00E26EF6">
              <w:rPr>
                <w:rFonts w:ascii="Times New Roman" w:hAnsi="Times New Roman"/>
                <w:bCs/>
                <w:sz w:val="24"/>
              </w:rPr>
              <w:t>awozdawczym dniu odniesienia, niezależnie od tego, czy instrumenty te są wykorzystywane</w:t>
            </w:r>
            <w:r w:rsidR="00E26EF6" w:rsidRPr="00E26EF6">
              <w:rPr>
                <w:rFonts w:ascii="Times New Roman" w:hAnsi="Times New Roman"/>
                <w:bCs/>
                <w:sz w:val="24"/>
              </w:rPr>
              <w:t xml:space="preserve"> w ram</w:t>
            </w:r>
            <w:r w:rsidRPr="00E26EF6">
              <w:rPr>
                <w:rFonts w:ascii="Times New Roman" w:hAnsi="Times New Roman"/>
                <w:bCs/>
                <w:sz w:val="24"/>
              </w:rPr>
              <w:t>ach kwalifikującego się powiązania zabezpieczającego lub są przeznaczone do obrotu lub są ujęte</w:t>
            </w:r>
            <w:r w:rsidR="00E26EF6" w:rsidRPr="00E26EF6">
              <w:rPr>
                <w:rFonts w:ascii="Times New Roman" w:hAnsi="Times New Roman"/>
                <w:bCs/>
                <w:sz w:val="24"/>
              </w:rPr>
              <w:t xml:space="preserve"> w por</w:t>
            </w:r>
            <w:r w:rsidRPr="00E26EF6">
              <w:rPr>
                <w:rFonts w:ascii="Times New Roman" w:hAnsi="Times New Roman"/>
                <w:bCs/>
                <w:sz w:val="24"/>
              </w:rPr>
              <w:t xml:space="preserve">tfelu handlowym zgodnie z MSSF lub krajowymi ogólnie przyjętymi zasadami rachunkowości opartymi na BAD. </w:t>
            </w:r>
          </w:p>
          <w:p w14:paraId="358C7FF3" w14:textId="77777777" w:rsidR="00915077" w:rsidRPr="00E26EF6" w:rsidRDefault="00915077">
            <w:pPr>
              <w:spacing w:before="0" w:after="0"/>
              <w:ind w:left="33"/>
              <w:rPr>
                <w:rFonts w:ascii="Times New Roman" w:hAnsi="Times New Roman"/>
                <w:bCs/>
                <w:sz w:val="24"/>
              </w:rPr>
            </w:pPr>
          </w:p>
          <w:p w14:paraId="6A155A27" w14:textId="3CAD9FBE"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Instrumenty pochodne wykorzystywane</w:t>
            </w:r>
            <w:r w:rsidR="00E26EF6" w:rsidRPr="00E26EF6">
              <w:rPr>
                <w:rFonts w:ascii="Times New Roman" w:hAnsi="Times New Roman"/>
                <w:bCs/>
                <w:sz w:val="24"/>
              </w:rPr>
              <w:t xml:space="preserve"> w ram</w:t>
            </w:r>
            <w:r w:rsidRPr="00E26EF6">
              <w:rPr>
                <w:rFonts w:ascii="Times New Roman" w:hAnsi="Times New Roman"/>
                <w:bCs/>
                <w:sz w:val="24"/>
              </w:rPr>
              <w:t>ach zabezpieczenia ekonomicznego zgłasza się</w:t>
            </w:r>
            <w:r w:rsidR="00E26EF6" w:rsidRPr="00E26EF6">
              <w:rPr>
                <w:rFonts w:ascii="Times New Roman" w:hAnsi="Times New Roman"/>
                <w:bCs/>
                <w:sz w:val="24"/>
              </w:rPr>
              <w:t xml:space="preserve"> w tej</w:t>
            </w:r>
            <w:r w:rsidRPr="00E26EF6">
              <w:rPr>
                <w:rFonts w:ascii="Times New Roman" w:hAnsi="Times New Roman"/>
                <w:bCs/>
                <w:sz w:val="24"/>
              </w:rPr>
              <w:t xml:space="preserve"> pozycji, jeżeli są one ujęte</w:t>
            </w:r>
            <w:r w:rsidR="00E26EF6" w:rsidRPr="00E26EF6">
              <w:rPr>
                <w:rFonts w:ascii="Times New Roman" w:hAnsi="Times New Roman"/>
                <w:bCs/>
                <w:sz w:val="24"/>
              </w:rPr>
              <w:t xml:space="preserve"> w por</w:t>
            </w:r>
            <w:r w:rsidRPr="00E26EF6">
              <w:rPr>
                <w:rFonts w:ascii="Times New Roman" w:hAnsi="Times New Roman"/>
                <w:bCs/>
                <w:sz w:val="24"/>
              </w:rPr>
              <w:t>tfelach księgowych obejmujących pozycje przeznaczone do obrotu lub pozycje</w:t>
            </w:r>
            <w:r w:rsidR="00E26EF6" w:rsidRPr="00E26EF6">
              <w:rPr>
                <w:rFonts w:ascii="Times New Roman" w:hAnsi="Times New Roman"/>
                <w:bCs/>
                <w:sz w:val="24"/>
              </w:rPr>
              <w:t xml:space="preserve"> z prz</w:t>
            </w:r>
            <w:r w:rsidRPr="00E26EF6">
              <w:rPr>
                <w:rFonts w:ascii="Times New Roman" w:hAnsi="Times New Roman"/>
                <w:bCs/>
                <w:sz w:val="24"/>
              </w:rPr>
              <w:t>eznaczeniem do obrotu (część 2, pkt</w:t>
            </w:r>
            <w:r w:rsidR="00023409" w:rsidRPr="00E26EF6">
              <w:rPr>
                <w:rFonts w:ascii="Times New Roman" w:hAnsi="Times New Roman"/>
                <w:bCs/>
                <w:sz w:val="24"/>
              </w:rPr>
              <w:t> </w:t>
            </w:r>
            <w:r w:rsidRPr="00E26EF6">
              <w:rPr>
                <w:rFonts w:ascii="Times New Roman" w:hAnsi="Times New Roman"/>
                <w:bCs/>
                <w:sz w:val="24"/>
              </w:rPr>
              <w:t>120, 124, 125 oraz 137 do</w:t>
            </w:r>
            <w:r w:rsidR="00023409" w:rsidRPr="00E26EF6">
              <w:rPr>
                <w:rFonts w:ascii="Times New Roman" w:hAnsi="Times New Roman"/>
                <w:bCs/>
                <w:sz w:val="24"/>
              </w:rPr>
              <w:t> </w:t>
            </w:r>
            <w:r w:rsidRPr="00E26EF6">
              <w:rPr>
                <w:rFonts w:ascii="Times New Roman" w:hAnsi="Times New Roman"/>
                <w:bCs/>
                <w:sz w:val="24"/>
              </w:rPr>
              <w:t>140 załącznika V do niniejszego rozporządzenia wykonawczego).</w:t>
            </w:r>
          </w:p>
          <w:p w14:paraId="503071F1"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597DAA3B" w14:textId="77777777" w:rsidTr="00672D2A">
        <w:tc>
          <w:tcPr>
            <w:tcW w:w="1188" w:type="dxa"/>
          </w:tcPr>
          <w:p w14:paraId="4C4F7C1B"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220</w:t>
            </w:r>
          </w:p>
        </w:tc>
        <w:tc>
          <w:tcPr>
            <w:tcW w:w="8640" w:type="dxa"/>
          </w:tcPr>
          <w:p w14:paraId="2059056E" w14:textId="6C96B2CD"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Instrumenty pochodne</w:t>
            </w:r>
            <w:r w:rsidR="00E26EF6" w:rsidRPr="00E26EF6">
              <w:rPr>
                <w:rFonts w:ascii="Times New Roman" w:hAnsi="Times New Roman"/>
                <w:b/>
                <w:bCs/>
                <w:sz w:val="24"/>
                <w:u w:val="single"/>
              </w:rPr>
              <w:t xml:space="preserve"> o uje</w:t>
            </w:r>
            <w:r w:rsidRPr="00E26EF6">
              <w:rPr>
                <w:rFonts w:ascii="Times New Roman" w:hAnsi="Times New Roman"/>
                <w:b/>
                <w:bCs/>
                <w:sz w:val="24"/>
                <w:u w:val="single"/>
              </w:rPr>
              <w:t xml:space="preserve">mnej wartości godziwej: Wartość bilansowa </w:t>
            </w:r>
          </w:p>
          <w:p w14:paraId="12321CD6" w14:textId="77777777" w:rsidR="00915077" w:rsidRPr="00E26EF6" w:rsidRDefault="00915077">
            <w:pPr>
              <w:spacing w:before="0" w:after="0"/>
              <w:ind w:left="33"/>
              <w:rPr>
                <w:rFonts w:ascii="Times New Roman" w:hAnsi="Times New Roman"/>
                <w:bCs/>
                <w:sz w:val="24"/>
              </w:rPr>
            </w:pPr>
          </w:p>
          <w:p w14:paraId="27890959" w14:textId="7777777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 xml:space="preserve">Wartość bilansowa instrumentów pochodnych ujętych jako zobowiązania finansowe na sprawozdawczy dzień odniesienia. </w:t>
            </w:r>
          </w:p>
          <w:p w14:paraId="4F38595F" w14:textId="77777777" w:rsidR="00915077" w:rsidRPr="00E26EF6" w:rsidRDefault="00915077">
            <w:pPr>
              <w:spacing w:before="0" w:after="0"/>
              <w:ind w:left="33"/>
              <w:rPr>
                <w:rFonts w:ascii="Times New Roman" w:hAnsi="Times New Roman"/>
                <w:bCs/>
                <w:sz w:val="24"/>
              </w:rPr>
            </w:pPr>
          </w:p>
          <w:p w14:paraId="3FC97AA3" w14:textId="101FF5FD"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Zgodnie</w:t>
            </w:r>
            <w:r w:rsidR="00E26EF6" w:rsidRPr="00E26EF6">
              <w:rPr>
                <w:rFonts w:ascii="Times New Roman" w:hAnsi="Times New Roman"/>
                <w:bCs/>
                <w:sz w:val="24"/>
              </w:rPr>
              <w:t xml:space="preserve"> z kra</w:t>
            </w:r>
            <w:r w:rsidRPr="00E26EF6">
              <w:rPr>
                <w:rFonts w:ascii="Times New Roman" w:hAnsi="Times New Roman"/>
                <w:bCs/>
                <w:sz w:val="24"/>
              </w:rPr>
              <w:t>jowymi ogólnie przyjętymi zasadami rachunkowości opartymi na BAD, instrumenty pochodne, które należy zgłosić</w:t>
            </w:r>
            <w:r w:rsidR="00E26EF6" w:rsidRPr="00E26EF6">
              <w:rPr>
                <w:rFonts w:ascii="Times New Roman" w:hAnsi="Times New Roman"/>
                <w:bCs/>
                <w:sz w:val="24"/>
              </w:rPr>
              <w:t xml:space="preserve"> w tyc</w:t>
            </w:r>
            <w:r w:rsidRPr="00E26EF6">
              <w:rPr>
                <w:rFonts w:ascii="Times New Roman" w:hAnsi="Times New Roman"/>
                <w:bCs/>
                <w:sz w:val="24"/>
              </w:rPr>
              <w:t>h kolumnach, obejmują instrumenty pochodne wyceniane według ceny nabycia lub według niższej</w:t>
            </w:r>
            <w:r w:rsidR="00E26EF6" w:rsidRPr="00E26EF6">
              <w:rPr>
                <w:rFonts w:ascii="Times New Roman" w:hAnsi="Times New Roman"/>
                <w:bCs/>
                <w:sz w:val="24"/>
              </w:rPr>
              <w:t xml:space="preserve"> z dwó</w:t>
            </w:r>
            <w:r w:rsidRPr="00E26EF6">
              <w:rPr>
                <w:rFonts w:ascii="Times New Roman" w:hAnsi="Times New Roman"/>
                <w:bCs/>
                <w:sz w:val="24"/>
              </w:rPr>
              <w:t>ch wartości: ceny nabycia lub wartości rynkowej, ujęte</w:t>
            </w:r>
            <w:r w:rsidR="00E26EF6" w:rsidRPr="00E26EF6">
              <w:rPr>
                <w:rFonts w:ascii="Times New Roman" w:hAnsi="Times New Roman"/>
                <w:bCs/>
                <w:sz w:val="24"/>
              </w:rPr>
              <w:t xml:space="preserve"> w por</w:t>
            </w:r>
            <w:r w:rsidRPr="00E26EF6">
              <w:rPr>
                <w:rFonts w:ascii="Times New Roman" w:hAnsi="Times New Roman"/>
                <w:bCs/>
                <w:sz w:val="24"/>
              </w:rPr>
              <w:t xml:space="preserve">tfelu handlowym lub wyznaczone jako instrumenty zabezpieczające. </w:t>
            </w:r>
          </w:p>
          <w:p w14:paraId="2F7292FC"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209C56C9" w14:textId="77777777" w:rsidTr="00672D2A">
        <w:tc>
          <w:tcPr>
            <w:tcW w:w="1188" w:type="dxa"/>
          </w:tcPr>
          <w:p w14:paraId="44F88DB9"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230</w:t>
            </w:r>
          </w:p>
        </w:tc>
        <w:tc>
          <w:tcPr>
            <w:tcW w:w="8640" w:type="dxa"/>
          </w:tcPr>
          <w:p w14:paraId="0E61C874" w14:textId="6419B82F" w:rsidR="00915077" w:rsidRPr="00E26EF6" w:rsidRDefault="00FD54FC">
            <w:pPr>
              <w:spacing w:before="0" w:after="0"/>
              <w:rPr>
                <w:rFonts w:ascii="Times New Roman" w:hAnsi="Times New Roman"/>
                <w:b/>
                <w:bCs/>
                <w:sz w:val="24"/>
                <w:u w:val="single"/>
              </w:rPr>
            </w:pPr>
            <w:r w:rsidRPr="00E26EF6">
              <w:rPr>
                <w:rFonts w:ascii="Times New Roman" w:hAnsi="Times New Roman"/>
                <w:b/>
                <w:bCs/>
                <w:sz w:val="24"/>
                <w:u w:val="single"/>
              </w:rPr>
              <w:t>Instrumenty pochodne</w:t>
            </w:r>
            <w:r w:rsidR="00E26EF6" w:rsidRPr="00E26EF6">
              <w:rPr>
                <w:rFonts w:ascii="Times New Roman" w:hAnsi="Times New Roman"/>
                <w:b/>
                <w:bCs/>
                <w:sz w:val="24"/>
                <w:u w:val="single"/>
              </w:rPr>
              <w:t xml:space="preserve"> o uje</w:t>
            </w:r>
            <w:r w:rsidRPr="00E26EF6">
              <w:rPr>
                <w:rFonts w:ascii="Times New Roman" w:hAnsi="Times New Roman"/>
                <w:b/>
                <w:bCs/>
                <w:sz w:val="24"/>
                <w:u w:val="single"/>
              </w:rPr>
              <w:t>mnej wartości godziwej: Wartość nominalna</w:t>
            </w:r>
          </w:p>
          <w:p w14:paraId="5853C03D" w14:textId="77777777" w:rsidR="00915077" w:rsidRPr="00E26EF6" w:rsidRDefault="00915077">
            <w:pPr>
              <w:spacing w:before="0" w:after="0"/>
              <w:ind w:left="33"/>
              <w:rPr>
                <w:rFonts w:ascii="Times New Roman" w:hAnsi="Times New Roman"/>
                <w:b/>
                <w:bCs/>
                <w:sz w:val="24"/>
                <w:u w:val="single"/>
              </w:rPr>
            </w:pPr>
          </w:p>
          <w:p w14:paraId="2002C38C" w14:textId="7EC47A9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Zgodnie z MSSF</w:t>
            </w:r>
            <w:r w:rsidR="00E26EF6" w:rsidRPr="00E26EF6">
              <w:rPr>
                <w:rFonts w:ascii="Times New Roman" w:hAnsi="Times New Roman"/>
                <w:bCs/>
                <w:sz w:val="24"/>
              </w:rPr>
              <w:t xml:space="preserve"> i kra</w:t>
            </w:r>
            <w:r w:rsidRPr="00E26EF6">
              <w:rPr>
                <w:rFonts w:ascii="Times New Roman" w:hAnsi="Times New Roman"/>
                <w:bCs/>
                <w:sz w:val="24"/>
              </w:rPr>
              <w:t xml:space="preserve">jowymi ogólnie przyjętymi zasadami rachunkowości opartymi na BAD, wartość nominalna, </w:t>
            </w:r>
            <w:r w:rsidRPr="00113518">
              <w:rPr>
                <w:rFonts w:ascii="Times New Roman" w:hAnsi="Times New Roman"/>
                <w:bCs/>
                <w:sz w:val="24"/>
                <w:highlight w:val="yellow"/>
              </w:rPr>
              <w:t>zgodnie</w:t>
            </w:r>
            <w:r w:rsidR="00E26EF6" w:rsidRPr="00113518">
              <w:rPr>
                <w:rFonts w:ascii="Times New Roman" w:hAnsi="Times New Roman"/>
                <w:bCs/>
                <w:sz w:val="24"/>
                <w:highlight w:val="yellow"/>
              </w:rPr>
              <w:t xml:space="preserve"> z def</w:t>
            </w:r>
            <w:r w:rsidRPr="00113518">
              <w:rPr>
                <w:rFonts w:ascii="Times New Roman" w:hAnsi="Times New Roman"/>
                <w:bCs/>
                <w:sz w:val="24"/>
                <w:highlight w:val="yellow"/>
              </w:rPr>
              <w:t>inicją</w:t>
            </w:r>
            <w:r w:rsidR="00E26EF6" w:rsidRPr="00113518">
              <w:rPr>
                <w:rFonts w:ascii="Times New Roman" w:hAnsi="Times New Roman"/>
                <w:bCs/>
                <w:sz w:val="24"/>
                <w:highlight w:val="yellow"/>
              </w:rPr>
              <w:t xml:space="preserve"> w czę</w:t>
            </w:r>
            <w:r w:rsidRPr="00113518">
              <w:rPr>
                <w:rFonts w:ascii="Times New Roman" w:hAnsi="Times New Roman"/>
                <w:bCs/>
                <w:sz w:val="24"/>
                <w:highlight w:val="yellow"/>
              </w:rPr>
              <w:t>ści 2, pkt</w:t>
            </w:r>
            <w:r w:rsidR="00023409" w:rsidRPr="00113518">
              <w:rPr>
                <w:rFonts w:ascii="Times New Roman" w:hAnsi="Times New Roman"/>
                <w:bCs/>
                <w:sz w:val="24"/>
                <w:highlight w:val="yellow"/>
              </w:rPr>
              <w:t> </w:t>
            </w:r>
            <w:r w:rsidRPr="00113518">
              <w:rPr>
                <w:rFonts w:ascii="Times New Roman" w:hAnsi="Times New Roman"/>
                <w:bCs/>
                <w:sz w:val="24"/>
                <w:highlight w:val="yellow"/>
              </w:rPr>
              <w:t>133 do</w:t>
            </w:r>
            <w:r w:rsidR="00023409" w:rsidRPr="00113518">
              <w:rPr>
                <w:rFonts w:ascii="Times New Roman" w:hAnsi="Times New Roman"/>
                <w:bCs/>
                <w:sz w:val="24"/>
                <w:highlight w:val="yellow"/>
              </w:rPr>
              <w:t> </w:t>
            </w:r>
            <w:r w:rsidRPr="00113518">
              <w:rPr>
                <w:rFonts w:ascii="Times New Roman" w:hAnsi="Times New Roman"/>
                <w:bCs/>
                <w:sz w:val="24"/>
                <w:highlight w:val="yellow"/>
              </w:rPr>
              <w:t>135 załącznika V</w:t>
            </w:r>
            <w:r w:rsidRPr="00E26EF6">
              <w:rPr>
                <w:rFonts w:ascii="Times New Roman" w:hAnsi="Times New Roman"/>
                <w:bCs/>
                <w:sz w:val="24"/>
              </w:rPr>
              <w:t xml:space="preserve"> do niniejszego rozporządzenia wykonawczego, wszystkich instrumentów pochodnych nierozliczonych jeszcze na dzień odniesienia, których kontrahentem jest sektor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zgodnie</w:t>
            </w:r>
            <w:r w:rsidR="00E26EF6" w:rsidRPr="00E26EF6">
              <w:rPr>
                <w:rFonts w:ascii="Times New Roman" w:hAnsi="Times New Roman"/>
                <w:bCs/>
                <w:sz w:val="24"/>
              </w:rPr>
              <w:t xml:space="preserve"> z def</w:t>
            </w:r>
            <w:r w:rsidRPr="00E26EF6">
              <w:rPr>
                <w:rFonts w:ascii="Times New Roman" w:hAnsi="Times New Roman"/>
                <w:bCs/>
                <w:sz w:val="24"/>
              </w:rPr>
              <w:t>inicją</w:t>
            </w:r>
            <w:r w:rsidR="00E26EF6" w:rsidRPr="00E26EF6">
              <w:rPr>
                <w:rFonts w:ascii="Times New Roman" w:hAnsi="Times New Roman"/>
                <w:bCs/>
                <w:sz w:val="24"/>
              </w:rPr>
              <w:t xml:space="preserve"> w pkt</w:t>
            </w:r>
            <w:r w:rsidR="00023409" w:rsidRPr="00E26EF6">
              <w:rPr>
                <w:rFonts w:ascii="Times New Roman" w:hAnsi="Times New Roman"/>
                <w:bCs/>
                <w:sz w:val="24"/>
              </w:rPr>
              <w:t> </w:t>
            </w:r>
            <w:r w:rsidRPr="00E26EF6">
              <w:rPr>
                <w:rFonts w:ascii="Times New Roman" w:hAnsi="Times New Roman"/>
                <w:bCs/>
                <w:sz w:val="24"/>
              </w:rPr>
              <w:t>155–160 niniejszego załącznika,</w:t>
            </w:r>
            <w:r w:rsidR="00E26EF6" w:rsidRPr="00E26EF6">
              <w:rPr>
                <w:rFonts w:ascii="Times New Roman" w:hAnsi="Times New Roman"/>
                <w:bCs/>
                <w:sz w:val="24"/>
              </w:rPr>
              <w:t xml:space="preserve"> a ich</w:t>
            </w:r>
            <w:r w:rsidRPr="00E26EF6">
              <w:rPr>
                <w:rFonts w:ascii="Times New Roman" w:hAnsi="Times New Roman"/>
                <w:bCs/>
                <w:sz w:val="24"/>
              </w:rPr>
              <w:t xml:space="preserve"> wartość godziwa instrumentu pochodnego jest dodatnia dla instytucji na sprawozdawczy dzień odniesienia.</w:t>
            </w:r>
          </w:p>
          <w:p w14:paraId="25148E1B"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14FD3216" w14:textId="77777777" w:rsidTr="00672D2A">
        <w:tc>
          <w:tcPr>
            <w:tcW w:w="1188" w:type="dxa"/>
          </w:tcPr>
          <w:p w14:paraId="28BA209B"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240-260</w:t>
            </w:r>
          </w:p>
        </w:tc>
        <w:tc>
          <w:tcPr>
            <w:tcW w:w="8640" w:type="dxa"/>
          </w:tcPr>
          <w:p w14:paraId="0781AE02" w14:textId="77777777" w:rsidR="00915077" w:rsidRPr="00E26EF6" w:rsidRDefault="00FD54FC">
            <w:pPr>
              <w:spacing w:before="0" w:after="0"/>
              <w:ind w:left="33"/>
              <w:rPr>
                <w:rFonts w:ascii="Times New Roman" w:hAnsi="Times New Roman"/>
                <w:b/>
                <w:bCs/>
                <w:sz w:val="24"/>
                <w:highlight w:val="lightGray"/>
                <w:u w:val="single"/>
              </w:rPr>
            </w:pPr>
            <w:r w:rsidRPr="00E26EF6">
              <w:rPr>
                <w:rFonts w:ascii="Times New Roman" w:hAnsi="Times New Roman"/>
                <w:b/>
                <w:bCs/>
                <w:sz w:val="24"/>
                <w:u w:val="single"/>
              </w:rPr>
              <w:t>EKSPOZYCJE POZABILANSOWE</w:t>
            </w:r>
          </w:p>
        </w:tc>
      </w:tr>
      <w:tr w:rsidR="00915077" w:rsidRPr="00E26EF6" w14:paraId="1D6AC624" w14:textId="77777777" w:rsidTr="00672D2A">
        <w:tc>
          <w:tcPr>
            <w:tcW w:w="1188" w:type="dxa"/>
          </w:tcPr>
          <w:p w14:paraId="507721AD"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240</w:t>
            </w:r>
          </w:p>
        </w:tc>
        <w:tc>
          <w:tcPr>
            <w:tcW w:w="8640" w:type="dxa"/>
          </w:tcPr>
          <w:p w14:paraId="0553BFB8"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Wartość nominalna</w:t>
            </w:r>
          </w:p>
          <w:p w14:paraId="78EEAF76" w14:textId="77777777" w:rsidR="00915077" w:rsidRPr="00E26EF6" w:rsidRDefault="00915077">
            <w:pPr>
              <w:spacing w:before="0" w:after="0"/>
              <w:ind w:left="33"/>
              <w:rPr>
                <w:rFonts w:ascii="Times New Roman" w:hAnsi="Times New Roman"/>
                <w:bCs/>
                <w:sz w:val="24"/>
              </w:rPr>
            </w:pPr>
          </w:p>
          <w:p w14:paraId="77CE35DA" w14:textId="7B081C38"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Jeżeli bezpośrednim kontrahentem pozycji pozabilansowej jest sektor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zgodnie</w:t>
            </w:r>
            <w:r w:rsidR="00E26EF6" w:rsidRPr="00E26EF6">
              <w:rPr>
                <w:rFonts w:ascii="Times New Roman" w:hAnsi="Times New Roman"/>
                <w:bCs/>
                <w:sz w:val="24"/>
              </w:rPr>
              <w:t xml:space="preserve"> z def</w:t>
            </w:r>
            <w:r w:rsidRPr="00E26EF6">
              <w:rPr>
                <w:rFonts w:ascii="Times New Roman" w:hAnsi="Times New Roman"/>
                <w:bCs/>
                <w:sz w:val="24"/>
              </w:rPr>
              <w:t>inicją</w:t>
            </w:r>
            <w:r w:rsidR="00E26EF6" w:rsidRPr="00E26EF6">
              <w:rPr>
                <w:rFonts w:ascii="Times New Roman" w:hAnsi="Times New Roman"/>
                <w:bCs/>
                <w:sz w:val="24"/>
              </w:rPr>
              <w:t xml:space="preserve"> w pkt</w:t>
            </w:r>
            <w:r w:rsidR="00023409" w:rsidRPr="00E26EF6">
              <w:rPr>
                <w:rFonts w:ascii="Times New Roman" w:hAnsi="Times New Roman"/>
                <w:bCs/>
                <w:sz w:val="24"/>
              </w:rPr>
              <w:t> </w:t>
            </w:r>
            <w:r w:rsidRPr="00E26EF6">
              <w:rPr>
                <w:rFonts w:ascii="Times New Roman" w:hAnsi="Times New Roman"/>
                <w:bCs/>
                <w:sz w:val="24"/>
              </w:rPr>
              <w:t>155–160 niniejszego załącznika – wartość nominalna zobowiązań</w:t>
            </w:r>
            <w:r w:rsidR="00E26EF6" w:rsidRPr="00E26EF6">
              <w:rPr>
                <w:rFonts w:ascii="Times New Roman" w:hAnsi="Times New Roman"/>
                <w:bCs/>
                <w:sz w:val="24"/>
              </w:rPr>
              <w:t xml:space="preserve"> i gwa</w:t>
            </w:r>
            <w:r w:rsidRPr="00E26EF6">
              <w:rPr>
                <w:rFonts w:ascii="Times New Roman" w:hAnsi="Times New Roman"/>
                <w:bCs/>
                <w:sz w:val="24"/>
              </w:rPr>
              <w:t>rancji finansowych, które nie są uznawane za instrumenty pochodne zgodnie z MSSF lub krajowymi ogólnie przyjętymi zasadami rachunkowości opartymi na BAD (część 2, pkt</w:t>
            </w:r>
            <w:r w:rsidR="00023409" w:rsidRPr="00E26EF6">
              <w:rPr>
                <w:rFonts w:ascii="Times New Roman" w:hAnsi="Times New Roman"/>
                <w:bCs/>
                <w:sz w:val="24"/>
              </w:rPr>
              <w:t> </w:t>
            </w:r>
            <w:r w:rsidRPr="00E26EF6">
              <w:rPr>
                <w:rFonts w:ascii="Times New Roman" w:hAnsi="Times New Roman"/>
                <w:bCs/>
                <w:sz w:val="24"/>
              </w:rPr>
              <w:t>102–119 załącznika V do niniejszego rozporządzenia wykonawczego).</w:t>
            </w:r>
          </w:p>
          <w:p w14:paraId="3CF4F34B" w14:textId="77777777" w:rsidR="00915077" w:rsidRPr="00E26EF6" w:rsidRDefault="00915077">
            <w:pPr>
              <w:spacing w:before="0" w:after="0"/>
              <w:ind w:left="33"/>
              <w:rPr>
                <w:rFonts w:ascii="Times New Roman" w:hAnsi="Times New Roman"/>
                <w:bCs/>
                <w:sz w:val="24"/>
              </w:rPr>
            </w:pPr>
          </w:p>
          <w:p w14:paraId="1C264AE8" w14:textId="4113792A" w:rsidR="00915077" w:rsidRPr="00E26EF6" w:rsidDel="00501397" w:rsidRDefault="00FD54FC">
            <w:pPr>
              <w:spacing w:before="0" w:after="0"/>
              <w:ind w:left="33"/>
              <w:rPr>
                <w:rFonts w:ascii="Times New Roman" w:hAnsi="Times New Roman"/>
                <w:b/>
                <w:bCs/>
                <w:sz w:val="24"/>
                <w:u w:val="single"/>
              </w:rPr>
            </w:pPr>
            <w:r w:rsidRPr="00E26EF6">
              <w:rPr>
                <w:rFonts w:ascii="Times New Roman" w:hAnsi="Times New Roman"/>
                <w:bCs/>
                <w:sz w:val="24"/>
              </w:rPr>
              <w:t>Zgodnie</w:t>
            </w:r>
            <w:r w:rsidR="00E26EF6" w:rsidRPr="00E26EF6">
              <w:rPr>
                <w:rFonts w:ascii="Times New Roman" w:hAnsi="Times New Roman"/>
                <w:bCs/>
                <w:sz w:val="24"/>
              </w:rPr>
              <w:t xml:space="preserve"> z czę</w:t>
            </w:r>
            <w:r w:rsidRPr="00E26EF6">
              <w:rPr>
                <w:rFonts w:ascii="Times New Roman" w:hAnsi="Times New Roman"/>
                <w:bCs/>
                <w:sz w:val="24"/>
              </w:rPr>
              <w:t>ścią 2 pkt</w:t>
            </w:r>
            <w:r w:rsidR="00023409" w:rsidRPr="00E26EF6">
              <w:rPr>
                <w:rFonts w:ascii="Times New Roman" w:hAnsi="Times New Roman"/>
                <w:bCs/>
                <w:sz w:val="24"/>
              </w:rPr>
              <w:t> </w:t>
            </w:r>
            <w:r w:rsidRPr="00E26EF6">
              <w:rPr>
                <w:rFonts w:ascii="Times New Roman" w:hAnsi="Times New Roman"/>
                <w:bCs/>
                <w:sz w:val="24"/>
              </w:rPr>
              <w:t>43</w:t>
            </w:r>
            <w:r w:rsidR="00E26EF6" w:rsidRPr="00E26EF6">
              <w:rPr>
                <w:rFonts w:ascii="Times New Roman" w:hAnsi="Times New Roman"/>
                <w:bCs/>
                <w:sz w:val="24"/>
              </w:rPr>
              <w:t xml:space="preserve"> i 4</w:t>
            </w:r>
            <w:r w:rsidRPr="00E26EF6">
              <w:rPr>
                <w:rFonts w:ascii="Times New Roman" w:hAnsi="Times New Roman"/>
                <w:bCs/>
                <w:sz w:val="24"/>
              </w:rPr>
              <w:t>4 załącznika V do niniejszego rozporządzenia wykonawczego sektor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jest bezpośrednim kontrahentem: a)</w:t>
            </w:r>
            <w:r w:rsidR="00E26EF6" w:rsidRPr="00E26EF6">
              <w:rPr>
                <w:rFonts w:ascii="Times New Roman" w:hAnsi="Times New Roman"/>
                <w:bCs/>
                <w:sz w:val="24"/>
              </w:rPr>
              <w:t xml:space="preserve"> w ram</w:t>
            </w:r>
            <w:r w:rsidRPr="00E26EF6">
              <w:rPr>
                <w:rFonts w:ascii="Times New Roman" w:hAnsi="Times New Roman"/>
                <w:bCs/>
                <w:sz w:val="24"/>
              </w:rPr>
              <w:t>ach udzielonej gwarancji finansowej, jeżeli jest bezpośrednim kontrahentem gwarantowanego instrumentu dłużnego, oraz b)</w:t>
            </w:r>
            <w:r w:rsidR="00E26EF6" w:rsidRPr="00E26EF6">
              <w:rPr>
                <w:rFonts w:ascii="Times New Roman" w:hAnsi="Times New Roman"/>
                <w:bCs/>
                <w:sz w:val="24"/>
              </w:rPr>
              <w:t xml:space="preserve"> w ram</w:t>
            </w:r>
            <w:r w:rsidRPr="00E26EF6">
              <w:rPr>
                <w:rFonts w:ascii="Times New Roman" w:hAnsi="Times New Roman"/>
                <w:bCs/>
                <w:sz w:val="24"/>
              </w:rPr>
              <w:t>ach udzielonego zobowiązania do udzielenia pożyczki</w:t>
            </w:r>
            <w:r w:rsidR="00E26EF6" w:rsidRPr="00E26EF6">
              <w:rPr>
                <w:rFonts w:ascii="Times New Roman" w:hAnsi="Times New Roman"/>
                <w:bCs/>
                <w:sz w:val="24"/>
              </w:rPr>
              <w:t xml:space="preserve"> i inn</w:t>
            </w:r>
            <w:r w:rsidRPr="00E26EF6">
              <w:rPr>
                <w:rFonts w:ascii="Times New Roman" w:hAnsi="Times New Roman"/>
                <w:bCs/>
                <w:sz w:val="24"/>
              </w:rPr>
              <w:t xml:space="preserve">ego udzielonego zobowiązania, jeżeli jest kontrahentem, którego ryzyko kredytowe przejmuje instytucja sprawozdająca. </w:t>
            </w:r>
          </w:p>
          <w:p w14:paraId="041464C7"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73EC8195" w14:textId="77777777" w:rsidTr="00672D2A">
        <w:tc>
          <w:tcPr>
            <w:tcW w:w="1188" w:type="dxa"/>
          </w:tcPr>
          <w:p w14:paraId="24400E20"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250</w:t>
            </w:r>
          </w:p>
        </w:tc>
        <w:tc>
          <w:tcPr>
            <w:tcW w:w="8640" w:type="dxa"/>
          </w:tcPr>
          <w:p w14:paraId="486A9A32"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Rezerwy</w:t>
            </w:r>
          </w:p>
          <w:p w14:paraId="3CAA4F53" w14:textId="77777777" w:rsidR="00915077" w:rsidRPr="00E26EF6" w:rsidRDefault="00915077">
            <w:pPr>
              <w:spacing w:before="0" w:after="0"/>
              <w:ind w:left="33"/>
              <w:rPr>
                <w:rFonts w:ascii="Times New Roman" w:hAnsi="Times New Roman"/>
                <w:bCs/>
                <w:sz w:val="24"/>
              </w:rPr>
            </w:pPr>
          </w:p>
          <w:p w14:paraId="6CB1F0DA" w14:textId="5DC87F33" w:rsidR="00915077" w:rsidRPr="00E26EF6" w:rsidRDefault="002F78EA">
            <w:pPr>
              <w:spacing w:before="0" w:after="0"/>
              <w:ind w:left="33"/>
              <w:rPr>
                <w:rFonts w:ascii="Times New Roman" w:hAnsi="Times New Roman"/>
                <w:bCs/>
                <w:sz w:val="24"/>
              </w:rPr>
            </w:pPr>
            <w:r w:rsidRPr="00113518">
              <w:rPr>
                <w:rFonts w:ascii="Times New Roman" w:hAnsi="Times New Roman"/>
                <w:bCs/>
                <w:sz w:val="24"/>
                <w:highlight w:val="yellow"/>
              </w:rPr>
              <w:lastRenderedPageBreak/>
              <w:t>Art. 4 ust.</w:t>
            </w:r>
            <w:r w:rsidR="00023409" w:rsidRPr="00113518">
              <w:rPr>
                <w:rFonts w:ascii="Times New Roman" w:hAnsi="Times New Roman"/>
                <w:bCs/>
                <w:sz w:val="24"/>
                <w:highlight w:val="yellow"/>
              </w:rPr>
              <w:t> </w:t>
            </w:r>
            <w:r w:rsidRPr="00113518">
              <w:rPr>
                <w:rFonts w:ascii="Times New Roman" w:hAnsi="Times New Roman"/>
                <w:bCs/>
                <w:sz w:val="24"/>
                <w:highlight w:val="yellow"/>
              </w:rPr>
              <w:t>6 lit.</w:t>
            </w:r>
            <w:r w:rsidR="00023409" w:rsidRPr="00113518">
              <w:rPr>
                <w:rFonts w:ascii="Times New Roman" w:hAnsi="Times New Roman"/>
                <w:bCs/>
                <w:sz w:val="24"/>
                <w:highlight w:val="yellow"/>
              </w:rPr>
              <w:t> </w:t>
            </w:r>
            <w:r w:rsidRPr="00113518">
              <w:rPr>
                <w:rFonts w:ascii="Times New Roman" w:hAnsi="Times New Roman"/>
                <w:bCs/>
                <w:sz w:val="24"/>
                <w:highlight w:val="yellow"/>
              </w:rPr>
              <w:t>c) oraz „pozycje pozabilansowe” określone</w:t>
            </w:r>
            <w:r w:rsidR="00E26EF6" w:rsidRPr="00113518">
              <w:rPr>
                <w:rFonts w:ascii="Times New Roman" w:hAnsi="Times New Roman"/>
                <w:bCs/>
                <w:sz w:val="24"/>
                <w:highlight w:val="yellow"/>
              </w:rPr>
              <w:t xml:space="preserve"> w art</w:t>
            </w:r>
            <w:r w:rsidRPr="00113518">
              <w:rPr>
                <w:rFonts w:ascii="Times New Roman" w:hAnsi="Times New Roman"/>
                <w:bCs/>
                <w:sz w:val="24"/>
                <w:highlight w:val="yellow"/>
              </w:rPr>
              <w:t>.</w:t>
            </w:r>
            <w:r w:rsidR="00023409" w:rsidRPr="00113518">
              <w:rPr>
                <w:rFonts w:ascii="Times New Roman" w:hAnsi="Times New Roman"/>
                <w:bCs/>
                <w:sz w:val="24"/>
                <w:highlight w:val="yellow"/>
              </w:rPr>
              <w:t> </w:t>
            </w:r>
            <w:r w:rsidRPr="00113518">
              <w:rPr>
                <w:rFonts w:ascii="Times New Roman" w:hAnsi="Times New Roman"/>
                <w:bCs/>
                <w:sz w:val="24"/>
                <w:highlight w:val="yellow"/>
              </w:rPr>
              <w:t>4, art.</w:t>
            </w:r>
            <w:r w:rsidR="00023409" w:rsidRPr="00113518">
              <w:rPr>
                <w:rFonts w:ascii="Times New Roman" w:hAnsi="Times New Roman"/>
                <w:bCs/>
                <w:sz w:val="24"/>
                <w:highlight w:val="yellow"/>
              </w:rPr>
              <w:t> </w:t>
            </w:r>
            <w:r w:rsidRPr="00113518">
              <w:rPr>
                <w:rFonts w:ascii="Times New Roman" w:hAnsi="Times New Roman"/>
                <w:bCs/>
                <w:sz w:val="24"/>
                <w:highlight w:val="yellow"/>
              </w:rPr>
              <w:t>27 ust.</w:t>
            </w:r>
            <w:r w:rsidR="00023409" w:rsidRPr="00113518">
              <w:rPr>
                <w:rFonts w:ascii="Times New Roman" w:hAnsi="Times New Roman"/>
                <w:bCs/>
                <w:sz w:val="24"/>
                <w:highlight w:val="yellow"/>
              </w:rPr>
              <w:t> </w:t>
            </w:r>
            <w:r w:rsidRPr="00113518">
              <w:rPr>
                <w:rFonts w:ascii="Times New Roman" w:hAnsi="Times New Roman"/>
                <w:bCs/>
                <w:sz w:val="24"/>
                <w:highlight w:val="yellow"/>
              </w:rPr>
              <w:t>11, art.</w:t>
            </w:r>
            <w:r w:rsidR="00023409" w:rsidRPr="00113518">
              <w:rPr>
                <w:rFonts w:ascii="Times New Roman" w:hAnsi="Times New Roman"/>
                <w:bCs/>
                <w:sz w:val="24"/>
                <w:highlight w:val="yellow"/>
              </w:rPr>
              <w:t> </w:t>
            </w:r>
            <w:r w:rsidRPr="00113518">
              <w:rPr>
                <w:rFonts w:ascii="Times New Roman" w:hAnsi="Times New Roman"/>
                <w:bCs/>
                <w:sz w:val="24"/>
                <w:highlight w:val="yellow"/>
              </w:rPr>
              <w:t>28 ust.</w:t>
            </w:r>
            <w:r w:rsidR="00023409" w:rsidRPr="00113518">
              <w:rPr>
                <w:rFonts w:ascii="Times New Roman" w:hAnsi="Times New Roman"/>
                <w:bCs/>
                <w:sz w:val="24"/>
                <w:highlight w:val="yellow"/>
              </w:rPr>
              <w:t> </w:t>
            </w:r>
            <w:r w:rsidRPr="00113518">
              <w:rPr>
                <w:rFonts w:ascii="Times New Roman" w:hAnsi="Times New Roman"/>
                <w:bCs/>
                <w:sz w:val="24"/>
                <w:highlight w:val="yellow"/>
              </w:rPr>
              <w:t>8</w:t>
            </w:r>
            <w:r w:rsidR="00E26EF6" w:rsidRPr="00E26EF6">
              <w:rPr>
                <w:rFonts w:ascii="Times New Roman" w:hAnsi="Times New Roman"/>
                <w:bCs/>
                <w:sz w:val="24"/>
              </w:rPr>
              <w:t xml:space="preserve"> i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33 BAD; MSSF 9 pkt</w:t>
            </w:r>
            <w:r w:rsidR="00023409" w:rsidRPr="00E26EF6">
              <w:rPr>
                <w:rFonts w:ascii="Times New Roman" w:hAnsi="Times New Roman"/>
                <w:bCs/>
                <w:sz w:val="24"/>
              </w:rPr>
              <w:t> </w:t>
            </w:r>
            <w:r w:rsidRPr="00E26EF6">
              <w:rPr>
                <w:rFonts w:ascii="Times New Roman" w:hAnsi="Times New Roman"/>
                <w:bCs/>
                <w:sz w:val="24"/>
              </w:rPr>
              <w:t>4.2.1 lit.</w:t>
            </w:r>
            <w:r w:rsidR="00023409" w:rsidRPr="00E26EF6">
              <w:rPr>
                <w:rFonts w:ascii="Times New Roman" w:hAnsi="Times New Roman"/>
                <w:bCs/>
                <w:sz w:val="24"/>
              </w:rPr>
              <w:t> </w:t>
            </w:r>
            <w:r w:rsidRPr="00E26EF6">
              <w:rPr>
                <w:rFonts w:ascii="Times New Roman" w:hAnsi="Times New Roman"/>
                <w:bCs/>
                <w:sz w:val="24"/>
              </w:rPr>
              <w:t>c) ppkt (ii), lit.</w:t>
            </w:r>
            <w:r w:rsidR="00023409" w:rsidRPr="00E26EF6">
              <w:rPr>
                <w:rFonts w:ascii="Times New Roman" w:hAnsi="Times New Roman"/>
                <w:bCs/>
                <w:sz w:val="24"/>
              </w:rPr>
              <w:t> </w:t>
            </w:r>
            <w:r w:rsidRPr="00E26EF6">
              <w:rPr>
                <w:rFonts w:ascii="Times New Roman" w:hAnsi="Times New Roman"/>
                <w:bCs/>
                <w:sz w:val="24"/>
              </w:rPr>
              <w:t>d) ppkt (ii), MSSF 9 pkt</w:t>
            </w:r>
            <w:r w:rsidR="00023409" w:rsidRPr="00E26EF6">
              <w:rPr>
                <w:rFonts w:ascii="Times New Roman" w:hAnsi="Times New Roman"/>
                <w:bCs/>
                <w:sz w:val="24"/>
              </w:rPr>
              <w:t> </w:t>
            </w:r>
            <w:r w:rsidRPr="00E26EF6">
              <w:rPr>
                <w:rFonts w:ascii="Times New Roman" w:hAnsi="Times New Roman"/>
                <w:bCs/>
                <w:sz w:val="24"/>
              </w:rPr>
              <w:t xml:space="preserve">5.5.20; MSR 37, MSSF 4, część 2.11 </w:t>
            </w:r>
            <w:proofErr w:type="gramStart"/>
            <w:r w:rsidRPr="00E26EF6">
              <w:rPr>
                <w:rFonts w:ascii="Times New Roman" w:hAnsi="Times New Roman"/>
                <w:bCs/>
                <w:sz w:val="24"/>
              </w:rPr>
              <w:t>załącznika</w:t>
            </w:r>
            <w:proofErr w:type="gramEnd"/>
            <w:r w:rsidRPr="00E26EF6">
              <w:rPr>
                <w:rFonts w:ascii="Times New Roman" w:hAnsi="Times New Roman"/>
                <w:bCs/>
                <w:sz w:val="24"/>
              </w:rPr>
              <w:t xml:space="preserve"> V do niniejszego rozporządzenia wykonawczego.</w:t>
            </w:r>
          </w:p>
          <w:p w14:paraId="0171C2E6" w14:textId="77777777" w:rsidR="00915077" w:rsidRPr="00E26EF6" w:rsidRDefault="00915077">
            <w:pPr>
              <w:spacing w:before="0" w:after="0"/>
              <w:ind w:left="33"/>
              <w:rPr>
                <w:rFonts w:ascii="Times New Roman" w:hAnsi="Times New Roman"/>
                <w:bCs/>
                <w:sz w:val="24"/>
              </w:rPr>
            </w:pPr>
          </w:p>
          <w:p w14:paraId="044EB405" w14:textId="24BBBBCE"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Rezerwy</w:t>
            </w:r>
            <w:r w:rsidR="00E26EF6" w:rsidRPr="00E26EF6">
              <w:rPr>
                <w:rFonts w:ascii="Times New Roman" w:hAnsi="Times New Roman"/>
                <w:bCs/>
                <w:sz w:val="24"/>
              </w:rPr>
              <w:t xml:space="preserve"> z tyt</w:t>
            </w:r>
            <w:r w:rsidRPr="00E26EF6">
              <w:rPr>
                <w:rFonts w:ascii="Times New Roman" w:hAnsi="Times New Roman"/>
                <w:bCs/>
                <w:sz w:val="24"/>
              </w:rPr>
              <w:t>ułu wszystkich ekspozycji pozabilansowych bez względu na sposób ich wyceny,</w:t>
            </w:r>
            <w:r w:rsidR="00E26EF6" w:rsidRPr="00E26EF6">
              <w:rPr>
                <w:rFonts w:ascii="Times New Roman" w:hAnsi="Times New Roman"/>
                <w:bCs/>
                <w:sz w:val="24"/>
              </w:rPr>
              <w:t xml:space="preserve"> z wyj</w:t>
            </w:r>
            <w:r w:rsidRPr="00E26EF6">
              <w:rPr>
                <w:rFonts w:ascii="Times New Roman" w:hAnsi="Times New Roman"/>
                <w:bCs/>
                <w:sz w:val="24"/>
              </w:rPr>
              <w:t>ątkiem ekspozycji wycenianych według wartości godziwej przez wynik finansowy zgodnie z MSSF 9.</w:t>
            </w:r>
          </w:p>
          <w:p w14:paraId="5A5CDBB6" w14:textId="76D5366B" w:rsidR="00915077" w:rsidRPr="00E26EF6" w:rsidRDefault="00915077">
            <w:pPr>
              <w:spacing w:before="0" w:after="0"/>
              <w:ind w:left="33"/>
              <w:rPr>
                <w:rFonts w:ascii="Times New Roman" w:hAnsi="Times New Roman"/>
                <w:bCs/>
                <w:sz w:val="24"/>
              </w:rPr>
            </w:pPr>
          </w:p>
          <w:p w14:paraId="3765CDC9" w14:textId="3EB7EE56"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Zgodnie z MSSF utratę wartości udzielonego zobowiązania do udzielenia pożyczki zgłasza się</w:t>
            </w:r>
            <w:r w:rsidR="00E26EF6" w:rsidRPr="00E26EF6">
              <w:rPr>
                <w:rFonts w:ascii="Times New Roman" w:hAnsi="Times New Roman"/>
                <w:bCs/>
                <w:sz w:val="24"/>
              </w:rPr>
              <w:t xml:space="preserve"> w kol</w:t>
            </w:r>
            <w:r w:rsidRPr="00E26EF6">
              <w:rPr>
                <w:rFonts w:ascii="Times New Roman" w:hAnsi="Times New Roman"/>
                <w:bCs/>
                <w:sz w:val="24"/>
              </w:rPr>
              <w:t>umnie 150,</w:t>
            </w:r>
            <w:r w:rsidR="00E26EF6" w:rsidRPr="00E26EF6">
              <w:rPr>
                <w:rFonts w:ascii="Times New Roman" w:hAnsi="Times New Roman"/>
                <w:bCs/>
                <w:sz w:val="24"/>
              </w:rPr>
              <w:t xml:space="preserve"> w prz</w:t>
            </w:r>
            <w:r w:rsidRPr="00E26EF6">
              <w:rPr>
                <w:rFonts w:ascii="Times New Roman" w:hAnsi="Times New Roman"/>
                <w:bCs/>
                <w:sz w:val="24"/>
              </w:rPr>
              <w:t>ypadku gdy instytucja nie jest</w:t>
            </w:r>
            <w:r w:rsidR="00E26EF6" w:rsidRPr="00E26EF6">
              <w:rPr>
                <w:rFonts w:ascii="Times New Roman" w:hAnsi="Times New Roman"/>
                <w:bCs/>
                <w:sz w:val="24"/>
              </w:rPr>
              <w:t xml:space="preserve"> w sta</w:t>
            </w:r>
            <w:r w:rsidRPr="00E26EF6">
              <w:rPr>
                <w:rFonts w:ascii="Times New Roman" w:hAnsi="Times New Roman"/>
                <w:bCs/>
                <w:sz w:val="24"/>
              </w:rPr>
              <w:t>nie odrębnie określić oczekiwanych strat kredytowych związanych</w:t>
            </w:r>
            <w:r w:rsidR="00E26EF6" w:rsidRPr="00E26EF6">
              <w:rPr>
                <w:rFonts w:ascii="Times New Roman" w:hAnsi="Times New Roman"/>
                <w:bCs/>
                <w:sz w:val="24"/>
              </w:rPr>
              <w:t xml:space="preserve"> z wyk</w:t>
            </w:r>
            <w:r w:rsidRPr="00E26EF6">
              <w:rPr>
                <w:rFonts w:ascii="Times New Roman" w:hAnsi="Times New Roman"/>
                <w:bCs/>
                <w:sz w:val="24"/>
              </w:rPr>
              <w:t>orzystaną</w:t>
            </w:r>
            <w:r w:rsidR="00E26EF6" w:rsidRPr="00E26EF6">
              <w:rPr>
                <w:rFonts w:ascii="Times New Roman" w:hAnsi="Times New Roman"/>
                <w:bCs/>
                <w:sz w:val="24"/>
              </w:rPr>
              <w:t xml:space="preserve"> i nie</w:t>
            </w:r>
            <w:r w:rsidRPr="00E26EF6">
              <w:rPr>
                <w:rFonts w:ascii="Times New Roman" w:hAnsi="Times New Roman"/>
                <w:bCs/>
                <w:sz w:val="24"/>
              </w:rPr>
              <w:t>wykorzystaną kwotą instrumentu dłużnego</w:t>
            </w:r>
            <w:r w:rsidR="00E26EF6" w:rsidRPr="00E26EF6">
              <w:rPr>
                <w:rFonts w:ascii="Times New Roman" w:hAnsi="Times New Roman"/>
                <w:bCs/>
                <w:sz w:val="24"/>
              </w:rPr>
              <w:t>. W prz</w:t>
            </w:r>
            <w:r w:rsidRPr="00E26EF6">
              <w:rPr>
                <w:rFonts w:ascii="Times New Roman" w:hAnsi="Times New Roman"/>
                <w:bCs/>
                <w:sz w:val="24"/>
              </w:rPr>
              <w:t>ypadku gdy połączone oczekiwane straty kredytowe dla tego instrumentu finansowego przekraczają wartość bilansową brutto elementu pożyczki</w:t>
            </w:r>
            <w:r w:rsidR="00E26EF6" w:rsidRPr="00E26EF6">
              <w:rPr>
                <w:rFonts w:ascii="Times New Roman" w:hAnsi="Times New Roman"/>
                <w:bCs/>
                <w:sz w:val="24"/>
              </w:rPr>
              <w:t xml:space="preserve"> w ram</w:t>
            </w:r>
            <w:r w:rsidRPr="00E26EF6">
              <w:rPr>
                <w:rFonts w:ascii="Times New Roman" w:hAnsi="Times New Roman"/>
                <w:bCs/>
                <w:sz w:val="24"/>
              </w:rPr>
              <w:t>ach tego instrumentu, pozostałe saldo oczekiwanych strat kredytowych zgłasza się jako rezerwę</w:t>
            </w:r>
            <w:r w:rsidR="00E26EF6" w:rsidRPr="00E26EF6">
              <w:rPr>
                <w:rFonts w:ascii="Times New Roman" w:hAnsi="Times New Roman"/>
                <w:bCs/>
                <w:sz w:val="24"/>
              </w:rPr>
              <w:t xml:space="preserve"> w kol</w:t>
            </w:r>
            <w:r w:rsidRPr="00E26EF6">
              <w:rPr>
                <w:rFonts w:ascii="Times New Roman" w:hAnsi="Times New Roman"/>
                <w:bCs/>
                <w:sz w:val="24"/>
              </w:rPr>
              <w:t>umnie 250.</w:t>
            </w:r>
          </w:p>
          <w:p w14:paraId="57946B7D"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160EDDDD" w14:textId="77777777" w:rsidTr="00672D2A">
        <w:tc>
          <w:tcPr>
            <w:tcW w:w="1188" w:type="dxa"/>
          </w:tcPr>
          <w:p w14:paraId="533435E7"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lastRenderedPageBreak/>
              <w:t>260</w:t>
            </w:r>
          </w:p>
        </w:tc>
        <w:tc>
          <w:tcPr>
            <w:tcW w:w="8640" w:type="dxa"/>
          </w:tcPr>
          <w:p w14:paraId="1504B3AA" w14:textId="4EE7EDF0"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Skumulowane ujemne zmiany wartości godziwej</w:t>
            </w:r>
            <w:r w:rsidR="00E26EF6" w:rsidRPr="00E26EF6">
              <w:rPr>
                <w:rFonts w:ascii="Times New Roman" w:hAnsi="Times New Roman"/>
                <w:b/>
                <w:bCs/>
                <w:sz w:val="24"/>
                <w:u w:val="single"/>
              </w:rPr>
              <w:t xml:space="preserve"> z pow</w:t>
            </w:r>
            <w:r w:rsidRPr="00E26EF6">
              <w:rPr>
                <w:rFonts w:ascii="Times New Roman" w:hAnsi="Times New Roman"/>
                <w:b/>
                <w:bCs/>
                <w:sz w:val="24"/>
                <w:u w:val="single"/>
              </w:rPr>
              <w:t xml:space="preserve">odu ryzyka kredytowego </w:t>
            </w:r>
          </w:p>
          <w:p w14:paraId="706D44F1" w14:textId="77777777" w:rsidR="00915077" w:rsidRPr="00E26EF6" w:rsidRDefault="00915077">
            <w:pPr>
              <w:spacing w:before="0" w:after="0"/>
              <w:ind w:left="33"/>
              <w:rPr>
                <w:rFonts w:ascii="Times New Roman" w:hAnsi="Times New Roman"/>
                <w:b/>
                <w:bCs/>
                <w:sz w:val="24"/>
                <w:u w:val="single"/>
              </w:rPr>
            </w:pPr>
          </w:p>
          <w:p w14:paraId="2AFAB6A1" w14:textId="02FFD38D"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 przypadku pozycji pozabilansowych wycenianych według wartości godziwej przez wynik finansowy zgodnie z MSSF 9 – skumulowane ujemne zmiany wartości godziwej</w:t>
            </w:r>
            <w:r w:rsidR="00E26EF6" w:rsidRPr="00E26EF6">
              <w:rPr>
                <w:rFonts w:ascii="Times New Roman" w:hAnsi="Times New Roman"/>
                <w:bCs/>
                <w:sz w:val="24"/>
              </w:rPr>
              <w:t xml:space="preserve"> z pow</w:t>
            </w:r>
            <w:r w:rsidRPr="00E26EF6">
              <w:rPr>
                <w:rFonts w:ascii="Times New Roman" w:hAnsi="Times New Roman"/>
                <w:bCs/>
                <w:sz w:val="24"/>
              </w:rPr>
              <w:t>odu ryzyka kredytowego (część 2 pkt</w:t>
            </w:r>
            <w:r w:rsidR="00023409" w:rsidRPr="00E26EF6">
              <w:rPr>
                <w:rFonts w:ascii="Times New Roman" w:hAnsi="Times New Roman"/>
                <w:bCs/>
                <w:sz w:val="24"/>
              </w:rPr>
              <w:t> </w:t>
            </w:r>
            <w:r w:rsidRPr="00E26EF6">
              <w:rPr>
                <w:rFonts w:ascii="Times New Roman" w:hAnsi="Times New Roman"/>
                <w:bCs/>
                <w:sz w:val="24"/>
              </w:rPr>
              <w:t>110 załącznika V do niniejszego rozporządzenia wykonawczego).</w:t>
            </w:r>
          </w:p>
          <w:p w14:paraId="6F3D19AC" w14:textId="77777777" w:rsidR="00915077" w:rsidRPr="00E26EF6" w:rsidRDefault="00730040">
            <w:pPr>
              <w:spacing w:before="0" w:after="0"/>
              <w:ind w:left="33"/>
              <w:rPr>
                <w:rFonts w:ascii="Times New Roman" w:hAnsi="Times New Roman"/>
                <w:b/>
                <w:bCs/>
                <w:sz w:val="24"/>
                <w:highlight w:val="lightGray"/>
                <w:u w:val="single"/>
              </w:rPr>
            </w:pPr>
            <w:r w:rsidRPr="00E26EF6">
              <w:rPr>
                <w:rFonts w:ascii="Times New Roman" w:hAnsi="Times New Roman"/>
                <w:bCs/>
                <w:sz w:val="24"/>
                <w:u w:val="single"/>
              </w:rPr>
              <w:t xml:space="preserve"> </w:t>
            </w:r>
          </w:p>
        </w:tc>
      </w:tr>
      <w:tr w:rsidR="00915077" w:rsidRPr="00E26EF6"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915077" w:rsidRPr="00E26EF6" w:rsidDel="008D1680" w:rsidRDefault="00FD54FC">
            <w:pPr>
              <w:spacing w:before="0" w:after="0"/>
              <w:ind w:left="33"/>
              <w:rPr>
                <w:rFonts w:ascii="Times New Roman" w:hAnsi="Times New Roman"/>
                <w:bCs/>
                <w:sz w:val="24"/>
                <w:highlight w:val="lightGray"/>
              </w:rPr>
            </w:pPr>
            <w:r w:rsidRPr="00E26EF6">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24DB13B5"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Pozycja uzupełniająca: kredytowe instrumenty pochodne sprzedane</w:t>
            </w:r>
            <w:r w:rsidR="00E26EF6" w:rsidRPr="00E26EF6">
              <w:rPr>
                <w:rFonts w:ascii="Times New Roman" w:hAnsi="Times New Roman"/>
                <w:b/>
                <w:bCs/>
                <w:sz w:val="24"/>
                <w:u w:val="single"/>
              </w:rPr>
              <w:t xml:space="preserve"> w zwi</w:t>
            </w:r>
            <w:r w:rsidRPr="00E26EF6">
              <w:rPr>
                <w:rFonts w:ascii="Times New Roman" w:hAnsi="Times New Roman"/>
                <w:b/>
                <w:bCs/>
                <w:sz w:val="24"/>
                <w:u w:val="single"/>
              </w:rPr>
              <w:t>ązku</w:t>
            </w:r>
            <w:r w:rsidR="00E26EF6" w:rsidRPr="00E26EF6">
              <w:rPr>
                <w:rFonts w:ascii="Times New Roman" w:hAnsi="Times New Roman"/>
                <w:b/>
                <w:bCs/>
                <w:sz w:val="24"/>
                <w:u w:val="single"/>
              </w:rPr>
              <w:t xml:space="preserve"> z eks</w:t>
            </w:r>
            <w:r w:rsidRPr="00E26EF6">
              <w:rPr>
                <w:rFonts w:ascii="Times New Roman" w:hAnsi="Times New Roman"/>
                <w:b/>
                <w:bCs/>
                <w:sz w:val="24"/>
                <w:u w:val="single"/>
              </w:rPr>
              <w:t>pozycjami wobec sektora instytucji rządowych</w:t>
            </w:r>
            <w:r w:rsidR="00E26EF6" w:rsidRPr="00E26EF6">
              <w:rPr>
                <w:rFonts w:ascii="Times New Roman" w:hAnsi="Times New Roman"/>
                <w:b/>
                <w:bCs/>
                <w:sz w:val="24"/>
                <w:u w:val="single"/>
              </w:rPr>
              <w:t xml:space="preserve"> i sam</w:t>
            </w:r>
            <w:r w:rsidRPr="00E26EF6">
              <w:rPr>
                <w:rFonts w:ascii="Times New Roman" w:hAnsi="Times New Roman"/>
                <w:b/>
                <w:bCs/>
                <w:sz w:val="24"/>
                <w:u w:val="single"/>
              </w:rPr>
              <w:t>orządowych</w:t>
            </w:r>
          </w:p>
          <w:p w14:paraId="11CE1BEC" w14:textId="77777777" w:rsidR="00915077" w:rsidRPr="00E26EF6" w:rsidRDefault="00915077">
            <w:pPr>
              <w:spacing w:before="0" w:after="0"/>
              <w:ind w:left="33"/>
              <w:rPr>
                <w:rFonts w:ascii="Times New Roman" w:hAnsi="Times New Roman"/>
                <w:b/>
                <w:bCs/>
                <w:sz w:val="24"/>
                <w:u w:val="single"/>
              </w:rPr>
            </w:pPr>
          </w:p>
          <w:p w14:paraId="2B11DF2A" w14:textId="053C3FA4"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Należy zgłosić kredytowe instrumenty pochodne, które nie spełniają definicji gwarancji finansowych określonych</w:t>
            </w:r>
            <w:r w:rsidR="00E26EF6" w:rsidRPr="00E26EF6">
              <w:rPr>
                <w:rFonts w:ascii="Times New Roman" w:hAnsi="Times New Roman"/>
                <w:bCs/>
                <w:sz w:val="24"/>
              </w:rPr>
              <w:t xml:space="preserve"> </w:t>
            </w:r>
            <w:r w:rsidR="00E26EF6" w:rsidRPr="00113518">
              <w:rPr>
                <w:rFonts w:ascii="Times New Roman" w:hAnsi="Times New Roman"/>
                <w:bCs/>
                <w:sz w:val="24"/>
                <w:highlight w:val="yellow"/>
              </w:rPr>
              <w:t>w zał</w:t>
            </w:r>
            <w:r w:rsidRPr="00113518">
              <w:rPr>
                <w:rFonts w:ascii="Times New Roman" w:hAnsi="Times New Roman"/>
                <w:bCs/>
                <w:sz w:val="24"/>
                <w:highlight w:val="yellow"/>
              </w:rPr>
              <w:t>ączniku V część 2 pkt</w:t>
            </w:r>
            <w:r w:rsidR="00023409" w:rsidRPr="00113518">
              <w:rPr>
                <w:rFonts w:ascii="Times New Roman" w:hAnsi="Times New Roman"/>
                <w:bCs/>
                <w:sz w:val="24"/>
                <w:highlight w:val="yellow"/>
              </w:rPr>
              <w:t> </w:t>
            </w:r>
            <w:r w:rsidRPr="00113518">
              <w:rPr>
                <w:rFonts w:ascii="Times New Roman" w:hAnsi="Times New Roman"/>
                <w:bCs/>
                <w:sz w:val="24"/>
                <w:highlight w:val="yellow"/>
              </w:rPr>
              <w:t>58</w:t>
            </w:r>
            <w:r w:rsidRPr="00E26EF6">
              <w:rPr>
                <w:rFonts w:ascii="Times New Roman" w:hAnsi="Times New Roman"/>
                <w:bCs/>
                <w:sz w:val="24"/>
              </w:rPr>
              <w:t>, których instytucja sprawozdająca udzieliła kontrahentom innym niż sektor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w:t>
            </w:r>
            <w:r w:rsidR="00E26EF6" w:rsidRPr="00E26EF6">
              <w:rPr>
                <w:rFonts w:ascii="Times New Roman" w:hAnsi="Times New Roman"/>
                <w:bCs/>
                <w:sz w:val="24"/>
              </w:rPr>
              <w:t xml:space="preserve"> i któ</w:t>
            </w:r>
            <w:r w:rsidRPr="00E26EF6">
              <w:rPr>
                <w:rFonts w:ascii="Times New Roman" w:hAnsi="Times New Roman"/>
                <w:bCs/>
                <w:sz w:val="24"/>
              </w:rPr>
              <w:t>rych ekspozycją referencyjną jest sektor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w:t>
            </w:r>
          </w:p>
          <w:p w14:paraId="67AB0B19" w14:textId="77777777" w:rsidR="00915077" w:rsidRPr="00E26EF6" w:rsidRDefault="00915077">
            <w:pPr>
              <w:spacing w:before="0" w:after="0"/>
              <w:ind w:left="33"/>
              <w:rPr>
                <w:rFonts w:ascii="Times New Roman" w:hAnsi="Times New Roman"/>
                <w:bCs/>
                <w:sz w:val="24"/>
              </w:rPr>
            </w:pPr>
          </w:p>
          <w:p w14:paraId="27D5AACE" w14:textId="6C60D2DC"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Kolumn tych nie zgłasza się dla ekspozycji</w:t>
            </w:r>
            <w:r w:rsidR="00E26EF6" w:rsidRPr="00E26EF6">
              <w:rPr>
                <w:rFonts w:ascii="Times New Roman" w:hAnsi="Times New Roman"/>
                <w:bCs/>
                <w:sz w:val="24"/>
              </w:rPr>
              <w:t xml:space="preserve"> w pod</w:t>
            </w:r>
            <w:r w:rsidRPr="00E26EF6">
              <w:rPr>
                <w:rFonts w:ascii="Times New Roman" w:hAnsi="Times New Roman"/>
                <w:bCs/>
                <w:sz w:val="24"/>
              </w:rPr>
              <w:t>ziale według ryzyka, podejścia regulacyjnego</w:t>
            </w:r>
            <w:r w:rsidR="00E26EF6" w:rsidRPr="00E26EF6">
              <w:rPr>
                <w:rFonts w:ascii="Times New Roman" w:hAnsi="Times New Roman"/>
                <w:bCs/>
                <w:sz w:val="24"/>
              </w:rPr>
              <w:t xml:space="preserve"> i kat</w:t>
            </w:r>
            <w:r w:rsidRPr="00E26EF6">
              <w:rPr>
                <w:rFonts w:ascii="Times New Roman" w:hAnsi="Times New Roman"/>
                <w:bCs/>
                <w:sz w:val="24"/>
              </w:rPr>
              <w:t>egorii ekspozycji (wiersze 020 do</w:t>
            </w:r>
            <w:r w:rsidR="00023409" w:rsidRPr="00E26EF6">
              <w:rPr>
                <w:rFonts w:ascii="Times New Roman" w:hAnsi="Times New Roman"/>
                <w:bCs/>
                <w:sz w:val="24"/>
              </w:rPr>
              <w:t> </w:t>
            </w:r>
            <w:r w:rsidRPr="00E26EF6">
              <w:rPr>
                <w:rFonts w:ascii="Times New Roman" w:hAnsi="Times New Roman"/>
                <w:bCs/>
                <w:sz w:val="24"/>
              </w:rPr>
              <w:t>160).</w:t>
            </w:r>
          </w:p>
          <w:p w14:paraId="4B0669D1" w14:textId="77777777" w:rsidR="00915077" w:rsidRPr="00E26EF6" w:rsidRDefault="00915077">
            <w:pPr>
              <w:spacing w:before="0" w:after="0"/>
              <w:ind w:left="33"/>
              <w:rPr>
                <w:rFonts w:ascii="Times New Roman" w:hAnsi="Times New Roman"/>
                <w:bCs/>
                <w:sz w:val="24"/>
              </w:rPr>
            </w:pPr>
          </w:p>
          <w:p w14:paraId="50164D9E" w14:textId="7134EFEF"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Ekspozycji zgłoszonych</w:t>
            </w:r>
            <w:r w:rsidR="00E26EF6" w:rsidRPr="00E26EF6">
              <w:rPr>
                <w:rFonts w:ascii="Times New Roman" w:hAnsi="Times New Roman"/>
                <w:bCs/>
                <w:sz w:val="24"/>
              </w:rPr>
              <w:t xml:space="preserve"> w tej</w:t>
            </w:r>
            <w:r w:rsidRPr="00E26EF6">
              <w:rPr>
                <w:rFonts w:ascii="Times New Roman" w:hAnsi="Times New Roman"/>
                <w:bCs/>
                <w:sz w:val="24"/>
              </w:rPr>
              <w:t xml:space="preserve"> sekcji nie uwzględnia się</w:t>
            </w:r>
            <w:r w:rsidR="00E26EF6" w:rsidRPr="00E26EF6">
              <w:rPr>
                <w:rFonts w:ascii="Times New Roman" w:hAnsi="Times New Roman"/>
                <w:bCs/>
                <w:sz w:val="24"/>
              </w:rPr>
              <w:t xml:space="preserve"> w obl</w:t>
            </w:r>
            <w:r w:rsidRPr="00E26EF6">
              <w:rPr>
                <w:rFonts w:ascii="Times New Roman" w:hAnsi="Times New Roman"/>
                <w:bCs/>
                <w:sz w:val="24"/>
              </w:rPr>
              <w:t>iczeniach wartości ekspozycji</w:t>
            </w:r>
            <w:r w:rsidR="00E26EF6" w:rsidRPr="00E26EF6">
              <w:rPr>
                <w:rFonts w:ascii="Times New Roman" w:hAnsi="Times New Roman"/>
                <w:bCs/>
                <w:sz w:val="24"/>
              </w:rPr>
              <w:t xml:space="preserve"> i kwo</w:t>
            </w:r>
            <w:r w:rsidRPr="00E26EF6">
              <w:rPr>
                <w:rFonts w:ascii="Times New Roman" w:hAnsi="Times New Roman"/>
                <w:bCs/>
                <w:sz w:val="24"/>
              </w:rPr>
              <w:t>ty ważonej ryzykiem (kolumny 290</w:t>
            </w:r>
            <w:r w:rsidR="00E26EF6" w:rsidRPr="00E26EF6">
              <w:rPr>
                <w:rFonts w:ascii="Times New Roman" w:hAnsi="Times New Roman"/>
                <w:bCs/>
                <w:sz w:val="24"/>
              </w:rPr>
              <w:t xml:space="preserve"> i 3</w:t>
            </w:r>
            <w:r w:rsidRPr="00E26EF6">
              <w:rPr>
                <w:rFonts w:ascii="Times New Roman" w:hAnsi="Times New Roman"/>
                <w:bCs/>
                <w:sz w:val="24"/>
              </w:rPr>
              <w:t xml:space="preserve">00), których podstawę stanowią wyłącznie ekspozycje bezpośrednie. </w:t>
            </w:r>
          </w:p>
          <w:p w14:paraId="02AC8650" w14:textId="77777777" w:rsidR="00915077" w:rsidRPr="00E26EF6" w:rsidRDefault="00FD54FC">
            <w:pPr>
              <w:spacing w:before="0" w:after="0"/>
              <w:ind w:left="33"/>
              <w:rPr>
                <w:rFonts w:ascii="Times New Roman" w:hAnsi="Times New Roman"/>
                <w:b/>
                <w:bCs/>
                <w:sz w:val="24"/>
                <w:highlight w:val="lightGray"/>
                <w:u w:val="single"/>
              </w:rPr>
            </w:pPr>
            <w:r w:rsidRPr="00E26EF6">
              <w:rPr>
                <w:rFonts w:ascii="Times New Roman" w:hAnsi="Times New Roman"/>
                <w:b/>
                <w:bCs/>
                <w:sz w:val="24"/>
                <w:u w:val="single"/>
              </w:rPr>
              <w:t xml:space="preserve"> </w:t>
            </w:r>
          </w:p>
        </w:tc>
      </w:tr>
      <w:tr w:rsidR="00915077" w:rsidRPr="00E26EF6"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915077" w:rsidRPr="00E26EF6" w:rsidDel="008D1680" w:rsidRDefault="00FD54FC">
            <w:pPr>
              <w:spacing w:before="0" w:after="0"/>
              <w:ind w:left="33"/>
              <w:rPr>
                <w:rFonts w:ascii="Times New Roman" w:hAnsi="Times New Roman"/>
                <w:bCs/>
                <w:sz w:val="24"/>
                <w:highlight w:val="lightGray"/>
              </w:rPr>
            </w:pPr>
            <w:r w:rsidRPr="00E26EF6">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253C7ACA"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Instrumenty pochodne</w:t>
            </w:r>
            <w:r w:rsidR="00E26EF6" w:rsidRPr="00E26EF6">
              <w:rPr>
                <w:rFonts w:ascii="Times New Roman" w:hAnsi="Times New Roman"/>
                <w:b/>
                <w:bCs/>
                <w:sz w:val="24"/>
                <w:u w:val="single"/>
              </w:rPr>
              <w:t xml:space="preserve"> o dod</w:t>
            </w:r>
            <w:r w:rsidRPr="00E26EF6">
              <w:rPr>
                <w:rFonts w:ascii="Times New Roman" w:hAnsi="Times New Roman"/>
                <w:b/>
                <w:bCs/>
                <w:sz w:val="24"/>
                <w:u w:val="single"/>
              </w:rPr>
              <w:t>atniej wartości godziwej – wartość bilansowa</w:t>
            </w:r>
          </w:p>
          <w:p w14:paraId="313828AF" w14:textId="77777777" w:rsidR="00915077" w:rsidRPr="00E26EF6" w:rsidRDefault="00915077">
            <w:pPr>
              <w:spacing w:before="0" w:after="0"/>
              <w:ind w:left="33"/>
              <w:rPr>
                <w:rFonts w:ascii="Times New Roman" w:hAnsi="Times New Roman"/>
                <w:b/>
                <w:bCs/>
                <w:sz w:val="24"/>
                <w:u w:val="single"/>
              </w:rPr>
            </w:pPr>
          </w:p>
          <w:p w14:paraId="527DA155" w14:textId="22396A14"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Zagregowana wartość bilansowa kredytowych instrumentów pochodnych sprzedanych</w:t>
            </w:r>
            <w:r w:rsidR="00E26EF6" w:rsidRPr="00E26EF6">
              <w:rPr>
                <w:rFonts w:ascii="Times New Roman" w:hAnsi="Times New Roman"/>
                <w:bCs/>
                <w:sz w:val="24"/>
              </w:rPr>
              <w:t xml:space="preserve"> w zwi</w:t>
            </w:r>
            <w:r w:rsidRPr="00E26EF6">
              <w:rPr>
                <w:rFonts w:ascii="Times New Roman" w:hAnsi="Times New Roman"/>
                <w:bCs/>
                <w:sz w:val="24"/>
              </w:rPr>
              <w:t>ązku ze zgłoszonymi ekspozycjami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których wartość godziwa jest dodatnia dla instytucji na sprawozdawczy dzień odniesienia, bez uwzględniania korekt</w:t>
            </w:r>
            <w:r w:rsidR="00E26EF6" w:rsidRPr="00E26EF6">
              <w:rPr>
                <w:rFonts w:ascii="Times New Roman" w:hAnsi="Times New Roman"/>
                <w:bCs/>
                <w:sz w:val="24"/>
              </w:rPr>
              <w:t xml:space="preserve"> z tyt</w:t>
            </w:r>
            <w:r w:rsidRPr="00E26EF6">
              <w:rPr>
                <w:rFonts w:ascii="Times New Roman" w:hAnsi="Times New Roman"/>
                <w:bCs/>
                <w:sz w:val="24"/>
              </w:rPr>
              <w:t>ułu ostrożnej wyceny.</w:t>
            </w:r>
          </w:p>
          <w:p w14:paraId="38A318F7" w14:textId="77777777" w:rsidR="00915077" w:rsidRPr="00E26EF6" w:rsidRDefault="00915077">
            <w:pPr>
              <w:spacing w:before="0" w:after="0"/>
              <w:ind w:left="33"/>
              <w:rPr>
                <w:rFonts w:ascii="Times New Roman" w:hAnsi="Times New Roman"/>
                <w:bCs/>
                <w:sz w:val="24"/>
              </w:rPr>
            </w:pPr>
          </w:p>
          <w:p w14:paraId="64018276" w14:textId="0D49877D"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 przypadku instrumentów pochodnych zgodnie z MSSF kwota, którą należy zgłosić</w:t>
            </w:r>
            <w:r w:rsidR="00E26EF6" w:rsidRPr="00E26EF6">
              <w:rPr>
                <w:rFonts w:ascii="Times New Roman" w:hAnsi="Times New Roman"/>
                <w:bCs/>
                <w:sz w:val="24"/>
              </w:rPr>
              <w:t xml:space="preserve"> w tej</w:t>
            </w:r>
            <w:r w:rsidRPr="00E26EF6">
              <w:rPr>
                <w:rFonts w:ascii="Times New Roman" w:hAnsi="Times New Roman"/>
                <w:bCs/>
                <w:sz w:val="24"/>
              </w:rPr>
              <w:t xml:space="preserve"> kolumnie, jest wartością bilansową instrumentów pochodnych będących aktywami finansowymi na dzień sprawozdawczy.</w:t>
            </w:r>
          </w:p>
          <w:p w14:paraId="28F6D4B1" w14:textId="77777777" w:rsidR="00915077" w:rsidRPr="00E26EF6" w:rsidRDefault="00915077">
            <w:pPr>
              <w:spacing w:before="0" w:after="0"/>
              <w:ind w:left="33"/>
              <w:rPr>
                <w:rFonts w:ascii="Times New Roman" w:hAnsi="Times New Roman"/>
                <w:bCs/>
                <w:sz w:val="24"/>
              </w:rPr>
            </w:pPr>
          </w:p>
          <w:p w14:paraId="204A4C64" w14:textId="7D08DDF2"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 przypadku instrumentów pochodnych zgodnie</w:t>
            </w:r>
            <w:r w:rsidR="00E26EF6" w:rsidRPr="00E26EF6">
              <w:rPr>
                <w:rFonts w:ascii="Times New Roman" w:hAnsi="Times New Roman"/>
                <w:bCs/>
                <w:sz w:val="24"/>
              </w:rPr>
              <w:t xml:space="preserve"> z kra</w:t>
            </w:r>
            <w:r w:rsidRPr="00E26EF6">
              <w:rPr>
                <w:rFonts w:ascii="Times New Roman" w:hAnsi="Times New Roman"/>
                <w:bCs/>
                <w:sz w:val="24"/>
              </w:rPr>
              <w:t>jowymi ogólnie przyjętymi zasadami rachunkowości opartymi na BAD kwota, którą należy zgłosić</w:t>
            </w:r>
            <w:r w:rsidR="00E26EF6" w:rsidRPr="00E26EF6">
              <w:rPr>
                <w:rFonts w:ascii="Times New Roman" w:hAnsi="Times New Roman"/>
                <w:bCs/>
                <w:sz w:val="24"/>
              </w:rPr>
              <w:t xml:space="preserve"> w tej</w:t>
            </w:r>
            <w:r w:rsidRPr="00E26EF6">
              <w:rPr>
                <w:rFonts w:ascii="Times New Roman" w:hAnsi="Times New Roman"/>
                <w:bCs/>
                <w:sz w:val="24"/>
              </w:rPr>
              <w:t xml:space="preserve"> kolumnie, jest wartością godziwą instrumentów pochodnych</w:t>
            </w:r>
            <w:r w:rsidR="00E26EF6" w:rsidRPr="00E26EF6">
              <w:rPr>
                <w:rFonts w:ascii="Times New Roman" w:hAnsi="Times New Roman"/>
                <w:bCs/>
                <w:sz w:val="24"/>
              </w:rPr>
              <w:t xml:space="preserve"> o dod</w:t>
            </w:r>
            <w:r w:rsidRPr="00E26EF6">
              <w:rPr>
                <w:rFonts w:ascii="Times New Roman" w:hAnsi="Times New Roman"/>
                <w:bCs/>
                <w:sz w:val="24"/>
              </w:rPr>
              <w:t>atniej wartości godziwej na sprawozdawczy dzień odniesienia, bez względu na sposób ich ujęcia.</w:t>
            </w:r>
          </w:p>
          <w:p w14:paraId="5D6153BF"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915077" w:rsidRPr="00E26EF6" w:rsidDel="008D1680" w:rsidRDefault="00FD54FC">
            <w:pPr>
              <w:spacing w:before="0" w:after="0"/>
              <w:ind w:left="33"/>
              <w:rPr>
                <w:rFonts w:ascii="Times New Roman" w:hAnsi="Times New Roman"/>
                <w:bCs/>
                <w:sz w:val="24"/>
                <w:highlight w:val="lightGray"/>
              </w:rPr>
            </w:pPr>
            <w:r w:rsidRPr="00E26EF6">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01C13E8E"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Instrumenty pochodne</w:t>
            </w:r>
            <w:r w:rsidR="00E26EF6" w:rsidRPr="00E26EF6">
              <w:rPr>
                <w:rFonts w:ascii="Times New Roman" w:hAnsi="Times New Roman"/>
                <w:b/>
                <w:bCs/>
                <w:sz w:val="24"/>
                <w:u w:val="single"/>
              </w:rPr>
              <w:t xml:space="preserve"> o uje</w:t>
            </w:r>
            <w:r w:rsidRPr="00E26EF6">
              <w:rPr>
                <w:rFonts w:ascii="Times New Roman" w:hAnsi="Times New Roman"/>
                <w:b/>
                <w:bCs/>
                <w:sz w:val="24"/>
                <w:u w:val="single"/>
              </w:rPr>
              <w:t>mnej wartości godziwej – wartość bilansowa</w:t>
            </w:r>
          </w:p>
          <w:p w14:paraId="719F20DC" w14:textId="77777777" w:rsidR="00915077" w:rsidRPr="00E26EF6" w:rsidRDefault="00915077">
            <w:pPr>
              <w:spacing w:before="0" w:after="0"/>
              <w:ind w:left="33"/>
              <w:rPr>
                <w:rFonts w:ascii="Times New Roman" w:hAnsi="Times New Roman"/>
                <w:b/>
                <w:bCs/>
                <w:sz w:val="24"/>
                <w:u w:val="single"/>
              </w:rPr>
            </w:pPr>
          </w:p>
          <w:p w14:paraId="00BC88B1" w14:textId="25AB8ADF"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Zagregowana wartość bilansowa kredytowych instrumentów pochodnych sprzedanych</w:t>
            </w:r>
            <w:r w:rsidR="00E26EF6" w:rsidRPr="00E26EF6">
              <w:rPr>
                <w:rFonts w:ascii="Times New Roman" w:hAnsi="Times New Roman"/>
                <w:bCs/>
                <w:sz w:val="24"/>
              </w:rPr>
              <w:t xml:space="preserve"> w zwi</w:t>
            </w:r>
            <w:r w:rsidRPr="00E26EF6">
              <w:rPr>
                <w:rFonts w:ascii="Times New Roman" w:hAnsi="Times New Roman"/>
                <w:bCs/>
                <w:sz w:val="24"/>
              </w:rPr>
              <w:t>ązku ze zgłoszonymi ekspozycjami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których wartość godziwa jest ujemna dla instytucji na sprawozdawczy dzień odniesienia, bez uwzględniania korekt</w:t>
            </w:r>
            <w:r w:rsidR="00E26EF6" w:rsidRPr="00E26EF6">
              <w:rPr>
                <w:rFonts w:ascii="Times New Roman" w:hAnsi="Times New Roman"/>
                <w:bCs/>
                <w:sz w:val="24"/>
              </w:rPr>
              <w:t xml:space="preserve"> z tyt</w:t>
            </w:r>
            <w:r w:rsidRPr="00E26EF6">
              <w:rPr>
                <w:rFonts w:ascii="Times New Roman" w:hAnsi="Times New Roman"/>
                <w:bCs/>
                <w:sz w:val="24"/>
              </w:rPr>
              <w:t>ułu ostrożnej wyceny.</w:t>
            </w:r>
          </w:p>
          <w:p w14:paraId="5BD4B003" w14:textId="77777777" w:rsidR="00915077" w:rsidRPr="00E26EF6" w:rsidRDefault="00915077">
            <w:pPr>
              <w:spacing w:before="0" w:after="0"/>
              <w:ind w:left="33"/>
              <w:rPr>
                <w:rFonts w:ascii="Times New Roman" w:hAnsi="Times New Roman"/>
                <w:bCs/>
                <w:sz w:val="24"/>
              </w:rPr>
            </w:pPr>
          </w:p>
          <w:p w14:paraId="09714866" w14:textId="2CA47F30"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lastRenderedPageBreak/>
              <w:t>W przypadku instrumentów pochodnych zgodnie z MSSF kwota, którą należy zgłosić</w:t>
            </w:r>
            <w:r w:rsidR="00E26EF6" w:rsidRPr="00E26EF6">
              <w:rPr>
                <w:rFonts w:ascii="Times New Roman" w:hAnsi="Times New Roman"/>
                <w:bCs/>
                <w:sz w:val="24"/>
              </w:rPr>
              <w:t xml:space="preserve"> w tej</w:t>
            </w:r>
            <w:r w:rsidRPr="00E26EF6">
              <w:rPr>
                <w:rFonts w:ascii="Times New Roman" w:hAnsi="Times New Roman"/>
                <w:bCs/>
                <w:sz w:val="24"/>
              </w:rPr>
              <w:t xml:space="preserve"> kolumnie, jest wartością bilansową instrumentów pochodnych będących zobowiązaniami finansowymi na dzień sprawozdawczy. </w:t>
            </w:r>
          </w:p>
          <w:p w14:paraId="59F31FCF" w14:textId="77777777" w:rsidR="00915077" w:rsidRPr="00E26EF6" w:rsidRDefault="00915077">
            <w:pPr>
              <w:spacing w:before="0" w:after="0"/>
              <w:ind w:left="33"/>
              <w:rPr>
                <w:rFonts w:ascii="Times New Roman" w:hAnsi="Times New Roman"/>
                <w:bCs/>
                <w:sz w:val="24"/>
              </w:rPr>
            </w:pPr>
          </w:p>
          <w:p w14:paraId="5F182F39" w14:textId="51F6DD93" w:rsidR="00915077" w:rsidRPr="00E26EF6" w:rsidRDefault="00FD54FC">
            <w:pPr>
              <w:spacing w:before="0" w:after="0"/>
              <w:ind w:left="33"/>
              <w:rPr>
                <w:rFonts w:ascii="Times New Roman" w:hAnsi="Times New Roman"/>
                <w:b/>
                <w:bCs/>
                <w:sz w:val="24"/>
                <w:u w:val="single"/>
              </w:rPr>
            </w:pPr>
            <w:r w:rsidRPr="00E26EF6">
              <w:rPr>
                <w:rFonts w:ascii="Times New Roman" w:hAnsi="Times New Roman"/>
                <w:bCs/>
                <w:sz w:val="24"/>
              </w:rPr>
              <w:t>W przypadku instrumentów pochodnych zgodnie</w:t>
            </w:r>
            <w:r w:rsidR="00E26EF6" w:rsidRPr="00E26EF6">
              <w:rPr>
                <w:rFonts w:ascii="Times New Roman" w:hAnsi="Times New Roman"/>
                <w:bCs/>
                <w:sz w:val="24"/>
              </w:rPr>
              <w:t xml:space="preserve"> z kra</w:t>
            </w:r>
            <w:r w:rsidRPr="00E26EF6">
              <w:rPr>
                <w:rFonts w:ascii="Times New Roman" w:hAnsi="Times New Roman"/>
                <w:bCs/>
                <w:sz w:val="24"/>
              </w:rPr>
              <w:t>jowymi ogólnie przyjętymi zasadami rachunkowości opartymi na BAD kwota, którą należy zgłosić</w:t>
            </w:r>
            <w:r w:rsidR="00E26EF6" w:rsidRPr="00E26EF6">
              <w:rPr>
                <w:rFonts w:ascii="Times New Roman" w:hAnsi="Times New Roman"/>
                <w:bCs/>
                <w:sz w:val="24"/>
              </w:rPr>
              <w:t xml:space="preserve"> w tej</w:t>
            </w:r>
            <w:r w:rsidRPr="00E26EF6">
              <w:rPr>
                <w:rFonts w:ascii="Times New Roman" w:hAnsi="Times New Roman"/>
                <w:bCs/>
                <w:sz w:val="24"/>
              </w:rPr>
              <w:t xml:space="preserve"> kolumnie, jest wartością godziwą instrumentów pochodnych</w:t>
            </w:r>
            <w:r w:rsidR="00E26EF6" w:rsidRPr="00E26EF6">
              <w:rPr>
                <w:rFonts w:ascii="Times New Roman" w:hAnsi="Times New Roman"/>
                <w:bCs/>
                <w:sz w:val="24"/>
              </w:rPr>
              <w:t xml:space="preserve"> o uje</w:t>
            </w:r>
            <w:r w:rsidRPr="00E26EF6">
              <w:rPr>
                <w:rFonts w:ascii="Times New Roman" w:hAnsi="Times New Roman"/>
                <w:bCs/>
                <w:sz w:val="24"/>
              </w:rPr>
              <w:t>mnej wartości godziwej na sprawozdawczy dzień odniesienia, bez względu na sposób ich ujęcia.</w:t>
            </w:r>
            <w:r w:rsidRPr="00E26EF6">
              <w:rPr>
                <w:rFonts w:ascii="Times New Roman" w:hAnsi="Times New Roman"/>
                <w:b/>
                <w:bCs/>
                <w:sz w:val="24"/>
                <w:u w:val="single"/>
              </w:rPr>
              <w:t xml:space="preserve"> </w:t>
            </w:r>
          </w:p>
          <w:p w14:paraId="3DD8948B"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915077" w:rsidRPr="00E26EF6" w:rsidDel="008D1680" w:rsidRDefault="00FD54FC">
            <w:pPr>
              <w:spacing w:before="0" w:after="0"/>
              <w:ind w:left="33"/>
              <w:rPr>
                <w:rFonts w:ascii="Times New Roman" w:hAnsi="Times New Roman"/>
                <w:bCs/>
                <w:sz w:val="24"/>
                <w:highlight w:val="lightGray"/>
              </w:rPr>
            </w:pPr>
            <w:r w:rsidRPr="00E26EF6">
              <w:rPr>
                <w:rFonts w:ascii="Times New Roman" w:hAnsi="Times New Roman"/>
                <w:bCs/>
                <w:sz w:val="24"/>
              </w:rPr>
              <w:lastRenderedPageBreak/>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Wartość ekspozycji</w:t>
            </w:r>
          </w:p>
          <w:p w14:paraId="12CCCFCD" w14:textId="77777777" w:rsidR="00915077" w:rsidRPr="00E26EF6" w:rsidRDefault="00915077">
            <w:pPr>
              <w:spacing w:before="0" w:after="0"/>
              <w:ind w:left="33"/>
              <w:rPr>
                <w:rFonts w:ascii="Times New Roman" w:hAnsi="Times New Roman"/>
                <w:b/>
                <w:bCs/>
                <w:sz w:val="24"/>
                <w:u w:val="single"/>
              </w:rPr>
            </w:pPr>
          </w:p>
          <w:p w14:paraId="564C9668" w14:textId="7777777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Wartość ekspozycji dla ekspozycji podlegających ramom ryzyka kredytowego.</w:t>
            </w:r>
          </w:p>
          <w:p w14:paraId="5332F0B1" w14:textId="77777777" w:rsidR="00915077" w:rsidRPr="00E26EF6" w:rsidRDefault="00915077">
            <w:pPr>
              <w:spacing w:before="0" w:after="0"/>
              <w:ind w:left="33"/>
              <w:rPr>
                <w:rFonts w:ascii="Times New Roman" w:hAnsi="Times New Roman"/>
                <w:bCs/>
                <w:sz w:val="24"/>
              </w:rPr>
            </w:pPr>
          </w:p>
          <w:p w14:paraId="64489921" w14:textId="10436B93"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Dla ekspozycji</w:t>
            </w:r>
            <w:r w:rsidR="00E26EF6" w:rsidRPr="00E26EF6">
              <w:rPr>
                <w:rFonts w:ascii="Times New Roman" w:hAnsi="Times New Roman"/>
                <w:bCs/>
                <w:sz w:val="24"/>
              </w:rPr>
              <w:t xml:space="preserve"> w ram</w:t>
            </w:r>
            <w:r w:rsidRPr="00E26EF6">
              <w:rPr>
                <w:rFonts w:ascii="Times New Roman" w:hAnsi="Times New Roman"/>
                <w:bCs/>
                <w:sz w:val="24"/>
              </w:rPr>
              <w:t>ach metody standardowej: zob. art.</w:t>
            </w:r>
            <w:r w:rsidR="00023409" w:rsidRPr="00E26EF6">
              <w:rPr>
                <w:rFonts w:ascii="Times New Roman" w:hAnsi="Times New Roman"/>
                <w:bCs/>
                <w:sz w:val="24"/>
              </w:rPr>
              <w:t> </w:t>
            </w:r>
            <w:r w:rsidRPr="00E26EF6">
              <w:rPr>
                <w:rFonts w:ascii="Times New Roman" w:hAnsi="Times New Roman"/>
                <w:bCs/>
                <w:sz w:val="24"/>
              </w:rPr>
              <w:t>111 CRR. Dla ekspozycji</w:t>
            </w:r>
            <w:r w:rsidR="00E26EF6" w:rsidRPr="00E26EF6">
              <w:rPr>
                <w:rFonts w:ascii="Times New Roman" w:hAnsi="Times New Roman"/>
                <w:bCs/>
                <w:sz w:val="24"/>
              </w:rPr>
              <w:t xml:space="preserve"> w ram</w:t>
            </w:r>
            <w:r w:rsidRPr="00E26EF6">
              <w:rPr>
                <w:rFonts w:ascii="Times New Roman" w:hAnsi="Times New Roman"/>
                <w:bCs/>
                <w:sz w:val="24"/>
              </w:rPr>
              <w:t>ach metody IRB: zob. art.</w:t>
            </w:r>
            <w:r w:rsidR="00023409" w:rsidRPr="00E26EF6">
              <w:rPr>
                <w:rFonts w:ascii="Times New Roman" w:hAnsi="Times New Roman"/>
                <w:bCs/>
                <w:sz w:val="24"/>
              </w:rPr>
              <w:t> </w:t>
            </w:r>
            <w:r w:rsidRPr="00E26EF6">
              <w:rPr>
                <w:rFonts w:ascii="Times New Roman" w:hAnsi="Times New Roman"/>
                <w:bCs/>
                <w:sz w:val="24"/>
              </w:rPr>
              <w:t>166 CRR oraz art.</w:t>
            </w:r>
            <w:r w:rsidR="00023409" w:rsidRPr="00E26EF6">
              <w:rPr>
                <w:rFonts w:ascii="Times New Roman" w:hAnsi="Times New Roman"/>
                <w:bCs/>
                <w:sz w:val="24"/>
              </w:rPr>
              <w:t> </w:t>
            </w:r>
            <w:r w:rsidRPr="00E26EF6">
              <w:rPr>
                <w:rFonts w:ascii="Times New Roman" w:hAnsi="Times New Roman"/>
                <w:bCs/>
                <w:sz w:val="24"/>
              </w:rPr>
              <w:t>230 ust.</w:t>
            </w:r>
            <w:r w:rsidR="00023409" w:rsidRPr="00E26EF6">
              <w:rPr>
                <w:rFonts w:ascii="Times New Roman" w:hAnsi="Times New Roman"/>
                <w:bCs/>
                <w:sz w:val="24"/>
              </w:rPr>
              <w:t> </w:t>
            </w:r>
            <w:r w:rsidRPr="00E26EF6">
              <w:rPr>
                <w:rFonts w:ascii="Times New Roman" w:hAnsi="Times New Roman"/>
                <w:bCs/>
                <w:sz w:val="24"/>
              </w:rPr>
              <w:t>1 zdanie drugie CRR.</w:t>
            </w:r>
          </w:p>
          <w:p w14:paraId="5027773B" w14:textId="77777777" w:rsidR="00915077" w:rsidRPr="00E26EF6" w:rsidRDefault="00915077">
            <w:pPr>
              <w:spacing w:before="0" w:after="0"/>
              <w:ind w:left="33"/>
              <w:rPr>
                <w:rFonts w:ascii="Times New Roman" w:hAnsi="Times New Roman"/>
                <w:bCs/>
                <w:sz w:val="24"/>
              </w:rPr>
            </w:pPr>
          </w:p>
          <w:p w14:paraId="1515F006" w14:textId="2FAFC24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W odniesieniu do zgłaszania instrumentów pochodnych podlegających zarówno ryzyku kredytowemu kontrahenta, jak</w:t>
            </w:r>
            <w:r w:rsidR="00E26EF6" w:rsidRPr="00E26EF6">
              <w:rPr>
                <w:rFonts w:ascii="Times New Roman" w:hAnsi="Times New Roman"/>
                <w:bCs/>
                <w:sz w:val="24"/>
              </w:rPr>
              <w:t xml:space="preserve"> i nar</w:t>
            </w:r>
            <w:r w:rsidRPr="00E26EF6">
              <w:rPr>
                <w:rFonts w:ascii="Times New Roman" w:hAnsi="Times New Roman"/>
                <w:bCs/>
                <w:sz w:val="24"/>
              </w:rPr>
              <w:t>zutom kapitałowym</w:t>
            </w:r>
            <w:r w:rsidR="00E26EF6" w:rsidRPr="00E26EF6">
              <w:rPr>
                <w:rFonts w:ascii="Times New Roman" w:hAnsi="Times New Roman"/>
                <w:bCs/>
                <w:sz w:val="24"/>
              </w:rPr>
              <w:t xml:space="preserve"> z tyt</w:t>
            </w:r>
            <w:r w:rsidRPr="00E26EF6">
              <w:rPr>
                <w:rFonts w:ascii="Times New Roman" w:hAnsi="Times New Roman"/>
                <w:bCs/>
                <w:sz w:val="24"/>
              </w:rPr>
              <w:t>ułu ryzyka rynkowego – zob. instrukcje dotyczące podziału wierszy.</w:t>
            </w:r>
          </w:p>
          <w:p w14:paraId="05A5C4A4"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 xml:space="preserve">Kwota ekspozycji ważonej ryzykiem </w:t>
            </w:r>
          </w:p>
          <w:p w14:paraId="7DB82B21" w14:textId="77777777" w:rsidR="00915077" w:rsidRPr="00E26EF6" w:rsidRDefault="00915077">
            <w:pPr>
              <w:spacing w:before="0" w:after="0"/>
              <w:ind w:left="33"/>
              <w:rPr>
                <w:rFonts w:ascii="Times New Roman" w:hAnsi="Times New Roman"/>
                <w:b/>
                <w:bCs/>
                <w:sz w:val="24"/>
                <w:u w:val="single"/>
              </w:rPr>
            </w:pPr>
          </w:p>
          <w:p w14:paraId="1D5B82CF" w14:textId="7777777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 xml:space="preserve">Kwota ekspozycji ważonej ryzykiem dla ekspozycji podlegających ramom ryzyka kredytowego. </w:t>
            </w:r>
          </w:p>
          <w:p w14:paraId="5AB5EF60" w14:textId="77777777" w:rsidR="00915077" w:rsidRPr="00E26EF6" w:rsidRDefault="00915077">
            <w:pPr>
              <w:spacing w:before="0" w:after="0"/>
              <w:ind w:left="33"/>
              <w:rPr>
                <w:rFonts w:ascii="Times New Roman" w:hAnsi="Times New Roman"/>
                <w:bCs/>
                <w:sz w:val="24"/>
              </w:rPr>
            </w:pPr>
          </w:p>
          <w:p w14:paraId="10AD2E37" w14:textId="3CFDBFC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Dla ekspozycji</w:t>
            </w:r>
            <w:r w:rsidR="00E26EF6" w:rsidRPr="00E26EF6">
              <w:rPr>
                <w:rFonts w:ascii="Times New Roman" w:hAnsi="Times New Roman"/>
                <w:bCs/>
                <w:sz w:val="24"/>
              </w:rPr>
              <w:t xml:space="preserve"> w ram</w:t>
            </w:r>
            <w:r w:rsidRPr="00E26EF6">
              <w:rPr>
                <w:rFonts w:ascii="Times New Roman" w:hAnsi="Times New Roman"/>
                <w:bCs/>
                <w:sz w:val="24"/>
              </w:rPr>
              <w:t>ach metody standardowej: zob. art.</w:t>
            </w:r>
            <w:r w:rsidR="00023409" w:rsidRPr="00E26EF6">
              <w:rPr>
                <w:rFonts w:ascii="Times New Roman" w:hAnsi="Times New Roman"/>
                <w:bCs/>
                <w:sz w:val="24"/>
              </w:rPr>
              <w:t> </w:t>
            </w:r>
            <w:r w:rsidRPr="00E26EF6">
              <w:rPr>
                <w:rFonts w:ascii="Times New Roman" w:hAnsi="Times New Roman"/>
                <w:bCs/>
                <w:sz w:val="24"/>
              </w:rPr>
              <w:t>113 ust.</w:t>
            </w:r>
            <w:r w:rsidR="00023409" w:rsidRPr="00E26EF6">
              <w:rPr>
                <w:rFonts w:ascii="Times New Roman" w:hAnsi="Times New Roman"/>
                <w:bCs/>
                <w:sz w:val="24"/>
              </w:rPr>
              <w:t> </w:t>
            </w:r>
            <w:r w:rsidRPr="00E26EF6">
              <w:rPr>
                <w:rFonts w:ascii="Times New Roman" w:hAnsi="Times New Roman"/>
                <w:bCs/>
                <w:sz w:val="24"/>
              </w:rPr>
              <w:t>1–5 CRR. Dla ekspozycji</w:t>
            </w:r>
            <w:r w:rsidR="00E26EF6" w:rsidRPr="00E26EF6">
              <w:rPr>
                <w:rFonts w:ascii="Times New Roman" w:hAnsi="Times New Roman"/>
                <w:bCs/>
                <w:sz w:val="24"/>
              </w:rPr>
              <w:t xml:space="preserve"> w ram</w:t>
            </w:r>
            <w:r w:rsidRPr="00E26EF6">
              <w:rPr>
                <w:rFonts w:ascii="Times New Roman" w:hAnsi="Times New Roman"/>
                <w:bCs/>
                <w:sz w:val="24"/>
              </w:rPr>
              <w:t>ach metody IRB: zob. art.</w:t>
            </w:r>
            <w:r w:rsidR="00023409" w:rsidRPr="00E26EF6">
              <w:rPr>
                <w:rFonts w:ascii="Times New Roman" w:hAnsi="Times New Roman"/>
                <w:bCs/>
                <w:sz w:val="24"/>
              </w:rPr>
              <w:t> </w:t>
            </w:r>
            <w:r w:rsidRPr="00E26EF6">
              <w:rPr>
                <w:rFonts w:ascii="Times New Roman" w:hAnsi="Times New Roman"/>
                <w:bCs/>
                <w:sz w:val="24"/>
              </w:rPr>
              <w:t>153 ust.</w:t>
            </w:r>
            <w:r w:rsidR="00023409" w:rsidRPr="00E26EF6">
              <w:rPr>
                <w:rFonts w:ascii="Times New Roman" w:hAnsi="Times New Roman"/>
                <w:bCs/>
                <w:sz w:val="24"/>
              </w:rPr>
              <w:t> </w:t>
            </w:r>
            <w:r w:rsidRPr="00E26EF6">
              <w:rPr>
                <w:rFonts w:ascii="Times New Roman" w:hAnsi="Times New Roman"/>
                <w:bCs/>
                <w:sz w:val="24"/>
              </w:rPr>
              <w:t>1</w:t>
            </w:r>
            <w:r w:rsidR="00E26EF6" w:rsidRPr="00E26EF6">
              <w:rPr>
                <w:rFonts w:ascii="Times New Roman" w:hAnsi="Times New Roman"/>
                <w:bCs/>
                <w:sz w:val="24"/>
              </w:rPr>
              <w:t xml:space="preserve"> i 3</w:t>
            </w:r>
            <w:r w:rsidRPr="00E26EF6">
              <w:rPr>
                <w:rFonts w:ascii="Times New Roman" w:hAnsi="Times New Roman"/>
                <w:bCs/>
                <w:sz w:val="24"/>
              </w:rPr>
              <w:t xml:space="preserve"> CRR.</w:t>
            </w:r>
          </w:p>
          <w:p w14:paraId="5ED29C84" w14:textId="77777777" w:rsidR="00915077" w:rsidRPr="00E26EF6" w:rsidRDefault="00915077">
            <w:pPr>
              <w:spacing w:before="0" w:after="0"/>
              <w:ind w:left="33"/>
              <w:rPr>
                <w:rFonts w:ascii="Times New Roman" w:hAnsi="Times New Roman"/>
                <w:bCs/>
                <w:sz w:val="24"/>
              </w:rPr>
            </w:pPr>
          </w:p>
          <w:p w14:paraId="50CB580E" w14:textId="7F195CF8"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Do celów zgłaszania ekspozycji bezpośrednich objętych zakresem art.</w:t>
            </w:r>
            <w:r w:rsidR="00023409" w:rsidRPr="00E26EF6">
              <w:rPr>
                <w:rFonts w:ascii="Times New Roman" w:hAnsi="Times New Roman"/>
                <w:bCs/>
                <w:sz w:val="24"/>
              </w:rPr>
              <w:t> </w:t>
            </w:r>
            <w:r w:rsidRPr="00E26EF6">
              <w:rPr>
                <w:rFonts w:ascii="Times New Roman" w:hAnsi="Times New Roman"/>
                <w:bCs/>
                <w:sz w:val="24"/>
              </w:rPr>
              <w:t>271 CRR</w:t>
            </w:r>
            <w:r w:rsidR="00E26EF6" w:rsidRPr="00E26EF6">
              <w:rPr>
                <w:rFonts w:ascii="Times New Roman" w:hAnsi="Times New Roman"/>
                <w:bCs/>
                <w:sz w:val="24"/>
              </w:rPr>
              <w:t xml:space="preserve"> i pod</w:t>
            </w:r>
            <w:r w:rsidRPr="00E26EF6">
              <w:rPr>
                <w:rFonts w:ascii="Times New Roman" w:hAnsi="Times New Roman"/>
                <w:bCs/>
                <w:sz w:val="24"/>
              </w:rPr>
              <w:t>legających wymogom</w:t>
            </w:r>
            <w:r w:rsidR="00E26EF6" w:rsidRPr="00E26EF6">
              <w:rPr>
                <w:rFonts w:ascii="Times New Roman" w:hAnsi="Times New Roman"/>
                <w:bCs/>
                <w:sz w:val="24"/>
              </w:rPr>
              <w:t xml:space="preserve"> w zak</w:t>
            </w:r>
            <w:r w:rsidRPr="00E26EF6">
              <w:rPr>
                <w:rFonts w:ascii="Times New Roman" w:hAnsi="Times New Roman"/>
                <w:bCs/>
                <w:sz w:val="24"/>
              </w:rPr>
              <w:t>resie funduszy własnych</w:t>
            </w:r>
            <w:r w:rsidR="00E26EF6" w:rsidRPr="00E26EF6">
              <w:rPr>
                <w:rFonts w:ascii="Times New Roman" w:hAnsi="Times New Roman"/>
                <w:bCs/>
                <w:sz w:val="24"/>
              </w:rPr>
              <w:t xml:space="preserve"> z tyt</w:t>
            </w:r>
            <w:r w:rsidRPr="00E26EF6">
              <w:rPr>
                <w:rFonts w:ascii="Times New Roman" w:hAnsi="Times New Roman"/>
                <w:bCs/>
                <w:sz w:val="24"/>
              </w:rPr>
              <w:t>ułu zarówno ryzyka kredytowego kontrahenta, jak</w:t>
            </w:r>
            <w:r w:rsidR="00E26EF6" w:rsidRPr="00E26EF6">
              <w:rPr>
                <w:rFonts w:ascii="Times New Roman" w:hAnsi="Times New Roman"/>
                <w:bCs/>
                <w:sz w:val="24"/>
              </w:rPr>
              <w:t xml:space="preserve"> i ryz</w:t>
            </w:r>
            <w:r w:rsidRPr="00E26EF6">
              <w:rPr>
                <w:rFonts w:ascii="Times New Roman" w:hAnsi="Times New Roman"/>
                <w:bCs/>
                <w:sz w:val="24"/>
              </w:rPr>
              <w:t>yka rynkowego – zob. instrukcje dotyczące podziału wierszy.</w:t>
            </w:r>
          </w:p>
          <w:p w14:paraId="23FE04B4" w14:textId="77777777" w:rsidR="00915077" w:rsidRPr="00E26EF6" w:rsidRDefault="00915077">
            <w:pPr>
              <w:spacing w:before="0" w:after="0"/>
              <w:ind w:left="33"/>
              <w:rPr>
                <w:rFonts w:ascii="Times New Roman" w:hAnsi="Times New Roman"/>
                <w:b/>
                <w:bCs/>
                <w:sz w:val="24"/>
                <w:u w:val="single"/>
              </w:rPr>
            </w:pPr>
          </w:p>
        </w:tc>
      </w:tr>
    </w:tbl>
    <w:p w14:paraId="25144459" w14:textId="77777777" w:rsidR="00915077" w:rsidRPr="00E26EF6" w:rsidRDefault="00915077">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915077" w:rsidRPr="00E26EF6" w14:paraId="4B74663B" w14:textId="77777777" w:rsidTr="00672D2A">
        <w:tc>
          <w:tcPr>
            <w:tcW w:w="1188" w:type="dxa"/>
            <w:shd w:val="clear" w:color="auto" w:fill="CCCCCC"/>
          </w:tcPr>
          <w:p w14:paraId="158EBFFC"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Wiersze</w:t>
            </w:r>
          </w:p>
        </w:tc>
        <w:tc>
          <w:tcPr>
            <w:tcW w:w="8701" w:type="dxa"/>
            <w:shd w:val="clear" w:color="auto" w:fill="CCCCCC"/>
          </w:tcPr>
          <w:p w14:paraId="2067DC1F"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Instrukcje</w:t>
            </w:r>
          </w:p>
        </w:tc>
      </w:tr>
      <w:tr w:rsidR="00915077" w:rsidRPr="00E26EF6" w14:paraId="6B2D45ED" w14:textId="77777777" w:rsidTr="00672D2A">
        <w:tc>
          <w:tcPr>
            <w:tcW w:w="9889" w:type="dxa"/>
            <w:gridSpan w:val="2"/>
          </w:tcPr>
          <w:p w14:paraId="4B82BE86"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PODZIAŁ EKSPOZYCJI WEDŁUG PODEJŚCIA REGULACYJNEGO</w:t>
            </w:r>
          </w:p>
          <w:p w14:paraId="71D3F364"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11643FBF" w14:textId="77777777" w:rsidTr="00672D2A">
        <w:tc>
          <w:tcPr>
            <w:tcW w:w="1188" w:type="dxa"/>
            <w:shd w:val="clear" w:color="auto" w:fill="auto"/>
          </w:tcPr>
          <w:p w14:paraId="42E08604"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010</w:t>
            </w:r>
          </w:p>
        </w:tc>
        <w:tc>
          <w:tcPr>
            <w:tcW w:w="8701" w:type="dxa"/>
            <w:shd w:val="clear" w:color="auto" w:fill="auto"/>
          </w:tcPr>
          <w:p w14:paraId="3A82171A"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całkowite</w:t>
            </w:r>
          </w:p>
          <w:p w14:paraId="2BBD1D82" w14:textId="77777777" w:rsidR="00915077" w:rsidRPr="00E26EF6" w:rsidRDefault="00915077">
            <w:pPr>
              <w:spacing w:before="0" w:after="0"/>
              <w:ind w:left="33"/>
              <w:rPr>
                <w:rFonts w:ascii="Times New Roman" w:hAnsi="Times New Roman"/>
                <w:b/>
                <w:bCs/>
                <w:sz w:val="24"/>
                <w:u w:val="single"/>
              </w:rPr>
            </w:pPr>
          </w:p>
          <w:p w14:paraId="1121CEA2" w14:textId="4509AD73"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Suma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zgodnie</w:t>
            </w:r>
            <w:r w:rsidR="00E26EF6" w:rsidRPr="00E26EF6">
              <w:rPr>
                <w:rFonts w:ascii="Times New Roman" w:hAnsi="Times New Roman"/>
                <w:bCs/>
                <w:sz w:val="24"/>
              </w:rPr>
              <w:t xml:space="preserve"> z def</w:t>
            </w:r>
            <w:r w:rsidRPr="00E26EF6">
              <w:rPr>
                <w:rFonts w:ascii="Times New Roman" w:hAnsi="Times New Roman"/>
                <w:bCs/>
                <w:sz w:val="24"/>
              </w:rPr>
              <w:t>inicją</w:t>
            </w:r>
            <w:r w:rsidR="00E26EF6" w:rsidRPr="00E26EF6">
              <w:rPr>
                <w:rFonts w:ascii="Times New Roman" w:hAnsi="Times New Roman"/>
                <w:bCs/>
                <w:sz w:val="24"/>
              </w:rPr>
              <w:t xml:space="preserve"> w pkt</w:t>
            </w:r>
            <w:r w:rsidR="00023409" w:rsidRPr="00E26EF6">
              <w:rPr>
                <w:rFonts w:ascii="Times New Roman" w:hAnsi="Times New Roman"/>
                <w:bCs/>
                <w:sz w:val="24"/>
              </w:rPr>
              <w:t> </w:t>
            </w:r>
            <w:r w:rsidRPr="00E26EF6">
              <w:rPr>
                <w:rFonts w:ascii="Times New Roman" w:hAnsi="Times New Roman"/>
                <w:bCs/>
                <w:sz w:val="24"/>
              </w:rPr>
              <w:t>155–160 niniejszego załącznika.</w:t>
            </w:r>
          </w:p>
          <w:p w14:paraId="5900DE7D"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7F17E38A" w14:textId="77777777" w:rsidTr="00672D2A">
        <w:tc>
          <w:tcPr>
            <w:tcW w:w="1188" w:type="dxa"/>
          </w:tcPr>
          <w:p w14:paraId="4DEE5029"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020-155</w:t>
            </w:r>
          </w:p>
        </w:tc>
        <w:tc>
          <w:tcPr>
            <w:tcW w:w="8701" w:type="dxa"/>
          </w:tcPr>
          <w:p w14:paraId="4A862390" w14:textId="77777777" w:rsidR="00915077" w:rsidRPr="00E26EF6" w:rsidRDefault="00FD54FC">
            <w:pPr>
              <w:spacing w:before="0" w:after="0"/>
              <w:ind w:left="33"/>
              <w:rPr>
                <w:rFonts w:ascii="Times New Roman" w:hAnsi="Times New Roman"/>
                <w:bCs/>
                <w:sz w:val="24"/>
              </w:rPr>
            </w:pPr>
            <w:r w:rsidRPr="00E26EF6">
              <w:rPr>
                <w:rFonts w:ascii="Times New Roman" w:hAnsi="Times New Roman"/>
                <w:b/>
                <w:bCs/>
                <w:sz w:val="24"/>
                <w:u w:val="single"/>
              </w:rPr>
              <w:t>Ekspozycje podlegające ryzyku kredytowemu</w:t>
            </w:r>
          </w:p>
          <w:p w14:paraId="170F3005" w14:textId="77777777" w:rsidR="00915077" w:rsidRPr="00E26EF6" w:rsidRDefault="00915077">
            <w:pPr>
              <w:spacing w:before="0" w:after="0"/>
              <w:ind w:left="33"/>
              <w:rPr>
                <w:rFonts w:ascii="Times New Roman" w:hAnsi="Times New Roman"/>
                <w:bCs/>
                <w:sz w:val="24"/>
              </w:rPr>
            </w:pPr>
          </w:p>
          <w:p w14:paraId="3CB1E817" w14:textId="6DE4CEB1"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 xml:space="preserve">Suma ekspozycji wobec </w:t>
            </w:r>
            <w:r w:rsidRPr="00E26EF6">
              <w:rPr>
                <w:rFonts w:ascii="Times New Roman" w:hAnsi="Times New Roman"/>
                <w:sz w:val="24"/>
              </w:rPr>
              <w:t>sektora instytucji rządowych</w:t>
            </w:r>
            <w:r w:rsidR="00E26EF6" w:rsidRPr="00E26EF6">
              <w:rPr>
                <w:rFonts w:ascii="Times New Roman" w:hAnsi="Times New Roman"/>
                <w:sz w:val="24"/>
              </w:rPr>
              <w:t xml:space="preserve"> i sam</w:t>
            </w:r>
            <w:r w:rsidRPr="00E26EF6">
              <w:rPr>
                <w:rFonts w:ascii="Times New Roman" w:hAnsi="Times New Roman"/>
                <w:sz w:val="24"/>
              </w:rPr>
              <w:t>orządowych</w:t>
            </w:r>
            <w:r w:rsidRPr="00E26EF6">
              <w:rPr>
                <w:rFonts w:ascii="Times New Roman" w:hAnsi="Times New Roman"/>
                <w:bCs/>
                <w:sz w:val="24"/>
              </w:rPr>
              <w:t>, która jest ważona ryzykiem zgodnie</w:t>
            </w:r>
            <w:r w:rsidR="00E26EF6" w:rsidRPr="00E26EF6">
              <w:rPr>
                <w:rFonts w:ascii="Times New Roman" w:hAnsi="Times New Roman"/>
                <w:bCs/>
                <w:sz w:val="24"/>
              </w:rPr>
              <w:t xml:space="preserve"> z czę</w:t>
            </w:r>
            <w:r w:rsidRPr="00E26EF6">
              <w:rPr>
                <w:rFonts w:ascii="Times New Roman" w:hAnsi="Times New Roman"/>
                <w:bCs/>
                <w:sz w:val="24"/>
              </w:rPr>
              <w:t>ścią trzecią tytuł II CRR. Ekspozycje podlegające ramom ryzyka kredytowego obejmują ekspozycje zarówno</w:t>
            </w:r>
            <w:r w:rsidR="00E26EF6" w:rsidRPr="00E26EF6">
              <w:rPr>
                <w:rFonts w:ascii="Times New Roman" w:hAnsi="Times New Roman"/>
                <w:bCs/>
                <w:sz w:val="24"/>
              </w:rPr>
              <w:t xml:space="preserve"> z por</w:t>
            </w:r>
            <w:r w:rsidRPr="00E26EF6">
              <w:rPr>
                <w:rFonts w:ascii="Times New Roman" w:hAnsi="Times New Roman"/>
                <w:bCs/>
                <w:sz w:val="24"/>
              </w:rPr>
              <w:t>tfela bankowego, jak</w:t>
            </w:r>
            <w:r w:rsidR="00E26EF6" w:rsidRPr="00E26EF6">
              <w:rPr>
                <w:rFonts w:ascii="Times New Roman" w:hAnsi="Times New Roman"/>
                <w:bCs/>
                <w:sz w:val="24"/>
              </w:rPr>
              <w:t xml:space="preserve"> i z por</w:t>
            </w:r>
            <w:r w:rsidRPr="00E26EF6">
              <w:rPr>
                <w:rFonts w:ascii="Times New Roman" w:hAnsi="Times New Roman"/>
                <w:bCs/>
                <w:sz w:val="24"/>
              </w:rPr>
              <w:t>tfela handlowego podlegające narzutowi kapitałowemu</w:t>
            </w:r>
            <w:r w:rsidR="00E26EF6" w:rsidRPr="00E26EF6">
              <w:rPr>
                <w:rFonts w:ascii="Times New Roman" w:hAnsi="Times New Roman"/>
                <w:bCs/>
                <w:sz w:val="24"/>
              </w:rPr>
              <w:t xml:space="preserve"> z tyt</w:t>
            </w:r>
            <w:r w:rsidRPr="00E26EF6">
              <w:rPr>
                <w:rFonts w:ascii="Times New Roman" w:hAnsi="Times New Roman"/>
                <w:bCs/>
                <w:sz w:val="24"/>
              </w:rPr>
              <w:t xml:space="preserve">ułu ryzyka kredytowego kontrahenta. </w:t>
            </w:r>
          </w:p>
          <w:p w14:paraId="10217DA5" w14:textId="77777777" w:rsidR="00915077" w:rsidRPr="00E26EF6" w:rsidRDefault="00915077">
            <w:pPr>
              <w:spacing w:before="0" w:after="0"/>
              <w:ind w:left="33"/>
              <w:rPr>
                <w:rFonts w:ascii="Times New Roman" w:hAnsi="Times New Roman"/>
                <w:bCs/>
                <w:sz w:val="24"/>
              </w:rPr>
            </w:pPr>
          </w:p>
          <w:p w14:paraId="6FDDDAC3" w14:textId="5856B864"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bezpośrednie objęte zakresem art.</w:t>
            </w:r>
            <w:r w:rsidR="00023409" w:rsidRPr="00E26EF6">
              <w:rPr>
                <w:rFonts w:ascii="Times New Roman" w:hAnsi="Times New Roman"/>
                <w:bCs/>
                <w:sz w:val="24"/>
              </w:rPr>
              <w:t> </w:t>
            </w:r>
            <w:r w:rsidRPr="00E26EF6">
              <w:rPr>
                <w:rFonts w:ascii="Times New Roman" w:hAnsi="Times New Roman"/>
                <w:bCs/>
                <w:sz w:val="24"/>
              </w:rPr>
              <w:t>271 CRR, które podlegają wymogom</w:t>
            </w:r>
            <w:r w:rsidR="00E26EF6" w:rsidRPr="00E26EF6">
              <w:rPr>
                <w:rFonts w:ascii="Times New Roman" w:hAnsi="Times New Roman"/>
                <w:bCs/>
                <w:sz w:val="24"/>
              </w:rPr>
              <w:t xml:space="preserve"> w zak</w:t>
            </w:r>
            <w:r w:rsidRPr="00E26EF6">
              <w:rPr>
                <w:rFonts w:ascii="Times New Roman" w:hAnsi="Times New Roman"/>
                <w:bCs/>
                <w:sz w:val="24"/>
              </w:rPr>
              <w:t>resie funduszy własnych</w:t>
            </w:r>
            <w:r w:rsidR="00E26EF6" w:rsidRPr="00E26EF6">
              <w:rPr>
                <w:rFonts w:ascii="Times New Roman" w:hAnsi="Times New Roman"/>
                <w:bCs/>
                <w:sz w:val="24"/>
              </w:rPr>
              <w:t xml:space="preserve"> z tyt</w:t>
            </w:r>
            <w:r w:rsidRPr="00E26EF6">
              <w:rPr>
                <w:rFonts w:ascii="Times New Roman" w:hAnsi="Times New Roman"/>
                <w:bCs/>
                <w:sz w:val="24"/>
              </w:rPr>
              <w:t>ułu zarówno ryzyka kredytowego kontrahenta, jak</w:t>
            </w:r>
            <w:r w:rsidR="00E26EF6" w:rsidRPr="00E26EF6">
              <w:rPr>
                <w:rFonts w:ascii="Times New Roman" w:hAnsi="Times New Roman"/>
                <w:bCs/>
                <w:sz w:val="24"/>
              </w:rPr>
              <w:t xml:space="preserve"> i ryz</w:t>
            </w:r>
            <w:r w:rsidRPr="00E26EF6">
              <w:rPr>
                <w:rFonts w:ascii="Times New Roman" w:hAnsi="Times New Roman"/>
                <w:bCs/>
                <w:sz w:val="24"/>
              </w:rPr>
              <w:t>yka rynkowego, zgłasza się zarówno</w:t>
            </w:r>
            <w:r w:rsidR="00E26EF6" w:rsidRPr="00E26EF6">
              <w:rPr>
                <w:rFonts w:ascii="Times New Roman" w:hAnsi="Times New Roman"/>
                <w:bCs/>
                <w:sz w:val="24"/>
              </w:rPr>
              <w:t xml:space="preserve"> w wie</w:t>
            </w:r>
            <w:r w:rsidRPr="00E26EF6">
              <w:rPr>
                <w:rFonts w:ascii="Times New Roman" w:hAnsi="Times New Roman"/>
                <w:bCs/>
                <w:sz w:val="24"/>
              </w:rPr>
              <w:t>rszach dotyczących ryzyka kredytowego (020–155), jak</w:t>
            </w:r>
            <w:r w:rsidR="00E26EF6" w:rsidRPr="00E26EF6">
              <w:rPr>
                <w:rFonts w:ascii="Times New Roman" w:hAnsi="Times New Roman"/>
                <w:bCs/>
                <w:sz w:val="24"/>
              </w:rPr>
              <w:t xml:space="preserve"> i w wie</w:t>
            </w:r>
            <w:r w:rsidRPr="00E26EF6">
              <w:rPr>
                <w:rFonts w:ascii="Times New Roman" w:hAnsi="Times New Roman"/>
                <w:bCs/>
                <w:sz w:val="24"/>
              </w:rPr>
              <w:t>rszu dotyczącym ryzyka rynkowego (160): ekspozycje</w:t>
            </w:r>
            <w:r w:rsidR="00E26EF6" w:rsidRPr="00E26EF6">
              <w:rPr>
                <w:rFonts w:ascii="Times New Roman" w:hAnsi="Times New Roman"/>
                <w:bCs/>
                <w:sz w:val="24"/>
              </w:rPr>
              <w:t xml:space="preserve"> z tyt</w:t>
            </w:r>
            <w:r w:rsidRPr="00E26EF6">
              <w:rPr>
                <w:rFonts w:ascii="Times New Roman" w:hAnsi="Times New Roman"/>
                <w:bCs/>
                <w:sz w:val="24"/>
              </w:rPr>
              <w:t>ułu ryzyka kredytowego kontrahenta zgłasza się</w:t>
            </w:r>
            <w:r w:rsidR="00E26EF6" w:rsidRPr="00E26EF6">
              <w:rPr>
                <w:rFonts w:ascii="Times New Roman" w:hAnsi="Times New Roman"/>
                <w:bCs/>
                <w:sz w:val="24"/>
              </w:rPr>
              <w:t xml:space="preserve"> w wie</w:t>
            </w:r>
            <w:r w:rsidRPr="00E26EF6">
              <w:rPr>
                <w:rFonts w:ascii="Times New Roman" w:hAnsi="Times New Roman"/>
                <w:bCs/>
                <w:sz w:val="24"/>
              </w:rPr>
              <w:t>rszach dotyczących ryzyka kredytowego,</w:t>
            </w:r>
            <w:r w:rsidR="00E26EF6" w:rsidRPr="00E26EF6">
              <w:rPr>
                <w:rFonts w:ascii="Times New Roman" w:hAnsi="Times New Roman"/>
                <w:bCs/>
                <w:sz w:val="24"/>
              </w:rPr>
              <w:t xml:space="preserve"> a eks</w:t>
            </w:r>
            <w:r w:rsidRPr="00E26EF6">
              <w:rPr>
                <w:rFonts w:ascii="Times New Roman" w:hAnsi="Times New Roman"/>
                <w:bCs/>
                <w:sz w:val="24"/>
              </w:rPr>
              <w:t>pozycje</w:t>
            </w:r>
            <w:r w:rsidR="00E26EF6" w:rsidRPr="00E26EF6">
              <w:rPr>
                <w:rFonts w:ascii="Times New Roman" w:hAnsi="Times New Roman"/>
                <w:bCs/>
                <w:sz w:val="24"/>
              </w:rPr>
              <w:t xml:space="preserve"> z tyt</w:t>
            </w:r>
            <w:r w:rsidRPr="00E26EF6">
              <w:rPr>
                <w:rFonts w:ascii="Times New Roman" w:hAnsi="Times New Roman"/>
                <w:bCs/>
                <w:sz w:val="24"/>
              </w:rPr>
              <w:t>ułu ryzyka rynkowego zgłasza się</w:t>
            </w:r>
            <w:r w:rsidR="00E26EF6" w:rsidRPr="00E26EF6">
              <w:rPr>
                <w:rFonts w:ascii="Times New Roman" w:hAnsi="Times New Roman"/>
                <w:bCs/>
                <w:sz w:val="24"/>
              </w:rPr>
              <w:t xml:space="preserve"> w wie</w:t>
            </w:r>
            <w:r w:rsidRPr="00E26EF6">
              <w:rPr>
                <w:rFonts w:ascii="Times New Roman" w:hAnsi="Times New Roman"/>
                <w:bCs/>
                <w:sz w:val="24"/>
              </w:rPr>
              <w:t>rszu dotyczącym ryzyka rynkowego.</w:t>
            </w:r>
          </w:p>
          <w:p w14:paraId="2D1E510B"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07F9A4BC" w14:textId="77777777" w:rsidTr="00672D2A">
        <w:tc>
          <w:tcPr>
            <w:tcW w:w="1188" w:type="dxa"/>
          </w:tcPr>
          <w:p w14:paraId="52812F73"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030</w:t>
            </w:r>
          </w:p>
        </w:tc>
        <w:tc>
          <w:tcPr>
            <w:tcW w:w="8701" w:type="dxa"/>
          </w:tcPr>
          <w:p w14:paraId="4106349B"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Metoda standardowa</w:t>
            </w:r>
          </w:p>
          <w:p w14:paraId="261CF261" w14:textId="77777777" w:rsidR="00915077" w:rsidRPr="00E26EF6" w:rsidRDefault="00915077">
            <w:pPr>
              <w:spacing w:before="0" w:after="0"/>
              <w:ind w:left="33"/>
              <w:rPr>
                <w:rFonts w:ascii="Times New Roman" w:hAnsi="Times New Roman"/>
                <w:bCs/>
                <w:sz w:val="24"/>
              </w:rPr>
            </w:pPr>
          </w:p>
          <w:p w14:paraId="3F8B456F" w14:textId="1D708819"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lastRenderedPageBreak/>
              <w:t>Ekspozycje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ważone ryzykiem zgodnie</w:t>
            </w:r>
            <w:r w:rsidR="00E26EF6" w:rsidRPr="00E26EF6">
              <w:rPr>
                <w:rFonts w:ascii="Times New Roman" w:hAnsi="Times New Roman"/>
                <w:bCs/>
                <w:sz w:val="24"/>
              </w:rPr>
              <w:t xml:space="preserve"> z czę</w:t>
            </w:r>
            <w:r w:rsidRPr="00E26EF6">
              <w:rPr>
                <w:rFonts w:ascii="Times New Roman" w:hAnsi="Times New Roman"/>
                <w:bCs/>
                <w:sz w:val="24"/>
              </w:rPr>
              <w:t>ścią trzecią tytuł II rozdział 2 CRR,</w:t>
            </w:r>
            <w:r w:rsidR="00E26EF6" w:rsidRPr="00E26EF6">
              <w:rPr>
                <w:rFonts w:ascii="Times New Roman" w:hAnsi="Times New Roman"/>
                <w:bCs/>
                <w:sz w:val="24"/>
              </w:rPr>
              <w:t xml:space="preserve"> w tym</w:t>
            </w:r>
            <w:r w:rsidRPr="00E26EF6">
              <w:rPr>
                <w:rFonts w:ascii="Times New Roman" w:hAnsi="Times New Roman"/>
                <w:bCs/>
                <w:sz w:val="24"/>
              </w:rPr>
              <w:t xml:space="preserve"> ekspozycje</w:t>
            </w:r>
            <w:r w:rsidR="00E26EF6" w:rsidRPr="00E26EF6">
              <w:rPr>
                <w:rFonts w:ascii="Times New Roman" w:hAnsi="Times New Roman"/>
                <w:bCs/>
                <w:sz w:val="24"/>
              </w:rPr>
              <w:t xml:space="preserve"> z por</w:t>
            </w:r>
            <w:r w:rsidRPr="00E26EF6">
              <w:rPr>
                <w:rFonts w:ascii="Times New Roman" w:hAnsi="Times New Roman"/>
                <w:bCs/>
                <w:sz w:val="24"/>
              </w:rPr>
              <w:t>tfela bankowego,</w:t>
            </w:r>
            <w:r w:rsidR="00E26EF6" w:rsidRPr="00E26EF6">
              <w:rPr>
                <w:rFonts w:ascii="Times New Roman" w:hAnsi="Times New Roman"/>
                <w:bCs/>
                <w:sz w:val="24"/>
              </w:rPr>
              <w:t xml:space="preserve"> w prz</w:t>
            </w:r>
            <w:r w:rsidRPr="00E26EF6">
              <w:rPr>
                <w:rFonts w:ascii="Times New Roman" w:hAnsi="Times New Roman"/>
                <w:bCs/>
                <w:sz w:val="24"/>
              </w:rPr>
              <w:t>ypadku których ważenie ryzykiem zgodnie</w:t>
            </w:r>
            <w:r w:rsidR="00E26EF6" w:rsidRPr="00E26EF6">
              <w:rPr>
                <w:rFonts w:ascii="Times New Roman" w:hAnsi="Times New Roman"/>
                <w:bCs/>
                <w:sz w:val="24"/>
              </w:rPr>
              <w:t xml:space="preserve"> z tym</w:t>
            </w:r>
            <w:r w:rsidRPr="00E26EF6">
              <w:rPr>
                <w:rFonts w:ascii="Times New Roman" w:hAnsi="Times New Roman"/>
                <w:bCs/>
                <w:sz w:val="24"/>
              </w:rPr>
              <w:t xml:space="preserve"> rozdziałem uwzględnia ryzyko kredytowe kontrahenta.</w:t>
            </w:r>
          </w:p>
          <w:p w14:paraId="5CF39721"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709F8E9F" w14:textId="77777777" w:rsidTr="00672D2A">
        <w:tc>
          <w:tcPr>
            <w:tcW w:w="1188" w:type="dxa"/>
          </w:tcPr>
          <w:p w14:paraId="0F316850"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lastRenderedPageBreak/>
              <w:t>040</w:t>
            </w:r>
          </w:p>
        </w:tc>
        <w:tc>
          <w:tcPr>
            <w:tcW w:w="8701" w:type="dxa"/>
          </w:tcPr>
          <w:p w14:paraId="757B7863"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rządów centralnych</w:t>
            </w:r>
          </w:p>
          <w:p w14:paraId="1CC65811" w14:textId="77777777" w:rsidR="00915077" w:rsidRPr="00E26EF6" w:rsidRDefault="00915077">
            <w:pPr>
              <w:spacing w:before="0" w:after="0"/>
              <w:ind w:left="33"/>
              <w:rPr>
                <w:rFonts w:ascii="Times New Roman" w:hAnsi="Times New Roman"/>
                <w:bCs/>
                <w:sz w:val="24"/>
              </w:rPr>
            </w:pPr>
          </w:p>
          <w:p w14:paraId="002D3F73" w14:textId="1EB2A1B6"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rządami centralnymi. Ekspozycje te są przypisywane do kategorii ekspozycji „ekspozycje wobec rządów centralnych lub banków centralnych”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112</w:t>
            </w:r>
            <w:r w:rsidR="00E26EF6" w:rsidRPr="00E26EF6">
              <w:rPr>
                <w:rFonts w:ascii="Times New Roman" w:hAnsi="Times New Roman"/>
                <w:bCs/>
                <w:sz w:val="24"/>
              </w:rPr>
              <w:t xml:space="preserve"> i 1</w:t>
            </w:r>
            <w:r w:rsidRPr="00E26EF6">
              <w:rPr>
                <w:rFonts w:ascii="Times New Roman" w:hAnsi="Times New Roman"/>
                <w:bCs/>
                <w:sz w:val="24"/>
              </w:rPr>
              <w:t>14 CRR, jak określono</w:t>
            </w:r>
            <w:r w:rsidR="00E26EF6" w:rsidRPr="00E26EF6">
              <w:rPr>
                <w:rFonts w:ascii="Times New Roman" w:hAnsi="Times New Roman"/>
                <w:bCs/>
                <w:sz w:val="24"/>
              </w:rPr>
              <w:t xml:space="preserve"> w ins</w:t>
            </w:r>
            <w:r w:rsidRPr="00E26EF6">
              <w:rPr>
                <w:rFonts w:ascii="Times New Roman" w:hAnsi="Times New Roman"/>
                <w:bCs/>
                <w:sz w:val="24"/>
              </w:rPr>
              <w:t>trukcjach dla wzoru C 07.00,</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62E7C5E3"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75EE3576" w14:textId="77777777" w:rsidTr="00672D2A">
        <w:tc>
          <w:tcPr>
            <w:tcW w:w="1188" w:type="dxa"/>
          </w:tcPr>
          <w:p w14:paraId="342F6D56"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050</w:t>
            </w:r>
          </w:p>
        </w:tc>
        <w:tc>
          <w:tcPr>
            <w:tcW w:w="8701" w:type="dxa"/>
          </w:tcPr>
          <w:p w14:paraId="1A825496"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samorządów regionalnych lub władz lokalnych</w:t>
            </w:r>
          </w:p>
          <w:p w14:paraId="14F3B7E4" w14:textId="77777777" w:rsidR="00915077" w:rsidRPr="00E26EF6" w:rsidRDefault="00915077">
            <w:pPr>
              <w:spacing w:before="0" w:after="0"/>
              <w:ind w:left="33"/>
              <w:rPr>
                <w:rFonts w:ascii="Times New Roman" w:hAnsi="Times New Roman"/>
                <w:bCs/>
                <w:sz w:val="24"/>
              </w:rPr>
            </w:pPr>
          </w:p>
          <w:p w14:paraId="64E25E8C" w14:textId="4A37BD5B"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samorządami regionalnymi lub władzami lokalnymi. Ekspozycje te są przypisywane do kategorii ekspozycji „ekspozycje wobec samorządów regionalnych lub władz lokalnych”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112</w:t>
            </w:r>
            <w:r w:rsidR="00E26EF6" w:rsidRPr="00E26EF6">
              <w:rPr>
                <w:rFonts w:ascii="Times New Roman" w:hAnsi="Times New Roman"/>
                <w:bCs/>
                <w:sz w:val="24"/>
              </w:rPr>
              <w:t xml:space="preserve"> i 1</w:t>
            </w:r>
            <w:r w:rsidRPr="00E26EF6">
              <w:rPr>
                <w:rFonts w:ascii="Times New Roman" w:hAnsi="Times New Roman"/>
                <w:bCs/>
                <w:sz w:val="24"/>
              </w:rPr>
              <w:t>15 CRR, jak określono</w:t>
            </w:r>
            <w:r w:rsidR="00E26EF6" w:rsidRPr="00E26EF6">
              <w:rPr>
                <w:rFonts w:ascii="Times New Roman" w:hAnsi="Times New Roman"/>
                <w:bCs/>
                <w:sz w:val="24"/>
              </w:rPr>
              <w:t xml:space="preserve"> w ins</w:t>
            </w:r>
            <w:r w:rsidRPr="00E26EF6">
              <w:rPr>
                <w:rFonts w:ascii="Times New Roman" w:hAnsi="Times New Roman"/>
                <w:bCs/>
                <w:sz w:val="24"/>
              </w:rPr>
              <w:t>trukcjach dla wzoru C 07.00,</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5B520DF4"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6D1216D8" w14:textId="77777777" w:rsidTr="00672D2A">
        <w:tc>
          <w:tcPr>
            <w:tcW w:w="1188" w:type="dxa"/>
          </w:tcPr>
          <w:p w14:paraId="4E85D851"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060</w:t>
            </w:r>
          </w:p>
        </w:tc>
        <w:tc>
          <w:tcPr>
            <w:tcW w:w="8701" w:type="dxa"/>
          </w:tcPr>
          <w:p w14:paraId="7FC87D5A"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podmiotów sektora publicznego</w:t>
            </w:r>
          </w:p>
          <w:p w14:paraId="497DF568" w14:textId="77777777" w:rsidR="00915077" w:rsidRPr="00E26EF6" w:rsidRDefault="00915077">
            <w:pPr>
              <w:spacing w:before="0" w:after="0"/>
              <w:ind w:left="33"/>
              <w:rPr>
                <w:rFonts w:ascii="Times New Roman" w:hAnsi="Times New Roman"/>
                <w:bCs/>
                <w:sz w:val="24"/>
              </w:rPr>
            </w:pPr>
          </w:p>
          <w:p w14:paraId="003C7F9C" w14:textId="636FDC26"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podmiotami sektora publicznego. Ekspozycje te są przypisywane do kategorii ekspozycji „ekspozycje wobec podmiotów sektora publicznego”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112</w:t>
            </w:r>
            <w:r w:rsidR="00E26EF6" w:rsidRPr="00E26EF6">
              <w:rPr>
                <w:rFonts w:ascii="Times New Roman" w:hAnsi="Times New Roman"/>
                <w:bCs/>
                <w:sz w:val="24"/>
              </w:rPr>
              <w:t xml:space="preserve"> i 1</w:t>
            </w:r>
            <w:r w:rsidRPr="00E26EF6">
              <w:rPr>
                <w:rFonts w:ascii="Times New Roman" w:hAnsi="Times New Roman"/>
                <w:bCs/>
                <w:sz w:val="24"/>
              </w:rPr>
              <w:t>16 CRR, jak określono</w:t>
            </w:r>
            <w:r w:rsidR="00E26EF6" w:rsidRPr="00E26EF6">
              <w:rPr>
                <w:rFonts w:ascii="Times New Roman" w:hAnsi="Times New Roman"/>
                <w:bCs/>
                <w:sz w:val="24"/>
              </w:rPr>
              <w:t xml:space="preserve"> w ins</w:t>
            </w:r>
            <w:r w:rsidRPr="00E26EF6">
              <w:rPr>
                <w:rFonts w:ascii="Times New Roman" w:hAnsi="Times New Roman"/>
                <w:bCs/>
                <w:sz w:val="24"/>
              </w:rPr>
              <w:t>trukcjach dla wzoru C 07.00,</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2BF83B92"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50A07606" w14:textId="77777777" w:rsidTr="00672D2A">
        <w:tc>
          <w:tcPr>
            <w:tcW w:w="1188" w:type="dxa"/>
          </w:tcPr>
          <w:p w14:paraId="6A035DA5"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070</w:t>
            </w:r>
          </w:p>
        </w:tc>
        <w:tc>
          <w:tcPr>
            <w:tcW w:w="8701" w:type="dxa"/>
          </w:tcPr>
          <w:p w14:paraId="1E2C627A"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organizacji międzynarodowych</w:t>
            </w:r>
          </w:p>
          <w:p w14:paraId="27CAAC80" w14:textId="77777777" w:rsidR="00915077" w:rsidRPr="00E26EF6" w:rsidRDefault="00915077">
            <w:pPr>
              <w:spacing w:before="0" w:after="0"/>
              <w:ind w:left="33"/>
              <w:rPr>
                <w:rFonts w:ascii="Times New Roman" w:hAnsi="Times New Roman"/>
                <w:bCs/>
                <w:sz w:val="24"/>
              </w:rPr>
            </w:pPr>
          </w:p>
          <w:p w14:paraId="25487D99" w14:textId="06EBF71C" w:rsidR="00915077" w:rsidRPr="00E26EF6" w:rsidRDefault="00530BA1">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organizacjami międzynarodowymi. Ekspozycje te są przypisywane do kategorii ekspozycji „ekspozycje wobec organizacji międzynarodowych”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112</w:t>
            </w:r>
            <w:r w:rsidR="00E26EF6" w:rsidRPr="00E26EF6">
              <w:rPr>
                <w:rFonts w:ascii="Times New Roman" w:hAnsi="Times New Roman"/>
                <w:bCs/>
                <w:sz w:val="24"/>
              </w:rPr>
              <w:t xml:space="preserve"> i 1</w:t>
            </w:r>
            <w:r w:rsidRPr="00E26EF6">
              <w:rPr>
                <w:rFonts w:ascii="Times New Roman" w:hAnsi="Times New Roman"/>
                <w:bCs/>
                <w:sz w:val="24"/>
              </w:rPr>
              <w:t>18 CRR, jak określono</w:t>
            </w:r>
            <w:r w:rsidR="00E26EF6" w:rsidRPr="00E26EF6">
              <w:rPr>
                <w:rFonts w:ascii="Times New Roman" w:hAnsi="Times New Roman"/>
                <w:bCs/>
                <w:sz w:val="24"/>
              </w:rPr>
              <w:t xml:space="preserve"> w ins</w:t>
            </w:r>
            <w:r w:rsidRPr="00E26EF6">
              <w:rPr>
                <w:rFonts w:ascii="Times New Roman" w:hAnsi="Times New Roman"/>
                <w:bCs/>
                <w:sz w:val="24"/>
              </w:rPr>
              <w:t>trukcjach dla wzoru C 07.00,</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69071AEA"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0AE59D57" w14:textId="77777777" w:rsidTr="00672D2A">
        <w:tc>
          <w:tcPr>
            <w:tcW w:w="1188" w:type="dxa"/>
          </w:tcPr>
          <w:p w14:paraId="36DC970D" w14:textId="77777777" w:rsidR="00915077" w:rsidRPr="00E26EF6" w:rsidRDefault="00CE47AF">
            <w:pPr>
              <w:spacing w:before="0" w:after="0"/>
              <w:ind w:left="33"/>
              <w:rPr>
                <w:rFonts w:ascii="Times New Roman" w:hAnsi="Times New Roman"/>
                <w:bCs/>
                <w:sz w:val="24"/>
                <w:highlight w:val="lightGray"/>
              </w:rPr>
            </w:pPr>
            <w:r w:rsidRPr="00E26EF6">
              <w:rPr>
                <w:rFonts w:ascii="Times New Roman" w:hAnsi="Times New Roman"/>
                <w:bCs/>
                <w:sz w:val="24"/>
              </w:rPr>
              <w:t>075</w:t>
            </w:r>
          </w:p>
        </w:tc>
        <w:tc>
          <w:tcPr>
            <w:tcW w:w="8701" w:type="dxa"/>
          </w:tcPr>
          <w:p w14:paraId="479BA384" w14:textId="1BEB953B" w:rsidR="00915077" w:rsidRPr="00E26EF6" w:rsidRDefault="00CE47AF">
            <w:pPr>
              <w:spacing w:before="0" w:after="0"/>
              <w:ind w:left="33"/>
              <w:rPr>
                <w:rFonts w:ascii="Times New Roman" w:hAnsi="Times New Roman"/>
                <w:b/>
                <w:bCs/>
                <w:sz w:val="24"/>
                <w:u w:val="single"/>
              </w:rPr>
            </w:pPr>
            <w:r w:rsidRPr="00E26EF6">
              <w:rPr>
                <w:rFonts w:ascii="Times New Roman" w:hAnsi="Times New Roman"/>
                <w:b/>
                <w:bCs/>
                <w:sz w:val="24"/>
                <w:u w:val="single"/>
              </w:rPr>
              <w:t>Inne ekspozycje wobec sektora instytucji rządowych</w:t>
            </w:r>
            <w:r w:rsidR="00E26EF6" w:rsidRPr="00E26EF6">
              <w:rPr>
                <w:rFonts w:ascii="Times New Roman" w:hAnsi="Times New Roman"/>
                <w:b/>
                <w:bCs/>
                <w:sz w:val="24"/>
                <w:u w:val="single"/>
              </w:rPr>
              <w:t xml:space="preserve"> i sam</w:t>
            </w:r>
            <w:r w:rsidRPr="00E26EF6">
              <w:rPr>
                <w:rFonts w:ascii="Times New Roman" w:hAnsi="Times New Roman"/>
                <w:b/>
                <w:bCs/>
                <w:sz w:val="24"/>
                <w:u w:val="single"/>
              </w:rPr>
              <w:t>orządowych objęte metodą standardową</w:t>
            </w:r>
          </w:p>
          <w:p w14:paraId="38DCD7F8" w14:textId="77777777" w:rsidR="00915077" w:rsidRPr="00E26EF6" w:rsidRDefault="00915077">
            <w:pPr>
              <w:spacing w:before="0" w:after="0"/>
              <w:ind w:left="33"/>
              <w:rPr>
                <w:rFonts w:ascii="Times New Roman" w:hAnsi="Times New Roman"/>
                <w:bCs/>
                <w:sz w:val="24"/>
              </w:rPr>
            </w:pPr>
          </w:p>
          <w:p w14:paraId="0B5616D8" w14:textId="0CB04C0F" w:rsidR="00915077" w:rsidRPr="00E26EF6" w:rsidRDefault="00530BA1">
            <w:pPr>
              <w:spacing w:before="0" w:after="0"/>
              <w:ind w:left="33"/>
              <w:rPr>
                <w:rFonts w:ascii="Times New Roman" w:hAnsi="Times New Roman"/>
                <w:bCs/>
                <w:sz w:val="24"/>
              </w:rPr>
            </w:pPr>
            <w:r w:rsidRPr="00E26EF6">
              <w:rPr>
                <w:rFonts w:ascii="Times New Roman" w:hAnsi="Times New Roman"/>
                <w:bCs/>
                <w:sz w:val="24"/>
              </w:rPr>
              <w:t>Ekspozycje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inne niż uwzględnione</w:t>
            </w:r>
            <w:r w:rsidR="00E26EF6" w:rsidRPr="00E26EF6">
              <w:rPr>
                <w:rFonts w:ascii="Times New Roman" w:hAnsi="Times New Roman"/>
                <w:bCs/>
                <w:sz w:val="24"/>
              </w:rPr>
              <w:t xml:space="preserve"> w wie</w:t>
            </w:r>
            <w:r w:rsidRPr="00E26EF6">
              <w:rPr>
                <w:rFonts w:ascii="Times New Roman" w:hAnsi="Times New Roman"/>
                <w:bCs/>
                <w:sz w:val="24"/>
              </w:rPr>
              <w:t>rszach 040–070 powyżej, które przypisano do klasy ekspozycji według metody standardowej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112 CRR do celów obliczania wymogów</w:t>
            </w:r>
            <w:r w:rsidR="00E26EF6" w:rsidRPr="00E26EF6">
              <w:rPr>
                <w:rFonts w:ascii="Times New Roman" w:hAnsi="Times New Roman"/>
                <w:bCs/>
                <w:sz w:val="24"/>
              </w:rPr>
              <w:t xml:space="preserve"> w zak</w:t>
            </w:r>
            <w:r w:rsidRPr="00E26EF6">
              <w:rPr>
                <w:rFonts w:ascii="Times New Roman" w:hAnsi="Times New Roman"/>
                <w:bCs/>
                <w:sz w:val="24"/>
              </w:rPr>
              <w:t>resie funduszy własnych.</w:t>
            </w:r>
          </w:p>
          <w:p w14:paraId="00B71678"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54C846CD" w14:textId="77777777" w:rsidTr="00672D2A">
        <w:tc>
          <w:tcPr>
            <w:tcW w:w="1188" w:type="dxa"/>
          </w:tcPr>
          <w:p w14:paraId="25D1B85F"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080</w:t>
            </w:r>
          </w:p>
        </w:tc>
        <w:tc>
          <w:tcPr>
            <w:tcW w:w="8701" w:type="dxa"/>
          </w:tcPr>
          <w:p w14:paraId="799AE877"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Metoda IRB</w:t>
            </w:r>
          </w:p>
          <w:p w14:paraId="46D51E85" w14:textId="77777777" w:rsidR="00915077" w:rsidRPr="00E26EF6" w:rsidRDefault="00915077">
            <w:pPr>
              <w:spacing w:before="0" w:after="0"/>
              <w:ind w:left="33"/>
              <w:rPr>
                <w:rFonts w:ascii="Times New Roman" w:hAnsi="Times New Roman"/>
                <w:bCs/>
                <w:sz w:val="24"/>
              </w:rPr>
            </w:pPr>
          </w:p>
          <w:p w14:paraId="7900AB28" w14:textId="22287B98"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ważone ryzykiem zgodnie</w:t>
            </w:r>
            <w:r w:rsidR="00E26EF6" w:rsidRPr="00E26EF6">
              <w:rPr>
                <w:rFonts w:ascii="Times New Roman" w:hAnsi="Times New Roman"/>
                <w:bCs/>
                <w:sz w:val="24"/>
              </w:rPr>
              <w:t xml:space="preserve"> z czę</w:t>
            </w:r>
            <w:r w:rsidRPr="00E26EF6">
              <w:rPr>
                <w:rFonts w:ascii="Times New Roman" w:hAnsi="Times New Roman"/>
                <w:bCs/>
                <w:sz w:val="24"/>
              </w:rPr>
              <w:t>ścią trzecią tytuł II rozdział 3 CRR,</w:t>
            </w:r>
            <w:r w:rsidR="00E26EF6" w:rsidRPr="00E26EF6">
              <w:rPr>
                <w:rFonts w:ascii="Times New Roman" w:hAnsi="Times New Roman"/>
                <w:bCs/>
                <w:sz w:val="24"/>
              </w:rPr>
              <w:t xml:space="preserve"> w tym</w:t>
            </w:r>
            <w:r w:rsidRPr="00E26EF6">
              <w:rPr>
                <w:rFonts w:ascii="Times New Roman" w:hAnsi="Times New Roman"/>
                <w:bCs/>
                <w:sz w:val="24"/>
              </w:rPr>
              <w:t xml:space="preserve"> ekspozycje</w:t>
            </w:r>
            <w:r w:rsidR="00E26EF6" w:rsidRPr="00E26EF6">
              <w:rPr>
                <w:rFonts w:ascii="Times New Roman" w:hAnsi="Times New Roman"/>
                <w:bCs/>
                <w:sz w:val="24"/>
              </w:rPr>
              <w:t xml:space="preserve"> z por</w:t>
            </w:r>
            <w:r w:rsidRPr="00E26EF6">
              <w:rPr>
                <w:rFonts w:ascii="Times New Roman" w:hAnsi="Times New Roman"/>
                <w:bCs/>
                <w:sz w:val="24"/>
              </w:rPr>
              <w:t>tfela bankowego,</w:t>
            </w:r>
            <w:r w:rsidR="00E26EF6" w:rsidRPr="00E26EF6">
              <w:rPr>
                <w:rFonts w:ascii="Times New Roman" w:hAnsi="Times New Roman"/>
                <w:bCs/>
                <w:sz w:val="24"/>
              </w:rPr>
              <w:t xml:space="preserve"> w prz</w:t>
            </w:r>
            <w:r w:rsidRPr="00E26EF6">
              <w:rPr>
                <w:rFonts w:ascii="Times New Roman" w:hAnsi="Times New Roman"/>
                <w:bCs/>
                <w:sz w:val="24"/>
              </w:rPr>
              <w:t>ypadku których ważenie ryzykiem zgodnie</w:t>
            </w:r>
            <w:r w:rsidR="00E26EF6" w:rsidRPr="00E26EF6">
              <w:rPr>
                <w:rFonts w:ascii="Times New Roman" w:hAnsi="Times New Roman"/>
                <w:bCs/>
                <w:sz w:val="24"/>
              </w:rPr>
              <w:t xml:space="preserve"> z tym</w:t>
            </w:r>
            <w:r w:rsidRPr="00E26EF6">
              <w:rPr>
                <w:rFonts w:ascii="Times New Roman" w:hAnsi="Times New Roman"/>
                <w:bCs/>
                <w:sz w:val="24"/>
              </w:rPr>
              <w:t xml:space="preserve"> rozdziałem uwzględnia ryzyko kredytowe kontrahenta.</w:t>
            </w:r>
          </w:p>
          <w:p w14:paraId="29B30B61"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25F7A3FA" w14:textId="77777777" w:rsidTr="00672D2A">
        <w:tc>
          <w:tcPr>
            <w:tcW w:w="1188" w:type="dxa"/>
          </w:tcPr>
          <w:p w14:paraId="22511A04"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090</w:t>
            </w:r>
          </w:p>
        </w:tc>
        <w:tc>
          <w:tcPr>
            <w:tcW w:w="8701" w:type="dxa"/>
          </w:tcPr>
          <w:p w14:paraId="1C5FC261"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rządów centralnych</w:t>
            </w:r>
          </w:p>
          <w:p w14:paraId="20B0BC30" w14:textId="77777777" w:rsidR="00915077" w:rsidRPr="00E26EF6" w:rsidRDefault="00915077">
            <w:pPr>
              <w:spacing w:before="0" w:after="0"/>
              <w:ind w:left="33"/>
              <w:rPr>
                <w:rFonts w:ascii="Times New Roman" w:hAnsi="Times New Roman"/>
                <w:bCs/>
                <w:sz w:val="24"/>
              </w:rPr>
            </w:pPr>
          </w:p>
          <w:p w14:paraId="373032B6" w14:textId="7D1CF5F6"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rządami centralnymi, przypisywane do kategorii ekspozycji „ekspozycje wobec rządów centralnych</w:t>
            </w:r>
            <w:r w:rsidR="00E26EF6" w:rsidRPr="00E26EF6">
              <w:rPr>
                <w:rFonts w:ascii="Times New Roman" w:hAnsi="Times New Roman"/>
                <w:bCs/>
                <w:sz w:val="24"/>
              </w:rPr>
              <w:t xml:space="preserve"> i ban</w:t>
            </w:r>
            <w:r w:rsidRPr="00E26EF6">
              <w:rPr>
                <w:rFonts w:ascii="Times New Roman" w:hAnsi="Times New Roman"/>
                <w:bCs/>
                <w:sz w:val="24"/>
              </w:rPr>
              <w:t>ków centralnych”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 xml:space="preserve">147 </w:t>
            </w:r>
            <w:r w:rsidRPr="00E26EF6">
              <w:rPr>
                <w:rFonts w:ascii="Times New Roman" w:hAnsi="Times New Roman"/>
                <w:bCs/>
                <w:sz w:val="24"/>
              </w:rPr>
              <w:lastRenderedPageBreak/>
              <w:t>ust.</w:t>
            </w:r>
            <w:r w:rsidR="00023409" w:rsidRPr="00E26EF6">
              <w:rPr>
                <w:rFonts w:ascii="Times New Roman" w:hAnsi="Times New Roman"/>
                <w:bCs/>
                <w:sz w:val="24"/>
              </w:rPr>
              <w:t> </w:t>
            </w:r>
            <w:r w:rsidRPr="00E26EF6">
              <w:rPr>
                <w:rFonts w:ascii="Times New Roman" w:hAnsi="Times New Roman"/>
                <w:bCs/>
                <w:sz w:val="24"/>
              </w:rPr>
              <w:t>3 lit.</w:t>
            </w:r>
            <w:r w:rsidR="00023409" w:rsidRPr="00E26EF6">
              <w:rPr>
                <w:rFonts w:ascii="Times New Roman" w:hAnsi="Times New Roman"/>
                <w:bCs/>
                <w:sz w:val="24"/>
              </w:rPr>
              <w:t> </w:t>
            </w:r>
            <w:r w:rsidRPr="00E26EF6">
              <w:rPr>
                <w:rFonts w:ascii="Times New Roman" w:hAnsi="Times New Roman"/>
                <w:bCs/>
                <w:sz w:val="24"/>
              </w:rPr>
              <w:t>a) CRR, jak określono</w:t>
            </w:r>
            <w:r w:rsidR="00E26EF6" w:rsidRPr="00E26EF6">
              <w:rPr>
                <w:rFonts w:ascii="Times New Roman" w:hAnsi="Times New Roman"/>
                <w:bCs/>
                <w:sz w:val="24"/>
              </w:rPr>
              <w:t xml:space="preserve"> w ins</w:t>
            </w:r>
            <w:r w:rsidRPr="00E26EF6">
              <w:rPr>
                <w:rFonts w:ascii="Times New Roman" w:hAnsi="Times New Roman"/>
                <w:bCs/>
                <w:sz w:val="24"/>
              </w:rPr>
              <w:t xml:space="preserve">trukcjach dla wzoru C 08.01 </w:t>
            </w:r>
            <w:proofErr w:type="gramStart"/>
            <w:r w:rsidRPr="00E26EF6">
              <w:rPr>
                <w:rFonts w:ascii="Times New Roman" w:hAnsi="Times New Roman"/>
                <w:bCs/>
                <w:sz w:val="24"/>
              </w:rPr>
              <w:t>i</w:t>
            </w:r>
            <w:proofErr w:type="gramEnd"/>
            <w:r w:rsidRPr="00E26EF6">
              <w:rPr>
                <w:rFonts w:ascii="Times New Roman" w:hAnsi="Times New Roman"/>
                <w:bCs/>
                <w:sz w:val="24"/>
              </w:rPr>
              <w:t xml:space="preserve"> C 08.02,</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4F164F93"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6CAE82BC" w14:textId="77777777" w:rsidTr="00672D2A">
        <w:tc>
          <w:tcPr>
            <w:tcW w:w="1188" w:type="dxa"/>
          </w:tcPr>
          <w:p w14:paraId="285A850A"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lastRenderedPageBreak/>
              <w:t>100</w:t>
            </w:r>
          </w:p>
        </w:tc>
        <w:tc>
          <w:tcPr>
            <w:tcW w:w="8701" w:type="dxa"/>
          </w:tcPr>
          <w:p w14:paraId="33AE9498" w14:textId="2C9462D5"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samorządów regionalnych lub władz lokalnych [ekspozycje wobec rządów centralnych</w:t>
            </w:r>
            <w:r w:rsidR="00E26EF6" w:rsidRPr="00E26EF6">
              <w:rPr>
                <w:rFonts w:ascii="Times New Roman" w:hAnsi="Times New Roman"/>
                <w:b/>
                <w:bCs/>
                <w:sz w:val="24"/>
                <w:u w:val="single"/>
              </w:rPr>
              <w:t xml:space="preserve"> i ban</w:t>
            </w:r>
            <w:r w:rsidRPr="00E26EF6">
              <w:rPr>
                <w:rFonts w:ascii="Times New Roman" w:hAnsi="Times New Roman"/>
                <w:b/>
                <w:bCs/>
                <w:sz w:val="24"/>
                <w:u w:val="single"/>
              </w:rPr>
              <w:t>ków centralnych]</w:t>
            </w:r>
          </w:p>
          <w:p w14:paraId="4B875B64" w14:textId="77777777" w:rsidR="00915077" w:rsidRPr="00E26EF6" w:rsidRDefault="00915077">
            <w:pPr>
              <w:spacing w:before="0" w:after="0"/>
              <w:ind w:left="33"/>
              <w:rPr>
                <w:rFonts w:ascii="Times New Roman" w:hAnsi="Times New Roman"/>
                <w:bCs/>
                <w:sz w:val="24"/>
              </w:rPr>
            </w:pPr>
          </w:p>
          <w:p w14:paraId="22C9F2CE" w14:textId="1ACAA003"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samorządami regionalnymi lub władzami lokalnymi, przypisywane do kategorii ekspozycji „ekspozycje wobec rządów centralnych</w:t>
            </w:r>
            <w:r w:rsidR="00E26EF6" w:rsidRPr="00E26EF6">
              <w:rPr>
                <w:rFonts w:ascii="Times New Roman" w:hAnsi="Times New Roman"/>
                <w:bCs/>
                <w:sz w:val="24"/>
              </w:rPr>
              <w:t xml:space="preserve"> i ban</w:t>
            </w:r>
            <w:r w:rsidRPr="00E26EF6">
              <w:rPr>
                <w:rFonts w:ascii="Times New Roman" w:hAnsi="Times New Roman"/>
                <w:bCs/>
                <w:sz w:val="24"/>
              </w:rPr>
              <w:t>ków centralnych”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147 ust.</w:t>
            </w:r>
            <w:r w:rsidR="00023409" w:rsidRPr="00E26EF6">
              <w:rPr>
                <w:rFonts w:ascii="Times New Roman" w:hAnsi="Times New Roman"/>
                <w:bCs/>
                <w:sz w:val="24"/>
              </w:rPr>
              <w:t> </w:t>
            </w:r>
            <w:r w:rsidRPr="00E26EF6">
              <w:rPr>
                <w:rFonts w:ascii="Times New Roman" w:hAnsi="Times New Roman"/>
                <w:bCs/>
                <w:sz w:val="24"/>
              </w:rPr>
              <w:t>3 lit.</w:t>
            </w:r>
            <w:r w:rsidR="00023409" w:rsidRPr="00E26EF6">
              <w:rPr>
                <w:rFonts w:ascii="Times New Roman" w:hAnsi="Times New Roman"/>
                <w:bCs/>
                <w:sz w:val="24"/>
              </w:rPr>
              <w:t> </w:t>
            </w:r>
            <w:r w:rsidRPr="00E26EF6">
              <w:rPr>
                <w:rFonts w:ascii="Times New Roman" w:hAnsi="Times New Roman"/>
                <w:bCs/>
                <w:sz w:val="24"/>
              </w:rPr>
              <w:t>a) CRR, jak określono</w:t>
            </w:r>
            <w:r w:rsidR="00E26EF6" w:rsidRPr="00E26EF6">
              <w:rPr>
                <w:rFonts w:ascii="Times New Roman" w:hAnsi="Times New Roman"/>
                <w:bCs/>
                <w:sz w:val="24"/>
              </w:rPr>
              <w:t xml:space="preserve"> w ins</w:t>
            </w:r>
            <w:r w:rsidRPr="00E26EF6">
              <w:rPr>
                <w:rFonts w:ascii="Times New Roman" w:hAnsi="Times New Roman"/>
                <w:bCs/>
                <w:sz w:val="24"/>
              </w:rPr>
              <w:t xml:space="preserve">trukcjach dla wzoru C 08.01 </w:t>
            </w:r>
            <w:proofErr w:type="gramStart"/>
            <w:r w:rsidRPr="00E26EF6">
              <w:rPr>
                <w:rFonts w:ascii="Times New Roman" w:hAnsi="Times New Roman"/>
                <w:bCs/>
                <w:sz w:val="24"/>
              </w:rPr>
              <w:t>i</w:t>
            </w:r>
            <w:proofErr w:type="gramEnd"/>
            <w:r w:rsidRPr="00E26EF6">
              <w:rPr>
                <w:rFonts w:ascii="Times New Roman" w:hAnsi="Times New Roman"/>
                <w:bCs/>
                <w:sz w:val="24"/>
              </w:rPr>
              <w:t xml:space="preserve"> C 08.02,</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38749CC2"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6BF24A5A" w14:textId="77777777" w:rsidTr="00672D2A">
        <w:tc>
          <w:tcPr>
            <w:tcW w:w="1188" w:type="dxa"/>
          </w:tcPr>
          <w:p w14:paraId="7DDA5257"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110</w:t>
            </w:r>
          </w:p>
        </w:tc>
        <w:tc>
          <w:tcPr>
            <w:tcW w:w="8701" w:type="dxa"/>
          </w:tcPr>
          <w:p w14:paraId="3B95D11C"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samorządów regionalnych lub władz lokalnych [ekspozycje wobec instytucji]</w:t>
            </w:r>
          </w:p>
          <w:p w14:paraId="7D840299" w14:textId="77777777" w:rsidR="00915077" w:rsidRPr="00E26EF6" w:rsidRDefault="00915077">
            <w:pPr>
              <w:spacing w:before="0" w:after="0"/>
              <w:ind w:left="33"/>
              <w:rPr>
                <w:rFonts w:ascii="Times New Roman" w:hAnsi="Times New Roman"/>
                <w:bCs/>
                <w:sz w:val="24"/>
              </w:rPr>
            </w:pPr>
          </w:p>
          <w:p w14:paraId="4C64A935" w14:textId="04452AAA"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samorządami regionalnymi lub władzami lokalnymi, przypisywane do kategorii ekspozycji „ekspozycje wobec instytucji”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147 ust.</w:t>
            </w:r>
            <w:r w:rsidR="00023409" w:rsidRPr="00E26EF6">
              <w:rPr>
                <w:rFonts w:ascii="Times New Roman" w:hAnsi="Times New Roman"/>
                <w:bCs/>
                <w:sz w:val="24"/>
              </w:rPr>
              <w:t> </w:t>
            </w:r>
            <w:r w:rsidRPr="00E26EF6">
              <w:rPr>
                <w:rFonts w:ascii="Times New Roman" w:hAnsi="Times New Roman"/>
                <w:bCs/>
                <w:sz w:val="24"/>
              </w:rPr>
              <w:t>4 lit.</w:t>
            </w:r>
            <w:r w:rsidR="00023409" w:rsidRPr="00E26EF6">
              <w:rPr>
                <w:rFonts w:ascii="Times New Roman" w:hAnsi="Times New Roman"/>
                <w:bCs/>
                <w:sz w:val="24"/>
              </w:rPr>
              <w:t> </w:t>
            </w:r>
            <w:r w:rsidRPr="00E26EF6">
              <w:rPr>
                <w:rFonts w:ascii="Times New Roman" w:hAnsi="Times New Roman"/>
                <w:bCs/>
                <w:sz w:val="24"/>
              </w:rPr>
              <w:t>a) CRR, jak określono</w:t>
            </w:r>
            <w:r w:rsidR="00E26EF6" w:rsidRPr="00E26EF6">
              <w:rPr>
                <w:rFonts w:ascii="Times New Roman" w:hAnsi="Times New Roman"/>
                <w:bCs/>
                <w:sz w:val="24"/>
              </w:rPr>
              <w:t xml:space="preserve"> w ins</w:t>
            </w:r>
            <w:r w:rsidRPr="00E26EF6">
              <w:rPr>
                <w:rFonts w:ascii="Times New Roman" w:hAnsi="Times New Roman"/>
                <w:bCs/>
                <w:sz w:val="24"/>
              </w:rPr>
              <w:t xml:space="preserve">trukcjach dla wzoru C 08.01 </w:t>
            </w:r>
            <w:proofErr w:type="gramStart"/>
            <w:r w:rsidRPr="00E26EF6">
              <w:rPr>
                <w:rFonts w:ascii="Times New Roman" w:hAnsi="Times New Roman"/>
                <w:bCs/>
                <w:sz w:val="24"/>
              </w:rPr>
              <w:t>i</w:t>
            </w:r>
            <w:proofErr w:type="gramEnd"/>
            <w:r w:rsidRPr="00E26EF6">
              <w:rPr>
                <w:rFonts w:ascii="Times New Roman" w:hAnsi="Times New Roman"/>
                <w:bCs/>
                <w:sz w:val="24"/>
              </w:rPr>
              <w:t xml:space="preserve"> C 08.02,</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4CBC3962"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7E703835" w14:textId="77777777" w:rsidTr="00672D2A">
        <w:tc>
          <w:tcPr>
            <w:tcW w:w="1188" w:type="dxa"/>
          </w:tcPr>
          <w:p w14:paraId="491B5229"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120</w:t>
            </w:r>
          </w:p>
        </w:tc>
        <w:tc>
          <w:tcPr>
            <w:tcW w:w="8701" w:type="dxa"/>
          </w:tcPr>
          <w:p w14:paraId="382BC54A" w14:textId="0F2A4772"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podmiotów sektora publicznego [ekspozycje wobec rządów centralnych</w:t>
            </w:r>
            <w:r w:rsidR="00E26EF6" w:rsidRPr="00E26EF6">
              <w:rPr>
                <w:rFonts w:ascii="Times New Roman" w:hAnsi="Times New Roman"/>
                <w:b/>
                <w:bCs/>
                <w:sz w:val="24"/>
                <w:u w:val="single"/>
              </w:rPr>
              <w:t xml:space="preserve"> i ban</w:t>
            </w:r>
            <w:r w:rsidRPr="00E26EF6">
              <w:rPr>
                <w:rFonts w:ascii="Times New Roman" w:hAnsi="Times New Roman"/>
                <w:b/>
                <w:bCs/>
                <w:sz w:val="24"/>
                <w:u w:val="single"/>
              </w:rPr>
              <w:t>ków centralnych]</w:t>
            </w:r>
          </w:p>
          <w:p w14:paraId="023C6BEC" w14:textId="77777777" w:rsidR="00915077" w:rsidRPr="00E26EF6" w:rsidRDefault="00915077">
            <w:pPr>
              <w:spacing w:before="0" w:after="0"/>
              <w:ind w:left="33"/>
              <w:rPr>
                <w:rFonts w:ascii="Times New Roman" w:hAnsi="Times New Roman"/>
                <w:bCs/>
                <w:sz w:val="24"/>
              </w:rPr>
            </w:pPr>
          </w:p>
          <w:p w14:paraId="6304ED83" w14:textId="65D4C98E"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podmiotami sektora publicznego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4 ust.</w:t>
            </w:r>
            <w:r w:rsidR="00023409" w:rsidRPr="00E26EF6">
              <w:rPr>
                <w:rFonts w:ascii="Times New Roman" w:hAnsi="Times New Roman"/>
                <w:bCs/>
                <w:sz w:val="24"/>
              </w:rPr>
              <w:t> </w:t>
            </w:r>
            <w:r w:rsidRPr="00E26EF6">
              <w:rPr>
                <w:rFonts w:ascii="Times New Roman" w:hAnsi="Times New Roman"/>
                <w:bCs/>
                <w:sz w:val="24"/>
              </w:rPr>
              <w:t>8 CRR, przypisywane do kategorii ekspozycji „ekspozycje wobec rządów centralnych</w:t>
            </w:r>
            <w:r w:rsidR="00E26EF6" w:rsidRPr="00E26EF6">
              <w:rPr>
                <w:rFonts w:ascii="Times New Roman" w:hAnsi="Times New Roman"/>
                <w:bCs/>
                <w:sz w:val="24"/>
              </w:rPr>
              <w:t xml:space="preserve"> i ban</w:t>
            </w:r>
            <w:r w:rsidRPr="00E26EF6">
              <w:rPr>
                <w:rFonts w:ascii="Times New Roman" w:hAnsi="Times New Roman"/>
                <w:bCs/>
                <w:sz w:val="24"/>
              </w:rPr>
              <w:t>ków centralnych”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147 ust.</w:t>
            </w:r>
            <w:r w:rsidR="00023409" w:rsidRPr="00E26EF6">
              <w:rPr>
                <w:rFonts w:ascii="Times New Roman" w:hAnsi="Times New Roman"/>
                <w:bCs/>
                <w:sz w:val="24"/>
              </w:rPr>
              <w:t> </w:t>
            </w:r>
            <w:r w:rsidRPr="00E26EF6">
              <w:rPr>
                <w:rFonts w:ascii="Times New Roman" w:hAnsi="Times New Roman"/>
                <w:bCs/>
                <w:sz w:val="24"/>
              </w:rPr>
              <w:t>3 lit.</w:t>
            </w:r>
            <w:r w:rsidR="00023409" w:rsidRPr="00E26EF6">
              <w:rPr>
                <w:rFonts w:ascii="Times New Roman" w:hAnsi="Times New Roman"/>
                <w:bCs/>
                <w:sz w:val="24"/>
              </w:rPr>
              <w:t> </w:t>
            </w:r>
            <w:r w:rsidRPr="00E26EF6">
              <w:rPr>
                <w:rFonts w:ascii="Times New Roman" w:hAnsi="Times New Roman"/>
                <w:bCs/>
                <w:sz w:val="24"/>
              </w:rPr>
              <w:t>a) CRR, jak określono</w:t>
            </w:r>
            <w:r w:rsidR="00E26EF6" w:rsidRPr="00E26EF6">
              <w:rPr>
                <w:rFonts w:ascii="Times New Roman" w:hAnsi="Times New Roman"/>
                <w:bCs/>
                <w:sz w:val="24"/>
              </w:rPr>
              <w:t xml:space="preserve"> w ins</w:t>
            </w:r>
            <w:r w:rsidRPr="00E26EF6">
              <w:rPr>
                <w:rFonts w:ascii="Times New Roman" w:hAnsi="Times New Roman"/>
                <w:bCs/>
                <w:sz w:val="24"/>
              </w:rPr>
              <w:t xml:space="preserve">trukcjach dla wzoru C 08.01 </w:t>
            </w:r>
            <w:proofErr w:type="gramStart"/>
            <w:r w:rsidRPr="00E26EF6">
              <w:rPr>
                <w:rFonts w:ascii="Times New Roman" w:hAnsi="Times New Roman"/>
                <w:bCs/>
                <w:sz w:val="24"/>
              </w:rPr>
              <w:t>i</w:t>
            </w:r>
            <w:proofErr w:type="gramEnd"/>
            <w:r w:rsidRPr="00E26EF6">
              <w:rPr>
                <w:rFonts w:ascii="Times New Roman" w:hAnsi="Times New Roman"/>
                <w:bCs/>
                <w:sz w:val="24"/>
              </w:rPr>
              <w:t xml:space="preserve"> C 08.02,</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4F189DF2"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7B99303B" w14:textId="77777777" w:rsidTr="00672D2A">
        <w:tc>
          <w:tcPr>
            <w:tcW w:w="1188" w:type="dxa"/>
          </w:tcPr>
          <w:p w14:paraId="32294DA7"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130</w:t>
            </w:r>
          </w:p>
        </w:tc>
        <w:tc>
          <w:tcPr>
            <w:tcW w:w="8701" w:type="dxa"/>
          </w:tcPr>
          <w:p w14:paraId="7594D801"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podmiotów sektora publicznego [ekspozycje wobec instytucji]</w:t>
            </w:r>
          </w:p>
          <w:p w14:paraId="6A2FA47C" w14:textId="77777777" w:rsidR="00915077" w:rsidRPr="00E26EF6" w:rsidRDefault="00915077">
            <w:pPr>
              <w:spacing w:before="0" w:after="0"/>
              <w:ind w:left="33"/>
              <w:rPr>
                <w:rFonts w:ascii="Times New Roman" w:hAnsi="Times New Roman"/>
                <w:bCs/>
                <w:sz w:val="24"/>
              </w:rPr>
            </w:pPr>
          </w:p>
          <w:p w14:paraId="40C60848" w14:textId="58079FA0"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podmiotami sektora publicznego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4 ust.</w:t>
            </w:r>
            <w:r w:rsidR="00023409" w:rsidRPr="00E26EF6">
              <w:rPr>
                <w:rFonts w:ascii="Times New Roman" w:hAnsi="Times New Roman"/>
                <w:bCs/>
                <w:sz w:val="24"/>
              </w:rPr>
              <w:t> </w:t>
            </w:r>
            <w:r w:rsidRPr="00E26EF6">
              <w:rPr>
                <w:rFonts w:ascii="Times New Roman" w:hAnsi="Times New Roman"/>
                <w:bCs/>
                <w:sz w:val="24"/>
              </w:rPr>
              <w:t>8 CRR, przypisywane do kategorii ekspozycji „ekspozycje wobec instytucji”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147 ust.</w:t>
            </w:r>
            <w:r w:rsidR="00023409" w:rsidRPr="00E26EF6">
              <w:rPr>
                <w:rFonts w:ascii="Times New Roman" w:hAnsi="Times New Roman"/>
                <w:bCs/>
                <w:sz w:val="24"/>
              </w:rPr>
              <w:t> </w:t>
            </w:r>
            <w:r w:rsidRPr="00E26EF6">
              <w:rPr>
                <w:rFonts w:ascii="Times New Roman" w:hAnsi="Times New Roman"/>
                <w:bCs/>
                <w:sz w:val="24"/>
              </w:rPr>
              <w:t>4 lit.</w:t>
            </w:r>
            <w:r w:rsidR="00023409" w:rsidRPr="00E26EF6">
              <w:rPr>
                <w:rFonts w:ascii="Times New Roman" w:hAnsi="Times New Roman"/>
                <w:bCs/>
                <w:sz w:val="24"/>
              </w:rPr>
              <w:t> </w:t>
            </w:r>
            <w:r w:rsidRPr="00E26EF6">
              <w:rPr>
                <w:rFonts w:ascii="Times New Roman" w:hAnsi="Times New Roman"/>
                <w:bCs/>
                <w:sz w:val="24"/>
              </w:rPr>
              <w:t>b) CRR, jak określono</w:t>
            </w:r>
            <w:r w:rsidR="00E26EF6" w:rsidRPr="00E26EF6">
              <w:rPr>
                <w:rFonts w:ascii="Times New Roman" w:hAnsi="Times New Roman"/>
                <w:bCs/>
                <w:sz w:val="24"/>
              </w:rPr>
              <w:t xml:space="preserve"> w ins</w:t>
            </w:r>
            <w:r w:rsidRPr="00E26EF6">
              <w:rPr>
                <w:rFonts w:ascii="Times New Roman" w:hAnsi="Times New Roman"/>
                <w:bCs/>
                <w:sz w:val="24"/>
              </w:rPr>
              <w:t xml:space="preserve">trukcjach dla wzoru C 08.01 </w:t>
            </w:r>
            <w:proofErr w:type="gramStart"/>
            <w:r w:rsidRPr="00E26EF6">
              <w:rPr>
                <w:rFonts w:ascii="Times New Roman" w:hAnsi="Times New Roman"/>
                <w:bCs/>
                <w:sz w:val="24"/>
              </w:rPr>
              <w:t>i</w:t>
            </w:r>
            <w:proofErr w:type="gramEnd"/>
            <w:r w:rsidRPr="00E26EF6">
              <w:rPr>
                <w:rFonts w:ascii="Times New Roman" w:hAnsi="Times New Roman"/>
                <w:bCs/>
                <w:sz w:val="24"/>
              </w:rPr>
              <w:t xml:space="preserve"> C 08.02,</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083886D4"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150DBEA2" w14:textId="77777777" w:rsidTr="00672D2A">
        <w:tc>
          <w:tcPr>
            <w:tcW w:w="1188" w:type="dxa"/>
          </w:tcPr>
          <w:p w14:paraId="3EDC30A2" w14:textId="77777777" w:rsidR="00915077" w:rsidRPr="00E26EF6" w:rsidDel="00C211CB" w:rsidRDefault="00FD54FC">
            <w:pPr>
              <w:spacing w:before="0" w:after="0"/>
              <w:ind w:left="33"/>
              <w:rPr>
                <w:rFonts w:ascii="Times New Roman" w:hAnsi="Times New Roman"/>
                <w:bCs/>
                <w:sz w:val="24"/>
                <w:highlight w:val="lightGray"/>
              </w:rPr>
            </w:pPr>
            <w:r w:rsidRPr="00E26EF6">
              <w:rPr>
                <w:rFonts w:ascii="Times New Roman" w:hAnsi="Times New Roman"/>
                <w:bCs/>
                <w:sz w:val="24"/>
              </w:rPr>
              <w:t>140</w:t>
            </w:r>
          </w:p>
        </w:tc>
        <w:tc>
          <w:tcPr>
            <w:tcW w:w="8701" w:type="dxa"/>
          </w:tcPr>
          <w:p w14:paraId="20429198" w14:textId="4BD689D8"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wobec organizacji międzynarodowych [ekspozycje wobec rządów centralnych</w:t>
            </w:r>
            <w:r w:rsidR="00E26EF6" w:rsidRPr="00E26EF6">
              <w:rPr>
                <w:rFonts w:ascii="Times New Roman" w:hAnsi="Times New Roman"/>
                <w:b/>
                <w:bCs/>
                <w:sz w:val="24"/>
                <w:u w:val="single"/>
              </w:rPr>
              <w:t xml:space="preserve"> i ban</w:t>
            </w:r>
            <w:r w:rsidRPr="00E26EF6">
              <w:rPr>
                <w:rFonts w:ascii="Times New Roman" w:hAnsi="Times New Roman"/>
                <w:b/>
                <w:bCs/>
                <w:sz w:val="24"/>
                <w:u w:val="single"/>
              </w:rPr>
              <w:t>ków centralnych]</w:t>
            </w:r>
          </w:p>
          <w:p w14:paraId="34D8266C" w14:textId="77777777" w:rsidR="00915077" w:rsidRPr="00E26EF6" w:rsidRDefault="00915077">
            <w:pPr>
              <w:spacing w:before="0" w:after="0"/>
              <w:ind w:left="33"/>
              <w:rPr>
                <w:rFonts w:ascii="Times New Roman" w:hAnsi="Times New Roman"/>
                <w:bCs/>
                <w:sz w:val="24"/>
              </w:rPr>
            </w:pPr>
          </w:p>
          <w:p w14:paraId="6346CB88" w14:textId="2626CED2"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które są organizacjami międzynarodowymi, przypisywane do kategorii ekspozycji „ekspozycje wobec rządów centralnych</w:t>
            </w:r>
            <w:r w:rsidR="00E26EF6" w:rsidRPr="00E26EF6">
              <w:rPr>
                <w:rFonts w:ascii="Times New Roman" w:hAnsi="Times New Roman"/>
                <w:bCs/>
                <w:sz w:val="24"/>
              </w:rPr>
              <w:t xml:space="preserve"> i ban</w:t>
            </w:r>
            <w:r w:rsidRPr="00E26EF6">
              <w:rPr>
                <w:rFonts w:ascii="Times New Roman" w:hAnsi="Times New Roman"/>
                <w:bCs/>
                <w:sz w:val="24"/>
              </w:rPr>
              <w:t>ków centralnych”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147 ust.</w:t>
            </w:r>
            <w:r w:rsidR="00023409" w:rsidRPr="00E26EF6">
              <w:rPr>
                <w:rFonts w:ascii="Times New Roman" w:hAnsi="Times New Roman"/>
                <w:bCs/>
                <w:sz w:val="24"/>
              </w:rPr>
              <w:t> </w:t>
            </w:r>
            <w:r w:rsidRPr="00E26EF6">
              <w:rPr>
                <w:rFonts w:ascii="Times New Roman" w:hAnsi="Times New Roman"/>
                <w:bCs/>
                <w:sz w:val="24"/>
              </w:rPr>
              <w:t>3 lit.</w:t>
            </w:r>
            <w:r w:rsidR="00023409" w:rsidRPr="00E26EF6">
              <w:rPr>
                <w:rFonts w:ascii="Times New Roman" w:hAnsi="Times New Roman"/>
                <w:bCs/>
                <w:sz w:val="24"/>
              </w:rPr>
              <w:t> </w:t>
            </w:r>
            <w:r w:rsidRPr="00E26EF6">
              <w:rPr>
                <w:rFonts w:ascii="Times New Roman" w:hAnsi="Times New Roman"/>
                <w:bCs/>
                <w:sz w:val="24"/>
              </w:rPr>
              <w:t>c) CRR, jak określono</w:t>
            </w:r>
            <w:r w:rsidR="00E26EF6" w:rsidRPr="00E26EF6">
              <w:rPr>
                <w:rFonts w:ascii="Times New Roman" w:hAnsi="Times New Roman"/>
                <w:bCs/>
                <w:sz w:val="24"/>
              </w:rPr>
              <w:t xml:space="preserve"> w ins</w:t>
            </w:r>
            <w:r w:rsidRPr="00E26EF6">
              <w:rPr>
                <w:rFonts w:ascii="Times New Roman" w:hAnsi="Times New Roman"/>
                <w:bCs/>
                <w:sz w:val="24"/>
              </w:rPr>
              <w:t xml:space="preserve">trukcjach dla wzoru C 08.01 </w:t>
            </w:r>
            <w:proofErr w:type="gramStart"/>
            <w:r w:rsidRPr="00E26EF6">
              <w:rPr>
                <w:rFonts w:ascii="Times New Roman" w:hAnsi="Times New Roman"/>
                <w:bCs/>
                <w:sz w:val="24"/>
              </w:rPr>
              <w:t>i</w:t>
            </w:r>
            <w:proofErr w:type="gramEnd"/>
            <w:r w:rsidRPr="00E26EF6">
              <w:rPr>
                <w:rFonts w:ascii="Times New Roman" w:hAnsi="Times New Roman"/>
                <w:bCs/>
                <w:sz w:val="24"/>
              </w:rPr>
              <w:t xml:space="preserve"> C 08.02,</w:t>
            </w:r>
            <w:r w:rsidR="00E26EF6" w:rsidRPr="00E26EF6">
              <w:rPr>
                <w:rFonts w:ascii="Times New Roman" w:hAnsi="Times New Roman"/>
                <w:bCs/>
                <w:sz w:val="24"/>
              </w:rPr>
              <w:t xml:space="preserve"> </w:t>
            </w:r>
            <w:proofErr w:type="gramStart"/>
            <w:r w:rsidR="00E26EF6" w:rsidRPr="00E26EF6">
              <w:rPr>
                <w:rFonts w:ascii="Times New Roman" w:hAnsi="Times New Roman"/>
                <w:bCs/>
                <w:sz w:val="24"/>
              </w:rPr>
              <w:t>z</w:t>
            </w:r>
            <w:proofErr w:type="gramEnd"/>
            <w:r w:rsidR="00E26EF6" w:rsidRPr="00E26EF6">
              <w:rPr>
                <w:rFonts w:ascii="Times New Roman" w:hAnsi="Times New Roman"/>
                <w:bCs/>
                <w:sz w:val="24"/>
              </w:rPr>
              <w:t> wyj</w:t>
            </w:r>
            <w:r w:rsidRPr="00E26EF6">
              <w:rPr>
                <w:rFonts w:ascii="Times New Roman" w:hAnsi="Times New Roman"/>
                <w:bCs/>
                <w:sz w:val="24"/>
              </w:rPr>
              <w:t>ątkiem instrukcji dotyczących przeniesienia ekspozycji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do innych kategorii ekspozycji wskutek stosowania technik ograniczania ryzyka kredytowego</w:t>
            </w:r>
            <w:r w:rsidR="00E26EF6" w:rsidRPr="00E26EF6">
              <w:rPr>
                <w:rFonts w:ascii="Times New Roman" w:hAnsi="Times New Roman"/>
                <w:bCs/>
                <w:sz w:val="24"/>
              </w:rPr>
              <w:t xml:space="preserve"> z uwz</w:t>
            </w:r>
            <w:r w:rsidRPr="00E26EF6">
              <w:rPr>
                <w:rFonts w:ascii="Times New Roman" w:hAnsi="Times New Roman"/>
                <w:bCs/>
                <w:sz w:val="24"/>
              </w:rPr>
              <w:t>ględnieniem efektów substytucyjnych</w:t>
            </w:r>
            <w:r w:rsidR="00E26EF6" w:rsidRPr="00E26EF6">
              <w:rPr>
                <w:rFonts w:ascii="Times New Roman" w:hAnsi="Times New Roman"/>
                <w:bCs/>
                <w:sz w:val="24"/>
              </w:rPr>
              <w:t xml:space="preserve"> w odn</w:t>
            </w:r>
            <w:r w:rsidRPr="00E26EF6">
              <w:rPr>
                <w:rFonts w:ascii="Times New Roman" w:hAnsi="Times New Roman"/>
                <w:bCs/>
                <w:sz w:val="24"/>
              </w:rPr>
              <w:t>iesieniu do ekspozycji, które to instrukcje nie mają zastosowania.</w:t>
            </w:r>
          </w:p>
          <w:p w14:paraId="2DFB197E"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0DC8D283" w14:textId="77777777" w:rsidTr="00672D2A">
        <w:tc>
          <w:tcPr>
            <w:tcW w:w="1188" w:type="dxa"/>
          </w:tcPr>
          <w:p w14:paraId="4B5707BF" w14:textId="77777777" w:rsidR="00915077" w:rsidRPr="00E26EF6" w:rsidRDefault="00530BA1">
            <w:pPr>
              <w:spacing w:before="0" w:after="0"/>
              <w:ind w:left="33"/>
              <w:rPr>
                <w:rFonts w:ascii="Times New Roman" w:hAnsi="Times New Roman"/>
                <w:bCs/>
                <w:sz w:val="24"/>
                <w:highlight w:val="lightGray"/>
              </w:rPr>
            </w:pPr>
            <w:r w:rsidRPr="00E26EF6">
              <w:rPr>
                <w:rFonts w:ascii="Times New Roman" w:hAnsi="Times New Roman"/>
                <w:bCs/>
                <w:sz w:val="24"/>
              </w:rPr>
              <w:t>155</w:t>
            </w:r>
          </w:p>
        </w:tc>
        <w:tc>
          <w:tcPr>
            <w:tcW w:w="8701" w:type="dxa"/>
          </w:tcPr>
          <w:p w14:paraId="64D0FB62" w14:textId="64075B1A" w:rsidR="00915077" w:rsidRPr="00E26EF6" w:rsidRDefault="00530BA1">
            <w:pPr>
              <w:spacing w:before="0" w:after="0"/>
              <w:ind w:left="33"/>
              <w:rPr>
                <w:rFonts w:ascii="Times New Roman" w:hAnsi="Times New Roman"/>
                <w:b/>
                <w:bCs/>
                <w:sz w:val="24"/>
                <w:u w:val="single"/>
              </w:rPr>
            </w:pPr>
            <w:r w:rsidRPr="00E26EF6">
              <w:rPr>
                <w:rFonts w:ascii="Times New Roman" w:hAnsi="Times New Roman"/>
                <w:b/>
                <w:bCs/>
                <w:sz w:val="24"/>
                <w:u w:val="single"/>
              </w:rPr>
              <w:t>Inne ekspozycje wobec sektora instytucji rządowych</w:t>
            </w:r>
            <w:r w:rsidR="00E26EF6" w:rsidRPr="00E26EF6">
              <w:rPr>
                <w:rFonts w:ascii="Times New Roman" w:hAnsi="Times New Roman"/>
                <w:b/>
                <w:bCs/>
                <w:sz w:val="24"/>
                <w:u w:val="single"/>
              </w:rPr>
              <w:t xml:space="preserve"> i sam</w:t>
            </w:r>
            <w:r w:rsidRPr="00E26EF6">
              <w:rPr>
                <w:rFonts w:ascii="Times New Roman" w:hAnsi="Times New Roman"/>
                <w:b/>
                <w:bCs/>
                <w:sz w:val="24"/>
                <w:u w:val="single"/>
              </w:rPr>
              <w:t>orządowych objęte metodą wewnętrznych rankingów</w:t>
            </w:r>
          </w:p>
          <w:p w14:paraId="4048C601" w14:textId="77777777" w:rsidR="00915077" w:rsidRPr="00E26EF6" w:rsidRDefault="00915077">
            <w:pPr>
              <w:spacing w:before="0" w:after="0"/>
              <w:ind w:left="33"/>
              <w:rPr>
                <w:rFonts w:ascii="Times New Roman" w:hAnsi="Times New Roman"/>
                <w:bCs/>
                <w:sz w:val="24"/>
              </w:rPr>
            </w:pPr>
          </w:p>
          <w:p w14:paraId="42E0E151" w14:textId="0BFA9869" w:rsidR="00915077" w:rsidRPr="00E26EF6" w:rsidRDefault="00530BA1">
            <w:pPr>
              <w:spacing w:before="0" w:after="0"/>
              <w:ind w:left="33"/>
              <w:rPr>
                <w:rFonts w:ascii="Times New Roman" w:hAnsi="Times New Roman"/>
                <w:bCs/>
                <w:sz w:val="24"/>
              </w:rPr>
            </w:pPr>
            <w:r w:rsidRPr="00E26EF6">
              <w:rPr>
                <w:rFonts w:ascii="Times New Roman" w:hAnsi="Times New Roman"/>
                <w:bCs/>
                <w:sz w:val="24"/>
              </w:rPr>
              <w:t>Ekspozycje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inne niż uwzględnione</w:t>
            </w:r>
            <w:r w:rsidR="00E26EF6" w:rsidRPr="00E26EF6">
              <w:rPr>
                <w:rFonts w:ascii="Times New Roman" w:hAnsi="Times New Roman"/>
                <w:bCs/>
                <w:sz w:val="24"/>
              </w:rPr>
              <w:t xml:space="preserve"> w wie</w:t>
            </w:r>
            <w:r w:rsidRPr="00E26EF6">
              <w:rPr>
                <w:rFonts w:ascii="Times New Roman" w:hAnsi="Times New Roman"/>
                <w:bCs/>
                <w:sz w:val="24"/>
              </w:rPr>
              <w:t>rszach 090–140 powyżej, które przypisano do klasy ekspozycji według metody wewnętrznych rankingów zgodnie</w:t>
            </w:r>
            <w:r w:rsidR="00E26EF6" w:rsidRPr="00E26EF6">
              <w:rPr>
                <w:rFonts w:ascii="Times New Roman" w:hAnsi="Times New Roman"/>
                <w:bCs/>
                <w:sz w:val="24"/>
              </w:rPr>
              <w:t xml:space="preserve"> z art</w:t>
            </w:r>
            <w:r w:rsidRPr="00E26EF6">
              <w:rPr>
                <w:rFonts w:ascii="Times New Roman" w:hAnsi="Times New Roman"/>
                <w:bCs/>
                <w:sz w:val="24"/>
              </w:rPr>
              <w:t>.</w:t>
            </w:r>
            <w:r w:rsidR="00023409" w:rsidRPr="00E26EF6">
              <w:rPr>
                <w:rFonts w:ascii="Times New Roman" w:hAnsi="Times New Roman"/>
                <w:bCs/>
                <w:sz w:val="24"/>
              </w:rPr>
              <w:t> </w:t>
            </w:r>
            <w:r w:rsidRPr="00E26EF6">
              <w:rPr>
                <w:rFonts w:ascii="Times New Roman" w:hAnsi="Times New Roman"/>
                <w:bCs/>
                <w:sz w:val="24"/>
              </w:rPr>
              <w:t>147 CRR do celów obliczania wymogów</w:t>
            </w:r>
            <w:r w:rsidR="00E26EF6" w:rsidRPr="00E26EF6">
              <w:rPr>
                <w:rFonts w:ascii="Times New Roman" w:hAnsi="Times New Roman"/>
                <w:bCs/>
                <w:sz w:val="24"/>
              </w:rPr>
              <w:t xml:space="preserve"> w zak</w:t>
            </w:r>
            <w:r w:rsidRPr="00E26EF6">
              <w:rPr>
                <w:rFonts w:ascii="Times New Roman" w:hAnsi="Times New Roman"/>
                <w:bCs/>
                <w:sz w:val="24"/>
              </w:rPr>
              <w:t>resie funduszy własnych.</w:t>
            </w:r>
          </w:p>
          <w:p w14:paraId="4830A8CE" w14:textId="77777777" w:rsidR="00915077" w:rsidRPr="00E26EF6" w:rsidRDefault="00915077">
            <w:pPr>
              <w:spacing w:before="0" w:after="0"/>
              <w:ind w:left="33"/>
              <w:rPr>
                <w:rFonts w:ascii="Times New Roman" w:hAnsi="Times New Roman"/>
                <w:b/>
                <w:bCs/>
                <w:sz w:val="24"/>
                <w:highlight w:val="lightGray"/>
                <w:u w:val="single"/>
              </w:rPr>
            </w:pPr>
          </w:p>
        </w:tc>
      </w:tr>
      <w:tr w:rsidR="00915077" w:rsidRPr="00E26EF6" w14:paraId="4EA5DA4F" w14:textId="77777777" w:rsidTr="00672D2A">
        <w:tc>
          <w:tcPr>
            <w:tcW w:w="1188" w:type="dxa"/>
          </w:tcPr>
          <w:p w14:paraId="6C409FBD"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lastRenderedPageBreak/>
              <w:t>160</w:t>
            </w:r>
          </w:p>
        </w:tc>
        <w:tc>
          <w:tcPr>
            <w:tcW w:w="8701" w:type="dxa"/>
          </w:tcPr>
          <w:p w14:paraId="063CFFB0" w14:textId="77777777" w:rsidR="00915077" w:rsidRPr="00E26EF6" w:rsidRDefault="00FD54FC">
            <w:pPr>
              <w:spacing w:before="0" w:after="0"/>
              <w:ind w:left="33"/>
              <w:rPr>
                <w:rFonts w:ascii="Times New Roman" w:hAnsi="Times New Roman"/>
                <w:b/>
                <w:bCs/>
                <w:sz w:val="24"/>
                <w:u w:val="single"/>
              </w:rPr>
            </w:pPr>
            <w:r w:rsidRPr="00E26EF6">
              <w:rPr>
                <w:rFonts w:ascii="Times New Roman" w:hAnsi="Times New Roman"/>
                <w:b/>
                <w:bCs/>
                <w:sz w:val="24"/>
                <w:u w:val="single"/>
              </w:rPr>
              <w:t>Ekspozycje podlegające ryzyku rynkowemu</w:t>
            </w:r>
          </w:p>
          <w:p w14:paraId="6D29B74F" w14:textId="77777777" w:rsidR="00915077" w:rsidRPr="00E26EF6" w:rsidRDefault="00915077">
            <w:pPr>
              <w:spacing w:before="0" w:after="0"/>
              <w:ind w:left="33"/>
              <w:rPr>
                <w:rFonts w:ascii="Times New Roman" w:hAnsi="Times New Roman"/>
                <w:bCs/>
                <w:sz w:val="24"/>
              </w:rPr>
            </w:pPr>
          </w:p>
          <w:p w14:paraId="746A50A0" w14:textId="584E5E1A"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podlegające ryzyku rynkowemu obejmują pozycje, dla których wymogi</w:t>
            </w:r>
            <w:r w:rsidR="00E26EF6" w:rsidRPr="00E26EF6">
              <w:rPr>
                <w:rFonts w:ascii="Times New Roman" w:hAnsi="Times New Roman"/>
                <w:bCs/>
                <w:sz w:val="24"/>
              </w:rPr>
              <w:t xml:space="preserve"> w zak</w:t>
            </w:r>
            <w:r w:rsidRPr="00E26EF6">
              <w:rPr>
                <w:rFonts w:ascii="Times New Roman" w:hAnsi="Times New Roman"/>
                <w:bCs/>
                <w:sz w:val="24"/>
              </w:rPr>
              <w:t>resie funduszy własnych oblicza się zgodnie</w:t>
            </w:r>
            <w:r w:rsidR="00E26EF6" w:rsidRPr="00E26EF6">
              <w:rPr>
                <w:rFonts w:ascii="Times New Roman" w:hAnsi="Times New Roman"/>
                <w:bCs/>
                <w:sz w:val="24"/>
              </w:rPr>
              <w:t xml:space="preserve"> z prz</w:t>
            </w:r>
            <w:r w:rsidRPr="00E26EF6">
              <w:rPr>
                <w:rFonts w:ascii="Times New Roman" w:hAnsi="Times New Roman"/>
                <w:bCs/>
                <w:sz w:val="24"/>
              </w:rPr>
              <w:t>episami części trzeciej tytuł IV CRR.</w:t>
            </w:r>
          </w:p>
          <w:p w14:paraId="2DA3FEF1" w14:textId="77777777" w:rsidR="00915077" w:rsidRPr="00E26EF6" w:rsidRDefault="00915077">
            <w:pPr>
              <w:spacing w:before="0" w:after="0"/>
              <w:ind w:left="33"/>
              <w:rPr>
                <w:rFonts w:ascii="Times New Roman" w:hAnsi="Times New Roman"/>
                <w:bCs/>
                <w:sz w:val="24"/>
              </w:rPr>
            </w:pPr>
          </w:p>
          <w:p w14:paraId="07781DEC" w14:textId="09F72DEF"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bezpośrednie objęte zakresem art.</w:t>
            </w:r>
            <w:r w:rsidR="00023409" w:rsidRPr="00E26EF6">
              <w:rPr>
                <w:rFonts w:ascii="Times New Roman" w:hAnsi="Times New Roman"/>
                <w:bCs/>
                <w:sz w:val="24"/>
              </w:rPr>
              <w:t> </w:t>
            </w:r>
            <w:r w:rsidRPr="00E26EF6">
              <w:rPr>
                <w:rFonts w:ascii="Times New Roman" w:hAnsi="Times New Roman"/>
                <w:bCs/>
                <w:sz w:val="24"/>
              </w:rPr>
              <w:t>271 CRR, które podlegają wymogom</w:t>
            </w:r>
            <w:r w:rsidR="00E26EF6" w:rsidRPr="00E26EF6">
              <w:rPr>
                <w:rFonts w:ascii="Times New Roman" w:hAnsi="Times New Roman"/>
                <w:bCs/>
                <w:sz w:val="24"/>
              </w:rPr>
              <w:t xml:space="preserve"> w zak</w:t>
            </w:r>
            <w:r w:rsidRPr="00E26EF6">
              <w:rPr>
                <w:rFonts w:ascii="Times New Roman" w:hAnsi="Times New Roman"/>
                <w:bCs/>
                <w:sz w:val="24"/>
              </w:rPr>
              <w:t>resie funduszy własnych</w:t>
            </w:r>
            <w:r w:rsidR="00E26EF6" w:rsidRPr="00E26EF6">
              <w:rPr>
                <w:rFonts w:ascii="Times New Roman" w:hAnsi="Times New Roman"/>
                <w:bCs/>
                <w:sz w:val="24"/>
              </w:rPr>
              <w:t xml:space="preserve"> z tyt</w:t>
            </w:r>
            <w:r w:rsidRPr="00E26EF6">
              <w:rPr>
                <w:rFonts w:ascii="Times New Roman" w:hAnsi="Times New Roman"/>
                <w:bCs/>
                <w:sz w:val="24"/>
              </w:rPr>
              <w:t>ułu zarówno ryzyka kredytowego kontrahenta, jak</w:t>
            </w:r>
            <w:r w:rsidR="00E26EF6" w:rsidRPr="00E26EF6">
              <w:rPr>
                <w:rFonts w:ascii="Times New Roman" w:hAnsi="Times New Roman"/>
                <w:bCs/>
                <w:sz w:val="24"/>
              </w:rPr>
              <w:t xml:space="preserve"> i ryz</w:t>
            </w:r>
            <w:r w:rsidRPr="00E26EF6">
              <w:rPr>
                <w:rFonts w:ascii="Times New Roman" w:hAnsi="Times New Roman"/>
                <w:bCs/>
                <w:sz w:val="24"/>
              </w:rPr>
              <w:t>yka rynkowego, zgłasza się zarówno</w:t>
            </w:r>
            <w:r w:rsidR="00E26EF6" w:rsidRPr="00E26EF6">
              <w:rPr>
                <w:rFonts w:ascii="Times New Roman" w:hAnsi="Times New Roman"/>
                <w:bCs/>
                <w:sz w:val="24"/>
              </w:rPr>
              <w:t xml:space="preserve"> w wie</w:t>
            </w:r>
            <w:r w:rsidRPr="00E26EF6">
              <w:rPr>
                <w:rFonts w:ascii="Times New Roman" w:hAnsi="Times New Roman"/>
                <w:bCs/>
                <w:sz w:val="24"/>
              </w:rPr>
              <w:t>rszach dotyczących ryzyka kredytowego (020–155), jak</w:t>
            </w:r>
            <w:r w:rsidR="00E26EF6" w:rsidRPr="00E26EF6">
              <w:rPr>
                <w:rFonts w:ascii="Times New Roman" w:hAnsi="Times New Roman"/>
                <w:bCs/>
                <w:sz w:val="24"/>
              </w:rPr>
              <w:t xml:space="preserve"> i w wie</w:t>
            </w:r>
            <w:r w:rsidRPr="00E26EF6">
              <w:rPr>
                <w:rFonts w:ascii="Times New Roman" w:hAnsi="Times New Roman"/>
                <w:bCs/>
                <w:sz w:val="24"/>
              </w:rPr>
              <w:t>rszu dotyczącym ryzyka rynkowego (160): ekspozycje</w:t>
            </w:r>
            <w:r w:rsidR="00E26EF6" w:rsidRPr="00E26EF6">
              <w:rPr>
                <w:rFonts w:ascii="Times New Roman" w:hAnsi="Times New Roman"/>
                <w:bCs/>
                <w:sz w:val="24"/>
              </w:rPr>
              <w:t xml:space="preserve"> z tyt</w:t>
            </w:r>
            <w:r w:rsidRPr="00E26EF6">
              <w:rPr>
                <w:rFonts w:ascii="Times New Roman" w:hAnsi="Times New Roman"/>
                <w:bCs/>
                <w:sz w:val="24"/>
              </w:rPr>
              <w:t>ułu ryzyka kredytowego kontrahenta zgłasza się</w:t>
            </w:r>
            <w:r w:rsidR="00E26EF6" w:rsidRPr="00E26EF6">
              <w:rPr>
                <w:rFonts w:ascii="Times New Roman" w:hAnsi="Times New Roman"/>
                <w:bCs/>
                <w:sz w:val="24"/>
              </w:rPr>
              <w:t xml:space="preserve"> w wie</w:t>
            </w:r>
            <w:r w:rsidRPr="00E26EF6">
              <w:rPr>
                <w:rFonts w:ascii="Times New Roman" w:hAnsi="Times New Roman"/>
                <w:bCs/>
                <w:sz w:val="24"/>
              </w:rPr>
              <w:t>rszach dotyczących ryzyka kredytowego,</w:t>
            </w:r>
            <w:r w:rsidR="00E26EF6" w:rsidRPr="00E26EF6">
              <w:rPr>
                <w:rFonts w:ascii="Times New Roman" w:hAnsi="Times New Roman"/>
                <w:bCs/>
                <w:sz w:val="24"/>
              </w:rPr>
              <w:t xml:space="preserve"> a eks</w:t>
            </w:r>
            <w:r w:rsidRPr="00E26EF6">
              <w:rPr>
                <w:rFonts w:ascii="Times New Roman" w:hAnsi="Times New Roman"/>
                <w:bCs/>
                <w:sz w:val="24"/>
              </w:rPr>
              <w:t>pozycje</w:t>
            </w:r>
            <w:r w:rsidR="00E26EF6" w:rsidRPr="00E26EF6">
              <w:rPr>
                <w:rFonts w:ascii="Times New Roman" w:hAnsi="Times New Roman"/>
                <w:bCs/>
                <w:sz w:val="24"/>
              </w:rPr>
              <w:t xml:space="preserve"> z tyt</w:t>
            </w:r>
            <w:r w:rsidRPr="00E26EF6">
              <w:rPr>
                <w:rFonts w:ascii="Times New Roman" w:hAnsi="Times New Roman"/>
                <w:bCs/>
                <w:sz w:val="24"/>
              </w:rPr>
              <w:t>ułu ryzyka rynkowego zgłasza się</w:t>
            </w:r>
            <w:r w:rsidR="00E26EF6" w:rsidRPr="00E26EF6">
              <w:rPr>
                <w:rFonts w:ascii="Times New Roman" w:hAnsi="Times New Roman"/>
                <w:bCs/>
                <w:sz w:val="24"/>
              </w:rPr>
              <w:t xml:space="preserve"> w wie</w:t>
            </w:r>
            <w:r w:rsidRPr="00E26EF6">
              <w:rPr>
                <w:rFonts w:ascii="Times New Roman" w:hAnsi="Times New Roman"/>
                <w:bCs/>
                <w:sz w:val="24"/>
              </w:rPr>
              <w:t>rszu dotyczącym ryzyka rynkowego.</w:t>
            </w:r>
          </w:p>
          <w:p w14:paraId="2620AD52" w14:textId="77777777" w:rsidR="00915077" w:rsidRPr="00E26EF6" w:rsidRDefault="00915077">
            <w:pPr>
              <w:spacing w:before="0" w:after="0"/>
              <w:ind w:left="33"/>
              <w:rPr>
                <w:rFonts w:ascii="Times New Roman" w:hAnsi="Times New Roman"/>
                <w:bCs/>
                <w:sz w:val="24"/>
                <w:highlight w:val="lightGray"/>
              </w:rPr>
            </w:pPr>
          </w:p>
        </w:tc>
      </w:tr>
      <w:tr w:rsidR="00915077" w:rsidRPr="00E26EF6" w14:paraId="3DBB54E3" w14:textId="77777777" w:rsidTr="00672D2A">
        <w:tc>
          <w:tcPr>
            <w:tcW w:w="1188" w:type="dxa"/>
          </w:tcPr>
          <w:p w14:paraId="4BB4F964" w14:textId="77777777" w:rsidR="00915077" w:rsidRPr="00E26EF6" w:rsidRDefault="00FD54FC">
            <w:pPr>
              <w:spacing w:before="0" w:after="0"/>
              <w:ind w:left="33"/>
              <w:rPr>
                <w:rFonts w:ascii="Times New Roman" w:hAnsi="Times New Roman"/>
                <w:bCs/>
                <w:sz w:val="24"/>
                <w:highlight w:val="lightGray"/>
              </w:rPr>
            </w:pPr>
            <w:r w:rsidRPr="00E26EF6">
              <w:rPr>
                <w:rFonts w:ascii="Times New Roman" w:hAnsi="Times New Roman"/>
                <w:bCs/>
                <w:sz w:val="24"/>
              </w:rPr>
              <w:t>170-230</w:t>
            </w:r>
          </w:p>
        </w:tc>
        <w:tc>
          <w:tcPr>
            <w:tcW w:w="8701" w:type="dxa"/>
          </w:tcPr>
          <w:p w14:paraId="78D0525B" w14:textId="77777777" w:rsidR="00915077" w:rsidRPr="00E26EF6" w:rsidRDefault="00FD54FC">
            <w:pPr>
              <w:spacing w:before="0" w:after="0"/>
              <w:ind w:left="33"/>
              <w:rPr>
                <w:rFonts w:ascii="Times New Roman" w:hAnsi="Times New Roman"/>
                <w:b/>
                <w:bCs/>
                <w:sz w:val="24"/>
              </w:rPr>
            </w:pPr>
            <w:r w:rsidRPr="00E26EF6">
              <w:rPr>
                <w:rFonts w:ascii="Times New Roman" w:hAnsi="Times New Roman"/>
                <w:b/>
                <w:bCs/>
                <w:sz w:val="24"/>
              </w:rPr>
              <w:t>PODZIAŁ CAŁKOWITYCH EKSPOZYCJI WEDŁUG REZYDUALNEGO TERMINU ZAPADALNOŚCI</w:t>
            </w:r>
          </w:p>
          <w:p w14:paraId="6AF475E0" w14:textId="77777777" w:rsidR="00915077" w:rsidRPr="00E26EF6" w:rsidRDefault="00915077">
            <w:pPr>
              <w:spacing w:before="0" w:after="0"/>
              <w:ind w:left="33"/>
              <w:rPr>
                <w:rFonts w:ascii="Times New Roman" w:hAnsi="Times New Roman"/>
                <w:bCs/>
                <w:sz w:val="24"/>
              </w:rPr>
            </w:pPr>
          </w:p>
          <w:p w14:paraId="3F5B064A" w14:textId="33B6ED07"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Rezydualny termin zapadalności oblicza się jako dni między terminem zapadalności wynikającym</w:t>
            </w:r>
            <w:r w:rsidR="00E26EF6" w:rsidRPr="00E26EF6">
              <w:rPr>
                <w:rFonts w:ascii="Times New Roman" w:hAnsi="Times New Roman"/>
                <w:bCs/>
                <w:sz w:val="24"/>
              </w:rPr>
              <w:t xml:space="preserve"> z umo</w:t>
            </w:r>
            <w:r w:rsidRPr="00E26EF6">
              <w:rPr>
                <w:rFonts w:ascii="Times New Roman" w:hAnsi="Times New Roman"/>
                <w:bCs/>
                <w:sz w:val="24"/>
              </w:rPr>
              <w:t>wy</w:t>
            </w:r>
            <w:r w:rsidR="00E26EF6" w:rsidRPr="00E26EF6">
              <w:rPr>
                <w:rFonts w:ascii="Times New Roman" w:hAnsi="Times New Roman"/>
                <w:bCs/>
                <w:sz w:val="24"/>
              </w:rPr>
              <w:t xml:space="preserve"> a spr</w:t>
            </w:r>
            <w:r w:rsidRPr="00E26EF6">
              <w:rPr>
                <w:rFonts w:ascii="Times New Roman" w:hAnsi="Times New Roman"/>
                <w:bCs/>
                <w:sz w:val="24"/>
              </w:rPr>
              <w:t>awozdawczym dniem odniesienia dla wszystkich pozycji.</w:t>
            </w:r>
          </w:p>
          <w:p w14:paraId="220D1EB9" w14:textId="77777777" w:rsidR="00915077" w:rsidRPr="00E26EF6" w:rsidRDefault="00915077">
            <w:pPr>
              <w:spacing w:before="0" w:after="0"/>
              <w:ind w:left="33"/>
              <w:rPr>
                <w:rFonts w:ascii="Times New Roman" w:hAnsi="Times New Roman"/>
                <w:bCs/>
                <w:sz w:val="24"/>
              </w:rPr>
            </w:pPr>
          </w:p>
          <w:p w14:paraId="6C6070E0" w14:textId="716B8C3D" w:rsidR="00915077" w:rsidRPr="00E26EF6" w:rsidRDefault="00FD54FC">
            <w:pPr>
              <w:spacing w:before="0" w:after="0"/>
              <w:ind w:left="33"/>
              <w:rPr>
                <w:rFonts w:ascii="Times New Roman" w:hAnsi="Times New Roman"/>
                <w:bCs/>
                <w:sz w:val="24"/>
              </w:rPr>
            </w:pPr>
            <w:r w:rsidRPr="00E26EF6">
              <w:rPr>
                <w:rFonts w:ascii="Times New Roman" w:hAnsi="Times New Roman"/>
                <w:bCs/>
                <w:sz w:val="24"/>
              </w:rPr>
              <w:t>Ekspozycje wobec sektora instytucji rządowych</w:t>
            </w:r>
            <w:r w:rsidR="00E26EF6" w:rsidRPr="00E26EF6">
              <w:rPr>
                <w:rFonts w:ascii="Times New Roman" w:hAnsi="Times New Roman"/>
                <w:bCs/>
                <w:sz w:val="24"/>
              </w:rPr>
              <w:t xml:space="preserve"> i sam</w:t>
            </w:r>
            <w:r w:rsidRPr="00E26EF6">
              <w:rPr>
                <w:rFonts w:ascii="Times New Roman" w:hAnsi="Times New Roman"/>
                <w:bCs/>
                <w:sz w:val="24"/>
              </w:rPr>
              <w:t>orządowych dzieli się według rezydualnego terminu zapadalności</w:t>
            </w:r>
            <w:r w:rsidR="00E26EF6" w:rsidRPr="00E26EF6">
              <w:rPr>
                <w:rFonts w:ascii="Times New Roman" w:hAnsi="Times New Roman"/>
                <w:bCs/>
                <w:sz w:val="24"/>
              </w:rPr>
              <w:t xml:space="preserve"> i prz</w:t>
            </w:r>
            <w:r w:rsidRPr="00E26EF6">
              <w:rPr>
                <w:rFonts w:ascii="Times New Roman" w:hAnsi="Times New Roman"/>
                <w:bCs/>
                <w:sz w:val="24"/>
              </w:rPr>
              <w:t>ypisuje do następujących przedziałów:</w:t>
            </w:r>
          </w:p>
          <w:p w14:paraId="4AD74121" w14:textId="77777777" w:rsidR="00915077" w:rsidRPr="00E26EF6" w:rsidRDefault="00915077">
            <w:pPr>
              <w:spacing w:before="0" w:after="0"/>
              <w:ind w:left="33"/>
              <w:rPr>
                <w:rFonts w:ascii="Times New Roman" w:hAnsi="Times New Roman"/>
                <w:bCs/>
                <w:sz w:val="24"/>
              </w:rPr>
            </w:pPr>
          </w:p>
          <w:p w14:paraId="3EEA5D4A" w14:textId="77777777" w:rsidR="00915077" w:rsidRPr="00E26EF6" w:rsidRDefault="00125707">
            <w:pPr>
              <w:spacing w:before="0" w:after="0"/>
              <w:ind w:left="808" w:hanging="360"/>
              <w:rPr>
                <w:rFonts w:ascii="Times New Roman" w:hAnsi="Times New Roman"/>
                <w:bCs/>
                <w:sz w:val="24"/>
              </w:rPr>
            </w:pPr>
            <w:r w:rsidRPr="00E26EF6">
              <w:rPr>
                <w:rFonts w:ascii="Symbol" w:hAnsi="Symbol"/>
                <w:bCs/>
                <w:sz w:val="24"/>
              </w:rPr>
              <w:t></w:t>
            </w:r>
            <w:r w:rsidRPr="00E26EF6">
              <w:rPr>
                <w:rFonts w:ascii="Symbol" w:hAnsi="Symbol"/>
                <w:bCs/>
                <w:sz w:val="24"/>
              </w:rPr>
              <w:tab/>
            </w:r>
            <w:r w:rsidRPr="00E26EF6">
              <w:rPr>
                <w:rFonts w:ascii="Times New Roman" w:hAnsi="Times New Roman"/>
                <w:b/>
                <w:bCs/>
                <w:sz w:val="24"/>
              </w:rPr>
              <w:t>[0–3 miesiące [</w:t>
            </w:r>
            <w:r w:rsidRPr="00E26EF6">
              <w:rPr>
                <w:rFonts w:ascii="Times New Roman" w:hAnsi="Times New Roman"/>
                <w:bCs/>
                <w:sz w:val="24"/>
              </w:rPr>
              <w:t>: mniej niż 90 dni</w:t>
            </w:r>
          </w:p>
          <w:p w14:paraId="4009B29B" w14:textId="77777777" w:rsidR="00915077" w:rsidRPr="00E26EF6" w:rsidRDefault="00125707">
            <w:pPr>
              <w:spacing w:before="0" w:after="0"/>
              <w:ind w:left="808" w:hanging="360"/>
              <w:rPr>
                <w:rFonts w:ascii="Times New Roman" w:hAnsi="Times New Roman"/>
                <w:bCs/>
                <w:sz w:val="24"/>
              </w:rPr>
            </w:pPr>
            <w:r w:rsidRPr="00E26EF6">
              <w:rPr>
                <w:rFonts w:ascii="Symbol" w:hAnsi="Symbol"/>
                <w:bCs/>
                <w:sz w:val="24"/>
              </w:rPr>
              <w:t></w:t>
            </w:r>
            <w:r w:rsidRPr="00E26EF6">
              <w:rPr>
                <w:rFonts w:ascii="Symbol" w:hAnsi="Symbol"/>
                <w:bCs/>
                <w:sz w:val="24"/>
              </w:rPr>
              <w:tab/>
            </w:r>
            <w:r w:rsidRPr="00E26EF6">
              <w:rPr>
                <w:rFonts w:ascii="Times New Roman" w:hAnsi="Times New Roman"/>
                <w:b/>
                <w:bCs/>
                <w:sz w:val="24"/>
              </w:rPr>
              <w:t>[3 miesiące – 1 rok [</w:t>
            </w:r>
            <w:r w:rsidRPr="00E26EF6">
              <w:rPr>
                <w:rFonts w:ascii="Times New Roman" w:hAnsi="Times New Roman"/>
                <w:bCs/>
                <w:sz w:val="24"/>
              </w:rPr>
              <w:t>: co najmniej 90 dni, ale mniej niż 365 dni</w:t>
            </w:r>
          </w:p>
          <w:p w14:paraId="4F15AC2A" w14:textId="77777777" w:rsidR="00915077" w:rsidRPr="00E26EF6" w:rsidRDefault="00125707">
            <w:pPr>
              <w:spacing w:before="0" w:after="0"/>
              <w:ind w:left="808" w:hanging="360"/>
              <w:rPr>
                <w:rFonts w:ascii="Times New Roman" w:hAnsi="Times New Roman"/>
                <w:bCs/>
                <w:sz w:val="24"/>
              </w:rPr>
            </w:pPr>
            <w:r w:rsidRPr="00E26EF6">
              <w:rPr>
                <w:rFonts w:ascii="Symbol" w:hAnsi="Symbol"/>
                <w:bCs/>
                <w:sz w:val="24"/>
              </w:rPr>
              <w:t></w:t>
            </w:r>
            <w:r w:rsidRPr="00E26EF6">
              <w:rPr>
                <w:rFonts w:ascii="Symbol" w:hAnsi="Symbol"/>
                <w:bCs/>
                <w:sz w:val="24"/>
              </w:rPr>
              <w:tab/>
            </w:r>
            <w:r w:rsidRPr="00E26EF6">
              <w:rPr>
                <w:rFonts w:ascii="Times New Roman" w:hAnsi="Times New Roman"/>
                <w:b/>
                <w:bCs/>
                <w:sz w:val="24"/>
              </w:rPr>
              <w:t>[1 rok – 2 lata [</w:t>
            </w:r>
            <w:r w:rsidRPr="00E26EF6">
              <w:rPr>
                <w:rFonts w:ascii="Times New Roman" w:hAnsi="Times New Roman"/>
                <w:bCs/>
                <w:sz w:val="24"/>
              </w:rPr>
              <w:t>: co najmniej 365 dni, ale mniej niż 730 dni</w:t>
            </w:r>
          </w:p>
          <w:p w14:paraId="0D7AA885" w14:textId="50A7BE57" w:rsidR="00915077" w:rsidRPr="00E26EF6" w:rsidRDefault="00125707">
            <w:pPr>
              <w:spacing w:before="0" w:after="0"/>
              <w:ind w:left="808" w:hanging="360"/>
              <w:rPr>
                <w:rFonts w:ascii="Times New Roman" w:hAnsi="Times New Roman"/>
                <w:bCs/>
                <w:sz w:val="24"/>
              </w:rPr>
            </w:pPr>
            <w:r w:rsidRPr="00E26EF6">
              <w:rPr>
                <w:rFonts w:ascii="Symbol" w:hAnsi="Symbol"/>
                <w:bCs/>
                <w:sz w:val="24"/>
              </w:rPr>
              <w:t></w:t>
            </w:r>
            <w:r w:rsidRPr="00E26EF6">
              <w:rPr>
                <w:rFonts w:ascii="Symbol" w:hAnsi="Symbol"/>
                <w:bCs/>
                <w:sz w:val="24"/>
              </w:rPr>
              <w:tab/>
            </w:r>
            <w:r w:rsidRPr="00E26EF6">
              <w:rPr>
                <w:rFonts w:ascii="Times New Roman" w:hAnsi="Times New Roman"/>
                <w:b/>
                <w:bCs/>
                <w:sz w:val="24"/>
              </w:rPr>
              <w:t>[2 lata – 3 lata [</w:t>
            </w:r>
            <w:r w:rsidRPr="00E26EF6">
              <w:rPr>
                <w:rFonts w:ascii="Times New Roman" w:hAnsi="Times New Roman"/>
                <w:bCs/>
                <w:sz w:val="24"/>
              </w:rPr>
              <w:t>: co najmniej 730 dni, ale mniej niż 1 095 dni</w:t>
            </w:r>
          </w:p>
          <w:p w14:paraId="359FA0F4" w14:textId="38232CBC" w:rsidR="00915077" w:rsidRPr="00E26EF6" w:rsidRDefault="00125707">
            <w:pPr>
              <w:spacing w:before="0" w:after="0"/>
              <w:ind w:left="808" w:hanging="360"/>
              <w:rPr>
                <w:rFonts w:ascii="Times New Roman" w:hAnsi="Times New Roman"/>
                <w:bCs/>
                <w:sz w:val="24"/>
              </w:rPr>
            </w:pPr>
            <w:r w:rsidRPr="00E26EF6">
              <w:rPr>
                <w:rFonts w:ascii="Symbol" w:hAnsi="Symbol"/>
                <w:bCs/>
                <w:sz w:val="24"/>
              </w:rPr>
              <w:t></w:t>
            </w:r>
            <w:r w:rsidRPr="00E26EF6">
              <w:rPr>
                <w:rFonts w:ascii="Symbol" w:hAnsi="Symbol"/>
                <w:bCs/>
                <w:sz w:val="24"/>
              </w:rPr>
              <w:tab/>
            </w:r>
            <w:r w:rsidRPr="00E26EF6">
              <w:rPr>
                <w:rFonts w:ascii="Times New Roman" w:hAnsi="Times New Roman"/>
                <w:b/>
                <w:bCs/>
                <w:sz w:val="24"/>
              </w:rPr>
              <w:t>[3 lata – 5 lat [</w:t>
            </w:r>
            <w:r w:rsidRPr="00E26EF6">
              <w:rPr>
                <w:rFonts w:ascii="Times New Roman" w:hAnsi="Times New Roman"/>
                <w:bCs/>
                <w:sz w:val="24"/>
              </w:rPr>
              <w:t>: co najmniej 1 095 dni, ale mniej niż 1 825 dni</w:t>
            </w:r>
          </w:p>
          <w:p w14:paraId="47EE71AE" w14:textId="6C3C49CF" w:rsidR="00915077" w:rsidRPr="00E26EF6" w:rsidRDefault="00125707">
            <w:pPr>
              <w:spacing w:before="0" w:after="0"/>
              <w:ind w:left="808" w:hanging="360"/>
              <w:rPr>
                <w:rFonts w:ascii="Times New Roman" w:hAnsi="Times New Roman"/>
                <w:bCs/>
                <w:sz w:val="24"/>
              </w:rPr>
            </w:pPr>
            <w:r w:rsidRPr="00E26EF6">
              <w:rPr>
                <w:rFonts w:ascii="Symbol" w:hAnsi="Symbol"/>
                <w:bCs/>
                <w:sz w:val="24"/>
              </w:rPr>
              <w:t></w:t>
            </w:r>
            <w:r w:rsidRPr="00E26EF6">
              <w:rPr>
                <w:rFonts w:ascii="Symbol" w:hAnsi="Symbol"/>
                <w:bCs/>
                <w:sz w:val="24"/>
              </w:rPr>
              <w:tab/>
            </w:r>
            <w:r w:rsidRPr="00E26EF6">
              <w:rPr>
                <w:rFonts w:ascii="Times New Roman" w:hAnsi="Times New Roman"/>
                <w:b/>
                <w:bCs/>
                <w:sz w:val="24"/>
              </w:rPr>
              <w:t>[5 lat – 10 lat [</w:t>
            </w:r>
            <w:r w:rsidRPr="00E26EF6">
              <w:rPr>
                <w:rFonts w:ascii="Times New Roman" w:hAnsi="Times New Roman"/>
                <w:bCs/>
                <w:sz w:val="24"/>
              </w:rPr>
              <w:t>: co najmniej 1 825 dni, ale mniej niż 3 650 dni</w:t>
            </w:r>
          </w:p>
          <w:p w14:paraId="218BED2A" w14:textId="019937F4" w:rsidR="00915077" w:rsidRPr="00E26EF6" w:rsidRDefault="00125707">
            <w:pPr>
              <w:spacing w:before="0" w:after="0"/>
              <w:ind w:left="808" w:hanging="360"/>
              <w:rPr>
                <w:rFonts w:ascii="Times New Roman" w:hAnsi="Times New Roman"/>
                <w:bCs/>
                <w:sz w:val="24"/>
              </w:rPr>
            </w:pPr>
            <w:r w:rsidRPr="00E26EF6">
              <w:rPr>
                <w:rFonts w:ascii="Symbol" w:hAnsi="Symbol"/>
                <w:bCs/>
                <w:sz w:val="24"/>
              </w:rPr>
              <w:t></w:t>
            </w:r>
            <w:r w:rsidRPr="00E26EF6">
              <w:rPr>
                <w:rFonts w:ascii="Symbol" w:hAnsi="Symbol"/>
                <w:bCs/>
                <w:sz w:val="24"/>
              </w:rPr>
              <w:tab/>
            </w:r>
            <w:r w:rsidRPr="00E26EF6">
              <w:rPr>
                <w:rFonts w:ascii="Times New Roman" w:hAnsi="Times New Roman"/>
                <w:b/>
                <w:bCs/>
                <w:sz w:val="24"/>
              </w:rPr>
              <w:t>[10 lat</w:t>
            </w:r>
            <w:r w:rsidR="00E26EF6" w:rsidRPr="00E26EF6">
              <w:rPr>
                <w:rFonts w:ascii="Times New Roman" w:hAnsi="Times New Roman"/>
                <w:b/>
                <w:bCs/>
                <w:sz w:val="24"/>
              </w:rPr>
              <w:t xml:space="preserve"> i wię</w:t>
            </w:r>
            <w:r w:rsidRPr="00E26EF6">
              <w:rPr>
                <w:rFonts w:ascii="Times New Roman" w:hAnsi="Times New Roman"/>
                <w:b/>
                <w:bCs/>
                <w:sz w:val="24"/>
              </w:rPr>
              <w:t>cej</w:t>
            </w:r>
            <w:r w:rsidRPr="00E26EF6">
              <w:rPr>
                <w:rFonts w:ascii="Times New Roman" w:hAnsi="Times New Roman"/>
                <w:bCs/>
                <w:sz w:val="24"/>
              </w:rPr>
              <w:t xml:space="preserve">: co najmniej 3 650 dni </w:t>
            </w:r>
          </w:p>
          <w:p w14:paraId="10162CA4" w14:textId="77777777" w:rsidR="00915077" w:rsidRPr="00E26EF6" w:rsidRDefault="00915077">
            <w:pPr>
              <w:spacing w:before="0" w:after="0"/>
              <w:ind w:left="33"/>
              <w:rPr>
                <w:rFonts w:ascii="Times New Roman" w:hAnsi="Times New Roman"/>
                <w:bCs/>
                <w:sz w:val="24"/>
              </w:rPr>
            </w:pPr>
          </w:p>
        </w:tc>
      </w:tr>
    </w:tbl>
    <w:p w14:paraId="56B462FA" w14:textId="77777777" w:rsidR="00915077" w:rsidRPr="00E26EF6" w:rsidRDefault="00915077">
      <w:pPr>
        <w:spacing w:after="0"/>
        <w:rPr>
          <w:rStyle w:val="InstructionsTabelleText"/>
          <w:rFonts w:ascii="Times New Roman" w:hAnsi="Times New Roman"/>
          <w:sz w:val="24"/>
        </w:rPr>
      </w:pPr>
    </w:p>
    <w:sectPr w:rsidR="00915077" w:rsidRPr="00E26EF6"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915077" w:rsidRPr="00E26EF6" w:rsidRDefault="00B024D7">
      <w:pPr>
        <w:spacing w:before="0" w:after="0"/>
      </w:pPr>
      <w:r w:rsidRPr="00E26EF6">
        <w:separator/>
      </w:r>
    </w:p>
  </w:endnote>
  <w:endnote w:type="continuationSeparator" w:id="0">
    <w:p w14:paraId="517AFAD2" w14:textId="77777777" w:rsidR="00915077" w:rsidRPr="00E26EF6" w:rsidRDefault="00B024D7">
      <w:pPr>
        <w:spacing w:before="0" w:after="0"/>
      </w:pPr>
      <w:r w:rsidRPr="00E26EF6">
        <w:continuationSeparator/>
      </w:r>
    </w:p>
  </w:endnote>
  <w:endnote w:type="continuationNotice" w:id="1">
    <w:p w14:paraId="59B4096F" w14:textId="77777777" w:rsidR="00915077" w:rsidRPr="00E26EF6" w:rsidRDefault="0091507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7AB28723" w:rsidR="00B024D7" w:rsidRPr="00E26EF6" w:rsidRDefault="00B024D7">
    <w:pPr>
      <w:pStyle w:val="Footer"/>
      <w:jc w:val="right"/>
      <w:rPr>
        <w:rFonts w:ascii="Times New Roman" w:hAnsi="Times New Roman"/>
        <w:sz w:val="22"/>
        <w:szCs w:val="22"/>
      </w:rPr>
    </w:pPr>
    <w:r w:rsidRPr="00E26EF6">
      <w:rPr>
        <w:rFonts w:ascii="Times New Roman" w:hAnsi="Times New Roman"/>
        <w:sz w:val="22"/>
        <w:szCs w:val="22"/>
      </w:rPr>
      <w:fldChar w:fldCharType="begin"/>
    </w:r>
    <w:r w:rsidRPr="00E26EF6">
      <w:rPr>
        <w:rFonts w:ascii="Times New Roman" w:hAnsi="Times New Roman"/>
        <w:sz w:val="22"/>
        <w:szCs w:val="22"/>
      </w:rPr>
      <w:instrText xml:space="preserve"> PAGE   \* MERGEFORMAT </w:instrText>
    </w:r>
    <w:r w:rsidRPr="00E26EF6">
      <w:rPr>
        <w:rFonts w:ascii="Times New Roman" w:hAnsi="Times New Roman"/>
        <w:sz w:val="22"/>
        <w:szCs w:val="22"/>
      </w:rPr>
      <w:fldChar w:fldCharType="separate"/>
    </w:r>
    <w:r w:rsidR="00113518">
      <w:rPr>
        <w:rFonts w:ascii="Times New Roman" w:hAnsi="Times New Roman"/>
        <w:noProof/>
        <w:sz w:val="22"/>
        <w:szCs w:val="22"/>
      </w:rPr>
      <w:t>7</w:t>
    </w:r>
    <w:r w:rsidRPr="00E26EF6">
      <w:rPr>
        <w:rFonts w:ascii="Times New Roman" w:hAnsi="Times New Roman"/>
        <w:sz w:val="22"/>
        <w:szCs w:val="22"/>
      </w:rPr>
      <w:fldChar w:fldCharType="end"/>
    </w:r>
  </w:p>
  <w:p w14:paraId="14BC9F62" w14:textId="77777777" w:rsidR="00B024D7" w:rsidRPr="00E26EF6"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2BD2561E" w:rsidR="00B024D7" w:rsidRPr="00E26EF6" w:rsidRDefault="00B024D7">
    <w:pPr>
      <w:pStyle w:val="Footer"/>
      <w:jc w:val="right"/>
      <w:rPr>
        <w:sz w:val="22"/>
        <w:szCs w:val="22"/>
      </w:rPr>
    </w:pPr>
    <w:r w:rsidRPr="00E26EF6">
      <w:rPr>
        <w:sz w:val="22"/>
        <w:szCs w:val="22"/>
      </w:rPr>
      <w:fldChar w:fldCharType="begin"/>
    </w:r>
    <w:r w:rsidRPr="00E26EF6">
      <w:rPr>
        <w:sz w:val="22"/>
        <w:szCs w:val="22"/>
      </w:rPr>
      <w:instrText xml:space="preserve"> PAGE   \* MERGEFORMAT </w:instrText>
    </w:r>
    <w:r w:rsidRPr="00E26EF6">
      <w:rPr>
        <w:sz w:val="22"/>
        <w:szCs w:val="22"/>
      </w:rPr>
      <w:fldChar w:fldCharType="separate"/>
    </w:r>
    <w:r w:rsidR="00113518">
      <w:rPr>
        <w:noProof/>
        <w:sz w:val="22"/>
        <w:szCs w:val="22"/>
      </w:rPr>
      <w:t>1</w:t>
    </w:r>
    <w:r w:rsidRPr="00E26EF6">
      <w:rPr>
        <w:sz w:val="22"/>
        <w:szCs w:val="22"/>
      </w:rPr>
      <w:fldChar w:fldCharType="end"/>
    </w:r>
  </w:p>
  <w:p w14:paraId="4E07410F" w14:textId="77777777" w:rsidR="00B024D7" w:rsidRPr="00E26EF6"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33C01CB"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113518">
      <w:rPr>
        <w:rFonts w:ascii="Times New Roman" w:hAnsi="Times New Roman"/>
        <w:noProof/>
        <w:sz w:val="20"/>
        <w:szCs w:val="20"/>
      </w:rPr>
      <w:t>153</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915077" w:rsidRPr="00E26EF6" w:rsidRDefault="00B024D7">
      <w:pPr>
        <w:spacing w:before="0" w:after="0"/>
      </w:pPr>
      <w:r w:rsidRPr="00E26EF6">
        <w:separator/>
      </w:r>
    </w:p>
  </w:footnote>
  <w:footnote w:type="continuationSeparator" w:id="0">
    <w:p w14:paraId="5D734917" w14:textId="77777777" w:rsidR="00915077" w:rsidRPr="00E26EF6" w:rsidRDefault="00B024D7">
      <w:pPr>
        <w:spacing w:before="0" w:after="0"/>
      </w:pPr>
      <w:r w:rsidRPr="00E26EF6">
        <w:continuationSeparator/>
      </w:r>
    </w:p>
  </w:footnote>
  <w:footnote w:type="continuationNotice" w:id="1">
    <w:p w14:paraId="504F2A36" w14:textId="77777777" w:rsidR="00915077" w:rsidRPr="00E26EF6" w:rsidRDefault="00915077">
      <w:pPr>
        <w:spacing w:before="0" w:after="0"/>
      </w:pPr>
    </w:p>
  </w:footnote>
  <w:footnote w:id="2">
    <w:p w14:paraId="0A122620" w14:textId="6D3DCDAC" w:rsidR="00915077" w:rsidRPr="00E26EF6" w:rsidRDefault="00B024D7">
      <w:pPr>
        <w:pStyle w:val="FootnoteText"/>
        <w:spacing w:before="0" w:after="0" w:line="240" w:lineRule="auto"/>
        <w:ind w:left="567" w:hanging="567"/>
        <w:rPr>
          <w:rFonts w:ascii="Times New Roman" w:hAnsi="Times New Roman"/>
          <w:sz w:val="20"/>
          <w:szCs w:val="20"/>
        </w:rPr>
      </w:pPr>
      <w:r w:rsidRPr="00E26EF6">
        <w:rPr>
          <w:rStyle w:val="FootnoteReference"/>
          <w:rFonts w:ascii="Times New Roman" w:hAnsi="Times New Roman"/>
          <w:sz w:val="20"/>
          <w:szCs w:val="20"/>
          <w:vertAlign w:val="superscript"/>
        </w:rPr>
        <w:footnoteRef/>
      </w:r>
      <w:r w:rsidRPr="00E26EF6">
        <w:rPr>
          <w:rFonts w:ascii="Times New Roman" w:hAnsi="Times New Roman"/>
          <w:sz w:val="20"/>
          <w:szCs w:val="20"/>
        </w:rPr>
        <w:tab/>
      </w:r>
      <w:r w:rsidRPr="00E26EF6">
        <w:rPr>
          <w:rFonts w:ascii="Times New Roman" w:hAnsi="Times New Roman"/>
          <w:color w:val="444444"/>
          <w:sz w:val="20"/>
          <w:szCs w:val="20"/>
        </w:rPr>
        <w:t>Rozporządzenie Parlamentu Europejskiego</w:t>
      </w:r>
      <w:r w:rsidR="00E26EF6" w:rsidRPr="00E26EF6">
        <w:rPr>
          <w:rFonts w:ascii="Times New Roman" w:hAnsi="Times New Roman"/>
          <w:color w:val="444444"/>
          <w:sz w:val="20"/>
          <w:szCs w:val="20"/>
        </w:rPr>
        <w:t xml:space="preserve"> i Rad</w:t>
      </w:r>
      <w:r w:rsidRPr="00E26EF6">
        <w:rPr>
          <w:rFonts w:ascii="Times New Roman" w:hAnsi="Times New Roman"/>
          <w:color w:val="444444"/>
          <w:sz w:val="20"/>
          <w:szCs w:val="20"/>
        </w:rPr>
        <w:t>y (UE) nr</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575/2013</w:t>
      </w:r>
      <w:r w:rsidR="00E26EF6" w:rsidRPr="00E26EF6">
        <w:rPr>
          <w:rFonts w:ascii="Times New Roman" w:hAnsi="Times New Roman"/>
          <w:color w:val="444444"/>
          <w:sz w:val="20"/>
          <w:szCs w:val="20"/>
        </w:rPr>
        <w:t xml:space="preserve"> z dni</w:t>
      </w:r>
      <w:r w:rsidRPr="00E26EF6">
        <w:rPr>
          <w:rFonts w:ascii="Times New Roman" w:hAnsi="Times New Roman"/>
          <w:color w:val="444444"/>
          <w:sz w:val="20"/>
          <w:szCs w:val="20"/>
        </w:rPr>
        <w:t>a 26 czerwca 2013</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r.</w:t>
      </w:r>
      <w:r w:rsidR="00E26EF6" w:rsidRPr="00E26EF6">
        <w:rPr>
          <w:rFonts w:ascii="Times New Roman" w:hAnsi="Times New Roman"/>
          <w:color w:val="444444"/>
          <w:sz w:val="20"/>
          <w:szCs w:val="20"/>
        </w:rPr>
        <w:t xml:space="preserve"> w spr</w:t>
      </w:r>
      <w:r w:rsidRPr="00E26EF6">
        <w:rPr>
          <w:rFonts w:ascii="Times New Roman" w:hAnsi="Times New Roman"/>
          <w:color w:val="444444"/>
          <w:sz w:val="20"/>
          <w:szCs w:val="20"/>
        </w:rPr>
        <w:t>awie wymogów ostrożnościowych dla instytucji kredytowych</w:t>
      </w:r>
      <w:r w:rsidR="00E26EF6" w:rsidRPr="00E26EF6">
        <w:rPr>
          <w:rFonts w:ascii="Times New Roman" w:hAnsi="Times New Roman"/>
          <w:color w:val="444444"/>
          <w:sz w:val="20"/>
          <w:szCs w:val="20"/>
        </w:rPr>
        <w:t xml:space="preserve"> i fir</w:t>
      </w:r>
      <w:r w:rsidRPr="00E26EF6">
        <w:rPr>
          <w:rFonts w:ascii="Times New Roman" w:hAnsi="Times New Roman"/>
          <w:color w:val="444444"/>
          <w:sz w:val="20"/>
          <w:szCs w:val="20"/>
        </w:rPr>
        <w:t>m inwestycyjnych, zmieniające rozporządzenie (UE) nr</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648/2012 (</w:t>
      </w:r>
      <w:r w:rsidRPr="00E26EF6">
        <w:rPr>
          <w:rFonts w:ascii="Times New Roman" w:hAnsi="Times New Roman"/>
          <w:iCs/>
          <w:color w:val="444444"/>
          <w:sz w:val="20"/>
          <w:szCs w:val="20"/>
        </w:rPr>
        <w:t>Dz.U. L 176</w:t>
      </w:r>
      <w:r w:rsidR="00E26EF6" w:rsidRPr="00E26EF6">
        <w:rPr>
          <w:rFonts w:ascii="Times New Roman" w:hAnsi="Times New Roman"/>
          <w:iCs/>
          <w:color w:val="444444"/>
          <w:sz w:val="20"/>
          <w:szCs w:val="20"/>
        </w:rPr>
        <w:t xml:space="preserve"> z 2</w:t>
      </w:r>
      <w:r w:rsidRPr="00E26EF6">
        <w:rPr>
          <w:rFonts w:ascii="Times New Roman" w:hAnsi="Times New Roman"/>
          <w:iCs/>
          <w:color w:val="444444"/>
          <w:sz w:val="20"/>
          <w:szCs w:val="20"/>
        </w:rPr>
        <w:t xml:space="preserve">7.6.2013, </w:t>
      </w:r>
      <w:proofErr w:type="gramStart"/>
      <w:r w:rsidRPr="00E26EF6">
        <w:rPr>
          <w:rFonts w:ascii="Times New Roman" w:hAnsi="Times New Roman"/>
          <w:iCs/>
          <w:color w:val="444444"/>
          <w:sz w:val="20"/>
          <w:szCs w:val="20"/>
        </w:rPr>
        <w:t>s</w:t>
      </w:r>
      <w:proofErr w:type="gramEnd"/>
      <w:r w:rsidRPr="00E26EF6">
        <w:rPr>
          <w:rFonts w:ascii="Times New Roman" w:hAnsi="Times New Roman"/>
          <w:iCs/>
          <w:color w:val="444444"/>
          <w:sz w:val="20"/>
          <w:szCs w:val="20"/>
        </w:rPr>
        <w:t>. 1).</w:t>
      </w:r>
    </w:p>
  </w:footnote>
  <w:footnote w:id="3">
    <w:p w14:paraId="754D5245" w14:textId="7BED221C" w:rsidR="00915077" w:rsidRPr="00E26EF6" w:rsidRDefault="00B024D7">
      <w:pPr>
        <w:pStyle w:val="FootnoteText"/>
        <w:spacing w:before="0" w:after="0" w:line="240" w:lineRule="auto"/>
        <w:ind w:left="567" w:hanging="567"/>
        <w:rPr>
          <w:rFonts w:ascii="Times New Roman" w:hAnsi="Times New Roman"/>
          <w:sz w:val="20"/>
          <w:szCs w:val="20"/>
        </w:rPr>
      </w:pPr>
      <w:r w:rsidRPr="00E26EF6">
        <w:rPr>
          <w:rStyle w:val="FootnoteReference"/>
          <w:rFonts w:ascii="Times New Roman" w:hAnsi="Times New Roman"/>
          <w:sz w:val="20"/>
          <w:szCs w:val="20"/>
          <w:vertAlign w:val="superscript"/>
        </w:rPr>
        <w:footnoteRef/>
      </w:r>
      <w:r w:rsidRPr="00E26EF6">
        <w:rPr>
          <w:rFonts w:ascii="Times New Roman" w:hAnsi="Times New Roman"/>
          <w:sz w:val="20"/>
          <w:szCs w:val="20"/>
        </w:rPr>
        <w:tab/>
      </w:r>
      <w:r w:rsidRPr="00E26EF6">
        <w:rPr>
          <w:rFonts w:ascii="Times New Roman" w:hAnsi="Times New Roman"/>
          <w:color w:val="444444"/>
          <w:sz w:val="20"/>
          <w:szCs w:val="20"/>
        </w:rPr>
        <w:t>Dyrektywa Parlamentu Europejskiego</w:t>
      </w:r>
      <w:r w:rsidR="00E26EF6" w:rsidRPr="00E26EF6">
        <w:rPr>
          <w:rFonts w:ascii="Times New Roman" w:hAnsi="Times New Roman"/>
          <w:color w:val="444444"/>
          <w:sz w:val="20"/>
          <w:szCs w:val="20"/>
        </w:rPr>
        <w:t xml:space="preserve"> i Rad</w:t>
      </w:r>
      <w:r w:rsidRPr="00E26EF6">
        <w:rPr>
          <w:rFonts w:ascii="Times New Roman" w:hAnsi="Times New Roman"/>
          <w:color w:val="444444"/>
          <w:sz w:val="20"/>
          <w:szCs w:val="20"/>
        </w:rPr>
        <w:t>y 2013/36/UE</w:t>
      </w:r>
      <w:r w:rsidR="00E26EF6" w:rsidRPr="00E26EF6">
        <w:rPr>
          <w:rFonts w:ascii="Times New Roman" w:hAnsi="Times New Roman"/>
          <w:color w:val="444444"/>
          <w:sz w:val="20"/>
          <w:szCs w:val="20"/>
        </w:rPr>
        <w:t xml:space="preserve"> z dni</w:t>
      </w:r>
      <w:r w:rsidRPr="00E26EF6">
        <w:rPr>
          <w:rFonts w:ascii="Times New Roman" w:hAnsi="Times New Roman"/>
          <w:color w:val="444444"/>
          <w:sz w:val="20"/>
          <w:szCs w:val="20"/>
        </w:rPr>
        <w:t>a 26 czerwca 2013</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r.</w:t>
      </w:r>
      <w:r w:rsidR="00E26EF6" w:rsidRPr="00E26EF6">
        <w:rPr>
          <w:rFonts w:ascii="Times New Roman" w:hAnsi="Times New Roman"/>
          <w:color w:val="444444"/>
          <w:sz w:val="20"/>
          <w:szCs w:val="20"/>
        </w:rPr>
        <w:t xml:space="preserve"> w spr</w:t>
      </w:r>
      <w:r w:rsidRPr="00E26EF6">
        <w:rPr>
          <w:rFonts w:ascii="Times New Roman" w:hAnsi="Times New Roman"/>
          <w:color w:val="444444"/>
          <w:sz w:val="20"/>
          <w:szCs w:val="20"/>
        </w:rPr>
        <w:t>awie warunków dopuszczenia instytucji kredytowych do działalności oraz nadzoru ostrożnościowego nad instytucjami kredytowymi</w:t>
      </w:r>
      <w:r w:rsidR="00E26EF6" w:rsidRPr="00E26EF6">
        <w:rPr>
          <w:rFonts w:ascii="Times New Roman" w:hAnsi="Times New Roman"/>
          <w:color w:val="444444"/>
          <w:sz w:val="20"/>
          <w:szCs w:val="20"/>
        </w:rPr>
        <w:t xml:space="preserve"> i fir</w:t>
      </w:r>
      <w:r w:rsidRPr="00E26EF6">
        <w:rPr>
          <w:rFonts w:ascii="Times New Roman" w:hAnsi="Times New Roman"/>
          <w:color w:val="444444"/>
          <w:sz w:val="20"/>
          <w:szCs w:val="20"/>
        </w:rPr>
        <w:t>mami inwestycyjnymi, zmieniająca dyrektywę 2002/87/WE</w:t>
      </w:r>
      <w:r w:rsidR="00E26EF6" w:rsidRPr="00E26EF6">
        <w:rPr>
          <w:rFonts w:ascii="Times New Roman" w:hAnsi="Times New Roman"/>
          <w:color w:val="444444"/>
          <w:sz w:val="20"/>
          <w:szCs w:val="20"/>
        </w:rPr>
        <w:t xml:space="preserve"> i uch</w:t>
      </w:r>
      <w:r w:rsidRPr="00E26EF6">
        <w:rPr>
          <w:rFonts w:ascii="Times New Roman" w:hAnsi="Times New Roman"/>
          <w:color w:val="444444"/>
          <w:sz w:val="20"/>
          <w:szCs w:val="20"/>
        </w:rPr>
        <w:t>ylająca dyrektywy 2006/48/WE oraz 2006/49/WE (Dz.U. L 176</w:t>
      </w:r>
      <w:r w:rsidR="00E26EF6" w:rsidRPr="00E26EF6">
        <w:rPr>
          <w:rFonts w:ascii="Times New Roman" w:hAnsi="Times New Roman"/>
          <w:color w:val="444444"/>
          <w:sz w:val="20"/>
          <w:szCs w:val="20"/>
        </w:rPr>
        <w:t xml:space="preserve"> z 2</w:t>
      </w:r>
      <w:r w:rsidRPr="00E26EF6">
        <w:rPr>
          <w:rFonts w:ascii="Times New Roman" w:hAnsi="Times New Roman"/>
          <w:color w:val="444444"/>
          <w:sz w:val="20"/>
          <w:szCs w:val="20"/>
        </w:rPr>
        <w:t xml:space="preserve">7.6.2013, </w:t>
      </w:r>
      <w:proofErr w:type="gramStart"/>
      <w:r w:rsidRPr="00E26EF6">
        <w:rPr>
          <w:rFonts w:ascii="Times New Roman" w:hAnsi="Times New Roman"/>
          <w:color w:val="444444"/>
          <w:sz w:val="20"/>
          <w:szCs w:val="20"/>
        </w:rPr>
        <w:t>s</w:t>
      </w:r>
      <w:proofErr w:type="gramEnd"/>
      <w:r w:rsidRPr="00E26EF6">
        <w:rPr>
          <w:rFonts w:ascii="Times New Roman" w:hAnsi="Times New Roman"/>
          <w:color w:val="444444"/>
          <w:sz w:val="20"/>
          <w:szCs w:val="20"/>
        </w:rPr>
        <w:t>. 338).</w:t>
      </w:r>
    </w:p>
  </w:footnote>
  <w:footnote w:id="4">
    <w:p w14:paraId="325A0732" w14:textId="6BAC8442" w:rsidR="00915077" w:rsidRPr="00E26EF6" w:rsidRDefault="00B024D7">
      <w:pPr>
        <w:pStyle w:val="FootnoteText"/>
        <w:spacing w:before="0" w:after="0" w:line="240" w:lineRule="auto"/>
        <w:ind w:left="567" w:hanging="567"/>
        <w:rPr>
          <w:rFonts w:ascii="Times New Roman" w:hAnsi="Times New Roman"/>
          <w:sz w:val="20"/>
          <w:szCs w:val="20"/>
        </w:rPr>
      </w:pPr>
      <w:r w:rsidRPr="00E26EF6">
        <w:rPr>
          <w:rStyle w:val="FootnoteReference"/>
          <w:rFonts w:ascii="Times New Roman" w:hAnsi="Times New Roman"/>
          <w:sz w:val="20"/>
          <w:szCs w:val="20"/>
          <w:vertAlign w:val="superscript"/>
        </w:rPr>
        <w:footnoteRef/>
      </w:r>
      <w:r w:rsidRPr="00E26EF6">
        <w:rPr>
          <w:rStyle w:val="FootnoteReference"/>
          <w:rFonts w:ascii="Times New Roman" w:hAnsi="Times New Roman"/>
          <w:sz w:val="20"/>
          <w:szCs w:val="20"/>
          <w:vertAlign w:val="superscript"/>
        </w:rPr>
        <w:t xml:space="preserve"> </w:t>
      </w:r>
      <w:r w:rsidRPr="00E26EF6">
        <w:rPr>
          <w:rStyle w:val="FootnoteReference"/>
          <w:rFonts w:ascii="Times New Roman" w:hAnsi="Times New Roman"/>
          <w:sz w:val="20"/>
          <w:szCs w:val="20"/>
        </w:rPr>
        <w:tab/>
        <w:t>Dyrektywa Parlamentu Europejskiego</w:t>
      </w:r>
      <w:r w:rsidR="00E26EF6" w:rsidRPr="00E26EF6">
        <w:rPr>
          <w:rStyle w:val="FootnoteReference"/>
          <w:rFonts w:ascii="Times New Roman" w:hAnsi="Times New Roman"/>
          <w:sz w:val="20"/>
          <w:szCs w:val="20"/>
        </w:rPr>
        <w:t xml:space="preserve"> i Rad</w:t>
      </w:r>
      <w:r w:rsidRPr="00E26EF6">
        <w:rPr>
          <w:rStyle w:val="FootnoteReference"/>
          <w:rFonts w:ascii="Times New Roman" w:hAnsi="Times New Roman"/>
          <w:sz w:val="20"/>
          <w:szCs w:val="20"/>
        </w:rPr>
        <w:t>y 2013/34/UE</w:t>
      </w:r>
      <w:r w:rsidR="00E26EF6" w:rsidRPr="00E26EF6">
        <w:rPr>
          <w:rStyle w:val="FootnoteReference"/>
          <w:rFonts w:ascii="Times New Roman" w:hAnsi="Times New Roman"/>
          <w:sz w:val="20"/>
          <w:szCs w:val="20"/>
        </w:rPr>
        <w:t xml:space="preserve"> w spr</w:t>
      </w:r>
      <w:r w:rsidRPr="00E26EF6">
        <w:rPr>
          <w:rStyle w:val="FootnoteReference"/>
          <w:rFonts w:ascii="Times New Roman" w:hAnsi="Times New Roman"/>
          <w:sz w:val="20"/>
          <w:szCs w:val="20"/>
        </w:rPr>
        <w:t>awie rocznych sprawozdań finansowych, skonsolidowanych sprawozdań finansowych</w:t>
      </w:r>
      <w:r w:rsidR="00E26EF6" w:rsidRPr="00E26EF6">
        <w:rPr>
          <w:rStyle w:val="FootnoteReference"/>
          <w:rFonts w:ascii="Times New Roman" w:hAnsi="Times New Roman"/>
          <w:sz w:val="20"/>
          <w:szCs w:val="20"/>
        </w:rPr>
        <w:t xml:space="preserve"> i pow</w:t>
      </w:r>
      <w:r w:rsidRPr="00E26EF6">
        <w:rPr>
          <w:rStyle w:val="FootnoteReference"/>
          <w:rFonts w:ascii="Times New Roman" w:hAnsi="Times New Roman"/>
          <w:sz w:val="20"/>
          <w:szCs w:val="20"/>
        </w:rPr>
        <w:t>iązanych sprawozdań niektórych rodzajów jednostek, zmieniająca dyrektywę Parlamentu Europejskiego</w:t>
      </w:r>
      <w:r w:rsidR="00E26EF6" w:rsidRPr="00E26EF6">
        <w:rPr>
          <w:rStyle w:val="FootnoteReference"/>
          <w:rFonts w:ascii="Times New Roman" w:hAnsi="Times New Roman"/>
          <w:sz w:val="20"/>
          <w:szCs w:val="20"/>
        </w:rPr>
        <w:t xml:space="preserve"> i Rad</w:t>
      </w:r>
      <w:r w:rsidRPr="00E26EF6">
        <w:rPr>
          <w:rStyle w:val="FootnoteReference"/>
          <w:rFonts w:ascii="Times New Roman" w:hAnsi="Times New Roman"/>
          <w:sz w:val="20"/>
          <w:szCs w:val="20"/>
        </w:rPr>
        <w:t>y 2006/43/WE oraz uchylająca dyrektywy Rady 78/660/EWG</w:t>
      </w:r>
      <w:r w:rsidR="00E26EF6" w:rsidRPr="00E26EF6">
        <w:rPr>
          <w:rStyle w:val="FootnoteReference"/>
          <w:rFonts w:ascii="Times New Roman" w:hAnsi="Times New Roman"/>
          <w:sz w:val="20"/>
          <w:szCs w:val="20"/>
        </w:rPr>
        <w:t xml:space="preserve"> i 8</w:t>
      </w:r>
      <w:r w:rsidRPr="00E26EF6">
        <w:rPr>
          <w:rStyle w:val="FootnoteReference"/>
          <w:rFonts w:ascii="Times New Roman" w:hAnsi="Times New Roman"/>
          <w:sz w:val="20"/>
          <w:szCs w:val="20"/>
        </w:rPr>
        <w:t>3/349/EWG (Dz.U. L 182</w:t>
      </w:r>
      <w:r w:rsidR="00E26EF6" w:rsidRPr="00E26EF6">
        <w:rPr>
          <w:rStyle w:val="FootnoteReference"/>
          <w:rFonts w:ascii="Times New Roman" w:hAnsi="Times New Roman"/>
          <w:sz w:val="20"/>
          <w:szCs w:val="20"/>
        </w:rPr>
        <w:t xml:space="preserve"> z 2</w:t>
      </w:r>
      <w:r w:rsidRPr="00E26EF6">
        <w:rPr>
          <w:rStyle w:val="FootnoteReference"/>
          <w:rFonts w:ascii="Times New Roman" w:hAnsi="Times New Roman"/>
          <w:sz w:val="20"/>
          <w:szCs w:val="20"/>
        </w:rPr>
        <w:t>9.6.2013, s.</w:t>
      </w:r>
      <w:r w:rsidRPr="00E26EF6">
        <w:rPr>
          <w:rFonts w:ascii="Times New Roman" w:hAnsi="Times New Roman"/>
          <w:sz w:val="20"/>
          <w:szCs w:val="20"/>
        </w:rPr>
        <w:t xml:space="preserve"> </w:t>
      </w:r>
      <w:r w:rsidRPr="00E26EF6">
        <w:rPr>
          <w:rStyle w:val="FootnoteReference"/>
          <w:rFonts w:ascii="Times New Roman" w:hAnsi="Times New Roman"/>
          <w:sz w:val="20"/>
          <w:szCs w:val="20"/>
        </w:rPr>
        <w:t>19)</w:t>
      </w:r>
      <w:r w:rsidRPr="00E26EF6">
        <w:rPr>
          <w:rFonts w:ascii="Times New Roman" w:hAnsi="Times New Roman"/>
          <w:sz w:val="20"/>
          <w:szCs w:val="20"/>
        </w:rPr>
        <w:t>.</w:t>
      </w:r>
    </w:p>
  </w:footnote>
  <w:footnote w:id="5">
    <w:p w14:paraId="42D2D2D2" w14:textId="5C293161" w:rsidR="00915077" w:rsidRPr="00E26EF6" w:rsidRDefault="00B024D7">
      <w:pPr>
        <w:pStyle w:val="FootnoteText"/>
        <w:spacing w:before="0" w:after="0" w:line="240" w:lineRule="auto"/>
        <w:ind w:left="567" w:hanging="567"/>
        <w:rPr>
          <w:rFonts w:ascii="Times New Roman" w:hAnsi="Times New Roman"/>
          <w:sz w:val="20"/>
          <w:szCs w:val="20"/>
        </w:rPr>
      </w:pPr>
      <w:r w:rsidRPr="00E26EF6">
        <w:rPr>
          <w:rStyle w:val="FootnoteReference"/>
          <w:rFonts w:ascii="Times New Roman" w:hAnsi="Times New Roman"/>
          <w:sz w:val="20"/>
          <w:szCs w:val="20"/>
          <w:vertAlign w:val="superscript"/>
        </w:rPr>
        <w:footnoteRef/>
      </w:r>
      <w:r w:rsidRPr="00E26EF6">
        <w:rPr>
          <w:rStyle w:val="FootnoteReference"/>
          <w:rFonts w:ascii="Times New Roman" w:hAnsi="Times New Roman"/>
          <w:sz w:val="20"/>
          <w:szCs w:val="20"/>
          <w:vertAlign w:val="superscript"/>
        </w:rPr>
        <w:t xml:space="preserve"> </w:t>
      </w:r>
      <w:r w:rsidRPr="00E26EF6">
        <w:rPr>
          <w:rFonts w:ascii="Times New Roman" w:hAnsi="Times New Roman"/>
          <w:sz w:val="20"/>
          <w:szCs w:val="20"/>
        </w:rPr>
        <w:tab/>
      </w:r>
      <w:r w:rsidRPr="00E26EF6">
        <w:rPr>
          <w:rStyle w:val="FootnoteReference"/>
          <w:rFonts w:ascii="Times New Roman" w:hAnsi="Times New Roman"/>
          <w:sz w:val="20"/>
          <w:szCs w:val="20"/>
        </w:rPr>
        <w:t>Dyrektywa Rady 86/635/EWG</w:t>
      </w:r>
      <w:r w:rsidR="00E26EF6" w:rsidRPr="00E26EF6">
        <w:rPr>
          <w:rStyle w:val="FootnoteReference"/>
          <w:rFonts w:ascii="Times New Roman" w:hAnsi="Times New Roman"/>
          <w:sz w:val="20"/>
          <w:szCs w:val="20"/>
        </w:rPr>
        <w:t xml:space="preserve"> z dni</w:t>
      </w:r>
      <w:r w:rsidRPr="00E26EF6">
        <w:rPr>
          <w:rStyle w:val="FootnoteReference"/>
          <w:rFonts w:ascii="Times New Roman" w:hAnsi="Times New Roman"/>
          <w:sz w:val="20"/>
          <w:szCs w:val="20"/>
        </w:rPr>
        <w:t>a 8 grudnia 1986</w:t>
      </w:r>
      <w:r w:rsidR="00023409" w:rsidRPr="00E26EF6">
        <w:rPr>
          <w:rStyle w:val="FootnoteReference"/>
          <w:rFonts w:ascii="Times New Roman" w:hAnsi="Times New Roman"/>
          <w:sz w:val="20"/>
          <w:szCs w:val="20"/>
        </w:rPr>
        <w:t> </w:t>
      </w:r>
      <w:r w:rsidRPr="00E26EF6">
        <w:rPr>
          <w:rStyle w:val="FootnoteReference"/>
          <w:rFonts w:ascii="Times New Roman" w:hAnsi="Times New Roman"/>
          <w:sz w:val="20"/>
          <w:szCs w:val="20"/>
        </w:rPr>
        <w:t>r.</w:t>
      </w:r>
      <w:r w:rsidR="00E26EF6" w:rsidRPr="00E26EF6">
        <w:rPr>
          <w:rStyle w:val="FootnoteReference"/>
          <w:rFonts w:ascii="Times New Roman" w:hAnsi="Times New Roman"/>
          <w:sz w:val="20"/>
          <w:szCs w:val="20"/>
        </w:rPr>
        <w:t xml:space="preserve"> w spr</w:t>
      </w:r>
      <w:r w:rsidRPr="00E26EF6">
        <w:rPr>
          <w:rStyle w:val="FootnoteReference"/>
          <w:rFonts w:ascii="Times New Roman" w:hAnsi="Times New Roman"/>
          <w:sz w:val="20"/>
          <w:szCs w:val="20"/>
        </w:rPr>
        <w:t>awie rocznych</w:t>
      </w:r>
      <w:r w:rsidR="00E26EF6" w:rsidRPr="00E26EF6">
        <w:rPr>
          <w:rStyle w:val="FootnoteReference"/>
          <w:rFonts w:ascii="Times New Roman" w:hAnsi="Times New Roman"/>
          <w:sz w:val="20"/>
          <w:szCs w:val="20"/>
        </w:rPr>
        <w:t xml:space="preserve"> i sko</w:t>
      </w:r>
      <w:r w:rsidRPr="00E26EF6">
        <w:rPr>
          <w:rStyle w:val="FootnoteReference"/>
          <w:rFonts w:ascii="Times New Roman" w:hAnsi="Times New Roman"/>
          <w:sz w:val="20"/>
          <w:szCs w:val="20"/>
        </w:rPr>
        <w:t>nsolidowanych sprawozdań finansowych banków</w:t>
      </w:r>
      <w:r w:rsidR="00E26EF6" w:rsidRPr="00E26EF6">
        <w:rPr>
          <w:rStyle w:val="FootnoteReference"/>
          <w:rFonts w:ascii="Times New Roman" w:hAnsi="Times New Roman"/>
          <w:sz w:val="20"/>
          <w:szCs w:val="20"/>
        </w:rPr>
        <w:t xml:space="preserve"> i inn</w:t>
      </w:r>
      <w:r w:rsidRPr="00E26EF6">
        <w:rPr>
          <w:rStyle w:val="FootnoteReference"/>
          <w:rFonts w:ascii="Times New Roman" w:hAnsi="Times New Roman"/>
          <w:sz w:val="20"/>
          <w:szCs w:val="20"/>
        </w:rPr>
        <w:t>ych instytucji finansowych (Dz.U. L 372</w:t>
      </w:r>
      <w:r w:rsidR="00E26EF6" w:rsidRPr="00E26EF6">
        <w:rPr>
          <w:rStyle w:val="FootnoteReference"/>
          <w:rFonts w:ascii="Times New Roman" w:hAnsi="Times New Roman"/>
          <w:sz w:val="20"/>
          <w:szCs w:val="20"/>
        </w:rPr>
        <w:t xml:space="preserve"> z 3</w:t>
      </w:r>
      <w:r w:rsidRPr="00E26EF6">
        <w:rPr>
          <w:rStyle w:val="FootnoteReference"/>
          <w:rFonts w:ascii="Times New Roman" w:hAnsi="Times New Roman"/>
          <w:sz w:val="20"/>
          <w:szCs w:val="20"/>
        </w:rPr>
        <w:t>1.12.1986, s. 1)</w:t>
      </w:r>
      <w:r w:rsidRPr="00E26EF6">
        <w:rPr>
          <w:rFonts w:ascii="Times New Roman" w:hAnsi="Times New Roman"/>
          <w:sz w:val="20"/>
          <w:szCs w:val="20"/>
        </w:rPr>
        <w:t>.</w:t>
      </w:r>
    </w:p>
  </w:footnote>
  <w:footnote w:id="6">
    <w:p w14:paraId="2CEE8AF9" w14:textId="666EDE73" w:rsidR="00915077" w:rsidRPr="00E26EF6" w:rsidRDefault="00B024D7">
      <w:pPr>
        <w:pStyle w:val="NormalWeb"/>
        <w:spacing w:before="0" w:beforeAutospacing="0" w:after="0" w:afterAutospacing="0"/>
        <w:ind w:left="567" w:hanging="567"/>
        <w:jc w:val="both"/>
        <w:rPr>
          <w:sz w:val="20"/>
          <w:szCs w:val="20"/>
        </w:rPr>
      </w:pPr>
      <w:r w:rsidRPr="00E26EF6">
        <w:rPr>
          <w:rStyle w:val="FootnoteReference"/>
          <w:rFonts w:ascii="Times New Roman" w:hAnsi="Times New Roman"/>
          <w:sz w:val="20"/>
          <w:szCs w:val="20"/>
        </w:rPr>
        <w:footnoteRef/>
      </w:r>
      <w:r w:rsidRPr="00E26EF6">
        <w:rPr>
          <w:sz w:val="20"/>
          <w:szCs w:val="20"/>
        </w:rPr>
        <w:tab/>
      </w:r>
      <w:r w:rsidRPr="00E26EF6">
        <w:rPr>
          <w:color w:val="444444"/>
          <w:sz w:val="20"/>
          <w:szCs w:val="20"/>
        </w:rPr>
        <w:t>Rozporządzenie delegowane Komisji (UE) nr</w:t>
      </w:r>
      <w:r w:rsidR="00023409" w:rsidRPr="00E26EF6">
        <w:rPr>
          <w:color w:val="444444"/>
          <w:sz w:val="20"/>
          <w:szCs w:val="20"/>
        </w:rPr>
        <w:t> </w:t>
      </w:r>
      <w:r w:rsidRPr="00E26EF6">
        <w:rPr>
          <w:color w:val="444444"/>
          <w:sz w:val="20"/>
          <w:szCs w:val="20"/>
        </w:rPr>
        <w:t>241/2014</w:t>
      </w:r>
      <w:r w:rsidR="00E26EF6" w:rsidRPr="00E26EF6">
        <w:rPr>
          <w:color w:val="444444"/>
          <w:sz w:val="20"/>
          <w:szCs w:val="20"/>
        </w:rPr>
        <w:t xml:space="preserve"> z dni</w:t>
      </w:r>
      <w:r w:rsidRPr="00E26EF6">
        <w:rPr>
          <w:color w:val="444444"/>
          <w:sz w:val="20"/>
          <w:szCs w:val="20"/>
        </w:rPr>
        <w:t>a 7 stycznia 2014</w:t>
      </w:r>
      <w:r w:rsidR="00023409" w:rsidRPr="00E26EF6">
        <w:rPr>
          <w:color w:val="444444"/>
          <w:sz w:val="20"/>
          <w:szCs w:val="20"/>
        </w:rPr>
        <w:t> </w:t>
      </w:r>
      <w:r w:rsidRPr="00E26EF6">
        <w:rPr>
          <w:color w:val="444444"/>
          <w:sz w:val="20"/>
          <w:szCs w:val="20"/>
        </w:rPr>
        <w:t>r. uzupełniające rozporządzenie Parlamentu Europejskiego</w:t>
      </w:r>
      <w:r w:rsidR="00E26EF6" w:rsidRPr="00E26EF6">
        <w:rPr>
          <w:color w:val="444444"/>
          <w:sz w:val="20"/>
          <w:szCs w:val="20"/>
        </w:rPr>
        <w:t xml:space="preserve"> i Rad</w:t>
      </w:r>
      <w:r w:rsidRPr="00E26EF6">
        <w:rPr>
          <w:color w:val="444444"/>
          <w:sz w:val="20"/>
          <w:szCs w:val="20"/>
        </w:rPr>
        <w:t>y (UE) nr</w:t>
      </w:r>
      <w:r w:rsidR="00023409" w:rsidRPr="00E26EF6">
        <w:rPr>
          <w:color w:val="444444"/>
          <w:sz w:val="20"/>
          <w:szCs w:val="20"/>
        </w:rPr>
        <w:t> </w:t>
      </w:r>
      <w:r w:rsidRPr="00E26EF6">
        <w:rPr>
          <w:color w:val="444444"/>
          <w:sz w:val="20"/>
          <w:szCs w:val="20"/>
        </w:rPr>
        <w:t>575/2013</w:t>
      </w:r>
      <w:r w:rsidR="00E26EF6" w:rsidRPr="00E26EF6">
        <w:rPr>
          <w:color w:val="444444"/>
          <w:sz w:val="20"/>
          <w:szCs w:val="20"/>
        </w:rPr>
        <w:t xml:space="preserve"> w odn</w:t>
      </w:r>
      <w:r w:rsidRPr="00E26EF6">
        <w:rPr>
          <w:color w:val="444444"/>
          <w:sz w:val="20"/>
          <w:szCs w:val="20"/>
        </w:rPr>
        <w:t>iesieniu do regulacyjnych standardów technicznych dotyczących wymogów</w:t>
      </w:r>
      <w:r w:rsidR="00E26EF6" w:rsidRPr="00E26EF6">
        <w:rPr>
          <w:color w:val="444444"/>
          <w:sz w:val="20"/>
          <w:szCs w:val="20"/>
        </w:rPr>
        <w:t xml:space="preserve"> w zak</w:t>
      </w:r>
      <w:r w:rsidRPr="00E26EF6">
        <w:rPr>
          <w:color w:val="444444"/>
          <w:sz w:val="20"/>
          <w:szCs w:val="20"/>
        </w:rPr>
        <w:t>resie funduszy własnych obowiązujących instytucje (</w:t>
      </w:r>
      <w:r w:rsidRPr="00E26EF6">
        <w:rPr>
          <w:iCs/>
          <w:color w:val="444444"/>
          <w:sz w:val="20"/>
          <w:szCs w:val="20"/>
        </w:rPr>
        <w:t>Dz.U. L 74</w:t>
      </w:r>
      <w:r w:rsidR="00E26EF6" w:rsidRPr="00E26EF6">
        <w:rPr>
          <w:iCs/>
          <w:color w:val="444444"/>
          <w:sz w:val="20"/>
          <w:szCs w:val="20"/>
        </w:rPr>
        <w:t xml:space="preserve"> z 1</w:t>
      </w:r>
      <w:r w:rsidRPr="00E26EF6">
        <w:rPr>
          <w:iCs/>
          <w:color w:val="444444"/>
          <w:sz w:val="20"/>
          <w:szCs w:val="20"/>
        </w:rPr>
        <w:t xml:space="preserve">4.3.2014, </w:t>
      </w:r>
      <w:proofErr w:type="gramStart"/>
      <w:r w:rsidRPr="00E26EF6">
        <w:rPr>
          <w:iCs/>
          <w:color w:val="444444"/>
          <w:sz w:val="20"/>
          <w:szCs w:val="20"/>
        </w:rPr>
        <w:t>s</w:t>
      </w:r>
      <w:proofErr w:type="gramEnd"/>
      <w:r w:rsidRPr="00E26EF6">
        <w:rPr>
          <w:iCs/>
          <w:color w:val="444444"/>
          <w:sz w:val="20"/>
          <w:szCs w:val="20"/>
        </w:rPr>
        <w:t>. 8)</w:t>
      </w:r>
      <w:r w:rsidRPr="00E26EF6">
        <w:rPr>
          <w:rStyle w:val="Emphasis"/>
          <w:color w:val="444444"/>
          <w:sz w:val="20"/>
          <w:szCs w:val="20"/>
        </w:rPr>
        <w:t>.</w:t>
      </w:r>
    </w:p>
  </w:footnote>
  <w:footnote w:id="7">
    <w:p w14:paraId="4313C6D2" w14:textId="25583C2C" w:rsidR="00915077" w:rsidRPr="00E26EF6" w:rsidRDefault="00B024D7">
      <w:pPr>
        <w:pStyle w:val="NormalWeb"/>
        <w:spacing w:before="0" w:beforeAutospacing="0" w:after="75" w:afterAutospacing="0"/>
        <w:ind w:left="567" w:hanging="567"/>
        <w:jc w:val="both"/>
        <w:rPr>
          <w:sz w:val="20"/>
          <w:szCs w:val="20"/>
        </w:rPr>
      </w:pPr>
      <w:r w:rsidRPr="00E26EF6">
        <w:rPr>
          <w:rStyle w:val="FootnoteReference"/>
          <w:rFonts w:ascii="Times New Roman" w:hAnsi="Times New Roman"/>
          <w:sz w:val="20"/>
          <w:szCs w:val="20"/>
        </w:rPr>
        <w:footnoteRef/>
      </w:r>
      <w:r w:rsidRPr="00E26EF6">
        <w:rPr>
          <w:sz w:val="20"/>
          <w:szCs w:val="20"/>
        </w:rPr>
        <w:tab/>
      </w:r>
      <w:r w:rsidRPr="00E26EF6">
        <w:rPr>
          <w:color w:val="444444"/>
          <w:sz w:val="20"/>
          <w:szCs w:val="20"/>
        </w:rPr>
        <w:t>Dyrektywa Rady 93/6/EWG</w:t>
      </w:r>
      <w:r w:rsidR="00E26EF6" w:rsidRPr="00E26EF6">
        <w:rPr>
          <w:color w:val="444444"/>
          <w:sz w:val="20"/>
          <w:szCs w:val="20"/>
        </w:rPr>
        <w:t xml:space="preserve"> z dni</w:t>
      </w:r>
      <w:r w:rsidRPr="00E26EF6">
        <w:rPr>
          <w:color w:val="444444"/>
          <w:sz w:val="20"/>
          <w:szCs w:val="20"/>
        </w:rPr>
        <w:t>a 15 marca 1993</w:t>
      </w:r>
      <w:r w:rsidR="00023409" w:rsidRPr="00E26EF6">
        <w:rPr>
          <w:color w:val="444444"/>
          <w:sz w:val="20"/>
          <w:szCs w:val="20"/>
        </w:rPr>
        <w:t> </w:t>
      </w:r>
      <w:r w:rsidRPr="00E26EF6">
        <w:rPr>
          <w:color w:val="444444"/>
          <w:sz w:val="20"/>
          <w:szCs w:val="20"/>
        </w:rPr>
        <w:t>r.</w:t>
      </w:r>
      <w:r w:rsidR="00E26EF6" w:rsidRPr="00E26EF6">
        <w:rPr>
          <w:color w:val="444444"/>
          <w:sz w:val="20"/>
          <w:szCs w:val="20"/>
        </w:rPr>
        <w:t xml:space="preserve"> w spr</w:t>
      </w:r>
      <w:r w:rsidRPr="00E26EF6">
        <w:rPr>
          <w:color w:val="444444"/>
          <w:sz w:val="20"/>
          <w:szCs w:val="20"/>
        </w:rPr>
        <w:t>awie adekwatności kapitałowej przedsiębiorstw inwestycyjnych</w:t>
      </w:r>
      <w:r w:rsidR="00E26EF6" w:rsidRPr="00E26EF6">
        <w:rPr>
          <w:color w:val="444444"/>
          <w:sz w:val="20"/>
          <w:szCs w:val="20"/>
        </w:rPr>
        <w:t xml:space="preserve"> i ins</w:t>
      </w:r>
      <w:r w:rsidRPr="00E26EF6">
        <w:rPr>
          <w:color w:val="444444"/>
          <w:sz w:val="20"/>
          <w:szCs w:val="20"/>
        </w:rPr>
        <w:t>tytucji kredytowych (</w:t>
      </w:r>
      <w:r w:rsidRPr="00E26EF6">
        <w:rPr>
          <w:rStyle w:val="Emphasis"/>
          <w:i w:val="0"/>
          <w:color w:val="444444"/>
          <w:sz w:val="20"/>
          <w:szCs w:val="20"/>
        </w:rPr>
        <w:t>Dz.U. L 141</w:t>
      </w:r>
      <w:r w:rsidR="00E26EF6" w:rsidRPr="00E26EF6">
        <w:rPr>
          <w:rStyle w:val="Emphasis"/>
          <w:i w:val="0"/>
          <w:color w:val="444444"/>
          <w:sz w:val="20"/>
          <w:szCs w:val="20"/>
        </w:rPr>
        <w:t xml:space="preserve"> z 1</w:t>
      </w:r>
      <w:r w:rsidRPr="00E26EF6">
        <w:rPr>
          <w:rStyle w:val="Emphasis"/>
          <w:i w:val="0"/>
          <w:color w:val="444444"/>
          <w:sz w:val="20"/>
          <w:szCs w:val="20"/>
        </w:rPr>
        <w:t xml:space="preserve">1.6.1993, </w:t>
      </w:r>
      <w:proofErr w:type="gramStart"/>
      <w:r w:rsidRPr="00E26EF6">
        <w:rPr>
          <w:rStyle w:val="Emphasis"/>
          <w:i w:val="0"/>
          <w:color w:val="444444"/>
          <w:sz w:val="20"/>
          <w:szCs w:val="20"/>
        </w:rPr>
        <w:t>s</w:t>
      </w:r>
      <w:proofErr w:type="gramEnd"/>
      <w:r w:rsidRPr="00E26EF6">
        <w:rPr>
          <w:rStyle w:val="Emphasis"/>
          <w:i w:val="0"/>
          <w:color w:val="444444"/>
          <w:sz w:val="20"/>
          <w:szCs w:val="20"/>
        </w:rPr>
        <w:t>. 1).</w:t>
      </w:r>
    </w:p>
  </w:footnote>
  <w:footnote w:id="8">
    <w:p w14:paraId="68BF51CF" w14:textId="3624008E" w:rsidR="00915077" w:rsidRPr="00E26EF6" w:rsidRDefault="00B024D7">
      <w:pPr>
        <w:pStyle w:val="NormalWeb"/>
        <w:spacing w:before="0" w:beforeAutospacing="0" w:after="75" w:afterAutospacing="0"/>
        <w:ind w:left="567" w:hanging="567"/>
        <w:jc w:val="both"/>
        <w:rPr>
          <w:color w:val="444444"/>
          <w:sz w:val="20"/>
          <w:szCs w:val="20"/>
        </w:rPr>
      </w:pPr>
      <w:r w:rsidRPr="00E26EF6">
        <w:rPr>
          <w:rStyle w:val="FootnoteReference"/>
          <w:rFonts w:ascii="Times New Roman" w:hAnsi="Times New Roman"/>
          <w:sz w:val="20"/>
          <w:szCs w:val="20"/>
        </w:rPr>
        <w:footnoteRef/>
      </w:r>
      <w:r w:rsidRPr="00E26EF6">
        <w:rPr>
          <w:sz w:val="20"/>
          <w:szCs w:val="20"/>
        </w:rPr>
        <w:tab/>
      </w:r>
      <w:r w:rsidRPr="00E26EF6">
        <w:rPr>
          <w:color w:val="444444"/>
          <w:sz w:val="20"/>
          <w:szCs w:val="20"/>
        </w:rPr>
        <w:t>Dyrektywa 2000/12/WE Parlamentu Europejskiego</w:t>
      </w:r>
      <w:r w:rsidR="00E26EF6" w:rsidRPr="00E26EF6">
        <w:rPr>
          <w:color w:val="444444"/>
          <w:sz w:val="20"/>
          <w:szCs w:val="20"/>
        </w:rPr>
        <w:t xml:space="preserve"> i Rad</w:t>
      </w:r>
      <w:r w:rsidRPr="00E26EF6">
        <w:rPr>
          <w:color w:val="444444"/>
          <w:sz w:val="20"/>
          <w:szCs w:val="20"/>
        </w:rPr>
        <w:t>y</w:t>
      </w:r>
      <w:r w:rsidR="00E26EF6" w:rsidRPr="00E26EF6">
        <w:rPr>
          <w:color w:val="444444"/>
          <w:sz w:val="20"/>
          <w:szCs w:val="20"/>
        </w:rPr>
        <w:t xml:space="preserve"> z dni</w:t>
      </w:r>
      <w:r w:rsidRPr="00E26EF6">
        <w:rPr>
          <w:color w:val="444444"/>
          <w:sz w:val="20"/>
          <w:szCs w:val="20"/>
        </w:rPr>
        <w:t>a 20 marca 2000</w:t>
      </w:r>
      <w:r w:rsidR="00023409" w:rsidRPr="00E26EF6">
        <w:rPr>
          <w:color w:val="444444"/>
          <w:sz w:val="20"/>
          <w:szCs w:val="20"/>
        </w:rPr>
        <w:t> </w:t>
      </w:r>
      <w:r w:rsidRPr="00E26EF6">
        <w:rPr>
          <w:color w:val="444444"/>
          <w:sz w:val="20"/>
          <w:szCs w:val="20"/>
        </w:rPr>
        <w:t>r. odnosząca się do podejmowania</w:t>
      </w:r>
      <w:r w:rsidR="00E26EF6" w:rsidRPr="00E26EF6">
        <w:rPr>
          <w:color w:val="444444"/>
          <w:sz w:val="20"/>
          <w:szCs w:val="20"/>
        </w:rPr>
        <w:t xml:space="preserve"> i pro</w:t>
      </w:r>
      <w:r w:rsidRPr="00E26EF6">
        <w:rPr>
          <w:color w:val="444444"/>
          <w:sz w:val="20"/>
          <w:szCs w:val="20"/>
        </w:rPr>
        <w:t>wadzenia działalności przez instytucje kredytowe (</w:t>
      </w:r>
      <w:r w:rsidRPr="00E26EF6">
        <w:rPr>
          <w:rStyle w:val="Emphasis"/>
          <w:i w:val="0"/>
          <w:color w:val="444444"/>
          <w:sz w:val="20"/>
          <w:szCs w:val="20"/>
        </w:rPr>
        <w:t>Dz.U. L 126</w:t>
      </w:r>
      <w:r w:rsidR="00E26EF6" w:rsidRPr="00E26EF6">
        <w:rPr>
          <w:rStyle w:val="Emphasis"/>
          <w:i w:val="0"/>
          <w:color w:val="444444"/>
          <w:sz w:val="20"/>
          <w:szCs w:val="20"/>
        </w:rPr>
        <w:t xml:space="preserve"> z 2</w:t>
      </w:r>
      <w:r w:rsidRPr="00E26EF6">
        <w:rPr>
          <w:rStyle w:val="Emphasis"/>
          <w:i w:val="0"/>
          <w:color w:val="444444"/>
          <w:sz w:val="20"/>
          <w:szCs w:val="20"/>
        </w:rPr>
        <w:t xml:space="preserve">6.5.2000, </w:t>
      </w:r>
      <w:proofErr w:type="gramStart"/>
      <w:r w:rsidRPr="00E26EF6">
        <w:rPr>
          <w:rStyle w:val="Emphasis"/>
          <w:i w:val="0"/>
          <w:color w:val="444444"/>
          <w:sz w:val="20"/>
          <w:szCs w:val="20"/>
        </w:rPr>
        <w:t>s</w:t>
      </w:r>
      <w:proofErr w:type="gramEnd"/>
      <w:r w:rsidRPr="00E26EF6">
        <w:rPr>
          <w:rStyle w:val="Emphasis"/>
          <w:i w:val="0"/>
          <w:color w:val="444444"/>
          <w:sz w:val="20"/>
          <w:szCs w:val="20"/>
        </w:rPr>
        <w:t>. 1).</w:t>
      </w:r>
    </w:p>
    <w:p w14:paraId="0EB26524" w14:textId="77777777" w:rsidR="00915077" w:rsidRPr="00E26EF6" w:rsidRDefault="00915077">
      <w:pPr>
        <w:pStyle w:val="FootnoteText"/>
        <w:ind w:left="567" w:hanging="567"/>
        <w:rPr>
          <w:rFonts w:ascii="Times New Roman" w:hAnsi="Times New Roman"/>
          <w:sz w:val="20"/>
          <w:szCs w:val="20"/>
        </w:rPr>
      </w:pPr>
    </w:p>
  </w:footnote>
  <w:footnote w:id="9">
    <w:p w14:paraId="6CDEE1FA" w14:textId="414D8E10" w:rsidR="00915077" w:rsidRPr="00E26EF6" w:rsidRDefault="00B024D7">
      <w:pPr>
        <w:pStyle w:val="FootnoteText"/>
        <w:ind w:left="567" w:hanging="567"/>
        <w:rPr>
          <w:rFonts w:ascii="Times New Roman" w:hAnsi="Times New Roman"/>
          <w:sz w:val="20"/>
          <w:szCs w:val="20"/>
        </w:rPr>
      </w:pPr>
      <w:r w:rsidRPr="00E26EF6">
        <w:rPr>
          <w:rStyle w:val="FootnoteReference"/>
          <w:rFonts w:ascii="Times New Roman" w:hAnsi="Times New Roman"/>
          <w:sz w:val="20"/>
          <w:szCs w:val="20"/>
        </w:rPr>
        <w:footnoteRef/>
      </w:r>
      <w:r w:rsidRPr="00E26EF6">
        <w:rPr>
          <w:rFonts w:ascii="Times New Roman" w:hAnsi="Times New Roman"/>
          <w:sz w:val="20"/>
          <w:szCs w:val="20"/>
        </w:rPr>
        <w:t xml:space="preserve"> </w:t>
      </w:r>
      <w:r w:rsidRPr="00E26EF6">
        <w:rPr>
          <w:rFonts w:ascii="Times New Roman" w:hAnsi="Times New Roman"/>
          <w:sz w:val="20"/>
          <w:szCs w:val="20"/>
        </w:rPr>
        <w:tab/>
      </w:r>
      <w:r w:rsidRPr="00E26EF6">
        <w:rPr>
          <w:rFonts w:ascii="Times New Roman" w:hAnsi="Times New Roman"/>
          <w:color w:val="444444"/>
          <w:sz w:val="20"/>
          <w:szCs w:val="20"/>
        </w:rPr>
        <w:t>Siódma dyrektywa Rady 83/349/EWG</w:t>
      </w:r>
      <w:r w:rsidR="00E26EF6" w:rsidRPr="00E26EF6">
        <w:rPr>
          <w:rFonts w:ascii="Times New Roman" w:hAnsi="Times New Roman"/>
          <w:color w:val="444444"/>
          <w:sz w:val="20"/>
          <w:szCs w:val="20"/>
        </w:rPr>
        <w:t xml:space="preserve"> z dni</w:t>
      </w:r>
      <w:r w:rsidRPr="00E26EF6">
        <w:rPr>
          <w:rFonts w:ascii="Times New Roman" w:hAnsi="Times New Roman"/>
          <w:color w:val="444444"/>
          <w:sz w:val="20"/>
          <w:szCs w:val="20"/>
        </w:rPr>
        <w:t>a 13 czerwca 1983</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r. wydana na podstawie art.</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54 ust.</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3 lit.</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g) Traktatu</w:t>
      </w:r>
      <w:r w:rsidR="00E26EF6" w:rsidRPr="00E26EF6">
        <w:rPr>
          <w:rFonts w:ascii="Times New Roman" w:hAnsi="Times New Roman"/>
          <w:color w:val="444444"/>
          <w:sz w:val="20"/>
          <w:szCs w:val="20"/>
        </w:rPr>
        <w:t xml:space="preserve"> w spr</w:t>
      </w:r>
      <w:r w:rsidRPr="00E26EF6">
        <w:rPr>
          <w:rFonts w:ascii="Times New Roman" w:hAnsi="Times New Roman"/>
          <w:color w:val="444444"/>
          <w:sz w:val="20"/>
          <w:szCs w:val="20"/>
        </w:rPr>
        <w:t>awie skonsolidowanych sprawozdań finansowych (</w:t>
      </w:r>
      <w:r w:rsidRPr="00E26EF6">
        <w:rPr>
          <w:rFonts w:ascii="Times New Roman" w:hAnsi="Times New Roman"/>
          <w:iCs/>
          <w:color w:val="444444"/>
          <w:sz w:val="20"/>
          <w:szCs w:val="20"/>
        </w:rPr>
        <w:t>Dz.U. L 193</w:t>
      </w:r>
      <w:r w:rsidR="00E26EF6" w:rsidRPr="00E26EF6">
        <w:rPr>
          <w:rFonts w:ascii="Times New Roman" w:hAnsi="Times New Roman"/>
          <w:iCs/>
          <w:color w:val="444444"/>
          <w:sz w:val="20"/>
          <w:szCs w:val="20"/>
        </w:rPr>
        <w:t xml:space="preserve"> z 1</w:t>
      </w:r>
      <w:r w:rsidRPr="00E26EF6">
        <w:rPr>
          <w:rFonts w:ascii="Times New Roman" w:hAnsi="Times New Roman"/>
          <w:iCs/>
          <w:color w:val="444444"/>
          <w:sz w:val="20"/>
          <w:szCs w:val="20"/>
        </w:rPr>
        <w:t xml:space="preserve">8.7.1983, </w:t>
      </w:r>
      <w:proofErr w:type="gramStart"/>
      <w:r w:rsidRPr="00E26EF6">
        <w:rPr>
          <w:rFonts w:ascii="Times New Roman" w:hAnsi="Times New Roman"/>
          <w:iCs/>
          <w:color w:val="444444"/>
          <w:sz w:val="20"/>
          <w:szCs w:val="20"/>
        </w:rPr>
        <w:t>s</w:t>
      </w:r>
      <w:proofErr w:type="gramEnd"/>
      <w:r w:rsidRPr="00E26EF6">
        <w:rPr>
          <w:rFonts w:ascii="Times New Roman" w:hAnsi="Times New Roman"/>
          <w:iCs/>
          <w:color w:val="444444"/>
          <w:sz w:val="20"/>
          <w:szCs w:val="20"/>
        </w:rPr>
        <w:t>. 1).</w:t>
      </w:r>
    </w:p>
  </w:footnote>
  <w:footnote w:id="10">
    <w:p w14:paraId="3D903419" w14:textId="4393BE4D" w:rsidR="00915077" w:rsidRPr="00E26EF6" w:rsidRDefault="00B024D7">
      <w:pPr>
        <w:pStyle w:val="FootnoteText"/>
        <w:ind w:left="567" w:hanging="567"/>
        <w:rPr>
          <w:rFonts w:ascii="Times New Roman" w:hAnsi="Times New Roman"/>
          <w:sz w:val="20"/>
          <w:szCs w:val="20"/>
        </w:rPr>
      </w:pPr>
      <w:r w:rsidRPr="00E26EF6">
        <w:rPr>
          <w:rStyle w:val="FootnoteReference"/>
          <w:rFonts w:ascii="Times New Roman" w:hAnsi="Times New Roman"/>
          <w:sz w:val="20"/>
          <w:szCs w:val="20"/>
        </w:rPr>
        <w:footnoteRef/>
      </w:r>
      <w:r w:rsidRPr="00E26EF6">
        <w:rPr>
          <w:rFonts w:ascii="Times New Roman" w:hAnsi="Times New Roman"/>
          <w:sz w:val="20"/>
          <w:szCs w:val="20"/>
        </w:rPr>
        <w:t xml:space="preserve"> </w:t>
      </w:r>
      <w:r w:rsidRPr="00E26EF6">
        <w:rPr>
          <w:rFonts w:ascii="Times New Roman" w:hAnsi="Times New Roman"/>
          <w:sz w:val="20"/>
          <w:szCs w:val="20"/>
        </w:rPr>
        <w:tab/>
      </w:r>
      <w:r w:rsidRPr="00E26EF6">
        <w:rPr>
          <w:rFonts w:ascii="Times New Roman" w:hAnsi="Times New Roman"/>
          <w:color w:val="444444"/>
          <w:sz w:val="20"/>
          <w:szCs w:val="20"/>
        </w:rPr>
        <w:t>Dyrektywa Parlamentu Europejskiego</w:t>
      </w:r>
      <w:r w:rsidR="00E26EF6" w:rsidRPr="00E26EF6">
        <w:rPr>
          <w:rFonts w:ascii="Times New Roman" w:hAnsi="Times New Roman"/>
          <w:color w:val="444444"/>
          <w:sz w:val="20"/>
          <w:szCs w:val="20"/>
        </w:rPr>
        <w:t xml:space="preserve"> i Rad</w:t>
      </w:r>
      <w:r w:rsidRPr="00E26EF6">
        <w:rPr>
          <w:rFonts w:ascii="Times New Roman" w:hAnsi="Times New Roman"/>
          <w:color w:val="444444"/>
          <w:sz w:val="20"/>
          <w:szCs w:val="20"/>
        </w:rPr>
        <w:t>y 2009/65/WE</w:t>
      </w:r>
      <w:r w:rsidR="00E26EF6" w:rsidRPr="00E26EF6">
        <w:rPr>
          <w:rFonts w:ascii="Times New Roman" w:hAnsi="Times New Roman"/>
          <w:color w:val="444444"/>
          <w:sz w:val="20"/>
          <w:szCs w:val="20"/>
        </w:rPr>
        <w:t xml:space="preserve"> z dni</w:t>
      </w:r>
      <w:r w:rsidRPr="00E26EF6">
        <w:rPr>
          <w:rFonts w:ascii="Times New Roman" w:hAnsi="Times New Roman"/>
          <w:color w:val="444444"/>
          <w:sz w:val="20"/>
          <w:szCs w:val="20"/>
        </w:rPr>
        <w:t>a 13 lipca 2009</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r.</w:t>
      </w:r>
      <w:r w:rsidR="00E26EF6" w:rsidRPr="00E26EF6">
        <w:rPr>
          <w:rFonts w:ascii="Times New Roman" w:hAnsi="Times New Roman"/>
          <w:color w:val="444444"/>
          <w:sz w:val="20"/>
          <w:szCs w:val="20"/>
        </w:rPr>
        <w:t xml:space="preserve"> w spr</w:t>
      </w:r>
      <w:r w:rsidRPr="00E26EF6">
        <w:rPr>
          <w:rFonts w:ascii="Times New Roman" w:hAnsi="Times New Roman"/>
          <w:color w:val="444444"/>
          <w:sz w:val="20"/>
          <w:szCs w:val="20"/>
        </w:rPr>
        <w:t>awie koordynacji przepisów ustawowych, wykonawczych</w:t>
      </w:r>
      <w:r w:rsidR="00E26EF6" w:rsidRPr="00E26EF6">
        <w:rPr>
          <w:rFonts w:ascii="Times New Roman" w:hAnsi="Times New Roman"/>
          <w:color w:val="444444"/>
          <w:sz w:val="20"/>
          <w:szCs w:val="20"/>
        </w:rPr>
        <w:t xml:space="preserve"> i adm</w:t>
      </w:r>
      <w:r w:rsidRPr="00E26EF6">
        <w:rPr>
          <w:rFonts w:ascii="Times New Roman" w:hAnsi="Times New Roman"/>
          <w:color w:val="444444"/>
          <w:sz w:val="20"/>
          <w:szCs w:val="20"/>
        </w:rPr>
        <w:t>inistracyjnych odnoszących się do przedsiębiorstw zbiorowego inwestowania</w:t>
      </w:r>
      <w:r w:rsidR="00E26EF6" w:rsidRPr="00E26EF6">
        <w:rPr>
          <w:rFonts w:ascii="Times New Roman" w:hAnsi="Times New Roman"/>
          <w:color w:val="444444"/>
          <w:sz w:val="20"/>
          <w:szCs w:val="20"/>
        </w:rPr>
        <w:t xml:space="preserve"> w zby</w:t>
      </w:r>
      <w:r w:rsidRPr="00E26EF6">
        <w:rPr>
          <w:rFonts w:ascii="Times New Roman" w:hAnsi="Times New Roman"/>
          <w:color w:val="444444"/>
          <w:sz w:val="20"/>
          <w:szCs w:val="20"/>
        </w:rPr>
        <w:t>walne papiery wartościowe (UCITS) (</w:t>
      </w:r>
      <w:r w:rsidRPr="00E26EF6">
        <w:rPr>
          <w:rFonts w:ascii="Times New Roman" w:hAnsi="Times New Roman"/>
          <w:iCs/>
          <w:color w:val="444444"/>
          <w:sz w:val="20"/>
          <w:szCs w:val="20"/>
        </w:rPr>
        <w:t>Dz.U. L 302</w:t>
      </w:r>
      <w:r w:rsidR="00E26EF6" w:rsidRPr="00E26EF6">
        <w:rPr>
          <w:rFonts w:ascii="Times New Roman" w:hAnsi="Times New Roman"/>
          <w:iCs/>
          <w:color w:val="444444"/>
          <w:sz w:val="20"/>
          <w:szCs w:val="20"/>
        </w:rPr>
        <w:t xml:space="preserve"> z 1</w:t>
      </w:r>
      <w:r w:rsidRPr="00E26EF6">
        <w:rPr>
          <w:rFonts w:ascii="Times New Roman" w:hAnsi="Times New Roman"/>
          <w:iCs/>
          <w:color w:val="444444"/>
          <w:sz w:val="20"/>
          <w:szCs w:val="20"/>
        </w:rPr>
        <w:t xml:space="preserve">7.11.2009, </w:t>
      </w:r>
      <w:proofErr w:type="gramStart"/>
      <w:r w:rsidRPr="00E26EF6">
        <w:rPr>
          <w:rFonts w:ascii="Times New Roman" w:hAnsi="Times New Roman"/>
          <w:iCs/>
          <w:color w:val="444444"/>
          <w:sz w:val="20"/>
          <w:szCs w:val="20"/>
        </w:rPr>
        <w:t>s</w:t>
      </w:r>
      <w:proofErr w:type="gramEnd"/>
      <w:r w:rsidRPr="00E26EF6">
        <w:rPr>
          <w:rFonts w:ascii="Times New Roman" w:hAnsi="Times New Roman"/>
          <w:iCs/>
          <w:color w:val="444444"/>
          <w:sz w:val="20"/>
          <w:szCs w:val="20"/>
        </w:rPr>
        <w:t>. 32).</w:t>
      </w:r>
    </w:p>
  </w:footnote>
  <w:footnote w:id="11">
    <w:p w14:paraId="602B7BB8" w14:textId="22EA5D82" w:rsidR="00915077" w:rsidRPr="00E26EF6" w:rsidRDefault="00B024D7">
      <w:pPr>
        <w:pStyle w:val="FootnoteText"/>
        <w:ind w:left="567" w:hanging="567"/>
        <w:rPr>
          <w:rFonts w:ascii="Times New Roman" w:hAnsi="Times New Roman"/>
          <w:sz w:val="20"/>
          <w:szCs w:val="20"/>
        </w:rPr>
      </w:pPr>
      <w:r w:rsidRPr="00E26EF6">
        <w:rPr>
          <w:rStyle w:val="FootnoteReference"/>
          <w:rFonts w:ascii="Times New Roman" w:hAnsi="Times New Roman"/>
          <w:sz w:val="20"/>
          <w:szCs w:val="20"/>
        </w:rPr>
        <w:footnoteRef/>
      </w:r>
      <w:r w:rsidRPr="00E26EF6">
        <w:rPr>
          <w:rFonts w:ascii="Times New Roman" w:hAnsi="Times New Roman"/>
          <w:sz w:val="20"/>
          <w:szCs w:val="20"/>
        </w:rPr>
        <w:tab/>
      </w:r>
      <w:r w:rsidRPr="00E26EF6">
        <w:rPr>
          <w:rFonts w:ascii="Times New Roman" w:hAnsi="Times New Roman"/>
          <w:color w:val="444444"/>
          <w:sz w:val="20"/>
          <w:szCs w:val="20"/>
        </w:rPr>
        <w:t>Rozporządzenie delegowane Komisji (UE) nr</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1152/2014</w:t>
      </w:r>
      <w:r w:rsidR="00E26EF6" w:rsidRPr="00E26EF6">
        <w:rPr>
          <w:rFonts w:ascii="Times New Roman" w:hAnsi="Times New Roman"/>
          <w:color w:val="444444"/>
          <w:sz w:val="20"/>
          <w:szCs w:val="20"/>
        </w:rPr>
        <w:t xml:space="preserve"> z dni</w:t>
      </w:r>
      <w:r w:rsidRPr="00E26EF6">
        <w:rPr>
          <w:rFonts w:ascii="Times New Roman" w:hAnsi="Times New Roman"/>
          <w:color w:val="444444"/>
          <w:sz w:val="20"/>
          <w:szCs w:val="20"/>
        </w:rPr>
        <w:t>a 4 czerwca 2014</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r. uzupełniające dyrektywę Parlamentu Europejskiego</w:t>
      </w:r>
      <w:r w:rsidR="00E26EF6" w:rsidRPr="00E26EF6">
        <w:rPr>
          <w:rFonts w:ascii="Times New Roman" w:hAnsi="Times New Roman"/>
          <w:color w:val="444444"/>
          <w:sz w:val="20"/>
          <w:szCs w:val="20"/>
        </w:rPr>
        <w:t xml:space="preserve"> i Rad</w:t>
      </w:r>
      <w:r w:rsidRPr="00E26EF6">
        <w:rPr>
          <w:rFonts w:ascii="Times New Roman" w:hAnsi="Times New Roman"/>
          <w:color w:val="444444"/>
          <w:sz w:val="20"/>
          <w:szCs w:val="20"/>
        </w:rPr>
        <w:t>y 2013/36/UE</w:t>
      </w:r>
      <w:r w:rsidR="00E26EF6" w:rsidRPr="00E26EF6">
        <w:rPr>
          <w:rFonts w:ascii="Times New Roman" w:hAnsi="Times New Roman"/>
          <w:color w:val="444444"/>
          <w:sz w:val="20"/>
          <w:szCs w:val="20"/>
        </w:rPr>
        <w:t xml:space="preserve"> w odn</w:t>
      </w:r>
      <w:r w:rsidRPr="00E26EF6">
        <w:rPr>
          <w:rFonts w:ascii="Times New Roman" w:hAnsi="Times New Roman"/>
          <w:color w:val="444444"/>
          <w:sz w:val="20"/>
          <w:szCs w:val="20"/>
        </w:rPr>
        <w:t>iesieniu do regulacyjnych standardów technicznych dotyczących ustalania lokalizacji geograficznej odnośnych ekspozycji kredytowych na potrzeby obliczania specyficznych dla instytucji wskaźników bufora antycyklicznego (</w:t>
      </w:r>
      <w:r w:rsidRPr="00E26EF6">
        <w:rPr>
          <w:rFonts w:ascii="Times New Roman" w:hAnsi="Times New Roman"/>
          <w:iCs/>
          <w:color w:val="444444"/>
          <w:sz w:val="20"/>
          <w:szCs w:val="20"/>
        </w:rPr>
        <w:t>Dz.U. L 309</w:t>
      </w:r>
      <w:r w:rsidR="00E26EF6" w:rsidRPr="00E26EF6">
        <w:rPr>
          <w:rFonts w:ascii="Times New Roman" w:hAnsi="Times New Roman"/>
          <w:iCs/>
          <w:color w:val="444444"/>
          <w:sz w:val="20"/>
          <w:szCs w:val="20"/>
        </w:rPr>
        <w:t xml:space="preserve"> z 3</w:t>
      </w:r>
      <w:r w:rsidRPr="00E26EF6">
        <w:rPr>
          <w:rFonts w:ascii="Times New Roman" w:hAnsi="Times New Roman"/>
          <w:iCs/>
          <w:color w:val="444444"/>
          <w:sz w:val="20"/>
          <w:szCs w:val="20"/>
        </w:rPr>
        <w:t xml:space="preserve">0.10.2014, </w:t>
      </w:r>
      <w:proofErr w:type="gramStart"/>
      <w:r w:rsidRPr="00E26EF6">
        <w:rPr>
          <w:rFonts w:ascii="Times New Roman" w:hAnsi="Times New Roman"/>
          <w:iCs/>
          <w:color w:val="444444"/>
          <w:sz w:val="20"/>
          <w:szCs w:val="20"/>
        </w:rPr>
        <w:t>s</w:t>
      </w:r>
      <w:proofErr w:type="gramEnd"/>
      <w:r w:rsidRPr="00E26EF6">
        <w:rPr>
          <w:rFonts w:ascii="Times New Roman" w:hAnsi="Times New Roman"/>
          <w:iCs/>
          <w:color w:val="444444"/>
          <w:sz w:val="20"/>
          <w:szCs w:val="20"/>
        </w:rPr>
        <w:t>. 5).</w:t>
      </w:r>
    </w:p>
  </w:footnote>
  <w:footnote w:id="12">
    <w:p w14:paraId="7F363D79" w14:textId="3EBD72EA" w:rsidR="00915077" w:rsidRPr="00E26EF6" w:rsidRDefault="00B024D7">
      <w:pPr>
        <w:pStyle w:val="FootnoteText"/>
        <w:ind w:left="567" w:hanging="567"/>
        <w:rPr>
          <w:rFonts w:ascii="Times New Roman" w:hAnsi="Times New Roman"/>
          <w:sz w:val="20"/>
          <w:szCs w:val="20"/>
        </w:rPr>
      </w:pPr>
      <w:r w:rsidRPr="00E26EF6">
        <w:rPr>
          <w:rStyle w:val="FootnoteReference"/>
        </w:rPr>
        <w:footnoteRef/>
      </w:r>
      <w:r w:rsidRPr="00E26EF6">
        <w:t xml:space="preserve"> </w:t>
      </w:r>
      <w:r w:rsidRPr="00E26EF6">
        <w:tab/>
      </w:r>
      <w:r w:rsidRPr="00E26EF6">
        <w:rPr>
          <w:rFonts w:ascii="Times New Roman" w:hAnsi="Times New Roman"/>
          <w:color w:val="444444"/>
          <w:sz w:val="20"/>
          <w:szCs w:val="20"/>
        </w:rPr>
        <w:t>Rozporządzenie Parlamentu Europejskiego</w:t>
      </w:r>
      <w:r w:rsidR="00E26EF6" w:rsidRPr="00E26EF6">
        <w:rPr>
          <w:rFonts w:ascii="Times New Roman" w:hAnsi="Times New Roman"/>
          <w:color w:val="444444"/>
          <w:sz w:val="20"/>
          <w:szCs w:val="20"/>
        </w:rPr>
        <w:t xml:space="preserve"> i Rad</w:t>
      </w:r>
      <w:r w:rsidRPr="00E26EF6">
        <w:rPr>
          <w:rFonts w:ascii="Times New Roman" w:hAnsi="Times New Roman"/>
          <w:color w:val="444444"/>
          <w:sz w:val="20"/>
          <w:szCs w:val="20"/>
        </w:rPr>
        <w:t>y (UE) 2017/2402</w:t>
      </w:r>
      <w:r w:rsidR="00E26EF6" w:rsidRPr="00E26EF6">
        <w:rPr>
          <w:rFonts w:ascii="Times New Roman" w:hAnsi="Times New Roman"/>
          <w:color w:val="444444"/>
          <w:sz w:val="20"/>
          <w:szCs w:val="20"/>
        </w:rPr>
        <w:t xml:space="preserve"> z dni</w:t>
      </w:r>
      <w:r w:rsidRPr="00E26EF6">
        <w:rPr>
          <w:rFonts w:ascii="Times New Roman" w:hAnsi="Times New Roman"/>
          <w:color w:val="444444"/>
          <w:sz w:val="20"/>
          <w:szCs w:val="20"/>
        </w:rPr>
        <w:t>a 12 grudnia 2017</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r.</w:t>
      </w:r>
      <w:r w:rsidR="00E26EF6" w:rsidRPr="00E26EF6">
        <w:rPr>
          <w:rFonts w:ascii="Times New Roman" w:hAnsi="Times New Roman"/>
          <w:color w:val="444444"/>
          <w:sz w:val="20"/>
          <w:szCs w:val="20"/>
        </w:rPr>
        <w:t xml:space="preserve"> w spr</w:t>
      </w:r>
      <w:r w:rsidRPr="00E26EF6">
        <w:rPr>
          <w:rFonts w:ascii="Times New Roman" w:hAnsi="Times New Roman"/>
          <w:color w:val="444444"/>
          <w:sz w:val="20"/>
          <w:szCs w:val="20"/>
        </w:rPr>
        <w:t>awie ustanowienia ogólnych ram dla sekurytyzacji oraz utworzenia szczególnych ram dla prostych, przejrzystych</w:t>
      </w:r>
      <w:r w:rsidR="00E26EF6" w:rsidRPr="00E26EF6">
        <w:rPr>
          <w:rFonts w:ascii="Times New Roman" w:hAnsi="Times New Roman"/>
          <w:color w:val="444444"/>
          <w:sz w:val="20"/>
          <w:szCs w:val="20"/>
        </w:rPr>
        <w:t xml:space="preserve"> i sta</w:t>
      </w:r>
      <w:r w:rsidRPr="00E26EF6">
        <w:rPr>
          <w:rFonts w:ascii="Times New Roman" w:hAnsi="Times New Roman"/>
          <w:color w:val="444444"/>
          <w:sz w:val="20"/>
          <w:szCs w:val="20"/>
        </w:rPr>
        <w:t>ndardowych sekurytyzacji,</w:t>
      </w:r>
      <w:r w:rsidR="00E26EF6" w:rsidRPr="00E26EF6">
        <w:rPr>
          <w:rFonts w:ascii="Times New Roman" w:hAnsi="Times New Roman"/>
          <w:color w:val="444444"/>
          <w:sz w:val="20"/>
          <w:szCs w:val="20"/>
        </w:rPr>
        <w:t xml:space="preserve"> a tak</w:t>
      </w:r>
      <w:r w:rsidRPr="00E26EF6">
        <w:rPr>
          <w:rFonts w:ascii="Times New Roman" w:hAnsi="Times New Roman"/>
          <w:color w:val="444444"/>
          <w:sz w:val="20"/>
          <w:szCs w:val="20"/>
        </w:rPr>
        <w:t>że zmieniające dyrektywy 2009/65/WE, 2009/138/WE</w:t>
      </w:r>
      <w:r w:rsidR="00E26EF6" w:rsidRPr="00E26EF6">
        <w:rPr>
          <w:rFonts w:ascii="Times New Roman" w:hAnsi="Times New Roman"/>
          <w:color w:val="444444"/>
          <w:sz w:val="20"/>
          <w:szCs w:val="20"/>
        </w:rPr>
        <w:t xml:space="preserve"> i 2</w:t>
      </w:r>
      <w:r w:rsidRPr="00E26EF6">
        <w:rPr>
          <w:rFonts w:ascii="Times New Roman" w:hAnsi="Times New Roman"/>
          <w:color w:val="444444"/>
          <w:sz w:val="20"/>
          <w:szCs w:val="20"/>
        </w:rPr>
        <w:t>011/61/UE oraz rozporządzenia (WE) nr</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1060/2009 i (UE) nr</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648/2012 (</w:t>
      </w:r>
      <w:r w:rsidRPr="00E26EF6">
        <w:rPr>
          <w:rFonts w:ascii="Times New Roman" w:hAnsi="Times New Roman"/>
          <w:iCs/>
          <w:color w:val="444444"/>
          <w:sz w:val="20"/>
          <w:szCs w:val="20"/>
        </w:rPr>
        <w:t>Dz.U. L 347</w:t>
      </w:r>
      <w:r w:rsidR="00E26EF6" w:rsidRPr="00E26EF6">
        <w:rPr>
          <w:rFonts w:ascii="Times New Roman" w:hAnsi="Times New Roman"/>
          <w:iCs/>
          <w:color w:val="444444"/>
          <w:sz w:val="20"/>
          <w:szCs w:val="20"/>
        </w:rPr>
        <w:t xml:space="preserve"> z 2</w:t>
      </w:r>
      <w:r w:rsidRPr="00E26EF6">
        <w:rPr>
          <w:rFonts w:ascii="Times New Roman" w:hAnsi="Times New Roman"/>
          <w:iCs/>
          <w:color w:val="444444"/>
          <w:sz w:val="20"/>
          <w:szCs w:val="20"/>
        </w:rPr>
        <w:t xml:space="preserve">8.12.2017, </w:t>
      </w:r>
      <w:proofErr w:type="gramStart"/>
      <w:r w:rsidRPr="00E26EF6">
        <w:rPr>
          <w:rFonts w:ascii="Times New Roman" w:hAnsi="Times New Roman"/>
          <w:iCs/>
          <w:color w:val="444444"/>
          <w:sz w:val="20"/>
          <w:szCs w:val="20"/>
        </w:rPr>
        <w:t>s</w:t>
      </w:r>
      <w:proofErr w:type="gramEnd"/>
      <w:r w:rsidRPr="00E26EF6">
        <w:rPr>
          <w:rFonts w:ascii="Times New Roman" w:hAnsi="Times New Roman"/>
          <w:iCs/>
          <w:color w:val="444444"/>
          <w:sz w:val="20"/>
          <w:szCs w:val="20"/>
        </w:rPr>
        <w:t>. 35).</w:t>
      </w:r>
    </w:p>
  </w:footnote>
  <w:footnote w:id="13">
    <w:p w14:paraId="5EE13FEB" w14:textId="393E1D11" w:rsidR="00915077" w:rsidRPr="00E26EF6" w:rsidRDefault="00B024D7">
      <w:pPr>
        <w:pStyle w:val="FootnoteText"/>
        <w:ind w:left="567" w:hanging="567"/>
        <w:rPr>
          <w:rFonts w:ascii="Times New Roman" w:hAnsi="Times New Roman"/>
          <w:sz w:val="20"/>
          <w:szCs w:val="20"/>
        </w:rPr>
      </w:pPr>
      <w:r w:rsidRPr="00E26EF6">
        <w:rPr>
          <w:rStyle w:val="FootnoteReference"/>
          <w:rFonts w:ascii="Times New Roman" w:hAnsi="Times New Roman"/>
        </w:rPr>
        <w:footnoteRef/>
      </w:r>
      <w:r w:rsidR="00E26EF6" w:rsidRPr="00E26EF6">
        <w:rPr>
          <w:rFonts w:ascii="Times New Roman" w:hAnsi="Times New Roman"/>
        </w:rPr>
        <w:tab/>
      </w:r>
      <w:r w:rsidRPr="00E26EF6">
        <w:rPr>
          <w:rFonts w:ascii="Times New Roman" w:hAnsi="Times New Roman"/>
        </w:rPr>
        <w:t>„Jednostki samodzielne” nie należą do grupy skonsolidowanej, ani nie konsolidują się samodzielnie</w:t>
      </w:r>
      <w:r w:rsidR="00E26EF6" w:rsidRPr="00E26EF6">
        <w:rPr>
          <w:rFonts w:ascii="Times New Roman" w:hAnsi="Times New Roman"/>
        </w:rPr>
        <w:t xml:space="preserve"> w tym</w:t>
      </w:r>
      <w:r w:rsidRPr="00E26EF6">
        <w:rPr>
          <w:rFonts w:ascii="Times New Roman" w:hAnsi="Times New Roman"/>
        </w:rPr>
        <w:t xml:space="preserve"> samym państwie,</w:t>
      </w:r>
      <w:r w:rsidR="00E26EF6" w:rsidRPr="00E26EF6">
        <w:rPr>
          <w:rFonts w:ascii="Times New Roman" w:hAnsi="Times New Roman"/>
        </w:rPr>
        <w:t xml:space="preserve"> w któ</w:t>
      </w:r>
      <w:r w:rsidRPr="00E26EF6">
        <w:rPr>
          <w:rFonts w:ascii="Times New Roman" w:hAnsi="Times New Roman"/>
        </w:rPr>
        <w:t>rym podlegają wymogom</w:t>
      </w:r>
      <w:r w:rsidR="00E26EF6" w:rsidRPr="00E26EF6">
        <w:rPr>
          <w:rFonts w:ascii="Times New Roman" w:hAnsi="Times New Roman"/>
        </w:rPr>
        <w:t xml:space="preserve"> w zak</w:t>
      </w:r>
      <w:r w:rsidRPr="00E26EF6">
        <w:rPr>
          <w:rFonts w:ascii="Times New Roman" w:hAnsi="Times New Roman"/>
        </w:rPr>
        <w:t>resie funduszy własnych</w:t>
      </w:r>
      <w:r w:rsidRPr="00E26EF6">
        <w:rPr>
          <w:rFonts w:ascii="Times New Roman" w:hAnsi="Times New Roman"/>
        </w:rPr>
        <w:tab/>
      </w:r>
      <w:r w:rsidRPr="00E26EF6">
        <w:rPr>
          <w:rFonts w:ascii="Times New Roman" w:hAnsi="Times New Roman"/>
          <w:sz w:val="20"/>
          <w:szCs w:val="20"/>
        </w:rPr>
        <w:t>.</w:t>
      </w:r>
    </w:p>
  </w:footnote>
  <w:footnote w:id="14">
    <w:p w14:paraId="025E090B" w14:textId="1D9900C7" w:rsidR="00915077" w:rsidRPr="00E26EF6" w:rsidRDefault="00B024D7">
      <w:pPr>
        <w:pStyle w:val="FootnoteText"/>
        <w:ind w:left="567" w:hanging="567"/>
        <w:rPr>
          <w:rFonts w:ascii="Times New Roman" w:hAnsi="Times New Roman"/>
          <w:sz w:val="20"/>
          <w:szCs w:val="20"/>
        </w:rPr>
      </w:pPr>
      <w:r w:rsidRPr="00E26EF6">
        <w:rPr>
          <w:rStyle w:val="FootnoteReference"/>
          <w:rFonts w:ascii="Times New Roman" w:hAnsi="Times New Roman"/>
          <w:sz w:val="20"/>
          <w:szCs w:val="20"/>
        </w:rPr>
        <w:footnoteRef/>
      </w:r>
      <w:r w:rsidRPr="00E26EF6">
        <w:rPr>
          <w:rFonts w:ascii="Times New Roman" w:hAnsi="Times New Roman"/>
          <w:sz w:val="20"/>
          <w:szCs w:val="20"/>
        </w:rPr>
        <w:t xml:space="preserve"> </w:t>
      </w:r>
      <w:r w:rsidRPr="00E26EF6">
        <w:rPr>
          <w:rFonts w:ascii="Times New Roman" w:hAnsi="Times New Roman"/>
          <w:sz w:val="20"/>
          <w:szCs w:val="20"/>
        </w:rPr>
        <w:tab/>
      </w:r>
      <w:r w:rsidRPr="00E26EF6">
        <w:rPr>
          <w:rFonts w:ascii="Times New Roman" w:hAnsi="Times New Roman"/>
          <w:color w:val="444444"/>
          <w:sz w:val="20"/>
          <w:szCs w:val="20"/>
        </w:rPr>
        <w:t>Rozporządzenie Parlamentu Europejskiego</w:t>
      </w:r>
      <w:r w:rsidR="00E26EF6" w:rsidRPr="00E26EF6">
        <w:rPr>
          <w:rFonts w:ascii="Times New Roman" w:hAnsi="Times New Roman"/>
          <w:color w:val="444444"/>
          <w:sz w:val="20"/>
          <w:szCs w:val="20"/>
        </w:rPr>
        <w:t xml:space="preserve"> i Rad</w:t>
      </w:r>
      <w:r w:rsidRPr="00E26EF6">
        <w:rPr>
          <w:rFonts w:ascii="Times New Roman" w:hAnsi="Times New Roman"/>
          <w:color w:val="444444"/>
          <w:sz w:val="20"/>
          <w:szCs w:val="20"/>
        </w:rPr>
        <w:t>y (UE) nr</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549/2013</w:t>
      </w:r>
      <w:r w:rsidR="00E26EF6" w:rsidRPr="00E26EF6">
        <w:rPr>
          <w:rFonts w:ascii="Times New Roman" w:hAnsi="Times New Roman"/>
          <w:color w:val="444444"/>
          <w:sz w:val="20"/>
          <w:szCs w:val="20"/>
        </w:rPr>
        <w:t xml:space="preserve"> z dni</w:t>
      </w:r>
      <w:r w:rsidRPr="00E26EF6">
        <w:rPr>
          <w:rFonts w:ascii="Times New Roman" w:hAnsi="Times New Roman"/>
          <w:color w:val="444444"/>
          <w:sz w:val="20"/>
          <w:szCs w:val="20"/>
        </w:rPr>
        <w:t>a 21 maja 2013</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r.</w:t>
      </w:r>
      <w:r w:rsidR="00E26EF6" w:rsidRPr="00E26EF6">
        <w:rPr>
          <w:rFonts w:ascii="Times New Roman" w:hAnsi="Times New Roman"/>
          <w:color w:val="444444"/>
          <w:sz w:val="20"/>
          <w:szCs w:val="20"/>
        </w:rPr>
        <w:t xml:space="preserve"> w spr</w:t>
      </w:r>
      <w:r w:rsidRPr="00E26EF6">
        <w:rPr>
          <w:rFonts w:ascii="Times New Roman" w:hAnsi="Times New Roman"/>
          <w:color w:val="444444"/>
          <w:sz w:val="20"/>
          <w:szCs w:val="20"/>
        </w:rPr>
        <w:t>awie europejskiego systemu rachunków narodowych</w:t>
      </w:r>
      <w:r w:rsidR="00E26EF6" w:rsidRPr="00E26EF6">
        <w:rPr>
          <w:rFonts w:ascii="Times New Roman" w:hAnsi="Times New Roman"/>
          <w:color w:val="444444"/>
          <w:sz w:val="20"/>
          <w:szCs w:val="20"/>
        </w:rPr>
        <w:t xml:space="preserve"> i reg</w:t>
      </w:r>
      <w:r w:rsidRPr="00E26EF6">
        <w:rPr>
          <w:rFonts w:ascii="Times New Roman" w:hAnsi="Times New Roman"/>
          <w:color w:val="444444"/>
          <w:sz w:val="20"/>
          <w:szCs w:val="20"/>
        </w:rPr>
        <w:t>ionalnych</w:t>
      </w:r>
      <w:r w:rsidR="00E26EF6" w:rsidRPr="00E26EF6">
        <w:rPr>
          <w:rFonts w:ascii="Times New Roman" w:hAnsi="Times New Roman"/>
          <w:color w:val="444444"/>
          <w:sz w:val="20"/>
          <w:szCs w:val="20"/>
        </w:rPr>
        <w:t xml:space="preserve"> w Uni</w:t>
      </w:r>
      <w:r w:rsidRPr="00E26EF6">
        <w:rPr>
          <w:rFonts w:ascii="Times New Roman" w:hAnsi="Times New Roman"/>
          <w:color w:val="444444"/>
          <w:sz w:val="20"/>
          <w:szCs w:val="20"/>
        </w:rPr>
        <w:t>i Europejskiej (Dz.U. L 174</w:t>
      </w:r>
      <w:r w:rsidR="00E26EF6" w:rsidRPr="00E26EF6">
        <w:rPr>
          <w:rFonts w:ascii="Times New Roman" w:hAnsi="Times New Roman"/>
          <w:color w:val="444444"/>
          <w:sz w:val="20"/>
          <w:szCs w:val="20"/>
        </w:rPr>
        <w:t xml:space="preserve"> z 2</w:t>
      </w:r>
      <w:r w:rsidRPr="00E26EF6">
        <w:rPr>
          <w:rFonts w:ascii="Times New Roman" w:hAnsi="Times New Roman"/>
          <w:color w:val="444444"/>
          <w:sz w:val="20"/>
          <w:szCs w:val="20"/>
        </w:rPr>
        <w:t xml:space="preserve">6.6.2013, </w:t>
      </w:r>
      <w:proofErr w:type="gramStart"/>
      <w:r w:rsidRPr="00E26EF6">
        <w:rPr>
          <w:rFonts w:ascii="Times New Roman" w:hAnsi="Times New Roman"/>
          <w:color w:val="444444"/>
          <w:sz w:val="20"/>
          <w:szCs w:val="20"/>
        </w:rPr>
        <w:t>s</w:t>
      </w:r>
      <w:proofErr w:type="gramEnd"/>
      <w:r w:rsidRPr="00E26EF6">
        <w:rPr>
          <w:rFonts w:ascii="Times New Roman" w:hAnsi="Times New Roman"/>
          <w:color w:val="444444"/>
          <w:sz w:val="20"/>
          <w:szCs w:val="20"/>
        </w:rPr>
        <w:t>. 1).</w:t>
      </w:r>
    </w:p>
  </w:footnote>
  <w:footnote w:id="15">
    <w:p w14:paraId="6C8DA956" w14:textId="3E76DB6A" w:rsidR="00915077" w:rsidRPr="00E26EF6" w:rsidRDefault="00B024D7">
      <w:pPr>
        <w:pStyle w:val="FootnoteText"/>
        <w:ind w:left="567" w:hanging="567"/>
        <w:rPr>
          <w:rFonts w:ascii="Times New Roman" w:hAnsi="Times New Roman"/>
          <w:sz w:val="20"/>
          <w:szCs w:val="20"/>
        </w:rPr>
      </w:pPr>
      <w:r w:rsidRPr="00E26EF6">
        <w:rPr>
          <w:rStyle w:val="FootnoteReference"/>
          <w:rFonts w:ascii="Times New Roman" w:hAnsi="Times New Roman"/>
          <w:sz w:val="20"/>
          <w:szCs w:val="20"/>
        </w:rPr>
        <w:footnoteRef/>
      </w:r>
      <w:r w:rsidRPr="00E26EF6">
        <w:rPr>
          <w:rFonts w:ascii="Times New Roman" w:hAnsi="Times New Roman"/>
          <w:sz w:val="20"/>
          <w:szCs w:val="20"/>
        </w:rPr>
        <w:tab/>
      </w:r>
      <w:r w:rsidRPr="00E26EF6">
        <w:rPr>
          <w:rFonts w:ascii="Times New Roman" w:hAnsi="Times New Roman"/>
          <w:color w:val="444444"/>
          <w:sz w:val="20"/>
          <w:szCs w:val="20"/>
        </w:rPr>
        <w:t>Rozporządzenie delegowane Komisji (UE) nr</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525/2014</w:t>
      </w:r>
      <w:r w:rsidR="00E26EF6" w:rsidRPr="00E26EF6">
        <w:rPr>
          <w:rFonts w:ascii="Times New Roman" w:hAnsi="Times New Roman"/>
          <w:color w:val="444444"/>
          <w:sz w:val="20"/>
          <w:szCs w:val="20"/>
        </w:rPr>
        <w:t xml:space="preserve"> z dni</w:t>
      </w:r>
      <w:r w:rsidRPr="00E26EF6">
        <w:rPr>
          <w:rFonts w:ascii="Times New Roman" w:hAnsi="Times New Roman"/>
          <w:color w:val="444444"/>
          <w:sz w:val="20"/>
          <w:szCs w:val="20"/>
        </w:rPr>
        <w:t>a 12 marca 2014</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r. uzupełniające rozporządzenie Parlamentu Europejskiego</w:t>
      </w:r>
      <w:r w:rsidR="00E26EF6" w:rsidRPr="00E26EF6">
        <w:rPr>
          <w:rFonts w:ascii="Times New Roman" w:hAnsi="Times New Roman"/>
          <w:color w:val="444444"/>
          <w:sz w:val="20"/>
          <w:szCs w:val="20"/>
        </w:rPr>
        <w:t xml:space="preserve"> i Rad</w:t>
      </w:r>
      <w:r w:rsidRPr="00E26EF6">
        <w:rPr>
          <w:rFonts w:ascii="Times New Roman" w:hAnsi="Times New Roman"/>
          <w:color w:val="444444"/>
          <w:sz w:val="20"/>
          <w:szCs w:val="20"/>
        </w:rPr>
        <w:t>y (UE) nr</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575/2013</w:t>
      </w:r>
      <w:r w:rsidR="00E26EF6" w:rsidRPr="00E26EF6">
        <w:rPr>
          <w:rFonts w:ascii="Times New Roman" w:hAnsi="Times New Roman"/>
          <w:color w:val="444444"/>
          <w:sz w:val="20"/>
          <w:szCs w:val="20"/>
        </w:rPr>
        <w:t xml:space="preserve"> w odn</w:t>
      </w:r>
      <w:r w:rsidRPr="00E26EF6">
        <w:rPr>
          <w:rFonts w:ascii="Times New Roman" w:hAnsi="Times New Roman"/>
          <w:color w:val="444444"/>
          <w:sz w:val="20"/>
          <w:szCs w:val="20"/>
        </w:rPr>
        <w:t>iesieniu do regulacyjnych standardów technicznych dotyczących definicji rynku (</w:t>
      </w:r>
      <w:r w:rsidRPr="00E26EF6">
        <w:rPr>
          <w:rFonts w:ascii="Times New Roman" w:hAnsi="Times New Roman"/>
          <w:iCs/>
          <w:color w:val="444444"/>
          <w:sz w:val="20"/>
          <w:szCs w:val="20"/>
        </w:rPr>
        <w:t>Dz.U. L 148</w:t>
      </w:r>
      <w:r w:rsidR="00E26EF6" w:rsidRPr="00E26EF6">
        <w:rPr>
          <w:rFonts w:ascii="Times New Roman" w:hAnsi="Times New Roman"/>
          <w:iCs/>
          <w:color w:val="444444"/>
          <w:sz w:val="20"/>
          <w:szCs w:val="20"/>
        </w:rPr>
        <w:t xml:space="preserve"> z 2</w:t>
      </w:r>
      <w:r w:rsidRPr="00E26EF6">
        <w:rPr>
          <w:rFonts w:ascii="Times New Roman" w:hAnsi="Times New Roman"/>
          <w:iCs/>
          <w:color w:val="444444"/>
          <w:sz w:val="20"/>
          <w:szCs w:val="20"/>
        </w:rPr>
        <w:t xml:space="preserve">0.5.2014, </w:t>
      </w:r>
      <w:proofErr w:type="gramStart"/>
      <w:r w:rsidRPr="00E26EF6">
        <w:rPr>
          <w:rFonts w:ascii="Times New Roman" w:hAnsi="Times New Roman"/>
          <w:iCs/>
          <w:color w:val="444444"/>
          <w:sz w:val="20"/>
          <w:szCs w:val="20"/>
        </w:rPr>
        <w:t>s</w:t>
      </w:r>
      <w:proofErr w:type="gramEnd"/>
      <w:r w:rsidRPr="00E26EF6">
        <w:rPr>
          <w:rFonts w:ascii="Times New Roman" w:hAnsi="Times New Roman"/>
          <w:iCs/>
          <w:color w:val="444444"/>
          <w:sz w:val="20"/>
          <w:szCs w:val="20"/>
        </w:rPr>
        <w:t>. 15)</w:t>
      </w:r>
      <w:r w:rsidRPr="00E26EF6">
        <w:rPr>
          <w:rFonts w:ascii="Times New Roman" w:hAnsi="Times New Roman"/>
          <w:i/>
          <w:iCs/>
          <w:color w:val="444444"/>
          <w:sz w:val="20"/>
          <w:szCs w:val="20"/>
        </w:rPr>
        <w:t>.</w:t>
      </w:r>
    </w:p>
  </w:footnote>
  <w:footnote w:id="16">
    <w:p w14:paraId="11A626E2" w14:textId="20ACAD41" w:rsidR="00915077" w:rsidRPr="00E26EF6" w:rsidRDefault="00B024D7">
      <w:pPr>
        <w:pStyle w:val="FootnoteText"/>
      </w:pPr>
      <w:r w:rsidRPr="00E26EF6">
        <w:rPr>
          <w:rStyle w:val="FootnoteReference"/>
        </w:rPr>
        <w:footnoteRef/>
      </w:r>
      <w:r w:rsidRPr="00E26EF6">
        <w:t>Rozporządzenie wykonawcze Komisji (UE) nr</w:t>
      </w:r>
      <w:r w:rsidR="00023409" w:rsidRPr="00E26EF6">
        <w:t> </w:t>
      </w:r>
      <w:r w:rsidRPr="00E26EF6">
        <w:t>945/2014</w:t>
      </w:r>
      <w:r w:rsidR="00E26EF6" w:rsidRPr="00E26EF6">
        <w:t xml:space="preserve"> z dni</w:t>
      </w:r>
      <w:r w:rsidRPr="00E26EF6">
        <w:t>a 4 września 2014</w:t>
      </w:r>
      <w:r w:rsidR="00023409" w:rsidRPr="00E26EF6">
        <w:t> </w:t>
      </w:r>
      <w:r w:rsidRPr="00E26EF6">
        <w:t>r. ustanawiające wykonawcze standardy techniczne dotyczące stosownych indeksów</w:t>
      </w:r>
      <w:r w:rsidR="00E26EF6" w:rsidRPr="00E26EF6">
        <w:t xml:space="preserve"> o odp</w:t>
      </w:r>
      <w:r w:rsidRPr="00E26EF6">
        <w:t>owiednim poziomie dywersyfikacji zgodnie</w:t>
      </w:r>
      <w:r w:rsidR="00E26EF6" w:rsidRPr="00E26EF6">
        <w:t xml:space="preserve"> z roz</w:t>
      </w:r>
      <w:r w:rsidRPr="00E26EF6">
        <w:t>porządzeniem Parlamentu Europejskiego</w:t>
      </w:r>
      <w:r w:rsidR="00E26EF6" w:rsidRPr="00E26EF6">
        <w:t xml:space="preserve"> i Rad</w:t>
      </w:r>
      <w:r w:rsidRPr="00E26EF6">
        <w:t>y (UE) nr</w:t>
      </w:r>
      <w:r w:rsidR="00023409" w:rsidRPr="00E26EF6">
        <w:t> </w:t>
      </w:r>
      <w:r w:rsidRPr="00E26EF6">
        <w:t>575/2013.</w:t>
      </w:r>
    </w:p>
  </w:footnote>
  <w:footnote w:id="17">
    <w:p w14:paraId="4426C1A9" w14:textId="1D794789" w:rsidR="00915077" w:rsidRPr="00E26EF6" w:rsidRDefault="00B024D7">
      <w:pPr>
        <w:pStyle w:val="FootnoteText"/>
        <w:ind w:left="567" w:hanging="567"/>
        <w:rPr>
          <w:rFonts w:ascii="Times New Roman" w:hAnsi="Times New Roman"/>
          <w:sz w:val="20"/>
          <w:szCs w:val="20"/>
        </w:rPr>
      </w:pPr>
      <w:r w:rsidRPr="00E26EF6">
        <w:rPr>
          <w:rStyle w:val="FootnoteReference"/>
          <w:rFonts w:ascii="Times New Roman" w:hAnsi="Times New Roman"/>
          <w:sz w:val="20"/>
          <w:szCs w:val="20"/>
        </w:rPr>
        <w:footnoteRef/>
      </w:r>
      <w:r w:rsidRPr="00E26EF6">
        <w:rPr>
          <w:rFonts w:ascii="Times New Roman" w:hAnsi="Times New Roman"/>
          <w:sz w:val="20"/>
          <w:szCs w:val="20"/>
        </w:rPr>
        <w:tab/>
      </w:r>
      <w:r w:rsidRPr="00E26EF6">
        <w:rPr>
          <w:rFonts w:ascii="Times New Roman" w:hAnsi="Times New Roman"/>
          <w:color w:val="444444"/>
          <w:sz w:val="20"/>
          <w:szCs w:val="20"/>
        </w:rPr>
        <w:t>Rozporządzenie delegowane Komisji (UE) 2016/101</w:t>
      </w:r>
      <w:r w:rsidR="00E26EF6" w:rsidRPr="00E26EF6">
        <w:rPr>
          <w:rFonts w:ascii="Times New Roman" w:hAnsi="Times New Roman"/>
          <w:color w:val="444444"/>
          <w:sz w:val="20"/>
          <w:szCs w:val="20"/>
        </w:rPr>
        <w:t xml:space="preserve"> z dni</w:t>
      </w:r>
      <w:r w:rsidRPr="00E26EF6">
        <w:rPr>
          <w:rFonts w:ascii="Times New Roman" w:hAnsi="Times New Roman"/>
          <w:color w:val="444444"/>
          <w:sz w:val="20"/>
          <w:szCs w:val="20"/>
        </w:rPr>
        <w:t>a 26 października 2015</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r. uzupełniające rozporządzenie Parlamentu Europejskiego</w:t>
      </w:r>
      <w:r w:rsidR="00E26EF6" w:rsidRPr="00E26EF6">
        <w:rPr>
          <w:rFonts w:ascii="Times New Roman" w:hAnsi="Times New Roman"/>
          <w:color w:val="444444"/>
          <w:sz w:val="20"/>
          <w:szCs w:val="20"/>
        </w:rPr>
        <w:t xml:space="preserve"> i Rad</w:t>
      </w:r>
      <w:r w:rsidRPr="00E26EF6">
        <w:rPr>
          <w:rFonts w:ascii="Times New Roman" w:hAnsi="Times New Roman"/>
          <w:color w:val="444444"/>
          <w:sz w:val="20"/>
          <w:szCs w:val="20"/>
        </w:rPr>
        <w:t>y (UE) nr</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575/2013</w:t>
      </w:r>
      <w:r w:rsidR="00E26EF6" w:rsidRPr="00E26EF6">
        <w:rPr>
          <w:rFonts w:ascii="Times New Roman" w:hAnsi="Times New Roman"/>
          <w:color w:val="444444"/>
          <w:sz w:val="20"/>
          <w:szCs w:val="20"/>
        </w:rPr>
        <w:t xml:space="preserve"> w odn</w:t>
      </w:r>
      <w:r w:rsidRPr="00E26EF6">
        <w:rPr>
          <w:rFonts w:ascii="Times New Roman" w:hAnsi="Times New Roman"/>
          <w:color w:val="444444"/>
          <w:sz w:val="20"/>
          <w:szCs w:val="20"/>
        </w:rPr>
        <w:t>iesieniu do regulacyjnych standardów technicznych dotyczących ostrożnej wyceny zgodnie</w:t>
      </w:r>
      <w:r w:rsidR="00E26EF6" w:rsidRPr="00E26EF6">
        <w:rPr>
          <w:rFonts w:ascii="Times New Roman" w:hAnsi="Times New Roman"/>
          <w:color w:val="444444"/>
          <w:sz w:val="20"/>
          <w:szCs w:val="20"/>
        </w:rPr>
        <w:t xml:space="preserve"> z art</w:t>
      </w:r>
      <w:r w:rsidRPr="00E26EF6">
        <w:rPr>
          <w:rFonts w:ascii="Times New Roman" w:hAnsi="Times New Roman"/>
          <w:color w:val="444444"/>
          <w:sz w:val="20"/>
          <w:szCs w:val="20"/>
        </w:rPr>
        <w:t>.</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105 ust.</w:t>
      </w:r>
      <w:r w:rsidR="00023409" w:rsidRPr="00E26EF6">
        <w:rPr>
          <w:rFonts w:ascii="Times New Roman" w:hAnsi="Times New Roman"/>
          <w:color w:val="444444"/>
          <w:sz w:val="20"/>
          <w:szCs w:val="20"/>
        </w:rPr>
        <w:t> </w:t>
      </w:r>
      <w:r w:rsidRPr="00E26EF6">
        <w:rPr>
          <w:rFonts w:ascii="Times New Roman" w:hAnsi="Times New Roman"/>
          <w:color w:val="444444"/>
          <w:sz w:val="20"/>
          <w:szCs w:val="20"/>
        </w:rPr>
        <w:t>14 (</w:t>
      </w:r>
      <w:r w:rsidRPr="00E26EF6">
        <w:rPr>
          <w:rFonts w:ascii="Times New Roman" w:hAnsi="Times New Roman"/>
          <w:iCs/>
          <w:color w:val="444444"/>
          <w:sz w:val="20"/>
          <w:szCs w:val="20"/>
        </w:rPr>
        <w:t>Dz.U. L 21</w:t>
      </w:r>
      <w:r w:rsidR="00E26EF6" w:rsidRPr="00E26EF6">
        <w:rPr>
          <w:rFonts w:ascii="Times New Roman" w:hAnsi="Times New Roman"/>
          <w:iCs/>
          <w:color w:val="444444"/>
          <w:sz w:val="20"/>
          <w:szCs w:val="20"/>
        </w:rPr>
        <w:t xml:space="preserve"> z 2</w:t>
      </w:r>
      <w:r w:rsidRPr="00E26EF6">
        <w:rPr>
          <w:rFonts w:ascii="Times New Roman" w:hAnsi="Times New Roman"/>
          <w:iCs/>
          <w:color w:val="444444"/>
          <w:sz w:val="20"/>
          <w:szCs w:val="20"/>
        </w:rPr>
        <w:t xml:space="preserve">8.1.2016, </w:t>
      </w:r>
      <w:proofErr w:type="gramStart"/>
      <w:r w:rsidRPr="00E26EF6">
        <w:rPr>
          <w:rFonts w:ascii="Times New Roman" w:hAnsi="Times New Roman"/>
          <w:iCs/>
          <w:color w:val="444444"/>
          <w:sz w:val="20"/>
          <w:szCs w:val="20"/>
        </w:rPr>
        <w:t>s</w:t>
      </w:r>
      <w:proofErr w:type="gramEnd"/>
      <w:r w:rsidRPr="00E26EF6">
        <w:rPr>
          <w:rFonts w:ascii="Times New Roman" w:hAnsi="Times New Roman"/>
          <w:iCs/>
          <w:color w:val="444444"/>
          <w:sz w:val="20"/>
          <w:szCs w:val="20"/>
        </w:rPr>
        <w:t>. 54).</w:t>
      </w:r>
    </w:p>
  </w:footnote>
  <w:footnote w:id="18">
    <w:p w14:paraId="1DE0576C" w14:textId="58C72435" w:rsidR="00915077" w:rsidRPr="00E26EF6" w:rsidRDefault="00B024D7">
      <w:pPr>
        <w:pStyle w:val="NormalWeb"/>
        <w:spacing w:before="0" w:beforeAutospacing="0" w:after="75" w:afterAutospacing="0"/>
        <w:ind w:left="567" w:hanging="567"/>
        <w:rPr>
          <w:color w:val="444444"/>
          <w:sz w:val="20"/>
          <w:szCs w:val="20"/>
        </w:rPr>
      </w:pPr>
      <w:r w:rsidRPr="00E26EF6">
        <w:rPr>
          <w:rStyle w:val="FootnoteReference"/>
          <w:rFonts w:ascii="Times New Roman" w:hAnsi="Times New Roman"/>
          <w:sz w:val="20"/>
          <w:szCs w:val="20"/>
        </w:rPr>
        <w:footnoteRef/>
      </w:r>
      <w:r w:rsidRPr="00E26EF6">
        <w:rPr>
          <w:sz w:val="20"/>
          <w:szCs w:val="20"/>
        </w:rPr>
        <w:t xml:space="preserve"> </w:t>
      </w:r>
      <w:r w:rsidRPr="00E26EF6">
        <w:rPr>
          <w:sz w:val="20"/>
          <w:szCs w:val="20"/>
        </w:rPr>
        <w:tab/>
      </w:r>
      <w:r w:rsidRPr="00E26EF6">
        <w:rPr>
          <w:color w:val="444444"/>
          <w:sz w:val="20"/>
          <w:szCs w:val="20"/>
        </w:rPr>
        <w:t>Rozporządzenie (WE) nr</w:t>
      </w:r>
      <w:r w:rsidR="00023409" w:rsidRPr="00E26EF6">
        <w:rPr>
          <w:color w:val="444444"/>
          <w:sz w:val="20"/>
          <w:szCs w:val="20"/>
        </w:rPr>
        <w:t> </w:t>
      </w:r>
      <w:r w:rsidRPr="00E26EF6">
        <w:rPr>
          <w:color w:val="444444"/>
          <w:sz w:val="20"/>
          <w:szCs w:val="20"/>
        </w:rPr>
        <w:t>1606/2002 Parlamentu Europejskiego</w:t>
      </w:r>
      <w:r w:rsidR="00E26EF6" w:rsidRPr="00E26EF6">
        <w:rPr>
          <w:color w:val="444444"/>
          <w:sz w:val="20"/>
          <w:szCs w:val="20"/>
        </w:rPr>
        <w:t xml:space="preserve"> i Rad</w:t>
      </w:r>
      <w:r w:rsidRPr="00E26EF6">
        <w:rPr>
          <w:color w:val="444444"/>
          <w:sz w:val="20"/>
          <w:szCs w:val="20"/>
        </w:rPr>
        <w:t>y</w:t>
      </w:r>
      <w:r w:rsidR="00E26EF6" w:rsidRPr="00E26EF6">
        <w:rPr>
          <w:color w:val="444444"/>
          <w:sz w:val="20"/>
          <w:szCs w:val="20"/>
        </w:rPr>
        <w:t xml:space="preserve"> z dni</w:t>
      </w:r>
      <w:r w:rsidRPr="00E26EF6">
        <w:rPr>
          <w:color w:val="444444"/>
          <w:sz w:val="20"/>
          <w:szCs w:val="20"/>
        </w:rPr>
        <w:t>a 19 lipca 2002</w:t>
      </w:r>
      <w:r w:rsidR="00023409" w:rsidRPr="00E26EF6">
        <w:rPr>
          <w:color w:val="444444"/>
          <w:sz w:val="20"/>
          <w:szCs w:val="20"/>
        </w:rPr>
        <w:t> </w:t>
      </w:r>
      <w:r w:rsidRPr="00E26EF6">
        <w:rPr>
          <w:color w:val="444444"/>
          <w:sz w:val="20"/>
          <w:szCs w:val="20"/>
        </w:rPr>
        <w:t>r.</w:t>
      </w:r>
      <w:r w:rsidR="00E26EF6" w:rsidRPr="00E26EF6">
        <w:rPr>
          <w:color w:val="444444"/>
          <w:sz w:val="20"/>
          <w:szCs w:val="20"/>
        </w:rPr>
        <w:t xml:space="preserve"> w spr</w:t>
      </w:r>
      <w:r w:rsidRPr="00E26EF6">
        <w:rPr>
          <w:color w:val="444444"/>
          <w:sz w:val="20"/>
          <w:szCs w:val="20"/>
        </w:rPr>
        <w:t>awie stosowania międzynarodowych standardów rachunkowości (</w:t>
      </w:r>
      <w:r w:rsidRPr="00E26EF6">
        <w:rPr>
          <w:rStyle w:val="Emphasis"/>
          <w:i w:val="0"/>
          <w:color w:val="444444"/>
          <w:sz w:val="20"/>
          <w:szCs w:val="20"/>
        </w:rPr>
        <w:t>Dz.U. L 243</w:t>
      </w:r>
      <w:r w:rsidR="00E26EF6" w:rsidRPr="00E26EF6">
        <w:rPr>
          <w:rStyle w:val="Emphasis"/>
          <w:i w:val="0"/>
          <w:color w:val="444444"/>
          <w:sz w:val="20"/>
          <w:szCs w:val="20"/>
        </w:rPr>
        <w:t xml:space="preserve"> z 1</w:t>
      </w:r>
      <w:r w:rsidRPr="00E26EF6">
        <w:rPr>
          <w:rStyle w:val="Emphasis"/>
          <w:i w:val="0"/>
          <w:color w:val="444444"/>
          <w:sz w:val="20"/>
          <w:szCs w:val="20"/>
        </w:rPr>
        <w:t xml:space="preserve">1.9.2002, </w:t>
      </w:r>
      <w:proofErr w:type="gramStart"/>
      <w:r w:rsidRPr="00E26EF6">
        <w:rPr>
          <w:rStyle w:val="Emphasis"/>
          <w:i w:val="0"/>
          <w:color w:val="444444"/>
          <w:sz w:val="20"/>
          <w:szCs w:val="20"/>
        </w:rPr>
        <w:t>s</w:t>
      </w:r>
      <w:proofErr w:type="gramEnd"/>
      <w:r w:rsidRPr="00E26EF6">
        <w:rPr>
          <w:rStyle w:val="Emphasis"/>
          <w:i w:val="0"/>
          <w:color w:val="444444"/>
          <w:sz w:val="20"/>
          <w:szCs w:val="20"/>
        </w:rPr>
        <w:t>. 1).</w:t>
      </w:r>
    </w:p>
    <w:p w14:paraId="42869AB5" w14:textId="77777777" w:rsidR="00915077" w:rsidRPr="00E26EF6" w:rsidRDefault="00915077">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3409"/>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518"/>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67F4"/>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5077"/>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133E"/>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6EF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EC5046"/>
    <w:rPr>
      <w:rFonts w:ascii="Verdana" w:hAnsi="Verdana" w:cs="Times New Roman"/>
      <w:b/>
      <w:sz w:val="24"/>
      <w:szCs w:val="24"/>
      <w:u w:val="single"/>
      <w:lang w:val="pl-PL"/>
    </w:rPr>
  </w:style>
  <w:style w:type="character" w:customStyle="1" w:styleId="Heading3Char">
    <w:name w:val="Heading 3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D63683-2039-46A1-A69F-3403F1A2D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233</Pages>
  <Words>70646</Words>
  <Characters>430221</Characters>
  <Application>Microsoft Office Word</Application>
  <DocSecurity>0</DocSecurity>
  <Lines>10869</Lines>
  <Paragraphs>5105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496368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OSTROWSKA Dorota (DGT)</cp:lastModifiedBy>
  <cp:revision>9</cp:revision>
  <dcterms:created xsi:type="dcterms:W3CDTF">2020-01-14T09:47:00Z</dcterms:created>
  <dcterms:modified xsi:type="dcterms:W3CDTF">2020-01-27T10:34:00Z</dcterms:modified>
</cp:coreProperties>
</file>