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85" w:rsidRPr="00947FEA" w:rsidRDefault="00AB7485" w:rsidP="00947FEA"/>
    <w:tbl>
      <w:tblPr>
        <w:tblW w:w="0" w:type="auto"/>
        <w:tblBorders>
          <w:top w:val="single" w:sz="6" w:space="0" w:color="BFBFBF"/>
          <w:left w:val="single" w:sz="6" w:space="0" w:color="BFBFBF"/>
          <w:bottom w:val="single" w:sz="6" w:space="0" w:color="BFBFBF"/>
          <w:right w:val="single" w:sz="6" w:space="0" w:color="BFBFBF"/>
          <w:insideH w:val="single" w:sz="6" w:space="0" w:color="BFBFBF"/>
          <w:insideV w:val="single" w:sz="6" w:space="0" w:color="BFBFBF"/>
        </w:tblBorders>
        <w:tblLook w:val="04A0" w:firstRow="1" w:lastRow="0" w:firstColumn="1" w:lastColumn="0" w:noHBand="0" w:noVBand="1"/>
      </w:tblPr>
      <w:tblGrid>
        <w:gridCol w:w="959"/>
        <w:gridCol w:w="9723"/>
      </w:tblGrid>
      <w:tr w:rsidR="00AB7485" w:rsidRPr="008F7F5A" w:rsidTr="008F7F5A">
        <w:tc>
          <w:tcPr>
            <w:tcW w:w="0" w:type="auto"/>
            <w:gridSpan w:val="2"/>
            <w:shd w:val="clear" w:color="auto" w:fill="9CC2E5"/>
            <w:hideMark/>
          </w:tcPr>
          <w:p w:rsidR="00AB7485" w:rsidRPr="008F7F5A" w:rsidRDefault="00AB7485" w:rsidP="008F7F5A">
            <w:pPr>
              <w:spacing w:beforeLines="40" w:before="96" w:afterLines="40" w:after="96"/>
              <w:jc w:val="center"/>
              <w:rPr>
                <w:b/>
                <w:color w:val="FFFFFF"/>
                <w:sz w:val="24"/>
              </w:rPr>
            </w:pPr>
            <w:r w:rsidRPr="008F7F5A">
              <w:rPr>
                <w:b/>
                <w:color w:val="FFFFFF"/>
                <w:sz w:val="24"/>
              </w:rPr>
              <w:t>Templates</w:t>
            </w:r>
          </w:p>
        </w:tc>
      </w:tr>
      <w:tr w:rsidR="00AB7485" w:rsidRPr="008F7F5A" w:rsidTr="00A57D72">
        <w:tc>
          <w:tcPr>
            <w:tcW w:w="959" w:type="dxa"/>
            <w:shd w:val="clear" w:color="auto" w:fill="BDD6EE"/>
            <w:hideMark/>
          </w:tcPr>
          <w:p w:rsidR="00AB7485" w:rsidRPr="008F7F5A" w:rsidRDefault="00AB7485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Template</w:t>
            </w:r>
          </w:p>
        </w:tc>
        <w:tc>
          <w:tcPr>
            <w:tcW w:w="9723" w:type="dxa"/>
            <w:shd w:val="clear" w:color="auto" w:fill="BDD6EE"/>
            <w:hideMark/>
          </w:tcPr>
          <w:p w:rsidR="00AB7485" w:rsidRPr="008F7F5A" w:rsidRDefault="00AB7485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Template Label</w:t>
            </w:r>
          </w:p>
        </w:tc>
      </w:tr>
      <w:tr w:rsidR="00F22E32" w:rsidRPr="008F7F5A" w:rsidTr="00577630">
        <w:tc>
          <w:tcPr>
            <w:tcW w:w="959" w:type="dxa"/>
            <w:shd w:val="clear" w:color="auto" w:fill="C2D69B"/>
          </w:tcPr>
          <w:p w:rsidR="00F22E32" w:rsidRPr="00F22E32" w:rsidRDefault="00F22E32" w:rsidP="00F22E32">
            <w:pPr>
              <w:pStyle w:val="New"/>
            </w:pPr>
            <w:bookmarkStart w:id="0" w:name="_Hlk379326578"/>
            <w:r w:rsidRPr="00F22E32">
              <w:t>F 18.00</w:t>
            </w:r>
          </w:p>
        </w:tc>
        <w:tc>
          <w:tcPr>
            <w:tcW w:w="9723" w:type="dxa"/>
            <w:shd w:val="clear" w:color="auto" w:fill="C2D69B"/>
          </w:tcPr>
          <w:p w:rsidR="00F22E32" w:rsidRPr="00F22E32" w:rsidRDefault="00F22E32" w:rsidP="00F22E32">
            <w:pPr>
              <w:pStyle w:val="New"/>
            </w:pPr>
            <w:r w:rsidRPr="00F22E32">
              <w:t>(NPE) Information on performing and non-performing exposures</w:t>
            </w:r>
          </w:p>
        </w:tc>
      </w:tr>
      <w:tr w:rsidR="00F22E32" w:rsidRPr="008F7F5A" w:rsidTr="00577630">
        <w:tc>
          <w:tcPr>
            <w:tcW w:w="959" w:type="dxa"/>
            <w:shd w:val="clear" w:color="auto" w:fill="C2D69B"/>
          </w:tcPr>
          <w:p w:rsidR="00F22E32" w:rsidRPr="00A57D72" w:rsidRDefault="00F22E32" w:rsidP="00F22E32">
            <w:pPr>
              <w:pStyle w:val="New"/>
            </w:pPr>
            <w:r w:rsidRPr="00F22E32">
              <w:t>F 19.00</w:t>
            </w:r>
          </w:p>
        </w:tc>
        <w:tc>
          <w:tcPr>
            <w:tcW w:w="9723" w:type="dxa"/>
            <w:shd w:val="clear" w:color="auto" w:fill="C2D69B"/>
          </w:tcPr>
          <w:p w:rsidR="00F22E32" w:rsidRPr="00A57D72" w:rsidRDefault="00F22E32" w:rsidP="00F22E32">
            <w:pPr>
              <w:pStyle w:val="New"/>
            </w:pPr>
            <w:r w:rsidRPr="00F22E32">
              <w:t>(FBE) Information forborn exposures</w:t>
            </w:r>
          </w:p>
        </w:tc>
      </w:tr>
      <w:bookmarkEnd w:id="0"/>
    </w:tbl>
    <w:p w:rsidR="00AB7485" w:rsidRPr="00947FEA" w:rsidRDefault="00AB7485" w:rsidP="00947FEA"/>
    <w:p w:rsidR="00AB7485" w:rsidRPr="00947FEA" w:rsidRDefault="00AB7485" w:rsidP="00947FEA"/>
    <w:tbl>
      <w:tblPr>
        <w:tblW w:w="10774" w:type="dxa"/>
        <w:tblBorders>
          <w:top w:val="single" w:sz="6" w:space="0" w:color="BFBFBF"/>
          <w:left w:val="single" w:sz="6" w:space="0" w:color="BFBFBF"/>
          <w:bottom w:val="single" w:sz="6" w:space="0" w:color="BFBFBF"/>
          <w:right w:val="single" w:sz="6" w:space="0" w:color="BFBFBF"/>
          <w:insideH w:val="single" w:sz="6" w:space="0" w:color="BFBFBF"/>
          <w:insideV w:val="single" w:sz="6" w:space="0" w:color="BFBFBF"/>
        </w:tblBorders>
        <w:tblLook w:val="04A0" w:firstRow="1" w:lastRow="0" w:firstColumn="1" w:lastColumn="0" w:noHBand="0" w:noVBand="1"/>
      </w:tblPr>
      <w:tblGrid>
        <w:gridCol w:w="1271"/>
        <w:gridCol w:w="1134"/>
        <w:gridCol w:w="8369"/>
      </w:tblGrid>
      <w:tr w:rsidR="00AB7485" w:rsidRPr="008F7F5A" w:rsidTr="008F7F5A">
        <w:tc>
          <w:tcPr>
            <w:tcW w:w="10774" w:type="dxa"/>
            <w:gridSpan w:val="3"/>
            <w:shd w:val="clear" w:color="auto" w:fill="9CC2E5"/>
            <w:hideMark/>
          </w:tcPr>
          <w:p w:rsidR="00AB7485" w:rsidRPr="008F7F5A" w:rsidRDefault="00AB7485" w:rsidP="008F7F5A">
            <w:pPr>
              <w:spacing w:beforeLines="40" w:before="96" w:afterLines="40" w:after="96"/>
              <w:jc w:val="center"/>
              <w:rPr>
                <w:b/>
                <w:color w:val="FFFFFF"/>
                <w:sz w:val="24"/>
              </w:rPr>
            </w:pPr>
            <w:bookmarkStart w:id="1" w:name="OLE_LINK4"/>
            <w:r w:rsidRPr="008F7F5A">
              <w:rPr>
                <w:b/>
                <w:color w:val="FFFFFF"/>
                <w:sz w:val="24"/>
              </w:rPr>
              <w:t>Tables</w:t>
            </w:r>
          </w:p>
        </w:tc>
      </w:tr>
      <w:tr w:rsidR="00AB7485" w:rsidRPr="008F7F5A" w:rsidTr="008F7F5A">
        <w:tc>
          <w:tcPr>
            <w:tcW w:w="1271" w:type="dxa"/>
            <w:shd w:val="clear" w:color="auto" w:fill="BDD6EE"/>
            <w:hideMark/>
          </w:tcPr>
          <w:p w:rsidR="00AB7485" w:rsidRPr="008F7F5A" w:rsidRDefault="00AB7485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Template</w:t>
            </w:r>
          </w:p>
        </w:tc>
        <w:tc>
          <w:tcPr>
            <w:tcW w:w="1134" w:type="dxa"/>
            <w:shd w:val="clear" w:color="auto" w:fill="BDD6EE"/>
            <w:hideMark/>
          </w:tcPr>
          <w:p w:rsidR="00AB7485" w:rsidRPr="008F7F5A" w:rsidRDefault="00AB7485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Table Code</w:t>
            </w:r>
          </w:p>
        </w:tc>
        <w:tc>
          <w:tcPr>
            <w:tcW w:w="8369" w:type="dxa"/>
            <w:shd w:val="clear" w:color="auto" w:fill="BDD6EE"/>
            <w:hideMark/>
          </w:tcPr>
          <w:p w:rsidR="00AB7485" w:rsidRPr="008F7F5A" w:rsidRDefault="00AB7485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Table Label</w:t>
            </w:r>
          </w:p>
        </w:tc>
      </w:tr>
      <w:tr w:rsidR="00A7203F" w:rsidRPr="00A7203F" w:rsidTr="00577630">
        <w:tc>
          <w:tcPr>
            <w:tcW w:w="127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bookmarkStart w:id="2" w:name="_Hlk379327115"/>
            <w:r w:rsidRPr="00A7203F">
              <w:t>F 18.00</w:t>
            </w:r>
          </w:p>
        </w:tc>
        <w:tc>
          <w:tcPr>
            <w:tcW w:w="113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F 18.00.a</w:t>
            </w:r>
          </w:p>
        </w:tc>
        <w:tc>
          <w:tcPr>
            <w:tcW w:w="836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Information on performing and non-performing exposures (I)</w:t>
            </w:r>
          </w:p>
        </w:tc>
      </w:tr>
      <w:tr w:rsidR="00A7203F" w:rsidRPr="00A7203F" w:rsidTr="00577630">
        <w:tc>
          <w:tcPr>
            <w:tcW w:w="127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F 18.00</w:t>
            </w:r>
          </w:p>
        </w:tc>
        <w:tc>
          <w:tcPr>
            <w:tcW w:w="113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F 18.00.b</w:t>
            </w:r>
          </w:p>
        </w:tc>
        <w:tc>
          <w:tcPr>
            <w:tcW w:w="836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Information on performing and non-performing exposures (II)</w:t>
            </w:r>
          </w:p>
        </w:tc>
      </w:tr>
      <w:tr w:rsidR="00A7203F" w:rsidRPr="00A7203F" w:rsidTr="00577630">
        <w:tc>
          <w:tcPr>
            <w:tcW w:w="127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F 18.00</w:t>
            </w:r>
          </w:p>
        </w:tc>
        <w:tc>
          <w:tcPr>
            <w:tcW w:w="113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F 18.00.c</w:t>
            </w:r>
          </w:p>
        </w:tc>
        <w:tc>
          <w:tcPr>
            <w:tcW w:w="836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Information on performing and non-performing exposures (III)</w:t>
            </w:r>
          </w:p>
        </w:tc>
      </w:tr>
      <w:tr w:rsidR="00A7203F" w:rsidRPr="00A7203F" w:rsidTr="00577630">
        <w:tc>
          <w:tcPr>
            <w:tcW w:w="127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F 19.00</w:t>
            </w:r>
          </w:p>
        </w:tc>
        <w:tc>
          <w:tcPr>
            <w:tcW w:w="113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F 19.00.a</w:t>
            </w:r>
          </w:p>
        </w:tc>
        <w:tc>
          <w:tcPr>
            <w:tcW w:w="836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Information forborn exposures (I)</w:t>
            </w:r>
          </w:p>
        </w:tc>
      </w:tr>
      <w:tr w:rsidR="00A7203F" w:rsidRPr="00A7203F" w:rsidTr="00577630">
        <w:tc>
          <w:tcPr>
            <w:tcW w:w="127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F 19.00</w:t>
            </w:r>
          </w:p>
        </w:tc>
        <w:tc>
          <w:tcPr>
            <w:tcW w:w="113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F 19.00.b</w:t>
            </w:r>
          </w:p>
        </w:tc>
        <w:tc>
          <w:tcPr>
            <w:tcW w:w="836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Information forborn exposures (II)</w:t>
            </w:r>
          </w:p>
        </w:tc>
      </w:tr>
      <w:tr w:rsidR="00A7203F" w:rsidRPr="00A7203F" w:rsidTr="00577630">
        <w:tc>
          <w:tcPr>
            <w:tcW w:w="1271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F 19.00</w:t>
            </w:r>
          </w:p>
        </w:tc>
        <w:tc>
          <w:tcPr>
            <w:tcW w:w="1134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F 19.00.c</w:t>
            </w:r>
          </w:p>
        </w:tc>
        <w:tc>
          <w:tcPr>
            <w:tcW w:w="836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A7203F" w:rsidRPr="00A7203F" w:rsidRDefault="00A7203F" w:rsidP="00A7203F">
            <w:pPr>
              <w:pStyle w:val="New"/>
            </w:pPr>
            <w:r w:rsidRPr="00A7203F">
              <w:t>Information forborn exposures (III)</w:t>
            </w:r>
          </w:p>
        </w:tc>
      </w:tr>
      <w:bookmarkEnd w:id="1"/>
      <w:bookmarkEnd w:id="2"/>
    </w:tbl>
    <w:p w:rsidR="00A7203F" w:rsidRDefault="00A7203F" w:rsidP="00947FEA"/>
    <w:p w:rsidR="00307738" w:rsidRPr="00947FEA" w:rsidRDefault="00A7203F" w:rsidP="00947FEA">
      <w:r>
        <w:br w:type="page"/>
      </w:r>
    </w:p>
    <w:tbl>
      <w:tblPr>
        <w:tblW w:w="10774" w:type="dxa"/>
        <w:tblBorders>
          <w:top w:val="single" w:sz="6" w:space="0" w:color="BFBFBF"/>
          <w:left w:val="single" w:sz="6" w:space="0" w:color="BFBFBF"/>
          <w:bottom w:val="single" w:sz="6" w:space="0" w:color="BFBFBF"/>
          <w:right w:val="single" w:sz="6" w:space="0" w:color="BFBFBF"/>
          <w:insideH w:val="single" w:sz="6" w:space="0" w:color="BFBFBF"/>
          <w:insideV w:val="single" w:sz="6" w:space="0" w:color="BFBFBF"/>
        </w:tblBorders>
        <w:tblLook w:val="04A0" w:firstRow="1" w:lastRow="0" w:firstColumn="1" w:lastColumn="0" w:noHBand="0" w:noVBand="1"/>
      </w:tblPr>
      <w:tblGrid>
        <w:gridCol w:w="858"/>
        <w:gridCol w:w="719"/>
        <w:gridCol w:w="992"/>
        <w:gridCol w:w="8205"/>
      </w:tblGrid>
      <w:tr w:rsidR="00CA2372" w:rsidRPr="008F7F5A" w:rsidTr="008F7F5A">
        <w:tc>
          <w:tcPr>
            <w:tcW w:w="10774" w:type="dxa"/>
            <w:gridSpan w:val="4"/>
            <w:shd w:val="clear" w:color="auto" w:fill="9CC2E5"/>
            <w:hideMark/>
          </w:tcPr>
          <w:p w:rsidR="00CA2372" w:rsidRPr="008F7F5A" w:rsidRDefault="00307738" w:rsidP="008F7F5A">
            <w:pPr>
              <w:spacing w:beforeLines="40" w:before="96" w:afterLines="40" w:after="96"/>
              <w:jc w:val="center"/>
              <w:rPr>
                <w:b/>
                <w:color w:val="FFFFFF"/>
                <w:sz w:val="24"/>
              </w:rPr>
            </w:pPr>
            <w:bookmarkStart w:id="3" w:name="OLE_LINK1"/>
            <w:bookmarkStart w:id="4" w:name="OLE_LINK2"/>
            <w:bookmarkStart w:id="5" w:name="OLE_LINK5"/>
            <w:r w:rsidRPr="008F7F5A">
              <w:rPr>
                <w:b/>
                <w:color w:val="FFFFFF"/>
                <w:sz w:val="24"/>
              </w:rPr>
              <w:br w:type="page"/>
            </w:r>
            <w:r w:rsidRPr="008F7F5A">
              <w:rPr>
                <w:b/>
                <w:color w:val="FFFFFF"/>
                <w:sz w:val="24"/>
              </w:rPr>
              <w:br w:type="page"/>
            </w:r>
            <w:r w:rsidRPr="008F7F5A">
              <w:rPr>
                <w:b/>
                <w:color w:val="FFFFFF"/>
                <w:sz w:val="24"/>
              </w:rPr>
              <w:br w:type="page"/>
            </w:r>
            <w:r w:rsidR="00AB7485" w:rsidRPr="008F7F5A">
              <w:rPr>
                <w:b/>
                <w:color w:val="FFFFFF"/>
                <w:sz w:val="24"/>
              </w:rPr>
              <w:br w:type="page"/>
            </w:r>
            <w:r w:rsidR="00CA2372" w:rsidRPr="008F7F5A">
              <w:rPr>
                <w:b/>
                <w:color w:val="FFFFFF"/>
                <w:sz w:val="24"/>
              </w:rPr>
              <w:t>Table Axes</w:t>
            </w:r>
          </w:p>
        </w:tc>
      </w:tr>
      <w:tr w:rsidR="00CA2372" w:rsidRPr="008F7F5A" w:rsidTr="0020275F">
        <w:tc>
          <w:tcPr>
            <w:tcW w:w="858" w:type="dxa"/>
            <w:shd w:val="clear" w:color="auto" w:fill="BDD6EE"/>
            <w:hideMark/>
          </w:tcPr>
          <w:p w:rsidR="00CA2372" w:rsidRPr="008F7F5A" w:rsidRDefault="00CA2372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Table Code</w:t>
            </w:r>
          </w:p>
        </w:tc>
        <w:tc>
          <w:tcPr>
            <w:tcW w:w="719" w:type="dxa"/>
            <w:shd w:val="clear" w:color="auto" w:fill="BDD6EE"/>
            <w:hideMark/>
          </w:tcPr>
          <w:p w:rsidR="00CA2372" w:rsidRPr="008F7F5A" w:rsidRDefault="00CA2372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Axis Type</w:t>
            </w:r>
          </w:p>
        </w:tc>
        <w:tc>
          <w:tcPr>
            <w:tcW w:w="992" w:type="dxa"/>
            <w:shd w:val="clear" w:color="auto" w:fill="BDD6EE"/>
            <w:hideMark/>
          </w:tcPr>
          <w:p w:rsidR="00CA2372" w:rsidRPr="008F7F5A" w:rsidRDefault="00CA2372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Ordinate Code</w:t>
            </w:r>
          </w:p>
        </w:tc>
        <w:tc>
          <w:tcPr>
            <w:tcW w:w="8205" w:type="dxa"/>
            <w:shd w:val="clear" w:color="auto" w:fill="BDD6EE"/>
            <w:hideMark/>
          </w:tcPr>
          <w:p w:rsidR="00CA2372" w:rsidRPr="008F7F5A" w:rsidRDefault="00CA2372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Ordinate Label</w:t>
            </w:r>
          </w:p>
        </w:tc>
      </w:tr>
      <w:tr w:rsidR="0020275F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20275F" w:rsidRPr="0020275F" w:rsidRDefault="0020275F" w:rsidP="0020275F">
            <w:pPr>
              <w:spacing w:beforeLines="40" w:before="96" w:afterLines="40" w:after="96"/>
              <w:rPr>
                <w:sz w:val="16"/>
              </w:rPr>
            </w:pPr>
            <w:bookmarkStart w:id="6" w:name="_Hlk379327568"/>
            <w:bookmarkEnd w:id="3"/>
            <w:bookmarkEnd w:id="4"/>
            <w:bookmarkEnd w:id="5"/>
            <w:r w:rsidRPr="0020275F">
              <w:rPr>
                <w:sz w:val="16"/>
              </w:rPr>
              <w:t>C 05.02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20275F" w:rsidRPr="0020275F" w:rsidRDefault="0020275F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20275F" w:rsidRPr="0020275F" w:rsidRDefault="0020275F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090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ABF8F"/>
          </w:tcPr>
          <w:p w:rsidR="0020275F" w:rsidRPr="0020275F" w:rsidRDefault="00585F08" w:rsidP="00585F08">
            <w:pPr>
              <w:pStyle w:val="Changed"/>
            </w:pPr>
            <w:r w:rsidRPr="00585F08">
              <w:t>3. Items that qualified for points f), g) or h) of Article 57 of 2006/48/EC, subject to the limit of Article 490</w:t>
            </w:r>
          </w:p>
        </w:tc>
      </w:tr>
      <w:tr w:rsidR="00585F08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585F08" w:rsidRPr="0020275F" w:rsidRDefault="00585F08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C 05.02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585F08" w:rsidRPr="0020275F" w:rsidRDefault="00585F08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585F08" w:rsidRPr="0020275F" w:rsidRDefault="00585F08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120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ABF8F"/>
          </w:tcPr>
          <w:p w:rsidR="00585F08" w:rsidRPr="00585F08" w:rsidRDefault="00585F08" w:rsidP="00585F08">
            <w:pPr>
              <w:pStyle w:val="Changed"/>
            </w:pPr>
            <w:r w:rsidRPr="00585F08">
              <w:t>3.2.1 Items with a call exercisable after the reporting date, and which meet the conditions in Article 63 of CRR after the date of effective maturity</w:t>
            </w:r>
          </w:p>
        </w:tc>
      </w:tr>
      <w:tr w:rsidR="00585F08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585F08" w:rsidRPr="0020275F" w:rsidRDefault="00585F08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C 05.02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585F08" w:rsidRPr="0020275F" w:rsidRDefault="00585F08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585F08" w:rsidRPr="0020275F" w:rsidRDefault="00585F08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130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ABF8F"/>
          </w:tcPr>
          <w:p w:rsidR="00585F08" w:rsidRPr="00585F08" w:rsidRDefault="00585F08" w:rsidP="00585F08">
            <w:pPr>
              <w:pStyle w:val="Changed"/>
            </w:pPr>
            <w:r w:rsidRPr="00585F08">
              <w:t>3.2.2 Items with a call exercisable after the reporting date, and which do not meet the conditions in Article 63 of CRR after the date of effective maturity</w:t>
            </w:r>
          </w:p>
        </w:tc>
      </w:tr>
      <w:tr w:rsidR="00585F08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585F08" w:rsidRPr="0020275F" w:rsidRDefault="00585F08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C 05.02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585F08" w:rsidRPr="0020275F" w:rsidRDefault="00585F08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585F08" w:rsidRPr="0020275F" w:rsidRDefault="00585F08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140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ABF8F"/>
          </w:tcPr>
          <w:p w:rsidR="00585F08" w:rsidRPr="00585F08" w:rsidRDefault="00585F08" w:rsidP="00585F08">
            <w:pPr>
              <w:pStyle w:val="Changed"/>
            </w:pPr>
            <w:r w:rsidRPr="00585F08">
              <w:t>3.2.3 Items with a call exercisable prior to or on 20 July 2011, and which do not meet the conditions in Article 63 of CRR after the date of effective maturity</w:t>
            </w:r>
          </w:p>
        </w:tc>
      </w:tr>
      <w:tr w:rsidR="00050E83" w:rsidRPr="00050E8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50E83" w:rsidRPr="00050E83" w:rsidRDefault="00050E83" w:rsidP="00050E83">
            <w:pPr>
              <w:pStyle w:val="New"/>
            </w:pPr>
            <w:r w:rsidRPr="00050E83">
              <w:t>F 06.00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50E83" w:rsidRPr="00050E83" w:rsidRDefault="00050E83" w:rsidP="00050E83">
            <w:pPr>
              <w:pStyle w:val="New"/>
            </w:pPr>
            <w:r w:rsidRPr="00050E8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50E83" w:rsidRPr="00050E83" w:rsidRDefault="00050E83" w:rsidP="00050E83">
            <w:pPr>
              <w:pStyle w:val="New"/>
            </w:pPr>
            <w:r w:rsidRPr="00050E83">
              <w:t xml:space="preserve">012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50E83" w:rsidRPr="00050E83" w:rsidRDefault="00050E83" w:rsidP="00050E83">
            <w:pPr>
              <w:pStyle w:val="New"/>
            </w:pPr>
            <w:r w:rsidRPr="00050E83">
              <w:t>Of which: non-performing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08.01.a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037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Hedge accounting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08.01.b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037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Hedge accounting</w:t>
            </w:r>
          </w:p>
        </w:tc>
      </w:tr>
      <w:tr w:rsidR="0020275F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F 09.01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020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Of which: Defaulted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09.01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  <w:rPr>
                <w:color w:val="000000"/>
              </w:rPr>
            </w:pPr>
            <w:r w:rsidRPr="00043813">
              <w:rPr>
                <w:color w:val="000000"/>
              </w:rPr>
              <w:t xml:space="preserve">021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  <w:rPr>
                <w:color w:val="000000"/>
              </w:rPr>
            </w:pPr>
            <w:r w:rsidRPr="00043813">
              <w:rPr>
                <w:color w:val="000000"/>
              </w:rPr>
              <w:t>Of which: non-performing</w:t>
            </w:r>
          </w:p>
        </w:tc>
      </w:tr>
      <w:tr w:rsidR="0020275F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F 09.01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100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Of which: Defaulted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09.01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  <w:rPr>
                <w:color w:val="000000"/>
              </w:rPr>
            </w:pPr>
            <w:r w:rsidRPr="00043813">
              <w:rPr>
                <w:color w:val="000000"/>
              </w:rPr>
              <w:t xml:space="preserve">101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  <w:rPr>
                <w:color w:val="000000"/>
              </w:rPr>
            </w:pPr>
            <w:r w:rsidRPr="00043813">
              <w:rPr>
                <w:color w:val="000000"/>
              </w:rPr>
              <w:t>Of which: non-performing</w:t>
            </w:r>
          </w:p>
        </w:tc>
      </w:tr>
      <w:tr w:rsidR="0020275F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F 09.01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180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043813">
            <w:pPr>
              <w:pStyle w:val="Deleted"/>
            </w:pPr>
            <w:r w:rsidRPr="0020275F">
              <w:t>Of which: Defaulted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09.01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181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non-performing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Gross carrying amount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Performing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Not past due or Past due &lt;= 30 days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Past due &gt; 30 days &lt;= 60 days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Past due &gt; 60 days &lt;= 90 days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Non-performing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Unlikely to pay that are not past-due or past-due &lt; 90 days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Past due &gt; 90 days &lt;= 180 days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Past due &gt; 180 days &lt;= 1 year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Past due &gt; 1 year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defaulted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impaired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Collateral received on non-performing </w:t>
            </w:r>
            <w:proofErr w:type="spellStart"/>
            <w:r w:rsidRPr="00043813">
              <w:t>exposues</w:t>
            </w:r>
            <w:proofErr w:type="spellEnd"/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lastRenderedPageBreak/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Small and Medium-sized Enterprises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Commercial real estate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Residential mortgage loans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Credit for consumption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AMORTISED COST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FAIR VALUE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 commitments given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lastRenderedPageBreak/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Financial guarantees given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Commitments given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OFF-BALANCE SHEET EXPOSURES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Accumulated impairment, accumulated changes in fair value due to credit risk and provisions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on performing exposures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on non-performing exposures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Unlikely to pay that are not past-due or past-due &lt; 90 days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Past due &gt; 90 days &lt;= 180 days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Past due &gt; 180 days &lt;= 1 year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Past due &gt; 1 year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lastRenderedPageBreak/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Small and Medium-sized Enterprises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Commercial real estate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Residential mortgage loans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Credit for consumption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AMORTISED COST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FAIR VALUE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 commitments given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Financial guarantees given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lastRenderedPageBreak/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Commitments given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OFF-BALANCE SHEET EXPOSURES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Financial guarantees received on non-performing exposures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Small and Medium-sized Enterprises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Commercial real estate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Residential mortgage loans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Credit for consumption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AMORTISED COST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lastRenderedPageBreak/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FAIR VALUE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 commitments given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Financial guarantees given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Commitments given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490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18.00.c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550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OFF-BALANCE SHEET EXPOSURES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Gross carrying amount of exposures with forbearance measures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Performing exposures with forbearance measures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Instruments with modifications in their terms and conditions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Refinancing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Performing forborne exposures under probation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Non-performing exposures with forbearance measures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lastRenderedPageBreak/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Instruments with modifications in their terms and conditions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Refinancing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Defaulted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Impaired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of which: </w:t>
            </w:r>
            <w:proofErr w:type="spellStart"/>
            <w:r w:rsidRPr="00043813">
              <w:t>forberance</w:t>
            </w:r>
            <w:proofErr w:type="spellEnd"/>
            <w:r w:rsidRPr="00043813">
              <w:t xml:space="preserve"> of non-performing exposures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Collateral received on exposures with forbearance measures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Small and Medium-sized Enterprises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Commercial real estate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Residential mortgage loans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Credit for consumption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AMORTISED COST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lastRenderedPageBreak/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FAIR VALUE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 commitments given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Accumulated impairment, accumulated changes in fair value due to credit risk and provisions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on </w:t>
            </w:r>
            <w:proofErr w:type="spellStart"/>
            <w:r w:rsidRPr="00043813">
              <w:t>perfoming</w:t>
            </w:r>
            <w:proofErr w:type="spellEnd"/>
            <w:r w:rsidRPr="00043813">
              <w:t xml:space="preserve"> exposures with forbearance measures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on non-performing exposures with forbearance measures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Instruments with modifications in their terms and conditions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Refinancing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Small and Medium-sized Enterprises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Commercial real estate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Residential mortgage loans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Credit for consumption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AMORTISED COST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lastRenderedPageBreak/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FAIR VALUE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19.00.b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 commitments given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Financial guarantees received on exposures with forbearance measures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090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Small and Medium-sized Enterprises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Commercial real estate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Residential mortgage loans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Of which: Credit for consumption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AMORTISED COST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190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securities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250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Loans and advances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lastRenderedPageBreak/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260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Central banks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270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General governments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280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Credit institutions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290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Other 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300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Non-financial corporations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310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Households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320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AT FAIR VALUE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330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DEBT INSTRUMENTS other than HFT</w:t>
            </w:r>
          </w:p>
        </w:tc>
      </w:tr>
      <w:tr w:rsidR="00043813" w:rsidRPr="00043813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F 19.00.c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 xml:space="preserve">340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043813" w:rsidRPr="00043813" w:rsidRDefault="00043813" w:rsidP="00043813">
            <w:pPr>
              <w:pStyle w:val="New"/>
            </w:pPr>
            <w:r w:rsidRPr="00043813">
              <w:t>Loan commitments given</w:t>
            </w:r>
          </w:p>
        </w:tc>
      </w:tr>
      <w:tr w:rsidR="0020275F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F 20.04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020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Of which: defaulted</w:t>
            </w:r>
          </w:p>
        </w:tc>
      </w:tr>
      <w:tr w:rsidR="008D06D5" w:rsidRPr="008D06D5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F 20.04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 xml:space="preserve">022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Of which: debt forbearance</w:t>
            </w:r>
          </w:p>
        </w:tc>
      </w:tr>
      <w:tr w:rsidR="008D06D5" w:rsidRPr="008D06D5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F 20.04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 xml:space="preserve">025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Of which: non-performing</w:t>
            </w:r>
          </w:p>
        </w:tc>
      </w:tr>
      <w:tr w:rsidR="0020275F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F 20.05.a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020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Of which: defaulted</w:t>
            </w:r>
          </w:p>
        </w:tc>
      </w:tr>
      <w:tr w:rsidR="008D06D5" w:rsidRPr="008D06D5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F 20.05.a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 xml:space="preserve">022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Of which: debt forbearance</w:t>
            </w:r>
          </w:p>
        </w:tc>
      </w:tr>
      <w:tr w:rsidR="008D06D5" w:rsidRPr="008D06D5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F 20.05.a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 xml:space="preserve">025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Of which: non-performing</w:t>
            </w:r>
          </w:p>
        </w:tc>
      </w:tr>
      <w:tr w:rsidR="008D06D5" w:rsidRPr="008D06D5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F 20.07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 xml:space="preserve">012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Of which: non-performing</w:t>
            </w:r>
          </w:p>
        </w:tc>
      </w:tr>
      <w:tr w:rsidR="0020275F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F 30.02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020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of which: non-performing</w:t>
            </w:r>
          </w:p>
        </w:tc>
      </w:tr>
      <w:tr w:rsidR="008D06D5" w:rsidRPr="008D06D5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F 30.02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 xml:space="preserve">021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of which: non-performing</w:t>
            </w:r>
          </w:p>
        </w:tc>
      </w:tr>
      <w:tr w:rsidR="0020275F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F 30.02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130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D99594"/>
          </w:tcPr>
          <w:p w:rsidR="0020275F" w:rsidRPr="0020275F" w:rsidRDefault="0020275F" w:rsidP="008D06D5">
            <w:pPr>
              <w:pStyle w:val="Deleted"/>
            </w:pPr>
            <w:r w:rsidRPr="0020275F">
              <w:t>of which: defaulted</w:t>
            </w:r>
          </w:p>
        </w:tc>
      </w:tr>
      <w:tr w:rsidR="008D06D5" w:rsidRPr="008D06D5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F 30.02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Row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  <w:rPr>
                <w:color w:val="000000"/>
              </w:rPr>
            </w:pPr>
            <w:r w:rsidRPr="008D06D5">
              <w:rPr>
                <w:color w:val="000000"/>
              </w:rPr>
              <w:t xml:space="preserve">131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  <w:rPr>
                <w:color w:val="000000"/>
              </w:rPr>
            </w:pPr>
            <w:r w:rsidRPr="008D06D5">
              <w:rPr>
                <w:color w:val="000000"/>
              </w:rPr>
              <w:t>of which: non-performing</w:t>
            </w:r>
          </w:p>
        </w:tc>
      </w:tr>
      <w:tr w:rsidR="0020275F" w:rsidRPr="0020275F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20275F" w:rsidRPr="0020275F" w:rsidRDefault="0020275F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F 40.01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20275F" w:rsidRPr="0020275F" w:rsidRDefault="0020275F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</w:tcPr>
          <w:p w:rsidR="0020275F" w:rsidRPr="0020275F" w:rsidRDefault="0020275F" w:rsidP="0020275F">
            <w:pPr>
              <w:spacing w:beforeLines="40" w:before="96" w:afterLines="40" w:after="96"/>
              <w:rPr>
                <w:sz w:val="16"/>
              </w:rPr>
            </w:pPr>
            <w:r w:rsidRPr="0020275F">
              <w:rPr>
                <w:sz w:val="16"/>
              </w:rPr>
              <w:t>090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ABF8F"/>
          </w:tcPr>
          <w:p w:rsidR="0020275F" w:rsidRPr="0020275F" w:rsidRDefault="008D06D5" w:rsidP="008D06D5">
            <w:pPr>
              <w:pStyle w:val="Changed"/>
            </w:pPr>
            <w:r w:rsidRPr="008D06D5">
              <w:t>Residence of investee</w:t>
            </w:r>
          </w:p>
        </w:tc>
      </w:tr>
      <w:tr w:rsidR="008D06D5" w:rsidRPr="008D06D5" w:rsidTr="00577630">
        <w:tc>
          <w:tcPr>
            <w:tcW w:w="858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F 40.01</w:t>
            </w:r>
          </w:p>
        </w:tc>
        <w:tc>
          <w:tcPr>
            <w:tcW w:w="719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Column</w:t>
            </w:r>
          </w:p>
        </w:tc>
        <w:tc>
          <w:tcPr>
            <w:tcW w:w="9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 xml:space="preserve">095 </w:t>
            </w:r>
          </w:p>
        </w:tc>
        <w:tc>
          <w:tcPr>
            <w:tcW w:w="820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8D06D5" w:rsidRPr="008D06D5" w:rsidRDefault="008D06D5" w:rsidP="008D06D5">
            <w:pPr>
              <w:pStyle w:val="New"/>
            </w:pPr>
            <w:r w:rsidRPr="008D06D5">
              <w:t>Sector of investee</w:t>
            </w:r>
          </w:p>
        </w:tc>
      </w:tr>
      <w:bookmarkEnd w:id="6"/>
    </w:tbl>
    <w:p w:rsidR="00CD2594" w:rsidRPr="00947FEA" w:rsidRDefault="00CD2594" w:rsidP="00947FEA"/>
    <w:p w:rsidR="00D14408" w:rsidRPr="00947FEA" w:rsidRDefault="00085594" w:rsidP="00947FEA">
      <w:r>
        <w:br w:type="page"/>
      </w:r>
    </w:p>
    <w:tbl>
      <w:tblPr>
        <w:tblW w:w="10682" w:type="dxa"/>
        <w:tblBorders>
          <w:top w:val="single" w:sz="6" w:space="0" w:color="BFBFBF"/>
          <w:left w:val="single" w:sz="6" w:space="0" w:color="BFBFBF"/>
          <w:bottom w:val="single" w:sz="6" w:space="0" w:color="BFBFBF"/>
          <w:right w:val="single" w:sz="6" w:space="0" w:color="BFBFBF"/>
          <w:insideH w:val="single" w:sz="6" w:space="0" w:color="BFBFBF"/>
          <w:insideV w:val="single" w:sz="6" w:space="0" w:color="BFBFBF"/>
        </w:tblBorders>
        <w:tblLook w:val="04A0" w:firstRow="1" w:lastRow="0" w:firstColumn="1" w:lastColumn="0" w:noHBand="0" w:noVBand="1"/>
      </w:tblPr>
      <w:tblGrid>
        <w:gridCol w:w="937"/>
        <w:gridCol w:w="861"/>
        <w:gridCol w:w="4547"/>
        <w:gridCol w:w="4337"/>
      </w:tblGrid>
      <w:tr w:rsidR="00606A61" w:rsidRPr="008F7F5A" w:rsidTr="00F86FDD">
        <w:tc>
          <w:tcPr>
            <w:tcW w:w="10682" w:type="dxa"/>
            <w:gridSpan w:val="4"/>
            <w:shd w:val="clear" w:color="auto" w:fill="9CC2E5"/>
            <w:hideMark/>
          </w:tcPr>
          <w:p w:rsidR="00606A61" w:rsidRPr="008F7F5A" w:rsidRDefault="00606A61" w:rsidP="008F7F5A">
            <w:pPr>
              <w:spacing w:beforeLines="40" w:before="96" w:afterLines="40" w:after="96"/>
              <w:jc w:val="center"/>
              <w:rPr>
                <w:b/>
                <w:color w:val="FFFFFF"/>
                <w:sz w:val="24"/>
              </w:rPr>
            </w:pPr>
            <w:r w:rsidRPr="008F7F5A">
              <w:rPr>
                <w:b/>
                <w:color w:val="FFFFFF"/>
                <w:sz w:val="24"/>
              </w:rPr>
              <w:t>Named Table Axes</w:t>
            </w:r>
          </w:p>
        </w:tc>
      </w:tr>
      <w:tr w:rsidR="00606A61" w:rsidRPr="00B47442" w:rsidTr="00AE547A">
        <w:tc>
          <w:tcPr>
            <w:tcW w:w="937" w:type="dxa"/>
            <w:shd w:val="clear" w:color="auto" w:fill="BDD6EE"/>
            <w:hideMark/>
          </w:tcPr>
          <w:p w:rsidR="00606A61" w:rsidRPr="00B47442" w:rsidRDefault="00606A61" w:rsidP="00B47442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B47442">
              <w:rPr>
                <w:rFonts w:eastAsia="Times New Roman"/>
                <w:b/>
                <w:sz w:val="16"/>
                <w:szCs w:val="16"/>
              </w:rPr>
              <w:t>Table Code</w:t>
            </w:r>
          </w:p>
        </w:tc>
        <w:tc>
          <w:tcPr>
            <w:tcW w:w="861" w:type="dxa"/>
            <w:shd w:val="clear" w:color="auto" w:fill="BDD6EE"/>
            <w:hideMark/>
          </w:tcPr>
          <w:p w:rsidR="00606A61" w:rsidRPr="00B47442" w:rsidRDefault="00606A61" w:rsidP="00B47442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B47442">
              <w:rPr>
                <w:rFonts w:eastAsia="Times New Roman"/>
                <w:b/>
                <w:sz w:val="16"/>
                <w:szCs w:val="16"/>
              </w:rPr>
              <w:t>Axis</w:t>
            </w:r>
          </w:p>
        </w:tc>
        <w:tc>
          <w:tcPr>
            <w:tcW w:w="4547" w:type="dxa"/>
            <w:shd w:val="clear" w:color="auto" w:fill="BDD6EE"/>
            <w:hideMark/>
          </w:tcPr>
          <w:p w:rsidR="00606A61" w:rsidRPr="00B47442" w:rsidRDefault="00606A61" w:rsidP="00B47442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B47442">
              <w:rPr>
                <w:rFonts w:eastAsia="Times New Roman"/>
                <w:b/>
                <w:sz w:val="16"/>
                <w:szCs w:val="16"/>
              </w:rPr>
              <w:t>Axis Label</w:t>
            </w:r>
          </w:p>
        </w:tc>
        <w:tc>
          <w:tcPr>
            <w:tcW w:w="4337" w:type="dxa"/>
            <w:shd w:val="clear" w:color="auto" w:fill="BDD6EE"/>
          </w:tcPr>
          <w:p w:rsidR="00606A61" w:rsidRPr="00B47442" w:rsidRDefault="00606A61" w:rsidP="00B47442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Values r</w:t>
            </w:r>
            <w:r w:rsidRPr="0017717A">
              <w:rPr>
                <w:rFonts w:eastAsia="Times New Roman"/>
                <w:b/>
                <w:sz w:val="16"/>
                <w:szCs w:val="16"/>
              </w:rPr>
              <w:t>estricted to non-root members of hierarchy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09.01.a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Country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GA5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09.01.b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Country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GA5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09.02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Country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GA5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09.03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Country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GA5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15.00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Country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GA5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51.00.w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AE547A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51.00.x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52.00.w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52.00.x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52.00.y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52.00.z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53.00.w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53.00.x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53.00.y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54.00.w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60.00.w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60.00.x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61.00.w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 61.00.x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Significant currency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>
              <w:t>CU3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F 20.04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Country of residence of the counterparty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 w:rsidRPr="00AE547A">
              <w:t>GA5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F 20.05.a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Country of residence of the counterparty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 w:rsidRPr="00AE547A">
              <w:t>GA5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F 20.05.b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Country of residence of the counterparty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 w:rsidRPr="00AE547A">
              <w:t>GA5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F 20.06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Country of residence of the counterparty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 w:rsidRPr="00AE547A">
              <w:t>GA5</w:t>
            </w:r>
          </w:p>
        </w:tc>
      </w:tr>
      <w:tr w:rsidR="00606A61" w:rsidRPr="00606A61" w:rsidTr="00577630">
        <w:tc>
          <w:tcPr>
            <w:tcW w:w="93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F 20.07</w:t>
            </w:r>
          </w:p>
        </w:tc>
        <w:tc>
          <w:tcPr>
            <w:tcW w:w="861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Sheets</w:t>
            </w:r>
          </w:p>
        </w:tc>
        <w:tc>
          <w:tcPr>
            <w:tcW w:w="4547" w:type="dxa"/>
            <w:shd w:val="clear" w:color="auto" w:fill="auto"/>
          </w:tcPr>
          <w:p w:rsidR="00606A61" w:rsidRPr="00606A61" w:rsidRDefault="00606A61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606A61">
              <w:rPr>
                <w:color w:val="auto"/>
                <w:sz w:val="16"/>
              </w:rPr>
              <w:t>Country of residence of the counterparty</w:t>
            </w:r>
          </w:p>
        </w:tc>
        <w:tc>
          <w:tcPr>
            <w:tcW w:w="4337" w:type="dxa"/>
            <w:shd w:val="clear" w:color="auto" w:fill="C2D69B"/>
          </w:tcPr>
          <w:p w:rsidR="00606A61" w:rsidRPr="00606A61" w:rsidRDefault="00AE547A" w:rsidP="00606A61">
            <w:pPr>
              <w:pStyle w:val="New"/>
            </w:pPr>
            <w:r w:rsidRPr="00AE547A">
              <w:t>GA5</w:t>
            </w:r>
          </w:p>
        </w:tc>
      </w:tr>
    </w:tbl>
    <w:p w:rsidR="00D14408" w:rsidRPr="00947FEA" w:rsidRDefault="00D14408" w:rsidP="00947FEA"/>
    <w:p w:rsidR="00D14408" w:rsidRPr="00947FEA" w:rsidRDefault="00CD2594" w:rsidP="00947FEA">
      <w:r w:rsidRPr="00947FEA">
        <w:br w:type="page"/>
      </w:r>
    </w:p>
    <w:tbl>
      <w:tblPr>
        <w:tblW w:w="10774" w:type="dxa"/>
        <w:tblBorders>
          <w:top w:val="single" w:sz="6" w:space="0" w:color="BFBFBF"/>
          <w:left w:val="single" w:sz="6" w:space="0" w:color="BFBFBF"/>
          <w:bottom w:val="single" w:sz="6" w:space="0" w:color="BFBFBF"/>
          <w:right w:val="single" w:sz="6" w:space="0" w:color="BFBFBF"/>
          <w:insideH w:val="single" w:sz="6" w:space="0" w:color="BFBFBF"/>
          <w:insideV w:val="single" w:sz="6" w:space="0" w:color="BFBFBF"/>
        </w:tblBorders>
        <w:tblLook w:val="04A0" w:firstRow="1" w:lastRow="0" w:firstColumn="1" w:lastColumn="0" w:noHBand="0" w:noVBand="1"/>
      </w:tblPr>
      <w:tblGrid>
        <w:gridCol w:w="1211"/>
        <w:gridCol w:w="3326"/>
        <w:gridCol w:w="6237"/>
      </w:tblGrid>
      <w:tr w:rsidR="00B66B26" w:rsidRPr="008F7F5A" w:rsidTr="008F7F5A">
        <w:tc>
          <w:tcPr>
            <w:tcW w:w="10774" w:type="dxa"/>
            <w:gridSpan w:val="3"/>
            <w:shd w:val="clear" w:color="auto" w:fill="9CC2E5"/>
            <w:hideMark/>
          </w:tcPr>
          <w:p w:rsidR="00B66B26" w:rsidRPr="008F7F5A" w:rsidRDefault="00CD2594" w:rsidP="008F7F5A">
            <w:pPr>
              <w:spacing w:beforeLines="40" w:before="96" w:afterLines="40" w:after="96"/>
              <w:jc w:val="center"/>
              <w:rPr>
                <w:b/>
                <w:color w:val="FFFFFF"/>
                <w:sz w:val="24"/>
              </w:rPr>
            </w:pPr>
            <w:bookmarkStart w:id="7" w:name="OLE_LINK7"/>
            <w:r w:rsidRPr="008F7F5A">
              <w:rPr>
                <w:b/>
                <w:color w:val="FFFFFF"/>
                <w:sz w:val="24"/>
              </w:rPr>
              <w:br w:type="page"/>
            </w:r>
            <w:r w:rsidR="00B66B26" w:rsidRPr="008F7F5A">
              <w:rPr>
                <w:b/>
                <w:color w:val="FFFFFF"/>
                <w:sz w:val="24"/>
              </w:rPr>
              <w:t>Dimensions</w:t>
            </w:r>
          </w:p>
        </w:tc>
      </w:tr>
      <w:tr w:rsidR="0018752F" w:rsidRPr="008F7F5A" w:rsidTr="008F7F5A">
        <w:tc>
          <w:tcPr>
            <w:tcW w:w="1211" w:type="dxa"/>
            <w:shd w:val="clear" w:color="auto" w:fill="BDD6EE"/>
            <w:hideMark/>
          </w:tcPr>
          <w:p w:rsidR="0018752F" w:rsidRPr="008F7F5A" w:rsidRDefault="0018752F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Dimension Code</w:t>
            </w:r>
          </w:p>
        </w:tc>
        <w:tc>
          <w:tcPr>
            <w:tcW w:w="3326" w:type="dxa"/>
            <w:shd w:val="clear" w:color="auto" w:fill="BDD6EE"/>
            <w:hideMark/>
          </w:tcPr>
          <w:p w:rsidR="0018752F" w:rsidRPr="008F7F5A" w:rsidRDefault="0018752F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Dimension Label</w:t>
            </w:r>
          </w:p>
        </w:tc>
        <w:tc>
          <w:tcPr>
            <w:tcW w:w="6237" w:type="dxa"/>
            <w:shd w:val="clear" w:color="auto" w:fill="BDD6EE"/>
          </w:tcPr>
          <w:p w:rsidR="0018752F" w:rsidRPr="008F7F5A" w:rsidRDefault="0018752F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Dimension Description</w:t>
            </w:r>
          </w:p>
        </w:tc>
      </w:tr>
      <w:tr w:rsidR="0018752F" w:rsidRPr="008F7F5A" w:rsidTr="008209EC">
        <w:tc>
          <w:tcPr>
            <w:tcW w:w="1211" w:type="dxa"/>
            <w:shd w:val="clear" w:color="auto" w:fill="FFFFFF"/>
          </w:tcPr>
          <w:p w:rsidR="0018752F" w:rsidRPr="008F7F5A" w:rsidRDefault="0018752F" w:rsidP="008F7F5A">
            <w:pPr>
              <w:spacing w:beforeLines="40" w:before="96" w:afterLines="40" w:after="96"/>
              <w:rPr>
                <w:sz w:val="16"/>
              </w:rPr>
            </w:pPr>
            <w:r w:rsidRPr="008F7F5A">
              <w:rPr>
                <w:sz w:val="16"/>
              </w:rPr>
              <w:t>ECW</w:t>
            </w:r>
          </w:p>
        </w:tc>
        <w:tc>
          <w:tcPr>
            <w:tcW w:w="3326" w:type="dxa"/>
            <w:shd w:val="clear" w:color="auto" w:fill="FDE9D9"/>
          </w:tcPr>
          <w:p w:rsidR="0018752F" w:rsidRPr="008209EC" w:rsidRDefault="0018752F" w:rsidP="00AD58EA">
            <w:pPr>
              <w:pStyle w:val="Changed"/>
              <w:rPr>
                <w:color w:val="auto"/>
              </w:rPr>
            </w:pPr>
            <w:r w:rsidRPr="008209EC">
              <w:rPr>
                <w:color w:val="auto"/>
              </w:rPr>
              <w:t>Exposure classes used for weighting purposes</w:t>
            </w:r>
          </w:p>
        </w:tc>
        <w:tc>
          <w:tcPr>
            <w:tcW w:w="6237" w:type="dxa"/>
            <w:shd w:val="clear" w:color="auto" w:fill="auto"/>
          </w:tcPr>
          <w:p w:rsidR="0018752F" w:rsidRPr="008209EC" w:rsidRDefault="0018752F" w:rsidP="00AD58EA">
            <w:pPr>
              <w:pStyle w:val="Changed"/>
              <w:rPr>
                <w:color w:val="auto"/>
              </w:rPr>
            </w:pPr>
            <w:r w:rsidRPr="008209EC">
              <w:rPr>
                <w:color w:val="auto"/>
              </w:rPr>
              <w:t>For Leverage Ratio templates, defines the assimilated EC used for weighting purposes</w:t>
            </w:r>
          </w:p>
        </w:tc>
      </w:tr>
      <w:tr w:rsidR="00AD58EA" w:rsidRPr="008F7F5A" w:rsidTr="00577630">
        <w:tc>
          <w:tcPr>
            <w:tcW w:w="1211" w:type="dxa"/>
            <w:shd w:val="clear" w:color="auto" w:fill="C2D69B"/>
          </w:tcPr>
          <w:p w:rsidR="00AD58EA" w:rsidRPr="008F7F5A" w:rsidRDefault="00AD58EA" w:rsidP="008209EC">
            <w:pPr>
              <w:pStyle w:val="New"/>
            </w:pPr>
            <w:r>
              <w:t>FBS</w:t>
            </w:r>
          </w:p>
        </w:tc>
        <w:tc>
          <w:tcPr>
            <w:tcW w:w="3326" w:type="dxa"/>
            <w:shd w:val="clear" w:color="auto" w:fill="C2D69B"/>
          </w:tcPr>
          <w:p w:rsidR="00AD58EA" w:rsidRPr="008F7F5A" w:rsidRDefault="00AD58EA" w:rsidP="008209EC">
            <w:pPr>
              <w:pStyle w:val="New"/>
            </w:pPr>
            <w:r w:rsidRPr="00AD58EA">
              <w:t>Forbearance status</w:t>
            </w:r>
          </w:p>
        </w:tc>
        <w:tc>
          <w:tcPr>
            <w:tcW w:w="6237" w:type="dxa"/>
            <w:shd w:val="clear" w:color="auto" w:fill="C2D69B"/>
          </w:tcPr>
          <w:p w:rsidR="00AD58EA" w:rsidRPr="00F86FDD" w:rsidRDefault="00F86FDD" w:rsidP="00F86FDD">
            <w:pPr>
              <w:pStyle w:val="New"/>
            </w:pPr>
            <w:r w:rsidRPr="00F86FDD">
              <w:t>Identifies the financial assets and off-balance sheet items with forbearance measures and, if applicable, the type of forbearance measures</w:t>
            </w:r>
          </w:p>
        </w:tc>
      </w:tr>
      <w:tr w:rsidR="00AD58EA" w:rsidRPr="008F7F5A" w:rsidTr="00577630">
        <w:tc>
          <w:tcPr>
            <w:tcW w:w="1211" w:type="dxa"/>
            <w:shd w:val="clear" w:color="auto" w:fill="C2D69B"/>
          </w:tcPr>
          <w:p w:rsidR="00AD58EA" w:rsidRPr="008F7F5A" w:rsidRDefault="00AD58EA" w:rsidP="008209EC">
            <w:pPr>
              <w:pStyle w:val="New"/>
            </w:pPr>
            <w:r>
              <w:t>PFS</w:t>
            </w:r>
          </w:p>
        </w:tc>
        <w:tc>
          <w:tcPr>
            <w:tcW w:w="3326" w:type="dxa"/>
            <w:shd w:val="clear" w:color="auto" w:fill="C2D69B"/>
          </w:tcPr>
          <w:p w:rsidR="00AD58EA" w:rsidRPr="008F7F5A" w:rsidRDefault="00AD58EA" w:rsidP="008209EC">
            <w:pPr>
              <w:pStyle w:val="New"/>
            </w:pPr>
            <w:r w:rsidRPr="00AD58EA">
              <w:t>Performing status</w:t>
            </w:r>
          </w:p>
        </w:tc>
        <w:tc>
          <w:tcPr>
            <w:tcW w:w="6237" w:type="dxa"/>
            <w:shd w:val="clear" w:color="auto" w:fill="C2D69B"/>
          </w:tcPr>
          <w:p w:rsidR="00AD58EA" w:rsidRPr="00F86FDD" w:rsidRDefault="00F86FDD" w:rsidP="00F86FDD">
            <w:pPr>
              <w:pStyle w:val="New"/>
            </w:pPr>
            <w:r w:rsidRPr="00F86FDD">
              <w:t>Identifies the performing status of financial assets and off-balance sheet items (performing, non-performing...)</w:t>
            </w:r>
          </w:p>
        </w:tc>
      </w:tr>
      <w:bookmarkEnd w:id="7"/>
    </w:tbl>
    <w:p w:rsidR="00AE55B5" w:rsidRPr="00947FEA" w:rsidRDefault="00AE55B5" w:rsidP="00947FEA"/>
    <w:p w:rsidR="003F1CBC" w:rsidRPr="00947FEA" w:rsidRDefault="003F1CBC" w:rsidP="00947FEA"/>
    <w:p w:rsidR="003F1CBC" w:rsidRPr="00947FEA" w:rsidRDefault="003F1CBC" w:rsidP="00947FEA">
      <w:bookmarkStart w:id="8" w:name="_GoBack"/>
      <w:bookmarkEnd w:id="8"/>
    </w:p>
    <w:tbl>
      <w:tblPr>
        <w:tblW w:w="10774" w:type="dxa"/>
        <w:tblBorders>
          <w:top w:val="single" w:sz="6" w:space="0" w:color="BFBFBF"/>
          <w:left w:val="single" w:sz="6" w:space="0" w:color="BFBFBF"/>
          <w:bottom w:val="single" w:sz="6" w:space="0" w:color="BFBFBF"/>
          <w:right w:val="single" w:sz="6" w:space="0" w:color="BFBFBF"/>
          <w:insideH w:val="single" w:sz="6" w:space="0" w:color="BFBFBF"/>
          <w:insideV w:val="single" w:sz="6" w:space="0" w:color="BFBFBF"/>
        </w:tblBorders>
        <w:tblLook w:val="04A0" w:firstRow="1" w:lastRow="0" w:firstColumn="1" w:lastColumn="0" w:noHBand="0" w:noVBand="1"/>
      </w:tblPr>
      <w:tblGrid>
        <w:gridCol w:w="912"/>
        <w:gridCol w:w="980"/>
        <w:gridCol w:w="8882"/>
      </w:tblGrid>
      <w:tr w:rsidR="00CA2372" w:rsidRPr="008F7F5A" w:rsidTr="008F7F5A">
        <w:tc>
          <w:tcPr>
            <w:tcW w:w="10774" w:type="dxa"/>
            <w:gridSpan w:val="3"/>
            <w:shd w:val="clear" w:color="auto" w:fill="9CC2E5"/>
            <w:hideMark/>
          </w:tcPr>
          <w:p w:rsidR="00CA2372" w:rsidRPr="008F7F5A" w:rsidRDefault="00CA2372" w:rsidP="008F7F5A">
            <w:pPr>
              <w:spacing w:beforeLines="40" w:before="96" w:afterLines="40" w:after="96"/>
              <w:jc w:val="center"/>
              <w:rPr>
                <w:b/>
                <w:color w:val="FFFFFF"/>
                <w:sz w:val="24"/>
              </w:rPr>
            </w:pPr>
            <w:bookmarkStart w:id="9" w:name="OLE_LINK9"/>
            <w:r w:rsidRPr="008F7F5A">
              <w:rPr>
                <w:b/>
                <w:color w:val="FFFFFF"/>
                <w:sz w:val="24"/>
              </w:rPr>
              <w:t>Members</w:t>
            </w:r>
          </w:p>
        </w:tc>
      </w:tr>
      <w:tr w:rsidR="00CA2372" w:rsidRPr="008F7F5A" w:rsidTr="008C5837">
        <w:tc>
          <w:tcPr>
            <w:tcW w:w="912" w:type="dxa"/>
            <w:shd w:val="clear" w:color="auto" w:fill="BDD6EE"/>
            <w:hideMark/>
          </w:tcPr>
          <w:p w:rsidR="00CA2372" w:rsidRPr="008F7F5A" w:rsidRDefault="00CA2372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Member ID</w:t>
            </w:r>
          </w:p>
        </w:tc>
        <w:tc>
          <w:tcPr>
            <w:tcW w:w="980" w:type="dxa"/>
            <w:shd w:val="clear" w:color="auto" w:fill="BDD6EE"/>
            <w:hideMark/>
          </w:tcPr>
          <w:p w:rsidR="00CA2372" w:rsidRPr="008F7F5A" w:rsidRDefault="00CA2372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Member Code</w:t>
            </w:r>
          </w:p>
        </w:tc>
        <w:tc>
          <w:tcPr>
            <w:tcW w:w="8882" w:type="dxa"/>
            <w:shd w:val="clear" w:color="auto" w:fill="BDD6EE"/>
            <w:hideMark/>
          </w:tcPr>
          <w:p w:rsidR="00CA2372" w:rsidRPr="008F7F5A" w:rsidRDefault="00CA2372" w:rsidP="008F7F5A">
            <w:pPr>
              <w:spacing w:beforeLines="40" w:before="96" w:afterLines="40" w:after="96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F7F5A">
              <w:rPr>
                <w:rFonts w:eastAsia="Times New Roman"/>
                <w:b/>
                <w:sz w:val="16"/>
                <w:szCs w:val="16"/>
              </w:rPr>
              <w:t>Member Label</w:t>
            </w:r>
          </w:p>
        </w:tc>
      </w:tr>
      <w:tr w:rsidR="00D14408" w:rsidRPr="008F7F5A" w:rsidTr="00577630">
        <w:tc>
          <w:tcPr>
            <w:tcW w:w="912" w:type="dxa"/>
            <w:shd w:val="clear" w:color="auto" w:fill="auto"/>
          </w:tcPr>
          <w:p w:rsidR="00D14408" w:rsidRPr="00AA0198" w:rsidRDefault="00D14408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AA0198">
              <w:rPr>
                <w:color w:val="auto"/>
                <w:sz w:val="16"/>
              </w:rPr>
              <w:t>2591</w:t>
            </w:r>
          </w:p>
        </w:tc>
        <w:tc>
          <w:tcPr>
            <w:tcW w:w="980" w:type="dxa"/>
            <w:shd w:val="clear" w:color="auto" w:fill="auto"/>
          </w:tcPr>
          <w:p w:rsidR="00D14408" w:rsidRPr="00AA0198" w:rsidRDefault="00D14408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AA0198">
              <w:rPr>
                <w:color w:val="auto"/>
                <w:sz w:val="16"/>
              </w:rPr>
              <w:t>PL:x19</w:t>
            </w:r>
          </w:p>
        </w:tc>
        <w:tc>
          <w:tcPr>
            <w:tcW w:w="8882" w:type="dxa"/>
            <w:shd w:val="clear" w:color="auto" w:fill="FABF8F"/>
          </w:tcPr>
          <w:p w:rsidR="00D14408" w:rsidRPr="00AA0198" w:rsidRDefault="00EB43A9" w:rsidP="00EB43A9">
            <w:pPr>
              <w:pStyle w:val="Changed"/>
            </w:pPr>
            <w:r w:rsidRPr="00EB43A9">
              <w:t>Financial assets designated at fair value through profit or loss. Hybrid contracts, Financial liabilities designated at fair value through profit or loss. Hybrid contracts</w:t>
            </w:r>
          </w:p>
        </w:tc>
      </w:tr>
      <w:tr w:rsidR="00D14408" w:rsidRPr="008F7F5A" w:rsidTr="00577630">
        <w:tc>
          <w:tcPr>
            <w:tcW w:w="912" w:type="dxa"/>
            <w:shd w:val="clear" w:color="auto" w:fill="auto"/>
          </w:tcPr>
          <w:p w:rsidR="00D14408" w:rsidRPr="00AA0198" w:rsidRDefault="00D14408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AA0198">
              <w:rPr>
                <w:color w:val="auto"/>
                <w:sz w:val="16"/>
              </w:rPr>
              <w:t>3205</w:t>
            </w:r>
          </w:p>
        </w:tc>
        <w:tc>
          <w:tcPr>
            <w:tcW w:w="980" w:type="dxa"/>
            <w:shd w:val="clear" w:color="auto" w:fill="auto"/>
          </w:tcPr>
          <w:p w:rsidR="00D14408" w:rsidRPr="00AA0198" w:rsidRDefault="00D14408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AA0198">
              <w:rPr>
                <w:color w:val="auto"/>
                <w:sz w:val="16"/>
              </w:rPr>
              <w:t>PL:x55</w:t>
            </w:r>
          </w:p>
        </w:tc>
        <w:tc>
          <w:tcPr>
            <w:tcW w:w="8882" w:type="dxa"/>
            <w:shd w:val="clear" w:color="auto" w:fill="FABF8F"/>
          </w:tcPr>
          <w:p w:rsidR="00D14408" w:rsidRPr="00AA0198" w:rsidRDefault="00D14408" w:rsidP="00EB43A9">
            <w:pPr>
              <w:pStyle w:val="Changed"/>
            </w:pPr>
            <w:r w:rsidRPr="00AA0198">
              <w:t>Financial liabilities designated at fair value through p</w:t>
            </w:r>
            <w:r w:rsidR="00EB43A9">
              <w:t>rofit or loss. Hybrid contracts</w:t>
            </w:r>
          </w:p>
        </w:tc>
      </w:tr>
      <w:tr w:rsidR="00D14408" w:rsidRPr="008F7F5A" w:rsidTr="00577630">
        <w:tc>
          <w:tcPr>
            <w:tcW w:w="912" w:type="dxa"/>
            <w:shd w:val="clear" w:color="auto" w:fill="auto"/>
          </w:tcPr>
          <w:p w:rsidR="00D14408" w:rsidRPr="00AA0198" w:rsidRDefault="00D14408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AA0198">
              <w:rPr>
                <w:color w:val="auto"/>
                <w:sz w:val="16"/>
              </w:rPr>
              <w:t>3208</w:t>
            </w:r>
          </w:p>
        </w:tc>
        <w:tc>
          <w:tcPr>
            <w:tcW w:w="980" w:type="dxa"/>
            <w:shd w:val="clear" w:color="auto" w:fill="auto"/>
          </w:tcPr>
          <w:p w:rsidR="00D14408" w:rsidRPr="00AA0198" w:rsidRDefault="00D14408" w:rsidP="008F7F5A">
            <w:pPr>
              <w:spacing w:beforeLines="40" w:before="96" w:afterLines="40" w:after="96"/>
              <w:rPr>
                <w:color w:val="auto"/>
                <w:sz w:val="16"/>
              </w:rPr>
            </w:pPr>
            <w:r w:rsidRPr="00AA0198">
              <w:rPr>
                <w:color w:val="auto"/>
                <w:sz w:val="16"/>
              </w:rPr>
              <w:t>PL:x58</w:t>
            </w:r>
          </w:p>
        </w:tc>
        <w:tc>
          <w:tcPr>
            <w:tcW w:w="8882" w:type="dxa"/>
            <w:shd w:val="clear" w:color="auto" w:fill="FABF8F"/>
          </w:tcPr>
          <w:p w:rsidR="00D14408" w:rsidRPr="00AA0198" w:rsidRDefault="00D14408" w:rsidP="00EB43A9">
            <w:pPr>
              <w:pStyle w:val="Changed"/>
            </w:pPr>
            <w:r w:rsidRPr="00AA0198">
              <w:t>Financial assets designated at fair value through profit or loss. Hybrid contracts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3294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IM:x18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Performing exposures. Exited from NPE in the last 12 months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3295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TI:x32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Not past due or past due &lt;= 30 days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3296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TI:x33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Not past due or past due &lt;= 90 days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3301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MC:x484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Financial guaranteed received for exposures with RE Commercial collateral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3302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MC:x485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Financial guaranteed received for exposures with RE Residential collateral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3825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CU:XUA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ADB Unit of Account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3841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CU:XBA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Bond Markets Unit European Composite Unit (EURCO)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3842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CU:XBB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Bond Markets Unit European Monetary Unit (E.M.U.-6)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3843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CU:XBD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Bond Markets Unit European Unit of Account 17 (E.U.A.-17)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3844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CU:XBC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Bond Markets Unit European Unit of Account 9 (E.U.A.-9)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3849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CU:XOF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CFA Franc BCEAO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3850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CU:XAF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CFA Franc BEAC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3851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CU:XPF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CFP Franc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3853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CU:XTS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Codes specifically reserved for testing purposes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3874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CU:XAU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Gold (one Troy ounce)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3902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CU:MXV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 xml:space="preserve">Mexican </w:t>
            </w:r>
            <w:proofErr w:type="spellStart"/>
            <w:r w:rsidRPr="00EB43A9">
              <w:t>Unidad</w:t>
            </w:r>
            <w:proofErr w:type="spellEnd"/>
            <w:r w:rsidRPr="00EB43A9">
              <w:t xml:space="preserve"> de Inversion (UDI)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3919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CU:XPD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Palladium (one Troy ounce)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3924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CU:XPT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Platinum (one Troy ounce)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lastRenderedPageBreak/>
              <w:t>3936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CU:XDR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SDR (Special Drawing Right)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3938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CU:XAG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Silver (one Troy ounce)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3945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CU:XSU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Sucre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3953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CU:XXX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Code assigned for transactions where no currency is involved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3960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CU:XFU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UIC-Franc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3964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CU:USN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US Dollar (Next day)</w:t>
            </w:r>
          </w:p>
        </w:tc>
      </w:tr>
      <w:tr w:rsidR="00EB43A9" w:rsidRPr="00EB43A9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3965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CU:USS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EB43A9" w:rsidRPr="00EB43A9" w:rsidRDefault="00EB43A9" w:rsidP="00EB43A9">
            <w:pPr>
              <w:pStyle w:val="New"/>
            </w:pPr>
            <w:r w:rsidRPr="00EB43A9">
              <w:t>US Dollar (Same day)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4026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MC:x549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a - Primary asset class specified in Art 129.1 (a)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4027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MC:x550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b - Primary asset class specified in Art 129.1 (b)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4028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MC:x551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c - Primary asset class specified in Art 129.1 (c)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4029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MC:x552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d - Primary asset class specified in Art 129.1 (d)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4030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MC:x553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e - Primary asset class specified in Art 129.1 (e)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4031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MC:x554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f - Primary asset class specified in Art 129.1 (f)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4032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MC:x555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g - Primary asset class specified in Art 129.1 (g)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4033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MC:x556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h - Primary asset class not specified in Art 129.1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4034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IM:x27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Exposure with forbearance measures. Of non performing exposures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4035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PL:x75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Financial assets at amortised cost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4036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PL:x76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Financial assets at fair value other than Held for trading and Trading Financial Assets</w:t>
            </w:r>
          </w:p>
        </w:tc>
      </w:tr>
      <w:tr w:rsidR="00D66A73" w:rsidRPr="00D66A73" w:rsidTr="00577630">
        <w:tc>
          <w:tcPr>
            <w:tcW w:w="9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4037</w:t>
            </w:r>
          </w:p>
        </w:tc>
        <w:tc>
          <w:tcPr>
            <w:tcW w:w="9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PL:x77</w:t>
            </w:r>
          </w:p>
        </w:tc>
        <w:tc>
          <w:tcPr>
            <w:tcW w:w="888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C2D69B"/>
          </w:tcPr>
          <w:p w:rsidR="00D66A73" w:rsidRPr="00D66A73" w:rsidRDefault="00D66A73" w:rsidP="00D66A73">
            <w:pPr>
              <w:pStyle w:val="New"/>
            </w:pPr>
            <w:r w:rsidRPr="00D66A73">
              <w:t>Financial assets other than Held for trading and Trading Financial Assets</w:t>
            </w:r>
          </w:p>
        </w:tc>
      </w:tr>
      <w:bookmarkEnd w:id="9"/>
    </w:tbl>
    <w:p w:rsidR="003C4530" w:rsidRPr="00947FEA" w:rsidRDefault="003C4530" w:rsidP="00947FEA"/>
    <w:p w:rsidR="00D14408" w:rsidRPr="00947FEA" w:rsidRDefault="00D14408" w:rsidP="00947FEA"/>
    <w:sectPr w:rsidR="00D14408" w:rsidRPr="00947FEA" w:rsidSect="00CD1ECE">
      <w:headerReference w:type="default" r:id="rId8"/>
      <w:footerReference w:type="default" r:id="rId9"/>
      <w:pgSz w:w="11906" w:h="16838"/>
      <w:pgMar w:top="720" w:right="720" w:bottom="426" w:left="720" w:header="708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630" w:rsidRDefault="00577630" w:rsidP="00F3477D">
      <w:pPr>
        <w:spacing w:after="0" w:line="240" w:lineRule="auto"/>
      </w:pPr>
      <w:r>
        <w:separator/>
      </w:r>
    </w:p>
  </w:endnote>
  <w:endnote w:type="continuationSeparator" w:id="0">
    <w:p w:rsidR="00577630" w:rsidRDefault="00577630" w:rsidP="00F3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198" w:rsidRPr="00F3477D" w:rsidRDefault="00AA0198">
    <w:pPr>
      <w:pStyle w:val="Footer"/>
      <w:jc w:val="right"/>
      <w:rPr>
        <w:sz w:val="16"/>
        <w:szCs w:val="16"/>
      </w:rPr>
    </w:pPr>
    <w:r w:rsidRPr="00F3477D">
      <w:rPr>
        <w:sz w:val="16"/>
        <w:szCs w:val="16"/>
      </w:rPr>
      <w:fldChar w:fldCharType="begin"/>
    </w:r>
    <w:r w:rsidRPr="00F3477D">
      <w:rPr>
        <w:sz w:val="16"/>
        <w:szCs w:val="16"/>
      </w:rPr>
      <w:instrText xml:space="preserve"> PAGE   \* MERGEFORMAT </w:instrText>
    </w:r>
    <w:r w:rsidRPr="00F3477D">
      <w:rPr>
        <w:sz w:val="16"/>
        <w:szCs w:val="16"/>
      </w:rPr>
      <w:fldChar w:fldCharType="separate"/>
    </w:r>
    <w:r w:rsidR="001A662F">
      <w:rPr>
        <w:noProof/>
        <w:sz w:val="16"/>
        <w:szCs w:val="16"/>
      </w:rPr>
      <w:t>11</w:t>
    </w:r>
    <w:r w:rsidRPr="00F3477D">
      <w:rPr>
        <w:noProof/>
        <w:sz w:val="16"/>
        <w:szCs w:val="16"/>
      </w:rPr>
      <w:fldChar w:fldCharType="end"/>
    </w:r>
  </w:p>
  <w:p w:rsidR="00AA0198" w:rsidRDefault="00AA01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630" w:rsidRDefault="00577630" w:rsidP="00F3477D">
      <w:pPr>
        <w:spacing w:after="0" w:line="240" w:lineRule="auto"/>
      </w:pPr>
      <w:r>
        <w:separator/>
      </w:r>
    </w:p>
  </w:footnote>
  <w:footnote w:type="continuationSeparator" w:id="0">
    <w:p w:rsidR="00577630" w:rsidRDefault="00577630" w:rsidP="00F34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198" w:rsidRDefault="00AA0198">
    <w:pPr>
      <w:pStyle w:val="Header"/>
      <w:pBdr>
        <w:bottom w:val="thickThinSmallGap" w:sz="24" w:space="1" w:color="823B0B"/>
      </w:pBdr>
      <w:jc w:val="center"/>
      <w:rPr>
        <w:rFonts w:ascii="Calibri Light" w:eastAsia="SimSun" w:hAnsi="Calibri Light"/>
        <w:sz w:val="32"/>
        <w:szCs w:val="32"/>
      </w:rPr>
    </w:pPr>
    <w:r>
      <w:rPr>
        <w:rFonts w:ascii="Calibri Light" w:eastAsia="SimSun" w:hAnsi="Calibri Light"/>
        <w:sz w:val="32"/>
        <w:szCs w:val="32"/>
      </w:rPr>
      <w:t>Annex XIV – Data point model - dictionary</w:t>
    </w:r>
  </w:p>
  <w:p w:rsidR="00AA0198" w:rsidRDefault="00AA01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oNotTrackMoves/>
  <w:defaultTabStop w:val="720"/>
  <w:defaultTableStyle w:val="TableStyle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133"/>
    <w:rsid w:val="000236A7"/>
    <w:rsid w:val="00043813"/>
    <w:rsid w:val="00050E83"/>
    <w:rsid w:val="00054734"/>
    <w:rsid w:val="00060E74"/>
    <w:rsid w:val="00063630"/>
    <w:rsid w:val="00085594"/>
    <w:rsid w:val="0008743B"/>
    <w:rsid w:val="000C7EFA"/>
    <w:rsid w:val="000E1C77"/>
    <w:rsid w:val="000E32BC"/>
    <w:rsid w:val="00100D33"/>
    <w:rsid w:val="00113BA3"/>
    <w:rsid w:val="00163753"/>
    <w:rsid w:val="00186417"/>
    <w:rsid w:val="0018752F"/>
    <w:rsid w:val="001A662F"/>
    <w:rsid w:val="001D63C7"/>
    <w:rsid w:val="001E778F"/>
    <w:rsid w:val="0020275F"/>
    <w:rsid w:val="002F30E9"/>
    <w:rsid w:val="003072B3"/>
    <w:rsid w:val="00307738"/>
    <w:rsid w:val="003121E7"/>
    <w:rsid w:val="003268F6"/>
    <w:rsid w:val="00391682"/>
    <w:rsid w:val="003C2881"/>
    <w:rsid w:val="003C4530"/>
    <w:rsid w:val="003D57EA"/>
    <w:rsid w:val="003F1CBC"/>
    <w:rsid w:val="00407133"/>
    <w:rsid w:val="00472D9D"/>
    <w:rsid w:val="004801A7"/>
    <w:rsid w:val="0048238E"/>
    <w:rsid w:val="00491140"/>
    <w:rsid w:val="004C5188"/>
    <w:rsid w:val="004F2E19"/>
    <w:rsid w:val="005025D1"/>
    <w:rsid w:val="005060FF"/>
    <w:rsid w:val="00577630"/>
    <w:rsid w:val="00585F08"/>
    <w:rsid w:val="00586302"/>
    <w:rsid w:val="005B5ECE"/>
    <w:rsid w:val="00600225"/>
    <w:rsid w:val="00603545"/>
    <w:rsid w:val="00606A61"/>
    <w:rsid w:val="00624839"/>
    <w:rsid w:val="00656F4E"/>
    <w:rsid w:val="00674363"/>
    <w:rsid w:val="006858CD"/>
    <w:rsid w:val="006C7B82"/>
    <w:rsid w:val="00733E8C"/>
    <w:rsid w:val="00741D00"/>
    <w:rsid w:val="00745C35"/>
    <w:rsid w:val="0075145A"/>
    <w:rsid w:val="00753F51"/>
    <w:rsid w:val="008209EC"/>
    <w:rsid w:val="00851361"/>
    <w:rsid w:val="0087650C"/>
    <w:rsid w:val="008957C9"/>
    <w:rsid w:val="008C5837"/>
    <w:rsid w:val="008D06D5"/>
    <w:rsid w:val="008F1299"/>
    <w:rsid w:val="008F6C20"/>
    <w:rsid w:val="008F7F5A"/>
    <w:rsid w:val="00902B88"/>
    <w:rsid w:val="009315BC"/>
    <w:rsid w:val="00942F62"/>
    <w:rsid w:val="00947AF9"/>
    <w:rsid w:val="00947FEA"/>
    <w:rsid w:val="00A30A4A"/>
    <w:rsid w:val="00A406ED"/>
    <w:rsid w:val="00A40DF9"/>
    <w:rsid w:val="00A57D72"/>
    <w:rsid w:val="00A7203F"/>
    <w:rsid w:val="00A96D7E"/>
    <w:rsid w:val="00AA0198"/>
    <w:rsid w:val="00AA03D3"/>
    <w:rsid w:val="00AB7485"/>
    <w:rsid w:val="00AD58EA"/>
    <w:rsid w:val="00AE3030"/>
    <w:rsid w:val="00AE547A"/>
    <w:rsid w:val="00AE55B5"/>
    <w:rsid w:val="00B127AF"/>
    <w:rsid w:val="00B26F07"/>
    <w:rsid w:val="00B4285E"/>
    <w:rsid w:val="00B47442"/>
    <w:rsid w:val="00B513E2"/>
    <w:rsid w:val="00B66B26"/>
    <w:rsid w:val="00B7118D"/>
    <w:rsid w:val="00C61998"/>
    <w:rsid w:val="00C671C3"/>
    <w:rsid w:val="00CA2372"/>
    <w:rsid w:val="00CD1ECE"/>
    <w:rsid w:val="00CD2594"/>
    <w:rsid w:val="00CF78E8"/>
    <w:rsid w:val="00D12B92"/>
    <w:rsid w:val="00D14408"/>
    <w:rsid w:val="00D14CCF"/>
    <w:rsid w:val="00D50054"/>
    <w:rsid w:val="00D54ECC"/>
    <w:rsid w:val="00D66A73"/>
    <w:rsid w:val="00D751BC"/>
    <w:rsid w:val="00DF63AA"/>
    <w:rsid w:val="00E0366D"/>
    <w:rsid w:val="00E13D7F"/>
    <w:rsid w:val="00E13DF0"/>
    <w:rsid w:val="00E229DC"/>
    <w:rsid w:val="00E42CE9"/>
    <w:rsid w:val="00E72C5C"/>
    <w:rsid w:val="00E86CCF"/>
    <w:rsid w:val="00E97D0C"/>
    <w:rsid w:val="00EB43A9"/>
    <w:rsid w:val="00F0223F"/>
    <w:rsid w:val="00F221B6"/>
    <w:rsid w:val="00F22E32"/>
    <w:rsid w:val="00F3477D"/>
    <w:rsid w:val="00F5564A"/>
    <w:rsid w:val="00F86FDD"/>
    <w:rsid w:val="00FE28AB"/>
    <w:rsid w:val="00FF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594"/>
    <w:pPr>
      <w:spacing w:after="160" w:line="259" w:lineRule="auto"/>
    </w:pPr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7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47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77D"/>
  </w:style>
  <w:style w:type="paragraph" w:styleId="Footer">
    <w:name w:val="footer"/>
    <w:basedOn w:val="Normal"/>
    <w:link w:val="FooterChar"/>
    <w:uiPriority w:val="99"/>
    <w:unhideWhenUsed/>
    <w:rsid w:val="00F347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77D"/>
  </w:style>
  <w:style w:type="paragraph" w:styleId="BalloonText">
    <w:name w:val="Balloon Text"/>
    <w:basedOn w:val="Normal"/>
    <w:link w:val="BalloonTextChar"/>
    <w:uiPriority w:val="99"/>
    <w:semiHidden/>
    <w:unhideWhenUsed/>
    <w:rsid w:val="00312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121E7"/>
    <w:rPr>
      <w:rFonts w:ascii="Tahoma" w:hAnsi="Tahoma" w:cs="Tahoma"/>
      <w:sz w:val="16"/>
      <w:szCs w:val="16"/>
      <w:lang w:eastAsia="en-US"/>
    </w:rPr>
  </w:style>
  <w:style w:type="table" w:customStyle="1" w:styleId="TableStyle">
    <w:name w:val="TableStyle"/>
    <w:basedOn w:val="TableNormal"/>
    <w:uiPriority w:val="99"/>
    <w:qFormat/>
    <w:rsid w:val="00085594"/>
    <w:pPr>
      <w:spacing w:beforeLines="40" w:before="40" w:afterLines="40" w:after="40"/>
    </w:pPr>
    <w:rPr>
      <w:sz w:val="16"/>
    </w:rPr>
    <w:tblPr>
      <w:tblInd w:w="0" w:type="dxa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pPr>
        <w:jc w:val="center"/>
      </w:pPr>
      <w:rPr>
        <w:rFonts w:ascii="Calibri" w:hAnsi="Calibri"/>
        <w:b/>
        <w:color w:val="FFFFFF"/>
        <w:sz w:val="24"/>
      </w:rPr>
      <w:tblPr/>
      <w:tcPr>
        <w:shd w:val="clear" w:color="auto" w:fill="9CC2E5"/>
      </w:tcPr>
    </w:tblStylePr>
  </w:style>
  <w:style w:type="numbering" w:customStyle="1" w:styleId="NoList1">
    <w:name w:val="No List1"/>
    <w:next w:val="NoList"/>
    <w:uiPriority w:val="99"/>
    <w:semiHidden/>
    <w:unhideWhenUsed/>
    <w:rsid w:val="0048238E"/>
  </w:style>
  <w:style w:type="character" w:styleId="Hyperlink">
    <w:name w:val="Hyperlink"/>
    <w:uiPriority w:val="99"/>
    <w:semiHidden/>
    <w:unhideWhenUsed/>
    <w:rsid w:val="003F1C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3F1CBC"/>
    <w:rPr>
      <w:color w:val="800080"/>
      <w:u w:val="single"/>
    </w:rPr>
  </w:style>
  <w:style w:type="paragraph" w:customStyle="1" w:styleId="xl70">
    <w:name w:val="xl70"/>
    <w:basedOn w:val="Normal"/>
    <w:rsid w:val="003F1CB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5">
    <w:name w:val="xl65"/>
    <w:basedOn w:val="Normal"/>
    <w:rsid w:val="00D144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66">
    <w:name w:val="xl66"/>
    <w:basedOn w:val="Normal"/>
    <w:rsid w:val="00D14408"/>
    <w:pPr>
      <w:pBdr>
        <w:top w:val="single" w:sz="4" w:space="0" w:color="D0D7E5"/>
        <w:left w:val="single" w:sz="4" w:space="0" w:color="D0D7E5"/>
        <w:bottom w:val="single" w:sz="4" w:space="0" w:color="D0D7E5"/>
        <w:right w:val="single" w:sz="4" w:space="0" w:color="D0D7E5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</w:rPr>
  </w:style>
  <w:style w:type="paragraph" w:customStyle="1" w:styleId="xl67">
    <w:name w:val="xl67"/>
    <w:basedOn w:val="Normal"/>
    <w:rsid w:val="00D14408"/>
    <w:pPr>
      <w:pBdr>
        <w:top w:val="single" w:sz="4" w:space="0" w:color="D0D7E5"/>
        <w:left w:val="single" w:sz="4" w:space="0" w:color="D0D7E5"/>
        <w:bottom w:val="single" w:sz="4" w:space="0" w:color="D0D7E5"/>
        <w:right w:val="single" w:sz="4" w:space="0" w:color="D0D7E5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xl68">
    <w:name w:val="xl68"/>
    <w:basedOn w:val="Normal"/>
    <w:rsid w:val="00D14408"/>
    <w:pPr>
      <w:pBdr>
        <w:top w:val="single" w:sz="4" w:space="0" w:color="D0D7E5"/>
        <w:left w:val="single" w:sz="4" w:space="0" w:color="D0D7E5"/>
        <w:bottom w:val="single" w:sz="4" w:space="0" w:color="D0D7E5"/>
        <w:right w:val="single" w:sz="4" w:space="0" w:color="D0D7E5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New">
    <w:name w:val="New"/>
    <w:basedOn w:val="Normal"/>
    <w:link w:val="NewChar"/>
    <w:qFormat/>
    <w:rsid w:val="00674363"/>
    <w:pPr>
      <w:spacing w:beforeLines="40" w:before="96" w:afterLines="40" w:after="96"/>
    </w:pPr>
    <w:rPr>
      <w:color w:val="00B050"/>
      <w:sz w:val="16"/>
    </w:rPr>
  </w:style>
  <w:style w:type="paragraph" w:customStyle="1" w:styleId="Changed">
    <w:name w:val="Changed"/>
    <w:basedOn w:val="Normal"/>
    <w:link w:val="ChangedChar"/>
    <w:qFormat/>
    <w:rsid w:val="00674363"/>
    <w:pPr>
      <w:spacing w:beforeLines="40" w:before="96" w:afterLines="40" w:after="96"/>
    </w:pPr>
    <w:rPr>
      <w:color w:val="E36C0A"/>
      <w:sz w:val="16"/>
    </w:rPr>
  </w:style>
  <w:style w:type="character" w:customStyle="1" w:styleId="NewChar">
    <w:name w:val="New Char"/>
    <w:link w:val="New"/>
    <w:rsid w:val="00674363"/>
    <w:rPr>
      <w:color w:val="00B050"/>
      <w:sz w:val="16"/>
    </w:rPr>
  </w:style>
  <w:style w:type="paragraph" w:customStyle="1" w:styleId="Deleted">
    <w:name w:val="Deleted"/>
    <w:basedOn w:val="Normal"/>
    <w:link w:val="DeletedChar"/>
    <w:qFormat/>
    <w:rsid w:val="00674363"/>
    <w:pPr>
      <w:spacing w:beforeLines="40" w:before="96" w:afterLines="40" w:after="96"/>
    </w:pPr>
    <w:rPr>
      <w:strike/>
      <w:color w:val="FF0000"/>
      <w:sz w:val="16"/>
    </w:rPr>
  </w:style>
  <w:style w:type="character" w:customStyle="1" w:styleId="ChangedChar">
    <w:name w:val="Changed Char"/>
    <w:link w:val="Changed"/>
    <w:rsid w:val="00674363"/>
    <w:rPr>
      <w:color w:val="E36C0A"/>
      <w:sz w:val="16"/>
    </w:rPr>
  </w:style>
  <w:style w:type="paragraph" w:customStyle="1" w:styleId="NotIncludedPreviously">
    <w:name w:val="Not Included Previously"/>
    <w:basedOn w:val="Normal"/>
    <w:link w:val="NotIncludedPreviouslyChar"/>
    <w:qFormat/>
    <w:rsid w:val="00674363"/>
    <w:pPr>
      <w:spacing w:beforeLines="40" w:before="96" w:afterLines="40" w:after="96"/>
    </w:pPr>
    <w:rPr>
      <w:sz w:val="16"/>
    </w:rPr>
  </w:style>
  <w:style w:type="character" w:customStyle="1" w:styleId="DeletedChar">
    <w:name w:val="Deleted Char"/>
    <w:link w:val="Deleted"/>
    <w:rsid w:val="00674363"/>
    <w:rPr>
      <w:strike/>
      <w:color w:val="FF0000"/>
      <w:sz w:val="16"/>
    </w:rPr>
  </w:style>
  <w:style w:type="character" w:customStyle="1" w:styleId="NotIncludedPreviouslyChar">
    <w:name w:val="Not Included Previously Char"/>
    <w:link w:val="NotIncludedPreviously"/>
    <w:rsid w:val="00674363"/>
    <w:rPr>
      <w:color w:val="00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3EB10-3938-4D3D-8CC4-1AB18363C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3044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cmartins</dc:creator>
  <cp:lastModifiedBy>Owen</cp:lastModifiedBy>
  <cp:revision>3</cp:revision>
  <dcterms:created xsi:type="dcterms:W3CDTF">2014-02-05T04:14:00Z</dcterms:created>
  <dcterms:modified xsi:type="dcterms:W3CDTF">2014-02-05T04:23:00Z</dcterms:modified>
</cp:coreProperties>
</file>