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156BAE67" w:rsidR="00642A33" w:rsidRPr="00E50FA4" w:rsidRDefault="00244E2E" w:rsidP="00244E2E">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1917BE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99CF0F42-BCB0-44EF-80A1-6796E4BD444E" style="width:455.15pt;height:438.5pt">
            <v:imagedata r:id="rId8" o:title=""/>
          </v:shape>
        </w:pict>
      </w:r>
    </w:p>
    <w:bookmarkEnd w:id="10"/>
    <w:p w14:paraId="2FD02E79" w14:textId="77777777" w:rsidR="00642A33" w:rsidRPr="00E50FA4" w:rsidRDefault="00642A33" w:rsidP="00642A33">
      <w:pPr>
        <w:rPr>
          <w:noProof/>
        </w:rPr>
        <w:sectPr w:rsidR="00642A33" w:rsidRPr="00E50FA4" w:rsidSect="00244E2E">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724113A2" w:rsidR="00F848CB" w:rsidRPr="00F848CB" w:rsidRDefault="00DB5A05" w:rsidP="00DB5A05">
      <w:pPr>
        <w:pStyle w:val="Annexetitre"/>
        <w:rPr>
          <w:noProof/>
          <w:u w:val="none"/>
        </w:rPr>
      </w:pPr>
      <w:bookmarkStart w:id="11" w:name="_GoBack"/>
      <w:bookmarkEnd w:id="11"/>
      <w:r>
        <w:rPr>
          <w:noProof/>
          <w:u w:val="none"/>
        </w:rPr>
        <w:lastRenderedPageBreak/>
        <w:t>HU</w:t>
      </w:r>
    </w:p>
    <w:p w14:paraId="6093B431" w14:textId="039A3AAF" w:rsidR="009B0BC1" w:rsidRPr="00E50FA4" w:rsidRDefault="009B0BC1" w:rsidP="00350EFD">
      <w:pPr>
        <w:pStyle w:val="Annexetitre"/>
        <w:rPr>
          <w:noProof/>
        </w:rPr>
      </w:pPr>
      <w:r>
        <w:rPr>
          <w:noProof/>
        </w:rPr>
        <w:t>II. MELLÉKLET</w:t>
      </w:r>
    </w:p>
    <w:p w14:paraId="1D74ACA5" w14:textId="77777777" w:rsidR="00B43E07" w:rsidRPr="00E50FA4" w:rsidRDefault="009B0BC1" w:rsidP="00350EFD">
      <w:pPr>
        <w:pStyle w:val="Annexetitre"/>
        <w:rPr>
          <w:b w:val="0"/>
          <w:noProof/>
        </w:rPr>
      </w:pPr>
      <w:r>
        <w:rPr>
          <w:noProof/>
        </w:rPr>
        <w:t>„XL. melléklet – Az ESG-kockázatok nyilvánosságra hozatalára vonatkozó útmutató</w:t>
      </w:r>
    </w:p>
    <w:p w14:paraId="200FFE8D" w14:textId="77777777" w:rsidR="0025017D" w:rsidRPr="00DB5A05"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Az intézmények az 575/2013/EU rendelet 449a. cikkében említett információkat az e mellékletben foglalt útmutató szerint hozzák nyilvánosságra. Az útmutatót az e rendelet XXXIX. mellékletében meghatározott táblázatok és táblák kitöltéséhez kell használni.</w:t>
      </w:r>
    </w:p>
    <w:p w14:paraId="790C760D" w14:textId="674659AA" w:rsidR="00866549" w:rsidRPr="00E50FA4" w:rsidRDefault="00866549" w:rsidP="0071684B">
      <w:pPr>
        <w:pStyle w:val="NumPar2"/>
        <w:numPr>
          <w:ilvl w:val="0"/>
          <w:numId w:val="11"/>
        </w:numPr>
        <w:ind w:left="567" w:hanging="567"/>
        <w:rPr>
          <w:noProof/>
        </w:rPr>
      </w:pPr>
      <w:r>
        <w:rPr>
          <w:noProof/>
        </w:rPr>
        <w:t>Ezen útmutató alkalmazásában a következő fogalommeghatározások alkalmazandók:</w:t>
      </w:r>
    </w:p>
    <w:p w14:paraId="6E19BBDE" w14:textId="77777777" w:rsidR="00866549" w:rsidRPr="00540A99" w:rsidRDefault="00866549" w:rsidP="00540A99">
      <w:pPr>
        <w:pStyle w:val="Point1letter"/>
        <w:ind w:left="1134"/>
        <w:rPr>
          <w:noProof/>
        </w:rPr>
      </w:pPr>
      <w:r>
        <w:rPr>
          <w:noProof/>
        </w:rPr>
        <w:t>»környezeti, társadalmi és irányítási (ESG) kockázatok«: környezeti, társadalmi vagy irányítási tényezőknek az intézmény partnereire vagy befektetett eszközeire gyakorolt jelenlegi vagy várható hatásaiból eredő, az intézményre gyakorolt negatív pénzügyi hatásból származó veszteségek kockázata;</w:t>
      </w:r>
    </w:p>
    <w:p w14:paraId="6C492A42" w14:textId="77777777" w:rsidR="00866549" w:rsidRPr="00E50FA4" w:rsidRDefault="00866549" w:rsidP="001716D2">
      <w:pPr>
        <w:pStyle w:val="Point1letter"/>
        <w:tabs>
          <w:tab w:val="clear" w:pos="1417"/>
        </w:tabs>
        <w:ind w:left="1134" w:right="-8"/>
        <w:rPr>
          <w:noProof/>
          <w:szCs w:val="24"/>
        </w:rPr>
      </w:pPr>
      <w:r>
        <w:rPr>
          <w:noProof/>
        </w:rPr>
        <w:t>»környezeti kockázat«: környezeti tényezőknek az intézmény partnereire vagy befektetett eszközeire gyakorolt jelenlegi vagy várható hatásaiból eredő, az intézményre gyakorolt negatív pénzügyi hatásból származó veszteségek kockázata, beleértve a következő környezetvédelmi célkitűzések megvalósításához szükséges átálláshoz kapcsolódó tényezőket is:</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az éghajlatváltozás mérséklése;</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az éghajlatváltozáshoz való alkalmazkodás;</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a vízi és tengeri erőforrások fenntartható használata és védelme;</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a körforgásos gazdaságra való átállás;</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a környezetszennyezés megelőzése és csökkentése,</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a biológiai sokféleség és az ökoszisztémák védelme és helyreállítása</w:t>
      </w:r>
    </w:p>
    <w:p w14:paraId="65964131" w14:textId="77777777" w:rsidR="00866549" w:rsidRPr="00E50FA4" w:rsidRDefault="00866549" w:rsidP="00866549">
      <w:pPr>
        <w:pStyle w:val="Point2"/>
        <w:ind w:left="1134" w:right="568" w:firstLine="0"/>
        <w:rPr>
          <w:noProof/>
          <w:szCs w:val="24"/>
        </w:rPr>
      </w:pPr>
      <w:r>
        <w:rPr>
          <w:noProof/>
        </w:rPr>
        <w:t>A környezeti kockázatok fizikai kockázatot és átállási kockázatot foglalnak magukban.</w:t>
      </w:r>
    </w:p>
    <w:p w14:paraId="504FD77B" w14:textId="77777777" w:rsidR="00866549" w:rsidRPr="00E50FA4" w:rsidRDefault="00866549" w:rsidP="001716D2">
      <w:pPr>
        <w:pStyle w:val="Point1letter"/>
        <w:tabs>
          <w:tab w:val="clear" w:pos="1417"/>
        </w:tabs>
        <w:ind w:left="1134" w:right="-8"/>
        <w:rPr>
          <w:noProof/>
          <w:szCs w:val="24"/>
        </w:rPr>
      </w:pPr>
      <w:r>
        <w:rPr>
          <w:noProof/>
        </w:rPr>
        <w:t>»fizikai kockázat«: az átfogó környezeti kockázat részeként a környezeti tényezők fizikai következményeinek az intézmény partnereire vagy befektetett eszközeire gyakorolt jelenlegi vagy várható hatásaiból eredő, az intézményre gyakorolt negatív pénzügyi hatásból származó veszteségek kockázata;</w:t>
      </w:r>
    </w:p>
    <w:p w14:paraId="220A6BFE" w14:textId="77777777" w:rsidR="00866549" w:rsidRPr="00E50FA4" w:rsidRDefault="00866549" w:rsidP="001716D2">
      <w:pPr>
        <w:pStyle w:val="Point1letter"/>
        <w:tabs>
          <w:tab w:val="clear" w:pos="1417"/>
        </w:tabs>
        <w:ind w:left="1134" w:right="-8"/>
        <w:rPr>
          <w:noProof/>
          <w:szCs w:val="24"/>
        </w:rPr>
      </w:pPr>
      <w:r>
        <w:rPr>
          <w:noProof/>
        </w:rPr>
        <w:t>»átállási kockázat«: az átfogó környezeti kockázat részeként a környezetileg fenntartható gazdaságra való átállásnak az intézmény partnereire vagy befektetett eszközeire gyakorolt jelenlegi vagy várható hatásaiból eredő, az intézményre gyakorolt negatív pénzügyi hatásból származó veszteségek kockázata;</w:t>
      </w:r>
    </w:p>
    <w:p w14:paraId="04DDAEBE" w14:textId="77777777" w:rsidR="00866549" w:rsidRPr="00E50FA4" w:rsidRDefault="00866549" w:rsidP="001716D2">
      <w:pPr>
        <w:pStyle w:val="Point1letter"/>
        <w:tabs>
          <w:tab w:val="clear" w:pos="1417"/>
        </w:tabs>
        <w:ind w:left="1134" w:right="-8"/>
        <w:rPr>
          <w:noProof/>
          <w:szCs w:val="24"/>
        </w:rPr>
      </w:pPr>
      <w:r>
        <w:rPr>
          <w:noProof/>
        </w:rPr>
        <w:t>»társadalmi kockázat«: társadalmi tényezőknek az intézmény partnereire vagy befektetett eszközeire gyakorolt jelenlegi vagy várható hatásaiból eredő, az intézményre gyakorolt negatív pénzügyi hatásból származó veszteségek kockázata;</w:t>
      </w:r>
    </w:p>
    <w:p w14:paraId="47855CBB" w14:textId="77777777" w:rsidR="00866549" w:rsidRPr="00E50FA4" w:rsidRDefault="00866549" w:rsidP="001716D2">
      <w:pPr>
        <w:pStyle w:val="Point1letter"/>
        <w:tabs>
          <w:tab w:val="clear" w:pos="1417"/>
        </w:tabs>
        <w:ind w:left="1134" w:right="-8"/>
        <w:rPr>
          <w:noProof/>
        </w:rPr>
      </w:pPr>
      <w:r>
        <w:rPr>
          <w:noProof/>
        </w:rPr>
        <w:t>»irányítási kockázat«: irányítási tényezőknek az intézmény partnereire vagy befektetett eszközeire gyakorolt jelenlegi vagy várható hatásaiból eredő, az intézményre gyakorolt negatív pénzügyi hatásból származó veszteségek kockázata.</w:t>
      </w:r>
    </w:p>
    <w:p w14:paraId="62434421" w14:textId="708C869A" w:rsidR="00866549" w:rsidRPr="00DB5A05" w:rsidRDefault="00866549" w:rsidP="00470532">
      <w:pPr>
        <w:pStyle w:val="ListParagraph"/>
        <w:numPr>
          <w:ilvl w:val="0"/>
          <w:numId w:val="11"/>
        </w:numPr>
        <w:spacing w:before="120" w:after="120"/>
        <w:jc w:val="both"/>
        <w:rPr>
          <w:rFonts w:ascii="Times New Roman" w:hAnsi="Times New Roman"/>
          <w:b/>
          <w:noProof/>
          <w:sz w:val="24"/>
          <w:szCs w:val="24"/>
        </w:rPr>
      </w:pPr>
      <w:r w:rsidRPr="00DB5A05">
        <w:rPr>
          <w:rFonts w:ascii="Times New Roman" w:hAnsi="Times New Roman"/>
          <w:noProof/>
          <w:sz w:val="24"/>
          <w:szCs w:val="24"/>
        </w:rPr>
        <w:t>A jelen útmutatóban szereplő, a nemzetközi és uniós szakpolitikai keretekre és a rendelkezésre álló referenciaértékekre való hivatkozások a következőket foglalják magukban: az Egyesült Nemzetek Éghajlatváltozási Keretegyezménye szerint elfogadott Párizsi Megállapodás</w:t>
      </w:r>
      <w:r w:rsidRPr="00DB5A05">
        <w:rPr>
          <w:rFonts w:ascii="Times New Roman" w:hAnsi="Times New Roman"/>
          <w:noProof/>
          <w:sz w:val="24"/>
          <w:szCs w:val="24"/>
          <w:vertAlign w:val="superscript"/>
        </w:rPr>
        <w:t>*1</w:t>
      </w:r>
      <w:r w:rsidRPr="00DB5A05">
        <w:rPr>
          <w:rFonts w:ascii="Times New Roman" w:hAnsi="Times New Roman"/>
          <w:noProof/>
          <w:sz w:val="24"/>
          <w:szCs w:val="24"/>
        </w:rPr>
        <w:t xml:space="preserve"> (a továbbiakban: a Párizsi Megállapodás), az európai zöld megállapodásról szóló bizottsági közlemény</w:t>
      </w:r>
      <w:r w:rsidRPr="00DB5A05">
        <w:rPr>
          <w:rFonts w:ascii="Times New Roman" w:hAnsi="Times New Roman"/>
          <w:noProof/>
          <w:sz w:val="24"/>
          <w:szCs w:val="24"/>
          <w:vertAlign w:val="superscript"/>
        </w:rPr>
        <w:t>*2</w:t>
      </w:r>
      <w:r w:rsidRPr="00DB5A05">
        <w:rPr>
          <w:rFonts w:ascii="Times New Roman" w:hAnsi="Times New Roman"/>
          <w:noProof/>
          <w:sz w:val="24"/>
          <w:szCs w:val="24"/>
        </w:rPr>
        <w:t>, a 2013/34/EU európai parlamenti és tanácsi irányelv</w:t>
      </w:r>
      <w:r w:rsidRPr="00DB5A05">
        <w:rPr>
          <w:rFonts w:ascii="Times New Roman" w:hAnsi="Times New Roman"/>
          <w:noProof/>
          <w:sz w:val="24"/>
          <w:szCs w:val="24"/>
          <w:vertAlign w:val="superscript"/>
        </w:rPr>
        <w:t>*3</w:t>
      </w:r>
      <w:r w:rsidRPr="00DB5A05">
        <w:rPr>
          <w:rFonts w:ascii="Times New Roman" w:hAnsi="Times New Roman"/>
          <w:noProof/>
          <w:sz w:val="24"/>
          <w:szCs w:val="24"/>
        </w:rPr>
        <w:t>, a 2014/95/EU európai parlamenti és tanácsi irányelv</w:t>
      </w:r>
      <w:r w:rsidRPr="00DB5A05">
        <w:rPr>
          <w:rFonts w:ascii="Times New Roman" w:hAnsi="Times New Roman"/>
          <w:noProof/>
          <w:sz w:val="24"/>
          <w:szCs w:val="24"/>
          <w:vertAlign w:val="superscript"/>
        </w:rPr>
        <w:t>*4</w:t>
      </w:r>
      <w:r w:rsidRPr="00DB5A05">
        <w:rPr>
          <w:rFonts w:ascii="Times New Roman" w:hAnsi="Times New Roman"/>
          <w:noProof/>
          <w:sz w:val="24"/>
          <w:szCs w:val="24"/>
        </w:rPr>
        <w:t>, a Bizottság közleménye – A nem pénzügyi jelentést</w:t>
      </w:r>
      <w:r w:rsidR="00DB5A05" w:rsidRPr="00DB5A05">
        <w:rPr>
          <w:rFonts w:ascii="Times New Roman" w:hAnsi="Times New Roman"/>
          <w:noProof/>
          <w:sz w:val="24"/>
          <w:szCs w:val="24"/>
        </w:rPr>
        <w:t>ételre vonatkozó iránymutatás:</w:t>
      </w:r>
      <w:r w:rsidRPr="00DB5A05">
        <w:rPr>
          <w:rFonts w:ascii="Times New Roman" w:hAnsi="Times New Roman"/>
          <w:noProof/>
          <w:sz w:val="24"/>
          <w:szCs w:val="24"/>
        </w:rPr>
        <w:t xml:space="preserve"> Az éghajlattal kapcsolatos információk jelentésére vonatkozó kiegészítés</w:t>
      </w:r>
      <w:r w:rsidRPr="00DB5A05">
        <w:rPr>
          <w:rFonts w:ascii="Times New Roman" w:hAnsi="Times New Roman"/>
          <w:noProof/>
          <w:sz w:val="24"/>
          <w:szCs w:val="24"/>
          <w:vertAlign w:val="superscript"/>
        </w:rPr>
        <w:t>*5</w:t>
      </w:r>
      <w:r w:rsidRPr="00DB5A05">
        <w:rPr>
          <w:rFonts w:ascii="Times New Roman" w:hAnsi="Times New Roman"/>
          <w:noProof/>
          <w:sz w:val="24"/>
          <w:szCs w:val="24"/>
        </w:rPr>
        <w:t>, az éghajlattal kapcsolatos pénzügyi közzétételekkel foglalkozó munkacsoport (TCFD) ajánlásai keretében rendelkezésre bocsátott iránymutatás</w:t>
      </w:r>
      <w:r w:rsidRPr="00DB5A05">
        <w:rPr>
          <w:rFonts w:ascii="Times New Roman" w:hAnsi="Times New Roman"/>
          <w:noProof/>
          <w:sz w:val="24"/>
          <w:szCs w:val="24"/>
          <w:vertAlign w:val="superscript"/>
        </w:rPr>
        <w:t>*6</w:t>
      </w:r>
      <w:r w:rsidRPr="00DB5A05">
        <w:rPr>
          <w:rFonts w:ascii="Times New Roman" w:hAnsi="Times New Roman"/>
          <w:noProof/>
          <w:sz w:val="24"/>
          <w:szCs w:val="24"/>
        </w:rPr>
        <w:t>, az ENSZ Környezetvédelmi Programjának Pénzügyi Kezdeményezése (UNEP FI)</w:t>
      </w:r>
      <w:r w:rsidRPr="00DB5A05">
        <w:rPr>
          <w:rFonts w:ascii="Times New Roman" w:hAnsi="Times New Roman"/>
          <w:noProof/>
          <w:sz w:val="24"/>
          <w:szCs w:val="24"/>
          <w:vertAlign w:val="superscript"/>
        </w:rPr>
        <w:t>*7</w:t>
      </w:r>
      <w:r w:rsidRPr="00DB5A05">
        <w:rPr>
          <w:rFonts w:ascii="Times New Roman" w:hAnsi="Times New Roman"/>
          <w:noProof/>
          <w:sz w:val="24"/>
          <w:szCs w:val="24"/>
        </w:rPr>
        <w:t>, a Global Reporting Initiative (globális jelentéstételi kezdeményezés) fenntarthatósági beszámolási standardjai</w:t>
      </w:r>
      <w:r w:rsidRPr="00DB5A05">
        <w:rPr>
          <w:rFonts w:ascii="Times New Roman" w:hAnsi="Times New Roman"/>
          <w:noProof/>
          <w:sz w:val="24"/>
          <w:szCs w:val="24"/>
          <w:vertAlign w:val="superscript"/>
        </w:rPr>
        <w:t>*8</w:t>
      </w:r>
      <w:r w:rsidRPr="00DB5A05">
        <w:rPr>
          <w:rFonts w:ascii="Times New Roman" w:hAnsi="Times New Roman"/>
          <w:noProof/>
          <w:sz w:val="24"/>
          <w:szCs w:val="24"/>
        </w:rPr>
        <w:t>, valamint az ENSZ Felelős Befektetési Elvei</w:t>
      </w:r>
      <w:r w:rsidRPr="00DB5A05">
        <w:rPr>
          <w:rFonts w:ascii="Times New Roman" w:hAnsi="Times New Roman"/>
          <w:noProof/>
          <w:sz w:val="24"/>
          <w:szCs w:val="24"/>
          <w:vertAlign w:val="superscript"/>
        </w:rPr>
        <w:t>*9</w:t>
      </w:r>
      <w:r w:rsidRPr="00DB5A05">
        <w:rPr>
          <w:rFonts w:ascii="Times New Roman" w:hAnsi="Times New Roman"/>
          <w:noProof/>
          <w:sz w:val="24"/>
          <w:szCs w:val="24"/>
        </w:rPr>
        <w:t xml:space="preserve"> (UNPRI).</w:t>
      </w:r>
    </w:p>
    <w:p w14:paraId="499989CB" w14:textId="77777777" w:rsidR="00866549" w:rsidRPr="00DB5A05" w:rsidRDefault="00866549" w:rsidP="001A08A2">
      <w:pPr>
        <w:jc w:val="both"/>
        <w:rPr>
          <w:rFonts w:ascii="Times New Roman" w:hAnsi="Times New Roman" w:cs="Times New Roman"/>
          <w:b/>
          <w:noProof/>
          <w:sz w:val="24"/>
        </w:rPr>
      </w:pPr>
    </w:p>
    <w:p w14:paraId="2248087D" w14:textId="2150437B"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1. táblázat – A környezeti kockázatra</w:t>
      </w:r>
      <w:r w:rsidR="00030EB9">
        <w:rPr>
          <w:rFonts w:ascii="Times New Roman" w:hAnsi="Times New Roman"/>
          <w:b/>
          <w:noProof/>
          <w:sz w:val="24"/>
        </w:rPr>
        <w:t xml:space="preserve"> vonatkozó minőségi információk.</w:t>
      </w:r>
      <w:r>
        <w:rPr>
          <w:rFonts w:ascii="Times New Roman" w:hAnsi="Times New Roman"/>
          <w:noProof/>
          <w:sz w:val="24"/>
        </w:rPr>
        <w:t xml:space="preserve"> Szabad formátumban kitölthető szövegmezők a XXXIX. mellékletben feltüntetett minőségi információk nyilvánosságra hozatalához</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Az intézményeknek az e rendelet XXXIX. mellékletében meghatározott 1. táblázat (»A környezeti kockázatra vonatkozó minőségi információk«) kitöltéséhez a következő útmutatót kell használniuk a környezeti kockázatok üzleti stratégiájukba és folyamataikba, irányítási és kockázatkezelési eljárásaikba való integrálásának bemutatására, beleértve az éghajlatváltozással kapcsolatos kockázatokra és az egyéb környezeti kockázatokra vonatkozó konkrét információkat is. Ez az 575/2013/EU rendelet 449a. cikkének az említett rendelet 435. cikkével összefüggésben értelmezett alkalmazásában értendő.</w:t>
      </w:r>
    </w:p>
    <w:p w14:paraId="346C05B6" w14:textId="77777777" w:rsidR="004D24E6" w:rsidRPr="00DB5A05"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Jogszabályi hivatkozások és útmutató</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Sor száma</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Magyarázat</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Üzleti stratégia és folyamatok</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a) és e) pontjával összefüggésben értelmezett 449a. cikkével összhangban az intézményeknek magyarázatot kell adniuk arra, hogy üzleti modelljük, stratégiájuk és folyamataik, valamint pénzügyi tervezésük hogyan integrálja a környezeti tényezőkből eredő kockázatokat (azaz a környezeti kockázatokat), és hogy ezek a kockázatok hogyan alakulhatnak idővel a technológia, a szakpolitikai keret, az üzleti környezet, az érdekelt felek preferenciái és magának a fizikai környezetnek a változásai miatt.</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4C887CC2"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a) pontjával és c)–f) pontjával összefüggésben értelmezett 449a. cikkével összhangban az intézményeknek meg kell határozniuk a környezeti kockázatok értékelésére és kezelésére vonatkozó célkitűzéseket, célértékeket és korlátokat. Az intézményeknek ismertetniük kell azokat a folyamatokat, amelyeket e célkitűzések, célértékek és korlát</w:t>
            </w:r>
            <w:r w:rsidR="00DB5A05">
              <w:rPr>
                <w:rFonts w:ascii="Times New Roman" w:hAnsi="Times New Roman"/>
                <w:noProof/>
                <w:sz w:val="24"/>
              </w:rPr>
              <w:t>ok meghatározásához használnak.</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Az intézményeknek ki kell fejteniük, hogy ezek a célkitűzések, célértékek és korlátok hogyan kapcsolódnak a jelenlegi nemzetközi és uniós szakpolitikai kerethez, valamint a rendelkezésre álló referenciaértékekhez.</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449a. cikkével összhangban az intézményeknek tájékoztatást kell nyújtaniuk a környezeti szempontból fenntartható tevékenységekbe, valamint az (EU) 2020/852 rendelet 9. cikkében meghatározott környezetvédelmi – többek között éghajlatváltozási – célkitűzésekhez igazodó tevékenységekbe és ágazatokba irányuló jelenlegi és jövőbeli (tervezett) befektetéseikről.</w:t>
            </w:r>
          </w:p>
          <w:p w14:paraId="640F124C" w14:textId="105A5536"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Amennyiben ez az információ az intézmény saját megközelítésétől függ, vagy az intézmény belső feladatmeghatározásán alapul, az intézményeknek közzétételükben ismertetniük kell e megközelítést é</w:t>
            </w:r>
            <w:r w:rsidR="00C571DD">
              <w:rPr>
                <w:rFonts w:ascii="Times New Roman" w:hAnsi="Times New Roman"/>
                <w:noProof/>
                <w:sz w:val="24"/>
              </w:rPr>
              <w:t>s a belső feladatmeghatározást.</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(1) bekezdésének d) pontjával összefüggésben értelmezett 449a. cikkével összhangban az intézményeknek tájékoztatást kell nyújtaniuk a környezeti tényezőkkel összefüggő kockázatok mérséklését célzó intézkedéseikről. Az intézményeknek figyelembe kell venniük, hogy partnereik milyen mértékben képesek kezelni a környezeti kockázatokat.</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DB5A05"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Irányítás</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b) pontjával és 435. cikke (2) bekezdésének a)–c) pontjával összefüggésben értelmezett 449a. cikkével összhangban az intézményeknek tájékoztatást kell nyújtaniuk arról, hogyan vesz részt vezető testületük a környezeti kockázatok felügyeletében és kezelésében. Az intézményeknek figyelembe kell venniük e környezeti kockázatok (köztük a fizikai, átállási és felelősségi kockázatok) lehetséges transzmissziós csatornáit.</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(2) bekezdésének d) pontjával összefüggésben értelmezett 449a. cikkével összhangban, az intézményeknek tájékoztatást kell nyújtaniuk arról, hogy vezető testületük a kockázatkezelés céljából hogyan integrálja a környezeti kockázatok rövid, közép- és hosszú távú hatásait az intézmény szervezeti struktúrájába. Az intézményeknek ki kell fejteniük, hogy a vezető testület szintjén végrehajtott intézkedés hogyan jelenik meg üzletágaikban és belső ellenőrzési funkcióikban.</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(2) bekezdésének a–c) pontjával összefüggésben értelmezett 449a. cikkével összhangban, az intézményeknek tájékoztatást kell nyújtaniuk kockázatkezelési bizottságaik szervezetéről, valamint a kockázatkezelési keretrendszerben a környezeti kockázatok nyomon követésére és kezelésére vonatkozó feladatok és felelősségi körök felosztásáról, figyelembe véve a fizikai, átállási és felelősségi kockázatok transzmissziós csatornáit.</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(2) bekezdésének e) pontjával összefüggésben értelmezett 449a. cikkével összhangban, az intézményeknek tájékoztatást kell nyújtaniuk arról, hogy milyen módon építik be a környezeti kockázatokat a belső adatszolgáltatási keretükbe és struktúrájukba, továbbá tájékoztatást kell nyújtaniuk az említett kockázatokra vonatkozó belső adatszolgáltatás és információcsere gyakoriságáról.</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(2) bekezdésének e) pontjával összefüggésben értelmezett 449a. cikkével összhangban, az intézményeknek tájékoztatást kell nyújtaniuk arról, hogy javadalmazási politikájuk tartalmaz-e a környezeti kockázatokkal kapcsolatos elemeket, valamint azokról a kritériumokról és mérőszámokról, amelyeket a környezeti kockázati megfontolások által a javadalmazás változó összetevőire gyakorolt hatás meghatározásához használnak.</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DB5A05"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Kockázatkezelés</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638C048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(1) bekezdésének f) pontjával összefüggésben értelmezett 449a. cikkével összhangban az intézményeknek tájékoztatást kell nyújtaniuk a környezeti tényezők és kockázatok rövid, közép- és hosszú távú hatásainak a kockázatitolerancia-keretbe való integrálásáról. Az intézményeknek saját kockázati profiljukat és kitettségeiket figyelembe véve kell dönte</w:t>
            </w:r>
            <w:r w:rsidR="00C571DD">
              <w:rPr>
                <w:rFonts w:ascii="Times New Roman" w:hAnsi="Times New Roman"/>
                <w:noProof/>
                <w:sz w:val="24"/>
              </w:rPr>
              <w:t>niük a releváns időhorizontról.</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0F4E181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(1) bekezdésének a) pontjával összefüggésben értelmezett 449a. cikkével összhangban az intézményeknek tájékoztatást kell nyújtaniuk a környezeti tényezők és kockázatok azonosítására és kezelésére használt módszerekről, fogalommeghatározásokról és standardokról, valamint az említett standardok, fogalommeghatározások és módszerek alap</w:t>
            </w:r>
            <w:r w:rsidR="00C571DD">
              <w:rPr>
                <w:rFonts w:ascii="Times New Roman" w:hAnsi="Times New Roman"/>
                <w:noProof/>
                <w:sz w:val="24"/>
              </w:rPr>
              <w:t>jául szolgáló keretrendszerről.</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ki kell fejteniük, hogy ezek a módszerek, fogalommeghatározások és standardok hogyan viszonyulnak az alkalmazandó nemzetközi és uniós szakpolitikai kerethez és a rendelkezésre álló referenciaértékekhez.</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(1) bekezdésének a) pontjával összefüggésben értelmezett 449a. cikkével összhangban az intézményeknek nyilvánosságra kell hozniuk:</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azokat az eljárásokat, amelyekkel az intézmény azonosítja és nyomon követi a környezeti kockázatokkal szemben érzékeny és sérülékeny tevékenységeit és kitettségeit, beleértve az ilyen tevékenységekhez és kitettségekhez kapcsolódó ingó és ingatlan eszközöket;</w:t>
            </w:r>
          </w:p>
          <w:p w14:paraId="2FA51EA6" w14:textId="7A612AEC"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azokat az eljárásokat, amelyekkel az intézmény azonosítja és nyomon követi azokat a környezeti kockázatokat, amelyek pénzügyileg lényegesek, vagy amelyek ugyan jelenleg nem lényegese</w:t>
            </w:r>
            <w:r w:rsidR="00C571DD">
              <w:rPr>
                <w:rFonts w:ascii="Times New Roman" w:hAnsi="Times New Roman"/>
                <w:noProof/>
                <w:sz w:val="24"/>
              </w:rPr>
              <w:t>k, de a jövőben azzá válhatnak.</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Azok a tevékenységek, kitettségek és eszközök, amelyek a környezeti kockázatokkal szemben érzékenyek és sérülékenyek, magukban foglalják a mezőgazdasághoz, a halászathoz, az erdőgazdálkodáshoz, az energiaágazathoz kapcsolódó, különböző tényezők – pl. árvíz, aszály, erdőtűz és a biológiai sokféleség csökkenése – hatására érzékeny tevékenységeket, kitettségeket és eszközöket, ezek földrajzi elhelyezkedésével, víztől való függésével vagy más környezeti tényezőkkel és kockázatokkal összefüggésében is. Magukban kell foglalniuk a partner tevékenységének a veszélyeztetett övezetekben való koncentrációját is, és úgy kell tekinteni őket, hogy a partner teljes értékláncára kiterjednek.</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e pontban említett információk nyilvánosságra hozatalakor az intézményeknek fel kell tüntetniük a lényegességet (ideértve a kettős lényegességet is), amelyet a 2013/36/EU európai parlamenti és tanácsi irányelv</w:t>
            </w:r>
            <w:r>
              <w:rPr>
                <w:rFonts w:ascii="Times New Roman" w:hAnsi="Times New Roman"/>
                <w:noProof/>
                <w:sz w:val="24"/>
                <w:vertAlign w:val="superscript"/>
              </w:rPr>
              <w:t>*10</w:t>
            </w:r>
            <w:r>
              <w:rPr>
                <w:rFonts w:ascii="Times New Roman" w:hAnsi="Times New Roman"/>
                <w:noProof/>
                <w:sz w:val="24"/>
              </w:rPr>
              <w:t> 98. cikkének (8) bekezdésében említett jelentésben szereplő fogalommeghatározásoknak megfelelően kell értelmezni, és amelynek figyelembe kell vennie a kitettségek életciklusát, a hitelnyújtást, valamint a partner hitelképességének értékelését és a nyomon követést.</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ki kell fejteniük, hogy ez az értékelés milyen mértékben terjed ki a releváns transzmissziós csatornákra, beleértve i. az alacsonyabb jövedelmezőséget, ii. az alacsonyabb ingatlanértéket, a háztartások alacsonyabb vagyonát, iii. az alacsonyabb eszközteljesítményt, iv. a megfelelési költségek növekedését és v. a jogi költségek növekedését.</w:t>
            </w:r>
          </w:p>
          <w:p w14:paraId="33607F20" w14:textId="6573CC6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Annak az intézménynek, amely nem azonosít lényeges környezeti kockázatot, magyarázatot és indokolást kell adnia ennek okairól, és ismertetnie kell az említett következtetés </w:t>
            </w:r>
            <w:r w:rsidR="00C571DD">
              <w:rPr>
                <w:rFonts w:ascii="Times New Roman" w:hAnsi="Times New Roman"/>
                <w:noProof/>
                <w:sz w:val="24"/>
              </w:rPr>
              <w:t>levonásához vezető módszereket.</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d) pontjával összefüggésben értelmezett 449a. cikkével összhangban az intézményeknek tájékoztatást kell nyújtaniuk a környezeti kockázatok mérséklése érdekében alkalmazott tevékenységeikről, kötelezettségvállalásaikról és kitettségeikről.</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nyilvánosságra kell hozniuk azokat a módszereket, amelyek segítségével azonosítják a környezeti kockázatok mérséklése érdekében alkalmazott intézkedéseket és tevékenységeket. Az intézményeknek továbbá tájékoztatást kell nyújtaniuk, hogy az említett tevékenységek, kötelezettségvállalások és kitettségek milyen mértékben érintik a releváns transzmissziós csatornákat, beleértve i. az alacsonyabb jövedelmezőséget, ii. az alacsonyabb ingatlanértéket, a háztartások alacsonyabb vagyonát, iii. az alacsonyabb eszközteljesítményt, iv. a megfelelési költségek növekedését és v. a jogi költségek növekedését.</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(1) bekezdésének a) és f) pontjával összefüggésben értelmezett 449a. cikkével összhangban az intézményeknek tájékoztatást kell nyújtaniuk a környezeti kockázatok azonosítására és kezelésére használt végrehajtási eszközeikről. Ezek az eszközök magukban foglalják a stressztesztet, az érzékenységi elemzést vagy más előretekintő mutatókat, amelyeket a kockázat lényegességétől függően kitettségi szinten, portfóliószinten, partnerszinten vagy ágazati szinten alkalmaznak.</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 közzétett információkban fel kell tüntetni a vonatkozó végrehajtási eszközök alapjául szolgáló feltételezéseket és módszereket. Az intézményeknek fel kell továbbá tüntetniük a környezeti kockázatok számviteli és prudenciális mérőszámok összefüggésében elvégzett értékeléséhez használt időhorizontot, nevezetesen, hogy rövid, közép- vagy hosszú távú időhorizontról van-e szó.</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(1) bekezdésének a) és f) pontjával összefüggésben értelmezett 449a. cikkével összhangban az intézményeknek tájékoztatást kell nyújtaniuk e tábla n) sorának megfelelően használt kockázati eszközzel végzett értékelés eredményéről.</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tájékoztatást kell nyújtaniuk a környezeti kockázatnak – beleértve az éghajlatváltozási kockázatot is – az intézmény fizetőképességére, szabályozói tőkekövetelményeire és likviditási kockázati profiljára gyakorolt, a belső tőkemegfelelés-értékelési eljárás (ICAAP) és a likviditás megfelelőségének belső értékelési folyamata (ILAAP) keretében becsült hatásáról.</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449a. cikkével összhangban az intézményeknek tájékoztatást kell nyújtaniuk a környezeti kockázatok kezeléséhez rendelkezésükre álló adatokról és információkról, a jelenleg hiányzó kulcsfontosságú adatokról és információkról, valamint az adathiányok kezelése, az adatok minőségének és pontosságának javítása érdekében hozott intézkedéseikről.</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f) pontjával összefüggésben értelmezett 449a. cikkével összhangban az intézményeknek tájékoztatást kell nyújtaniuk azokról a korlátokról, amelyeket az üzleti stratégiájuknak megfelelő környezeti célkitűzéseket jelentős mértékben sértő projektek vagy partnerek finanszírozása tekintetében alkalmaznak.</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Ezeknek a korlátoknak magukban kell foglalniuk az intézmények által a környezeti kockázatok elkerülése vagy mérséklése érdekében a keletkeztetési és a nyomonkövetési ponton meghatározott korlátokat, valamint azokat a korlátokat, amelyek jelzik, hogy egy adott kitettség mikor von maga után korrekciós intézkedéseket, további vizsgálatot, belső eszkalációt vagy a portfólióból való kizárást.</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ismertetniük kell, hogyan jelenítik meg és kapcsolják össze mérlegükben a felmerülő környezeti kockázatokat a hitelkockázattal, a likviditási kockázattal, a piaci kockázattal és a működési kockázattal.</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ki kell fejteniük, milyen módon értékelik és kezelik az alacsony szén-dioxid-kibocsátású és az éghajlatváltozás hatásaival szemben reziliens gazdaságra való átállásnak a prudenciális kockázati kategóriákra – többek között a hitelkockázatra, a likviditási kockázatra, a piaci kockázatra és a működési kockázatra – gyakorolt hatását.</w:t>
            </w:r>
          </w:p>
        </w:tc>
      </w:tr>
    </w:tbl>
    <w:p w14:paraId="2548CC3D" w14:textId="77777777" w:rsidR="00305AF8" w:rsidRPr="00DB5A05" w:rsidRDefault="00305AF8" w:rsidP="001A08A2">
      <w:pPr>
        <w:jc w:val="both"/>
        <w:rPr>
          <w:rFonts w:ascii="Times New Roman" w:hAnsi="Times New Roman" w:cs="Times New Roman"/>
          <w:b/>
          <w:noProof/>
          <w:sz w:val="24"/>
        </w:rPr>
      </w:pPr>
    </w:p>
    <w:p w14:paraId="74CFF881" w14:textId="77777777" w:rsidR="00832FB8" w:rsidRPr="00DB5A05"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56B64678" w:rsidR="004D24E6" w:rsidRPr="00E50FA4" w:rsidRDefault="004D24E6" w:rsidP="00720CB4">
      <w:pPr>
        <w:jc w:val="both"/>
        <w:rPr>
          <w:rFonts w:ascii="Times New Roman" w:hAnsi="Times New Roman"/>
          <w:noProof/>
          <w:sz w:val="24"/>
        </w:rPr>
      </w:pPr>
      <w:r>
        <w:rPr>
          <w:rFonts w:ascii="Times New Roman" w:hAnsi="Times New Roman"/>
          <w:b/>
          <w:noProof/>
          <w:sz w:val="24"/>
        </w:rPr>
        <w:t>2. táblázat – A társadalmi kockázatra</w:t>
      </w:r>
      <w:r w:rsidR="00030EB9">
        <w:rPr>
          <w:rFonts w:ascii="Times New Roman" w:hAnsi="Times New Roman"/>
          <w:b/>
          <w:noProof/>
          <w:sz w:val="24"/>
        </w:rPr>
        <w:t xml:space="preserve"> vonatkozó minőségi információk.</w:t>
      </w:r>
      <w:r>
        <w:rPr>
          <w:rFonts w:ascii="Times New Roman" w:hAnsi="Times New Roman"/>
          <w:b/>
          <w:noProof/>
          <w:sz w:val="24"/>
        </w:rPr>
        <w:t xml:space="preserve"> </w:t>
      </w:r>
      <w:r>
        <w:rPr>
          <w:rFonts w:ascii="Times New Roman" w:hAnsi="Times New Roman"/>
          <w:noProof/>
          <w:sz w:val="24"/>
        </w:rPr>
        <w:t>Szabad formátumban kitölthető szövegmezők a XXXVII. mellékletben feltüntetett minőségi információk nyilvánosságra hozatalához</w:t>
      </w:r>
    </w:p>
    <w:p w14:paraId="097811D3" w14:textId="7D7E694D"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Az intézményeknek az e rendelet XXXIX. mellékletében meghatározott 2. táblázat (»A társadalmi kockázatra vonatkozó minőségi információk«) kitöltéséhez a következő útmutatót kell használniuk a társadalmi kockázatok üzleti stratégiájukba és folyamataikba, irányítási és kockázatkezelési eljárásaikba való integrálásának bemutatására, az 575/2013/EU rendelet 435. cikkével összefüggésben értelmez</w:t>
      </w:r>
      <w:r w:rsidR="00C571DD">
        <w:rPr>
          <w:rFonts w:ascii="Times New Roman" w:hAnsi="Times New Roman"/>
          <w:noProof/>
          <w:sz w:val="24"/>
        </w:rPr>
        <w:t>ett 449a. cikkével összhangban.</w:t>
      </w:r>
    </w:p>
    <w:p w14:paraId="5E5092D5" w14:textId="77777777" w:rsidR="000F505C" w:rsidRPr="00DB5A05"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Jogszabályi hivatkozások és útmutató</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Sor száma</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Magyarázat</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Üzleti stratégia és folyamatok</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a) és e) pontjával összefüggésben értelmezett 449a. cikkével összhangban az intézményeknek ismertetniük kell, hogy üzleti modelljük, stratégiájuk és folyamataik, valamint pénzügyi tervezésük hogyan integrálja a társadalmi tényezőkből eredő kockázatokat (azaz a társadalmi kockázatokat), és hogy ezek a kockázatok hogyan alakulhatnak idővel a technológia, a szakpolitikai keret, az üzleti környezet és az érdekelt felek preferenciáinak a változásai miatt.</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6FE8D150"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a) pontjával és c)–f) pontjával összefüggésben értelmezett 449a. cikkével összhangban az intézményeknek be kell mutatniuk a társadalmi kockázatok értékelésére és kezelésére vonatkozó célkitűzéseket, célértékeket és korlátokat, valamint ismertetniük kell azokat a folyamatokat, amelyeket e célkitűzések, célértékek és korlát</w:t>
            </w:r>
            <w:r w:rsidR="00BE378B">
              <w:rPr>
                <w:rFonts w:ascii="Times New Roman" w:hAnsi="Times New Roman"/>
                <w:noProof/>
                <w:sz w:val="24"/>
              </w:rPr>
              <w:t>ok meghatározásához használnak.</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Az intézményeknek ki kell fejteniük, hogy e célkitűzések, célértékek és korlátok hogyan kapcsolódnak az alkalmazandó nemzetközi és uniós szakpolitikai kerethez, valamint a rendelkezésre álló referenciaértékekhez.</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A társadalmi szempontok közé tartozik az emberi jogok megsértése, a munkavállalói jogok, a jövedelmi egyenlőtlenség, az emberi jogok hiánya, a fogyasztók biztonsága és védelme, a magánélet védelme, a szegénység és a megkülönböztetésmentesség. Emellett az éghajlatváltozás és az alacsony szén-dioxid-kibocsátású gazdaságra való átállás társadalmi hatásokkal is jár, amelyek magukban foglalják a munkaerőpiac változásait is. Ezek közé tartozik egyes munkahelyek és készségek iránti kereslet csökkenése, új munkahelyek és készségek megjelenése, a fogyasztói preferenciák változása, a részvényesek hajlandósága arra, hogy az éghajlati, környezeti és társadalmi változásokat gyorsan integrálják az általuk ellenőrzött vállalatok folyamataiba, a 2013/36/EU irányelv 98. cikkének (8) bekezdése alapján elfogadott EBH-jelentés 78. pontjában foglaltak szerint.</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d) pontjával összefüggésben értelmezett 449a. cikkével összhangban az intézményeknek ismertetniük kell, miként hoznak intézkedéseket a társadalmi tényezőkhöz kapcsolódó kockázatok csökkentésére, ezen belül miként mérik fel, hogy partnereik mennyire képesek a társadalmi kockázatok kezelésére, és folytatnak-e velük párbeszédet a társadalmi kockázatok mérséklése érdekében.</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DB5A05"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Irányítás</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b) pontjával és 435. cikke (2) bekezdésének a)–c) pontjával összefüggésben értelmezett 449a. cikkével összhangban az intézményeknek tájékoztatást kell nyújtaniuk arról, hogyan vesz részt vezető testületük a társadalmi kockázatok felügyeletében és kezelésében. A tájékoztatásnak ki kell terjednie a vezető testület által alkalmazott megközelítés indokolására, és számos társadalmi tényezőt figyelembe kell vennie. E tényezők közé tartozik az intézmény közösség és társadalom iránti elkötelezettsége, a munkavállalókkal való kapcsolata, a munkaügyi normák betartása, a fogyasztóvédelem és a termékfelelősség, valamint az emberi jogok.</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(2) bekezdésének a–c) pontjával összefüggésben értelmezett 449a. cikkével összhangban, az intézményeknek tájékoztatást kell nyújtaniuk kockázatkezelési bizottságaik szervezetéről, valamint a kockázatkezelési keretrendszerben a társadalmi kockázatok nyomon követésére és kezelésére vonatkozó feladatok és felelősségi körök meghatározásáról.</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intézményeknek tájékoztatást kell nyújtaniuk a társadalmi kockázatok értékelésére szánt belső és külső forrásaikról.</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(2) bekezdésének e) pontjával összefüggésben értelmezett 449a. cikkével összhangban, az intézményeknek tájékoztatást kell nyújtaniuk arról, hogy milyen módon építik be a társadalmi kockázatokat a belső adatszolgáltatási keretükbe és struktúrájukba, továbbá tájékoztatást kell nyújtaniuk az említett kockázatokra vonatkozó belső adatszolgáltatás és információcsere gyakoriságáról.</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(2) bekezdésének e) pontjával összefüggésben értelmezett 449a. cikkével összhangban, az intézményeknek tájékoztatást kell nyújtaniuk arról, hogy javadalmazási politikájuk tartalmaz-e a társadalmi kockázatokkal kapcsolatos elemeket, valamint azokról a kritériumokról és mérőszámokról, amelyeket a társadalmi kockázati megfontolások által a javadalmazás változó összetevőire gyakorolt hatás meghatározásához használnak.</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DB5A05"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Kockázatkezelés</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1DF0602C"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(1) bekezdésének a) pontjával összefüggésben értelmezett 449a. cikkével összhangban az intézményeknek tájékoztatást kell nyújtaniuk a társadalmi tényezők és kockázatok azonosítására és kezelésére használt módszerekről, fogalommeghatározásokról és standardokról, valamint az említett standardok, fogalommeghatározások és módszerek alap</w:t>
            </w:r>
            <w:r w:rsidR="00BE378B">
              <w:rPr>
                <w:rFonts w:ascii="Times New Roman" w:hAnsi="Times New Roman"/>
                <w:noProof/>
                <w:sz w:val="24"/>
              </w:rPr>
              <w:t>jául szolgáló keretrendszerről.</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ki kell fejteniük, hogy ezek a módszerek, fogalommeghatározások és standardok hogyan viszonyulnak a jelenlegi nemzetközi és uniós szakpolitikai kerethez és a rendelkezésre álló referenciaértékekhez.</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5F4130F"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(1) bekezdésének a) pontjával összefüggésben értelmezett 449a. cikkével összhangban az intézményeknek információt kell szolgáltatniuk arról a folyamatról, amelynek során azonosítják és nyomon követik a társadal</w:t>
            </w:r>
            <w:r w:rsidR="00BE378B">
              <w:rPr>
                <w:rFonts w:ascii="Times New Roman" w:hAnsi="Times New Roman"/>
                <w:noProof/>
                <w:sz w:val="24"/>
              </w:rPr>
              <w:t xml:space="preserve">mi kockázatokra </w:t>
            </w:r>
            <w:r>
              <w:rPr>
                <w:rFonts w:ascii="Times New Roman" w:hAnsi="Times New Roman"/>
                <w:noProof/>
                <w:sz w:val="24"/>
              </w:rPr>
              <w:t>érzékeny tevékenységeiket és kitettségeiket, ideértve a partnereikhez kapcsolódó és befektetési vagy eszközkezelési tevékenységeiket, valamint az e tevékenységekhez és kitettségekhez kapcsolódó ingó és ingatlan eszközöket is.</w:t>
            </w:r>
          </w:p>
          <w:p w14:paraId="1B1F0DF8" w14:textId="52528C90"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tájékoztatást kell nyújtaniuk arról a folyamatról, amelynek során azonosítják és nyomon követik azokat a társadalmi kockázatokat, amelyek pénzügyileg lényegesek, vagy amelyek ugyan jelenleg nem lényegesek, de a jö</w:t>
            </w:r>
            <w:r w:rsidR="00BE378B">
              <w:rPr>
                <w:rFonts w:ascii="Times New Roman" w:hAnsi="Times New Roman"/>
                <w:noProof/>
                <w:sz w:val="24"/>
              </w:rPr>
              <w:t>vőben várhatóan azzá válhatnak.</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ilyen, társadalmi kockázatokra érzékeny tevékenységek, kitettségek és eszközök kapcsolódhatnak olyan partnerekhez, akik megsértik a munkajogot, az emberi jogokat vagy más szociális jogszabályokat vagy jogokat, és amelyek ennek következtében perbe foghatók lehetnek. A fokozott társadalmi kockázatot jelentő ágazatok közé tartozhatnak konkrétabban a migráns munkavállalókkal, az alacsony bérekkel, a nem megfelelő munkaügyi normákkal vagy a rossz munkakörülményekkel jellemezhető ágazatok, amelyek negatívan hatnak a közösségre, és amelyek nagyobb eséllyel válhatnak nyilvánosság általi vagy politikai ellenőrzés tárgyává.</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a) pontjával összefüggésben értelmezett 449a. cikkével összhangban az intézményeknek tájékoztatást kell nyújtaniuk a társadalmi kockázatok mérséklése érdekében alkalmazott tevékenységeikről, kötelezettségvállalásaikról és eszközeikről.</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(1) bekezdésének a) pontjával összefüggésben értelmezett 449a. cikkével összhangban az intézményeknek tájékoztatást kell nyújtaniuk a társadalmi kockázatok azonosítására és kezelésére használt végrehajtási eszközeikről. Ezek az eszközök magukban foglalják a kitettség, a portfólió, a partner vagy az ágazat szintjén alkalmazott forgatókönyv-elemzést, és olyan tényezőket fednek le, mint a migráció, a demográfiai tendenciák, a munkaerő változása és a technológiai változások.</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 társadalmi kockázatok közé tartozhat továbbá a fogyasztói magatartás megváltozása, a megkülönböztetéssel és a társadalmi befogadással kapcsolatos kérdések, az egyenlőtlenség növekedése, az éghajlatváltozásnak, az éghajlatváltozáshoz való alkalmazkodásnak/az éghajlatváltozás mérséklésének és a környezetkárosodásnak a társadalmi hatása.</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tájékoztatást kell nyújtaniuk a forgatókönyv-elemzés elvégzéséhez használt feltételezésekről és módszerekről. Az intézményeknek fel kell tüntetniük a társadalmi kockázatok számviteli és prudenciális mérőszámok összefüggésében elvégzett értékeléséhez használt időhorizontot, nevezetesen, hogy rövid, közép- vagy hosszú távú időhorizontról van-e szó.</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(1) bekezdésének f) pontjával összefüggésben értelmezett 449a. cikkével összhangban az intézményeknek tájékoztatást kell nyújtaniuk azokról a korlátokról, amelyeket az üzleti stratégiájuknak megfelelő társadalmi célkitűzéseket jelentős mértékben sértő projektek vagy partnerek finanszírozása tekintetében alkalmaznak.</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Ezeknek a korlátoknak magukban kell foglalniuk az intézmények által a társadalmi kockázatok elkerülése vagy mérséklése érdekében a keletkeztetési és a nyomonkövetési ponton meghatározott korlátokat, valamint azokat a korlátokat, amelyek jelzik, hogy egy adott kitettség mikor von maga után további vizsgálatot, belső eszkalációt, korrekciós intézkedéseket vagy a portfólióból való kizárást.</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449a. cikkével összhangban az intézményeknek tájékoztatást kell nyújtaniuk arról, hogyan jelenítik meg és kapcsolják össze mérlegükben a felmerülő társadalmi kockázatokat a hitelkockázattal, a likviditási kockázattal, a piaci kockázattal és a működési kockázattal.</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tájékoztatást kell nyújtaniuk arról, milyen módon értékelik és kezelik a releváns, társadalmilag káros események prudenciális kockázati kategóriákra – többek között a hitelkockázatra, a likviditási kockázatra, a piaci kockázatra és a működési kockázatra – gyakorolt hatását.</w:t>
            </w:r>
          </w:p>
        </w:tc>
      </w:tr>
    </w:tbl>
    <w:p w14:paraId="351DE992" w14:textId="77777777" w:rsidR="001F2096" w:rsidRPr="00DB5A05" w:rsidRDefault="001F2096" w:rsidP="001A08A2">
      <w:pPr>
        <w:jc w:val="both"/>
        <w:rPr>
          <w:rFonts w:ascii="Times New Roman" w:hAnsi="Times New Roman" w:cs="Times New Roman"/>
          <w:noProof/>
          <w:sz w:val="24"/>
        </w:rPr>
      </w:pPr>
    </w:p>
    <w:p w14:paraId="5796687E" w14:textId="68023EA9"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3. táblázat – Az irányítási kockázatra vonatkozó minőségi információk</w:t>
      </w:r>
      <w:r w:rsidR="00030EB9">
        <w:rPr>
          <w:rFonts w:ascii="Times New Roman" w:hAnsi="Times New Roman"/>
          <w:b/>
          <w:noProof/>
          <w:sz w:val="24"/>
        </w:rPr>
        <w:t>.</w:t>
      </w:r>
      <w:r>
        <w:rPr>
          <w:rFonts w:ascii="Times New Roman" w:hAnsi="Times New Roman"/>
          <w:noProof/>
          <w:sz w:val="24"/>
        </w:rPr>
        <w:t xml:space="preserve"> Szabad formátumban kitölthető szövegmezők a XXXVII. mellékletben feltüntetett minőségi információk nyilvánosságra hozatalához</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Az intézményeknek az e rendelet XXXIX. mellékletében meghatározott 3. táblázat (»Az irányítási kockázatra vonatkozó minőségi információk«) kitöltéséhez a következő útmutatót kell használniuk az irányítási kockázatok irányítási és kockázatkezelési eljárásaikba való integrálásának bemutatására, az 575/2013/EU rendelet 435. cikkével összefüggésben értelmezett 449a. cikkével összhangban.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Jogszabályi hivatkozások és útmutató</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Sor száma</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Magyarázat</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Irányítás</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575/2013/EU rendelet 435. cikke (2) bekezdésével összefüggésben értelmezett 449a. cikkével összhangban az intézményeknek tájékoztatást kell nyújtaniuk arról, milyen módon integrálják partnereik irányítási teljesítményét saját irányítási rendszerükbe.</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 partner irányítási teljesítményével kapcsolatos megfontolásoknak ki kell terjedniük a partner döntéshozatali, felügyeleti és irányítási folyamataihoz szükséges lépésekre minden szinten, beleértve a partner legmagasabb szintű irányító testületének bizottságait és a gazdasági, környezeti és társadalmi kérdésekkel kapcsolatos döntéshozatalért felelős bizottságait is.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intézményeknek ki kell fejteniük, milyen módon veszik figyelembe a partner vezető irányító testületének szerepét a nem pénzügyi beszámolásban, beleértve azt a legfelső szintű bizottságot vagy tisztségviselőt, amely vagy aki hivatalosan felülvizsgálja és jóváhagyja a szervezet fenntarthatósági jelentését, és biztosítja, hogy az minden lényeges témára kiterjedjen.</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575/2013/EU rendelet 435. cikke (2) bekezdésével összefüggésben értelmezett 449a. cikkével összhangban az intézményeknek tájékoztatást kell nyújtaniuk arról, milyen módon integrálják partnereik irányítási teljesítményét saját irányítási rendszerükbe.</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 partnereinek irányítási teljesítményével kapcsolatos megfontolásoknak a következők mindegyikére ki kell terjedniük:</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etikai megfontolások, beleértve a magatartás integritását, az értékeket és az etikát, megvesztegetés elleni és korrupcióellenes intézkedések, elszámoltathatóság és jogállamiság;</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stratégia és kockázatkezelés, beleértve a stratégia végrehajtását, az operatív végrehajtást és nyomon követést, a belső kontrollokat, valamint a kockázatkezelési politikákat és eljárásokat;</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inkluzivitás; beleértve a nemek közötti szakadékot és a kisebbségi csoportokból származó személyek képviseletét a vezetésben, továbbá a jövedelmi szakadékot;</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átláthatóság; beleértve a hátrányos megkülönböztetésre, az adózási kötelezettségvállalásokra és kifizetésekre, a lobbitevékenységekre, valamint a szabályokra és követett gyakorlatokra vonatkozó közzétételeket;</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az összeférhetetlenség kezelése, beleértve a legmagasabb szintű irányító testületnek az összeférhetetlenség elkerülését, kezelését és mérséklését biztosító eljárásait; valamint</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a súlyos aggályokkal kapcsolatos belső kommunikáció, beleértve azt is, hogyan működik a partner esetében a súlyos aggályoknak a legmagasabb szintű irányító testület felé való továbbítására hivatott belső folyamat.</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DB5A05"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Kockázatkezelés</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Az 575/2013/EU rendelet 435. cikke (1) bekezdésével összefüggésben értelmezett 449a. cikkével összhangban az intézményeknek tájékoztatást kell nyújtaniuk arról, milyen módon integrálják partnereik irányítási teljesítményét saját kockázatkezelési rendszerükbe, a 3. sorban meghatározott szempontok figyelembevételével.</w:t>
            </w:r>
          </w:p>
        </w:tc>
      </w:tr>
    </w:tbl>
    <w:p w14:paraId="55A0122A" w14:textId="77777777" w:rsidR="00C168F0" w:rsidRPr="00DB5A05"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1. tábla – Banki könyv – Az éghajlatváltozással kapcsolatos átállás potenciális kockázatának mutatói: </w:t>
      </w:r>
      <w:r w:rsidRPr="00B019B6">
        <w:rPr>
          <w:rFonts w:ascii="Times New Roman" w:hAnsi="Times New Roman"/>
          <w:b/>
          <w:noProof/>
          <w:sz w:val="24"/>
        </w:rPr>
        <w:t>A kitettségek hitelminősége ágazatonként, kibocsátásmennyiség és hátralévő futamidő szerint.</w:t>
      </w:r>
      <w:r>
        <w:rPr>
          <w:rFonts w:ascii="Times New Roman" w:hAnsi="Times New Roman"/>
          <w:noProof/>
          <w:sz w:val="24"/>
        </w:rPr>
        <w:t xml:space="preserve"> Kötött formátum.</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az e rendelet XXXIX. mellékletében meghatározott 1. tábla kitöltéséhez a következő útmutatót kell használniuk azoknak a kitettségeknek a bemutatására, amelyek fokozottabban ki vannak téve az alacsony szén-dioxid-kibocsátású és az éghajlatváltozás hatásaival szemben ellenállóképes gazdaságra való átállásból eredő, az intézményt esetlegesen érintő kockázatoknak. Az 575/2013/EU rendelet 449a. cikke alkalmazásában:</w:t>
      </w:r>
    </w:p>
    <w:p w14:paraId="442721A4" w14:textId="73557CED"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az intézményeknek információkat kell nyilvánosságra hozniuk a szén-dioxid-kibocsátással kapcsolatos ágazatokban működő nem pénzügyi vállalatokkal szembeni kitettségeikről és e kitettségek minőségéről, beleértve a nemteljesítő státuszt, a 2. szakasz szerinti besorolást és a kapcsolódó céltartalékoka</w:t>
      </w:r>
      <w:r w:rsidR="00C55980">
        <w:rPr>
          <w:rFonts w:ascii="Times New Roman" w:hAnsi="Times New Roman"/>
          <w:noProof/>
          <w:sz w:val="24"/>
        </w:rPr>
        <w:t>t, valamint a lejárati sávokat;</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az intézményeknek meg kell kezdeniük a partnerek 1., 2. és 3. körbe tartozó kibocsátásaira vonatkozó információk nyilvánosságra hozatalát, amennyiben azok már rendelkezésre állnak, beleértve az e táblát kísérő szöveges beszámolóban az e kibocsátások kiszámításához használt módszertanra és forrásokra vonatkozó minőségi információkat is. Amennyiben az intézmények még nem kezdték meg partnereik finanszírozási tevékenységeikhez – többek között a hitelezési és befektetési tevékenységekhez – kapcsolódó kibocsátásainak becslését, úgy az ezen információk becslésére és közzétételére szolgáló módszerek alkalmazására irányuló terveikre vonatkozó információkat kell nyilvánosságra hozniuk. Az intézményeknek 2024. június 30-i első nyilvánosságra hozatali vonatkozási időponttal kell megkezdeniük a tábla i–k) oszlopában szereplő információk közzétételét.</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a táblát kísérő szöveges leírásban közölniük kell a nyilvánosságra hozott információkra és a korábbi nyilvánosságra hozatali időszakokhoz képest bekövetkezett változásokra vonatkozó magyarázatokat, valamint ismertetniük kell az említett kitettségeknek a hitel-, piaci, működési, reputációs és likviditási kockázatokra gyakorolt esetleges következményeit.</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a tábla soraiban fel kell tüntetniük a nem pénzügyi vállalatokkal szembeni kitettségek, köztük a hitelek és előlegek, a nem kereskedési céllal tartott hitelviszonyt megtestesítő értékpapírok és tulajdoni részesedést megtestesítő instrumentumok bruttó könyv szerinti értékének a gazdasági tevékenységek ágazatai szerinti bontását a gazdasági tevékenységek nómenklatúrájának (NACE) az 1893/2006/EK európai parlamenti és tanácsi rendeletben</w:t>
      </w:r>
      <w:r>
        <w:rPr>
          <w:rStyle w:val="FootnoteReference"/>
          <w:rFonts w:ascii="Times New Roman" w:hAnsi="Times New Roman"/>
          <w:noProof/>
          <w:sz w:val="24"/>
        </w:rPr>
        <w:t>*11</w:t>
      </w:r>
      <w:r>
        <w:rPr>
          <w:rFonts w:ascii="Times New Roman" w:hAnsi="Times New Roman"/>
          <w:noProof/>
          <w:sz w:val="24"/>
        </w:rPr>
        <w:t xml:space="preserve"> meghatározott kódjai alapján, a partner fő tevékenysége szerint. Azokat a részösszegeket is fel kell tüntetni, amelyek az éghajlatváltozáshoz jelentős mértékben hozzájáruló ágazatokkal és alágazatokkal szembeni kitettségek bruttó könyv szerinti értékét összesítik. Különösen az 1893/2006/EK rendelet I. mellékletének A–H. és L. nemzetgazdasági ágaiban felsorolt ágazatokra kell hivatkozni, amelyek magukban foglalják a kőolaj-, a földgáz-, a bányászati és a szállítási ágazatot mint az (EU) 2020/1818 felhatalmazáson alapuló bizottsági rendelet</w:t>
      </w:r>
      <w:r>
        <w:rPr>
          <w:rFonts w:ascii="Times New Roman" w:hAnsi="Times New Roman"/>
          <w:noProof/>
          <w:sz w:val="24"/>
          <w:vertAlign w:val="superscript"/>
        </w:rPr>
        <w:t>*12</w:t>
      </w:r>
      <w:r>
        <w:rPr>
          <w:rFonts w:ascii="Times New Roman" w:hAnsi="Times New Roman"/>
          <w:noProof/>
          <w:sz w:val="24"/>
        </w:rPr>
        <w:t xml:space="preserve"> (6) preambulumbekezdésében meghatározott, az éghajlatváltozáshoz jelentős mértékben hozzájáruló ágazatokat; ezenkívül fel kell tüntetni az említett preambulumbekezdésben nem említett „egyéb ágazatokkal” szembeni kitettségek részösszegét.</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Az ügyfélszektor NACE szerinti meghatározása a közvetlen partner jellegén alapul.</w:t>
      </w:r>
      <w:r>
        <w:rPr>
          <w:noProof/>
        </w:rPr>
        <w:t xml:space="preserve"> </w:t>
      </w:r>
      <w:r>
        <w:rPr>
          <w:rFonts w:ascii="Times New Roman" w:hAnsi="Times New Roman"/>
          <w:noProof/>
          <w:sz w:val="24"/>
        </w:rPr>
        <w:t>Amennyiben az intézmény partnere holdingtársaság, az intézményeknek a holdingtársaság alá tartozó, finanszírozásban részesülő konkrét kötelezett (ha eltér a holdingtársaságtól) NACE-ágazatát kell figyelembe venniük a holdingtársaság ágazata helyett (azaz a holdingtársaság szóban forgó leányvállalatának ágazatát), különösen azokban az esetekben, amikor a finanszírozásban részesülő kötelezett nem pénzügyi vállalat. Hasonlóképpen, ha az intézmény közvetlen partnere (a kötelezett) különleges célú gazdasági egység (SPV), az intézményeknek a különleges célú gazdasági egység anyavállalatának gazdasági tevékenységéhez tartozó NACE-ágazat alatt kell nyilvánosságra hozniuk a vonatkozó információkat. Az egynél több kötelezetthez együttesen tartozó kitettség besorolásának azon kötelezett jellemzői alapján kell történnie, amelyik az intézmény szempontjából relevánsabb vagy meghatározóbb volt a kitettségek vállalásában. Az együttesen vállalt kitettségek NACE-kódok szerinti megoszlását a relevánsabb vagy meghatározóbb ügyfél jellemzői határozzák meg. Az intézmények a tábla soraiban előírt bontási szintnek megfelelő NACE-kódok szerint kötelesek közzétenni az információkat.</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Oszlop</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Útmutató</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434FD856"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Bruttó könyv szerinti érték összesen</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Az intézményeknek az (EU) 2021/451 végrehajtási rendeletnek megfelelően a banki könyvben szereplő számviteli portfóliókba besorolt, nem pénzügyi vállalatokkal szembeni kitettségeknek, köztük a hiteleknek és előlegeknek, a hitelviszonyt megtestesítő értékpapíroknak és a tulajdoni részesedést megtestesítő instrumentumoknak az említett végrehajtási rendelet V. mellékletének 1. részében említett bruttó könyv szerinti értékét kell feltüntetniük, a kereskedési céllal tartott pénzügyi eszközök és az értékesítésre tartott eszközök kivételével.</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2305759B"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a Párizsi Megállapodáshoz igazodó uniós referenciamutatókból kizárt vállalatokkal szembeni kitettségek</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2020/1818 felhatalmazáson alapuló rendelet 12. cikke (1) bekezdésének d)–g) pontjában és 12. cikkének (2) bekezdésében meghatározott, a Párizsi Megállapodáshoz igazodó uniós referenciamutatókból kizárt partnerekkel szembeni kitettségek bruttó könyv szerinti értékét kell feltüntetniük.</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3244BB4"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környezeti szempontból fenntartható (CCM)</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Az intézményeknek azokat a kitettségeket kell feltüntetniük, amelyek környezeti szempontból fenntarthatónak minősülnek, mivel olyan tevékenységeket finanszíroznak, amelyek az (EU) 2020/852 rendelet 10. és 16. cikkével összhangban hozzájárulnak az éghajlatváltozás mérséklésének (CCM) környezeti célkitűzéséhez vagy támogatják azt, az e rendelet XXXIX. mellékletének 7. táblájában feltüntetetteknek megfelelően.</w:t>
            </w:r>
          </w:p>
          <w:p w14:paraId="23994142" w14:textId="6EFEC2EC" w:rsidR="0089627B" w:rsidRPr="00E50FA4" w:rsidRDefault="00A45166" w:rsidP="008F66F5">
            <w:pPr>
              <w:pStyle w:val="Fait"/>
              <w:spacing w:after="120"/>
              <w:rPr>
                <w:noProof/>
              </w:rPr>
            </w:pPr>
            <w:r>
              <w:rPr>
                <w:noProof/>
              </w:rPr>
              <w:t>A GAR számlálójában szereplő kitettségek esetében az intézményeknek ezeket az információkat 2024-től kell nyilvánosságra hozniuk; ebben az esetben az első nyilvánosságra hozatali vonatko</w:t>
            </w:r>
            <w:r w:rsidR="005066D1">
              <w:rPr>
                <w:noProof/>
              </w:rPr>
              <w:t>zási időpont 2023. december 31.</w:t>
            </w:r>
          </w:p>
          <w:p w14:paraId="01E906E3" w14:textId="7EB1E559" w:rsidR="00C97892" w:rsidRPr="00E50FA4" w:rsidRDefault="008F66F5" w:rsidP="002A2C5B">
            <w:pPr>
              <w:pStyle w:val="Fait"/>
              <w:spacing w:after="120"/>
              <w:rPr>
                <w:noProof/>
              </w:rPr>
            </w:pPr>
            <w:r>
              <w:rPr>
                <w:noProof/>
              </w:rPr>
              <w:t>A BTAR számlálójában szereplő, de a GAR számlálójában nem szereplő kitettségek esetében az intézményeknek ezeket az információkat elegendő 2025-től nyilvánosságra hozniuk; ebben az esetben az első nyilvánosságra hozatali vonatkozási időpont 2024. december 31.</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6B5CDFA4"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2. szakasz</w:t>
            </w:r>
          </w:p>
          <w:p w14:paraId="1EF6469A" w14:textId="5C69419F"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Az IFRS-t alkalmazó intézményeknek az IFRS 9 standard szerinti 2. szakaszba sorolt instrumentumok bruttó könyv szeri</w:t>
            </w:r>
            <w:r w:rsidR="005066D1">
              <w:rPr>
                <w:rFonts w:ascii="Times New Roman" w:hAnsi="Times New Roman"/>
                <w:noProof/>
                <w:sz w:val="24"/>
              </w:rPr>
              <w:t>nti értékét kell feltüntetniük.</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A 86/635/EGK irányelven</w:t>
            </w:r>
            <w:r>
              <w:rPr>
                <w:rFonts w:ascii="Times New Roman" w:hAnsi="Times New Roman"/>
                <w:noProof/>
                <w:sz w:val="24"/>
                <w:vertAlign w:val="superscript"/>
              </w:rPr>
              <w:t>*13</w:t>
            </w:r>
            <w:r>
              <w:rPr>
                <w:rFonts w:ascii="Times New Roman" w:hAnsi="Times New Roman"/>
                <w:noProof/>
                <w:sz w:val="24"/>
              </w:rPr>
              <w:t xml:space="preserve"> alapuló általánosan elfogadott nemzeti számviteli elveket alkalmazó intézmények nem teszik közzé az „ebből 2. szakasz” oszlopokat.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1CB1CCC0"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nemteljesítő</w:t>
            </w:r>
          </w:p>
          <w:p w14:paraId="0B42204B" w14:textId="34BBDECA" w:rsidR="00921167" w:rsidRPr="00E50FA4" w:rsidRDefault="00750A24" w:rsidP="005720C9">
            <w:pPr>
              <w:pStyle w:val="Fait"/>
              <w:spacing w:before="0" w:after="120"/>
              <w:rPr>
                <w:b/>
                <w:noProof/>
                <w:u w:val="single"/>
              </w:rPr>
            </w:pPr>
            <w:r>
              <w:rPr>
                <w:noProof/>
              </w:rPr>
              <w:t>Az intézményeknek az 575/2013/EU rendelet 47a. cikkének (3) bekezdésében meghatározott nemteljesítő kitettségeket kell feltüntetniük.</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66B9D37C"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Halmozott értékvesztés, a hitelkockázat-változásból származó negatív valósérték-változás halmozott összege és céltartalékok</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az (EU) 2021/451 végrehajtási rendelet V. melléklete 2. részének 11., 69., 70., 71., 106. és 110. pontjában meghatározott összegeket kell feltüntetniük.</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177859EE"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2. szakasz</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 szakaszba sorolt kitettségek halmozott értékvesztési összegét kell megadniuk.</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Az IFRS-t alkalmazó intézményeknek az IFRS 9 standard szerinti 2. szakaszba sorolt instrumentumok bruttó könyv szerinti értékét kell feltüntetniük.</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A 86/635/EGK irányelven alapuló általánosan elfogadott nemzeti számviteli elveket alkalmazó intézmények nem teszik közzé az „ebből 2. szakasz” oszlopokat.</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363CD6C5"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nemteljesítő</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Az intézményeknek az 575/2013/EU rendelet 47a. cikkének (3) bekezdésében említett nemteljesítő kitettségeket kell feltüntetniük.</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D98551F"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Finanszírozott ÜHG-kibocsátások (partnerek 1., 2. és 3. körbe tartozó kibocsátásai) (tonna CO</w:t>
            </w:r>
            <w:r w:rsidRPr="00030EB9">
              <w:rPr>
                <w:rFonts w:ascii="Times New Roman" w:hAnsi="Times New Roman"/>
                <w:b/>
                <w:noProof/>
                <w:sz w:val="24"/>
                <w:u w:val="single"/>
                <w:vertAlign w:val="subscript"/>
              </w:rPr>
              <w:t>2</w:t>
            </w:r>
            <w:r>
              <w:rPr>
                <w:rFonts w:ascii="Times New Roman" w:hAnsi="Times New Roman"/>
                <w:b/>
                <w:noProof/>
                <w:sz w:val="24"/>
                <w:u w:val="single"/>
              </w:rPr>
              <w:t>-egyenértékben)</w:t>
            </w:r>
          </w:p>
          <w:p w14:paraId="20A73311" w14:textId="487F4236"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Amennyiben az információ rendelkezésre áll, az intézményeknek a 3. körbe tartozó kibocsátásukra vonatkozó becsléseket kell feltüntetniük az (i) oszlopban, tonna szén-dioxid-egyenértékben kifejezve. A közzététel a tábla 2–52. sorában szereplő valamennyi olyan ágazatra és alágazatra kiterjed, amely jelentős mértékben hozzájárul az éghajlatváltozáshoz, beleértve a kőolaj-, földgáz-, bányászati és szállítási ágazatot is, az (EU) 2020/1818 felhatalmazáson alapuló rendelet (6) preambulumbekezd</w:t>
            </w:r>
            <w:r w:rsidR="005066D1">
              <w:rPr>
                <w:rFonts w:ascii="Times New Roman" w:hAnsi="Times New Roman"/>
                <w:noProof/>
                <w:sz w:val="24"/>
              </w:rPr>
              <w:t>ésében meghatározottak szerint.</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Az intézményeknek a 3. körbe tartozó kibocsátások becslését a partnerektől gyűjtött kibocsátási információkra és az átlagos ágazati kibocsátásintenzitásra vonatkozó információkra kell alapozniuk. A vállalkozások kibocsátásának becslésére alkalmazott módszerek közé tartozik a Partnership for Carbon Accounting Financials (PCAF) által kidolgozott Global GHG Accounting and Reporting Standard for the Financial Industry</w:t>
            </w:r>
            <w:r>
              <w:rPr>
                <w:rFonts w:ascii="Times New Roman" w:hAnsi="Times New Roman"/>
                <w:noProof/>
                <w:sz w:val="24"/>
                <w:vertAlign w:val="superscript"/>
              </w:rPr>
              <w:t>*14</w:t>
            </w:r>
            <w:r>
              <w:rPr>
                <w:rFonts w:ascii="Times New Roman" w:hAnsi="Times New Roman"/>
                <w:noProof/>
                <w:sz w:val="24"/>
              </w:rPr>
              <w:t xml:space="preserve"> (amely különösen az éghajlattal kapcsolatos pénzügyi közzétételekkel foglalkozó munkacsoport (TCFD) számára releváns) vagy a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bookmarkEnd w:id="12"/>
            <w:r>
              <w:rPr>
                <w:rFonts w:ascii="Times New Roman" w:hAnsi="Times New Roman"/>
                <w:noProof/>
                <w:sz w:val="24"/>
              </w:rPr>
              <w:t>Az intézményeknek arányos módon kell megbecsülniük a 3. körbe tartozó, ágazatonkénti kibocsátást, többek között úgy, hogy a partnerrel szembeni kitettségeiket (hitelek és előlegek, hitelviszonyt megtestesítő értékpapírok és tulajdonviszonyt megtestesítő eszközök) a partner összes kötelezettségéhez (számviteli kötelezettségeihez és saját tőkéjéhez) viszonyítva veszik figyelembe.</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táblát kísérő szöveges részben az intézményeknek részletes magyarázatot kell adniuk a felhasznált adatforrásokra és a 3. körbe tartozó ÜHG-kibocsátásuk becslésére alkalmazott módszertanra. Az intézményeknek különösen arról kell számot adniuk, hogy a feltüntetett értékek:</w:t>
            </w:r>
          </w:p>
          <w:p w14:paraId="25C16108" w14:textId="4D11E7B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jelentett kibocsátások (a kibocsátásokra vonatkozó adatok közvetlenül a hitelfelvevőtől vagy a befektetést befog</w:t>
            </w:r>
            <w:r w:rsidR="005066D1">
              <w:rPr>
                <w:rFonts w:ascii="Times New Roman" w:hAnsi="Times New Roman"/>
                <w:noProof/>
                <w:sz w:val="24"/>
              </w:rPr>
              <w:t>adó vállalkozástól származnak);</w:t>
            </w:r>
          </w:p>
          <w:p w14:paraId="06B4282E" w14:textId="1620AC5E"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fizikai tevékenységen alapuló kibocsátások (a kibocsátásokat az adatszolgáltató pénzügyi intézmény becsüli a hitelfelvevőtől vagy a befektetést befogadótól gyűjtött, az elsődleges fizikai tevékenysé</w:t>
            </w:r>
            <w:r w:rsidR="005066D1">
              <w:rPr>
                <w:rFonts w:ascii="Times New Roman" w:hAnsi="Times New Roman"/>
                <w:noProof/>
                <w:sz w:val="24"/>
              </w:rPr>
              <w:t>gre vonatkozó adatok alapján);</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gazdasági tevékenységen alapuló kibocsátások (a kibocsátásokat az adatszolgáltató pénzügyi intézmény becsüli a hitelfelvevőtől vagy a befektetést befogadótól gyűjtött, a gazdasági tevékenységre vonatkozó adatok alapján).</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Amennyiben az intézmények még nem kezdték meg a finanszírozási tevékenységeikhez – többek között a hitelezési és befektetési tevékenységekhez – kapcsolódó partnerkibocsátások becslését, úgy azokat az információkat kell nyilvánosságra hozniuk, amelyek az e becslésekhez használt módszerek alkalmazására irányuló terveikre vonatkoznak. Az intézményeknek 2024. június 30-i első nyilvánosságra hozatali vonatkozási időponttal kell megkezdeniük a tábla i–k) oszlopában szereplő információk közzétételét.</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 dönthetnek úgy, hogy ezeket az információkat korábban, 2022. december 31-i első nyilvánosságra hozatali vonatkozási időponttal kezdik közzétenni.</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1EC36B5C"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finanszírozott, 3. körbe tartozó kibocsátások</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Az intézményeknek partnereik 3. körbe tartozó, az intézmények hitelezési és befektetési tevékenységeihez kapcsolódó kibocsátásait kell feltüntetniük. Amennyiben az intézmények még nem kezdték meg a 3. körbe tartozó kibocsátásaik becslését, a j) oszlopot üresen kell hagyniuk, és a táblát kísérő szöveges részben az e becslésekhez használt módszerek alkalmazására irányuló terveiket kell nyilvánosságra hozniuk.</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Az intézményeknek a 3. körbe tartozó kibocsátásaikat a legnagyobb gondosság elve alapján a legrelevánsabb ágazatokra kiterjedően kell nyilvánosságra hozniuk, összhangban a PCAF-módszerrel és az (EU) 2020/1818 felhatalmazáson alapuló rendelet 5. cikkében foglalt, a 3. körbe tartozó kibocsátásokra vonatkozó fokozatos bevezetésre vonatkozó megközelítéssel.</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Az intézményeknek a táblában szereplő valamennyi ágazat tekintetében 2024. június 30-i első vonatkozási időponttal kell nyilvánosságra hozniuk a partnereik 3. körbe tartozó kibocsátására vonatkozó információkat.</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Azon ágazatok esetében, ahol az adatokat érintő és módszertani kihívások állnak fenn, az intézményeknek követniük kell a Greenhouse Gas Protocol által kidolgozott módszertant, figyelembe véve annak mind az upstream, mind a downstream tevékenységekre kiterjedő 15 kategóriáját.</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A TCFD mérőszámokra és célértékekre vonatkozó iránymutatásával összhangban az intézmények nem hallgathatják el az ilyen típusú információk gyűjtésével kapcsolatos kihívásokat, és a lehető legnagyobb mértékben el kell kerülniük a kétszeres beszámítást.</w:t>
            </w:r>
          </w:p>
          <w:p w14:paraId="09A41DF6" w14:textId="7BC0AAB4"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Az intézményeknek 2024. június 30-i első nyilvánosságra hozatali vonatkozási időponttal kell megkezdeniük a tábla j) oszlopában sze</w:t>
            </w:r>
            <w:r w:rsidR="005066D1">
              <w:rPr>
                <w:rFonts w:ascii="Times New Roman" w:hAnsi="Times New Roman"/>
                <w:noProof/>
                <w:sz w:val="24"/>
              </w:rPr>
              <w:t>replő információk közzétételét.</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Az intézmények dönthetnek úgy, hogy ezeket az információkat korábban, 2022. december 31-i első nyilvánosságra hozatali vonatkozási időponttal kezdik közzétenni.</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3686BD4F"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01B7D558" w14:textId="0F24C10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 xml:space="preserve">A portfólió bruttó könyv szerinti értékének azon százalékos </w:t>
            </w:r>
            <w:r w:rsidR="00030EB9">
              <w:rPr>
                <w:rFonts w:ascii="Times New Roman" w:hAnsi="Times New Roman"/>
                <w:b/>
                <w:noProof/>
                <w:sz w:val="24"/>
              </w:rPr>
              <w:t xml:space="preserve">aránya, amelyre vonatkozóan az </w:t>
            </w:r>
            <w:r>
              <w:rPr>
                <w:rFonts w:ascii="Times New Roman" w:hAnsi="Times New Roman"/>
                <w:b/>
                <w:noProof/>
                <w:sz w:val="24"/>
              </w:rPr>
              <w:t>i) oszlop adata (finanszírozott ÜHG-kibocsátás) vállalatspecifikus adatszolgáltatásból származik</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 portfólió (a kitettségek bruttó könyv szerinti értéke) azon százalékát kell feltüntetniük, amelyre vonatkozóan a hitelezési és befektetési tevékenységeikhez kapcsolódó 1., 2. és 3. körbe tartozó partnerkibocsátásokat a partnerek által közzétett vagy az intézmény számára kétoldalú alapon jelentett információk alapján tudták megbecsülni.</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364EF743"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r w:rsidR="00ED68BA">
              <w:rPr>
                <w:rFonts w:ascii="Times New Roman" w:hAnsi="Times New Roman"/>
                <w:noProof/>
                <w:sz w:val="24"/>
              </w:rPr>
              <w:t>)</w:t>
            </w:r>
            <w:r>
              <w:rPr>
                <w:rFonts w:ascii="Times New Roman" w:hAnsi="Times New Roman"/>
                <w:noProof/>
                <w:sz w:val="24"/>
              </w:rPr>
              <w:t xml:space="preserve"> – p</w:t>
            </w:r>
            <w:r w:rsidR="00ED68BA">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214E6A0" w14:textId="3471A62D"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 5 év</w:t>
            </w:r>
            <w:r w:rsidR="00030EB9">
              <w:rPr>
                <w:rFonts w:ascii="Times New Roman" w:hAnsi="Times New Roman"/>
                <w:b/>
                <w:noProof/>
                <w:sz w:val="24"/>
              </w:rPr>
              <w:t>;</w:t>
            </w:r>
            <w:r>
              <w:rPr>
                <w:rFonts w:ascii="Times New Roman" w:hAnsi="Times New Roman"/>
                <w:b/>
                <w:noProof/>
                <w:sz w:val="24"/>
              </w:rPr>
              <w:t xml:space="preserve"> &gt; 5 év ≤ 10 év</w:t>
            </w:r>
            <w:r w:rsidR="00030EB9">
              <w:rPr>
                <w:rFonts w:ascii="Times New Roman" w:hAnsi="Times New Roman"/>
                <w:b/>
                <w:noProof/>
                <w:sz w:val="24"/>
              </w:rPr>
              <w:t>;</w:t>
            </w:r>
            <w:r>
              <w:rPr>
                <w:rFonts w:ascii="Times New Roman" w:hAnsi="Times New Roman"/>
                <w:b/>
                <w:noProof/>
                <w:sz w:val="24"/>
              </w:rPr>
              <w:t xml:space="preserve"> &gt; 10 év ≤ 20 év</w:t>
            </w:r>
            <w:r w:rsidR="00030EB9">
              <w:rPr>
                <w:rFonts w:ascii="Times New Roman" w:hAnsi="Times New Roman"/>
                <w:b/>
                <w:noProof/>
                <w:sz w:val="24"/>
              </w:rPr>
              <w:t>;</w:t>
            </w:r>
            <w:r>
              <w:rPr>
                <w:rFonts w:ascii="Times New Roman" w:hAnsi="Times New Roman"/>
                <w:b/>
                <w:noProof/>
                <w:sz w:val="24"/>
              </w:rPr>
              <w:t xml:space="preserve"> &gt; 20 év</w:t>
            </w:r>
            <w:r w:rsidR="00030EB9">
              <w:rPr>
                <w:rFonts w:ascii="Times New Roman" w:hAnsi="Times New Roman"/>
                <w:b/>
                <w:noProof/>
                <w:sz w:val="24"/>
              </w:rPr>
              <w:t>;</w:t>
            </w:r>
            <w:r>
              <w:rPr>
                <w:rFonts w:ascii="Times New Roman" w:hAnsi="Times New Roman"/>
                <w:b/>
                <w:noProof/>
                <w:sz w:val="24"/>
              </w:rPr>
              <w:t xml:space="preserve"> Súlyozott átlagos futamidő</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Az intézményeknek a kitettségeket az érintett sávba kell sorolniuk a pénzügyi instrumentum hátralévő futamidejétől függően, figyelembe véve a következőket:</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ha az összeget részletekben fizetik vissza, a kitettséget az utolsó részletnek megfelelő lejárati sávba kell besorolni;</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amennyiben egy kitettségnek nincs meghatározott lejárata, és ennek oka nem az, hogy a partner megválaszthatja a törlesztés időpontját, vagy tulajdonviszonyt megtestesítő eszközök esetében e kitettség összegét a legnagyobb lejárati sávba („&gt; 20 év”) kell sorolni;</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a kitettségek átlagos futamidejének kiszámításához az intézményeknek az egyes kitettségek futamidejét a kitettségek bruttó könyv szerinti értékével kell súlyozniuk.</w:t>
            </w:r>
          </w:p>
        </w:tc>
      </w:tr>
    </w:tbl>
    <w:p w14:paraId="7F25982B" w14:textId="77777777" w:rsidR="009461DC" w:rsidRPr="00DB5A05" w:rsidRDefault="009461DC" w:rsidP="00D35812">
      <w:pPr>
        <w:spacing w:before="120" w:after="120"/>
        <w:jc w:val="both"/>
        <w:rPr>
          <w:rFonts w:ascii="Times New Roman" w:hAnsi="Times New Roman" w:cs="Times New Roman"/>
          <w:b/>
          <w:noProof/>
          <w:sz w:val="24"/>
        </w:rPr>
      </w:pPr>
    </w:p>
    <w:p w14:paraId="604BB151" w14:textId="4118E664"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 xml:space="preserve">2. tábla: Banki könyv – Az éghajlatváltozással kapcsolatos átállás potenciális kockázatának mutatói: Ingatlannal fedezett hitelek – A biztosíték energiahatékonysága. </w:t>
      </w:r>
      <w:r w:rsidRPr="00030EB9">
        <w:rPr>
          <w:rFonts w:ascii="Times New Roman" w:hAnsi="Times New Roman"/>
          <w:noProof/>
          <w:sz w:val="24"/>
        </w:rPr>
        <w:t>Kötött formátum.</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6099BA72"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Az intézményeknek az e rendelet XXXIX. mellékletében meghatározott 2. tábla kitöltéséhez a követk</w:t>
      </w:r>
      <w:r w:rsidR="005066D1">
        <w:rPr>
          <w:rFonts w:ascii="Times New Roman" w:hAnsi="Times New Roman"/>
          <w:noProof/>
          <w:sz w:val="24"/>
        </w:rPr>
        <w:t>ező útmutatót kell használniuk.</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A 2010/31/EU európai parlamenti és tanácsi irányelv</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és a 2012/27/EU európai parlamenti és tanácsi irányelv</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elő kívánja segíteni, hogy 2050-re nagymértékben energiahatékony és kibocsátásmentes épületállomány jöjjön létre. A 2010/31/EU irányelv bevezette az energetikai tanúsítványokat mint az épületek energiahatékonyságának javítását szolgáló eszközt. Az energetikai tanúsítvány valamely tagállam vagy az általa kijelölt jogi személy által elismert olyan tanúsítvány, amely feltünteti az épületnek vagy önálló rendeltetési egységének az említett irányelvvel összhangban számított energiahatékonyságát.</w:t>
      </w:r>
    </w:p>
    <w:p w14:paraId="356E4A10" w14:textId="4A435039"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Ez a tábla a kereskedelmi és lakóingatlannal fedezett hitelek, valamint a birtokbavétellel megszerzett ingatlanbiztosítékok az (EU) 2021/451 végrehajtási rendelet V. mellékletének 1. része szerinti bruttó könyv szerinti értékét mutatja. Tartalmazza a biztosítékok energiahatékonyságának szintjére vonatkozó információkat egyrészt a biztosíték kWh/m²-ben mért energiafogyasztása alapján (a tábla b)–g) oszlopa), másrészt egyfelől – tagállamok esetében – a biztosíték a 2010/31/EU irányelv 2. cikke 12. pontjában említett energetikai tanúsítványának címkéje alapján, másfelől – az Unión kívüli kitettségek esetében – az alkalmazandó helyi rendelkezés meghatározása alapján, amennyiben annak kategóriái megfeleltethetők az uniós energetikai tanúsítvány kategór</w:t>
      </w:r>
      <w:r w:rsidR="00516499">
        <w:rPr>
          <w:rFonts w:ascii="Times New Roman" w:hAnsi="Times New Roman"/>
          <w:noProof/>
          <w:sz w:val="24"/>
        </w:rPr>
        <w:t>iáinak (a tábla h)–n) oszlopa).</w:t>
      </w:r>
    </w:p>
    <w:p w14:paraId="52CC1E3F" w14:textId="5E48854F" w:rsidR="007D3E67" w:rsidRPr="00E50FA4" w:rsidRDefault="007D3E67" w:rsidP="00E50FA4">
      <w:pPr>
        <w:pStyle w:val="CommentText"/>
        <w:jc w:val="both"/>
        <w:rPr>
          <w:noProof/>
        </w:rPr>
      </w:pPr>
    </w:p>
    <w:p w14:paraId="631C1B5B" w14:textId="047BAC30"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Konkrétabban, a b)–g) oszlopban az intézményeknek a kitettségek energiahatékonysági kategóriák szerinti bruttó könyv szerinti értékét kell megadniuk a biztosíték kWh/m²-ben kifejezett fajlagos energiafogyasztása alapján, a biztosíték energetikai tanúsítványán feltüntetettek szerint, vagy ilyen tanúsítvány hiányában az intézmények által becsült módon. Az intézményeknek a tábla 5. és 10. sorában fel kell tüntetniük, hogy az adatok milyen mértékben becslésen, és nem energetikai tanúsítványon alapulnak. A h)–n) oszlopban az intézményeknek a biztosíték energetikai tanúsítványa által csoportosított kitettségek bruttó könyv szerinti értékét kell megadniuk azon biztosítékok esetében, amelyeknél az energetikai tanúsítvány a</w:t>
      </w:r>
      <w:r w:rsidR="00516499">
        <w:rPr>
          <w:rFonts w:ascii="Times New Roman" w:hAnsi="Times New Roman"/>
          <w:noProof/>
          <w:sz w:val="24"/>
        </w:rPr>
        <w:t>z intézmény rendelkezésére áll.</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 biztosítékok energetikai tanúsítvány szerinti eloszlásának közzétételekor az intézményeknek az o) oszlopban külön közzé kell tenniük azokat a kitettségeket, amelyek esetében nem rendelkeznek a biztosítékra vonatkozó energetikai tanúsítványból származó információkkal. Az intézményeknek közzé kell tenniük azon kitettségek százalékos arányát, amelyek biztosítékai vonatkozásában nem rendelkeznek energetikai tanúsítványból származó információkkal, de belső számításokat használnak a biztosíték energiahatékonyságának becslésére (a százalékos arányt a kitettségek bruttó könyv szerinti értéke alapján kell kiszámítani). Az intézményeknek a teljes bruttó könyv szerinti értéket az energiafogyasztási szint és az energetikai tanúsítványban feltüntetett besorolás szerint kell megadniuk, helyszín (uniós és nem uniós terület) alapján történő bontásban, különbséget téve a kereskedelmi ingatlannal fedezett hitelek, a lakóingatlannal fedezett hitelek és a birtokbavétellel megszerzett biztosítékok között.</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olyan harmadik országokban található partnerekkel szembeni kitettségek esetében, ahol nincs egyenértékű energetikai tanúsítvány, az intézményeknek üresen kell hagyniuk a h)–n) oszlopokat. Az intézményeknek azonban az o) és p) oszlopban, valamint adott esetben a b)–g) oszlopban előírt információkat a becsült adatokkal nyilvánosságra kell hozniuk.</w:t>
      </w:r>
    </w:p>
    <w:p w14:paraId="3B9F0AD4" w14:textId="1C71DCB6"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Az egynél több biztosítékhoz, például két ingatlanhoz kapcsolódó kitettségek esetében a kitettséghez kapcsolódó ingatlanokra vonatkozó energiahatékonysági információkat fel kell osztani és külön kell közzétenni az energiahatékonysági szintek szerint (mind az egyes biztosítékok Kwh/m² értékére vonatkozóan a b)–g) oszlopokban, mind pedig energetikai tanúsítványaikra vonatkozóan a h)–n) oszlopokban). Az egyes biztosítékoknak a kitettség bruttó könyv szerinti értékén belüli részesedését a biztosíték értéke alapján kell kiszámítani, és a kitettséget ennek megfelelően kell közzétenni az egyes energiahatékonysági kategóriákban. Például az intézmény 100 000 EUR bruttó könyv szerinti értékű hitellel rendelkezik, amelyet két ingatlan fedez: az „A” és a „B” ingatlan. „A” biztosítéki értéke 80 000 EUR, és energetikai tanúsítványa „A”, míg a „B” ingatlan biztosítéki értéke 70 000 EUR, és energetikai tanúsítványa „D”. Ebben a példában az intézményeknek 53 333 EUR-t (azaz 100 000 EUR * [80 000/(80 000 + 70 000)] EUR-t kell feltüntetniük az „A” energetikai tanúsítványi szinten és 46 667 EUR-t (azaz 100 000 EUR * [70 000/(80 000 + 70 000)] a „D” energetikai tanúsítványi szinten, melyek mindegyike a szóban forgó egyedi hitelnek felel meg.</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3. tábla: Banki könyv – Az éghajlatváltozással kapcsolatos átállás potenciális kockázatának mutatói: Igazodási mérőszámok.</w:t>
      </w:r>
      <w:r>
        <w:rPr>
          <w:rFonts w:ascii="Times New Roman" w:hAnsi="Times New Roman"/>
          <w:noProof/>
          <w:sz w:val="24"/>
        </w:rPr>
        <w:t xml:space="preserve"> Módosítható formátum (rögzített oszlopok, módosítható sorok).</w:t>
      </w:r>
    </w:p>
    <w:p w14:paraId="61DDF494" w14:textId="7BC1F85E"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Az intézményeknek az e rendelet XXXIX. mellékletében meghatározott 3. tábla kitöltéséhez a következő </w:t>
      </w:r>
      <w:r w:rsidR="00516499">
        <w:rPr>
          <w:rFonts w:ascii="Times New Roman" w:hAnsi="Times New Roman"/>
          <w:noProof/>
          <w:sz w:val="24"/>
        </w:rPr>
        <w:t>útmutatót kell használniuk.</w:t>
      </w:r>
    </w:p>
    <w:p w14:paraId="1AFCBB91" w14:textId="0072CBB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ebben a táblában a Párizsi Megállapodás célkitűzéseihez való igazodásra irányuló erőfeszítéseikről kell információkat közzétenniük kiválasztott ágazatok esetében. Az igazodásra vonatkozó közzétételnek meg kell mutatnia, hogy a pénzügyi mozgások milyen mértékben állnak összhangban a Párizsi Megállapodásban említett, az üvegházhatásúgáz-kibocsátás csökkentésére és az éghajlatváltozás hatásaival szemben reziliens fejlődésre irányuló pályával. A dekarbonizációt leíró gazdasági forgatókönyv a Nemzetközi Energiaügynökség (IEA) 2050-ig számított nulla nettó kibocsátásra vonatkozó forgatókönyve (NZE2050)</w:t>
      </w:r>
      <w:r>
        <w:rPr>
          <w:rFonts w:ascii="Times New Roman" w:hAnsi="Times New Roman"/>
          <w:noProof/>
          <w:sz w:val="24"/>
          <w:vertAlign w:val="superscript"/>
        </w:rPr>
        <w:t>*18</w:t>
      </w:r>
      <w:r>
        <w:rPr>
          <w:rFonts w:ascii="Times New Roman" w:hAnsi="Times New Roman"/>
          <w:noProof/>
          <w:sz w:val="24"/>
        </w:rPr>
        <w:t xml:space="preserve">. Az intézményeknek ezt a forgatókönyvet kell figyelembe venniük. Tekintettel arra, hogy az IEA globális szintű forgatókönyveket és európai szintű konkrét mérőszámokat is közzétett, az intézményeknek globális szinten, illetve – amennyiben rendelkezésre állnak konkrét európai szintű mérőszámok – európai szinten kell mérniük az IEA-forgatókönyv referenciaértékeitől való </w:t>
      </w:r>
      <w:r w:rsidR="00516499">
        <w:rPr>
          <w:rFonts w:ascii="Times New Roman" w:hAnsi="Times New Roman"/>
          <w:noProof/>
          <w:sz w:val="24"/>
        </w:rPr>
        <w:t>távolságot.</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Azoknak az intézményeknek, amelyek már készítenek becslést a Párizsi Megállapodáshoz való ágazati igazodásukról, ebben a táblában kell nyilvánosságra hozniuk ezeket az információkat. Az intézményeknek a táblát kísérő szöveges részben ismertetniük kell az alkalmazott módszert és az adatforrást. Azoknak az intézményeknek, amelyek még nem készítenek becslést az ágazati igazodásra, azokat az információkat kell nyilvánosságra hozniuk, amelyek ezen információk becslésére és közzétételére szolgáló módszerek alkalmazására irányuló terveikre vonatkoznak. Az intézményeknek minden esetben 2024. június 30-i első nyilvánosságra hozatali vonatkozási időponttal kell megkezdeniük az e táblában szereplő információk közzétételét.</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ebben a táblában a következőket kell nyilvánosságra hozniuk:</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Az a) és b) oszlop: az a) oszlop tartalmazza az ágazatokat (IEA-ágazatok), ahol is az 1–8. sor az ágazatok kötelező minimális körét sorolja fel, a b) oszlop pedig az alágazatokat (NACE-ágazatok, amelyek minimálisan feltüntetendő körét a táblában szereplő „A figyelembe veendő NACE-ágazatok listája” határozza meg).</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Amennyiben az intézmény partnere holdingtársaság, az intézményeknek a holdingtársaság alá tartozó, finanszírozásban részesülő konkrét kötelezett (ha eltér a holdingtársaságtól) NACE-ágazatát kell figyelembe venniük a holdingtársaság ágazata helyett, különösen azokban az esetekben, amikor a kötelezett nem pénzügyi vállalat. Hasonlóképpen, ha az intézmény közvetlen partnere (a kötelezett) különleges célú gazdasági egység (SPV), az intézményeknek a különleges célú gazdasági egység anyavállalatának gazdasági tevékenységéhez tartozó NACE-ágazat alatt kell nyilvánosságra hozniuk a vonatkozó információkat.</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Az egynél több kötelezetthez együttesen tartozó kitettség besorolásának azon kötelezett jellemzői alapján kell történnie, amelyik az intézmény szempontjából relevánsabb vagy meghatározóbb volt a kitettségek vállalásában. Az intézmények a b) oszlopban előírt bontási szintnek megfelelő NACE-kódok szerint teszik közzé az információkat.</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A c) oszlop: az (EU) 2021/451 végrehajtási rendeletnek megfelelően a banki könyvben szereplő számviteli portfóliókba besorolt, az a) és b) oszlop szerinti ágazatokba tartozó nem pénzügyi vállalatokkal szembeni kitettségeknek, köztük a hiteleknek és előlegeknek, a hitelviszonyt megtestesítő értékpapíroknak és a tulajdoni részesedést megtestesítő instrumentumoknak az (EU) 2021/451 végrehajtási rendelet V. mellékletének 1. részében meghatározott bruttó könyv szerinti értékét kell feltüntetni, a kereskedési céllal tartott pénzügyi eszközök és az értékesítésre tartott eszközök kivételével.</w:t>
      </w:r>
    </w:p>
    <w:p w14:paraId="2B6BA57B" w14:textId="43ACB452"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A d) és e) oszlop: az intézmény által alkalmazott igazodási mérőszám(ok) és a mérőszám legközelebbi referenciaéve az egyes ágazatokra vonatkozóan. Az intézményeknek a 2050-ig elérendő nulla nettó kibocsátásra vonatkozó forgatókönyvhöz (NZE2050) viszonyított igazodási mérőszámo(ka)t kell alkalmazniuk. Az intézményeknek biztosítaniuk kell, hogy a mérőszámok lehetővé tegyék az intézmények által finanszírozott termelési kapacitások átfogó közzétételét, és magukban foglalják az összes releváns, finanszírozott szén-dioxid-intenzív tevékenységet. A tábla példaként felsorol néhány mérőszámot. Az intézményeknek minden szektorra vonatkozóan több, finanszírozási tevékenységük szempontjából releváns mérőszámot kell nyilvánosságra hozniuk. Ezeknek tartalmazniuk kell kibo</w:t>
      </w:r>
      <w:r w:rsidR="00516499">
        <w:rPr>
          <w:rFonts w:ascii="Times New Roman" w:hAnsi="Times New Roman"/>
          <w:noProof/>
          <w:sz w:val="24"/>
        </w:rPr>
        <w:t>csátásintenzitási mérőszámokat,</w:t>
      </w:r>
      <w:r>
        <w:rPr>
          <w:rFonts w:ascii="Times New Roman" w:hAnsi="Times New Roman"/>
          <w:noProof/>
          <w:sz w:val="24"/>
        </w:rPr>
        <w:t xml:space="preserve"> technológiamixen alapuló mérőszámokat és termelésen alapuló mérőszámokat. Az intézményeknek a pénzügyi instrumentumokhoz kapcsolódó mögöttes eszközök és tevékenységek értékelésére kell támaszkodniuk.</w:t>
      </w:r>
    </w:p>
    <w:p w14:paraId="5BB831A7" w14:textId="0722821C"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Azon hitelek esetében, amelyek felhasználása ismert, az értékeket az adott ágazatra és igazodási mérőszámra vonatkozóan kell megadni. Azon hitelek esetében, amelyek felhasználása nem ismert, a kitettség bruttó könyv szerinti értékét a partnerek tevékenységének megoszlása, például a partnerek tevékenységenkénti árbevétele alapján kell az egyes ágazatokhoz és az ig</w:t>
      </w:r>
      <w:r w:rsidR="00516499">
        <w:rPr>
          <w:rFonts w:ascii="Times New Roman" w:hAnsi="Times New Roman"/>
          <w:noProof/>
          <w:sz w:val="24"/>
        </w:rPr>
        <w:t>azodási mérőszámokhoz rendelni.</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Az intézményeknek a b) oszlopban feltüntetett ágazatok és a d) oszlopban feltüntetett igazodási mérőszámok minden egyes releváns kombinációjára vonatkozóan egy-egy sort kell beilleszteniük a táblába.</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Az f) oszlop: a d) oszlop mérőszáma(i) és a 2050-ig elérendő nulla nettó kibocsátásra vonatkozó forgatókönyv (NZE2050) 2030. évi adatpontjai közötti eltérést kell százalékpontban kifejezni. Ez az eltérés a forgatókönyvben szereplő mutató 2030-ra vonatkozó értékéhez való igazodás jelenlegi mértékét mutatja, és az eltérést a d) oszlopban szereplő mutató és az IEA 2030-ra vonatkozó forgatókönyv-előrejelzés közötti különbségként kell kifejezni, elosztva a forgatókönyvi referenciamutatóval, és átszámítva százalékos értékekre.</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Az intézmények az IEA honlapján megtalálhatják a releváns információkat és a 2030-ra vonatkozó, ágazatonként alkalmazandó forgatókönyvi mutatókat. Az intézményeknek az IEA által évente kiadott „Net Zero by 2050 – A Roadmap for the Global Energy Sector” című publikációt</w:t>
      </w:r>
      <w:r>
        <w:rPr>
          <w:rFonts w:ascii="Times New Roman" w:hAnsi="Times New Roman"/>
          <w:noProof/>
          <w:sz w:val="24"/>
          <w:vertAlign w:val="superscript"/>
        </w:rPr>
        <w:t>*19</w:t>
      </w:r>
      <w:r>
        <w:rPr>
          <w:rFonts w:ascii="Times New Roman" w:hAnsi="Times New Roman"/>
          <w:noProof/>
          <w:sz w:val="24"/>
        </w:rPr>
        <w:t xml:space="preserve"> kell használniuk. A konkrét adatpontok és mutatók letölthetők a „Net Zero by 2050” forgatókönyvben szereplő Excel-táblázatból.</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A kitettségek mögöttes tevékenysége csökkenő referenciamutatók (szén-dioxid-intenzív tevékenységek) esetében akkor tekinthető a forgatókönyvhöz igazodónak, ha a mutató értéke alacsonyabb, mint a referenciamutató, növekvő referenciamutató (alacsony szén-dioxid-kibocsátású tevékenységek) esetében pedig akkor, ha értéke magasabb, mint a referenciamutató.</w:t>
      </w:r>
    </w:p>
    <w:p w14:paraId="7EA8B62F" w14:textId="77777777" w:rsidR="008C29E1" w:rsidRPr="00DB5A05"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A g) oszlop: az intézményeknek az e) oszlopban feltüntetett referenciaévtől számított 3 évre és a d) oszlopban jelzett igazodási mérőszámra vonatkozó célértéke. A g) oszlopban kell feltüntetni azt a portfóliókiigazítási pályát és célértékeket, amelyek azt szolgálják, hogy az intézmény hosszú távon az IEA forgatókönyvének megfelelő pályán maradjon.</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C3771F8"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4. tábla: Banki könyv – Az éghajlatváltozással kapcsolatos átállás potenciális kockázatának mutatói: A 20 legnagyobb szén-dioxid-kibocsátó vállalattal szembeni kitettségek.</w:t>
      </w:r>
      <w:r>
        <w:rPr>
          <w:rFonts w:ascii="Times New Roman" w:hAnsi="Times New Roman"/>
          <w:noProof/>
          <w:sz w:val="24"/>
        </w:rPr>
        <w:t xml:space="preserve"> </w:t>
      </w:r>
      <w:r w:rsidRPr="00C47A0A">
        <w:rPr>
          <w:rFonts w:ascii="Times New Roman" w:hAnsi="Times New Roman"/>
          <w:noProof/>
          <w:sz w:val="24"/>
        </w:rPr>
        <w:t>Kötött formátum</w:t>
      </w:r>
      <w:r w:rsidR="007E5AD5" w:rsidRPr="00C47A0A">
        <w:rPr>
          <w:rFonts w:ascii="Times New Roman" w:hAnsi="Times New Roman"/>
          <w:noProof/>
          <w:sz w:val="24"/>
        </w:rPr>
        <w:t>.</w:t>
      </w:r>
    </w:p>
    <w:p w14:paraId="6E1F95ED" w14:textId="4126736D"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Az intézményeknek az e rendelet XXXIX. mellékletében meghatározott 4. tábla kitöltéséhez a követk</w:t>
      </w:r>
      <w:r w:rsidR="00516499">
        <w:rPr>
          <w:rFonts w:ascii="Times New Roman" w:hAnsi="Times New Roman"/>
          <w:noProof/>
          <w:sz w:val="24"/>
        </w:rPr>
        <w:t>ező útmutatót kell használniuk.</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Az intézményeknek ebben a táblában összesített információkat kell nyilvánosságra hozniuk azon kitettségeikről, amelyek a világ legnagyobb szén-dioxid-kibocsátású vállalataival szemben állnak fenn. Összesített és anonimizált információkat kell feltüntetniük a legfeljebb 20 olyan partnerrel szembeni kitettségek bruttó könyv szerinti értékéről, amelyek a világ 20 legnagyobb szén-dioxid-kibocsátást okozó vállalata közé tartoznak. Az információknak nyilvánosan hozzáférhető, megbízható és pontos adatokon kell alapulniuk. A legnagyobb szén-dioxid-kibocsátást okozó vállalatok azonosítására szolgáló adatforrások közé tartozik a Carbon Disclosure Project, a Climate Accountability Institute és a Thompson Reuters legnagyobb szén-dioxid-kibocsátást okozó vállalatokat tartalmazó adatbázisa (Carbon Majors Database) és vonatkozó jelentései.</w:t>
      </w:r>
    </w:p>
    <w:p w14:paraId="219ED269" w14:textId="78D93B08"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Az intézményeknek a közzétételt kísérő szöveges magyarázatban fel kell tüntetniük az általuk felhasznált adatok forrását. Amennyiben az intézmények nem képesek azonosítani a világ 20 legnagyobb szén-dioxid-kibocsátó vállalkozásával szembeni kitettségeiket, magyarázatot kell adniuk arra, miért nem tüntették fel e kitettségeket, ideértve azt az esetet is, ha nincsenek kitettségeik a világ 20 legnagyobb szén-dioxid-kiboc</w:t>
      </w:r>
      <w:r w:rsidR="00516499">
        <w:rPr>
          <w:rFonts w:ascii="Times New Roman" w:hAnsi="Times New Roman"/>
          <w:noProof/>
          <w:sz w:val="24"/>
        </w:rPr>
        <w:t>sátású vállalkozásával szemben.</w:t>
      </w:r>
    </w:p>
    <w:p w14:paraId="64FADC03" w14:textId="77777777" w:rsidR="0076092D" w:rsidRPr="00DB5A05"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DB5A05"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Oszlop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Útmutató</w:t>
            </w:r>
          </w:p>
        </w:tc>
      </w:tr>
      <w:tr w:rsidR="0076092D" w:rsidRPr="00E50FA4" w14:paraId="3DEDFD87" w14:textId="77777777" w:rsidTr="0076092D">
        <w:trPr>
          <w:trHeight w:val="316"/>
        </w:trPr>
        <w:tc>
          <w:tcPr>
            <w:tcW w:w="323" w:type="pct"/>
          </w:tcPr>
          <w:p w14:paraId="52368742" w14:textId="54E28C35"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r w:rsidR="001025F9">
              <w:rPr>
                <w:rFonts w:ascii="Times New Roman" w:hAnsi="Times New Roman"/>
                <w:noProof/>
                <w:sz w:val="24"/>
              </w:rPr>
              <w:t>)</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Bruttó könyv szerinti érték (aggregált)</w:t>
            </w:r>
          </w:p>
        </w:tc>
        <w:tc>
          <w:tcPr>
            <w:tcW w:w="3657" w:type="pct"/>
          </w:tcPr>
          <w:p w14:paraId="5D648427" w14:textId="45CE128E"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 2021/451/EU bizottsági végrehajtási rendelet V. melléklete 1. részében meghatározottak szerinti bruttó könyv szerinti érték. Idetartoznak az említett végrehajtási rendeletnek megfelelően a banki könyvben szereplő számviteli portfóliókba besorolt hitelek és előlegek, hitelviszonyt megtestesítő értékpapírok és tulajdoni részesedést megtestesítő instrumentumok, kivéve a kereskedési céllal tartott pénzügyi eszközöket és az ér</w:t>
            </w:r>
            <w:r w:rsidR="00516499">
              <w:rPr>
                <w:rFonts w:ascii="Times New Roman" w:hAnsi="Times New Roman"/>
                <w:noProof/>
                <w:sz w:val="24"/>
              </w:rPr>
              <w:t>tékesítésre tartott eszközöket.</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Az intézmény azon legfeljebb 20 partnerével szembeni összesített kitettségeket kell figyelembe venni, amelyek a világ 20 legnagyobb szén-dioxid-kibocsátást okozó vállalata közé tartoznak.</w:t>
            </w:r>
          </w:p>
        </w:tc>
      </w:tr>
      <w:tr w:rsidR="0076092D" w:rsidRPr="00E50FA4" w14:paraId="0F0D7B61" w14:textId="77777777" w:rsidTr="0076092D">
        <w:trPr>
          <w:trHeight w:val="316"/>
        </w:trPr>
        <w:tc>
          <w:tcPr>
            <w:tcW w:w="323" w:type="pct"/>
          </w:tcPr>
          <w:p w14:paraId="6E23EFF1" w14:textId="06385969"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r w:rsidR="001025F9">
              <w:rPr>
                <w:rFonts w:ascii="Times New Roman" w:hAnsi="Times New Roman"/>
                <w:noProof/>
                <w:sz w:val="24"/>
              </w:rPr>
              <w:t>)</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Bruttó könyv szerinti érték (aggregált) a teljes bruttó könyv szerinti értékhez képest</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Az intézményeknek itt az a) oszlopban feltüntetett aggregált bruttó könyv szerinti érték és a banki könyvben szereplő kitettségeik az (EU) 2021/451 végrehajtási rendelet V. mellékletének 1. részében említett teljes bruttó könyv szerinti értékének hányadosát kell közzétenniük, utóbbiak közé számítva az említett végrehajtási rendeletnek megfelelően a banki könyvben szereplő számviteli portfóliókba besorolt hiteleket és előlegeket, hitelviszonyt megtestesítő értékpapírokat és tulajdoni részesedést megtestesítő instrumentumokat, kivéve a kereskedési céllal tartott pénzügyi eszközöket és az értékesítésre tartott eszközöket.</w:t>
            </w:r>
          </w:p>
        </w:tc>
      </w:tr>
      <w:tr w:rsidR="00C37612" w:rsidRPr="00E50FA4" w14:paraId="6607ABC1" w14:textId="77777777" w:rsidTr="00FA28C2">
        <w:trPr>
          <w:trHeight w:val="316"/>
        </w:trPr>
        <w:tc>
          <w:tcPr>
            <w:tcW w:w="323" w:type="pct"/>
          </w:tcPr>
          <w:p w14:paraId="1342E772" w14:textId="557EBF4E"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r w:rsidR="001025F9">
              <w:rPr>
                <w:rFonts w:ascii="Times New Roman" w:hAnsi="Times New Roman"/>
                <w:noProof/>
                <w:sz w:val="24"/>
              </w:rPr>
              <w:t>)</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ebből környezeti szempontból fenntartható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 mérséklésének célkitűzéséhez hozzájáruló, környezeti szempontból fenntartható kitettségek aggregált bruttó könyv szerinti értékét kell feltüntetniük. Az összegnek különleges célú hitelezés esetében a finanszírozott tevékenység célján, vagy a partner arra vonatkozó információin kell alapulnia, hogy gazdasági tevékenységei milyen mértékben igazodnak az (EU) 2020/852 rendelethez az éghajlatváltozás mérséklésének célkitűzése tekintetében (árbevételének mekkora százaléka járul hozzá lényegesen az éghajlatváltozás mérsékléséhez).</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ezeket az információkat 2023. december 31-i első nyilvánosságra hozatali vonatkozási időponttal kell először közzétenniük.</w:t>
            </w:r>
          </w:p>
        </w:tc>
      </w:tr>
      <w:tr w:rsidR="00802DD9" w:rsidRPr="00E50FA4" w14:paraId="7EEC8DEE" w14:textId="77777777" w:rsidTr="00FA28C2">
        <w:trPr>
          <w:trHeight w:val="316"/>
        </w:trPr>
        <w:tc>
          <w:tcPr>
            <w:tcW w:w="323" w:type="pct"/>
          </w:tcPr>
          <w:p w14:paraId="4F54F450" w14:textId="7EF8E485"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r w:rsidR="001025F9">
              <w:rPr>
                <w:rFonts w:ascii="Times New Roman" w:hAnsi="Times New Roman"/>
                <w:noProof/>
                <w:sz w:val="24"/>
              </w:rPr>
              <w:t>)</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Súlyozott átlagos futamidő</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számításban figyelembe vett kitettségek átlagos futamidejét kell megadniuk, súlyozva a kitettségek bruttó könyv szerinti értékével.</w:t>
            </w:r>
          </w:p>
        </w:tc>
      </w:tr>
      <w:tr w:rsidR="0076092D" w:rsidRPr="00E50FA4" w14:paraId="1AD4A66F" w14:textId="77777777" w:rsidTr="0076092D">
        <w:trPr>
          <w:trHeight w:val="316"/>
        </w:trPr>
        <w:tc>
          <w:tcPr>
            <w:tcW w:w="323" w:type="pct"/>
          </w:tcPr>
          <w:p w14:paraId="540DDC8B" w14:textId="22510023"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r w:rsidR="001025F9">
              <w:rPr>
                <w:rFonts w:ascii="Times New Roman" w:hAnsi="Times New Roman"/>
                <w:noProof/>
                <w:sz w:val="24"/>
              </w:rPr>
              <w:t>)</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A figyelembe vett vállalatok száma</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fel kell tüntetniük, hogy az aggregált bruttó könyv szerinti értéket hány vállalat figyelembevételével számították ki.</w:t>
            </w:r>
          </w:p>
        </w:tc>
      </w:tr>
    </w:tbl>
    <w:p w14:paraId="6B01BD46" w14:textId="77777777" w:rsidR="00E42249" w:rsidRPr="00DB5A05"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5. tábla: Banki könyv – Az éghajlatváltozással kapcsolatos potenciális fizikai kockázatok mutatói: Fizikai kockázatokkal szembeni kitettség.</w:t>
      </w:r>
      <w:r>
        <w:rPr>
          <w:rFonts w:ascii="Times New Roman" w:hAnsi="Times New Roman"/>
          <w:noProof/>
          <w:sz w:val="24"/>
        </w:rPr>
        <w:t xml:space="preserve"> Kötött formátum.</w:t>
      </w:r>
    </w:p>
    <w:p w14:paraId="3C8424CF" w14:textId="5B76F737"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Az intézményeknek az e rendelet XXXIX. mellékletében meghatározott 5. tábla kitöltéséhez a követk</w:t>
      </w:r>
      <w:r w:rsidR="00516499">
        <w:rPr>
          <w:rFonts w:ascii="Times New Roman" w:hAnsi="Times New Roman"/>
          <w:noProof/>
          <w:sz w:val="24"/>
        </w:rPr>
        <w:t>ező útmutatót kell használniuk.</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ebben a táblában a krónikus és akut éghajlati veszélyek által fenyegetett, a banki könyvben szereplő kitettségekre vonatkozó információkat kell feltüntetniük gazdasági tevékenységi ágazatok (NACE-osztályozás) szerinti bontásban, valamint a partner tevékenysége vagy a biztosíték földrajzi elhelyezkedése szerinti bontásban azon ágazatok és földrajzi területek vonatkozásában, amelyeket éghajlatváltozás okozta akut és krónikus események érintenek. Az említett, nem pénzügyi vállalatokkal szembeni kitettségek közé tartoznak a hitelek és előlegek, a nem kereskedési vagy értékesítési céllal tartott hitelviszonyt megtestesítő értékpapírok és tulajdoni részesedést megtestesítő instrumentumok, az ingatlannal fedezett hitelek és a birtokbavétellel megszerzett ingatlanbiztosítékok.</w:t>
      </w:r>
    </w:p>
    <w:p w14:paraId="67DD614D" w14:textId="6997D0B8"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éghajlattal kapcsolatos konkrét veszélyeknek kitett földrajzi területek azonosításához az intézményeknek a külön erre a célra létrehozott portálokat és adatbázisokat kell használniuk. Az éghajlatváltozási eseményekre érzékeny helyszínek jellemzőire vonatkozó információk beszerzéséhez az intézmények használhatják az uniós szervek és a nemzeti kormányzati hatóságok – többek között meteorológiai, környezetvédelmi, statisztikai hivatalok vagy földtudományi szervezetek – által rendelkezésre bocsátott adatforrásokat. Az éghajlatváltozással összefüggő kockázatok által fenyegetett földrajzi területek azonosításához például az alábbi adatforrások használhatók</w:t>
      </w:r>
      <w:r>
        <w:rPr>
          <w:rFonts w:ascii="Times New Roman" w:hAnsi="Times New Roman"/>
          <w:noProof/>
          <w:sz w:val="24"/>
          <w:vertAlign w:val="superscript"/>
        </w:rPr>
        <w:t>*20</w:t>
      </w:r>
      <w:r>
        <w:rPr>
          <w:rFonts w:ascii="Times New Roman" w:hAnsi="Times New Roman"/>
          <w:noProof/>
          <w:sz w:val="24"/>
        </w:rPr>
        <w:t>: GFDRR – ThinkHazard! (hőhullám, vízhiány, aszály, árvíz, erdőtűz, hurrikán, földcsuszamlás); PREP – PREPdata (tengerpart menti áradás, szélsőséges hőség, földcsuszamlás, vízhiány, aszály, erdőtűz); WRI – Aqueduct Water Risk Atlas (árvíz, tengerpart menti áradás, vízhiány, aszály) Swiss Re – CatNet</w:t>
      </w:r>
      <w:r w:rsidRPr="001025F9">
        <w:rPr>
          <w:rFonts w:ascii="Times New Roman" w:hAnsi="Times New Roman"/>
          <w:noProof/>
          <w:sz w:val="24"/>
          <w:vertAlign w:val="superscript"/>
        </w:rPr>
        <w:t>®</w:t>
      </w:r>
      <w:r>
        <w:rPr>
          <w:rFonts w:ascii="Times New Roman" w:hAnsi="Times New Roman"/>
          <w:noProof/>
          <w:sz w:val="24"/>
        </w:rPr>
        <w:t xml:space="preserve"> (árvíz, trópusi ciklon (hurrikán és tájfun), erdőtűz); Világbank – Climate Change Knowledge Portal (szélsőséges hőség, szélsőséges csapadék, aszály); PCA – Global Drought Risk platform (aszály); NOAA – Historical hurricane tracks (trópus</w:t>
      </w:r>
      <w:r w:rsidR="00516499">
        <w:rPr>
          <w:rFonts w:ascii="Times New Roman" w:hAnsi="Times New Roman"/>
          <w:noProof/>
          <w:sz w:val="24"/>
        </w:rPr>
        <w:t>i ciklon (hurrikán és tájfun)).</w:t>
      </w:r>
    </w:p>
    <w:p w14:paraId="32EAA263" w14:textId="4180C2A3"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Amennyiben az intézmény partnere holdingtársaság, az intézményeknek a holdingtársaság alá tartozó, finanszírozásban részesülő konkrét kötelezett (ha eltér a holdingtársaságtól) NACE-ágazatát kell figyelembe venniük, különösen azokban az esetekben, amikor a kötelezett nem pénzügyi vállalat. Hasonlóképpen, ha az intézmény közvetlen partnere (a kötelezett) különleges célú gazdasági egység (SPV), az intézményeknek a különleges célú gazdasági egység anyavállalatának gazdasági tevékenységéhez tartozó NACE-ágazat alatt kell nyilvánosságra hozniuk a vonatkozó információkat. Az egynél több kötelezetthez együttesen tartozó kitettség besorolásának azon kötelezett jellemzői alapján kell történnie, amelyik a legrelevánsabb vagy meghatározóbb volt a tekintetben, hogy az intézmény vállalta a kitettséget. Az egynél több kötelezetthez együttesen tartozó kitettségek NACE-kódok szerinti besorolását a relevánsabb vagy meghatározóbb ügyfél jelle</w:t>
      </w:r>
      <w:r w:rsidR="00516499">
        <w:rPr>
          <w:rFonts w:ascii="Times New Roman" w:hAnsi="Times New Roman"/>
          <w:noProof/>
          <w:sz w:val="24"/>
        </w:rPr>
        <w:t>mzői alapján kell meghatározni.</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Az intézményeknek az ebben a táblában szereplő információkat a legnagyobb gondosság elve alapján kell nyilvánosságra hozniuk, és a táblát kísérő szöveges magyarázatban ismertetniük kell azokat az információforrásokat és módszereket, amelyeket az éghajlatváltozás fizikai kockázatának kitett kitettségek azonosításához használtak.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Oszlop</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Útmutató</w:t>
            </w:r>
          </w:p>
        </w:tc>
      </w:tr>
      <w:tr w:rsidR="00E75E5D" w:rsidRPr="00E50FA4" w14:paraId="164BA089" w14:textId="77777777" w:rsidTr="00E75E5D">
        <w:trPr>
          <w:trHeight w:val="547"/>
        </w:trPr>
        <w:tc>
          <w:tcPr>
            <w:tcW w:w="1129" w:type="dxa"/>
            <w:shd w:val="clear" w:color="auto" w:fill="FFFFFF" w:themeFill="background1"/>
          </w:tcPr>
          <w:p w14:paraId="38FBE662" w14:textId="2AA04F7E"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r w:rsidR="001025F9">
              <w:rPr>
                <w:rFonts w:ascii="Times New Roman" w:hAnsi="Times New Roman"/>
                <w:noProof/>
                <w:sz w:val="24"/>
              </w:rPr>
              <w:t>)</w:t>
            </w:r>
          </w:p>
        </w:tc>
        <w:tc>
          <w:tcPr>
            <w:tcW w:w="7655" w:type="dxa"/>
            <w:shd w:val="clear" w:color="auto" w:fill="FFFFFF" w:themeFill="background1"/>
          </w:tcPr>
          <w:p w14:paraId="32C22035" w14:textId="2275D098"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Az éghajlatváltozás okozta akut és krónikus események</w:t>
            </w:r>
            <w:r w:rsidR="007E5AD5">
              <w:rPr>
                <w:rFonts w:ascii="Times New Roman" w:hAnsi="Times New Roman"/>
                <w:b/>
                <w:noProof/>
                <w:sz w:val="24"/>
                <w:u w:val="single"/>
              </w:rPr>
              <w:t xml:space="preserve"> miatti fizikai kockázatok</w:t>
            </w:r>
            <w:r>
              <w:rPr>
                <w:rFonts w:ascii="Times New Roman" w:hAnsi="Times New Roman"/>
                <w:b/>
                <w:noProof/>
                <w:sz w:val="24"/>
                <w:u w:val="single"/>
              </w:rPr>
              <w:t xml:space="preserve"> által érintett földrajzi terület</w:t>
            </w:r>
          </w:p>
          <w:p w14:paraId="5C5A6C97" w14:textId="77777777" w:rsidR="002F0C41" w:rsidRPr="00DB5A05"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37682A0F" w:rsidR="00E75E5D" w:rsidRPr="00E50FA4" w:rsidRDefault="00074B2C" w:rsidP="00C47A0A">
            <w:pPr>
              <w:autoSpaceDE w:val="0"/>
              <w:autoSpaceDN w:val="0"/>
              <w:adjustRightInd w:val="0"/>
              <w:jc w:val="both"/>
              <w:rPr>
                <w:rFonts w:ascii="Times New Roman" w:hAnsi="Times New Roman"/>
                <w:bCs/>
                <w:noProof/>
                <w:sz w:val="24"/>
              </w:rPr>
            </w:pPr>
            <w:r>
              <w:rPr>
                <w:rFonts w:ascii="Times New Roman" w:hAnsi="Times New Roman"/>
                <w:noProof/>
                <w:sz w:val="24"/>
              </w:rPr>
              <w:t>Az intézményeknek az éghajlatváltozás káros fizikai hatásai által érintett földrajzi területeket kell lefedniük. E földrajzi területek közé tartoznak azok az országok vagy egyéb földrajzi vagy közigazgatási egységek, ahol a partner tevékenykedik vagy a biztosíték található, és amelyek krónikus vagy akut éghajlati eseményeknek vannak kitéve. A kitettségek földrajzi lefedettsége tekintetében az intézményeknek a statisztikai célú területi egységek nómenklatúrájában (NUTS) megadott területi egységek szintjét kell értelemszerűen alkalmazniuk.</w:t>
            </w:r>
          </w:p>
        </w:tc>
      </w:tr>
      <w:tr w:rsidR="00E75E5D" w:rsidRPr="00E50FA4" w14:paraId="08C4E08E" w14:textId="77777777" w:rsidTr="00E75E5D">
        <w:trPr>
          <w:trHeight w:val="547"/>
        </w:trPr>
        <w:tc>
          <w:tcPr>
            <w:tcW w:w="1129" w:type="dxa"/>
            <w:shd w:val="clear" w:color="auto" w:fill="FFFFFF" w:themeFill="background1"/>
          </w:tcPr>
          <w:p w14:paraId="6E5A571F" w14:textId="6B90B522"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r w:rsidR="001025F9">
              <w:rPr>
                <w:rFonts w:ascii="Times New Roman" w:hAnsi="Times New Roman"/>
                <w:noProof/>
                <w:sz w:val="24"/>
              </w:rPr>
              <w:t>)</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Bruttó könyv szerinti érték</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Az intézményeknek az (EU) 2021/451 végrehajtási rendeletnek megfelelően a banki könyvben szereplő számviteli portfóliókba besorolt, nem pénzügyi vállalatokkal szembeni kitettségeknek, köztük a hiteleknek és előlegeknek, a hitelviszonyt megtestesítő értékpapíroknak és a tulajdoni részesedést megtestesítő instrumentumoknak az (EU) 2021/451 végrehajtási rendelet V. mellékletének 1. részében meghatározott bruttó könyv szerinti értékét kell feltüntetniük, a kereskedési céllal tartott pénzügyi eszközök és az értékesítésre tartott eszközök kivételével.</w:t>
            </w:r>
          </w:p>
        </w:tc>
      </w:tr>
      <w:tr w:rsidR="00E75E5D" w:rsidRPr="00E50FA4" w14:paraId="280A36B6" w14:textId="77777777" w:rsidTr="00E75E5D">
        <w:trPr>
          <w:trHeight w:val="316"/>
        </w:trPr>
        <w:tc>
          <w:tcPr>
            <w:tcW w:w="1129" w:type="dxa"/>
          </w:tcPr>
          <w:p w14:paraId="03E74ABB" w14:textId="67635C94"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w:t>
            </w:r>
            <w:r w:rsidR="001025F9">
              <w:rPr>
                <w:rFonts w:ascii="Times New Roman" w:hAnsi="Times New Roman"/>
                <w:noProof/>
                <w:sz w:val="24"/>
              </w:rPr>
              <w:t>)</w:t>
            </w:r>
            <w:r>
              <w:rPr>
                <w:rFonts w:ascii="Times New Roman" w:hAnsi="Times New Roman"/>
                <w:noProof/>
                <w:sz w:val="24"/>
              </w:rPr>
              <w:t>–o</w:t>
            </w:r>
            <w:r w:rsidR="001025F9">
              <w:rPr>
                <w:rFonts w:ascii="Times New Roman" w:hAnsi="Times New Roman"/>
                <w:noProof/>
                <w:sz w:val="24"/>
              </w:rPr>
              <w:t>)</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az éghajlatváltozás okozta fizikai események hatásaira érzékeny kitettség</w:t>
            </w:r>
          </w:p>
          <w:p w14:paraId="0DAFB046" w14:textId="6176CE35"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intézményeknek azon kitettségek bruttó könyv szerinti értékét kell feltüntetniük, amelyekre hatással lehetnek az éghajlatváltozás okozta fizikai események. Az éghajlatváltozás okozta fizikai események hatásaira érzékeny kitettségek bruttó könyv szerinti értéke megegyezhet a tábla b) oszlopában feltüntetett teljes kitettségértékke</w:t>
            </w:r>
            <w:r w:rsidR="000B1C3E">
              <w:rPr>
                <w:rFonts w:ascii="Times New Roman" w:hAnsi="Times New Roman"/>
                <w:noProof/>
                <w:sz w:val="24"/>
              </w:rPr>
              <w:t>l, vagy annak részét képezheti.</w:t>
            </w:r>
          </w:p>
        </w:tc>
      </w:tr>
      <w:tr w:rsidR="00E75E5D" w:rsidRPr="00E50FA4" w14:paraId="31BE0910" w14:textId="77777777" w:rsidTr="00E75E5D">
        <w:trPr>
          <w:trHeight w:val="316"/>
        </w:trPr>
        <w:tc>
          <w:tcPr>
            <w:tcW w:w="1129" w:type="dxa"/>
          </w:tcPr>
          <w:p w14:paraId="2AE1B052" w14:textId="4AD29055"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w:t>
            </w:r>
            <w:r w:rsidR="001025F9">
              <w:rPr>
                <w:rFonts w:ascii="Times New Roman" w:hAnsi="Times New Roman"/>
                <w:noProof/>
                <w:sz w:val="24"/>
              </w:rPr>
              <w:t>)</w:t>
            </w:r>
            <w:r>
              <w:rPr>
                <w:rFonts w:ascii="Times New Roman" w:hAnsi="Times New Roman"/>
                <w:noProof/>
                <w:sz w:val="24"/>
              </w:rPr>
              <w:t>–g</w:t>
            </w:r>
            <w:r w:rsidR="001025F9">
              <w:rPr>
                <w:rFonts w:ascii="Times New Roman" w:hAnsi="Times New Roman"/>
                <w:noProof/>
                <w:sz w:val="24"/>
              </w:rPr>
              <w:t>)</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Lejárati sávok szerinti bontás</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A kitettségeket a pénzügyi instrumentum hátralévő futamidejétől függően kell az egyes sávokba besorolni, figyelembe véve a következőket:</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ha az összeget részletekben fizetik vissza, a kitettséget az utolsó részletnek megfelelő lejárati sávba kell besorolni;</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Ha egy kitettségnek nincs meghatározott futamideje, és ennek más oka van, mint hogy a partner választhatja meg a visszafizetés idejét, e kitettség összegét a „&gt; 20 év” oszlopban kell feltüntetni.</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a kitettségek átlagos futamidejének kiszámításához az intézményeknek az egyes kitettségek futamidejét a kitettségek bruttó könyv szerinti értékével kell súlyozniuk.</w:t>
            </w:r>
          </w:p>
        </w:tc>
      </w:tr>
      <w:tr w:rsidR="00E75E5D" w:rsidRPr="00E50FA4" w14:paraId="48807C35" w14:textId="77777777" w:rsidTr="00E75E5D">
        <w:trPr>
          <w:trHeight w:val="316"/>
        </w:trPr>
        <w:tc>
          <w:tcPr>
            <w:tcW w:w="1129" w:type="dxa"/>
          </w:tcPr>
          <w:p w14:paraId="626E6D7F" w14:textId="42980459"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r w:rsidR="001025F9">
              <w:rPr>
                <w:rFonts w:ascii="Times New Roman" w:hAnsi="Times New Roman"/>
                <w:noProof/>
                <w:sz w:val="24"/>
              </w:rPr>
              <w:t>)</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az éghajlatváltozás okozta krónikus események hatásaira érzékeny kitettség</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intézményeknek csak a krónikus éghajlatváltozási események hatásaira érzékeny kitettségek bruttó könyv szerinti értékét kell feltüntetniük, ezen események alatt értve az időjárás és az éghajlat fokozatos változásához kapcsolódó és a gazdasági kibocsátásra és termelékenységre esetlegesen hatást gyakorló veszélyeket.</w:t>
            </w:r>
          </w:p>
        </w:tc>
      </w:tr>
      <w:tr w:rsidR="00E75E5D" w:rsidRPr="00E50FA4" w14:paraId="0466B9EE" w14:textId="77777777" w:rsidTr="00E75E5D">
        <w:trPr>
          <w:trHeight w:val="316"/>
        </w:trPr>
        <w:tc>
          <w:tcPr>
            <w:tcW w:w="1129" w:type="dxa"/>
          </w:tcPr>
          <w:p w14:paraId="0429D706" w14:textId="4B294DF6"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r w:rsidR="001025F9">
              <w:rPr>
                <w:rFonts w:ascii="Times New Roman" w:hAnsi="Times New Roman"/>
                <w:noProof/>
                <w:sz w:val="24"/>
              </w:rPr>
              <w:t>)</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az éghajlatváltozás okozta akut események hatásaira érzékeny kitettség</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intézményeknek csak az akut éghajlatváltozási események hatásaira érzékeny kitettségek bruttó könyv szerinti értékét kell feltüntetniük, ezen események alatt értve azokat a veszélyeket, amelyek az ingatlan és ingó vagyon hirtelen károsodásához, az ellátási láncok zavarához és az eszközök értékcsökkenéséhez vezethetnek.</w:t>
            </w:r>
          </w:p>
          <w:p w14:paraId="0084DEDF" w14:textId="77777777" w:rsidR="00E75E5D" w:rsidRPr="00DB5A05"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0996439"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r w:rsidR="001025F9">
              <w:rPr>
                <w:rFonts w:ascii="Times New Roman" w:hAnsi="Times New Roman"/>
                <w:noProof/>
                <w:sz w:val="24"/>
              </w:rPr>
              <w:t>)</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az éghajlatváltozás okozta krónikus és akut események hatásaira egyaránt érzékeny kitettség</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intézményeknek a h) és i) oszlopban említett, mind a krónikus, mind az akut éghajlatváltozási események hatásaira érzékeny kitettségek bruttó könyv szerinti értékét kell feltüntetniük.</w:t>
            </w:r>
          </w:p>
        </w:tc>
      </w:tr>
      <w:tr w:rsidR="00E75E5D" w:rsidRPr="00E50FA4" w14:paraId="7FF2A275" w14:textId="77777777" w:rsidTr="00E75E5D">
        <w:trPr>
          <w:trHeight w:val="316"/>
        </w:trPr>
        <w:tc>
          <w:tcPr>
            <w:tcW w:w="1129" w:type="dxa"/>
          </w:tcPr>
          <w:p w14:paraId="4CB499DD" w14:textId="00D045A0"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r w:rsidR="001025F9">
              <w:rPr>
                <w:rFonts w:ascii="Times New Roman" w:hAnsi="Times New Roman"/>
                <w:noProof/>
                <w:sz w:val="24"/>
              </w:rPr>
              <w:t>)</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2. szakasz</w:t>
            </w:r>
          </w:p>
          <w:p w14:paraId="01DA675F" w14:textId="2187DB0D"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Az IFRS-t alkalmazó intézményeknek az IFRS 9 standard szerinti 2. szakaszba sorolt instrumentumok bruttó könyv szeri</w:t>
            </w:r>
            <w:r w:rsidR="000B1C3E">
              <w:rPr>
                <w:rFonts w:ascii="Times New Roman" w:hAnsi="Times New Roman"/>
                <w:noProof/>
                <w:sz w:val="24"/>
              </w:rPr>
              <w:t>nti értékét kell feltüntetniük.</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A 86/635/EGK irányelven alapuló általánosan elfogadott nemzeti számviteli elveket alkalmazó intézmények nem teszik közzé az „ebből 2. szakasz” oszlopokat.</w:t>
            </w:r>
          </w:p>
        </w:tc>
      </w:tr>
      <w:tr w:rsidR="00E75E5D" w:rsidRPr="00E50FA4" w14:paraId="60EF795C" w14:textId="77777777" w:rsidTr="00E75E5D">
        <w:trPr>
          <w:trHeight w:val="316"/>
        </w:trPr>
        <w:tc>
          <w:tcPr>
            <w:tcW w:w="1129" w:type="dxa"/>
          </w:tcPr>
          <w:p w14:paraId="1A4F701F" w14:textId="5A055A21"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r w:rsidR="001025F9">
              <w:rPr>
                <w:rFonts w:ascii="Times New Roman" w:hAnsi="Times New Roman"/>
                <w:noProof/>
                <w:sz w:val="24"/>
              </w:rPr>
              <w:t>)</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nemteljesítő</w:t>
            </w:r>
          </w:p>
          <w:p w14:paraId="63557828" w14:textId="08A8B3D0" w:rsidR="00E75E5D" w:rsidRPr="00E50FA4" w:rsidRDefault="008F08CA" w:rsidP="005C6269">
            <w:pPr>
              <w:pStyle w:val="Fait"/>
              <w:spacing w:before="0" w:after="120"/>
              <w:rPr>
                <w:noProof/>
              </w:rPr>
            </w:pPr>
            <w:r>
              <w:rPr>
                <w:noProof/>
              </w:rPr>
              <w:t>Az intézményeknek az 575/2013/EU rendelet 47a. cikkének (3) bekezdésében említett azon nemteljesítő kitettségek bruttó könyv szerinti értékét kell feltüntetniük, amelyekre hatással lehetnek az éghajlatváltozás okozta események.</w:t>
            </w:r>
          </w:p>
        </w:tc>
      </w:tr>
      <w:tr w:rsidR="00E75E5D" w:rsidRPr="00E50FA4" w14:paraId="58CA3989" w14:textId="77777777" w:rsidTr="00E75E5D">
        <w:trPr>
          <w:trHeight w:val="316"/>
        </w:trPr>
        <w:tc>
          <w:tcPr>
            <w:tcW w:w="1129" w:type="dxa"/>
          </w:tcPr>
          <w:p w14:paraId="5E0FAEAA" w14:textId="1D0B799C"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w:t>
            </w:r>
            <w:r w:rsidR="001025F9">
              <w:rPr>
                <w:rFonts w:ascii="Times New Roman" w:hAnsi="Times New Roman"/>
                <w:noProof/>
                <w:sz w:val="24"/>
              </w:rPr>
              <w:t>)</w:t>
            </w:r>
            <w:r>
              <w:rPr>
                <w:rFonts w:ascii="Times New Roman" w:hAnsi="Times New Roman"/>
                <w:noProof/>
                <w:sz w:val="24"/>
              </w:rPr>
              <w:t>, n</w:t>
            </w:r>
            <w:r w:rsidR="001025F9">
              <w:rPr>
                <w:rFonts w:ascii="Times New Roman" w:hAnsi="Times New Roman"/>
                <w:noProof/>
                <w:sz w:val="24"/>
              </w:rPr>
              <w:t>)</w:t>
            </w:r>
            <w:r>
              <w:rPr>
                <w:rFonts w:ascii="Times New Roman" w:hAnsi="Times New Roman"/>
                <w:noProof/>
                <w:sz w:val="24"/>
              </w:rPr>
              <w:t>, o</w:t>
            </w:r>
            <w:r w:rsidR="001025F9">
              <w:rPr>
                <w:rFonts w:ascii="Times New Roman" w:hAnsi="Times New Roman"/>
                <w:noProof/>
                <w:sz w:val="24"/>
              </w:rPr>
              <w:t>)</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Halmozott értékvesztés, a hitelkockázat-változásból származó negatív valósérték-változás halmozott összege és céltartalékok</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2021/451 végrehajtási rendelet V. melléklete 2. részének 11., 69., 70., 71., 106. és 110. pontjában említett összegeket kell feltüntetniük.</w:t>
            </w:r>
          </w:p>
        </w:tc>
      </w:tr>
      <w:tr w:rsidR="00E75E5D" w:rsidRPr="00E50FA4" w14:paraId="67FC4789" w14:textId="77777777" w:rsidTr="00E75E5D">
        <w:trPr>
          <w:trHeight w:val="316"/>
        </w:trPr>
        <w:tc>
          <w:tcPr>
            <w:tcW w:w="1129" w:type="dxa"/>
          </w:tcPr>
          <w:p w14:paraId="610E1DBA" w14:textId="065C7930"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r w:rsidR="001025F9">
              <w:rPr>
                <w:rFonts w:ascii="Times New Roman" w:hAnsi="Times New Roman"/>
                <w:noProof/>
                <w:sz w:val="24"/>
              </w:rPr>
              <w:t>)</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2. szakasz</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 szakaszba sorolt kitettségek halmozott értékvesztési összegét kell feltüntetniük.</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Az IFRS-t alkalmazó intézményeknek az IFRS 9 standard szerinti 2. szakaszba sorolt instrumentumok bruttó könyv szerinti értékét kell feltüntetniük.</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A 86/635/EGK irányelven alapuló általánosan elfogadott nemzeti számviteli elveket alkalmazó intézmények nem teszik közzé az „ebből 2. szakasz” oszlopokat.</w:t>
            </w:r>
          </w:p>
        </w:tc>
      </w:tr>
      <w:tr w:rsidR="00E75E5D" w:rsidRPr="00E50FA4" w14:paraId="67B0E002" w14:textId="77777777" w:rsidTr="00E75E5D">
        <w:trPr>
          <w:trHeight w:val="316"/>
        </w:trPr>
        <w:tc>
          <w:tcPr>
            <w:tcW w:w="1129" w:type="dxa"/>
          </w:tcPr>
          <w:p w14:paraId="54514C27" w14:textId="5E3F9CD5"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r w:rsidR="001025F9">
              <w:rPr>
                <w:rFonts w:ascii="Times New Roman" w:hAnsi="Times New Roman"/>
                <w:noProof/>
                <w:sz w:val="24"/>
              </w:rPr>
              <w:t>)</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nemteljesítő</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az 575/2013/EU rendelet 47a. cikkének (3) bekezdésében említett nemteljesítő kitettségek halmozott értékvesztését, hitelkockázat miatti negatív valósérték-változásának halmozott összegét és a nemteljesítő kitettségekhez rendelhető céltartalékokat kell feltüntetniük.</w:t>
            </w:r>
          </w:p>
        </w:tc>
      </w:tr>
    </w:tbl>
    <w:p w14:paraId="078EAC68" w14:textId="77777777" w:rsidR="00E75E5D" w:rsidRPr="00DB5A05" w:rsidRDefault="00E75E5D" w:rsidP="00D35812">
      <w:pPr>
        <w:spacing w:before="120" w:after="120"/>
        <w:jc w:val="both"/>
        <w:rPr>
          <w:rFonts w:ascii="Times New Roman" w:hAnsi="Times New Roman"/>
          <w:b/>
          <w:noProof/>
          <w:sz w:val="24"/>
        </w:rPr>
      </w:pPr>
    </w:p>
    <w:p w14:paraId="422B2482" w14:textId="65D87060"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6. tábla – Összefoglal</w:t>
      </w:r>
      <w:r w:rsidR="007E5AD5">
        <w:rPr>
          <w:rFonts w:ascii="Times New Roman" w:hAnsi="Times New Roman"/>
          <w:b/>
          <w:noProof/>
          <w:sz w:val="24"/>
        </w:rPr>
        <w:t>ó</w:t>
      </w:r>
      <w:r>
        <w:rPr>
          <w:rFonts w:ascii="Times New Roman" w:hAnsi="Times New Roman"/>
          <w:b/>
          <w:noProof/>
          <w:sz w:val="24"/>
        </w:rPr>
        <w:t xml:space="preserve"> – A taxonómiához igazodó kitettségekre vonatkozó fő teljesítménymutatók (KPI). </w:t>
      </w:r>
      <w:r>
        <w:rPr>
          <w:rFonts w:ascii="Times New Roman" w:hAnsi="Times New Roman"/>
          <w:noProof/>
          <w:sz w:val="24"/>
        </w:rPr>
        <w:t>Kötött formátum.</w:t>
      </w:r>
    </w:p>
    <w:p w14:paraId="0C245AD5" w14:textId="77777777" w:rsidR="00414E05" w:rsidRPr="005F031D" w:rsidRDefault="00414E05" w:rsidP="001B102C">
      <w:pPr>
        <w:jc w:val="both"/>
        <w:rPr>
          <w:rFonts w:ascii="Times New Roman" w:hAnsi="Times New Roman" w:cs="Times New Roman"/>
          <w:b/>
          <w:noProof/>
          <w:sz w:val="24"/>
        </w:rPr>
      </w:pPr>
    </w:p>
    <w:p w14:paraId="69BD5B6B" w14:textId="6A58F41C"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a 6. táblában áttekintést kell nyújtaniuk a XXXIX. melléklet 7. és 8. táblája alapján kiszámított fő teljesítménymutatókról, beleértve az (EU) 2021/2178 felhatalmazáson alapuló bizottsági rendeletben</w:t>
      </w:r>
      <w:r>
        <w:rPr>
          <w:rFonts w:ascii="Times New Roman" w:hAnsi="Times New Roman"/>
          <w:noProof/>
          <w:sz w:val="24"/>
          <w:vertAlign w:val="superscript"/>
        </w:rPr>
        <w:t>*21</w:t>
      </w:r>
      <w:r w:rsidR="000B1C3E">
        <w:rPr>
          <w:rFonts w:ascii="Times New Roman" w:hAnsi="Times New Roman"/>
          <w:noProof/>
          <w:sz w:val="24"/>
        </w:rPr>
        <w:t xml:space="preserve"> említett zöldeszköz-arányt is.</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Bár az (EU) 2021/2178 felhatalmazáson alapuló rendelet azt írja elő a szervezetek számára, hogy kétszer becsüljék meg és tegyék közzé a zöldeszköz-arányt (GAR) – egyszer az általános hitelezés vonatkozásában a nem pénzügyi vállalat partnerrel szembeni azon kitettségek alapján, amelyek a taxonómiához igazodó árbevételt generáló tevékenységeket finanszíroznak, másodszor a partnerrel szembeni ugyancsak általános célú azon hitelezési kitettségek alapján, amelyek a taxonómiához igazodó tőkekiadással (CAPEX) járó tevékenységeket finanszíroznak –, ebben a táblában az intézményeknek csak egyszer kell közzétenniük a GAR-t, kizárólag az általános célú hitelezésre vonatkozó árbevétel-alapú taxonómiai igazodás tekintetében.</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állományi változó („GAR-állomány” sor) esetében az „Éghajlatváltozás mérséklése”, az „Éghajlatváltozáshoz való alkalmazkodás” és e kettő együttes értéke megfelel a 8. tábla b), g) és l) oszlopában szereplő fő teljesítménymutatóknak. Hasonlóképpen, az állományváltozás („GAR-állományváltozás” sor) esetében az „Éghajlatváltozás mérséklése”, az „Éghajlatváltozáshoz való alkalmazkodás” és e kettő együttes értéke megfelel a 8. tábla 1. sorának r), w) és ab) oszlopában szereplő fő teljesítménymutatóknak.</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 lefedettségre vonatkozó információkat a GAR-állomány vonatkozásában a 8. tábla 1. sorának p) oszlopában, a GAR-állományváltozás vonatkozásában pedig az af) oszlopban kell megadni.</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ezeket az információkat 2023. december 31-i első vonatkozási időponttal kell nyilvánosságra hozniuk, összhangban az (EU) 2021/2178 felhatalmazáson alapuló rendeletben a GAR tekintetében megjelölt első nyilvánosságra hozatali vonatkozási időponttal.</w:t>
      </w:r>
    </w:p>
    <w:p w14:paraId="39305D6E" w14:textId="77777777" w:rsidR="00414E05" w:rsidRPr="00DB5A05"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7. tábla – Mérséklő intézkedések: A GAR kiszámításához figyelembe vett eszközök. </w:t>
      </w:r>
      <w:r>
        <w:rPr>
          <w:rFonts w:ascii="Times New Roman" w:hAnsi="Times New Roman"/>
          <w:noProof/>
          <w:sz w:val="24"/>
        </w:rPr>
        <w:t>Kötött formátum.</w:t>
      </w:r>
    </w:p>
    <w:p w14:paraId="4DD9F2BB" w14:textId="6FCEB5DC"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az e rendelet XXXIX. mellékletében meghatározott 7. tábla kitöltéséhez a követk</w:t>
      </w:r>
      <w:r w:rsidR="00EA239B">
        <w:rPr>
          <w:rFonts w:ascii="Times New Roman" w:hAnsi="Times New Roman"/>
          <w:noProof/>
          <w:sz w:val="24"/>
        </w:rPr>
        <w:t>ező útmutatót kell használniuk.</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ebben a táblában a banki könyvben szereplő hitelek és előlegek, hitelviszonyt megtestesítő értékpapírok és tulajdoni részesedést megtestesítő instrumentumok bruttó könyv szerinti értékét kell közzétenniük partnertípusok szerinti bontásban – ideértve a pénzügyi vállalatokat, a nem pénzügyi vállalatokat, a háztartásokat, a helyi önkormányzatokat, valamint a háztartásoknak nyújtott ingatlanhiteleket –, továbbá ebben a táblában kell közzétenni az éghajlatváltozás mérséklésével és az éghajlatváltozáshoz való alkalmazkodással kapcsolatos, az (EU) 2020/852 rendelet 9. cikkének a) és b) pontjában említett környezetvédelmi célkitűzések tekintetében a taxonómiához igazítható és a taxonómiához igazodó tevékenységekhez kapcsolódó kitettségek mértékét.</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Konkrétabban, az intézményeknek ebben a táblában fel kell tüntetniük a GAR (EU) 2021/2178 felhatalmazáson alapuló rendelet szerinti kiszámításához szükséges információkat. Bár az (EU) 2021/2178 felhatalmazáson alapuló rendelet azt írja elő az intézmények számára, hogy kétszer becsüljék meg és tegyék közzé a zöldeszköz-arányt (GAR)– egyszer a nem speciális célú hitelezés vonatkozásában (általános célú hitelezés) a partnerrel (nem pénzügyi vállalat) szembeni azon kitettségek alapján, amelyek a taxonómiához igazodó árbevételt generáló tevékenységeket finanszíroznak, másodszor a partnerrel szembeni ugyancsak általános célú azon hitelezési kitettségek alapján, amelyek a taxonómiához igazodó tőkekiadással (CAPEX) járó tevékenységeket finanszíroznak –, ebben a táblában az intézményeknek csak egyszer kell közzétenniük a GAR-t, kizárólag az általános célú hitelezésre vonatkozó árbevétel-alapú taxonómiai igazodás tekintetében.</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Az intézményeknek ezen adatok alapján kell kiszámítaniuk és nyilvánosságra hozniuk az (EU) 2021/2178 felhatalmazáson alapuló rendeletben említett GAR-t. A megadott információknak az (EU) 2020/852 rendelet 9. cikkének a) és b) pontjában említett célokhoz, az éghajlatváltozás mérsékléséhez és az éghajlatváltozáshoz való alkalmazkodáshoz kell kapcsolódniuk.</w:t>
      </w:r>
    </w:p>
    <w:p w14:paraId="16F3972E" w14:textId="098DC1DA"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Az intézményeknek ezeket az információkat 2023. december 31-i első vonatkozási időponttal kell nyilvánosságra hozniuk, amely az (EU) 2021/2178 felhatalmazáson alapuló rendeletben a GAR tekintetében megjelölt első nyilvánosságr</w:t>
      </w:r>
      <w:r w:rsidR="00EA239B">
        <w:rPr>
          <w:rFonts w:ascii="Times New Roman" w:hAnsi="Times New Roman"/>
          <w:noProof/>
          <w:sz w:val="24"/>
        </w:rPr>
        <w:t>a hozatali vonatkozási időpont.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Oszlop</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Útmutató</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218F2DAC"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Bruttó könyv szerinti érték</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szerinti értéket kell feltüntetniük.</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63E5A5E4"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20A752A" w14:textId="1C634E85"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ebből a taxonómia </w:t>
            </w:r>
            <w:r w:rsidR="00EA239B">
              <w:rPr>
                <w:rFonts w:ascii="Times New Roman" w:hAnsi="Times New Roman"/>
                <w:b/>
                <w:noProof/>
                <w:sz w:val="24"/>
                <w:u w:val="single"/>
              </w:rPr>
              <w:t>szempontjából releváns ágazatok</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szerinti értéket kell feltüntetniük.</w:t>
            </w:r>
          </w:p>
          <w:p w14:paraId="4605BFA9" w14:textId="65436550"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2021/2139 felhatalmazáson alapuló bizottsági rendelet</w:t>
            </w:r>
            <w:r>
              <w:rPr>
                <w:rFonts w:ascii="Times New Roman" w:hAnsi="Times New Roman"/>
                <w:noProof/>
                <w:sz w:val="24"/>
                <w:vertAlign w:val="superscript"/>
              </w:rPr>
              <w:t>*22</w:t>
            </w:r>
            <w:r>
              <w:rPr>
                <w:rFonts w:ascii="Times New Roman" w:hAnsi="Times New Roman"/>
                <w:noProof/>
                <w:sz w:val="24"/>
              </w:rPr>
              <w:t xml:space="preserve"> I. mellékletében meghatározottak szerint a taxonómián alapuló megfelelő környezetvédelmi célkitűzés szempontjából releváns ágazatokkal (4 szintű NACE-kód) szembeni figyelembe vehető kitettségek bruttó könyv szeri</w:t>
            </w:r>
            <w:r w:rsidR="00EA239B">
              <w:rPr>
                <w:rFonts w:ascii="Times New Roman" w:hAnsi="Times New Roman"/>
                <w:noProof/>
                <w:sz w:val="24"/>
              </w:rPr>
              <w:t>nti értékét kell feltüntetniük.</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2020/852 rendelet 9. cikkének a) pontjával és 10. cikkével összhangban az éghajlatváltozás mérséklésének célkitűzése alá tartozó releváns ágazatokkal szembeni kitettségeket kell feltüntetniük.</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3EEA16EB"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D9B41CD" w14:textId="17C31692"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körn</w:t>
            </w:r>
            <w:r w:rsidR="00EA239B">
              <w:rPr>
                <w:rFonts w:ascii="Times New Roman" w:hAnsi="Times New Roman"/>
                <w:b/>
                <w:noProof/>
                <w:sz w:val="24"/>
                <w:u w:val="single"/>
              </w:rPr>
              <w:t>yezeti szempontból fenntartható</w:t>
            </w:r>
          </w:p>
          <w:p w14:paraId="78384F9A" w14:textId="6AF040B0"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w:t>
            </w:r>
            <w:r w:rsidR="00EA239B">
              <w:rPr>
                <w:rFonts w:ascii="Times New Roman" w:hAnsi="Times New Roman"/>
                <w:noProof/>
                <w:sz w:val="24"/>
              </w:rPr>
              <w:t>nti értéket kell feltüntetniük.</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2021/2139 felhatalmazáson alapuló rendelet I. mellékletében meghatározottak szerint környezeti szempontból fenntartható, figyelembe vehető kitettségek bruttó könyv szerinti értékét kell feltüntetniük.</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Az intézményeknek az (EU) 2020/852 rendelet 9. cikkének a) pontjával és 10. cikkével összhangban az éghajlatváltozás mérséklésének célkitűzése alá tartozó, környezeti szempontból fenntartható kitettségeket kell feltüntetniük.</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Azon hitelek esetében, amelyek felhasználása ismert (speciális hitelezés, beleértve az (EU) 2021/451 végrehajtási rendelet V. mellékletében említett projektfinanszírozási hiteleket), az intézményeknek fel kell tüntetniük, hogy a kitettség milyen mértékben fenntartható környezeti szempontból. Ez azon alapul, hogy a finanszírozott projekt az (EU) 2020/852 rendelet 10. cikkével összhangban milyen mértékben járul hozzá lényegesen az éghajlatváltozás mérsékléséhez, vagy az említett rendelet 16. cikkével összhangban támogató tevékenység, és megfelel-e az említett rendelet 3. cikkében meghatározott kritériumoknak. Azon hitelek esetében, amelyek felhasználása nem ismert, az intézményeknek az (EU) 2020/852 rendelet 8. cikkével összhangban a partnertől kapott, az említett rendelet 3. cikke értelmében környezeti szempontból fenntarthatónak minősülő gazdasági tevékenységekhez kapcsolódó termékekből vagy szolgáltatásokból származó árbevétel arányára vonatkozó információk alapján kell feltüntetniük, hogy a kitettség milyen mértékben fenntartható környezeti szempontból.</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Minden kitettséget csak egyszer lehet figyelembe venni, és csak egy környezetvédelmi célkitűzéshez lehet hozzárendelni. Amennyiben valamely kitettség egynél több környezetvédelmi célkitűzés szempontjából releváns, azt a legrelevánsabb célkitűzéshez kell hozzárendelni.</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3351C9B5"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speciális hitelezés</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szerinti értéket kell feltüntetniük.</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A speciális hitelezési kitettség az (EU) 575/2013 rendelet 147. cikkének (8) bekezdésében említett speciális hitelezési kitettség. Az intézményeknek az (EU) 2020/852 rendelet 9. cikkének a) pontjával és 10. cikkével összhangban az éghajlatváltozás mérséklésének célkitűzése alá tartozó, környezeti szempontból fenntartható kitettségeket kell feltüntetniük.</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Azon hitelek esetében, amelyek felhasználása ismert, a speciális hitelezés esetében az intézményeknek fel kell tüntetniük, hogy a kitettség milyen mértékben minősül környezeti szempontból fenntarthatónak annak alapján, hogy az adott projekt milyen mértékben és arányban járul hozzá lényegesen az éghajlatváltozás mérsékléséhez az (EU) 2020/852 rendelet 10. cikkével összhangban (projektspecifikus információ), vagy a 16. cikkel összhangban támogató tevékenységként, megfelelve az említett rendelet 3. cikkében meghatározott kritériumoknak. Az intézményeknek átlátható tájékoztatást kell nyújtaniuk a speciális hitelezéssel finanszírozott gazdasági tevékenységek típusairól. Amennyiben valamely kitettség egynél több környezetvédelmi célkitűzés szempontjából releváns, azt a legrelevánsabb célkitűzéshez kell hozzárendelni.</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2DBF593E"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átállás</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(EU) 2020/852 rendelet 10. cikke.</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0CA4DE71"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támogató</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(EU) 2020/852 rendelet 16. cikke.</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3D736D4A"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1AD4BE3" w14:textId="078F3210"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a taxonómia szempontjából releváns ágazatok</w:t>
            </w:r>
          </w:p>
          <w:p w14:paraId="00451C69" w14:textId="61CC0D3F"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w:t>
            </w:r>
            <w:r w:rsidR="00EA239B">
              <w:rPr>
                <w:rFonts w:ascii="Times New Roman" w:hAnsi="Times New Roman"/>
                <w:noProof/>
                <w:sz w:val="24"/>
              </w:rPr>
              <w:t>nti értéket kell feltüntetniük.</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Az intézményeknek az (EU) 2021/2139 felhatalmazáson alapuló bizottsági rendelet II. mellékletében meghatározottak szerint a taxonómia szempontjából releváns ágazatokkal (4 szintű NACE-kód) szembeni figyelembe vehető kitettségek bruttó könyv szerinti értékét kell feltüntetniük.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2020/852 rendelet 9. cikkének b) pontjával és 11. cikkével összhangban az éghajlatváltozáshoz való alkalmazkodás célkitűzése alá tartozó releváns ágazatokkal szembeni kitettségeket kell feltüntetniük.</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27B76BA2"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62C103C" w14:textId="2EA3BF7F"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körn</w:t>
            </w:r>
            <w:r w:rsidR="00EA239B">
              <w:rPr>
                <w:rFonts w:ascii="Times New Roman" w:hAnsi="Times New Roman"/>
                <w:b/>
                <w:noProof/>
                <w:sz w:val="24"/>
                <w:u w:val="single"/>
              </w:rPr>
              <w:t>yezeti szempontból fenntartható</w:t>
            </w:r>
          </w:p>
          <w:p w14:paraId="7377BA37" w14:textId="62347F56"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w:t>
            </w:r>
            <w:r w:rsidR="00EA239B">
              <w:rPr>
                <w:rFonts w:ascii="Times New Roman" w:hAnsi="Times New Roman"/>
                <w:noProof/>
                <w:sz w:val="24"/>
              </w:rPr>
              <w:t>nti értéket kell feltüntetniük.</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2021/2139 felhatalmazáson alapuló rendelet II. mellékletében meghatározottak szerint környezeti szempontból fenntartható, figyelembe vehető kitettségek bruttó könyv szerinti értékét kell feltüntetniük.</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Az intézményeknek az (EU) 2020/852 rendelet 9. cikkének b) pontjával és 11. cikkével összhangban az éghajlatváltozáshoz való alkalmazkodás célkitűzése alá tartozó, környezeti szempontból fenntartható kitettségeket kell feltüntetniük.</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Azon hitelek esetében, amelyek felhasználása ismert, a speciális hitelezés esetében az intézményeknek fel kell tüntetniük, hogy a kitettség milyen mértékben minősül környezeti szempontból fenntarthatónak annak alapján, hogy a finanszírozott projekt milyen mértékben és arányban járul hozzá lényegesen az éghajlatváltozáshoz való alkalmazkodáshoz az (EU) 2020/852 rendelet 11. cikkével összhangban (projektspecifikus információ), vagy a 16. cikkel összhangban támogató tevékenységként, megfelelve az említett rendelet 3. cikkében meghatározott kritériumoknak.</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Azon hitelek esetében, amelyek felhasználása nem ismert, az intézményeknek az (EU) 2020/852 rendelet 8. cikkével összhangban a partnertől kapott, az említett rendelet 3. cikke értelmében környezeti szempontból fenntarthatónak minősülő gazdasági tevékenységekhez kapcsolódó termékekből vagy szolgáltatásokból származó árbevétel arányára vonatkozó információk alapján kell feltüntetniük, hogy a kitettség milyen mértékben fenntartható környezeti szempontból.</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Minden kitettséget csak egyszer lehet figyelembe venni, és csak egy környezetvédelmi célkitűzéshez lehet hozzárendelni. Amennyiben valamely kitettség egynél több környezetvédelmi célkitűzés szempontjából releváns, azt a legrelevánsabb célkitűzéshez kell hozzárendelni.</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4882DBC"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speciális hitelezés</w:t>
            </w:r>
          </w:p>
          <w:p w14:paraId="528B71C4" w14:textId="764D8F18"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w:t>
            </w:r>
            <w:r w:rsidR="00EA239B">
              <w:rPr>
                <w:rFonts w:ascii="Times New Roman" w:hAnsi="Times New Roman"/>
                <w:noProof/>
                <w:sz w:val="24"/>
              </w:rPr>
              <w:t>nti értéket kell feltüntetniük.</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A speciális hitelezési kitettség az (EU) 575/2013 rendelet 147. cikkének (8) bekezdésében említett speciális hitelezési kitettség.</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Az intézményeknek az (EU) 2020/852 rendelet 9. cikkének b) pontjával és 11. cikkével összhangban az éghajlatváltozáshoz való alkalmazkodás célkitűzése alá tartozó, környezeti szempontból fenntartható kitettségeket kell feltüntetniük.</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Az intézményeknek a partnertől származó információk felhasználásával kell feltüntetniük, hogy a kitettség milyen mértékben fenntartható környezeti szempontból.</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Azon hitelek esetében, amelyek felhasználása ismert, a speciális hitelezés esetében az intézményeknek fel kell tüntetniük, hogy a kitettség milyen mértékben minősül környezeti szempontból fenntarthatónak annak alapján, hogy az adott projekt milyen mértékben és arányban járul hozzá lényegesen az éghajlatváltozáshoz való alkalmazkodáshoz az (EU) 2020/852 rendelet 11. cikkével összhangban (projektspecifikus információ), vagy a 16. cikkel összhangban támogató tevékenységként, megfelelve az említett rendelet 3. cikkében meghatározott kritériumoknak. Az intézményeknek átlátható tájékoztatást kell nyújtaniuk a speciális hitelezéssel finanszírozott gazdasági tevékenységek típusairól. Amennyiben valamely kitettség egynél több környezetvédelmi célkitűzés szempontjából releváns, azt a legrelevánsabb célkitűzéshez kell hozzárendelni.</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24FDC805"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alkalmazkodás</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(EU) 2020/852 rendelet 11. cikke. Azok a tevékenységek tartoznak ide, amelyek nem támogató tevékenységek.</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4A79FD26"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támogató</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(EU) 2020/852 rendelet 16. cikke.</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2E968A5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62782B4" w14:textId="1D53286B"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ebből a taxonómia </w:t>
            </w:r>
            <w:r w:rsidR="00EA239B">
              <w:rPr>
                <w:rFonts w:ascii="Times New Roman" w:hAnsi="Times New Roman"/>
                <w:b/>
                <w:noProof/>
                <w:sz w:val="24"/>
                <w:u w:val="single"/>
              </w:rPr>
              <w:t>szempontjából releváns ágazatok</w:t>
            </w:r>
          </w:p>
          <w:p w14:paraId="14CE0F55" w14:textId="2CDAD6E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w:t>
            </w:r>
            <w:r w:rsidR="00EA239B">
              <w:rPr>
                <w:rFonts w:ascii="Times New Roman" w:hAnsi="Times New Roman"/>
                <w:noProof/>
                <w:sz w:val="24"/>
              </w:rPr>
              <w:t>nti értéket kell feltüntetniük.</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e tábla b) és g) oszlopának összegét kell megadniuk.</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4E962F1D"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ebből környezeti szempontból fenntartható </w:t>
            </w:r>
          </w:p>
          <w:p w14:paraId="561EDA01" w14:textId="3555D6BD"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w:t>
            </w:r>
            <w:r w:rsidR="000138F5">
              <w:rPr>
                <w:rFonts w:ascii="Times New Roman" w:hAnsi="Times New Roman"/>
                <w:noProof/>
                <w:sz w:val="24"/>
              </w:rPr>
              <w:t>nti értéket kell feltüntetniük.</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e tábla c) és h) oszlopának összegét kell megadniuk.</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456257D1"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speciális hitelezés</w:t>
            </w:r>
          </w:p>
          <w:p w14:paraId="4D5E5514" w14:textId="7680C778"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részében meghatározott bruttó könyv szeri</w:t>
            </w:r>
            <w:r w:rsidR="000138F5">
              <w:rPr>
                <w:rFonts w:ascii="Times New Roman" w:hAnsi="Times New Roman"/>
                <w:noProof/>
                <w:sz w:val="24"/>
              </w:rPr>
              <w:t>nti értéket kell feltüntetniük.</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A speciális hitelezési kitettség az (EU) 575/2013 rendelet 147. cikkének (8) bekezdésében említett speciális hitelezési kitettség.</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e tábla d) és i) oszlopának összegét kell megadniuk.</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08B9925C"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átállás/alkalmazkodás</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Az (EU) 2020/852 rendelet 10. és 11. cikke.</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e tábla e) és j) oszlopának összegét kell megadniuk.</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6DDF1FB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támogató</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Az (EU) 2020/852 rendelet 16. cikke.</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e tábla f) és k) oszlopának összegét kell megadniuk.</w:t>
            </w:r>
          </w:p>
        </w:tc>
      </w:tr>
    </w:tbl>
    <w:p w14:paraId="5A3CD59F" w14:textId="77777777" w:rsidR="00E77292" w:rsidRPr="00DB5A05"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Sor</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1724E5D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Útmutató</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A számlálóban és nevezőben egyaránt figyelembe vett eszközök</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figyelembe vehető kitettségek azok a kitettségek, amelyek az (EU) 2020/852 rendelet 8. cikke szerinti közzétételi követelmények hatálya alá tartozó partnerekkel és eszközosztályokkal kapcsolatosak.</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4422744B"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GAR számításához figyelembe vehető hitelek és előlegek, nem kereskedési céllal tartott hitelviszonyt megtestesítő értékpapírok és tulajdoni részesedést megtestesítő eszközök</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banki könyvbe sorolt hiteleket és előlegeket és a banki könyvbe sorolt, nem kereskedési céllal és nem értékesítésre tartott hitelviszonyt megtestesítő értékpapírokat és tulajdoni részesedést megtestesítő eszközöket kell feltüntetniük, az (EU) 2021/451 végrehajtási rendelet V. mellékletében meghatározottak szerint.</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545145C6"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Pénzügyi vállalatok</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2021/451 végrehajtási rendelet V. melléklete 1. része 42. pontjának c) és d) alpontjában említett kitettségeket kell feltüntetniük.</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1A96E071"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Hitelintézetek</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Az intézményeknek az (EU) 2021/451 végrehajtási rendelet V. melléklete 1. része 42. pontjának c) alpontjában említett kitettségeket kell feltüntetniük.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294843FC" w:rsidR="00E77292" w:rsidRPr="00E50FA4" w:rsidRDefault="00006CBB" w:rsidP="005F031D">
            <w:pPr>
              <w:spacing w:before="120" w:after="120"/>
              <w:jc w:val="both"/>
              <w:rPr>
                <w:rFonts w:ascii="Times New Roman" w:eastAsia="Times New Roman" w:hAnsi="Times New Roman" w:cs="Times New Roman"/>
                <w:noProof/>
                <w:sz w:val="24"/>
              </w:rPr>
            </w:pPr>
            <w:r>
              <w:rPr>
                <w:rFonts w:ascii="Times New Roman" w:hAnsi="Times New Roman"/>
                <w:noProof/>
                <w:sz w:val="24"/>
              </w:rPr>
              <w:t>4</w:t>
            </w:r>
            <w:r w:rsidR="005F031D">
              <w:rPr>
                <w:rFonts w:ascii="Times New Roman" w:hAnsi="Times New Roman"/>
                <w:noProof/>
                <w:sz w:val="24"/>
              </w:rPr>
              <w:t>.</w:t>
            </w:r>
            <w:r>
              <w:rPr>
                <w:rFonts w:ascii="Times New Roman" w:hAnsi="Times New Roman"/>
                <w:noProof/>
                <w:sz w:val="24"/>
              </w:rPr>
              <w:t>, 9</w:t>
            </w:r>
            <w:r w:rsidR="005F031D">
              <w:rPr>
                <w:rFonts w:ascii="Times New Roman" w:hAnsi="Times New Roman"/>
                <w:noProof/>
                <w:sz w:val="24"/>
              </w:rPr>
              <w:t>.</w:t>
            </w:r>
            <w:r>
              <w:rPr>
                <w:rFonts w:ascii="Times New Roman" w:hAnsi="Times New Roman"/>
                <w:noProof/>
                <w:sz w:val="24"/>
              </w:rPr>
              <w:t>, 13</w:t>
            </w:r>
            <w:r w:rsidR="005F031D">
              <w:rPr>
                <w:rFonts w:ascii="Times New Roman" w:hAnsi="Times New Roman"/>
                <w:noProof/>
                <w:sz w:val="24"/>
              </w:rPr>
              <w:t>.</w:t>
            </w:r>
            <w:r>
              <w:rPr>
                <w:rFonts w:ascii="Times New Roman" w:hAnsi="Times New Roman"/>
                <w:noProof/>
                <w:sz w:val="24"/>
              </w:rPr>
              <w:t>, 17</w:t>
            </w:r>
            <w:r w:rsidR="005F031D">
              <w:rPr>
                <w:rFonts w:ascii="Times New Roman" w:hAnsi="Times New Roman"/>
                <w:noProof/>
                <w:sz w:val="24"/>
              </w:rPr>
              <w:t>.</w:t>
            </w:r>
            <w:r>
              <w:rPr>
                <w:rFonts w:ascii="Times New Roman" w:hAnsi="Times New Roman"/>
                <w:noProof/>
                <w:sz w:val="24"/>
              </w:rPr>
              <w:t>, 21</w:t>
            </w:r>
            <w:r w:rsidR="005F031D">
              <w:rPr>
                <w:rFonts w:ascii="Times New Roman" w:hAnsi="Times New Roman"/>
                <w:noProof/>
                <w:sz w:val="24"/>
              </w:rPr>
              <w:t>.</w:t>
            </w:r>
            <w:r>
              <w:rPr>
                <w:rFonts w:ascii="Times New Roman" w:hAnsi="Times New Roman"/>
                <w:noProof/>
                <w:sz w:val="24"/>
              </w:rPr>
              <w:t>, 34</w:t>
            </w:r>
            <w:r w:rsidR="005F031D">
              <w:rPr>
                <w:rFonts w:ascii="Times New Roman" w:hAnsi="Times New Roman"/>
                <w:noProof/>
                <w:sz w:val="24"/>
              </w:rPr>
              <w:t>.</w:t>
            </w:r>
            <w:r>
              <w:rPr>
                <w:rFonts w:ascii="Times New Roman" w:hAnsi="Times New Roman"/>
                <w:noProof/>
                <w:sz w:val="24"/>
              </w:rPr>
              <w:t>, 40</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Hitelek és előlegek</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részének 32. pontjában meghatározott hiteleket és előlegeket kell feltüntetniük.</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29CD93FE"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r w:rsidR="005F031D">
              <w:rPr>
                <w:rFonts w:ascii="Times New Roman" w:hAnsi="Times New Roman"/>
                <w:noProof/>
                <w:sz w:val="24"/>
              </w:rPr>
              <w:t>.</w:t>
            </w:r>
            <w:r>
              <w:rPr>
                <w:rFonts w:ascii="Times New Roman" w:hAnsi="Times New Roman"/>
                <w:noProof/>
                <w:sz w:val="24"/>
              </w:rPr>
              <w:t>, 10</w:t>
            </w:r>
            <w:r w:rsidR="005F031D">
              <w:rPr>
                <w:rFonts w:ascii="Times New Roman" w:hAnsi="Times New Roman"/>
                <w:noProof/>
                <w:sz w:val="24"/>
              </w:rPr>
              <w:t>.</w:t>
            </w:r>
            <w:r>
              <w:rPr>
                <w:rFonts w:ascii="Times New Roman" w:hAnsi="Times New Roman"/>
                <w:noProof/>
                <w:sz w:val="24"/>
              </w:rPr>
              <w:t>, 14</w:t>
            </w:r>
            <w:r w:rsidR="005F031D">
              <w:rPr>
                <w:rFonts w:ascii="Times New Roman" w:hAnsi="Times New Roman"/>
                <w:noProof/>
                <w:sz w:val="24"/>
              </w:rPr>
              <w:t>.</w:t>
            </w:r>
            <w:r>
              <w:rPr>
                <w:rFonts w:ascii="Times New Roman" w:hAnsi="Times New Roman"/>
                <w:noProof/>
                <w:sz w:val="24"/>
              </w:rPr>
              <w:t>, 18</w:t>
            </w:r>
            <w:r w:rsidR="005F031D">
              <w:rPr>
                <w:rFonts w:ascii="Times New Roman" w:hAnsi="Times New Roman"/>
                <w:noProof/>
                <w:sz w:val="24"/>
              </w:rPr>
              <w:t>.</w:t>
            </w:r>
            <w:r>
              <w:rPr>
                <w:rFonts w:ascii="Times New Roman" w:hAnsi="Times New Roman"/>
                <w:noProof/>
                <w:sz w:val="24"/>
              </w:rPr>
              <w:t>, 22</w:t>
            </w:r>
            <w:r w:rsidR="005F031D">
              <w:rPr>
                <w:rFonts w:ascii="Times New Roman" w:hAnsi="Times New Roman"/>
                <w:noProof/>
                <w:sz w:val="24"/>
              </w:rPr>
              <w:t>.</w:t>
            </w:r>
            <w:r>
              <w:rPr>
                <w:rFonts w:ascii="Times New Roman" w:hAnsi="Times New Roman"/>
                <w:noProof/>
                <w:sz w:val="24"/>
              </w:rPr>
              <w:t>, 37</w:t>
            </w:r>
            <w:r w:rsidR="005F031D">
              <w:rPr>
                <w:rFonts w:ascii="Times New Roman" w:hAnsi="Times New Roman"/>
                <w:noProof/>
                <w:sz w:val="24"/>
              </w:rPr>
              <w:t>.</w:t>
            </w:r>
            <w:r>
              <w:rPr>
                <w:rFonts w:ascii="Times New Roman" w:hAnsi="Times New Roman"/>
                <w:noProof/>
                <w:sz w:val="24"/>
              </w:rPr>
              <w:t>, 41</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Hitelviszonyt megtestesítő értékpapírok</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 2021/451/EU végrehajtási rendelet V. melléklete 1. részének 31. pontjában meghatározott hitelviszonyt megtestesítő értékpapírokat kell feltüntetniük.</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6A47FAB3"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r w:rsidR="005F031D">
              <w:rPr>
                <w:rFonts w:ascii="Times New Roman" w:hAnsi="Times New Roman"/>
                <w:noProof/>
                <w:sz w:val="24"/>
              </w:rPr>
              <w:t>.</w:t>
            </w:r>
            <w:r>
              <w:rPr>
                <w:rFonts w:ascii="Times New Roman" w:hAnsi="Times New Roman"/>
                <w:noProof/>
                <w:sz w:val="24"/>
              </w:rPr>
              <w:t>, 11</w:t>
            </w:r>
            <w:r w:rsidR="005F031D">
              <w:rPr>
                <w:rFonts w:ascii="Times New Roman" w:hAnsi="Times New Roman"/>
                <w:noProof/>
                <w:sz w:val="24"/>
              </w:rPr>
              <w:t>.</w:t>
            </w:r>
            <w:r>
              <w:rPr>
                <w:rFonts w:ascii="Times New Roman" w:hAnsi="Times New Roman"/>
                <w:noProof/>
                <w:sz w:val="24"/>
              </w:rPr>
              <w:t>, 15</w:t>
            </w:r>
            <w:r w:rsidR="005F031D">
              <w:rPr>
                <w:rFonts w:ascii="Times New Roman" w:hAnsi="Times New Roman"/>
                <w:noProof/>
                <w:sz w:val="24"/>
              </w:rPr>
              <w:t>.</w:t>
            </w:r>
            <w:r>
              <w:rPr>
                <w:rFonts w:ascii="Times New Roman" w:hAnsi="Times New Roman"/>
                <w:noProof/>
                <w:sz w:val="24"/>
              </w:rPr>
              <w:t>, 19</w:t>
            </w:r>
            <w:r w:rsidR="005F031D">
              <w:rPr>
                <w:rFonts w:ascii="Times New Roman" w:hAnsi="Times New Roman"/>
                <w:noProof/>
                <w:sz w:val="24"/>
              </w:rPr>
              <w:t>.</w:t>
            </w:r>
            <w:r>
              <w:rPr>
                <w:rFonts w:ascii="Times New Roman" w:hAnsi="Times New Roman"/>
                <w:noProof/>
                <w:sz w:val="24"/>
              </w:rPr>
              <w:t>, 23</w:t>
            </w:r>
            <w:r w:rsidR="005F031D">
              <w:rPr>
                <w:rFonts w:ascii="Times New Roman" w:hAnsi="Times New Roman"/>
                <w:noProof/>
                <w:sz w:val="24"/>
              </w:rPr>
              <w:t>.</w:t>
            </w:r>
            <w:r>
              <w:rPr>
                <w:rFonts w:ascii="Times New Roman" w:hAnsi="Times New Roman"/>
                <w:noProof/>
                <w:sz w:val="24"/>
              </w:rPr>
              <w:t>, 38</w:t>
            </w:r>
            <w:r w:rsidR="005F031D">
              <w:rPr>
                <w:rFonts w:ascii="Times New Roman" w:hAnsi="Times New Roman"/>
                <w:noProof/>
                <w:sz w:val="24"/>
              </w:rPr>
              <w:t>.</w:t>
            </w:r>
            <w:r>
              <w:rPr>
                <w:rFonts w:ascii="Times New Roman" w:hAnsi="Times New Roman"/>
                <w:noProof/>
                <w:sz w:val="24"/>
              </w:rPr>
              <w:t>, 42</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Tulajdoni részesedést megtestesítő instrumentumok</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 2021/451/EU végrehajtási rendelet V. mellékletében meghatározott tulajdoni részesedést megtestesítő instrumentumokat kell feltüntetniük. A banki könyvben szereplő tulajdoni részesedést megtestesítő instrumentumok magukban foglalják a társult vállalkozásokban, közös vállalkozásokban és leányvállalatokban lévő olyan befektetéseket, amelyek nincsenek teljes mértékben vagy arányosan konszolidálva.</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852D316"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Egyéb pénzügyi vállalatok</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az (EU) 2021/451 végrehajtási rendelet V. melléklete 1. része 42. pontjának d) alpontjában említett egyéb pénzügyi vállalatokkal szembeni kitettségeket kell feltüntetniük.</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61D873C3"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befektetési vállalkozások</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575/2013/EU rendelet 4. cikke (1) bekezdésének 2. pontjában meghatározott befektetési vállalkozásokkal szembeni kitettségeket kell feltüntetniük.</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3306B59A"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vagyonkezelő társaságok</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Az intézményeknek az 575/2013/EU rendelet 4. cikke (1) bekezdésének 19. pontjában meghatározott vagyonkezelő társaságokkal szembeni kitettségeket kell feltüntetniük.</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E214D2F"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biztosítók</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575/2013/EU rendelet 4. cikke (1) bekezdésének 5. pontjában meghatározott biztosítókkal szembeni kitettségeket kell feltüntetniük.</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10078EA"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87D9854" w14:textId="7369ABB0"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Az NFRD szerinti közzétételi kötelezettségek hatálya alá </w:t>
            </w:r>
            <w:r w:rsidR="0016026C">
              <w:rPr>
                <w:rFonts w:ascii="Times New Roman" w:hAnsi="Times New Roman"/>
                <w:b/>
                <w:noProof/>
                <w:sz w:val="24"/>
                <w:u w:val="single"/>
              </w:rPr>
              <w:t>tartozó nem pénzügyi vállalatok</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az (EU) 2021/451 végrehajtási rendelet V. melléklete 1. része 42. pontjának e) alpontjában említett azon nem pénzügyi vállalatokkal szembeni kitettségeket kell feltüntetniük, amelyek a 2014/95/EU irányelv (a nem pénzügyi információk közzétételéről szóló irányelv, NFRD) szerinti közzétételi kötelezettségek hatálya alá tartoznak.</w:t>
            </w:r>
          </w:p>
        </w:tc>
      </w:tr>
      <w:tr w:rsidR="007E5AD5"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026C9D60" w:rsidR="007E5AD5" w:rsidRPr="00E50FA4" w:rsidRDefault="007E5AD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0D4AAAF" w14:textId="77777777" w:rsidR="007E5AD5" w:rsidRPr="00E50FA4"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Háztartások</w:t>
            </w:r>
          </w:p>
          <w:p w14:paraId="59A4F435" w14:textId="77777777" w:rsidR="007E5AD5" w:rsidRPr="00E50FA4" w:rsidRDefault="007E5AD5"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1. része 42. pontjának f) alpontjában meghatározott hiteleket és előlegeket kell feltüntetniük.</w:t>
            </w:r>
          </w:p>
          <w:p w14:paraId="392E49CD" w14:textId="08FDBD91" w:rsidR="007E5AD5" w:rsidRPr="00E50FA4" w:rsidRDefault="007E5AD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Az intézményeknek kétoldalúan kell információkat gyűjteniük partnereiktől a hitelnyújtási folyamat, valamint a rendszeres hitelfelülvizsgálati </w:t>
            </w:r>
            <w:r w:rsidR="0016026C">
              <w:rPr>
                <w:rFonts w:ascii="Times New Roman" w:hAnsi="Times New Roman"/>
                <w:noProof/>
                <w:sz w:val="24"/>
              </w:rPr>
              <w:t>és -ellenőrzési folyamat révén.</w:t>
            </w:r>
          </w:p>
        </w:tc>
      </w:tr>
      <w:tr w:rsidR="007E5AD5"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481A5FC6" w:rsidR="007E5AD5" w:rsidRPr="00E50FA4" w:rsidRDefault="007E5AD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BE8CAB0" w14:textId="77777777" w:rsidR="007E5AD5" w:rsidRPr="00E50FA4"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lakóingatlannal fedezett hitelek</w:t>
            </w:r>
          </w:p>
          <w:p w14:paraId="4CB47F14" w14:textId="77777777" w:rsidR="007E5AD5" w:rsidRPr="00E50FA4" w:rsidRDefault="007E5AD5"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végrehajtási rendelet V. melléklete 2. része 173. pontjának a) alpontjában meghatározott lakóingatlannak fedezett hiteleket és előlegeket kell feltüntetniük.</w:t>
            </w:r>
          </w:p>
          <w:p w14:paraId="0DAE2067" w14:textId="437C047F" w:rsidR="007E5AD5" w:rsidRPr="00E50FA4" w:rsidRDefault="007E5AD5"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E kitettségeknek az (EU) 2020/852 rendelethez való igazodását csak az éghajlatváltozás mérséklésének célkitűzésére vonatkozó egyszerűsített megközelítést követve, az épületekre vonatkozó technikai vizsgálati kritériumokkal, nevezetesen az (EU) 2021/2139 felhatalmazáson alapuló rendelet I. mellékletének épület-korszerűsítésre, -vásárlásra és -tulajdonlásra vonatkozó 7.2., 7.3., 7.4., 7.5., 7.6. és 7.7. pontjával összhangban kell értékelni, az alapul szolgáló biztosíték energiahatékonysága alapján.</w:t>
            </w:r>
          </w:p>
        </w:tc>
      </w:tr>
      <w:tr w:rsidR="007E5AD5"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9039DC5" w:rsidR="007E5AD5" w:rsidRPr="00E50FA4" w:rsidRDefault="007E5AD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26</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A3A3712" w14:textId="77777777" w:rsidR="007E5AD5" w:rsidRPr="00E50FA4" w:rsidRDefault="007E5AD5"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épület-korszerűsítést célzó hitelek</w:t>
            </w:r>
          </w:p>
          <w:p w14:paraId="465F7386" w14:textId="77777777" w:rsidR="007E5AD5" w:rsidRPr="00E50FA4" w:rsidRDefault="007E5AD5"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háztartások számára lakóhelyük korszerűsítése céljából nyújtott hiteleket kell feltüntetniük.</w:t>
            </w:r>
          </w:p>
          <w:p w14:paraId="3C6471F3" w14:textId="56DFA82E" w:rsidR="007E5AD5" w:rsidRPr="00E50FA4" w:rsidRDefault="007E5AD5"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E kitettségeknek az (EU) 2020/852 rendelethez való igazodását csak az éghajlatváltozás mérséklésének célkitűzésére vonatkozó egyszerűsített megközelítést követve, az épületekre vonatkozó technikai vizsgálati kritériumokkal, nevezetesen az (EU) 2021/2139 felhatalmazáson alapuló rendelet I. mellékletének épület-korszerűsítésre, -vásárlásra és -tulajdonlásra vonatkozó 7.2., 7.3., 7.4., 7.5., 7.6. és 7.7. pontjával összhangban kell értékelni, az alapul szolgáló biztosíték energiahatékonysága alapján. </w:t>
            </w:r>
          </w:p>
        </w:tc>
      </w:tr>
      <w:tr w:rsidR="007E5AD5"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601BE437" w:rsidR="007E5AD5" w:rsidRPr="00E50FA4" w:rsidRDefault="007E5AD5"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27</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E4A4399" w14:textId="77777777" w:rsidR="007E5AD5" w:rsidRPr="00E50FA4"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gépjárműhitelek</w:t>
            </w:r>
          </w:p>
          <w:p w14:paraId="5925605E" w14:textId="621027C9" w:rsidR="007E5AD5" w:rsidRPr="00E50FA4" w:rsidRDefault="007E5AD5"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az (EU) 2021/451 végrehajtási rendelet V. melléklete 2. része 173. pontja b) alpontjának ii. alpontjában említett gépjárműhiteleket, valamint a gépjárművásárlásra nyújtott egyéb hiteleket kell feltüntetniük, amelyeket az éghajlatváltozás mérséklésének célkitűzésére vonatkozó egyszerűsített megközelítést követve értékelnek a járművek finanszírozására, bérlésére és lízingjére vonatkozó, az (EU) 2021/2139 felhatalmazáson alapuló rendelet I. melléklete 6.5. szakaszának megfelelő technikai vizsgálati kritériumokkal összhangban, az alapul szolgáló jármű energiahatékonysága alapján.</w:t>
            </w:r>
          </w:p>
        </w:tc>
      </w:tr>
      <w:tr w:rsidR="007E5AD5"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07C0F08D" w:rsidR="007E5AD5" w:rsidRPr="00E50FA4" w:rsidRDefault="007E5AD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0BC3C1FF" w14:textId="77777777" w:rsidR="007E5AD5" w:rsidRPr="00E50FA4"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Helyi önkormányzatok finanszírozása</w:t>
            </w:r>
          </w:p>
          <w:p w14:paraId="6FF61A4B" w14:textId="77777777" w:rsidR="007E5AD5" w:rsidRPr="00E50FA4" w:rsidRDefault="007E5AD5"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Ez a sor a tábla 29. és 30. sorának összege.</w:t>
            </w:r>
          </w:p>
          <w:p w14:paraId="7EB37468" w14:textId="17895D0F" w:rsidR="007E5AD5" w:rsidRPr="00E50FA4" w:rsidRDefault="007E5AD5" w:rsidP="0025458E">
            <w:pPr>
              <w:spacing w:before="120" w:after="120"/>
              <w:jc w:val="both"/>
              <w:rPr>
                <w:rFonts w:ascii="Times New Roman" w:eastAsia="Times New Roman" w:hAnsi="Times New Roman" w:cs="Times New Roman"/>
                <w:noProof/>
                <w:sz w:val="24"/>
              </w:rPr>
            </w:pPr>
          </w:p>
        </w:tc>
      </w:tr>
      <w:tr w:rsidR="007E5AD5"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56153B23" w:rsidR="007E5AD5" w:rsidRPr="00E50FA4" w:rsidRDefault="007E5AD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0C6FAD1" w14:textId="77777777" w:rsidR="007E5AD5" w:rsidRPr="00E50FA4"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Lakásfinanszírozás</w:t>
            </w:r>
          </w:p>
          <w:p w14:paraId="0E225FD1" w14:textId="2C90FA9F" w:rsidR="007E5AD5" w:rsidRPr="00DB5A05"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 köztulajdonú bérlakások beszerzésének finanszírozása céljából a helyi önkormányzatoknak nyújtott hiteleket kell feltüntetniük.</w:t>
            </w:r>
          </w:p>
        </w:tc>
      </w:tr>
      <w:tr w:rsidR="007E5AD5"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404E83" w:rsidR="007E5AD5" w:rsidRPr="00E50FA4" w:rsidRDefault="007E5AD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CEA025E" w14:textId="77777777" w:rsidR="007E5AD5" w:rsidRPr="00E50FA4"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Egyéb helyi önkormányzati finanszírozás</w:t>
            </w:r>
          </w:p>
          <w:p w14:paraId="45980CA7" w14:textId="78699920" w:rsidR="007E5AD5" w:rsidRPr="00E50FA4" w:rsidRDefault="007E5AD5">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köztulajdonú bérlakások beszerzésének finanszírozásától eltérő célból nyújtott, helyi önkormányzatokkal szembeni speciális hitelezési kitettségeket kell feltüntetniük.</w:t>
            </w:r>
          </w:p>
        </w:tc>
      </w:tr>
      <w:tr w:rsidR="007E5AD5"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0284387A" w:rsidR="007E5AD5" w:rsidRPr="00E50FA4" w:rsidRDefault="007E5AD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0306011F" w14:textId="77777777" w:rsidR="007E5AD5" w:rsidRPr="00E50FA4"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Birtokbavétellel megszerzett biztosítékok: lakó- és kereskedelmi ingatlanok</w:t>
            </w:r>
          </w:p>
          <w:p w14:paraId="4DB79CD5" w14:textId="1865A27C" w:rsidR="007E5AD5" w:rsidRPr="00E50FA4" w:rsidDel="009148AF" w:rsidRDefault="007E5AD5"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 2021/451/EU végrehajtási rendelet V. melléklete 2. részének 341. pontjában meghatározott birtokbavétellel megszerzett biztosítékokat kell feltüntetniük.</w:t>
            </w:r>
          </w:p>
        </w:tc>
      </w:tr>
      <w:tr w:rsidR="007E5AD5"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3AF4974D" w:rsidR="007E5AD5" w:rsidRPr="00E50FA4" w:rsidRDefault="007E5AD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C957F99" w14:textId="77777777" w:rsidR="007E5AD5" w:rsidRPr="00E50FA4"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GAR-eszközök összesen</w:t>
            </w:r>
          </w:p>
          <w:p w14:paraId="1808CE07" w14:textId="6E4D0445" w:rsidR="007E5AD5" w:rsidRPr="00E50FA4" w:rsidRDefault="007E5AD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 feltüntetett érték megegyezik a tábla 1. sorában feltüntetett értékkel.</w:t>
            </w:r>
          </w:p>
        </w:tc>
      </w:tr>
      <w:tr w:rsidR="007E5AD5"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1BA9B64B" w:rsidR="007E5AD5" w:rsidRPr="00E50FA4" w:rsidRDefault="007E5AD5"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10A13976" w14:textId="33C77A31" w:rsidR="007E5AD5" w:rsidRPr="00E50FA4" w:rsidRDefault="007E5AD5"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 xml:space="preserve">A GAR kiszámításához használt számlálóból kizárt (de </w:t>
            </w:r>
            <w:r w:rsidR="00BB5ABA">
              <w:rPr>
                <w:rFonts w:ascii="Times New Roman" w:hAnsi="Times New Roman"/>
                <w:b/>
                <w:noProof/>
                <w:sz w:val="24"/>
                <w:u w:val="single"/>
              </w:rPr>
              <w:t>a nevezőben szereplő) eszközök</w:t>
            </w:r>
          </w:p>
        </w:tc>
      </w:tr>
      <w:tr w:rsidR="007E5AD5"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4C96F2FC" w:rsidR="007E5AD5" w:rsidRPr="00E50FA4" w:rsidRDefault="007E5AD5" w:rsidP="00D35812">
            <w:pPr>
              <w:spacing w:before="120" w:after="120"/>
              <w:jc w:val="both"/>
              <w:rPr>
                <w:rFonts w:ascii="Times New Roman" w:eastAsia="Times New Roman" w:hAnsi="Times New Roman" w:cs="Times New Roman"/>
                <w:noProof/>
                <w:sz w:val="24"/>
                <w:lang w:val="en-GB"/>
              </w:rPr>
            </w:pPr>
            <w:r>
              <w:rPr>
                <w:rFonts w:ascii="Times New Roman" w:hAnsi="Times New Roman"/>
                <w:noProof/>
                <w:sz w:val="24"/>
              </w:rPr>
              <w:t>33</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F817973" w14:textId="77777777" w:rsidR="007E5AD5" w:rsidRPr="00E50FA4" w:rsidRDefault="007E5AD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Uniós nem pénzügyi vállalatok (az NFRD szerinti közzétételi kötelezettségek hatálya alá nem tartozó)</w:t>
            </w:r>
          </w:p>
          <w:p w14:paraId="151D09A5" w14:textId="77777777" w:rsidR="007E5AD5" w:rsidRPr="00E50FA4" w:rsidRDefault="007E5AD5"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2021/451 végrehajtási rendelet V. melléklete 1. része 42. pontjának e) alpontjában meghatározott azon nem pénzügyi vállalatokkal szembeni kitettségeket kell feltüntetniük, amelyek az Unióban vannak letelepedve, és nem tartoznak a 2014/95/EU irányelv szerinti közzétételi kötelezettségek hatálya alá.</w:t>
            </w:r>
          </w:p>
          <w:p w14:paraId="225D2936" w14:textId="4D3CC5EA" w:rsidR="007E5AD5" w:rsidRPr="00E50FA4" w:rsidRDefault="007E5AD5" w:rsidP="00DA390D">
            <w:pPr>
              <w:spacing w:before="120" w:after="120"/>
              <w:jc w:val="both"/>
              <w:rPr>
                <w:rFonts w:ascii="Times New Roman" w:eastAsia="Times New Roman" w:hAnsi="Times New Roman" w:cs="Times New Roman"/>
                <w:b/>
                <w:noProof/>
                <w:sz w:val="24"/>
                <w:u w:val="single"/>
              </w:rPr>
            </w:pPr>
          </w:p>
        </w:tc>
      </w:tr>
      <w:tr w:rsidR="007E5AD5"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5A077462" w:rsidR="007E5AD5" w:rsidRPr="00E50FA4" w:rsidRDefault="007E5AD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D63CE0C" w14:textId="77777777" w:rsidR="007E5AD5" w:rsidRPr="00E50FA4" w:rsidRDefault="007E5AD5"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Unión kívüli nem pénzügyi vállalatok (az NFRD szerinti közzétételi kötelezettségek hatálya alá nem tartozó)</w:t>
            </w:r>
          </w:p>
          <w:p w14:paraId="28E49BE5" w14:textId="77777777" w:rsidR="007E5AD5" w:rsidRPr="00E50FA4" w:rsidRDefault="007E5AD5"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2021/451 végrehajtási rendelet V. melléklete 1. része 42. pontjának e) alpontjában meghatározott azon nem pénzügyi vállalatokkal szembeni kitettségeket kell feltüntetniük, amelyek az Unión kívül vannak letelepedve, és nem tartoznak a 2014/95/EU irányelv szerinti közzétételi kötelezettségek hatálya alá.</w:t>
            </w:r>
          </w:p>
          <w:p w14:paraId="3C007F41" w14:textId="77777777" w:rsidR="007E5AD5" w:rsidRPr="00DB5A05" w:rsidRDefault="007E5AD5" w:rsidP="002812BA">
            <w:pPr>
              <w:spacing w:before="120" w:after="120"/>
              <w:jc w:val="both"/>
              <w:rPr>
                <w:rFonts w:ascii="Times New Roman" w:eastAsia="Times New Roman" w:hAnsi="Times New Roman" w:cs="Times New Roman"/>
                <w:b/>
                <w:noProof/>
                <w:sz w:val="24"/>
              </w:rPr>
            </w:pPr>
          </w:p>
        </w:tc>
      </w:tr>
      <w:tr w:rsidR="007E5AD5"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653D6BA4" w:rsidR="007E5AD5" w:rsidRPr="00E50FA4" w:rsidRDefault="007E5AD5"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08D4D5E2" w14:textId="14429B6B" w:rsidR="007E5AD5" w:rsidRPr="00DB5A05"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GAR kiszámításához használt számlálóból kizárt (de a nevezőben szereplő) eszközök</w:t>
            </w:r>
          </w:p>
        </w:tc>
      </w:tr>
      <w:tr w:rsidR="007E5AD5" w:rsidRPr="00E50FA4" w14:paraId="2E27891A" w14:textId="77777777" w:rsidTr="00DB5A05">
        <w:tc>
          <w:tcPr>
            <w:tcW w:w="1188" w:type="dxa"/>
            <w:tcBorders>
              <w:top w:val="single" w:sz="4" w:space="0" w:color="auto"/>
              <w:left w:val="single" w:sz="4" w:space="0" w:color="auto"/>
              <w:bottom w:val="single" w:sz="4" w:space="0" w:color="auto"/>
              <w:right w:val="single" w:sz="4" w:space="0" w:color="auto"/>
            </w:tcBorders>
            <w:vAlign w:val="center"/>
          </w:tcPr>
          <w:p w14:paraId="5FF8890C" w14:textId="4668F9E9" w:rsidR="007E5AD5" w:rsidRPr="00E50FA4" w:rsidRDefault="007E5AD5" w:rsidP="00D35812">
            <w:pPr>
              <w:spacing w:before="120" w:after="120"/>
              <w:jc w:val="both"/>
              <w:rPr>
                <w:rFonts w:ascii="Times New Roman" w:eastAsia="Times New Roman" w:hAnsi="Times New Roman" w:cs="Times New Roman"/>
                <w:noProof/>
                <w:sz w:val="24"/>
                <w:lang w:val="en-GB"/>
              </w:rPr>
            </w:pPr>
            <w:r>
              <w:rPr>
                <w:rFonts w:ascii="Calibri" w:hAnsi="Calibri"/>
                <w:noProof/>
              </w:rPr>
              <w:t>41</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0FFCAEC5"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Származtatott ügyletek</w:t>
            </w:r>
          </w:p>
          <w:p w14:paraId="5CAE84BF" w14:textId="6BC9878B" w:rsidR="007E5AD5" w:rsidRPr="00E50FA4" w:rsidRDefault="007E5AD5" w:rsidP="0000700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 2021/451/EU végrehajtási rendelet V. melléklete 1. részének 10. szakaszában meghatározott, nem kereskedési céllal tartott származtatott ügyleteket kell feltüntetniük.</w:t>
            </w:r>
          </w:p>
        </w:tc>
      </w:tr>
      <w:tr w:rsidR="007E5AD5"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0BCA640" w:rsidR="007E5AD5" w:rsidRPr="00E50FA4" w:rsidRDefault="007E5AD5" w:rsidP="003F07A6">
            <w:pPr>
              <w:spacing w:before="120" w:after="120"/>
              <w:jc w:val="both"/>
              <w:rPr>
                <w:rFonts w:ascii="Times New Roman" w:eastAsia="Times New Roman" w:hAnsi="Times New Roman" w:cs="Times New Roman"/>
                <w:noProof/>
                <w:sz w:val="24"/>
              </w:rPr>
            </w:pPr>
            <w:r>
              <w:rPr>
                <w:rFonts w:ascii="Calibri" w:hAnsi="Calibri"/>
                <w:noProof/>
              </w:rPr>
              <w:t>42</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000EE73C"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Látra szóló bankközi kölcsönök</w:t>
            </w:r>
          </w:p>
          <w:p w14:paraId="13FA392A" w14:textId="56C99CCC" w:rsidR="007E5AD5" w:rsidRPr="00E50FA4" w:rsidRDefault="007E5AD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Az intézményeknek a 2021/451/EU végrehajtási rendelet V. melléklete 2. részének 3. pontjában meghatározott egyéb látra szóló betéteket kell feltüntetniük.</w:t>
            </w:r>
          </w:p>
        </w:tc>
      </w:tr>
      <w:tr w:rsidR="007E5AD5"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2AB88C0B" w:rsidR="007E5AD5" w:rsidRPr="00E50FA4" w:rsidRDefault="007E5AD5" w:rsidP="003F07A6">
            <w:pPr>
              <w:spacing w:before="120" w:after="120"/>
              <w:jc w:val="both"/>
              <w:rPr>
                <w:rFonts w:ascii="Times New Roman" w:eastAsia="Times New Roman" w:hAnsi="Times New Roman" w:cs="Times New Roman"/>
                <w:noProof/>
                <w:sz w:val="24"/>
              </w:rPr>
            </w:pPr>
            <w:r>
              <w:rPr>
                <w:rFonts w:ascii="Calibri" w:hAnsi="Calibri"/>
                <w:noProof/>
              </w:rPr>
              <w:t>43</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69023987"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Készpénz és készpénzzel kapcsolatos eszközök</w:t>
            </w:r>
          </w:p>
          <w:p w14:paraId="47A85C06" w14:textId="1565E310" w:rsidR="007E5AD5" w:rsidRPr="00E50FA4" w:rsidRDefault="007E5AD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Az intézményeknek a 2021/451/EU végrehajtási rendelet V. melléklete 2. részének 1. pontjában meghatározott készpénzt kell feltüntetniük.</w:t>
            </w:r>
          </w:p>
        </w:tc>
      </w:tr>
      <w:tr w:rsidR="007E5AD5"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B29F852" w:rsidR="007E5AD5" w:rsidRPr="00E50FA4" w:rsidRDefault="007E5AD5" w:rsidP="003F07A6">
            <w:pPr>
              <w:spacing w:before="120" w:after="120"/>
              <w:jc w:val="both"/>
              <w:rPr>
                <w:rFonts w:ascii="Times New Roman" w:eastAsia="Times New Roman" w:hAnsi="Times New Roman" w:cs="Times New Roman"/>
                <w:noProof/>
                <w:sz w:val="24"/>
              </w:rPr>
            </w:pPr>
            <w:r>
              <w:rPr>
                <w:rFonts w:ascii="Calibri" w:hAnsi="Calibri"/>
                <w:noProof/>
              </w:rPr>
              <w:t>44</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1D02C5B1"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Egyéb eszközök (pl. cégérték, tőzsdei áruk stb.)</w:t>
            </w:r>
          </w:p>
          <w:p w14:paraId="17E12C37" w14:textId="0E66DFF2" w:rsidR="007E5AD5" w:rsidRPr="00E50FA4" w:rsidRDefault="007E5AD5"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Az intézményeknek az e tábla 41., 42. és 43. sorában nem szereplő egyéb, a mérlegükben szereplő eszközöket kell feltüntetniük.</w:t>
            </w:r>
          </w:p>
        </w:tc>
      </w:tr>
      <w:tr w:rsidR="007E5AD5"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4AE563E9" w:rsidR="007E5AD5" w:rsidRPr="00E50FA4" w:rsidRDefault="007E5AD5" w:rsidP="003F07A6">
            <w:pPr>
              <w:spacing w:before="120" w:after="120"/>
              <w:jc w:val="both"/>
              <w:rPr>
                <w:rFonts w:ascii="Times New Roman" w:eastAsia="Times New Roman" w:hAnsi="Times New Roman" w:cs="Times New Roman"/>
                <w:noProof/>
                <w:sz w:val="24"/>
              </w:rPr>
            </w:pPr>
            <w:r>
              <w:rPr>
                <w:rFonts w:ascii="Calibri" w:hAnsi="Calibri"/>
                <w:noProof/>
              </w:rPr>
              <w:t>45</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72B395F0"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nevezőben (GAR) szereplő összes eszköz</w:t>
            </w:r>
          </w:p>
          <w:p w14:paraId="6DE96F79" w14:textId="6E8C183D" w:rsidR="007E5AD5" w:rsidRPr="00E50FA4" w:rsidRDefault="007E5AD5"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Ez a sor a tábla 32., 33., 37. és 41–44. sorának összege.</w:t>
            </w:r>
          </w:p>
        </w:tc>
      </w:tr>
      <w:tr w:rsidR="007E5AD5" w:rsidRPr="00E50FA4" w14:paraId="12E67ED6" w14:textId="77777777" w:rsidTr="00DB5A05">
        <w:tc>
          <w:tcPr>
            <w:tcW w:w="1188" w:type="dxa"/>
            <w:tcBorders>
              <w:top w:val="single" w:sz="4" w:space="0" w:color="auto"/>
              <w:left w:val="single" w:sz="4" w:space="0" w:color="auto"/>
              <w:bottom w:val="single" w:sz="4" w:space="0" w:color="auto"/>
              <w:right w:val="single" w:sz="4" w:space="0" w:color="auto"/>
            </w:tcBorders>
          </w:tcPr>
          <w:p w14:paraId="075646E8" w14:textId="0F8AC656" w:rsidR="007E5AD5" w:rsidRPr="00E50FA4" w:rsidRDefault="007E5AD5"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3499FF5E" w14:textId="24147EE9"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GAR kiszámításához használt számlálóból és a nevezőből egyaránt kizárt egyéb eszközök</w:t>
            </w:r>
          </w:p>
        </w:tc>
      </w:tr>
      <w:tr w:rsidR="007E5AD5" w:rsidRPr="00E50FA4" w14:paraId="62DA7BFF" w14:textId="77777777" w:rsidTr="00DB5A05">
        <w:tc>
          <w:tcPr>
            <w:tcW w:w="1188" w:type="dxa"/>
            <w:tcBorders>
              <w:top w:val="single" w:sz="4" w:space="0" w:color="auto"/>
              <w:left w:val="single" w:sz="4" w:space="0" w:color="auto"/>
              <w:bottom w:val="single" w:sz="4" w:space="0" w:color="auto"/>
              <w:right w:val="single" w:sz="4" w:space="0" w:color="auto"/>
            </w:tcBorders>
            <w:vAlign w:val="center"/>
          </w:tcPr>
          <w:p w14:paraId="2F9C885F" w14:textId="1BC3B678" w:rsidR="007E5AD5" w:rsidRPr="00E50FA4" w:rsidRDefault="007E5AD5" w:rsidP="003F07A6">
            <w:pPr>
              <w:spacing w:before="120" w:after="120"/>
              <w:jc w:val="both"/>
              <w:rPr>
                <w:rFonts w:ascii="Times New Roman" w:eastAsia="Times New Roman" w:hAnsi="Times New Roman" w:cs="Times New Roman"/>
                <w:noProof/>
                <w:sz w:val="24"/>
                <w:lang w:val="en-GB"/>
              </w:rPr>
            </w:pPr>
            <w:r>
              <w:rPr>
                <w:rFonts w:ascii="Calibri" w:hAnsi="Calibri"/>
                <w:noProof/>
              </w:rPr>
              <w:t>46</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002443FB"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Kormányzatok</w:t>
            </w:r>
          </w:p>
          <w:p w14:paraId="232879EF" w14:textId="0A50B2D4"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Az intézményeknek az (EU) 2021/451 végrehajtási rendelet V. melléklete 1. része 42. pontjában említett államháztartásokkal szembeni kitettségeket kell feltüntetniük, kivéve az e tábla 29. és 30. sorában szereplő kitettségeket. </w:t>
            </w:r>
          </w:p>
        </w:tc>
      </w:tr>
      <w:tr w:rsidR="007E5AD5"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61BC896A" w:rsidR="007E5AD5" w:rsidRPr="00E50FA4" w:rsidRDefault="007E5AD5" w:rsidP="003F07A6">
            <w:pPr>
              <w:spacing w:before="120" w:after="120"/>
              <w:jc w:val="both"/>
              <w:rPr>
                <w:rFonts w:ascii="Times New Roman" w:eastAsia="Times New Roman" w:hAnsi="Times New Roman" w:cs="Times New Roman"/>
                <w:noProof/>
                <w:sz w:val="24"/>
              </w:rPr>
            </w:pPr>
            <w:r>
              <w:rPr>
                <w:rFonts w:ascii="Calibri" w:hAnsi="Calibri"/>
                <w:noProof/>
              </w:rPr>
              <w:t>47</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23E51279"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Központi bankkal szembeni kitettségek</w:t>
            </w:r>
          </w:p>
          <w:p w14:paraId="0068097C" w14:textId="26026EB8" w:rsidR="007E5AD5" w:rsidRPr="00E50FA4" w:rsidRDefault="007E5AD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Az intézményeknek a központi bankokkal szembeni kitettségeket kell feltüntetniük.</w:t>
            </w:r>
          </w:p>
        </w:tc>
      </w:tr>
      <w:tr w:rsidR="007E5AD5"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549C8FB7" w:rsidR="007E5AD5" w:rsidRPr="00E50FA4" w:rsidRDefault="007E5AD5" w:rsidP="003F07A6">
            <w:pPr>
              <w:spacing w:before="120" w:after="120"/>
              <w:jc w:val="both"/>
              <w:rPr>
                <w:rFonts w:ascii="Times New Roman" w:eastAsia="Times New Roman" w:hAnsi="Times New Roman" w:cs="Times New Roman"/>
                <w:noProof/>
                <w:sz w:val="24"/>
              </w:rPr>
            </w:pPr>
            <w:r>
              <w:rPr>
                <w:rFonts w:ascii="Calibri" w:hAnsi="Calibri"/>
                <w:noProof/>
              </w:rPr>
              <w:t>48</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72358097"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Kereskedési könyv</w:t>
            </w:r>
          </w:p>
          <w:p w14:paraId="73C7F3A4" w14:textId="099323C2" w:rsidR="007E5AD5" w:rsidRPr="00E50FA4" w:rsidRDefault="007E5AD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Az intézményeknek az alkalmazandó számviteli elvekben meghatározott kereskedési céllal tartott vagy kereskedési célú pénzügyi eszközöket kell feltüntetniük.</w:t>
            </w:r>
          </w:p>
        </w:tc>
      </w:tr>
      <w:tr w:rsidR="007E5AD5"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5E068869" w:rsidR="007E5AD5" w:rsidRPr="00E50FA4" w:rsidRDefault="007E5AD5" w:rsidP="003F07A6">
            <w:pPr>
              <w:spacing w:before="120" w:after="120"/>
              <w:jc w:val="both"/>
              <w:rPr>
                <w:rFonts w:ascii="Times New Roman" w:eastAsia="Times New Roman" w:hAnsi="Times New Roman" w:cs="Times New Roman"/>
                <w:noProof/>
                <w:sz w:val="24"/>
              </w:rPr>
            </w:pPr>
            <w:r>
              <w:rPr>
                <w:rFonts w:ascii="Calibri" w:hAnsi="Calibri"/>
                <w:noProof/>
              </w:rPr>
              <w:t>49</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270FAE40"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Számlálóból és nevezőből kizárt eszközök összesen</w:t>
            </w:r>
          </w:p>
          <w:p w14:paraId="3C0A4841" w14:textId="1F9C878C" w:rsidR="007E5AD5" w:rsidRPr="00E50FA4" w:rsidRDefault="007E5AD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Ez a sor a tábla 46., 47. és 48. sorának összege.</w:t>
            </w:r>
          </w:p>
        </w:tc>
      </w:tr>
      <w:tr w:rsidR="007E5AD5"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604C46CF" w:rsidR="007E5AD5" w:rsidRPr="00E50FA4" w:rsidRDefault="007E5AD5" w:rsidP="003F07A6">
            <w:pPr>
              <w:spacing w:before="120" w:after="120"/>
              <w:jc w:val="both"/>
              <w:rPr>
                <w:rFonts w:ascii="Times New Roman" w:eastAsia="Times New Roman" w:hAnsi="Times New Roman" w:cs="Times New Roman"/>
                <w:noProof/>
                <w:sz w:val="24"/>
              </w:rPr>
            </w:pPr>
            <w:r>
              <w:rPr>
                <w:rFonts w:ascii="Calibri" w:hAnsi="Calibri"/>
                <w:noProof/>
              </w:rPr>
              <w:t>50</w:t>
            </w:r>
            <w:r w:rsidR="005F031D">
              <w:rPr>
                <w:rFonts w:ascii="Calibri" w:hAnsi="Calibri"/>
                <w:noProof/>
              </w:rPr>
              <w:t>.</w:t>
            </w:r>
          </w:p>
        </w:tc>
        <w:tc>
          <w:tcPr>
            <w:tcW w:w="7879" w:type="dxa"/>
            <w:tcBorders>
              <w:top w:val="single" w:sz="4" w:space="0" w:color="auto"/>
              <w:left w:val="single" w:sz="4" w:space="0" w:color="auto"/>
              <w:bottom w:val="single" w:sz="4" w:space="0" w:color="auto"/>
              <w:right w:val="single" w:sz="4" w:space="0" w:color="auto"/>
            </w:tcBorders>
          </w:tcPr>
          <w:p w14:paraId="2650CB21" w14:textId="77777777" w:rsidR="007E5AD5" w:rsidRPr="00E50FA4" w:rsidRDefault="007E5AD5"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Eszközök összesen</w:t>
            </w:r>
          </w:p>
          <w:p w14:paraId="4E25E623" w14:textId="048D81B1" w:rsidR="007E5AD5" w:rsidRPr="00E50FA4" w:rsidRDefault="007E5AD5"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Ez a sor a tábla 45. és 49. sorának összege.</w:t>
            </w:r>
          </w:p>
        </w:tc>
      </w:tr>
      <w:tr w:rsidR="007E5AD5"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63348A8E" w:rsidR="007E5AD5" w:rsidRPr="00E50FA4" w:rsidRDefault="007E5AD5"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1D05E2AE" w14:textId="67A5EAFB" w:rsidR="007E5AD5" w:rsidRPr="00E50FA4" w:rsidRDefault="007E5AD5" w:rsidP="001B0E70">
            <w:pPr>
              <w:spacing w:before="120" w:after="120"/>
              <w:jc w:val="both"/>
              <w:rPr>
                <w:rFonts w:ascii="Times New Roman" w:eastAsia="Times New Roman" w:hAnsi="Times New Roman" w:cs="Times New Roman"/>
                <w:b/>
                <w:noProof/>
                <w:sz w:val="24"/>
                <w:u w:val="single"/>
              </w:rPr>
            </w:pPr>
          </w:p>
        </w:tc>
      </w:tr>
    </w:tbl>
    <w:p w14:paraId="7C2D2E2C" w14:textId="77777777" w:rsidR="00C404E2" w:rsidRPr="00DB5A05" w:rsidRDefault="00C404E2" w:rsidP="00D35812">
      <w:pPr>
        <w:jc w:val="both"/>
        <w:rPr>
          <w:rFonts w:ascii="Times New Roman" w:hAnsi="Times New Roman" w:cs="Times New Roman"/>
          <w:b/>
          <w:noProof/>
          <w:sz w:val="24"/>
        </w:rPr>
      </w:pPr>
    </w:p>
    <w:p w14:paraId="6C513D1A" w14:textId="77777777" w:rsidR="00E77292" w:rsidRPr="00DB5A05"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8. tábla – </w:t>
      </w:r>
      <w:bookmarkStart w:id="16" w:name="_Hlk86261561"/>
      <w:r>
        <w:rPr>
          <w:rFonts w:ascii="Times New Roman" w:hAnsi="Times New Roman"/>
          <w:b/>
          <w:noProof/>
          <w:sz w:val="24"/>
        </w:rPr>
        <w:t>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3CF175A6"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az e rendelet XXXIX. mellékletében meghatározott 8. tábla kitöltéséhez a követk</w:t>
      </w:r>
      <w:r w:rsidR="00BB5ABA">
        <w:rPr>
          <w:rFonts w:ascii="Times New Roman" w:hAnsi="Times New Roman"/>
          <w:noProof/>
          <w:sz w:val="24"/>
        </w:rPr>
        <w:t>ező útmutatót kell használniuk.</w:t>
      </w:r>
    </w:p>
    <w:p w14:paraId="2D7D5E00" w14:textId="0B7EFD9F"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a 7. táblában közzétett adatok alapján kell kiszámítaniuk és nyilvánosságra hozniuk az (EU) 2021/2178 felhatalmazáson alap</w:t>
      </w:r>
      <w:r w:rsidR="00BB5ABA">
        <w:rPr>
          <w:rFonts w:ascii="Times New Roman" w:hAnsi="Times New Roman"/>
          <w:noProof/>
          <w:sz w:val="24"/>
        </w:rPr>
        <w:t>uló rendeletben említett GAR-t.</w:t>
      </w:r>
    </w:p>
    <w:p w14:paraId="3D8BE816" w14:textId="60013569"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 tábla célja annak bemutatása, hogy az intézmények tevékenységei milyen mértékben minősülnek környezeti szempontból fenntarthatónak az (EU) 2020/852 rendelet 3. és 9. cikkével összhangban. Ennek alapján az érdekelt felek képet kapnak az éghajlatváltozással összefüggő átállási és fizikai kockázatok mérséklése érdekében az intézménye</w:t>
      </w:r>
      <w:r w:rsidR="00BB5ABA">
        <w:rPr>
          <w:rFonts w:ascii="Times New Roman" w:hAnsi="Times New Roman"/>
          <w:noProof/>
          <w:sz w:val="24"/>
        </w:rPr>
        <w:t>k által hozott intézkedésekről.</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(EU) 2021/2178 felhatalmazáson alapuló rendelet előírja az intézmények számára, hogy kétszer becsüljék meg és tegyék közzé a GAR-t: egyszer az általános hitelezés vonatkozásában a nem pénzügyi vállalat partnerrel szembeni azon kitettségek alapján, amelyek a taxonómiához igazodó árbevételt generáló tevékenységeket finanszíroznak, másodszor a partnerrel szembeni ugyancsak általános célú azon hitelezési kitettségek alapján, amelyek az (EU) 2020/852 rendelethez igazodó tőkekiadással (CAPEX) járó tevékenységeket finanszíroznak. Ebben a táblában az intézmények a GAR-t csak az egyik módon, az igazodást a partner árbevétele alapján számítva tüntethetik fel, és csak az általános célú hitelezés tekintetében.</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ezeket az információkat 2023. december 31-i első vonatkozási időponttal kell nyilvánosságra hozniuk, összhangban az (EU) 2021/2178 felhatalmazáson alapuló rendeletben a GAR tekintetében megjelölt első nyilvánosságra hozatali vonatkozási időponttal.</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Oszlop</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Útmutató</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0CBB5FCB"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taxonómia szempontjából releváns ágazatokat finanszírozó eszközök aránya</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2020/852 rendeletben említett tevékenységeket finanszírozó eszközök állományának (azaz a figyelembe vehető eszközöknek) a lefedett eszközök teljes állományához viszonyított arányát kell feltüntetniük. A tételt százalékban kell kifejezni.</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b) oszlopához tartozó útmutatóban említett, az éghajlatváltozás-mérséklési célkitűzés tekintetében a taxonómia szempontjából releváns, az (EU) 2020/852 rendeletben említett ágazatokat finanszírozó figyelembe vehető eszközök bruttó könyv szerinti értéke.</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6A2504F4"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1981563" w14:textId="77B0075A"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körn</w:t>
            </w:r>
            <w:r w:rsidR="00BB5ABA">
              <w:rPr>
                <w:rFonts w:ascii="Times New Roman" w:hAnsi="Times New Roman"/>
                <w:b/>
                <w:noProof/>
                <w:sz w:val="24"/>
                <w:u w:val="single"/>
              </w:rPr>
              <w:t>yezeti szempontból fenntartható</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környezeti szempontból fenntartható tevékenységeket finanszírozó eszközállománynak (az igazodó eszközöknek) a figyelembe vehető eszközök állományán belüli arányát kell feltüntetniük. A tételt százalékban kell kifejezni.</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c) oszlopához tartozó útmutatóban említett, az éghajlatváltozás-mérséklési célkitűzés tekintetében környezeti szempontból fenntartható ágazatokat finanszírozó figyelembe vehető eszközök bruttó könyv szerinti értéke.</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lefedett kitettségek bruttó könyv szerinti értéke, a 7. tábla a) oszlopához tartozó útmutatóban meghatározottak szerint.</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485B15D8"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speciális hitelezés</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tekintetében környezeti szempontból fenntartható tevékenységeket finanszírozó speciális hitelezésként besorolt eszközállománynak a környezeti szempontból fenntartható tevékenységeket finanszírozó eszközállományon belüli arányát kell feltüntetniük. A tételt százalékban kell kifejezni.</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d) oszlopához tartozó útmutatóban említett eszközök bruttó könyv szerinti értéke.</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1814D3DB"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átállás</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Az (EU) 2020/852 rendelet 10. cikke.</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tekintetében az átállási tevékenységekhez kapcsolódó eszközállománynak a környezeti szempontból fenntartható tevékenységeket finanszírozó eszközállományon belüli arányát kell feltüntetniük. A tételt százalékban kell kifejezni.</w:t>
            </w:r>
          </w:p>
          <w:p w14:paraId="5F291089" w14:textId="7B0B468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 KPI számlálója a </w:t>
            </w:r>
            <w:r w:rsidR="00BB5ABA">
              <w:rPr>
                <w:rFonts w:ascii="Times New Roman" w:hAnsi="Times New Roman"/>
                <w:noProof/>
                <w:sz w:val="24"/>
              </w:rPr>
              <w:t>8</w:t>
            </w:r>
            <w:r>
              <w:rPr>
                <w:rFonts w:ascii="Times New Roman" w:hAnsi="Times New Roman"/>
                <w:noProof/>
                <w:sz w:val="24"/>
              </w:rPr>
              <w:t>. tábla e) oszlopához tartozó útmutatóban említett eszközök bruttó könyv szerinti értéke.</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382F5B71"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támogató</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Az (EU) 2020/852 rendelet 16. cikke.</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tekintetében a támogató tevékenységekhez kapcsolódó eszközállománynak a környezeti szempontból fenntartható tevékenységeket finanszírozó eszközállományon belüli arányát kell feltüntetniük. A tételt százalékban kell kifejezni.</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f) oszlopához tartozó útmutatóban említett eszközök bruttó könyv szerinti értéke.</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16C57BCE"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taxonómia szempontjából releváns ágazatokat finanszírozó eszközök aránya</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taxonómia szempontjából releváns tevékenységeket finanszírozó eszközállománynak (a figyelembe vehető eszközöknek) a lefedett eszközök teljes állományán belüli arányát kell feltüntetniük. A tételt százalékban kell kifejezni.</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g) oszlopához tartozó útmutatóban említett, az éghajlatváltozáshoz való alkalmazkodás célkitűzése tekintetében a taxonómia szempontjából releváns ágazatokat finanszírozó figyelembe vehető eszközök bruttó könyv szerinti értéke.</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61BCEF3B"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1845D10" w14:textId="49885B6D"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körn</w:t>
            </w:r>
            <w:r w:rsidR="00BB5ABA">
              <w:rPr>
                <w:rFonts w:ascii="Times New Roman" w:hAnsi="Times New Roman"/>
                <w:b/>
                <w:noProof/>
                <w:sz w:val="24"/>
                <w:u w:val="single"/>
              </w:rPr>
              <w:t>yezeti szempontból fenntartható</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környezeti szempontból fenntartható tevékenységeket finanszírozó eszközállománynak (az igazodó eszközöknek) a figyelembe vehető eszközök állományán belüli arányát kell feltüntetniük. A tételt százalékban kell kifejezni.</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h) oszlopához tartozó útmutatóban említett, az éghajlatváltozáshoz való alkalmazkodás célkitűzése tekintetében környezeti szempontból fenntartható tevékenységeket finanszírozó figyelembe vehető eszközök bruttó könyv szerinti értéke.</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A KPI nevezője a lefedett kitettségek bruttó könyv szerinti értéke, a 7. tábla a) oszlopához tartozó útmutatóban meghatározottak szerint.</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640F34CB"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speciális hitelezés</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éghajlatváltozáshoz való alkalmazkodás célkitűzése tekintetében környezeti szempontból fenntartható tevékenységeket finanszírozó speciális hitelezésként besorolt eszközállománynak a környezeti szempontból fenntartható tevékenységeket finanszírozó eszközállományon belüli arányát kell feltüntetniük. A tételt százalékban kell kifejezni.</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i) oszlopához tartozó útmutatóban említett eszközök bruttó könyv szerinti értéke.</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A9082F1"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alkalmazkodás</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Az (EU) 2020/852 rendelet 11. cikke.</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éghajlatváltozáshoz való alkalmazkodás célkitűzése tekintetében az alkalmazkodási tevékenységekhez kapcsolódó eszközállománynak a környezeti szempontból fenntartható tevékenységeket finanszírozó eszközállományon belüli arányát kell feltüntetniük. A tételt százalékban kell kifejezni.</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j) oszlopához tartozó útmutatóban említett eszközök bruttó könyv szerinti értéke.</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4523B942" w:rsidR="00C23C8F" w:rsidRPr="00E50FA4" w:rsidRDefault="005F031D"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támogató</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Az (EU) 2020/852 rendelet 16. cikke.</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éghajlatváltozáshoz való alkalmazkodás célkitűzése tekintetében a támogató tevékenységekhez kapcsolódó eszközállománynak a környezeti szempontból fenntartható tevékenységeket finanszírozó eszközállományon belüli arányát kell feltüntetniük. A tételt százalékban kell kifejezni.</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k) oszlopához tartozó útmutatóban említett eszközök bruttó könyv szerinti értéke.</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6597D7DE"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taxonómia szempontjából releváns ágazatokat finanszírozó eszközök aránya</w:t>
            </w:r>
          </w:p>
          <w:p w14:paraId="497E9372" w14:textId="7AE3D82E"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és az éghajlatváltozáshoz való alkalmazkodás célkitűzése tekintetében a taxonómia szempontjából releváns ágazatokat finanszírozó eszközállománynak (a figyelembe vehető eszközöknek) a lefedett eszközök teljes állományához viszonyított arányát kell feltüntetniük. A tételt százalékban kell kifejezni.</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l) oszlopához tartozó útmutatóban említett, a taxonómia szempontjából releváns ágazatokat finanszírozó figyelembe vehető kitettségek bruttó könyv szerinti értéke.</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4CBAF50D"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2C841FB" w14:textId="0DCF512B"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körn</w:t>
            </w:r>
            <w:r w:rsidR="00BB5ABA">
              <w:rPr>
                <w:rFonts w:ascii="Times New Roman" w:hAnsi="Times New Roman"/>
                <w:b/>
                <w:noProof/>
                <w:sz w:val="24"/>
                <w:u w:val="single"/>
              </w:rPr>
              <w:t>yezeti szempontból fenntartható</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és az éghajlatváltozáshoz való alkalmazkodás célkitűzése tekintetében a környezeti szempontból fenntartható tevékenységeket finanszírozó eszközállománynak a figyelembe vehető eszközök állományán belüli arányát kell feltüntetniük. A tételt százalékban kell kifejezni.</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m) oszlopához tartozó útmutatóban említett, környezeti szempontból fenntartható tevékenységeket finanszírozó figyelembe vehető eszközök bruttó könyv szerinti értéke.</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lefedett kitettségek bruttó könyv szerinti értéke, a 7. tábla a) oszlopához tartozó útmutatóban meghatározottak szerint.</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6C82D661"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speciális hitelezés</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és az éghajlatváltozáshoz való alkalmazkodás célkitűzése tekintetében környezeti szempontból fenntartható tevékenységeket finanszírozó speciális hitelezésként besorolt eszközállománynak a környezeti szempontból fenntartható tevékenységeket finanszírozó eszközállományon belüli arányát kell feltüntetniük. A tételt százalékban kell kifejezni.</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n) oszlopához tartozó útmutatóban említett eszközök bruttó könyv szerinti értéke.</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lefedett eszközök bruttó könyv szerinti értéke, a 7. tábla a) oszlopához tartozó útmutatóban meghatározottak szerint.</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3737D075"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átállás/alkalmazkodás</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Az (EU) 2020/852 rendelet 10. és 11. cikke.</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feltüntetendő százalékos arány a d) és az i) oszlopban megadott százalékos értékek összege.</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2090EE94"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támogató</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Az (EU) 2020/852 rendelet 16. cikke.</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feltüntetendő százalékos arány az e) és a j) oszlopban megadott százalékos értékek összege.</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A03C193"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Az összes lefedett eszköz aránya</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GAR által lefedett összes eszköz részarányát kell feltüntetniük. A tételt százalékban kell kifejezni.</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l) oszlopához tartozó útmutatóban említett, lefedett eszközállomány bruttó könyv szerinti értéke.</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 KPI nevezője a 7. tábla 50. sorához tartozó útmutatóban említett, az intézmény mérlegében szereplő eszközök teljes állományának bruttó könyv szerinti értéke.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3CC9C792"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taxonómia szempontjából releváns ágazatokat finanszírozó új eszközök aránya</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tekintetében taxonómiai szempontból releváns tevékenységeket finanszírozó új (azaz az aktuális nyilvánosságra hozatali időszakban keletkezett) eszközöknek (azaz figyelembe vehető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b) oszlopának megfelelő útmutatóban említett, a taxonómia szempontjából releváns ágazatokat finanszírozó figyelembe vehető új eszközök bruttó könyv szerinti értéke.</w:t>
            </w:r>
          </w:p>
          <w:p w14:paraId="6ACF414F" w14:textId="15739689" w:rsidR="00E77292" w:rsidRPr="00E50FA4" w:rsidRDefault="0089566E"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E77292">
              <w:rPr>
                <w:rFonts w:ascii="Times New Roman" w:hAnsi="Times New Roman"/>
                <w:noProof/>
                <w:sz w:val="24"/>
              </w:rPr>
              <w:t xml:space="preserve"> a 7. tábla a) oszlopához tartozó útmutatóban említett eszközökből az új lefedett eszközök bruttó könyv szerinti értéke.</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C4E8995"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3B1F99E" w14:textId="44FF252F"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körn</w:t>
            </w:r>
            <w:r w:rsidR="00BB5ABA">
              <w:rPr>
                <w:rFonts w:ascii="Times New Roman" w:hAnsi="Times New Roman"/>
                <w:b/>
                <w:noProof/>
                <w:sz w:val="24"/>
                <w:u w:val="single"/>
              </w:rPr>
              <w:t>yezeti szempontból fenntartható</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tekintetében környezeti szempontból fenntartható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c) oszlopához tartozó útmutatóban említett figyelembe vehető új eszközök bruttó könyv szerinti értéke.</w:t>
            </w:r>
          </w:p>
          <w:p w14:paraId="4EC46A7A" w14:textId="5325B0FA" w:rsidR="00E77292" w:rsidRPr="00E50FA4" w:rsidRDefault="00984EDD"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A KPI nevezője </w:t>
            </w:r>
            <w:r w:rsidR="00E77292">
              <w:rPr>
                <w:rFonts w:ascii="Times New Roman" w:hAnsi="Times New Roman"/>
                <w:noProof/>
                <w:sz w:val="24"/>
              </w:rPr>
              <w:t>a 7. tábla a) oszlopához tartozó útmutatóban említett eszközökből az új lefedett eszközök bruttó könyv szerinti értéke.</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003B88F9"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speciális hitelezés</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tekintetében környezeti szempontból fenntartható tevékenységeket finanszírozó, a speciális hitelezés körébe sorolt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3EE8A290" w14:textId="60C797FE"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 KPI számlálója a </w:t>
            </w:r>
            <w:r w:rsidR="00984EDD">
              <w:rPr>
                <w:rFonts w:ascii="Times New Roman" w:hAnsi="Times New Roman"/>
                <w:noProof/>
                <w:sz w:val="24"/>
              </w:rPr>
              <w:t>8</w:t>
            </w:r>
            <w:r>
              <w:rPr>
                <w:rFonts w:ascii="Times New Roman" w:hAnsi="Times New Roman"/>
                <w:noProof/>
                <w:sz w:val="24"/>
              </w:rPr>
              <w:t>. tábla d) oszlopához tartozó útmutatóban említett figyelembe vehető új eszközök bruttó könyv szerinti értéke.</w:t>
            </w:r>
          </w:p>
          <w:p w14:paraId="7DB14D3E" w14:textId="528194F5" w:rsidR="00E77292" w:rsidRPr="00E50FA4" w:rsidRDefault="00984EDD"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E77292">
              <w:rPr>
                <w:rFonts w:ascii="Times New Roman" w:hAnsi="Times New Roman"/>
                <w:noProof/>
                <w:sz w:val="24"/>
              </w:rPr>
              <w:t xml:space="preserve"> a 7. tábla a) oszlopához tartozó útmutatóban említett eszközökből az új lefedett eszközök bruttó könyv szerinti értéke.</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6D1D1A7E"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átállás</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Az (EU) 2020/852 rendelet 10. cikke.</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tekintetében az átállási tevékenységekhez kapcsolódó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207EDFF4" w14:textId="1E89C15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 KPI számlálója a </w:t>
            </w:r>
            <w:r w:rsidR="00984EDD">
              <w:rPr>
                <w:rFonts w:ascii="Times New Roman" w:hAnsi="Times New Roman"/>
                <w:noProof/>
                <w:sz w:val="24"/>
              </w:rPr>
              <w:t>8</w:t>
            </w:r>
            <w:r>
              <w:rPr>
                <w:rFonts w:ascii="Times New Roman" w:hAnsi="Times New Roman"/>
                <w:noProof/>
                <w:sz w:val="24"/>
              </w:rPr>
              <w:t>. tábla e) oszlopához tartozó útmutatóban említett figyelembe vehető új eszközök bruttó könyv szerinti értéke.</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 a 7. tábla a) oszlopához tartozó útmutatóban említett eszközökből az új lefedett eszközök bruttó könyv szerinti értéke.</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2F09D9D6"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támogató</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Az (EU) 2020/852 rendelet 16. cikke.</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éghajlatváltozás-mérséklési célkitűzés tekintetében a támogató tevékenységekhez kapcsolódó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358A95D8" w14:textId="4FD4E8F5"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 KPI számlálója a </w:t>
            </w:r>
            <w:r w:rsidR="00984EDD">
              <w:rPr>
                <w:rFonts w:ascii="Times New Roman" w:hAnsi="Times New Roman"/>
                <w:noProof/>
                <w:sz w:val="24"/>
              </w:rPr>
              <w:t>8</w:t>
            </w:r>
            <w:r>
              <w:rPr>
                <w:rFonts w:ascii="Times New Roman" w:hAnsi="Times New Roman"/>
                <w:noProof/>
                <w:sz w:val="24"/>
              </w:rPr>
              <w:t>. tábla f) oszlopához tartozó útmutatóban említett figyelembe vehető új eszközök bruttó könyv szerinti értéke.</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 a 7. tábla a) oszlopához tartozó útmutatóban említett eszközökből az új lefedett eszközök bruttó könyv szerinti értéke.</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9BAA7CE"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taxonómia szempontjából releváns ágazatokat finanszírozó új eszközök aránya</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éghajlatváltozáshoz való alkalmazkodás célkitűzése tekintetében az (EU) 2020/852 rendelet által lefedett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g) oszlopának megfelelő útmutatóban említett, a taxonómia szempontjából releváns ágazatokat finanszírozó figyelembe vehető új eszközök bruttó könyv szerinti értéke.</w:t>
            </w:r>
          </w:p>
          <w:p w14:paraId="053E459F" w14:textId="605B5800" w:rsidR="00E77292" w:rsidRPr="00E50FA4" w:rsidRDefault="00984EDD"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E77292">
              <w:rPr>
                <w:rFonts w:ascii="Times New Roman" w:hAnsi="Times New Roman"/>
                <w:noProof/>
                <w:sz w:val="24"/>
              </w:rPr>
              <w:t xml:space="preserve"> a 7. tábla a) oszlopához tartozó útmutatóban említett eszközökből az új lefedett eszközök bruttó könyv szerinti értéke.</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26E2C3B6"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00D3A134" w14:textId="3911ECC8"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körn</w:t>
            </w:r>
            <w:r w:rsidR="00984EDD">
              <w:rPr>
                <w:rFonts w:ascii="Times New Roman" w:hAnsi="Times New Roman"/>
                <w:b/>
                <w:noProof/>
                <w:sz w:val="24"/>
                <w:u w:val="single"/>
              </w:rPr>
              <w:t>yezeti szempontból fenntartható</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éghajlatváltozáshoz való alkalmazkodás célkitűzése tekintetében környezeti szempontból fenntartható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h) oszlopához tartozó útmutatóban említett figyelembe vehető új eszközök bruttó könyv szerinti értéke.</w:t>
            </w:r>
          </w:p>
          <w:p w14:paraId="5AC7A819" w14:textId="35C1D74D" w:rsidR="00E77292" w:rsidRPr="00E50FA4" w:rsidRDefault="00C230E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E77292">
              <w:rPr>
                <w:rFonts w:ascii="Times New Roman" w:hAnsi="Times New Roman"/>
                <w:noProof/>
                <w:sz w:val="24"/>
              </w:rPr>
              <w:t xml:space="preserve"> a 7. tábla a) oszlopához tartozó útmutatóban említett eszközökből az új lefedett eszközök bruttó könyv szerinti értéke.</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1CDDB584"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speciális hitelezés</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éghajlatváltozáshoz való alkalmazkodás célkitűzése tekintetében környezeti szempontból fenntartható tevékenységeket finanszírozó, a speciális hitelezés körébe sorolt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i) oszlopához tartozó útmutatóban említett figyelembe vehető új eszközök bruttó könyv szerinti értéke.</w:t>
            </w:r>
          </w:p>
          <w:p w14:paraId="5A24D386" w14:textId="5ADD7182" w:rsidR="00E77292" w:rsidRPr="00E50FA4" w:rsidRDefault="00C230E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E77292">
              <w:rPr>
                <w:rFonts w:ascii="Times New Roman" w:hAnsi="Times New Roman"/>
                <w:noProof/>
                <w:sz w:val="24"/>
              </w:rPr>
              <w:t xml:space="preserve"> a 7. tábla a) oszlopához tartozó útmutatóban említett eszközökből az új lefedett eszközök bruttó könyv szerinti értéke.</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290258B5"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alkalmazkodás</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Az (EU) 2020/852 rendelet 11. cikke.</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éghajlatváltozáshoz való alkalmazkodás célkitűzése tekintetében az átállási tevékenységekhez kapcsolódó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j) oszlopához tartozó útmutatóban említett figyelembe vehető új eszközök bruttó könyv szerinti értéke.</w:t>
            </w:r>
          </w:p>
          <w:p w14:paraId="29F57768" w14:textId="48DEA030" w:rsidR="0071196B" w:rsidRPr="00E50FA4" w:rsidRDefault="00C230E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71196B">
              <w:rPr>
                <w:rFonts w:ascii="Times New Roman" w:hAnsi="Times New Roman"/>
                <w:noProof/>
                <w:sz w:val="24"/>
              </w:rPr>
              <w:t xml:space="preserve"> a 7. tábla a) oszlopához tartozó útmutatóban említett eszközökből az új lefedett eszközök bruttó könyv szerinti értéke.</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4240719B"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támogató</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Az (EU) 2020/852 rendelet 16. cikke.</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éghajlatváltozáshoz való alkalmazkodás célkitűzése tekintetében a támogató tevékenységekhez kapcsolódó új (azaz az aktuális nyilvánosságra hozatali időszakban keletkezett) eszközöknek a környezeti szempontból fenntartható tevékenységeket finanszírozó összes új (azaz az aktuális nyilvánosságra hozatali időszakban keletkezett) figyelembe vehető eszközhöz viszonyított arányát kell feltüntetniük. A figyelembe vehető új eszközöket a visszafizetések és egyéb csökkentések levonásával kell kiszámítani.</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k) oszlopához tartozó útmutatóban említett figyelembe vehető új eszközök bruttó könyv szerinti értéke.</w:t>
            </w:r>
          </w:p>
          <w:p w14:paraId="23909FE7" w14:textId="20983326" w:rsidR="0077330E" w:rsidRPr="00E50FA4" w:rsidRDefault="00C230E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71196B">
              <w:rPr>
                <w:rFonts w:ascii="Times New Roman" w:hAnsi="Times New Roman"/>
                <w:noProof/>
                <w:sz w:val="24"/>
              </w:rPr>
              <w:t xml:space="preserve"> a 7. tábla a) oszlopához tartozó útmutatóban említett eszközökből az új lefedett eszközök bruttó könyv szerinti értéke.</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0B2F6291"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taxonómia szempontjából releváns ágazatokat finanszírozó új eszközök aránya</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 mérséklése és az éghajlatváltozáshoz való alkalmazkodás célkitűzése tekintetében az (EU) 2020/852 rendeletben meghatározott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l) oszlopának megfelelő útmutatóban említett, a taxonómia szempontjából releváns ágazatokat finanszírozó figyelembe vehető új eszközök bruttó könyv szerinti értéke.</w:t>
            </w:r>
          </w:p>
          <w:p w14:paraId="596F9A03" w14:textId="5BDAE4A5" w:rsidR="00E77292" w:rsidRPr="00E50FA4" w:rsidRDefault="00C230E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E77292">
              <w:rPr>
                <w:rFonts w:ascii="Times New Roman" w:hAnsi="Times New Roman"/>
                <w:noProof/>
                <w:sz w:val="24"/>
              </w:rPr>
              <w:t xml:space="preserve"> a 7. tábla a) oszlopához tartozó útmutatóban említett eszközökből az új lefedett eszközök bruttó könyv szerinti értéke.</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234AF2FD" w:rsidR="00E77292" w:rsidRPr="00E50FA4" w:rsidRDefault="005F031D"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r w:rsidR="0077330E">
              <w:rPr>
                <w:rFonts w:ascii="Times New Roman" w:hAnsi="Times New Roman"/>
                <w:noProof/>
                <w:sz w:val="24"/>
              </w:rPr>
              <w:t>b</w:t>
            </w:r>
            <w:r>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ebből környezeti szempontból fenntartható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 mérséklése és az éghajlatváltozáshoz való alkalmazkodás célkitűzése tekintetében környezeti szempontból fenntartható tevékenységeket finanszírozó új (azaz az aktuális nyilvánosságra hozatali időszakban keletkezett) eszközöknek az összes új (azaz az aktuális nyilvánosságra hozatali időszakban keletkezett) figyelembe vehető eszközhöz viszonyított arányát kell feltüntetniük. Az új eszközöket a visszafizetések és egyéb csökkentések levonásával kell kiszámítani.</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m) oszlopához tartozó útmutatóban említett figyelembe vehető új eszközök bruttó könyv szerinti értéke.</w:t>
            </w:r>
          </w:p>
          <w:p w14:paraId="1E9FF4F4" w14:textId="499773E6" w:rsidR="00E77292" w:rsidRPr="00E50FA4" w:rsidRDefault="00C230E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E77292">
              <w:rPr>
                <w:rFonts w:ascii="Times New Roman" w:hAnsi="Times New Roman"/>
                <w:noProof/>
                <w:sz w:val="24"/>
              </w:rPr>
              <w:t xml:space="preserve"> a 7. tábla a) oszlopához tartozó útmutatóban említett eszközökből az új lefedett eszközök bruttó könyv szerinti értéke.</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2E2FAD40" w:rsidR="00E77292" w:rsidRPr="00E50FA4" w:rsidRDefault="005F031D"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r w:rsidR="0077330E">
              <w:rPr>
                <w:rFonts w:ascii="Times New Roman" w:hAnsi="Times New Roman"/>
                <w:noProof/>
                <w:sz w:val="24"/>
              </w:rPr>
              <w:t>c</w:t>
            </w:r>
            <w:r>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speciális hitelezés</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éghajlatváltozás mérséklése és az éghajlatváltozáshoz való alkalmazkodás célkitűzése tekintetében környezeti szempontból fenntartható tevékenységeket finanszírozó, a speciális hitelezés körébe sorolt új (azaz az aktuális nyilvánosságra hozatali időszakban keletkezett) eszközöknek a környezeti szempontból fenntartható tevékenységeket finanszírozó összes új (azaz az aktuális nyilvánosságra hozatali időszakban keletkezett) eszközhöz viszonyított arányát kell feltüntetniük. Az új eszközöket a visszafizetések és egyéb csökkentések levonásával kell kiszámítani.</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n) oszlopához tartozó útmutatóban említett figyelembe vehető új eszközök bruttó könyv szerinti értéke.</w:t>
            </w:r>
          </w:p>
          <w:p w14:paraId="6DB84D93" w14:textId="1C291A69" w:rsidR="00E77292" w:rsidRPr="00E50FA4" w:rsidRDefault="00C230E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KPI nevezője</w:t>
            </w:r>
            <w:r w:rsidR="00E77292">
              <w:rPr>
                <w:rFonts w:ascii="Times New Roman" w:hAnsi="Times New Roman"/>
                <w:noProof/>
                <w:sz w:val="24"/>
              </w:rPr>
              <w:t xml:space="preserve"> a 7. tábla a) oszlopához tartozó útmutatóban említett eszközökből az új lefedett eszközök bruttó könyv szerinti értéke.</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3207AA71" w:rsidR="0077330E" w:rsidRPr="00E50FA4" w:rsidRDefault="005F031D"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r w:rsidR="0077330E">
              <w:rPr>
                <w:rFonts w:ascii="Times New Roman" w:hAnsi="Times New Roman"/>
                <w:noProof/>
                <w:sz w:val="24"/>
              </w:rPr>
              <w:t>d</w:t>
            </w:r>
            <w:r>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átállás/alkalmazkodás</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Az (EU) 2020/852 rendelet 10. és 11. cikke.</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feltüntetendő százalékos arány a t) és az y) oszlopban megadott százalékos értékek összege.</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52BB88FF" w:rsidR="0077330E" w:rsidRPr="00E50FA4" w:rsidRDefault="005F031D"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r w:rsidR="0077330E">
              <w:rPr>
                <w:rFonts w:ascii="Times New Roman" w:hAnsi="Times New Roman"/>
                <w:noProof/>
                <w:sz w:val="24"/>
              </w:rPr>
              <w:t>e</w:t>
            </w:r>
            <w:r>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támogató</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Az (EU) 2020/852 rendelet 16. cikke.</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feltüntetendő százalékos arány az u) és a z) oszlopban megadott százalékos értékek összege.</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F0454B7" w:rsidR="00E77292" w:rsidRPr="00E50FA4" w:rsidRDefault="005F031D"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r w:rsidR="0077330E">
              <w:rPr>
                <w:rFonts w:ascii="Times New Roman" w:hAnsi="Times New Roman"/>
                <w:noProof/>
                <w:sz w:val="24"/>
              </w:rPr>
              <w:t>f</w:t>
            </w:r>
            <w:r>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Az összes lefedett új eszköz aránya</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GAR által lefedett összes új eszköz részarányát kell feltüntetniük. Az új eszközöket a visszafizetések és egyéb csökkentések levonásával kell kiszámítani.</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A tételt százalékban kell kifejezni.</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 KPI számlálója a 7. tábla 1. sorához tartozó útmutatóban említett lefedett eszközök bruttó könyv szerinti értékének az aktuális nyilvánosságra hozatali időszak (t) és az előző nyilvánosságra hozatali időszak (t–1) közötti különbsége.</w:t>
            </w:r>
          </w:p>
          <w:p w14:paraId="6A008832" w14:textId="0514B555" w:rsidR="00E77292" w:rsidRPr="00E50FA4" w:rsidRDefault="00E77292" w:rsidP="00C230E2">
            <w:pPr>
              <w:spacing w:before="120" w:after="120"/>
              <w:jc w:val="both"/>
              <w:rPr>
                <w:rFonts w:ascii="Times New Roman" w:eastAsia="Times New Roman" w:hAnsi="Times New Roman" w:cs="Times New Roman"/>
                <w:noProof/>
                <w:sz w:val="24"/>
              </w:rPr>
            </w:pPr>
            <w:r>
              <w:rPr>
                <w:rFonts w:ascii="Times New Roman" w:hAnsi="Times New Roman"/>
                <w:noProof/>
                <w:sz w:val="24"/>
              </w:rPr>
              <w:t>A KPI nevezője a 7. tábla 5</w:t>
            </w:r>
            <w:r w:rsidR="00C230E2">
              <w:rPr>
                <w:rFonts w:ascii="Times New Roman" w:hAnsi="Times New Roman"/>
                <w:noProof/>
                <w:sz w:val="24"/>
              </w:rPr>
              <w:t>3</w:t>
            </w:r>
            <w:r>
              <w:rPr>
                <w:rFonts w:ascii="Times New Roman" w:hAnsi="Times New Roman"/>
                <w:noProof/>
                <w:sz w:val="24"/>
              </w:rPr>
              <w:t>. sorához tartozó útmutatóban említett eszközök teljes állománya bruttó könyv szerinti értékének az aktuális nyilvánosságra hozatali időszak (t) és az előző nyilvánosságra hozatali időszak (t–1) közötti különbsége.</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Sor</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59D4C136"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Útmutató</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1CA24EFB"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Az (EU) 2021/2178 felhatalmazáson alapuló rendeletben említett </w:t>
            </w:r>
            <w:r>
              <w:rPr>
                <w:rFonts w:ascii="Times New Roman" w:hAnsi="Times New Roman"/>
                <w:b/>
                <w:noProof/>
                <w:sz w:val="24"/>
                <w:u w:val="single"/>
              </w:rPr>
              <w:t>GAR</w:t>
            </w:r>
            <w:r>
              <w:rPr>
                <w:rFonts w:ascii="Times New Roman" w:hAnsi="Times New Roman"/>
                <w:noProof/>
                <w:sz w:val="24"/>
              </w:rPr>
              <w:t>.</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0E8AC5F3"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76BC42D" w14:textId="7D7FE25D"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 GAR számításához figyele</w:t>
            </w:r>
            <w:r w:rsidR="0089566E">
              <w:rPr>
                <w:rFonts w:ascii="Times New Roman" w:hAnsi="Times New Roman"/>
                <w:b/>
                <w:noProof/>
                <w:sz w:val="24"/>
                <w:u w:val="single"/>
              </w:rPr>
              <w:t>mbe vehető hitelek és előlegek,</w:t>
            </w:r>
            <w:r>
              <w:rPr>
                <w:rFonts w:ascii="Times New Roman" w:hAnsi="Times New Roman"/>
                <w:b/>
                <w:noProof/>
                <w:sz w:val="24"/>
                <w:u w:val="single"/>
              </w:rPr>
              <w:t xml:space="preserve"> nem kereskedési céllal tartott hitelviszonyt megtestesítő értékpapírok és tulajdoni részesedést megtestesítő eszközök</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 7. tábla 1. sorában szereplő kitettségek százalékban kifejezett GAR értéke.</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0249BB81"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Pénzügyi vállalatok</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2. sorában szereplő kitettségek százalékban kifejezett GAR értéke.</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3494B6D5"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Hitelintézetek</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3. sorában szereplő kitettségek százalékban kifejezett GAR értéke.</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45E2ABC3"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Egyéb pénzügyi vállalatok</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7. sorában szereplő kitettségek százalékban kifejezett GAR értéke.</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4DF771B6"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befektetési vállalkozások</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8. sorában szereplő kitettségek százalékban kifejezett GAR értéke.</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1B6BA09B"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vagyonkezelő társaságok</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12. sorában szereplő kitettségek százalékban kifejezett GAR értéke.</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58E04790"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biztosítók</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16. sorában szereplő kitettségek százalékban kifejezett GAR értéke.</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0DB24E31"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Az NFRD szerinti közzétételi kötelezettségek hatálya alá tartozó nem pénzügyi vállalatok</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 7. tábla 20. sorában szereplő kitettségek százalékban kifejezett GAR értéke.</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495E541E"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Háztartások</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24. sorában szereplő kitettségek százalékban kifejezett GAR értéke.</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204B89F"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lakóingatlannal fedezett hitelek</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25. sorában szereplő kitettségek százalékban kifejezett GAR értéke.</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1F4A3553"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épület-korszerűsítést célzó hitelek</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26. sorában szereplő kitettségek százalékban kifejezett GAR értéke.</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52443DED"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gépjárműhitelek</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27. sorában szereplő kitettségek százalékban kifejezett GAR értéke.</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50AE9E32"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Helyi önkormányzatok finanszírozása</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28. sorában szereplő kitettségek százalékban kifejezett GAR értéke.</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10B67E78"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Lakásfinanszírozás</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29. sorában szereplő kitettségek százalékban kifejezett GAR értéke.</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582E578E"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Egyéb helyi önkormányzati finanszírozás</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30. sorában szereplő kitettségek százalékban kifejezett GAR értéke.</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130048EE"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r w:rsidR="005F031D">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Birtokbavétellel megszerzett biztosítékok: lakó- és kereskedelmi ingatlanok</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 7. tábla 31. sorában szereplő kitettségek százalékban kifejezett GAR értéke.</w:t>
            </w:r>
          </w:p>
        </w:tc>
      </w:tr>
    </w:tbl>
    <w:p w14:paraId="3F4B68A1" w14:textId="77777777" w:rsidR="00E77292" w:rsidRPr="00DB5A05"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9. tábla – Mérséklő intézkedések: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Az (EU) 2021/2178 végrehajtási rendelet 9. cikke előírja, hogy a Bizottság 2024. június 30-ig felülvizsgálja az említett rendelet alkalmazását. A Bizottság különösen azt értékeli, hogy szükség van-e további módosításokra a következők figyelembevétele tekintetében:</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a központi kormányokkal és a központi bankokkal szembeni kitettségek a pénzügyi vállalkozások kulcsfontosságú teljesítménymutatóinak számlálójában és nevezőjében;</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az olyan vállalkozásokkal szembeni kitettségek a pénzügyi vállalkozások kulcsfontosságú teljesítménymutatóinak számlálójában, amelyek nem tesznek közzé a 2013/34/EU irányelv 19a. cikke és 29a. cikke szerinti nem pénzügyi kimutatást.</w:t>
      </w:r>
    </w:p>
    <w:p w14:paraId="656BC7EC" w14:textId="393D885D"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 ebben a táblában észszerű erőfeszítés alapján, a már rendelkezésre álló és a partnereiktől önkéntesen és kétoldalúan gyűjtött információkra vagy becsléseken nyugvó számításokra támaszkodva feltüntethetik a 2013/34/EU irányelvben meghatározott közzétételi kötelezettségek hatálya alá nem tartozó uniós és nem uniós nem pénzügyi vállalatokkal szembeni kitettségekre vonatkozóan azokat a részletes információkat, amelyek az éghajlatváltozás mérséklésével és az éghajlatváltozáshoz való alkalmazkodással kapcsolatos, az (EU) 2020/852 rendelet 9. cikkének a) és b) pontjában említett környezetvédelmi célkitűzések tekintetében az említett rendeletnek megfelelően a taxonómiához való igazíthatóságra és a taxonómiához való igazodásra vonatkoznak. Hasonlóan a GAR-hoz, ezek az információk csak az egyik módon, az általános célú hitelezésre vonatkozó árbevétel-alapú taxonómiai igazodá</w:t>
      </w:r>
      <w:r w:rsidR="00C230E2">
        <w:rPr>
          <w:rFonts w:ascii="Times New Roman" w:hAnsi="Times New Roman"/>
          <w:noProof/>
          <w:sz w:val="24"/>
        </w:rPr>
        <w:t>s tekintetében tüntethetők fel.</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E tábla első nyilvánosságra hozatali vonatkozási időpontja 2024. december 31. Az intézmények 2025. január 1-je előtt nem kötelesek nyilvánosságra hozni ezeket az információkat.</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9.1. tábla – Mérséklő intézkedések: A BTAR kiszámításához figyelembe vett eszközök</w:t>
      </w:r>
    </w:p>
    <w:p w14:paraId="72F939F1" w14:textId="77777777" w:rsidR="002812BA" w:rsidRPr="00DB5A05"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 ebben a táblában a BTAR kiszámítása szempontjából releváns eszközök bruttó könyv szerinti értékét tüntethetik fel. Ez a tábla csak azon partnerek esetében alkalmazandó, amelyekre nem vonatkoznak közzétételi kötelezettségek.</w:t>
      </w:r>
    </w:p>
    <w:p w14:paraId="133CFA6A" w14:textId="77777777" w:rsidR="00EF63C8" w:rsidRPr="00DB5A05"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06592BFB"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r w:rsidR="005F031D">
              <w:rPr>
                <w:rFonts w:ascii="Calibri" w:hAnsi="Calibri"/>
                <w:noProof/>
                <w:color w:val="000000"/>
              </w:rPr>
              <w:t>.</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GAR-ESZKÖZÖK ÖSSZESEN</w:t>
            </w:r>
          </w:p>
          <w:p w14:paraId="303FD3D8" w14:textId="1E38CEA2"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A 7. tábla </w:t>
            </w:r>
            <w:r w:rsidR="00C230E2">
              <w:rPr>
                <w:rFonts w:ascii="Times New Roman" w:hAnsi="Times New Roman"/>
                <w:noProof/>
                <w:color w:val="000000"/>
                <w:sz w:val="24"/>
                <w:u w:val="single"/>
              </w:rPr>
              <w:t>32. sorában feltüntetett érték.</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1C2EFF2F"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r w:rsidR="005F031D">
              <w:rPr>
                <w:rFonts w:ascii="Calibri" w:hAnsi="Calibri"/>
                <w:noProof/>
                <w:color w:val="000000"/>
              </w:rPr>
              <w:t>.</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Uniós nem pénzügyi vállalatok (az NFRD szerinti közzétételi kötelezettségek hatálya alá nem tartozó)</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az (EU) 2021/451 végrehajtási rendelet V. melléklete 1. része 42. pontjának e) alpontjában meghatározott azon nem pénzügyi vállalatokkal szembeni kitettségeket kell feltüntetniük, amelyek az Unióban vannak letelepedve, és nem tartoznak a 2013/34/EU irányelv szerinti közzétételi kötelezettségek hatálya alá.</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Amennyiben a partner nem tartozik az (EU) 2020/852 rendelet 8. cikke szerinti közzétételi kötelezettségek hatálya alá, az (EU) 2020/852 rendeletben említett taxonómiához igazodó kitettségek százalékos arányának kiszámítása céljából az intézmények észszerű erőfeszítés alapján önkéntes és kétoldalú alapon információkat gyűjthetnek partnereiktől a hitelnyújtás, valamint a rendszeres hitelfelülvizsgálati és nyomonkövetési folyamat során. Csakis abban az esetben, ha a partner nem képes vagy nem hajlandó megadni a vonatkozó adatokat, a hitelintézeteknek belső becsléseket és helyettesítő adatokat kell használniuk, és a táblát kísérő szöveges magyarázatban ismertetniük kell e becslések típusát és alkalmazásának körét. Amennyiben az intézmények nem képesek sem önkéntes és kétoldalú alapon beszerezni, sem megbecsülni a releváns információkat, vagy ezt nem képesek észszerű, számukra vagy partnereik számára túlzott teherrel nem járó módon megtenni, ezt a tényt a táblát kísérő szöveges magyarázatban indokolniuk kell, ismertetve az okokat és az érintett partnereket.</w:t>
            </w:r>
          </w:p>
          <w:p w14:paraId="0106E41D" w14:textId="52C65118"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A 2013/34/EU irányelv szerinti közzétételi kötelezettségek hatálya alá nem tartozó vállalatokat, egyebek mellett a kis- és középvállalkozásokat érintő közzétételek esetében az intézményeknek az általános célú, ismeretlen felhasználású hitelezés/finanszírozás értékelése során egyszerűsített megközelítést kell alkalmazniuk, és e kitettségek az (EU) 2020/852 rendelethez való átfogó igazodásának értékelését a partner fő gazdasági tevékenységére, azaz fő árbevételi forrására kell alapozniuk. Speciális hitelezés esetén az értékelésnek azon kell alapulnia, hogy az adott finanszírozott projekt milyen mértékben minősül az éghajlatváltozás mérsékléséhez vagy az éghajlatváltozáshoz való alkalmazkodáshoz lényegesen hozzájárulónak (</w:t>
            </w:r>
            <w:r w:rsidR="00C230E2">
              <w:rPr>
                <w:rFonts w:ascii="Times New Roman" w:hAnsi="Times New Roman"/>
                <w:noProof/>
                <w:sz w:val="24"/>
              </w:rPr>
              <w:t>projektspecifikus információk).</w:t>
            </w:r>
          </w:p>
          <w:p w14:paraId="0069EE67" w14:textId="77777777" w:rsidR="00EF3EEA" w:rsidRPr="00DB5A05"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4CB1E7DA"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r w:rsidR="005F031D">
              <w:rPr>
                <w:rFonts w:ascii="Times New Roman" w:hAnsi="Times New Roman"/>
                <w:noProof/>
              </w:rPr>
              <w:t>.</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kereskedelmi ingatlannal fedezett hitelek</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Az (EU) 2021/451 végrehajtási rendelet V. melléklete 2. része 173. pontjának a) alpontjában és 239ix. pontjában említett kitettségek.</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E kitettségeknek az (EU) 2020/852 rendeletben említett taxonómiához való igazodását csak az éghajlatváltozás mérséklésének célkitűzésére vonatkozó egyszerűsített megközelítést követve, az épületekre vonatkozó technikai vizsgálati kritériumokkal, nevezetesen az (EU) 2021/2139 felhatalmazáson alapuló rendelet I. mellékletének épület-korszerűsítésre, -vásárlásra és -tulajdonlásra vonatkozó 7.2., 7.3., 7.4., 7.5., 7.6. és 7.7. pontjával összhangban kell értékelni, az alapul szolgáló biztosíték energiahatékonysága alapján.</w:t>
            </w:r>
          </w:p>
          <w:p w14:paraId="15327AF8" w14:textId="77777777" w:rsidR="00EF3EEA" w:rsidRPr="00DB5A05"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6D83578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r w:rsidR="00B03560">
              <w:rPr>
                <w:rFonts w:ascii="Times New Roman" w:hAnsi="Times New Roman"/>
                <w:noProof/>
              </w:rPr>
              <w:t>.</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ebből épület-korszerűsítést célzó hitelek</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A 2014/95/EU irányelv szerinti közzétételi kötelezettség hatálya alá nem tartozó kkv-knak és egyéb nem pénzügyi vállalatoknak nyújtott, épület-korszerűsítést célzó hitelek.</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E kitettségeknek az (EU) 2020/852 rendeletben említett taxonómiához való igazodását csak az éghajlatváltozás mérséklésének célkitűzésére vonatkozó egyszerűsített megközelítést követve, az épületekre vonatkozó technikai vizsgálati kritériumokkal, nevezetesen az (EU) 2021/2139 felhatalmazáson alapuló rendelet I. mellékletének épület-korszerűsítésre, -vásárlásra és -tulajdonlásra vonatkozó 7.2., 7.3., 7.4., 7.5., 7.6. és 7.7. pontjával összhangban kell értékelni, az alapul szolgáló biztosíték energiahatékonysága alapján.</w:t>
            </w:r>
          </w:p>
          <w:p w14:paraId="72281082" w14:textId="77777777" w:rsidR="00EF3EEA" w:rsidRPr="00DB5A05"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6908EC5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r w:rsidR="00B03560">
              <w:rPr>
                <w:rFonts w:ascii="Times New Roman" w:hAnsi="Times New Roman"/>
                <w:noProof/>
              </w:rPr>
              <w:t>.</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Unión kívüli nem pénzügyi vállalatok (az NFRD szerinti közzétételi kötelezettségek hatálya alá nem tartozó)</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Az (EU) 2021/451 végrehajtási rendelet V. melléklete 1. része 42. pontjának e) alpontjában meghatározott azon nem pénzügyi vállalatokkal szembeni kitettségek, amelyek az Unión kívül vannak letelepedve, és nem tartoznak a 2014/95/EU irányelv szerinti közzétételi kötelezettségek hatálya alá.</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Amennyiben az intézmények ezeket az információkat az (EU) 2020/852 rendelet 8. cikke szerinti közzétételeikben az (EU) 2021/2178 felhatalmazáson alapuló rendelet 7. cikkének (7) bekezdésével összhangban adják meg, itt ugyanazokat az információkat kell nyilvánosságra hozniuk. Ellenkező esetben az intézményeknek kétoldalú alapon kell információkat gyűjteniük partnereiktől a hitelnyújtás, valamint a rendszeres hitelfelülvizsgálati és nyomonkövetési folyamat során, vagy a következő helyettesítő adatokat kell használniuk a nem uniós kitettségekre vonatkozó információknak a legnagyobb gondosság elve alapján történő nyilvánosságra hozatalához:</w:t>
            </w:r>
          </w:p>
          <w:p w14:paraId="2773DD8C" w14:textId="06B7BE64" w:rsidR="00EF3EEA" w:rsidRPr="00E50FA4" w:rsidRDefault="00C230E2"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a)</w:t>
            </w:r>
            <w:r w:rsidR="00786654">
              <w:rPr>
                <w:noProof/>
              </w:rPr>
              <w:tab/>
            </w:r>
            <w:r w:rsidR="00786654">
              <w:rPr>
                <w:rFonts w:ascii="Times New Roman" w:hAnsi="Times New Roman"/>
                <w:noProof/>
                <w:sz w:val="24"/>
              </w:rPr>
              <w:t>saját modelljeik és a kitettségek ezeknek megfelelő osztályozása; ebben az esetben az intézményeknek ismertetniük kell az alkalmazott modellek főbb jellemzőit;</w:t>
            </w:r>
          </w:p>
          <w:p w14:paraId="2307117D" w14:textId="604CC1E4" w:rsidR="00EF3EEA" w:rsidRPr="00E50FA4" w:rsidRDefault="00C230E2"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b)</w:t>
            </w:r>
            <w:r w:rsidR="00786654">
              <w:rPr>
                <w:noProof/>
              </w:rPr>
              <w:tab/>
            </w:r>
            <w:r w:rsidR="00786654">
              <w:rPr>
                <w:rFonts w:ascii="Times New Roman" w:hAnsi="Times New Roman"/>
                <w:noProof/>
                <w:sz w:val="24"/>
              </w:rPr>
              <w:t xml:space="preserve">a szerződő felek nemzetközi standardokon (beleértve a TCFD-t is) alapuló közzétételei, amennyiben ezek rendelkezésre állnak; ebben az esetben az intézményeknek ismertetniük kell a rendelkezésre álló információk típusát és az alkalmazott standardokat; </w:t>
            </w:r>
          </w:p>
          <w:p w14:paraId="6136A2C7" w14:textId="13415C92" w:rsidR="00EF3EEA" w:rsidRPr="00E50FA4" w:rsidRDefault="00C230E2"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c)</w:t>
            </w:r>
            <w:r w:rsidR="00786654">
              <w:rPr>
                <w:noProof/>
              </w:rPr>
              <w:tab/>
            </w:r>
            <w:r w:rsidR="00786654">
              <w:rPr>
                <w:rFonts w:ascii="Times New Roman" w:hAnsi="Times New Roman"/>
                <w:noProof/>
                <w:sz w:val="24"/>
              </w:rPr>
              <w:t>egyéb, nyilvánosan hozzáférhető adatok.</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Az intézményeknek a táblát kísérő szöveges részben ismertetniük kell az adatokhoz használt forrásokat. Amennyiben az intézmények nem képesek sem kétoldalú alapon beszerezni, sem megbecsülni a releváns információkat, vagy ezt nem képesek észszerű, számukra vagy partnereik számára túlzott teherrel nem járó módon megtenni, ezt a tényt a táblát kísérő szöveges magyarázatban indokolniuk kell, ismertetve az okokat és az érintett partnereket.</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E partnertípus esetében az intézményeknek az általános célú, ismeretlen felhasználású hitelezés/finanszírozás értékelése során egyszerűsített megközelítést kell alkalmazniuk, és e kitettségek az (EU) 2020/852 rendelethez való átfogó igazodásának értékelését a partner fő gazdasági tevékenységére, azaz fő árbevételi forrására kell alapozniuk. Speciális hitelezés esetén az értékelésnek azon kell alapulnia, hogy a finanszírozott projekt milyen mértékben és milyen arányban minősül az éghajlatváltozás mérsékléséhez vagy az éghajlatváltozáshoz való alkalmazkodáshoz jelentős mértékben hozzájárulónak (projektspecifikus információk); az ingatlanportfólió esetében pedig az értékelést az éghajlatváltozás mérséklésére irányuló célkitűzés tekintetében kell elvégezni, a mögöttes biztosíték energiahatékonysága és annak az (EU) 2020/852 rendeletben a vonatkozó tevékenységekre meghatározott kritériumokhoz való igazodása alapján.</w:t>
            </w:r>
          </w:p>
          <w:p w14:paraId="358D71B0" w14:textId="77777777" w:rsidR="00EF3EEA" w:rsidRPr="00DB5A05"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2695B104"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12</w:t>
            </w:r>
            <w:r w:rsidR="00B03560">
              <w:rPr>
                <w:rFonts w:ascii="Times New Roman" w:hAnsi="Times New Roman"/>
                <w:noProof/>
                <w:color w:val="000000"/>
                <w:sz w:val="24"/>
              </w:rPr>
              <w:t>.</w:t>
            </w:r>
          </w:p>
        </w:tc>
        <w:tc>
          <w:tcPr>
            <w:tcW w:w="7879" w:type="dxa"/>
            <w:tcBorders>
              <w:top w:val="single" w:sz="4" w:space="0" w:color="auto"/>
              <w:left w:val="single" w:sz="4" w:space="0" w:color="auto"/>
              <w:bottom w:val="single" w:sz="4" w:space="0" w:color="auto"/>
              <w:right w:val="single" w:sz="4" w:space="0" w:color="auto"/>
            </w:tcBorders>
          </w:tcPr>
          <w:p w14:paraId="2534BFA0" w14:textId="0B8AC97E" w:rsidR="00EF3EEA" w:rsidRPr="001664EE" w:rsidRDefault="00C230E2" w:rsidP="00EF3EEA">
            <w:pPr>
              <w:spacing w:before="120" w:after="120"/>
              <w:jc w:val="both"/>
              <w:rPr>
                <w:rFonts w:ascii="Times New Roman" w:eastAsia="Times New Roman" w:hAnsi="Times New Roman" w:cs="Times New Roman"/>
                <w:b/>
                <w:bCs/>
                <w:noProof/>
                <w:sz w:val="24"/>
              </w:rPr>
            </w:pPr>
            <w:r>
              <w:rPr>
                <w:rFonts w:ascii="Times New Roman" w:hAnsi="Times New Roman"/>
                <w:b/>
                <w:noProof/>
                <w:sz w:val="24"/>
              </w:rPr>
              <w:t>BTAR-ESZKÖZÖK ÖSSZESEN</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Az 1., 2. és 8. sor összege.</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13–19. sor</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Lásd a 7. tábla fogalommeghatározásait (41–50. sor).</w:t>
            </w:r>
          </w:p>
        </w:tc>
      </w:tr>
    </w:tbl>
    <w:p w14:paraId="2BEFAC73" w14:textId="16893FAF" w:rsidR="00EF63C8" w:rsidRDefault="00EF63C8" w:rsidP="00D35812">
      <w:pPr>
        <w:jc w:val="both"/>
        <w:rPr>
          <w:rFonts w:ascii="Times New Roman" w:hAnsi="Times New Roman" w:cs="Times New Roman"/>
          <w:b/>
          <w:noProof/>
          <w:sz w:val="24"/>
        </w:rPr>
      </w:pPr>
    </w:p>
    <w:p w14:paraId="2A5CCC01" w14:textId="383EA037" w:rsidR="00B03560" w:rsidRDefault="00B03560" w:rsidP="00D35812">
      <w:pPr>
        <w:jc w:val="both"/>
        <w:rPr>
          <w:rFonts w:ascii="Times New Roman" w:hAnsi="Times New Roman" w:cs="Times New Roman"/>
          <w:b/>
          <w:noProof/>
          <w:sz w:val="24"/>
        </w:rPr>
      </w:pPr>
    </w:p>
    <w:p w14:paraId="55953904" w14:textId="1BF153A5" w:rsidR="00B03560" w:rsidRDefault="00B03560" w:rsidP="00D35812">
      <w:pPr>
        <w:jc w:val="both"/>
        <w:rPr>
          <w:rFonts w:ascii="Times New Roman" w:hAnsi="Times New Roman" w:cs="Times New Roman"/>
          <w:b/>
          <w:noProof/>
          <w:sz w:val="24"/>
        </w:rPr>
      </w:pPr>
    </w:p>
    <w:p w14:paraId="1422A74D" w14:textId="77777777" w:rsidR="00B03560" w:rsidRPr="00E50FA4" w:rsidRDefault="00B03560" w:rsidP="00D35812">
      <w:pPr>
        <w:jc w:val="both"/>
        <w:rPr>
          <w:rFonts w:ascii="Times New Roman" w:hAnsi="Times New Roman" w:cs="Times New Roman"/>
          <w:b/>
          <w:noProof/>
          <w:sz w:val="24"/>
        </w:rPr>
      </w:pPr>
    </w:p>
    <w:p w14:paraId="24B770BA" w14:textId="77777777" w:rsidR="003F07A6" w:rsidRPr="00DB5A05" w:rsidRDefault="003F07A6" w:rsidP="00D35812">
      <w:pPr>
        <w:jc w:val="both"/>
        <w:rPr>
          <w:rFonts w:ascii="Times New Roman" w:hAnsi="Times New Roman" w:cs="Times New Roman"/>
          <w:b/>
          <w:noProof/>
          <w:sz w:val="24"/>
          <w:lang w:val="fr-BE"/>
        </w:rPr>
      </w:pPr>
    </w:p>
    <w:p w14:paraId="5099F1ED" w14:textId="22DB7FCE" w:rsidR="006C4055" w:rsidRPr="00B03560" w:rsidRDefault="006C4055" w:rsidP="00D35812">
      <w:pPr>
        <w:jc w:val="both"/>
        <w:rPr>
          <w:rFonts w:ascii="Times New Roman" w:hAnsi="Times New Roman"/>
          <w:b/>
          <w:noProof/>
          <w:sz w:val="24"/>
          <w:u w:val="single"/>
        </w:rPr>
      </w:pPr>
      <w:r>
        <w:rPr>
          <w:rFonts w:ascii="Times New Roman" w:hAnsi="Times New Roman"/>
          <w:b/>
          <w:noProof/>
          <w:sz w:val="24"/>
          <w:u w:val="single"/>
        </w:rPr>
        <w:t>9.2. tábla – BTAR (%)</w:t>
      </w:r>
    </w:p>
    <w:p w14:paraId="3CE2FAAC" w14:textId="251EA804" w:rsidR="006C4055" w:rsidRPr="00E50FA4" w:rsidRDefault="006C4055" w:rsidP="00C47A0A">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Az intézmények ebben a táblában a 9.1. táblában feltüntetett BTAR-eszközök százalékos arányát hozhatják nyilvánosságra a BTAR nevezőjében szereplő, a 9.1. tábla 17. sorában feltüntetett teljes eszközállományhoz viszonyítva.</w:t>
      </w:r>
    </w:p>
    <w:p w14:paraId="6AB76FB3" w14:textId="77777777" w:rsidR="006C4055" w:rsidRPr="00B76863" w:rsidRDefault="006C4055" w:rsidP="0051392F">
      <w:pPr>
        <w:jc w:val="both"/>
        <w:rPr>
          <w:rFonts w:ascii="Times New Roman" w:hAnsi="Times New Roman"/>
          <w:b/>
          <w:noProof/>
          <w:sz w:val="24"/>
          <w:u w:val="single"/>
        </w:rPr>
      </w:pPr>
      <w:r>
        <w:rPr>
          <w:rFonts w:ascii="Times New Roman" w:hAnsi="Times New Roman"/>
          <w:b/>
          <w:noProof/>
          <w:sz w:val="24"/>
          <w:u w:val="single"/>
        </w:rPr>
        <w:t>9.3. tábla – Összefoglaló – BTAR (%)</w:t>
      </w:r>
    </w:p>
    <w:p w14:paraId="1A45105A" w14:textId="242071B4" w:rsidR="006C4055" w:rsidRPr="00E50FA4" w:rsidRDefault="006C4055" w:rsidP="00C47A0A">
      <w:pPr>
        <w:pStyle w:val="ListParagraph"/>
        <w:spacing w:before="120" w:after="120"/>
        <w:ind w:left="0"/>
        <w:jc w:val="both"/>
        <w:rPr>
          <w:rFonts w:ascii="Times New Roman" w:hAnsi="Times New Roman"/>
          <w:noProof/>
          <w:sz w:val="24"/>
        </w:rPr>
      </w:pPr>
      <w:r>
        <w:rPr>
          <w:rFonts w:ascii="Times New Roman" w:hAnsi="Times New Roman"/>
          <w:noProof/>
          <w:sz w:val="24"/>
        </w:rPr>
        <w:t>Ez a tábla a BTAR fő teljesítménymutatók szerinti összefoglalóját tartalmazza az éghajlatváltozásra vonatkozó környezetvédelmi célkitűzések (ill. ezek összesen), valamint állományi és állományváltozási adatok szerinti bontásban.</w:t>
      </w:r>
    </w:p>
    <w:p w14:paraId="66911CDE" w14:textId="77777777" w:rsidR="006C4055" w:rsidRPr="00DB5A05"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10. tábla – Az éghajlatváltozás mérséklését célzó, az (EU) 2020/852 rendelet hatálya alá nem tartozó egyéb intézkedések</w:t>
      </w:r>
    </w:p>
    <w:p w14:paraId="62FA978B" w14:textId="77777777" w:rsidR="00E77292" w:rsidRPr="00DB5A05"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Ez a tábla az éghajlatváltozást mérséklését célzó egyéb intézkedésekre vonatkozik, és az intézmények azon kitettségeit foglalja magában, amelyek nem sorolhatók az (EU) 2020/852 rendeletben említettek szerinti taxonómiához igazodó, a 7. és 8. táblában feltüntetett kitettségek közé, mégis támogatják a partnereket az éghajlatváltozás mérséklésével és az éghajlatváltozáshoz való alkalmazkodással kapcsolatos átállási és alkalmazkodási folyamatban. E mérséklő intézkedéseknek és tevékenységeknek magukban kell foglalniuk az uniós standardoktól eltérő standardoknak megfelelően kibocsátott kötvényeket és hiteleket, beleértve a zöldkötvényeket is; az éghajlatváltozással kapcsolatos szempontokhoz kapcsolódó fenntartható kötvényeket; az éghajlatváltozással kapcsolatos szempontokhoz kapcsolódó fenntarthatósággal összefüggő kötvényeket; a zöld hiteleket; az éghajlatváltozással kapcsolatos szempontokhoz kapcsolódó fenntartható hiteleket; az éghajlatváltozással kapcsolatos szempontokhoz kapcsolódó fenntarthatósággal összefüggő hiteleket.</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az e táblát kísérő szöveges leírásban részletes magyarázatot kell adniuk az ebben a táblában megjelenített mérséklési intézkedések jellegéről és típusáról, beleértve az általuk enyhíteni kívánt kockázatok típusait, az általuk támogatott éghajlat-változási célkitűzéseket, valamint az érintett partnerekre és az intézkedések ütemezésére vonatkozó információkat. Magyarázatot kell adniuk továbbá arra, hogy ezek a kitettségek, miközben hozzájárulnak az éghajlatváltozással kapcsolatos átállási vagy fizikai kockázat mérsékléséhez, miért nem igazodnak teljes mértékben az (EU) 2020/852 rendeletben meghatározott kritériumokhoz, és az (EU) 2020/852 rendelettel összhangban miért nem fenntarthatók, továbbá fel kell tüntetniük minden egyéb olyan releváns információt, amely segíthet megérteni az intézmény kockázatkezelési keretrendszerét.</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Az intézményeknek 2022. december 31-i első nyilvánosságra hozatali vonatkozási időponttal kell megkezdeniük az e táblában szereplő információk közzétételét.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Oszlop</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Útmutató</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6B301F66"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r w:rsidR="00B03560">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6FC07464" w14:textId="3AE7610D" w:rsidR="00892F35" w:rsidRPr="00E50FA4" w:rsidRDefault="001664EE"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w:t>
            </w:r>
            <w:r w:rsidR="00892F35">
              <w:rPr>
                <w:rFonts w:ascii="Times New Roman" w:hAnsi="Times New Roman"/>
                <w:b/>
                <w:noProof/>
                <w:sz w:val="24"/>
                <w:u w:val="single"/>
              </w:rPr>
              <w:t>énzügyi instrumentum típusa</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bizottsági végrehajtási rendelet V. mellékletében meghatározott, vonatkozó instrumentumtípust kell feltüntetniük.</w:t>
            </w:r>
          </w:p>
          <w:p w14:paraId="78119A27" w14:textId="59D14990" w:rsidR="00892F35" w:rsidRPr="00DB5A05"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A835CA"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r w:rsidR="00B03560">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Partner típusa</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bizottsági végrehajtási rendelet V. melléklete 1. részének 42. pontjában meghatározott, vonatkozó ügyfélkategóriát kell feltüntetniük.</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59FF3700"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r w:rsidR="00B03560">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Bruttó könyv szerinti érték (millió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Az intézményeknek a 2021/451/EU bizottsági végrehajtási rendelet V. melléklete 1. részének 34. pontjában meghatározott bruttó könyv szerinti értéket kell feltüntetniük.</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4926CBA9"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r w:rsidR="00B03560">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A mérsékelt kockázat típusa (éghajlatváltozási átállási kockázat)</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Az intézményeknek az adott intézkedéssel mérsékelt átállási kockázat típusát kell feltüntetniük.</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261F7622"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r w:rsidR="00B03560">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A mérsékelt kockázat típusa (éghajlatváltozási fizikai kockázat)</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Az intézményeknek az adott intézkedéssel mérsékelt fizikai kockázat típusát kell feltüntetniük.</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4A370942"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r w:rsidR="00B03560">
              <w:rPr>
                <w:rFonts w:ascii="Times New Roman" w:hAnsi="Times New Roman"/>
                <w:noProof/>
                <w:sz w:val="24"/>
              </w:rPr>
              <w:t>)</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A mérséklő intézkedések jellegére vonatkozó minőségi információk</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Az intézményeknek ismertetniük kell az éghajlatváltozás mérsékléséhez ((EU) 2020/852 rendelet 10. cikk) és az éghajlatváltozáshoz való alkalmazkodáshoz ((EU) 2020/852 rendelet 11. cikk) hozzájáruló mérséklő intézkedések jellegét, valamint azokat az okokat, amelyek miatt a kitettségek a GAR alkalmazásában nem minősülnek taxonómiához igazodónak.</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HL L 282., 2016.10.19., 4. o.</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Az Európai Parlament és a Tanács 2013/34/EU irányelve (2013. június 26.) az egyes vállalkozástípusok éves pénzügyi kimutatásairól, összevont (konszolidált) éves beszámolóiról és a kapcsolódó jelentésekről, a 2006/43/EK európai parlamenti és tanácsi irányelv módosításáról, valamint a 78/660/EGK és a 83/349/EGK tanácsi irányelv hatályon kívül helyezéséről (HL L 182., 2013.6.29., 19. o.).</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Az Európai Parlament és a Tanács 2014/95/EU irányelve (2014. október 22.) a 2013/34/EU irányelvnek a nem pénzügyi és a sokszínűséggel kapcsolatos információknak bizonyos nagyvállalkozások és vállalatcsoportok általi közzététele tekintetében történő módosításáról (HL L 330., 2014.11.15., 1. o.).</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C/2019/4490 (HL C 209., 2019.6.20., 1. o.).</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Az éghajlattal kapcsolatos pénzügyi közzétételekkel foglalkozó munkacsoport ajánlásai,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ENSZ Környezetvédelmi Program Pénzügyi Kezdeményezés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74458581"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Global Reporting Initiative Sustainability Reporting Standards, </w:t>
      </w:r>
      <w:hyperlink r:id="rId17" w:history="1">
        <w:r>
          <w:rPr>
            <w:rStyle w:val="Hyperlink"/>
            <w:noProof/>
          </w:rPr>
          <w:t>https://www.globalreporting.org/standards</w:t>
        </w:r>
      </w:hyperlink>
      <w:r>
        <w:rPr>
          <w:rFonts w:ascii="Times New Roman" w:hAnsi="Times New Roman"/>
          <w:noProof/>
          <w:sz w:val="20"/>
        </w:rPr>
        <w:t>.</w:t>
      </w:r>
    </w:p>
    <w:p w14:paraId="4911FC85" w14:textId="2A1FACF6"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Az ENSZ Felelős Befektetési Elvei (UNPRI),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Az Európai Parlament és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Az Európai Parlament és a Tanács 1893/2006/EK rendelete (2006. december 20.) a gazdasági tevékenységek statisztikai osztályozása NACE Rev. 2. rendszerének létrehozásáról és a 3037/90/EGK tanácsi rendelet, valamint egyes meghatározott statisztikai területekre vonatkozó EK-rendeletek módosításáról (HL L 393., 2006.12.30., 1. o.).</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A Bizottság (EU) 2020/1818 felhatalmazáson alapuló rendelete (2020. július 17.) az (EU) 2016/1011 európai parlamenti és tanácsi rendeletnek az uniós éghajlatváltozási referenciamutatókra és a Párizsi Megállapodáshoz igazodó uniós referenciamutatókra vonatkozó minimumszabályok tekintetében történő kiegészítéséről (HL L 406., 2020.12.3., 17. o.).</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A Tanács 86/635/EGK irányelve (1986. december 8.) a bankok és más pénzügyi intézmények éves beszámolójáról és konszolidált éves beszámolójáról (HL L 372., 1986.12.31., 1. o.).</w:t>
      </w:r>
    </w:p>
    <w:p w14:paraId="5906EACE" w14:textId="6D701843"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p>
    <w:p w14:paraId="796ABDF8" w14:textId="771F756B"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39A878F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Az Európai Parlament és a Tanács 2010/31/EU irányelve (2010. május 19.) az épületek energiahatékonyságáról (HL L 153., 2010.6.18., 13. o.).</w:t>
      </w:r>
    </w:p>
    <w:p w14:paraId="12A00B0C" w14:textId="0F34D18E"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Az Európai Parlament és a Tanács 2012/27/EU irányelve (2012. október 25.) az energiahatékonyságról, a 2009/125/EK és a 2010/30/EU irányelv módosításáról, valamint a 2004/8/EK és a 2006/32/EK irányelv hatályon kívül helyezéséről (HL L 315., 2012.11.14., 1. o.).</w:t>
      </w:r>
    </w:p>
    <w:p w14:paraId="15E428F5" w14:textId="51046541"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Net Zero Emissions by 2050 Scenario (NZE) – IEA (2021), World Energy Model, IEA, Párizs </w:t>
      </w:r>
      <w:hyperlink r:id="rId20" w:history="1">
        <w:r>
          <w:rPr>
            <w:rStyle w:val="Hyperlink"/>
            <w:rFonts w:ascii="Times New Roman" w:hAnsi="Times New Roman"/>
            <w:noProof/>
            <w:sz w:val="20"/>
          </w:rPr>
          <w:t>https://www.iea.org/reports/world-energy-model</w:t>
        </w:r>
      </w:hyperlink>
      <w:r w:rsidR="00C47A0A">
        <w:rPr>
          <w:rFonts w:ascii="Times New Roman" w:hAnsi="Times New Roman"/>
          <w:noProof/>
          <w:sz w:val="20"/>
        </w:rPr>
        <w:t>.</w:t>
      </w:r>
    </w:p>
    <w:p w14:paraId="4B9F88AC" w14:textId="77777777"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A 2021. évi jelentés </w:t>
      </w:r>
      <w:hyperlink r:id="rId21" w:history="1">
        <w:r>
          <w:rPr>
            <w:rStyle w:val="Hyperlink"/>
            <w:rFonts w:ascii="Times New Roman" w:hAnsi="Times New Roman"/>
            <w:noProof/>
            <w:sz w:val="20"/>
          </w:rPr>
          <w:t>ezen a linken</w:t>
        </w:r>
      </w:hyperlink>
      <w:r>
        <w:rPr>
          <w:rFonts w:ascii="Times New Roman" w:hAnsi="Times New Roman"/>
          <w:noProof/>
          <w:sz w:val="20"/>
        </w:rPr>
        <w:t xml:space="preserve"> érhető el.</w:t>
      </w:r>
    </w:p>
    <w:p w14:paraId="424B1F1A" w14:textId="77777777"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További példákért lásd az UNEP FI és az Acclimatise jelentését: „Charting a New Climate: State-of-the-art tools and data for banks to assess credit risks and opportunities from physical climate change impacts” (Új éghajlat felé – Korszerű eszközök és adatok a bankok számára az éghajlatváltozás fizikai hatásaiból eredő hitelkockázatok és lehetőségek értékeléséhez), 2020. szeptember. </w:t>
      </w:r>
      <w:hyperlink r:id="rId22" w:history="1">
        <w:r>
          <w:rPr>
            <w:rStyle w:val="Hyperlink"/>
            <w:rFonts w:ascii="Times New Roman" w:hAnsi="Times New Roman"/>
            <w:noProof/>
            <w:sz w:val="20"/>
          </w:rPr>
          <w:t>https://www.unepfi.org/publications/banking-publications/charting-a-new-climate/</w:t>
        </w:r>
      </w:hyperlink>
      <w:r>
        <w:rPr>
          <w:noProof/>
        </w:rPr>
        <w:t xml:space="preserve"> </w:t>
      </w:r>
      <w:r>
        <w:rPr>
          <w:rFonts w:ascii="Times New Roman" w:hAnsi="Times New Roman"/>
          <w:noProof/>
          <w:sz w:val="20"/>
        </w:rPr>
        <w:t>A jelentés részletes információkat tartalmaz a lefedett időszakokról, a jövőbeli forgatókönyvek alkalmazásáról, a területi bontásról és lefedettségről, az egyes adatkészletekből származó kimenetek formátumáról, valamint az engedélyezésről és a költségekről (a legtöbb portál és adatbázis ingyenesen hozzáférhető). A jelentés továbbá részletesen ismerteti a fizikai kockázatok értékelésének és mérésének különböző technikáit, például a hőtérképezést, a korrelációs elemzést, a célirányos eszközöket és analitikákat.</w:t>
      </w:r>
    </w:p>
    <w:p w14:paraId="106E1BCE" w14:textId="471C7E81"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A Bizottság (EU) 2021/2178 felhatalmazáson alapuló rendelete (2021. július 6.) az (EU) 2020/852 európai parlamenti és tanácsi rendeletnek a 2013/34/EU irányelv 19a. vagy 29a. cikkének hatálya alá tartozó vállalkozások által a környezeti szempontból fenntartható gazdasági tevékenységekre vonatkozóan közzéteendő információk tartalmának és megjelenítésének meghatározása, valamint az e közzétételi kötelezettségnek való megfelelés módszertanának meghatározása révén történő kiegészítéséről (HL L 443., 2021.12.10., 9. o.).</w:t>
      </w:r>
    </w:p>
    <w:p w14:paraId="4ACF3FA2" w14:textId="0FF81BE6" w:rsidR="002E0121" w:rsidRPr="00B76863" w:rsidRDefault="00425050" w:rsidP="00C47A0A">
      <w:pPr>
        <w:ind w:left="567" w:hanging="567"/>
        <w:jc w:val="both"/>
        <w:rPr>
          <w:rFonts w:ascii="Times New Roman" w:hAnsi="Times New Roman"/>
          <w:noProof/>
          <w:sz w:val="20"/>
        </w:rPr>
      </w:pPr>
      <w:r>
        <w:rPr>
          <w:rFonts w:ascii="Times New Roman" w:hAnsi="Times New Roman"/>
          <w:noProof/>
          <w:sz w:val="20"/>
          <w:vertAlign w:val="superscript"/>
        </w:rPr>
        <w:t>*22</w:t>
      </w:r>
      <w:r>
        <w:rPr>
          <w:noProof/>
        </w:rPr>
        <w:tab/>
      </w:r>
      <w:r>
        <w:rPr>
          <w:rFonts w:ascii="Times New Roman" w:hAnsi="Times New Roman"/>
          <w:noProof/>
          <w:sz w:val="20"/>
        </w:rPr>
        <w:t>A Bizottság (EU) 2021/2139 felhatalmazáson alapuló rendelete (2021. június 4.) az (EU) 2020/852 európai parlamenti és tanácsi rendeletnek az éghajlatváltozás mérsékléséhez és az éghajlatváltozáshoz való alkalmazkodáshoz lényegesen hozzájáruló és az egyéb környezeti célkitűzéseket jelentősen nem sértő gazdasági tevékenységekkel szemben támasztott követelmények meghatározásához szükséges technikai vizsgálati kritériumok megállapítása érdekében történő kiegészítéséről (HL L 442., 2021.12.9., 1. o.).</w:t>
      </w:r>
      <w:r w:rsidR="002E0121" w:rsidRPr="00C47A0A">
        <w:rPr>
          <w:rFonts w:ascii="Times New Roman" w:hAnsi="Times New Roman"/>
          <w:noProof/>
          <w:szCs w:val="22"/>
        </w:rPr>
        <w:t>”</w:t>
      </w:r>
    </w:p>
    <w:sectPr w:rsidR="002E0121" w:rsidRPr="00B76863"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3CD4A" w14:textId="77777777" w:rsidR="00540A99" w:rsidRDefault="00540A99" w:rsidP="00A00E34">
      <w:r>
        <w:separator/>
      </w:r>
    </w:p>
    <w:p w14:paraId="309775A3" w14:textId="77777777" w:rsidR="00540A99" w:rsidRDefault="00540A99"/>
  </w:endnote>
  <w:endnote w:type="continuationSeparator" w:id="0">
    <w:p w14:paraId="418CA87C" w14:textId="77777777" w:rsidR="00540A99" w:rsidRDefault="00540A99" w:rsidP="00A00E34">
      <w:r>
        <w:continuationSeparator/>
      </w:r>
    </w:p>
    <w:p w14:paraId="4C28783C" w14:textId="77777777" w:rsidR="00540A99" w:rsidRDefault="00540A99"/>
  </w:endnote>
  <w:endnote w:type="continuationNotice" w:id="1">
    <w:p w14:paraId="64AFEE22" w14:textId="77777777" w:rsidR="00540A99" w:rsidRDefault="00540A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343DE" w14:textId="77777777" w:rsidR="00244E2E" w:rsidRPr="00244E2E" w:rsidRDefault="00244E2E" w:rsidP="00244E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3477E" w14:textId="1E766F32" w:rsidR="00540A99" w:rsidRPr="00244E2E" w:rsidRDefault="00244E2E" w:rsidP="00244E2E">
    <w:pPr>
      <w:pStyle w:val="FooterCoverPage"/>
      <w:rPr>
        <w:rFonts w:ascii="Arial" w:hAnsi="Arial" w:cs="Arial"/>
        <w:b/>
        <w:sz w:val="48"/>
      </w:rPr>
    </w:pPr>
    <w:r w:rsidRPr="00244E2E">
      <w:rPr>
        <w:rFonts w:ascii="Arial" w:hAnsi="Arial" w:cs="Arial"/>
        <w:b/>
        <w:sz w:val="48"/>
      </w:rPr>
      <w:t>HU</w:t>
    </w:r>
    <w:r w:rsidRPr="00244E2E">
      <w:rPr>
        <w:rFonts w:ascii="Arial" w:hAnsi="Arial" w:cs="Arial"/>
        <w:b/>
        <w:sz w:val="48"/>
      </w:rPr>
      <w:tab/>
    </w:r>
    <w:r w:rsidRPr="00244E2E">
      <w:rPr>
        <w:rFonts w:ascii="Arial" w:hAnsi="Arial" w:cs="Arial"/>
        <w:b/>
        <w:sz w:val="48"/>
      </w:rPr>
      <w:tab/>
    </w:r>
    <w:r w:rsidRPr="00244E2E">
      <w:tab/>
    </w:r>
    <w:r w:rsidRPr="00244E2E">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36E44" w14:textId="77777777" w:rsidR="00244E2E" w:rsidRPr="00244E2E" w:rsidRDefault="00244E2E" w:rsidP="00244E2E">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540A99" w:rsidRDefault="00540A9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25F5B4B2" w:rsidR="00540A99" w:rsidRDefault="00540A99" w:rsidP="001B2797">
        <w:pPr>
          <w:pStyle w:val="Footer"/>
          <w:ind w:left="7938"/>
        </w:pPr>
        <w:r>
          <w:fldChar w:fldCharType="begin"/>
        </w:r>
        <w:r>
          <w:instrText xml:space="preserve"> PAGE   \* MERGEFORMAT </w:instrText>
        </w:r>
        <w:r>
          <w:fldChar w:fldCharType="separate"/>
        </w:r>
        <w:r w:rsidR="00244E2E">
          <w:rPr>
            <w:noProof/>
          </w:rPr>
          <w:t>1</w:t>
        </w:r>
        <w:r>
          <w:fldChar w:fldCharType="end"/>
        </w:r>
      </w:p>
    </w:sdtContent>
  </w:sdt>
  <w:p w14:paraId="2113419C" w14:textId="77777777" w:rsidR="00540A99" w:rsidRDefault="00540A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540A99" w:rsidRDefault="00540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07E24" w14:textId="77777777" w:rsidR="00540A99" w:rsidRPr="00DB5E8F" w:rsidRDefault="00540A99">
      <w:pPr>
        <w:rPr>
          <w:sz w:val="12"/>
          <w:szCs w:val="12"/>
        </w:rPr>
      </w:pPr>
      <w:r>
        <w:rPr>
          <w:sz w:val="12"/>
          <w:szCs w:val="12"/>
        </w:rPr>
        <w:separator/>
      </w:r>
    </w:p>
  </w:footnote>
  <w:footnote w:type="continuationSeparator" w:id="0">
    <w:p w14:paraId="16A643EB" w14:textId="77777777" w:rsidR="00540A99" w:rsidRDefault="00540A99" w:rsidP="00A00E34">
      <w:r>
        <w:continuationSeparator/>
      </w:r>
    </w:p>
    <w:p w14:paraId="03883C75" w14:textId="77777777" w:rsidR="00540A99" w:rsidRDefault="00540A99"/>
  </w:footnote>
  <w:footnote w:type="continuationNotice" w:id="1">
    <w:p w14:paraId="0E86AD21" w14:textId="77777777" w:rsidR="00540A99" w:rsidRDefault="00540A9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8AD06" w14:textId="77777777" w:rsidR="00244E2E" w:rsidRPr="00244E2E" w:rsidRDefault="00244E2E" w:rsidP="00244E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C65C5" w14:textId="77777777" w:rsidR="00244E2E" w:rsidRPr="00244E2E" w:rsidRDefault="00244E2E" w:rsidP="00244E2E">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5BA2B" w14:textId="77777777" w:rsidR="00244E2E" w:rsidRPr="00244E2E" w:rsidRDefault="00244E2E" w:rsidP="00244E2E">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540A99" w:rsidRDefault="00540A99">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540A99" w:rsidRPr="00245103" w:rsidRDefault="00540A99">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540A99" w:rsidRPr="00245103" w:rsidRDefault="00540A99">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540A99" w:rsidRDefault="00540A9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540A99" w:rsidRDefault="00540A99">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540A99" w:rsidRPr="00245103" w:rsidRDefault="00540A99">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540A99" w:rsidRPr="00245103" w:rsidRDefault="00540A99">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multilevel"/>
    <w:tmpl w:val="046AC9E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multilevel"/>
    <w:tmpl w:val="7AC66A7E"/>
    <w:lvl w:ilvl="0">
      <w:start w:val="1"/>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15:restartNumberingAfterBreak="0">
    <w:nsid w:val="105F352D"/>
    <w:multiLevelType w:val="multilevel"/>
    <w:tmpl w:val="489AD17A"/>
    <w:lvl w:ilvl="0">
      <w:start w:val="6"/>
      <w:numFmt w:val="lowerLetter"/>
      <w:lvlText w:val="%1)"/>
      <w:lvlJc w:val="left"/>
      <w:pPr>
        <w:ind w:left="144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7F56718A"/>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multilevel"/>
    <w:tmpl w:val="29C25D0A"/>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EC7E3592"/>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Letter"/>
      <w:lvlText w:val="(%4)"/>
      <w:lvlJc w:val="left"/>
      <w:pPr>
        <w:tabs>
          <w:tab w:val="num" w:pos="1417"/>
        </w:tabs>
        <w:ind w:left="1417" w:hanging="567"/>
      </w:pPr>
      <w:rPr>
        <w:rFonts w:hint="default"/>
      </w:r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F94D79"/>
    <w:multiLevelType w:val="multilevel"/>
    <w:tmpl w:val="52F04C72"/>
    <w:lvl w:ilvl="0">
      <w:start w:val="1"/>
      <w:numFmt w:val="decimal"/>
      <w:lvlText w:val="%1."/>
      <w:lvlJc w:val="left"/>
      <w:pPr>
        <w:ind w:left="720" w:hanging="360"/>
      </w:pPr>
      <w:rPr>
        <w:rFonts w:ascii="Times New Roman" w:hAnsi="Times New Roman" w:cs="Times New Roman" w:hint="default"/>
        <w:i w:val="0"/>
        <w:lang w:val="en-G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6E4204C"/>
    <w:multiLevelType w:val="multilevel"/>
    <w:tmpl w:val="01160C94"/>
    <w:lvl w:ilvl="0">
      <w:start w:val="1"/>
      <w:numFmt w:val="decimal"/>
      <w:lvlText w:val="(%1)"/>
      <w:lvlJc w:val="left"/>
      <w:pPr>
        <w:ind w:left="720" w:hanging="360"/>
      </w:pPr>
      <w:rPr>
        <w:rFonts w:ascii="Times New Roman" w:hAnsi="Times New Roman" w:cs="Times New Roman" w:hint="default"/>
        <w:b w:val="0"/>
        <w:i w:val="0"/>
        <w:lang w:val="en-GB"/>
      </w:rPr>
    </w:lvl>
    <w:lvl w:ilvl="1">
      <w:start w:val="6"/>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2"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7"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5"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7"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2"/>
  </w:num>
  <w:num w:numId="6">
    <w:abstractNumId w:val="2"/>
  </w:num>
  <w:num w:numId="7">
    <w:abstractNumId w:val="60"/>
  </w:num>
  <w:num w:numId="8">
    <w:abstractNumId w:val="45"/>
  </w:num>
  <w:num w:numId="9">
    <w:abstractNumId w:val="0"/>
  </w:num>
  <w:num w:numId="10">
    <w:abstractNumId w:val="22"/>
  </w:num>
  <w:num w:numId="11">
    <w:abstractNumId w:val="50"/>
  </w:num>
  <w:num w:numId="12">
    <w:abstractNumId w:val="27"/>
  </w:num>
  <w:num w:numId="13">
    <w:abstractNumId w:val="43"/>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1"/>
  </w:num>
  <w:num w:numId="17">
    <w:abstractNumId w:val="57"/>
  </w:num>
  <w:num w:numId="18">
    <w:abstractNumId w:val="11"/>
  </w:num>
  <w:num w:numId="19">
    <w:abstractNumId w:val="54"/>
  </w:num>
  <w:num w:numId="20">
    <w:abstractNumId w:val="26"/>
  </w:num>
  <w:num w:numId="21">
    <w:abstractNumId w:val="56"/>
  </w:num>
  <w:num w:numId="22">
    <w:abstractNumId w:val="4"/>
  </w:num>
  <w:num w:numId="23">
    <w:abstractNumId w:val="66"/>
  </w:num>
  <w:num w:numId="24">
    <w:abstractNumId w:val="33"/>
  </w:num>
  <w:num w:numId="25">
    <w:abstractNumId w:val="39"/>
  </w:num>
  <w:num w:numId="26">
    <w:abstractNumId w:val="65"/>
  </w:num>
  <w:num w:numId="27">
    <w:abstractNumId w:val="14"/>
  </w:num>
  <w:num w:numId="28">
    <w:abstractNumId w:val="64"/>
  </w:num>
  <w:num w:numId="29">
    <w:abstractNumId w:val="21"/>
  </w:num>
  <w:num w:numId="30">
    <w:abstractNumId w:val="52"/>
  </w:num>
  <w:num w:numId="31">
    <w:abstractNumId w:val="25"/>
  </w:num>
  <w:num w:numId="32">
    <w:abstractNumId w:val="37"/>
  </w:num>
  <w:num w:numId="33">
    <w:abstractNumId w:val="59"/>
  </w:num>
  <w:num w:numId="34">
    <w:abstractNumId w:val="51"/>
  </w:num>
  <w:num w:numId="35">
    <w:abstractNumId w:val="31"/>
  </w:num>
  <w:num w:numId="36">
    <w:abstractNumId w:val="23"/>
  </w:num>
  <w:num w:numId="37">
    <w:abstractNumId w:val="42"/>
  </w:num>
  <w:num w:numId="38">
    <w:abstractNumId w:val="46"/>
  </w:num>
  <w:num w:numId="39">
    <w:abstractNumId w:val="19"/>
  </w:num>
  <w:num w:numId="40">
    <w:abstractNumId w:val="67"/>
  </w:num>
  <w:num w:numId="41">
    <w:abstractNumId w:val="7"/>
  </w:num>
  <w:num w:numId="42">
    <w:abstractNumId w:val="47"/>
  </w:num>
  <w:num w:numId="43">
    <w:abstractNumId w:val="3"/>
  </w:num>
  <w:num w:numId="44">
    <w:abstractNumId w:val="29"/>
  </w:num>
  <w:num w:numId="45">
    <w:abstractNumId w:val="68"/>
  </w:num>
  <w:num w:numId="46">
    <w:abstractNumId w:val="63"/>
  </w:num>
  <w:num w:numId="47">
    <w:abstractNumId w:val="5"/>
  </w:num>
  <w:num w:numId="48">
    <w:abstractNumId w:val="55"/>
  </w:num>
  <w:num w:numId="49">
    <w:abstractNumId w:val="48"/>
  </w:num>
  <w:num w:numId="50">
    <w:abstractNumId w:val="53"/>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49"/>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8"/>
  </w:num>
  <w:num w:numId="68">
    <w:abstractNumId w:val="28"/>
  </w:num>
  <w:num w:numId="69">
    <w:abstractNumId w:val="41"/>
  </w:num>
  <w:num w:numId="70">
    <w:abstractNumId w:val="18"/>
  </w:num>
  <w:num w:numId="71">
    <w:abstractNumId w:val="13"/>
  </w:num>
  <w:num w:numId="72">
    <w:abstractNumId w:val="4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a következőhöz:"/>
    <w:docVar w:name="LW_ANNEX_NBR_FIRST" w:val="2"/>
    <w:docVar w:name="LW_ANNEX_NBR_LAST" w:val="2"/>
    <w:docVar w:name="LW_ANNEX_UNIQUE" w:val="0"/>
    <w:docVar w:name="LW_CORRIGENDUM" w:val="&lt;UNUSED&gt;"/>
    <w:docVar w:name="LW_COVERPAGE_EXISTS" w:val="True"/>
    <w:docVar w:name="LW_COVERPAGE_GUID" w:val="99CF0F42-BCB0-44EF-80A1-6796E4BD444E"/>
    <w:docVar w:name="LW_COVERPAGE_TYPE" w:val="1"/>
    <w:docVar w:name="LW_CROSSREFERENCE" w:val="&lt;UNUSED&gt;"/>
    <w:docVar w:name="LW_DocType" w:val="EBA GL-REC 20XX XX (FINAL GLS-REC ON"/>
    <w:docVar w:name="LW_EMISSION" w:val="2022.11.30."/>
    <w:docVar w:name="LW_EMISSION_ISODATE" w:val="2022-11-30"/>
    <w:docVar w:name="LW_EMISSION_LOCATION" w:val="BRX"/>
    <w:docVar w:name="LW_EMISSION_PREFIX" w:val="Brüsszel, "/>
    <w:docVar w:name="LW_EMISSION_SUFFIX" w:val=" "/>
    <w:docVar w:name="LW_ID_DOCTYPE_NONLW" w:val="CP-038"/>
    <w:docVar w:name="LW_LANGUE" w:val="HU"/>
    <w:docVar w:name="LW_LEVEL_OF_SENSITIVITY" w:val="Standard treatment"/>
    <w:docVar w:name="LW_NOM.INST" w:val="EURÓPAI BIZOTTSÁG"/>
    <w:docVar w:name="LW_NOM.INST_JOINTDOC" w:val="&lt;EMPTY&gt;"/>
    <w:docVar w:name="LW_OBJETACTEPRINCIPAL.CP" w:val="az (EU) 2021/637 végrehajtási rendeletben meghatározott végrehajtás-technikai standardoknak a környezeti, társadalmi és irányítási kockázatok nyilvánosságra hozatala tekintetében történő módosításáról_x000d__x000d__x000d__x000d__x000d__x000b__x000d__x000d__x000d__x000d__x000d__x000b__x000d__x000d__x000d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MELLÉKLET_x000b_"/>
    <w:docVar w:name="LW_TYPEACTEPRINCIPAL.CP" w:val="A BIZOTTSÁG (EU) .../... VÉGREHAJTÁSI RENDELETE"/>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38F5"/>
    <w:rsid w:val="00014788"/>
    <w:rsid w:val="00015010"/>
    <w:rsid w:val="00015DE4"/>
    <w:rsid w:val="00016326"/>
    <w:rsid w:val="000168C4"/>
    <w:rsid w:val="00020608"/>
    <w:rsid w:val="000231B7"/>
    <w:rsid w:val="00023E8E"/>
    <w:rsid w:val="0002494D"/>
    <w:rsid w:val="00025534"/>
    <w:rsid w:val="000271E6"/>
    <w:rsid w:val="00027CA0"/>
    <w:rsid w:val="00030D65"/>
    <w:rsid w:val="00030EB9"/>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DEC"/>
    <w:rsid w:val="000A7F89"/>
    <w:rsid w:val="000A7F92"/>
    <w:rsid w:val="000B1645"/>
    <w:rsid w:val="000B1C3E"/>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848"/>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25F9"/>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26C"/>
    <w:rsid w:val="00160F32"/>
    <w:rsid w:val="00160FD9"/>
    <w:rsid w:val="0016195C"/>
    <w:rsid w:val="00162453"/>
    <w:rsid w:val="00162644"/>
    <w:rsid w:val="00164B72"/>
    <w:rsid w:val="00164DD4"/>
    <w:rsid w:val="001664EE"/>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40363"/>
    <w:rsid w:val="002404A4"/>
    <w:rsid w:val="00240607"/>
    <w:rsid w:val="00241BD8"/>
    <w:rsid w:val="00242FCF"/>
    <w:rsid w:val="00243184"/>
    <w:rsid w:val="002434B0"/>
    <w:rsid w:val="00244E2E"/>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3B8"/>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66D1"/>
    <w:rsid w:val="00507E2B"/>
    <w:rsid w:val="00510201"/>
    <w:rsid w:val="00510392"/>
    <w:rsid w:val="005105EF"/>
    <w:rsid w:val="00511C21"/>
    <w:rsid w:val="0051326C"/>
    <w:rsid w:val="0051392F"/>
    <w:rsid w:val="00513D48"/>
    <w:rsid w:val="00514944"/>
    <w:rsid w:val="005159E2"/>
    <w:rsid w:val="00516499"/>
    <w:rsid w:val="00521860"/>
    <w:rsid w:val="00522A8F"/>
    <w:rsid w:val="00523895"/>
    <w:rsid w:val="00524FDF"/>
    <w:rsid w:val="00525E7F"/>
    <w:rsid w:val="00532DDB"/>
    <w:rsid w:val="005348FB"/>
    <w:rsid w:val="00535F94"/>
    <w:rsid w:val="00540765"/>
    <w:rsid w:val="00540776"/>
    <w:rsid w:val="005408DC"/>
    <w:rsid w:val="00540A99"/>
    <w:rsid w:val="005410AB"/>
    <w:rsid w:val="00541B93"/>
    <w:rsid w:val="00543A44"/>
    <w:rsid w:val="00543AE1"/>
    <w:rsid w:val="00544EA6"/>
    <w:rsid w:val="005508BA"/>
    <w:rsid w:val="00552C77"/>
    <w:rsid w:val="00552D38"/>
    <w:rsid w:val="00552EFF"/>
    <w:rsid w:val="0055405C"/>
    <w:rsid w:val="00560577"/>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031D"/>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5AD5"/>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566E"/>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5E2"/>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4ED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19B6"/>
    <w:rsid w:val="00B02292"/>
    <w:rsid w:val="00B03560"/>
    <w:rsid w:val="00B052D5"/>
    <w:rsid w:val="00B06655"/>
    <w:rsid w:val="00B075BA"/>
    <w:rsid w:val="00B10BED"/>
    <w:rsid w:val="00B13C50"/>
    <w:rsid w:val="00B13C87"/>
    <w:rsid w:val="00B14169"/>
    <w:rsid w:val="00B16E49"/>
    <w:rsid w:val="00B1710D"/>
    <w:rsid w:val="00B17D66"/>
    <w:rsid w:val="00B2137C"/>
    <w:rsid w:val="00B2155A"/>
    <w:rsid w:val="00B22A2A"/>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2CB7"/>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5ABA"/>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378B"/>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0E2"/>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A0A"/>
    <w:rsid w:val="00C47B97"/>
    <w:rsid w:val="00C47E8F"/>
    <w:rsid w:val="00C501AC"/>
    <w:rsid w:val="00C50715"/>
    <w:rsid w:val="00C5464C"/>
    <w:rsid w:val="00C54CC8"/>
    <w:rsid w:val="00C55980"/>
    <w:rsid w:val="00C571DD"/>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A05"/>
    <w:rsid w:val="00DB5E8F"/>
    <w:rsid w:val="00DC3E99"/>
    <w:rsid w:val="00DC50BB"/>
    <w:rsid w:val="00DC607D"/>
    <w:rsid w:val="00DC754E"/>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3FB3"/>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239B"/>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8BA"/>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hu-H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hu-HU"/>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hu-HU"/>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hu-HU"/>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hu-HU"/>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hu-HU"/>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hu-HU"/>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hu-HU"/>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0EBB2-74A6-48BC-9FD9-ED07A8FAD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21</Pages>
  <Words>20601</Words>
  <Characters>117429</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28</cp:revision>
  <dcterms:created xsi:type="dcterms:W3CDTF">2022-10-17T13:51:00Z</dcterms:created>
  <dcterms:modified xsi:type="dcterms:W3CDTF">2022-11-27T18:33:00Z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